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E4C45C" w14:textId="301F7D56" w:rsidR="00594534" w:rsidRDefault="00594534" w:rsidP="00D33086">
      <w:pPr>
        <w:widowControl w:val="0"/>
        <w:autoSpaceDE w:val="0"/>
        <w:autoSpaceDN w:val="0"/>
        <w:adjustRightInd w:val="0"/>
        <w:spacing w:after="0" w:line="360" w:lineRule="auto"/>
        <w:rPr>
          <w:rFonts w:ascii="David" w:hAnsi="David" w:cs="David" w:hint="cs"/>
          <w:b/>
          <w:bCs/>
          <w:sz w:val="32"/>
          <w:szCs w:val="32"/>
          <w:u w:val="single"/>
          <w:rtl/>
        </w:rPr>
      </w:pPr>
      <w:bookmarkStart w:id="0" w:name="_GoBack"/>
      <w:bookmarkEnd w:id="0"/>
    </w:p>
    <w:p w14:paraId="3F4DC068" w14:textId="77777777" w:rsidR="00594534" w:rsidRDefault="00594534" w:rsidP="00594534">
      <w:pPr>
        <w:widowControl w:val="0"/>
        <w:autoSpaceDE w:val="0"/>
        <w:autoSpaceDN w:val="0"/>
        <w:adjustRightInd w:val="0"/>
        <w:spacing w:after="0" w:line="360" w:lineRule="auto"/>
        <w:jc w:val="center"/>
        <w:rPr>
          <w:rFonts w:ascii="David" w:hAnsi="David" w:cs="David"/>
          <w:b/>
          <w:bCs/>
          <w:sz w:val="32"/>
          <w:szCs w:val="32"/>
          <w:u w:val="single"/>
          <w:rtl/>
        </w:rPr>
      </w:pPr>
    </w:p>
    <w:p w14:paraId="24DB3E75" w14:textId="77777777" w:rsidR="00594534" w:rsidRDefault="00594534" w:rsidP="00594534">
      <w:pPr>
        <w:widowControl w:val="0"/>
        <w:autoSpaceDE w:val="0"/>
        <w:autoSpaceDN w:val="0"/>
        <w:adjustRightInd w:val="0"/>
        <w:spacing w:after="0" w:line="360" w:lineRule="auto"/>
        <w:jc w:val="center"/>
        <w:rPr>
          <w:rFonts w:ascii="David" w:hAnsi="David" w:cs="David"/>
          <w:b/>
          <w:bCs/>
          <w:sz w:val="32"/>
          <w:szCs w:val="32"/>
          <w:u w:val="single"/>
          <w:rtl/>
        </w:rPr>
      </w:pPr>
    </w:p>
    <w:p w14:paraId="09F7DED5" w14:textId="77777777" w:rsidR="00594534" w:rsidRDefault="00594534" w:rsidP="00594534">
      <w:pPr>
        <w:widowControl w:val="0"/>
        <w:autoSpaceDE w:val="0"/>
        <w:autoSpaceDN w:val="0"/>
        <w:adjustRightInd w:val="0"/>
        <w:spacing w:after="0" w:line="360" w:lineRule="auto"/>
        <w:jc w:val="center"/>
        <w:rPr>
          <w:rFonts w:ascii="David" w:hAnsi="David" w:cs="David"/>
          <w:b/>
          <w:bCs/>
          <w:sz w:val="32"/>
          <w:szCs w:val="32"/>
          <w:u w:val="single"/>
          <w:rtl/>
        </w:rPr>
      </w:pPr>
    </w:p>
    <w:p w14:paraId="052C3A12" w14:textId="77777777" w:rsidR="00594534" w:rsidRDefault="00594534" w:rsidP="00594534">
      <w:pPr>
        <w:widowControl w:val="0"/>
        <w:autoSpaceDE w:val="0"/>
        <w:autoSpaceDN w:val="0"/>
        <w:adjustRightInd w:val="0"/>
        <w:spacing w:after="0" w:line="360" w:lineRule="auto"/>
        <w:jc w:val="center"/>
        <w:rPr>
          <w:rFonts w:ascii="David" w:hAnsi="David" w:cs="David"/>
          <w:b/>
          <w:bCs/>
          <w:sz w:val="32"/>
          <w:szCs w:val="32"/>
          <w:u w:val="single"/>
          <w:rtl/>
        </w:rPr>
      </w:pPr>
    </w:p>
    <w:p w14:paraId="0CBC69DB" w14:textId="77777777" w:rsidR="00594534" w:rsidRDefault="00594534" w:rsidP="00594534">
      <w:pPr>
        <w:widowControl w:val="0"/>
        <w:autoSpaceDE w:val="0"/>
        <w:autoSpaceDN w:val="0"/>
        <w:adjustRightInd w:val="0"/>
        <w:spacing w:after="0" w:line="360" w:lineRule="auto"/>
        <w:jc w:val="center"/>
        <w:rPr>
          <w:rFonts w:ascii="David" w:hAnsi="David" w:cs="David"/>
          <w:b/>
          <w:bCs/>
          <w:sz w:val="32"/>
          <w:szCs w:val="32"/>
          <w:u w:val="single"/>
          <w:rtl/>
        </w:rPr>
      </w:pPr>
    </w:p>
    <w:p w14:paraId="3335BB92" w14:textId="77777777" w:rsidR="00594534" w:rsidRPr="00F25744" w:rsidRDefault="00E25AE7" w:rsidP="00594534">
      <w:pPr>
        <w:spacing w:line="360" w:lineRule="auto"/>
        <w:rPr>
          <w:rtl/>
        </w:rPr>
      </w:pPr>
      <w:r w:rsidRPr="00F25744">
        <w:rPr>
          <w:noProof/>
          <w:rtl/>
        </w:rPr>
        <mc:AlternateContent>
          <mc:Choice Requires="wps">
            <w:drawing>
              <wp:anchor distT="0" distB="0" distL="114300" distR="114300" simplePos="0" relativeHeight="251658240" behindDoc="0" locked="0" layoutInCell="1" allowOverlap="1" wp14:anchorId="5D899068" wp14:editId="0175BFA0">
                <wp:simplePos x="0" y="0"/>
                <wp:positionH relativeFrom="column">
                  <wp:posOffset>-53340</wp:posOffset>
                </wp:positionH>
                <wp:positionV relativeFrom="paragraph">
                  <wp:posOffset>2644140</wp:posOffset>
                </wp:positionV>
                <wp:extent cx="4206240" cy="1514475"/>
                <wp:effectExtent l="635" t="3175" r="3175" b="0"/>
                <wp:wrapNone/>
                <wp:docPr id="45"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6240" cy="15144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34D10ED" w14:textId="77777777" w:rsidR="000761E8" w:rsidRPr="00B33207" w:rsidRDefault="000761E8" w:rsidP="003D20FD">
                            <w:pPr>
                              <w:spacing w:after="0"/>
                              <w:jc w:val="center"/>
                              <w:rPr>
                                <w:rFonts w:ascii="Times New Roman" w:hAnsi="Times New Roman" w:cs="David"/>
                                <w:b/>
                                <w:bCs/>
                                <w:sz w:val="56"/>
                                <w:szCs w:val="56"/>
                                <w:rtl/>
                              </w:rPr>
                            </w:pPr>
                            <w:r w:rsidRPr="00B33207">
                              <w:rPr>
                                <w:rFonts w:ascii="Times New Roman" w:hAnsi="Times New Roman" w:cs="David" w:hint="cs"/>
                                <w:b/>
                                <w:bCs/>
                                <w:sz w:val="56"/>
                                <w:szCs w:val="56"/>
                                <w:rtl/>
                              </w:rPr>
                              <w:t xml:space="preserve">עומס העבודה השיפוטית </w:t>
                            </w:r>
                          </w:p>
                          <w:p w14:paraId="79F72C6D" w14:textId="35199855" w:rsidR="000761E8" w:rsidRDefault="000761E8" w:rsidP="003D20FD">
                            <w:pPr>
                              <w:spacing w:after="0"/>
                              <w:jc w:val="center"/>
                              <w:rPr>
                                <w:rFonts w:ascii="Times New Roman" w:hAnsi="Times New Roman" w:cs="David"/>
                                <w:b/>
                                <w:bCs/>
                                <w:sz w:val="48"/>
                                <w:szCs w:val="48"/>
                                <w:rtl/>
                              </w:rPr>
                            </w:pPr>
                            <w:r w:rsidRPr="00B33207">
                              <w:rPr>
                                <w:rFonts w:ascii="Times New Roman" w:hAnsi="Times New Roman" w:cs="David" w:hint="cs"/>
                                <w:b/>
                                <w:bCs/>
                                <w:sz w:val="56"/>
                                <w:szCs w:val="56"/>
                                <w:rtl/>
                              </w:rPr>
                              <w:t xml:space="preserve">במערכת </w:t>
                            </w:r>
                            <w:r>
                              <w:rPr>
                                <w:rFonts w:ascii="Times New Roman" w:hAnsi="Times New Roman" w:cs="David" w:hint="cs"/>
                                <w:b/>
                                <w:bCs/>
                                <w:sz w:val="56"/>
                                <w:szCs w:val="56"/>
                                <w:rtl/>
                              </w:rPr>
                              <w:t xml:space="preserve">בתי </w:t>
                            </w:r>
                            <w:r w:rsidRPr="00B33207">
                              <w:rPr>
                                <w:rFonts w:ascii="Times New Roman" w:hAnsi="Times New Roman" w:cs="David" w:hint="cs"/>
                                <w:b/>
                                <w:bCs/>
                                <w:sz w:val="56"/>
                                <w:szCs w:val="56"/>
                                <w:rtl/>
                              </w:rPr>
                              <w:t>המשפט בישראל</w:t>
                            </w:r>
                          </w:p>
                          <w:p w14:paraId="22EFD9D1" w14:textId="77777777" w:rsidR="000761E8" w:rsidRPr="00714254" w:rsidRDefault="000761E8" w:rsidP="00594534">
                            <w:pPr>
                              <w:spacing w:after="0"/>
                              <w:jc w:val="center"/>
                              <w:rPr>
                                <w:rFonts w:ascii="Times New Roman" w:hAnsi="Times New Roman" w:cs="David"/>
                                <w:b/>
                                <w:bCs/>
                                <w:sz w:val="48"/>
                                <w:szCs w:val="48"/>
                                <w:rtl/>
                              </w:rPr>
                            </w:pPr>
                          </w:p>
                          <w:p w14:paraId="6683EEDB" w14:textId="77777777" w:rsidR="000761E8" w:rsidRDefault="000761E8" w:rsidP="00594534"/>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type w14:anchorId="5D899068" id="_x0000_t202" coordsize="21600,21600" o:spt="202" path="m,l,21600r21600,l21600,xe">
                <v:stroke joinstyle="miter"/>
                <v:path gradientshapeok="t" o:connecttype="rect"/>
              </v:shapetype>
              <v:shape id="תיבת טקסט 2" o:spid="_x0000_s1026" type="#_x0000_t202" style="position:absolute;left:0;text-align:left;margin-left:-4.2pt;margin-top:208.2pt;width:331.2pt;height:11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" stroked="f" strokeweight=".5pt">
                <v:textbox>
                  <w:txbxContent>
                    <w:p w14:paraId="734D10ED" w14:textId="77777777" w:rsidR="000761E8" w:rsidRPr="00B33207" w:rsidRDefault="000761E8" w:rsidP="003D20FD">
                      <w:pPr>
                        <w:spacing w:after="0"/>
                        <w:jc w:val="center"/>
                        <w:rPr>
                          <w:rFonts w:ascii="Times New Roman" w:hAnsi="Times New Roman" w:cs="David"/>
                          <w:b/>
                          <w:bCs/>
                          <w:sz w:val="56"/>
                          <w:szCs w:val="56"/>
                          <w:rtl/>
                        </w:rPr>
                      </w:pPr>
                      <w:r w:rsidRPr="00B33207">
                        <w:rPr>
                          <w:rFonts w:ascii="Times New Roman" w:hAnsi="Times New Roman" w:cs="David" w:hint="cs"/>
                          <w:b/>
                          <w:bCs/>
                          <w:sz w:val="56"/>
                          <w:szCs w:val="56"/>
                          <w:rtl/>
                        </w:rPr>
                        <w:t xml:space="preserve">עומס העבודה השיפוטית </w:t>
                      </w:r>
                    </w:p>
                    <w:p w14:paraId="79F72C6D" w14:textId="35199855" w:rsidR="000761E8" w:rsidRDefault="000761E8" w:rsidP="003D20FD">
                      <w:pPr>
                        <w:spacing w:after="0"/>
                        <w:jc w:val="center"/>
                        <w:rPr>
                          <w:rFonts w:ascii="Times New Roman" w:hAnsi="Times New Roman" w:cs="David"/>
                          <w:b/>
                          <w:bCs/>
                          <w:sz w:val="48"/>
                          <w:szCs w:val="48"/>
                          <w:rtl/>
                        </w:rPr>
                      </w:pPr>
                      <w:r w:rsidRPr="00B33207">
                        <w:rPr>
                          <w:rFonts w:ascii="Times New Roman" w:hAnsi="Times New Roman" w:cs="David" w:hint="cs"/>
                          <w:b/>
                          <w:bCs/>
                          <w:sz w:val="56"/>
                          <w:szCs w:val="56"/>
                          <w:rtl/>
                        </w:rPr>
                        <w:t xml:space="preserve">במערכת </w:t>
                      </w:r>
                      <w:r>
                        <w:rPr>
                          <w:rFonts w:ascii="Times New Roman" w:hAnsi="Times New Roman" w:cs="David" w:hint="cs"/>
                          <w:b/>
                          <w:bCs/>
                          <w:sz w:val="56"/>
                          <w:szCs w:val="56"/>
                          <w:rtl/>
                        </w:rPr>
                        <w:t xml:space="preserve">בתי </w:t>
                      </w:r>
                      <w:r w:rsidRPr="00B33207">
                        <w:rPr>
                          <w:rFonts w:ascii="Times New Roman" w:hAnsi="Times New Roman" w:cs="David" w:hint="cs"/>
                          <w:b/>
                          <w:bCs/>
                          <w:sz w:val="56"/>
                          <w:szCs w:val="56"/>
                          <w:rtl/>
                        </w:rPr>
                        <w:t>המשפט בישראל</w:t>
                      </w:r>
                    </w:p>
                    <w:p w14:paraId="22EFD9D1" w14:textId="77777777" w:rsidR="000761E8" w:rsidRPr="00714254" w:rsidRDefault="000761E8" w:rsidP="00594534">
                      <w:pPr>
                        <w:spacing w:after="0"/>
                        <w:jc w:val="center"/>
                        <w:rPr>
                          <w:rFonts w:ascii="Times New Roman" w:hAnsi="Times New Roman" w:cs="David"/>
                          <w:b/>
                          <w:bCs/>
                          <w:sz w:val="48"/>
                          <w:szCs w:val="48"/>
                          <w:rtl/>
                        </w:rPr>
                      </w:pPr>
                    </w:p>
                    <w:p w14:paraId="6683EEDB" w14:textId="77777777" w:rsidR="000761E8" w:rsidRDefault="000761E8" w:rsidP="00594534"/>
                  </w:txbxContent>
                </v:textbox>
              </v:shape>
            </w:pict>
          </mc:Fallback>
        </mc:AlternateContent>
      </w:r>
      <w:r w:rsidRPr="00F25744">
        <w:rPr>
          <w:noProof/>
          <w:rtl/>
        </w:rPr>
        <mc:AlternateContent>
          <mc:Choice Requires="wpg">
            <w:drawing>
              <wp:anchor distT="0" distB="0" distL="114300" distR="114300" simplePos="0" relativeHeight="251664384" behindDoc="0" locked="0" layoutInCell="1" allowOverlap="1" wp14:anchorId="1D450870" wp14:editId="7C6163B6">
                <wp:simplePos x="0" y="0"/>
                <wp:positionH relativeFrom="column">
                  <wp:posOffset>4264660</wp:posOffset>
                </wp:positionH>
                <wp:positionV relativeFrom="paragraph">
                  <wp:posOffset>-1927860</wp:posOffset>
                </wp:positionV>
                <wp:extent cx="2470150" cy="9799320"/>
                <wp:effectExtent l="0" t="0" r="0" b="0"/>
                <wp:wrapNone/>
                <wp:docPr id="38" name="Group 2"/>
                <wp:cNvGraphicFramePr/>
                <a:graphic xmlns:a="http://schemas.openxmlformats.org/drawingml/2006/main">
                  <a:graphicData uri="http://schemas.microsoft.com/office/word/2010/wordprocessingGroup">
                    <wpg:wgp>
                      <wpg:cNvGrpSpPr/>
                      <wpg:grpSpPr>
                        <a:xfrm>
                          <a:off x="0" y="0"/>
                          <a:ext cx="2470150" cy="9799320"/>
                          <a:chOff x="3990" y="1365"/>
                          <a:chExt cx="3890" cy="15432"/>
                        </a:xfrm>
                      </wpg:grpSpPr>
                      <wpg:grpSp>
                        <wpg:cNvPr id="39" name="Group 3"/>
                        <wpg:cNvGrpSpPr/>
                        <wpg:grpSpPr>
                          <a:xfrm>
                            <a:off x="4091" y="1365"/>
                            <a:ext cx="3719" cy="15432"/>
                            <a:chOff x="4091" y="1365"/>
                            <a:chExt cx="3719" cy="15432"/>
                          </a:xfrm>
                        </wpg:grpSpPr>
                        <wps:wsp>
                          <wps:cNvPr id="40" name="Rectangle 4"/>
                          <wps:cNvSpPr>
                            <a:spLocks noChangeArrowheads="1"/>
                          </wps:cNvSpPr>
                          <wps:spPr bwMode="auto">
                            <a:xfrm>
                              <a:off x="4091" y="1365"/>
                              <a:ext cx="3719" cy="15432"/>
                            </a:xfrm>
                            <a:prstGeom prst="rect">
                              <a:avLst/>
                            </a:prstGeom>
                            <a:gradFill rotWithShape="1">
                              <a:gsLst>
                                <a:gs pos="0">
                                  <a:srgbClr val="FFFFFF"/>
                                </a:gs>
                                <a:gs pos="100000">
                                  <a:srgbClr val="CCCCFF"/>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41" name="תיבת טקסט 2"/>
                          <wps:cNvSpPr txBox="1">
                            <a:spLocks noChangeArrowheads="1"/>
                          </wps:cNvSpPr>
                          <wps:spPr bwMode="auto">
                            <a:xfrm flipH="1">
                              <a:off x="4312" y="14985"/>
                              <a:ext cx="3497" cy="14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3A88FEE6" w14:textId="77777777" w:rsidR="000761E8" w:rsidRPr="00FB2832" w:rsidRDefault="000761E8" w:rsidP="00594534">
                                <w:pPr>
                                  <w:spacing w:after="0" w:line="240" w:lineRule="auto"/>
                                  <w:jc w:val="center"/>
                                  <w:rPr>
                                    <w:rFonts w:ascii="Times New Roman" w:hAnsi="Times New Roman" w:cs="David"/>
                                    <w:color w:val="3333FF"/>
                                    <w:sz w:val="24"/>
                                    <w:szCs w:val="24"/>
                                    <w:rtl/>
                                  </w:rPr>
                                </w:pPr>
                                <w:r w:rsidRPr="00FB2832">
                                  <w:rPr>
                                    <w:rFonts w:ascii="Times New Roman" w:hAnsi="Times New Roman" w:cs="David" w:hint="cs"/>
                                    <w:color w:val="3333FF"/>
                                    <w:sz w:val="24"/>
                                    <w:szCs w:val="24"/>
                                    <w:rtl/>
                                  </w:rPr>
                                  <w:t>בית המשפט העליון</w:t>
                                </w:r>
                              </w:p>
                              <w:p w14:paraId="34A77F1E" w14:textId="77777777" w:rsidR="000761E8" w:rsidRPr="00891FC7" w:rsidRDefault="000761E8" w:rsidP="00594534">
                                <w:pPr>
                                  <w:spacing w:after="0" w:line="240" w:lineRule="auto"/>
                                  <w:jc w:val="center"/>
                                  <w:rPr>
                                    <w:rFonts w:ascii="Times New Roman" w:hAnsi="Times New Roman" w:cs="Times New Roman"/>
                                    <w:color w:val="3333FF"/>
                                    <w:sz w:val="24"/>
                                    <w:szCs w:val="24"/>
                                    <w:rtl/>
                                  </w:rPr>
                                </w:pPr>
                                <w:r w:rsidRPr="00FB2832">
                                  <w:rPr>
                                    <w:rFonts w:ascii="Times New Roman" w:hAnsi="Times New Roman" w:cs="David" w:hint="cs"/>
                                    <w:color w:val="3333FF"/>
                                    <w:sz w:val="24"/>
                                    <w:szCs w:val="24"/>
                                    <w:rtl/>
                                  </w:rPr>
                                  <w:t>רח' שערי משפט, ירושלים</w:t>
                                </w:r>
                                <w:r w:rsidRPr="00891FC7">
                                  <w:rPr>
                                    <w:rFonts w:ascii="Times New Roman" w:hAnsi="Times New Roman" w:cs="Times New Roman" w:hint="cs"/>
                                    <w:color w:val="3333FF"/>
                                    <w:sz w:val="24"/>
                                    <w:szCs w:val="24"/>
                                    <w:rtl/>
                                  </w:rPr>
                                  <w:t xml:space="preserve"> </w:t>
                                </w:r>
                                <w:r w:rsidRPr="00891FC7">
                                  <w:rPr>
                                    <w:rFonts w:ascii="Times New Roman" w:hAnsi="Times New Roman" w:cs="Times New Roman"/>
                                    <w:color w:val="3333FF"/>
                                    <w:sz w:val="24"/>
                                    <w:szCs w:val="24"/>
                                    <w:rtl/>
                                  </w:rPr>
                                  <w:t>9195001</w:t>
                                </w:r>
                              </w:p>
                              <w:p w14:paraId="18C47944" w14:textId="77777777" w:rsidR="000761E8" w:rsidRPr="00891FC7" w:rsidRDefault="000761E8" w:rsidP="00594534">
                                <w:pPr>
                                  <w:spacing w:after="0" w:line="240" w:lineRule="auto"/>
                                  <w:jc w:val="center"/>
                                  <w:rPr>
                                    <w:rFonts w:ascii="Times New Roman" w:hAnsi="Times New Roman" w:cs="Times New Roman"/>
                                    <w:color w:val="3333FF"/>
                                    <w:sz w:val="24"/>
                                    <w:szCs w:val="24"/>
                                    <w:rtl/>
                                  </w:rPr>
                                </w:pPr>
                                <w:r w:rsidRPr="00891FC7">
                                  <w:rPr>
                                    <w:rFonts w:ascii="Times New Roman" w:hAnsi="Times New Roman" w:cs="Times New Roman"/>
                                    <w:color w:val="3333FF"/>
                                    <w:sz w:val="24"/>
                                    <w:szCs w:val="24"/>
                                  </w:rPr>
                                  <w:t>www.gov.il/he/Departments/the_israeli_courts_research_division</w:t>
                                </w:r>
                              </w:p>
                              <w:p w14:paraId="446CF79A" w14:textId="77777777" w:rsidR="000761E8" w:rsidRPr="00891FC7" w:rsidRDefault="000761E8" w:rsidP="00594534">
                                <w:pPr>
                                  <w:spacing w:after="0" w:line="240" w:lineRule="auto"/>
                                  <w:jc w:val="center"/>
                                  <w:rPr>
                                    <w:rFonts w:ascii="Times New Roman" w:hAnsi="Times New Roman" w:cs="Times New Roman"/>
                                    <w:color w:val="3333FF"/>
                                    <w:sz w:val="20"/>
                                    <w:szCs w:val="20"/>
                                    <w:rtl/>
                                  </w:rPr>
                                </w:pPr>
                              </w:p>
                            </w:txbxContent>
                          </wps:txbx>
                          <wps:bodyPr rot="0" vert="horz" wrap="square" anchor="t" anchorCtr="0" upright="1">
                            <a:spAutoFit/>
                          </wps:bodyPr>
                        </wps:wsp>
                      </wpg:grpSp>
                      <wpg:grpSp>
                        <wpg:cNvPr id="42" name="Group 6"/>
                        <wpg:cNvGrpSpPr/>
                        <wpg:grpSpPr>
                          <a:xfrm>
                            <a:off x="3990" y="2609"/>
                            <a:ext cx="3890" cy="1894"/>
                            <a:chOff x="3990" y="2609"/>
                            <a:chExt cx="3890" cy="1894"/>
                          </a:xfrm>
                        </wpg:grpSpPr>
                        <pic:pic xmlns:pic="http://schemas.openxmlformats.org/drawingml/2006/picture">
                          <pic:nvPicPr>
                            <pic:cNvPr id="43" name="irc_mi" descr="Image result for ‫סמל המדינה‬‎"/>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5532" y="2609"/>
                              <a:ext cx="873" cy="10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4" name="תיבת טקסט 2"/>
                          <wps:cNvSpPr txBox="1">
                            <a:spLocks noChangeArrowheads="1"/>
                          </wps:cNvSpPr>
                          <wps:spPr bwMode="auto">
                            <a:xfrm flipH="1">
                              <a:off x="3990" y="3690"/>
                              <a:ext cx="3890" cy="8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3E9FF79A" w14:textId="77777777" w:rsidR="000761E8" w:rsidRPr="00FB2832" w:rsidRDefault="000761E8" w:rsidP="00FB2832">
                                <w:pPr>
                                  <w:spacing w:after="0" w:line="240" w:lineRule="auto"/>
                                  <w:jc w:val="center"/>
                                  <w:rPr>
                                    <w:rFonts w:ascii="Times New Roman" w:hAnsi="Times New Roman" w:cs="David"/>
                                    <w:b/>
                                    <w:bCs/>
                                    <w:color w:val="3333FF"/>
                                    <w:sz w:val="26"/>
                                    <w:szCs w:val="26"/>
                                    <w:rtl/>
                                    <w:cs/>
                                  </w:rPr>
                                </w:pPr>
                                <w:r w:rsidRPr="00FB2832">
                                  <w:rPr>
                                    <w:rFonts w:ascii="Times New Roman" w:hAnsi="Times New Roman" w:cs="David"/>
                                    <w:b/>
                                    <w:bCs/>
                                    <w:color w:val="3333FF"/>
                                    <w:sz w:val="26"/>
                                    <w:szCs w:val="26"/>
                                    <w:rtl/>
                                  </w:rPr>
                                  <w:t>מחלקת המחקר של הרשות השופטת</w:t>
                                </w:r>
                              </w:p>
                              <w:p w14:paraId="19EA9BD3" w14:textId="77777777" w:rsidR="000761E8" w:rsidRPr="001636D3" w:rsidRDefault="000761E8" w:rsidP="00594534">
                                <w:pPr>
                                  <w:spacing w:line="240" w:lineRule="auto"/>
                                  <w:jc w:val="center"/>
                                  <w:rPr>
                                    <w:rFonts w:ascii="Times New Roman" w:hAnsi="Times New Roman" w:cs="Times New Roman"/>
                                    <w:b/>
                                    <w:bCs/>
                                    <w:color w:val="3333FF"/>
                                    <w:rtl/>
                                  </w:rPr>
                                </w:pPr>
                                <w:r w:rsidRPr="001636D3">
                                  <w:rPr>
                                    <w:rFonts w:ascii="Times New Roman" w:hAnsi="Times New Roman" w:cs="Times New Roman"/>
                                    <w:b/>
                                    <w:bCs/>
                                    <w:color w:val="3333FF"/>
                                  </w:rPr>
                                  <w:t>The Israeli Courts Research Division</w:t>
                                </w:r>
                              </w:p>
                            </w:txbxContent>
                          </wps:txbx>
                          <wps:bodyPr rot="0" vert="horz" wrap="square" anchor="t" anchorCtr="0" upright="1">
                            <a:spAutoFit/>
                          </wps:bodyPr>
                        </wps:wsp>
                      </wpg:grpSp>
                    </wpg:wgp>
                  </a:graphicData>
                </a:graphic>
                <wp14:sizeRelH relativeFrom="page">
                  <wp14:pctWidth>0</wp14:pctWidth>
                </wp14:sizeRelH>
                <wp14:sizeRelV relativeFrom="page">
                  <wp14:pctHeight>0</wp14:pctHeight>
                </wp14:sizeRelV>
              </wp:anchor>
            </w:drawing>
          </mc:Choice>
          <mc:Fallback>
            <w:pict>
              <v:group w14:anchorId="1D450870" id="Group 2" o:spid="_x0000_s1027" style="position:absolute;left:0;text-align:left;margin-left:335.8pt;margin-top:-151.8pt;width:194.5pt;height:771.6pt;z-index:251664384" coordorigin="3990,1365" coordsize="3890,154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">
                <v:group id="Group 3" o:spid="_x0000_s1028" style="position:absolute;left:4091;top:1365;width:3719;height:15432" coordorigin="4091,1365" coordsize="3719,15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rect id="Rectangle 4" o:spid="_x0000_s1029" style="position:absolute;left:4091;top:1365;width:3719;height:15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" stroked="f">
                    <v:fill color2="#ccf" rotate="t" focus="100%" type="gradient"/>
                  </v:rect>
                  <v:shape id="_x0000_s1030" type="#_x0000_t202" style="position:absolute;left:4312;top:14985;width:3497;height:144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" filled="f" stroked="f" strokecolor="white">
                    <v:textbox style="mso-fit-shape-to-text:t">
                      <w:txbxContent>
                        <w:p w14:paraId="3A88FEE6" w14:textId="77777777" w:rsidR="000761E8" w:rsidRPr="00FB2832" w:rsidRDefault="000761E8" w:rsidP="00594534">
                          <w:pPr>
                            <w:spacing w:after="0" w:line="240" w:lineRule="auto"/>
                            <w:jc w:val="center"/>
                            <w:rPr>
                              <w:rFonts w:ascii="Times New Roman" w:hAnsi="Times New Roman" w:cs="David"/>
                              <w:color w:val="3333FF"/>
                              <w:sz w:val="24"/>
                              <w:szCs w:val="24"/>
                              <w:rtl/>
                            </w:rPr>
                          </w:pPr>
                          <w:r w:rsidRPr="00FB2832">
                            <w:rPr>
                              <w:rFonts w:ascii="Times New Roman" w:hAnsi="Times New Roman" w:cs="David" w:hint="cs"/>
                              <w:color w:val="3333FF"/>
                              <w:sz w:val="24"/>
                              <w:szCs w:val="24"/>
                              <w:rtl/>
                            </w:rPr>
                            <w:t>בית המשפט העליון</w:t>
                          </w:r>
                        </w:p>
                        <w:p w14:paraId="34A77F1E" w14:textId="77777777" w:rsidR="000761E8" w:rsidRPr="00891FC7" w:rsidRDefault="000761E8" w:rsidP="00594534">
                          <w:pPr>
                            <w:spacing w:after="0" w:line="240" w:lineRule="auto"/>
                            <w:jc w:val="center"/>
                            <w:rPr>
                              <w:rFonts w:ascii="Times New Roman" w:hAnsi="Times New Roman" w:cs="Times New Roman"/>
                              <w:color w:val="3333FF"/>
                              <w:sz w:val="24"/>
                              <w:szCs w:val="24"/>
                              <w:rtl/>
                            </w:rPr>
                          </w:pPr>
                          <w:r w:rsidRPr="00FB2832">
                            <w:rPr>
                              <w:rFonts w:ascii="Times New Roman" w:hAnsi="Times New Roman" w:cs="David" w:hint="cs"/>
                              <w:color w:val="3333FF"/>
                              <w:sz w:val="24"/>
                              <w:szCs w:val="24"/>
                              <w:rtl/>
                            </w:rPr>
                            <w:t>רח' שערי משפט, ירושלים</w:t>
                          </w:r>
                          <w:r w:rsidRPr="00891FC7">
                            <w:rPr>
                              <w:rFonts w:ascii="Times New Roman" w:hAnsi="Times New Roman" w:cs="Times New Roman" w:hint="cs"/>
                              <w:color w:val="3333FF"/>
                              <w:sz w:val="24"/>
                              <w:szCs w:val="24"/>
                              <w:rtl/>
                            </w:rPr>
                            <w:t xml:space="preserve"> </w:t>
                          </w:r>
                          <w:r w:rsidRPr="00891FC7">
                            <w:rPr>
                              <w:rFonts w:ascii="Times New Roman" w:hAnsi="Times New Roman" w:cs="Times New Roman"/>
                              <w:color w:val="3333FF"/>
                              <w:sz w:val="24"/>
                              <w:szCs w:val="24"/>
                              <w:rtl/>
                            </w:rPr>
                            <w:t>9195001</w:t>
                          </w:r>
                        </w:p>
                        <w:p w14:paraId="18C47944" w14:textId="77777777" w:rsidR="000761E8" w:rsidRPr="00891FC7" w:rsidRDefault="000761E8" w:rsidP="00594534">
                          <w:pPr>
                            <w:spacing w:after="0" w:line="240" w:lineRule="auto"/>
                            <w:jc w:val="center"/>
                            <w:rPr>
                              <w:rFonts w:ascii="Times New Roman" w:hAnsi="Times New Roman" w:cs="Times New Roman"/>
                              <w:color w:val="3333FF"/>
                              <w:sz w:val="24"/>
                              <w:szCs w:val="24"/>
                              <w:rtl/>
                            </w:rPr>
                          </w:pPr>
                          <w:r w:rsidRPr="00891FC7">
                            <w:rPr>
                              <w:rFonts w:ascii="Times New Roman" w:hAnsi="Times New Roman" w:cs="Times New Roman"/>
                              <w:color w:val="3333FF"/>
                              <w:sz w:val="24"/>
                              <w:szCs w:val="24"/>
                            </w:rPr>
                            <w:t>www.gov.il/he/Departments/the_israeli_courts_research_division</w:t>
                          </w:r>
                        </w:p>
                        <w:p w14:paraId="446CF79A" w14:textId="77777777" w:rsidR="000761E8" w:rsidRPr="00891FC7" w:rsidRDefault="000761E8" w:rsidP="00594534">
                          <w:pPr>
                            <w:spacing w:after="0" w:line="240" w:lineRule="auto"/>
                            <w:jc w:val="center"/>
                            <w:rPr>
                              <w:rFonts w:ascii="Times New Roman" w:hAnsi="Times New Roman" w:cs="Times New Roman"/>
                              <w:color w:val="3333FF"/>
                              <w:sz w:val="20"/>
                              <w:szCs w:val="20"/>
                              <w:rtl/>
                            </w:rPr>
                          </w:pPr>
                        </w:p>
                      </w:txbxContent>
                    </v:textbox>
                  </v:shape>
                </v:group>
                <v:group id="Group 6" o:spid="_x0000_s1031" style="position:absolute;left:3990;top:2609;width:3890;height:1894" coordorigin="3990,2609" coordsize="3890,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rc_mi" o:spid="_x0000_s1032" type="#_x0000_t75" alt="Image result for ‫סמל המדינה‬‎" style="position:absolute;left:5532;top:2609;width:873;height:1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">
                    <v:imagedata r:id="rId9" o:title="Image result for ‫סמל המדינה‬‎"/>
                  </v:shape>
                  <v:shape id="_x0000_s1033" type="#_x0000_t202" style="position:absolute;left:3990;top:3690;width:3890;height:81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" filled="f" stroked="f" strokecolor="white">
                    <v:textbox style="mso-fit-shape-to-text:t">
                      <w:txbxContent>
                        <w:p w14:paraId="3E9FF79A" w14:textId="77777777" w:rsidR="000761E8" w:rsidRPr="00FB2832" w:rsidRDefault="000761E8" w:rsidP="00FB2832">
                          <w:pPr>
                            <w:spacing w:after="0" w:line="240" w:lineRule="auto"/>
                            <w:jc w:val="center"/>
                            <w:rPr>
                              <w:rFonts w:ascii="Times New Roman" w:hAnsi="Times New Roman" w:cs="David"/>
                              <w:b/>
                              <w:bCs/>
                              <w:color w:val="3333FF"/>
                              <w:sz w:val="26"/>
                              <w:szCs w:val="26"/>
                              <w:rtl/>
                              <w:cs/>
                            </w:rPr>
                          </w:pPr>
                          <w:r w:rsidRPr="00FB2832">
                            <w:rPr>
                              <w:rFonts w:ascii="Times New Roman" w:hAnsi="Times New Roman" w:cs="David"/>
                              <w:b/>
                              <w:bCs/>
                              <w:color w:val="3333FF"/>
                              <w:sz w:val="26"/>
                              <w:szCs w:val="26"/>
                              <w:rtl/>
                            </w:rPr>
                            <w:t>מחלקת המחקר של הרשות השופטת</w:t>
                          </w:r>
                        </w:p>
                        <w:p w14:paraId="19EA9BD3" w14:textId="77777777" w:rsidR="000761E8" w:rsidRPr="001636D3" w:rsidRDefault="000761E8" w:rsidP="00594534">
                          <w:pPr>
                            <w:spacing w:line="240" w:lineRule="auto"/>
                            <w:jc w:val="center"/>
                            <w:rPr>
                              <w:rFonts w:ascii="Times New Roman" w:hAnsi="Times New Roman" w:cs="Times New Roman"/>
                              <w:b/>
                              <w:bCs/>
                              <w:color w:val="3333FF"/>
                              <w:rtl/>
                            </w:rPr>
                          </w:pPr>
                          <w:r w:rsidRPr="001636D3">
                            <w:rPr>
                              <w:rFonts w:ascii="Times New Roman" w:hAnsi="Times New Roman" w:cs="Times New Roman"/>
                              <w:b/>
                              <w:bCs/>
                              <w:color w:val="3333FF"/>
                            </w:rPr>
                            <w:t>The Israeli Courts Research Division</w:t>
                          </w:r>
                        </w:p>
                      </w:txbxContent>
                    </v:textbox>
                  </v:shape>
                </v:group>
              </v:group>
            </w:pict>
          </mc:Fallback>
        </mc:AlternateContent>
      </w:r>
      <w:r w:rsidRPr="00F25744">
        <w:rPr>
          <w:rFonts w:ascii="Times New Roman" w:hAnsi="Times New Roman" w:cs="David"/>
          <w:b/>
          <w:bCs/>
          <w:noProof/>
          <w:sz w:val="24"/>
          <w:szCs w:val="24"/>
          <w:u w:val="single"/>
          <w:rtl/>
        </w:rPr>
        <mc:AlternateContent>
          <mc:Choice Requires="wpg">
            <w:drawing>
              <wp:anchor distT="0" distB="0" distL="114300" distR="114300" simplePos="0" relativeHeight="251662336" behindDoc="0" locked="0" layoutInCell="1" allowOverlap="1" wp14:anchorId="3F3B3D35" wp14:editId="5EA7F4B1">
                <wp:simplePos x="0" y="0"/>
                <wp:positionH relativeFrom="column">
                  <wp:posOffset>4264660</wp:posOffset>
                </wp:positionH>
                <wp:positionV relativeFrom="paragraph">
                  <wp:posOffset>171450</wp:posOffset>
                </wp:positionV>
                <wp:extent cx="2470150" cy="9799320"/>
                <wp:effectExtent l="0" t="0" r="0" b="0"/>
                <wp:wrapNone/>
                <wp:docPr id="31" name="Group 9"/>
                <wp:cNvGraphicFramePr/>
                <a:graphic xmlns:a="http://schemas.openxmlformats.org/drawingml/2006/main">
                  <a:graphicData uri="http://schemas.microsoft.com/office/word/2010/wordprocessingGroup">
                    <wpg:wgp>
                      <wpg:cNvGrpSpPr/>
                      <wpg:grpSpPr>
                        <a:xfrm>
                          <a:off x="0" y="0"/>
                          <a:ext cx="2470150" cy="9799320"/>
                          <a:chOff x="3990" y="1365"/>
                          <a:chExt cx="3890" cy="15432"/>
                        </a:xfrm>
                      </wpg:grpSpPr>
                      <wpg:grpSp>
                        <wpg:cNvPr id="32" name="Group 10"/>
                        <wpg:cNvGrpSpPr/>
                        <wpg:grpSpPr>
                          <a:xfrm>
                            <a:off x="4091" y="1365"/>
                            <a:ext cx="3719" cy="15432"/>
                            <a:chOff x="4091" y="1365"/>
                            <a:chExt cx="3719" cy="15432"/>
                          </a:xfrm>
                        </wpg:grpSpPr>
                        <wps:wsp>
                          <wps:cNvPr id="33" name="Rectangle 11"/>
                          <wps:cNvSpPr>
                            <a:spLocks noChangeArrowheads="1"/>
                          </wps:cNvSpPr>
                          <wps:spPr bwMode="auto">
                            <a:xfrm>
                              <a:off x="4091" y="1365"/>
                              <a:ext cx="3719" cy="15432"/>
                            </a:xfrm>
                            <a:prstGeom prst="rect">
                              <a:avLst/>
                            </a:prstGeom>
                            <a:gradFill rotWithShape="1">
                              <a:gsLst>
                                <a:gs pos="0">
                                  <a:srgbClr val="FFFFFF"/>
                                </a:gs>
                                <a:gs pos="100000">
                                  <a:srgbClr val="CCCCFF"/>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34" name="תיבת טקסט 2"/>
                          <wps:cNvSpPr txBox="1">
                            <a:spLocks noChangeArrowheads="1"/>
                          </wps:cNvSpPr>
                          <wps:spPr bwMode="auto">
                            <a:xfrm flipH="1">
                              <a:off x="4311" y="14985"/>
                              <a:ext cx="3497" cy="14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4310E89B" w14:textId="77777777" w:rsidR="000761E8" w:rsidRPr="00891FC7" w:rsidRDefault="000761E8" w:rsidP="00594534">
                                <w:pPr>
                                  <w:spacing w:after="0" w:line="240" w:lineRule="auto"/>
                                  <w:rPr>
                                    <w:rFonts w:ascii="Times New Roman" w:hAnsi="Times New Roman" w:cs="Times New Roman"/>
                                    <w:color w:val="3333FF"/>
                                    <w:sz w:val="24"/>
                                    <w:szCs w:val="24"/>
                                    <w:rtl/>
                                  </w:rPr>
                                </w:pPr>
                                <w:r w:rsidRPr="00891FC7">
                                  <w:rPr>
                                    <w:rFonts w:ascii="Times New Roman" w:hAnsi="Times New Roman" w:cs="Times New Roman" w:hint="cs"/>
                                    <w:color w:val="3333FF"/>
                                    <w:sz w:val="24"/>
                                    <w:szCs w:val="24"/>
                                    <w:rtl/>
                                  </w:rPr>
                                  <w:t>בית המשפט העליון</w:t>
                                </w:r>
                              </w:p>
                              <w:p w14:paraId="7AB85C72" w14:textId="77777777" w:rsidR="000761E8" w:rsidRPr="00891FC7" w:rsidRDefault="000761E8" w:rsidP="00594534">
                                <w:pPr>
                                  <w:spacing w:after="0" w:line="240" w:lineRule="auto"/>
                                  <w:rPr>
                                    <w:rFonts w:ascii="Times New Roman" w:hAnsi="Times New Roman" w:cs="Times New Roman"/>
                                    <w:color w:val="3333FF"/>
                                    <w:sz w:val="24"/>
                                    <w:szCs w:val="24"/>
                                    <w:rtl/>
                                  </w:rPr>
                                </w:pPr>
                                <w:r w:rsidRPr="00891FC7">
                                  <w:rPr>
                                    <w:rFonts w:ascii="Times New Roman" w:hAnsi="Times New Roman" w:cs="Times New Roman" w:hint="cs"/>
                                    <w:color w:val="3333FF"/>
                                    <w:sz w:val="24"/>
                                    <w:szCs w:val="24"/>
                                    <w:rtl/>
                                  </w:rPr>
                                  <w:t xml:space="preserve">רח' שערי משפט, ירושלים </w:t>
                                </w:r>
                                <w:r w:rsidRPr="00891FC7">
                                  <w:rPr>
                                    <w:rFonts w:ascii="Times New Roman" w:hAnsi="Times New Roman" w:cs="Times New Roman"/>
                                    <w:color w:val="3333FF"/>
                                    <w:sz w:val="24"/>
                                    <w:szCs w:val="24"/>
                                    <w:rtl/>
                                  </w:rPr>
                                  <w:t>9195001</w:t>
                                </w:r>
                              </w:p>
                              <w:p w14:paraId="0DBF6EF6" w14:textId="77777777" w:rsidR="000761E8" w:rsidRPr="00891FC7" w:rsidRDefault="000761E8" w:rsidP="00594534">
                                <w:pPr>
                                  <w:spacing w:after="0" w:line="240" w:lineRule="auto"/>
                                  <w:jc w:val="right"/>
                                  <w:rPr>
                                    <w:rFonts w:ascii="Times New Roman" w:hAnsi="Times New Roman" w:cs="Times New Roman"/>
                                    <w:color w:val="3333FF"/>
                                    <w:sz w:val="24"/>
                                    <w:szCs w:val="24"/>
                                    <w:rtl/>
                                  </w:rPr>
                                </w:pPr>
                                <w:r w:rsidRPr="00891FC7">
                                  <w:rPr>
                                    <w:rFonts w:ascii="Times New Roman" w:hAnsi="Times New Roman" w:cs="Times New Roman"/>
                                    <w:color w:val="3333FF"/>
                                    <w:sz w:val="24"/>
                                    <w:szCs w:val="24"/>
                                  </w:rPr>
                                  <w:t>www.gov.il/he/Departments/the_israeli_courts_research_division</w:t>
                                </w:r>
                              </w:p>
                              <w:p w14:paraId="04109C6D" w14:textId="77777777" w:rsidR="000761E8" w:rsidRPr="00891FC7" w:rsidRDefault="000761E8" w:rsidP="00594534">
                                <w:pPr>
                                  <w:spacing w:after="0" w:line="240" w:lineRule="auto"/>
                                  <w:rPr>
                                    <w:rFonts w:ascii="Times New Roman" w:hAnsi="Times New Roman" w:cs="Times New Roman"/>
                                    <w:color w:val="3333FF"/>
                                    <w:sz w:val="20"/>
                                    <w:szCs w:val="20"/>
                                    <w:rtl/>
                                  </w:rPr>
                                </w:pPr>
                              </w:p>
                            </w:txbxContent>
                          </wps:txbx>
                          <wps:bodyPr rot="0" vert="horz" wrap="square" anchor="t" anchorCtr="0" upright="1">
                            <a:spAutoFit/>
                          </wps:bodyPr>
                        </wps:wsp>
                      </wpg:grpSp>
                      <wpg:grpSp>
                        <wpg:cNvPr id="35" name="Group 13"/>
                        <wpg:cNvGrpSpPr/>
                        <wpg:grpSpPr>
                          <a:xfrm>
                            <a:off x="3990" y="2609"/>
                            <a:ext cx="3890" cy="2120"/>
                            <a:chOff x="3990" y="2609"/>
                            <a:chExt cx="3890" cy="2120"/>
                          </a:xfrm>
                        </wpg:grpSpPr>
                        <pic:pic xmlns:pic="http://schemas.openxmlformats.org/drawingml/2006/picture">
                          <pic:nvPicPr>
                            <pic:cNvPr id="36" name="irc_mi" descr="Image result for ‫סמל המדינה‬‎"/>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5532" y="2609"/>
                              <a:ext cx="873" cy="10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7" name="תיבת טקסט 2"/>
                          <wps:cNvSpPr txBox="1">
                            <a:spLocks noChangeArrowheads="1"/>
                          </wps:cNvSpPr>
                          <wps:spPr bwMode="auto">
                            <a:xfrm flipH="1">
                              <a:off x="3990" y="3690"/>
                              <a:ext cx="3890" cy="10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1CBB04FB" w14:textId="77777777" w:rsidR="000761E8" w:rsidRPr="001636D3" w:rsidRDefault="000761E8" w:rsidP="00594534">
                                <w:pPr>
                                  <w:spacing w:line="240" w:lineRule="auto"/>
                                  <w:jc w:val="center"/>
                                  <w:rPr>
                                    <w:rFonts w:ascii="Times New Roman" w:hAnsi="Times New Roman" w:cs="Times New Roman"/>
                                    <w:b/>
                                    <w:bCs/>
                                    <w:color w:val="3333FF"/>
                                    <w:sz w:val="28"/>
                                    <w:szCs w:val="28"/>
                                    <w:rtl/>
                                    <w:cs/>
                                  </w:rPr>
                                </w:pPr>
                                <w:r w:rsidRPr="001636D3">
                                  <w:rPr>
                                    <w:rFonts w:ascii="Times New Roman" w:hAnsi="Times New Roman" w:cs="Times New Roman"/>
                                    <w:b/>
                                    <w:bCs/>
                                    <w:color w:val="3333FF"/>
                                    <w:sz w:val="28"/>
                                    <w:szCs w:val="28"/>
                                    <w:rtl/>
                                  </w:rPr>
                                  <w:t>מחלקת המחקר של הרשות השופטת</w:t>
                                </w:r>
                              </w:p>
                              <w:p w14:paraId="4DBAD837" w14:textId="77777777" w:rsidR="000761E8" w:rsidRPr="001636D3" w:rsidRDefault="000761E8" w:rsidP="00594534">
                                <w:pPr>
                                  <w:spacing w:line="240" w:lineRule="auto"/>
                                  <w:jc w:val="center"/>
                                  <w:rPr>
                                    <w:rFonts w:ascii="Times New Roman" w:hAnsi="Times New Roman" w:cs="Times New Roman"/>
                                    <w:b/>
                                    <w:bCs/>
                                    <w:color w:val="3333FF"/>
                                    <w:rtl/>
                                  </w:rPr>
                                </w:pPr>
                                <w:r w:rsidRPr="001636D3">
                                  <w:rPr>
                                    <w:rFonts w:ascii="Times New Roman" w:hAnsi="Times New Roman" w:cs="Times New Roman"/>
                                    <w:b/>
                                    <w:bCs/>
                                    <w:color w:val="3333FF"/>
                                  </w:rPr>
                                  <w:t>The Israeli Courts Research Division</w:t>
                                </w:r>
                              </w:p>
                            </w:txbxContent>
                          </wps:txbx>
                          <wps:bodyPr rot="0" vert="horz" wrap="square" anchor="t" anchorCtr="0" upright="1">
                            <a:spAutoFit/>
                          </wps:bodyPr>
                        </wps:wsp>
                      </wpg:grpSp>
                    </wpg:wgp>
                  </a:graphicData>
                </a:graphic>
                <wp14:sizeRelH relativeFrom="page">
                  <wp14:pctWidth>0</wp14:pctWidth>
                </wp14:sizeRelH>
                <wp14:sizeRelV relativeFrom="page">
                  <wp14:pctHeight>0</wp14:pctHeight>
                </wp14:sizeRelV>
              </wp:anchor>
            </w:drawing>
          </mc:Choice>
          <mc:Fallback>
            <w:pict>
              <v:group w14:anchorId="3F3B3D35" id="Group 9" o:spid="_x0000_s1034" style="position:absolute;left:0;text-align:left;margin-left:335.8pt;margin-top:13.5pt;width:194.5pt;height:771.6pt;z-index:251662336" coordorigin="3990,1365" coordsize="3890,154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">
                <v:group id="Group 10" o:spid="_x0000_s1035" style="position:absolute;left:4091;top:1365;width:3719;height:15432" coordorigin="4091,1365" coordsize="3719,15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rect id="Rectangle 11" o:spid="_x0000_s1036" style="position:absolute;left:4091;top:1365;width:3719;height:15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" stroked="f">
                    <v:fill color2="#ccf" rotate="t" focus="100%" type="gradient"/>
                  </v:rect>
                  <v:shape id="_x0000_s1037" type="#_x0000_t202" style="position:absolute;left:4311;top:14985;width:3497;height:147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" filled="f" stroked="f" strokecolor="white">
                    <v:textbox style="mso-fit-shape-to-text:t">
                      <w:txbxContent>
                        <w:p w14:paraId="4310E89B" w14:textId="77777777" w:rsidR="000761E8" w:rsidRPr="00891FC7" w:rsidRDefault="000761E8" w:rsidP="00594534">
                          <w:pPr>
                            <w:spacing w:after="0" w:line="240" w:lineRule="auto"/>
                            <w:rPr>
                              <w:rFonts w:ascii="Times New Roman" w:hAnsi="Times New Roman" w:cs="Times New Roman"/>
                              <w:color w:val="3333FF"/>
                              <w:sz w:val="24"/>
                              <w:szCs w:val="24"/>
                              <w:rtl/>
                            </w:rPr>
                          </w:pPr>
                          <w:r w:rsidRPr="00891FC7">
                            <w:rPr>
                              <w:rFonts w:ascii="Times New Roman" w:hAnsi="Times New Roman" w:cs="Times New Roman" w:hint="cs"/>
                              <w:color w:val="3333FF"/>
                              <w:sz w:val="24"/>
                              <w:szCs w:val="24"/>
                              <w:rtl/>
                            </w:rPr>
                            <w:t>בית המשפט העליון</w:t>
                          </w:r>
                        </w:p>
                        <w:p w14:paraId="7AB85C72" w14:textId="77777777" w:rsidR="000761E8" w:rsidRPr="00891FC7" w:rsidRDefault="000761E8" w:rsidP="00594534">
                          <w:pPr>
                            <w:spacing w:after="0" w:line="240" w:lineRule="auto"/>
                            <w:rPr>
                              <w:rFonts w:ascii="Times New Roman" w:hAnsi="Times New Roman" w:cs="Times New Roman"/>
                              <w:color w:val="3333FF"/>
                              <w:sz w:val="24"/>
                              <w:szCs w:val="24"/>
                              <w:rtl/>
                            </w:rPr>
                          </w:pPr>
                          <w:r w:rsidRPr="00891FC7">
                            <w:rPr>
                              <w:rFonts w:ascii="Times New Roman" w:hAnsi="Times New Roman" w:cs="Times New Roman" w:hint="cs"/>
                              <w:color w:val="3333FF"/>
                              <w:sz w:val="24"/>
                              <w:szCs w:val="24"/>
                              <w:rtl/>
                            </w:rPr>
                            <w:t xml:space="preserve">רח' שערי משפט, ירושלים </w:t>
                          </w:r>
                          <w:r w:rsidRPr="00891FC7">
                            <w:rPr>
                              <w:rFonts w:ascii="Times New Roman" w:hAnsi="Times New Roman" w:cs="Times New Roman"/>
                              <w:color w:val="3333FF"/>
                              <w:sz w:val="24"/>
                              <w:szCs w:val="24"/>
                              <w:rtl/>
                            </w:rPr>
                            <w:t>9195001</w:t>
                          </w:r>
                        </w:p>
                        <w:p w14:paraId="0DBF6EF6" w14:textId="77777777" w:rsidR="000761E8" w:rsidRPr="00891FC7" w:rsidRDefault="000761E8" w:rsidP="00594534">
                          <w:pPr>
                            <w:spacing w:after="0" w:line="240" w:lineRule="auto"/>
                            <w:jc w:val="right"/>
                            <w:rPr>
                              <w:rFonts w:ascii="Times New Roman" w:hAnsi="Times New Roman" w:cs="Times New Roman"/>
                              <w:color w:val="3333FF"/>
                              <w:sz w:val="24"/>
                              <w:szCs w:val="24"/>
                              <w:rtl/>
                            </w:rPr>
                          </w:pPr>
                          <w:r w:rsidRPr="00891FC7">
                            <w:rPr>
                              <w:rFonts w:ascii="Times New Roman" w:hAnsi="Times New Roman" w:cs="Times New Roman"/>
                              <w:color w:val="3333FF"/>
                              <w:sz w:val="24"/>
                              <w:szCs w:val="24"/>
                            </w:rPr>
                            <w:t>www.gov.il/he/Departments/the_israeli_courts_research_division</w:t>
                          </w:r>
                        </w:p>
                        <w:p w14:paraId="04109C6D" w14:textId="77777777" w:rsidR="000761E8" w:rsidRPr="00891FC7" w:rsidRDefault="000761E8" w:rsidP="00594534">
                          <w:pPr>
                            <w:spacing w:after="0" w:line="240" w:lineRule="auto"/>
                            <w:rPr>
                              <w:rFonts w:ascii="Times New Roman" w:hAnsi="Times New Roman" w:cs="Times New Roman"/>
                              <w:color w:val="3333FF"/>
                              <w:sz w:val="20"/>
                              <w:szCs w:val="20"/>
                              <w:rtl/>
                            </w:rPr>
                          </w:pPr>
                        </w:p>
                      </w:txbxContent>
                    </v:textbox>
                  </v:shape>
                </v:group>
                <v:group id="Group 13" o:spid="_x0000_s1038" style="position:absolute;left:3990;top:2609;width:3890;height:2120" coordorigin="3990,2609" coordsize="38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irc_mi" o:spid="_x0000_s1039" type="#_x0000_t75" alt="Image result for ‫סמל המדינה‬‎" style="position:absolute;left:5532;top:2609;width:873;height:1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">
                    <v:imagedata r:id="rId9" o:title="Image result for ‫סמל המדינה‬‎"/>
                  </v:shape>
                  <v:shape id="_x0000_s1040" type="#_x0000_t202" style="position:absolute;left:3990;top:3690;width:3890;height:1039;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" filled="f" stroked="f" strokecolor="white">
                    <v:textbox style="mso-fit-shape-to-text:t">
                      <w:txbxContent>
                        <w:p w14:paraId="1CBB04FB" w14:textId="77777777" w:rsidR="000761E8" w:rsidRPr="001636D3" w:rsidRDefault="000761E8" w:rsidP="00594534">
                          <w:pPr>
                            <w:spacing w:line="240" w:lineRule="auto"/>
                            <w:jc w:val="center"/>
                            <w:rPr>
                              <w:rFonts w:ascii="Times New Roman" w:hAnsi="Times New Roman" w:cs="Times New Roman"/>
                              <w:b/>
                              <w:bCs/>
                              <w:color w:val="3333FF"/>
                              <w:sz w:val="28"/>
                              <w:szCs w:val="28"/>
                              <w:rtl/>
                              <w:cs/>
                            </w:rPr>
                          </w:pPr>
                          <w:r w:rsidRPr="001636D3">
                            <w:rPr>
                              <w:rFonts w:ascii="Times New Roman" w:hAnsi="Times New Roman" w:cs="Times New Roman"/>
                              <w:b/>
                              <w:bCs/>
                              <w:color w:val="3333FF"/>
                              <w:sz w:val="28"/>
                              <w:szCs w:val="28"/>
                              <w:rtl/>
                            </w:rPr>
                            <w:t>מחלקת המחקר של הרשות השופטת</w:t>
                          </w:r>
                        </w:p>
                        <w:p w14:paraId="4DBAD837" w14:textId="77777777" w:rsidR="000761E8" w:rsidRPr="001636D3" w:rsidRDefault="000761E8" w:rsidP="00594534">
                          <w:pPr>
                            <w:spacing w:line="240" w:lineRule="auto"/>
                            <w:jc w:val="center"/>
                            <w:rPr>
                              <w:rFonts w:ascii="Times New Roman" w:hAnsi="Times New Roman" w:cs="Times New Roman"/>
                              <w:b/>
                              <w:bCs/>
                              <w:color w:val="3333FF"/>
                              <w:rtl/>
                            </w:rPr>
                          </w:pPr>
                          <w:r w:rsidRPr="001636D3">
                            <w:rPr>
                              <w:rFonts w:ascii="Times New Roman" w:hAnsi="Times New Roman" w:cs="Times New Roman"/>
                              <w:b/>
                              <w:bCs/>
                              <w:color w:val="3333FF"/>
                            </w:rPr>
                            <w:t>The Israeli Courts Research Division</w:t>
                          </w:r>
                        </w:p>
                      </w:txbxContent>
                    </v:textbox>
                  </v:shape>
                </v:group>
              </v:group>
            </w:pict>
          </mc:Fallback>
        </mc:AlternateContent>
      </w:r>
      <w:r w:rsidRPr="00F25744">
        <w:rPr>
          <w:noProof/>
          <w:rtl/>
        </w:rPr>
        <mc:AlternateContent>
          <mc:Choice Requires="wps">
            <w:drawing>
              <wp:anchor distT="0" distB="0" distL="114300" distR="114300" simplePos="0" relativeHeight="251660288" behindDoc="0" locked="0" layoutInCell="1" allowOverlap="1" wp14:anchorId="6C630D5B" wp14:editId="2F043AD8">
                <wp:simplePos x="0" y="0"/>
                <wp:positionH relativeFrom="page">
                  <wp:posOffset>167005</wp:posOffset>
                </wp:positionH>
                <wp:positionV relativeFrom="paragraph">
                  <wp:posOffset>9235440</wp:posOffset>
                </wp:positionV>
                <wp:extent cx="4554855" cy="523875"/>
                <wp:effectExtent l="0" t="3175" r="2540" b="0"/>
                <wp:wrapNone/>
                <wp:docPr id="30"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4855"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AB007" w14:textId="77777777" w:rsidR="000761E8" w:rsidRPr="00FC6C3C" w:rsidRDefault="000761E8" w:rsidP="00594534">
                            <w:pPr>
                              <w:rPr>
                                <w:rFonts w:cs="David"/>
                                <w:b/>
                                <w:bCs/>
                                <w:sz w:val="26"/>
                                <w:szCs w:val="26"/>
                                <w:u w:val="single"/>
                                <w:rtl/>
                              </w:rPr>
                            </w:pPr>
                            <w:r>
                              <w:rPr>
                                <w:rFonts w:cs="David" w:hint="cs"/>
                                <w:b/>
                                <w:bCs/>
                                <w:sz w:val="28"/>
                                <w:szCs w:val="28"/>
                                <w:rtl/>
                              </w:rPr>
                              <w:t>ד"ר גלי אביב ועו"ד דליה ארנטל</w:t>
                            </w:r>
                            <w:r>
                              <w:rPr>
                                <w:rFonts w:cs="David"/>
                                <w:b/>
                                <w:bCs/>
                                <w:sz w:val="28"/>
                                <w:szCs w:val="28"/>
                                <w:rtl/>
                              </w:rPr>
                              <w:tab/>
                            </w:r>
                            <w:r>
                              <w:rPr>
                                <w:rFonts w:cs="David"/>
                                <w:b/>
                                <w:bCs/>
                                <w:sz w:val="28"/>
                                <w:szCs w:val="28"/>
                                <w:rtl/>
                              </w:rPr>
                              <w:tab/>
                            </w:r>
                            <w:r>
                              <w:rPr>
                                <w:rFonts w:cs="David" w:hint="cs"/>
                                <w:b/>
                                <w:bCs/>
                                <w:sz w:val="28"/>
                                <w:szCs w:val="28"/>
                                <w:rtl/>
                              </w:rPr>
                              <w:t xml:space="preserve"> דצמבר 2019</w:t>
                            </w:r>
                            <w:r>
                              <w:rPr>
                                <w:rFonts w:cs="David"/>
                                <w:b/>
                                <w:bCs/>
                                <w:sz w:val="28"/>
                                <w:szCs w:val="28"/>
                                <w:rtl/>
                              </w:rPr>
                              <w:t xml:space="preserve">   </w:t>
                            </w:r>
                            <w:r>
                              <w:rPr>
                                <w:rFonts w:cs="David"/>
                                <w:b/>
                                <w:bCs/>
                                <w:sz w:val="26"/>
                                <w:szCs w:val="26"/>
                                <w:u w:val="single"/>
                                <w:rtl/>
                              </w:rPr>
                              <w:t>_____________________________</w:t>
                            </w:r>
                            <w:r w:rsidRPr="00FC6C3C">
                              <w:rPr>
                                <w:rFonts w:cs="David"/>
                                <w:b/>
                                <w:bCs/>
                                <w:sz w:val="26"/>
                                <w:szCs w:val="26"/>
                                <w:u w:val="single"/>
                                <w:rtl/>
                              </w:rPr>
                              <w:t>______</w:t>
                            </w:r>
                            <w:r>
                              <w:rPr>
                                <w:rFonts w:cs="David"/>
                                <w:b/>
                                <w:bCs/>
                                <w:sz w:val="26"/>
                                <w:szCs w:val="26"/>
                                <w:u w:val="single"/>
                                <w:rtl/>
                              </w:rPr>
                              <w:t>___</w:t>
                            </w:r>
                            <w:r w:rsidRPr="00FC6C3C">
                              <w:rPr>
                                <w:rFonts w:cs="David"/>
                                <w:b/>
                                <w:bCs/>
                                <w:sz w:val="26"/>
                                <w:szCs w:val="26"/>
                                <w:u w:val="single"/>
                                <w:rtl/>
                              </w:rPr>
                              <w:t>___</w:t>
                            </w:r>
                            <w:r>
                              <w:rPr>
                                <w:rFonts w:cs="David" w:hint="cs"/>
                                <w:b/>
                                <w:bCs/>
                                <w:sz w:val="26"/>
                                <w:szCs w:val="26"/>
                                <w:u w:val="single"/>
                                <w:rtl/>
                              </w:rPr>
                              <w:t>________</w:t>
                            </w:r>
                            <w:r>
                              <w:rPr>
                                <w:rFonts w:cs="David"/>
                                <w:b/>
                                <w:bCs/>
                                <w:sz w:val="26"/>
                                <w:szCs w:val="26"/>
                                <w:u w:val="single"/>
                                <w:rtl/>
                              </w:rPr>
                              <w:t>_____</w:t>
                            </w:r>
                          </w:p>
                          <w:p w14:paraId="248FDFD3" w14:textId="77777777" w:rsidR="000761E8" w:rsidRPr="003E160A" w:rsidRDefault="000761E8" w:rsidP="00594534">
                            <w:pPr>
                              <w:spacing w:line="360" w:lineRule="auto"/>
                              <w:rPr>
                                <w:rFonts w:cs="David"/>
                                <w:b/>
                                <w:bCs/>
                                <w:sz w:val="28"/>
                                <w:szCs w:val="28"/>
                                <w:rtl/>
                              </w:rPr>
                            </w:pPr>
                            <w:r>
                              <w:rPr>
                                <w:rFonts w:cs="David" w:hint="cs"/>
                                <w:b/>
                                <w:bCs/>
                                <w:sz w:val="28"/>
                                <w:szCs w:val="28"/>
                                <w:rtl/>
                              </w:rPr>
                              <w:tab/>
                              <w:t xml:space="preserve">                    </w:t>
                            </w:r>
                            <w:r>
                              <w:rPr>
                                <w:rFonts w:cs="David"/>
                                <w:b/>
                                <w:bCs/>
                                <w:sz w:val="28"/>
                                <w:szCs w:val="28"/>
                                <w:rtl/>
                              </w:rPr>
                              <w:t xml:space="preserve"> </w:t>
                            </w:r>
                          </w:p>
                          <w:p w14:paraId="3E8A6EFB" w14:textId="77777777" w:rsidR="000761E8" w:rsidRPr="00FC6C3C" w:rsidRDefault="000761E8" w:rsidP="00594534">
                            <w:pPr>
                              <w:rPr>
                                <w:rFonts w:cs="David"/>
                                <w:b/>
                                <w:bCs/>
                                <w:sz w:val="26"/>
                                <w:szCs w:val="26"/>
                                <w:u w:val="single"/>
                                <w:rtl/>
                              </w:rPr>
                            </w:pPr>
                            <w:r>
                              <w:rPr>
                                <w:rFonts w:cs="David"/>
                                <w:b/>
                                <w:bCs/>
                                <w:sz w:val="26"/>
                                <w:szCs w:val="26"/>
                                <w:u w:val="single"/>
                                <w:rtl/>
                              </w:rPr>
                              <w:t>_____________________________</w:t>
                            </w:r>
                            <w:r w:rsidRPr="00FC6C3C">
                              <w:rPr>
                                <w:rFonts w:cs="David"/>
                                <w:b/>
                                <w:bCs/>
                                <w:sz w:val="26"/>
                                <w:szCs w:val="26"/>
                                <w:u w:val="single"/>
                                <w:rtl/>
                              </w:rPr>
                              <w:t>______</w:t>
                            </w:r>
                            <w:r>
                              <w:rPr>
                                <w:rFonts w:cs="David"/>
                                <w:b/>
                                <w:bCs/>
                                <w:sz w:val="26"/>
                                <w:szCs w:val="26"/>
                                <w:u w:val="single"/>
                                <w:rtl/>
                              </w:rPr>
                              <w:t>___</w:t>
                            </w:r>
                            <w:r w:rsidRPr="00FC6C3C">
                              <w:rPr>
                                <w:rFonts w:cs="David"/>
                                <w:b/>
                                <w:bCs/>
                                <w:sz w:val="26"/>
                                <w:szCs w:val="26"/>
                                <w:u w:val="single"/>
                                <w:rtl/>
                              </w:rPr>
                              <w:t>___</w:t>
                            </w:r>
                            <w:r>
                              <w:rPr>
                                <w:rFonts w:cs="David"/>
                                <w:b/>
                                <w:bCs/>
                                <w:sz w:val="26"/>
                                <w:szCs w:val="26"/>
                                <w:u w:val="single"/>
                                <w:rtl/>
                              </w:rPr>
                              <w:t>_____</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6C630D5B" id="תיבת טקסט 3" o:spid="_x0000_s1041" type="#_x0000_t202" style="position:absolute;left:0;text-align:left;margin-left:13.15pt;margin-top:727.2pt;width:358.65pt;height:41.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" filled="f" stroked="f">
                <v:textbox>
                  <w:txbxContent>
                    <w:p w14:paraId="358AB007" w14:textId="77777777" w:rsidR="000761E8" w:rsidRPr="00FC6C3C" w:rsidRDefault="000761E8" w:rsidP="00594534">
                      <w:pPr>
                        <w:rPr>
                          <w:rFonts w:cs="David"/>
                          <w:b/>
                          <w:bCs/>
                          <w:sz w:val="26"/>
                          <w:szCs w:val="26"/>
                          <w:u w:val="single"/>
                          <w:rtl/>
                        </w:rPr>
                      </w:pPr>
                      <w:r>
                        <w:rPr>
                          <w:rFonts w:cs="David" w:hint="cs"/>
                          <w:b/>
                          <w:bCs/>
                          <w:sz w:val="28"/>
                          <w:szCs w:val="28"/>
                          <w:rtl/>
                        </w:rPr>
                        <w:t>ד"ר גלי אביב ועו"ד דליה ארנטל</w:t>
                      </w:r>
                      <w:r>
                        <w:rPr>
                          <w:rFonts w:cs="David"/>
                          <w:b/>
                          <w:bCs/>
                          <w:sz w:val="28"/>
                          <w:szCs w:val="28"/>
                          <w:rtl/>
                        </w:rPr>
                        <w:tab/>
                      </w:r>
                      <w:r>
                        <w:rPr>
                          <w:rFonts w:cs="David"/>
                          <w:b/>
                          <w:bCs/>
                          <w:sz w:val="28"/>
                          <w:szCs w:val="28"/>
                          <w:rtl/>
                        </w:rPr>
                        <w:tab/>
                      </w:r>
                      <w:r>
                        <w:rPr>
                          <w:rFonts w:cs="David" w:hint="cs"/>
                          <w:b/>
                          <w:bCs/>
                          <w:sz w:val="28"/>
                          <w:szCs w:val="28"/>
                          <w:rtl/>
                        </w:rPr>
                        <w:t xml:space="preserve"> דצמבר 2019</w:t>
                      </w:r>
                      <w:r>
                        <w:rPr>
                          <w:rFonts w:cs="David"/>
                          <w:b/>
                          <w:bCs/>
                          <w:sz w:val="28"/>
                          <w:szCs w:val="28"/>
                          <w:rtl/>
                        </w:rPr>
                        <w:t xml:space="preserve">   </w:t>
                      </w:r>
                      <w:r>
                        <w:rPr>
                          <w:rFonts w:cs="David"/>
                          <w:b/>
                          <w:bCs/>
                          <w:sz w:val="26"/>
                          <w:szCs w:val="26"/>
                          <w:u w:val="single"/>
                          <w:rtl/>
                        </w:rPr>
                        <w:t>_____________________________</w:t>
                      </w:r>
                      <w:r w:rsidRPr="00FC6C3C">
                        <w:rPr>
                          <w:rFonts w:cs="David"/>
                          <w:b/>
                          <w:bCs/>
                          <w:sz w:val="26"/>
                          <w:szCs w:val="26"/>
                          <w:u w:val="single"/>
                          <w:rtl/>
                        </w:rPr>
                        <w:t>______</w:t>
                      </w:r>
                      <w:r>
                        <w:rPr>
                          <w:rFonts w:cs="David"/>
                          <w:b/>
                          <w:bCs/>
                          <w:sz w:val="26"/>
                          <w:szCs w:val="26"/>
                          <w:u w:val="single"/>
                          <w:rtl/>
                        </w:rPr>
                        <w:t>___</w:t>
                      </w:r>
                      <w:r w:rsidRPr="00FC6C3C">
                        <w:rPr>
                          <w:rFonts w:cs="David"/>
                          <w:b/>
                          <w:bCs/>
                          <w:sz w:val="26"/>
                          <w:szCs w:val="26"/>
                          <w:u w:val="single"/>
                          <w:rtl/>
                        </w:rPr>
                        <w:t>___</w:t>
                      </w:r>
                      <w:r>
                        <w:rPr>
                          <w:rFonts w:cs="David" w:hint="cs"/>
                          <w:b/>
                          <w:bCs/>
                          <w:sz w:val="26"/>
                          <w:szCs w:val="26"/>
                          <w:u w:val="single"/>
                          <w:rtl/>
                        </w:rPr>
                        <w:t>________</w:t>
                      </w:r>
                      <w:r>
                        <w:rPr>
                          <w:rFonts w:cs="David"/>
                          <w:b/>
                          <w:bCs/>
                          <w:sz w:val="26"/>
                          <w:szCs w:val="26"/>
                          <w:u w:val="single"/>
                          <w:rtl/>
                        </w:rPr>
                        <w:t>_____</w:t>
                      </w:r>
                    </w:p>
                    <w:p w14:paraId="248FDFD3" w14:textId="77777777" w:rsidR="000761E8" w:rsidRPr="003E160A" w:rsidRDefault="000761E8" w:rsidP="00594534">
                      <w:pPr>
                        <w:spacing w:line="360" w:lineRule="auto"/>
                        <w:rPr>
                          <w:rFonts w:cs="David"/>
                          <w:b/>
                          <w:bCs/>
                          <w:sz w:val="28"/>
                          <w:szCs w:val="28"/>
                          <w:rtl/>
                        </w:rPr>
                      </w:pPr>
                      <w:r>
                        <w:rPr>
                          <w:rFonts w:cs="David" w:hint="cs"/>
                          <w:b/>
                          <w:bCs/>
                          <w:sz w:val="28"/>
                          <w:szCs w:val="28"/>
                          <w:rtl/>
                        </w:rPr>
                        <w:tab/>
                        <w:t xml:space="preserve">                    </w:t>
                      </w:r>
                      <w:r>
                        <w:rPr>
                          <w:rFonts w:cs="David"/>
                          <w:b/>
                          <w:bCs/>
                          <w:sz w:val="28"/>
                          <w:szCs w:val="28"/>
                          <w:rtl/>
                        </w:rPr>
                        <w:t xml:space="preserve"> </w:t>
                      </w:r>
                    </w:p>
                    <w:p w14:paraId="3E8A6EFB" w14:textId="77777777" w:rsidR="000761E8" w:rsidRPr="00FC6C3C" w:rsidRDefault="000761E8" w:rsidP="00594534">
                      <w:pPr>
                        <w:rPr>
                          <w:rFonts w:cs="David"/>
                          <w:b/>
                          <w:bCs/>
                          <w:sz w:val="26"/>
                          <w:szCs w:val="26"/>
                          <w:u w:val="single"/>
                          <w:rtl/>
                        </w:rPr>
                      </w:pPr>
                      <w:r>
                        <w:rPr>
                          <w:rFonts w:cs="David"/>
                          <w:b/>
                          <w:bCs/>
                          <w:sz w:val="26"/>
                          <w:szCs w:val="26"/>
                          <w:u w:val="single"/>
                          <w:rtl/>
                        </w:rPr>
                        <w:t>_____________________________</w:t>
                      </w:r>
                      <w:r w:rsidRPr="00FC6C3C">
                        <w:rPr>
                          <w:rFonts w:cs="David"/>
                          <w:b/>
                          <w:bCs/>
                          <w:sz w:val="26"/>
                          <w:szCs w:val="26"/>
                          <w:u w:val="single"/>
                          <w:rtl/>
                        </w:rPr>
                        <w:t>______</w:t>
                      </w:r>
                      <w:r>
                        <w:rPr>
                          <w:rFonts w:cs="David"/>
                          <w:b/>
                          <w:bCs/>
                          <w:sz w:val="26"/>
                          <w:szCs w:val="26"/>
                          <w:u w:val="single"/>
                          <w:rtl/>
                        </w:rPr>
                        <w:t>___</w:t>
                      </w:r>
                      <w:r w:rsidRPr="00FC6C3C">
                        <w:rPr>
                          <w:rFonts w:cs="David"/>
                          <w:b/>
                          <w:bCs/>
                          <w:sz w:val="26"/>
                          <w:szCs w:val="26"/>
                          <w:u w:val="single"/>
                          <w:rtl/>
                        </w:rPr>
                        <w:t>___</w:t>
                      </w:r>
                      <w:r>
                        <w:rPr>
                          <w:rFonts w:cs="David"/>
                          <w:b/>
                          <w:bCs/>
                          <w:sz w:val="26"/>
                          <w:szCs w:val="26"/>
                          <w:u w:val="single"/>
                          <w:rtl/>
                        </w:rPr>
                        <w:t>_____</w:t>
                      </w:r>
                    </w:p>
                  </w:txbxContent>
                </v:textbox>
                <w10:wrap anchorx="page"/>
              </v:shape>
            </w:pict>
          </mc:Fallback>
        </mc:AlternateContent>
      </w:r>
    </w:p>
    <w:p w14:paraId="2F698EAE" w14:textId="77777777" w:rsidR="00594534" w:rsidRPr="00F25744" w:rsidRDefault="00E25AE7" w:rsidP="00594534">
      <w:pPr>
        <w:spacing w:after="0" w:line="360" w:lineRule="auto"/>
        <w:rPr>
          <w:rFonts w:ascii="Times New Roman" w:hAnsi="Times New Roman" w:cs="David"/>
          <w:b/>
          <w:bCs/>
          <w:sz w:val="24"/>
          <w:szCs w:val="24"/>
          <w:u w:val="single"/>
          <w:rtl/>
        </w:rPr>
        <w:sectPr w:rsidR="00594534" w:rsidRPr="00F25744" w:rsidSect="006A11FB">
          <w:headerReference w:type="even" r:id="rId10"/>
          <w:headerReference w:type="default" r:id="rId11"/>
          <w:footerReference w:type="even" r:id="rId12"/>
          <w:footerReference w:type="default" r:id="rId13"/>
          <w:pgSz w:w="11906" w:h="16838"/>
          <w:pgMar w:top="720" w:right="720" w:bottom="720" w:left="720" w:header="708" w:footer="708" w:gutter="0"/>
          <w:cols w:space="708"/>
          <w:titlePg/>
          <w:docGrid w:linePitch="360"/>
        </w:sectPr>
      </w:pPr>
      <w:r w:rsidRPr="00F25744">
        <w:rPr>
          <w:rFonts w:ascii="Times New Roman" w:hAnsi="Times New Roman" w:cs="David"/>
          <w:b/>
          <w:bCs/>
          <w:noProof/>
          <w:sz w:val="24"/>
          <w:szCs w:val="24"/>
          <w:u w:val="single"/>
          <w:rtl/>
        </w:rPr>
        <mc:AlternateContent>
          <mc:Choice Requires="wps">
            <w:drawing>
              <wp:anchor distT="0" distB="0" distL="114300" distR="114300" simplePos="0" relativeHeight="251666432" behindDoc="0" locked="0" layoutInCell="1" allowOverlap="1" wp14:anchorId="505241C4" wp14:editId="7EB1D91C">
                <wp:simplePos x="0" y="0"/>
                <wp:positionH relativeFrom="page">
                  <wp:posOffset>167005</wp:posOffset>
                </wp:positionH>
                <wp:positionV relativeFrom="paragraph">
                  <wp:posOffset>6793865</wp:posOffset>
                </wp:positionV>
                <wp:extent cx="4554855" cy="523875"/>
                <wp:effectExtent l="0" t="0" r="2540" b="635"/>
                <wp:wrapNone/>
                <wp:docPr id="29"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4855"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CE7510" w14:textId="4C71014A" w:rsidR="000761E8" w:rsidRPr="00FC6C3C" w:rsidRDefault="000761E8" w:rsidP="00103004">
                            <w:pPr>
                              <w:rPr>
                                <w:rFonts w:cs="David"/>
                                <w:b/>
                                <w:bCs/>
                                <w:sz w:val="26"/>
                                <w:szCs w:val="26"/>
                                <w:u w:val="single"/>
                                <w:rtl/>
                              </w:rPr>
                            </w:pPr>
                            <w:r w:rsidRPr="00E10411">
                              <w:rPr>
                                <w:rFonts w:cs="David" w:hint="cs"/>
                                <w:b/>
                                <w:bCs/>
                                <w:sz w:val="36"/>
                                <w:szCs w:val="36"/>
                                <w:rtl/>
                              </w:rPr>
                              <w:t>ד"ר גלי אביב ועו"ד דליה ארנטל</w:t>
                            </w:r>
                            <w:r w:rsidRPr="00E10411">
                              <w:rPr>
                                <w:rFonts w:cs="David"/>
                                <w:b/>
                                <w:bCs/>
                                <w:sz w:val="36"/>
                                <w:szCs w:val="36"/>
                                <w:rtl/>
                              </w:rPr>
                              <w:tab/>
                            </w:r>
                            <w:r w:rsidRPr="00E10411">
                              <w:rPr>
                                <w:rFonts w:cs="David"/>
                                <w:b/>
                                <w:bCs/>
                                <w:sz w:val="36"/>
                                <w:szCs w:val="36"/>
                                <w:rtl/>
                              </w:rPr>
                              <w:tab/>
                            </w:r>
                            <w:r w:rsidRPr="00E10411">
                              <w:rPr>
                                <w:rFonts w:cs="David" w:hint="cs"/>
                                <w:b/>
                                <w:bCs/>
                                <w:sz w:val="36"/>
                                <w:szCs w:val="36"/>
                                <w:rtl/>
                              </w:rPr>
                              <w:t xml:space="preserve">      </w:t>
                            </w:r>
                            <w:r>
                              <w:rPr>
                                <w:rFonts w:cs="David" w:hint="cs"/>
                                <w:b/>
                                <w:bCs/>
                                <w:sz w:val="36"/>
                                <w:szCs w:val="36"/>
                                <w:rtl/>
                              </w:rPr>
                              <w:t>יולי</w:t>
                            </w:r>
                            <w:r w:rsidRPr="00E10411">
                              <w:rPr>
                                <w:rFonts w:cs="David" w:hint="cs"/>
                                <w:b/>
                                <w:bCs/>
                                <w:sz w:val="36"/>
                                <w:szCs w:val="36"/>
                                <w:rtl/>
                              </w:rPr>
                              <w:t xml:space="preserve"> 2021</w:t>
                            </w:r>
                            <w:r w:rsidRPr="00E10411">
                              <w:rPr>
                                <w:rFonts w:cs="David"/>
                                <w:b/>
                                <w:bCs/>
                                <w:sz w:val="32"/>
                                <w:szCs w:val="32"/>
                                <w:rtl/>
                              </w:rPr>
                              <w:t xml:space="preserve">   </w:t>
                            </w:r>
                            <w:r>
                              <w:rPr>
                                <w:rFonts w:cs="David"/>
                                <w:b/>
                                <w:bCs/>
                                <w:sz w:val="26"/>
                                <w:szCs w:val="26"/>
                                <w:u w:val="single"/>
                                <w:rtl/>
                              </w:rPr>
                              <w:t>_____________________________</w:t>
                            </w:r>
                            <w:r w:rsidRPr="00FC6C3C">
                              <w:rPr>
                                <w:rFonts w:cs="David"/>
                                <w:b/>
                                <w:bCs/>
                                <w:sz w:val="26"/>
                                <w:szCs w:val="26"/>
                                <w:u w:val="single"/>
                                <w:rtl/>
                              </w:rPr>
                              <w:t>______</w:t>
                            </w:r>
                            <w:r>
                              <w:rPr>
                                <w:rFonts w:cs="David"/>
                                <w:b/>
                                <w:bCs/>
                                <w:sz w:val="26"/>
                                <w:szCs w:val="26"/>
                                <w:u w:val="single"/>
                                <w:rtl/>
                              </w:rPr>
                              <w:t>___</w:t>
                            </w:r>
                            <w:r w:rsidRPr="00FC6C3C">
                              <w:rPr>
                                <w:rFonts w:cs="David"/>
                                <w:b/>
                                <w:bCs/>
                                <w:sz w:val="26"/>
                                <w:szCs w:val="26"/>
                                <w:u w:val="single"/>
                                <w:rtl/>
                              </w:rPr>
                              <w:t>___</w:t>
                            </w:r>
                            <w:r>
                              <w:rPr>
                                <w:rFonts w:cs="David" w:hint="cs"/>
                                <w:b/>
                                <w:bCs/>
                                <w:sz w:val="26"/>
                                <w:szCs w:val="26"/>
                                <w:u w:val="single"/>
                                <w:rtl/>
                              </w:rPr>
                              <w:t>________</w:t>
                            </w:r>
                            <w:r>
                              <w:rPr>
                                <w:rFonts w:cs="David"/>
                                <w:b/>
                                <w:bCs/>
                                <w:sz w:val="26"/>
                                <w:szCs w:val="26"/>
                                <w:u w:val="single"/>
                                <w:rtl/>
                              </w:rPr>
                              <w:t>_____</w:t>
                            </w:r>
                          </w:p>
                          <w:p w14:paraId="496DC333" w14:textId="77777777" w:rsidR="000761E8" w:rsidRPr="003E160A" w:rsidRDefault="000761E8" w:rsidP="00594534">
                            <w:pPr>
                              <w:spacing w:line="360" w:lineRule="auto"/>
                              <w:rPr>
                                <w:rFonts w:cs="David"/>
                                <w:b/>
                                <w:bCs/>
                                <w:sz w:val="28"/>
                                <w:szCs w:val="28"/>
                                <w:rtl/>
                              </w:rPr>
                            </w:pPr>
                            <w:r>
                              <w:rPr>
                                <w:rFonts w:cs="David" w:hint="cs"/>
                                <w:b/>
                                <w:bCs/>
                                <w:sz w:val="28"/>
                                <w:szCs w:val="28"/>
                                <w:rtl/>
                              </w:rPr>
                              <w:tab/>
                              <w:t xml:space="preserve">                    </w:t>
                            </w:r>
                            <w:r>
                              <w:rPr>
                                <w:rFonts w:cs="David"/>
                                <w:b/>
                                <w:bCs/>
                                <w:sz w:val="28"/>
                                <w:szCs w:val="28"/>
                                <w:rtl/>
                              </w:rPr>
                              <w:t xml:space="preserve"> </w:t>
                            </w:r>
                          </w:p>
                          <w:p w14:paraId="12E653F2" w14:textId="77777777" w:rsidR="000761E8" w:rsidRPr="00FC6C3C" w:rsidRDefault="000761E8" w:rsidP="00594534">
                            <w:pPr>
                              <w:rPr>
                                <w:rFonts w:cs="David"/>
                                <w:b/>
                                <w:bCs/>
                                <w:sz w:val="26"/>
                                <w:szCs w:val="26"/>
                                <w:u w:val="single"/>
                                <w:rtl/>
                              </w:rPr>
                            </w:pPr>
                            <w:r>
                              <w:rPr>
                                <w:rFonts w:cs="David"/>
                                <w:b/>
                                <w:bCs/>
                                <w:sz w:val="26"/>
                                <w:szCs w:val="26"/>
                                <w:u w:val="single"/>
                                <w:rtl/>
                              </w:rPr>
                              <w:t>_____________________________</w:t>
                            </w:r>
                            <w:r w:rsidRPr="00FC6C3C">
                              <w:rPr>
                                <w:rFonts w:cs="David"/>
                                <w:b/>
                                <w:bCs/>
                                <w:sz w:val="26"/>
                                <w:szCs w:val="26"/>
                                <w:u w:val="single"/>
                                <w:rtl/>
                              </w:rPr>
                              <w:t>______</w:t>
                            </w:r>
                            <w:r>
                              <w:rPr>
                                <w:rFonts w:cs="David"/>
                                <w:b/>
                                <w:bCs/>
                                <w:sz w:val="26"/>
                                <w:szCs w:val="26"/>
                                <w:u w:val="single"/>
                                <w:rtl/>
                              </w:rPr>
                              <w:t>___</w:t>
                            </w:r>
                            <w:r w:rsidRPr="00FC6C3C">
                              <w:rPr>
                                <w:rFonts w:cs="David"/>
                                <w:b/>
                                <w:bCs/>
                                <w:sz w:val="26"/>
                                <w:szCs w:val="26"/>
                                <w:u w:val="single"/>
                                <w:rtl/>
                              </w:rPr>
                              <w:t>___</w:t>
                            </w:r>
                            <w:r>
                              <w:rPr>
                                <w:rFonts w:cs="David"/>
                                <w:b/>
                                <w:bCs/>
                                <w:sz w:val="26"/>
                                <w:szCs w:val="26"/>
                                <w:u w:val="single"/>
                                <w:rtl/>
                              </w:rPr>
                              <w:t>_____</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505241C4" id="_x0000_s1042" type="#_x0000_t202" style="position:absolute;left:0;text-align:left;margin-left:13.15pt;margin-top:534.95pt;width:358.65pt;height:41.2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" filled="f" stroked="f">
                <v:textbox>
                  <w:txbxContent>
                    <w:p w14:paraId="56CE7510" w14:textId="4C71014A" w:rsidR="000761E8" w:rsidRPr="00FC6C3C" w:rsidRDefault="000761E8" w:rsidP="00103004">
                      <w:pPr>
                        <w:rPr>
                          <w:rFonts w:cs="David"/>
                          <w:b/>
                          <w:bCs/>
                          <w:sz w:val="26"/>
                          <w:szCs w:val="26"/>
                          <w:u w:val="single"/>
                          <w:rtl/>
                        </w:rPr>
                      </w:pPr>
                      <w:r w:rsidRPr="00E10411">
                        <w:rPr>
                          <w:rFonts w:cs="David" w:hint="cs"/>
                          <w:b/>
                          <w:bCs/>
                          <w:sz w:val="36"/>
                          <w:szCs w:val="36"/>
                          <w:rtl/>
                        </w:rPr>
                        <w:t>ד"ר גלי אביב ועו"ד דליה ארנטל</w:t>
                      </w:r>
                      <w:r w:rsidRPr="00E10411">
                        <w:rPr>
                          <w:rFonts w:cs="David"/>
                          <w:b/>
                          <w:bCs/>
                          <w:sz w:val="36"/>
                          <w:szCs w:val="36"/>
                          <w:rtl/>
                        </w:rPr>
                        <w:tab/>
                      </w:r>
                      <w:r w:rsidRPr="00E10411">
                        <w:rPr>
                          <w:rFonts w:cs="David"/>
                          <w:b/>
                          <w:bCs/>
                          <w:sz w:val="36"/>
                          <w:szCs w:val="36"/>
                          <w:rtl/>
                        </w:rPr>
                        <w:tab/>
                      </w:r>
                      <w:r w:rsidRPr="00E10411">
                        <w:rPr>
                          <w:rFonts w:cs="David" w:hint="cs"/>
                          <w:b/>
                          <w:bCs/>
                          <w:sz w:val="36"/>
                          <w:szCs w:val="36"/>
                          <w:rtl/>
                        </w:rPr>
                        <w:t xml:space="preserve">      </w:t>
                      </w:r>
                      <w:r>
                        <w:rPr>
                          <w:rFonts w:cs="David" w:hint="cs"/>
                          <w:b/>
                          <w:bCs/>
                          <w:sz w:val="36"/>
                          <w:szCs w:val="36"/>
                          <w:rtl/>
                        </w:rPr>
                        <w:t>יולי</w:t>
                      </w:r>
                      <w:r w:rsidRPr="00E10411">
                        <w:rPr>
                          <w:rFonts w:cs="David" w:hint="cs"/>
                          <w:b/>
                          <w:bCs/>
                          <w:sz w:val="36"/>
                          <w:szCs w:val="36"/>
                          <w:rtl/>
                        </w:rPr>
                        <w:t xml:space="preserve"> 2021</w:t>
                      </w:r>
                      <w:r w:rsidRPr="00E10411">
                        <w:rPr>
                          <w:rFonts w:cs="David"/>
                          <w:b/>
                          <w:bCs/>
                          <w:sz w:val="32"/>
                          <w:szCs w:val="32"/>
                          <w:rtl/>
                        </w:rPr>
                        <w:t xml:space="preserve">   </w:t>
                      </w:r>
                      <w:r>
                        <w:rPr>
                          <w:rFonts w:cs="David"/>
                          <w:b/>
                          <w:bCs/>
                          <w:sz w:val="26"/>
                          <w:szCs w:val="26"/>
                          <w:u w:val="single"/>
                          <w:rtl/>
                        </w:rPr>
                        <w:t>_____________________________</w:t>
                      </w:r>
                      <w:r w:rsidRPr="00FC6C3C">
                        <w:rPr>
                          <w:rFonts w:cs="David"/>
                          <w:b/>
                          <w:bCs/>
                          <w:sz w:val="26"/>
                          <w:szCs w:val="26"/>
                          <w:u w:val="single"/>
                          <w:rtl/>
                        </w:rPr>
                        <w:t>______</w:t>
                      </w:r>
                      <w:r>
                        <w:rPr>
                          <w:rFonts w:cs="David"/>
                          <w:b/>
                          <w:bCs/>
                          <w:sz w:val="26"/>
                          <w:szCs w:val="26"/>
                          <w:u w:val="single"/>
                          <w:rtl/>
                        </w:rPr>
                        <w:t>___</w:t>
                      </w:r>
                      <w:r w:rsidRPr="00FC6C3C">
                        <w:rPr>
                          <w:rFonts w:cs="David"/>
                          <w:b/>
                          <w:bCs/>
                          <w:sz w:val="26"/>
                          <w:szCs w:val="26"/>
                          <w:u w:val="single"/>
                          <w:rtl/>
                        </w:rPr>
                        <w:t>___</w:t>
                      </w:r>
                      <w:r>
                        <w:rPr>
                          <w:rFonts w:cs="David" w:hint="cs"/>
                          <w:b/>
                          <w:bCs/>
                          <w:sz w:val="26"/>
                          <w:szCs w:val="26"/>
                          <w:u w:val="single"/>
                          <w:rtl/>
                        </w:rPr>
                        <w:t>________</w:t>
                      </w:r>
                      <w:r>
                        <w:rPr>
                          <w:rFonts w:cs="David"/>
                          <w:b/>
                          <w:bCs/>
                          <w:sz w:val="26"/>
                          <w:szCs w:val="26"/>
                          <w:u w:val="single"/>
                          <w:rtl/>
                        </w:rPr>
                        <w:t>_____</w:t>
                      </w:r>
                    </w:p>
                    <w:p w14:paraId="496DC333" w14:textId="77777777" w:rsidR="000761E8" w:rsidRPr="003E160A" w:rsidRDefault="000761E8" w:rsidP="00594534">
                      <w:pPr>
                        <w:spacing w:line="360" w:lineRule="auto"/>
                        <w:rPr>
                          <w:rFonts w:cs="David"/>
                          <w:b/>
                          <w:bCs/>
                          <w:sz w:val="28"/>
                          <w:szCs w:val="28"/>
                          <w:rtl/>
                        </w:rPr>
                      </w:pPr>
                      <w:r>
                        <w:rPr>
                          <w:rFonts w:cs="David" w:hint="cs"/>
                          <w:b/>
                          <w:bCs/>
                          <w:sz w:val="28"/>
                          <w:szCs w:val="28"/>
                          <w:rtl/>
                        </w:rPr>
                        <w:tab/>
                        <w:t xml:space="preserve">                    </w:t>
                      </w:r>
                      <w:r>
                        <w:rPr>
                          <w:rFonts w:cs="David"/>
                          <w:b/>
                          <w:bCs/>
                          <w:sz w:val="28"/>
                          <w:szCs w:val="28"/>
                          <w:rtl/>
                        </w:rPr>
                        <w:t xml:space="preserve"> </w:t>
                      </w:r>
                    </w:p>
                    <w:p w14:paraId="12E653F2" w14:textId="77777777" w:rsidR="000761E8" w:rsidRPr="00FC6C3C" w:rsidRDefault="000761E8" w:rsidP="00594534">
                      <w:pPr>
                        <w:rPr>
                          <w:rFonts w:cs="David"/>
                          <w:b/>
                          <w:bCs/>
                          <w:sz w:val="26"/>
                          <w:szCs w:val="26"/>
                          <w:u w:val="single"/>
                          <w:rtl/>
                        </w:rPr>
                      </w:pPr>
                      <w:r>
                        <w:rPr>
                          <w:rFonts w:cs="David"/>
                          <w:b/>
                          <w:bCs/>
                          <w:sz w:val="26"/>
                          <w:szCs w:val="26"/>
                          <w:u w:val="single"/>
                          <w:rtl/>
                        </w:rPr>
                        <w:t>_____________________________</w:t>
                      </w:r>
                      <w:r w:rsidRPr="00FC6C3C">
                        <w:rPr>
                          <w:rFonts w:cs="David"/>
                          <w:b/>
                          <w:bCs/>
                          <w:sz w:val="26"/>
                          <w:szCs w:val="26"/>
                          <w:u w:val="single"/>
                          <w:rtl/>
                        </w:rPr>
                        <w:t>______</w:t>
                      </w:r>
                      <w:r>
                        <w:rPr>
                          <w:rFonts w:cs="David"/>
                          <w:b/>
                          <w:bCs/>
                          <w:sz w:val="26"/>
                          <w:szCs w:val="26"/>
                          <w:u w:val="single"/>
                          <w:rtl/>
                        </w:rPr>
                        <w:t>___</w:t>
                      </w:r>
                      <w:r w:rsidRPr="00FC6C3C">
                        <w:rPr>
                          <w:rFonts w:cs="David"/>
                          <w:b/>
                          <w:bCs/>
                          <w:sz w:val="26"/>
                          <w:szCs w:val="26"/>
                          <w:u w:val="single"/>
                          <w:rtl/>
                        </w:rPr>
                        <w:t>___</w:t>
                      </w:r>
                      <w:r>
                        <w:rPr>
                          <w:rFonts w:cs="David"/>
                          <w:b/>
                          <w:bCs/>
                          <w:sz w:val="26"/>
                          <w:szCs w:val="26"/>
                          <w:u w:val="single"/>
                          <w:rtl/>
                        </w:rPr>
                        <w:t>_____</w:t>
                      </w:r>
                    </w:p>
                  </w:txbxContent>
                </v:textbox>
                <w10:wrap anchorx="page"/>
              </v:shape>
            </w:pict>
          </mc:Fallback>
        </mc:AlternateContent>
      </w:r>
    </w:p>
    <w:p w14:paraId="7F937D5A" w14:textId="77777777" w:rsidR="00956E42" w:rsidRPr="00D61F82" w:rsidRDefault="00E25AE7" w:rsidP="00F057A1">
      <w:pPr>
        <w:pStyle w:val="TOC1"/>
        <w:rPr>
          <w:sz w:val="22"/>
          <w:szCs w:val="22"/>
          <w:u w:val="single"/>
          <w:rtl/>
        </w:rPr>
      </w:pPr>
      <w:r w:rsidRPr="00D61F82">
        <w:rPr>
          <w:rFonts w:hint="cs"/>
          <w:sz w:val="22"/>
          <w:szCs w:val="22"/>
          <w:u w:val="single"/>
          <w:rtl/>
        </w:rPr>
        <w:lastRenderedPageBreak/>
        <w:t>תוכן העניינים</w:t>
      </w:r>
    </w:p>
    <w:p w14:paraId="061FEE25" w14:textId="429ACC5F" w:rsidR="00D61F82" w:rsidRPr="00D61F82" w:rsidRDefault="00E25AE7">
      <w:pPr>
        <w:pStyle w:val="TOC1"/>
        <w:rPr>
          <w:rFonts w:asciiTheme="minorHAnsi" w:eastAsiaTheme="minorEastAsia" w:hAnsiTheme="minorHAnsi"/>
          <w:b w:val="0"/>
          <w:bCs w:val="0"/>
          <w:sz w:val="22"/>
          <w:szCs w:val="22"/>
          <w:rtl/>
        </w:rPr>
      </w:pPr>
      <w:r w:rsidRPr="00D61F82">
        <w:rPr>
          <w:sz w:val="22"/>
          <w:szCs w:val="22"/>
        </w:rPr>
        <w:fldChar w:fldCharType="begin"/>
      </w:r>
      <w:r w:rsidR="007F3A52" w:rsidRPr="00D61F82">
        <w:rPr>
          <w:sz w:val="22"/>
          <w:szCs w:val="22"/>
        </w:rPr>
        <w:instrText xml:space="preserve"> TOC \o "1-5" \h \z \u </w:instrText>
      </w:r>
      <w:r w:rsidRPr="00D61F82">
        <w:rPr>
          <w:sz w:val="22"/>
          <w:szCs w:val="22"/>
        </w:rPr>
        <w:fldChar w:fldCharType="separate"/>
      </w:r>
      <w:hyperlink w:anchor="_Toc74750942" w:history="1">
        <w:r w:rsidR="00D61F82" w:rsidRPr="00D61F82">
          <w:rPr>
            <w:rStyle w:val="Hyperlink"/>
            <w:sz w:val="22"/>
            <w:szCs w:val="22"/>
            <w:rtl/>
          </w:rPr>
          <w:t>תקציר מנהלים</w:t>
        </w:r>
        <w:r w:rsidR="00D61F82" w:rsidRPr="00D61F82">
          <w:rPr>
            <w:webHidden/>
            <w:sz w:val="22"/>
            <w:szCs w:val="22"/>
            <w:rtl/>
          </w:rPr>
          <w:tab/>
        </w:r>
        <w:r w:rsidR="00D61F82" w:rsidRPr="00D61F82">
          <w:rPr>
            <w:webHidden/>
            <w:sz w:val="22"/>
            <w:szCs w:val="22"/>
            <w:rtl/>
          </w:rPr>
          <w:fldChar w:fldCharType="begin"/>
        </w:r>
        <w:r w:rsidR="00D61F82" w:rsidRPr="00D61F82">
          <w:rPr>
            <w:webHidden/>
            <w:sz w:val="22"/>
            <w:szCs w:val="22"/>
            <w:rtl/>
          </w:rPr>
          <w:instrText xml:space="preserve"> </w:instrText>
        </w:r>
        <w:r w:rsidR="00D61F82" w:rsidRPr="00D61F82">
          <w:rPr>
            <w:webHidden/>
            <w:sz w:val="22"/>
            <w:szCs w:val="22"/>
          </w:rPr>
          <w:instrText>PAGEREF</w:instrText>
        </w:r>
        <w:r w:rsidR="00D61F82" w:rsidRPr="00D61F82">
          <w:rPr>
            <w:webHidden/>
            <w:sz w:val="22"/>
            <w:szCs w:val="22"/>
            <w:rtl/>
          </w:rPr>
          <w:instrText xml:space="preserve"> _</w:instrText>
        </w:r>
        <w:r w:rsidR="00D61F82" w:rsidRPr="00D61F82">
          <w:rPr>
            <w:webHidden/>
            <w:sz w:val="22"/>
            <w:szCs w:val="22"/>
          </w:rPr>
          <w:instrText>Toc74750942 \h</w:instrText>
        </w:r>
        <w:r w:rsidR="00D61F82" w:rsidRPr="00D61F82">
          <w:rPr>
            <w:webHidden/>
            <w:sz w:val="22"/>
            <w:szCs w:val="22"/>
            <w:rtl/>
          </w:rPr>
          <w:instrText xml:space="preserve"> </w:instrText>
        </w:r>
        <w:r w:rsidR="00D61F82" w:rsidRPr="00D61F82">
          <w:rPr>
            <w:webHidden/>
            <w:sz w:val="22"/>
            <w:szCs w:val="22"/>
            <w:rtl/>
          </w:rPr>
        </w:r>
        <w:r w:rsidR="00D61F82" w:rsidRPr="00D61F82">
          <w:rPr>
            <w:webHidden/>
            <w:sz w:val="22"/>
            <w:szCs w:val="22"/>
            <w:rtl/>
          </w:rPr>
          <w:fldChar w:fldCharType="separate"/>
        </w:r>
        <w:r w:rsidR="008F1BC3">
          <w:rPr>
            <w:webHidden/>
            <w:sz w:val="22"/>
            <w:szCs w:val="22"/>
            <w:rtl/>
          </w:rPr>
          <w:t>6</w:t>
        </w:r>
        <w:r w:rsidR="00D61F82" w:rsidRPr="00D61F82">
          <w:rPr>
            <w:webHidden/>
            <w:sz w:val="22"/>
            <w:szCs w:val="22"/>
            <w:rtl/>
          </w:rPr>
          <w:fldChar w:fldCharType="end"/>
        </w:r>
      </w:hyperlink>
    </w:p>
    <w:p w14:paraId="11FFA21D" w14:textId="3E6D3A1F" w:rsidR="00D61F82" w:rsidRPr="00D61F82" w:rsidRDefault="008F1BC3">
      <w:pPr>
        <w:pStyle w:val="TOC1"/>
        <w:tabs>
          <w:tab w:val="left" w:pos="880"/>
        </w:tabs>
        <w:rPr>
          <w:rFonts w:asciiTheme="minorHAnsi" w:eastAsiaTheme="minorEastAsia" w:hAnsiTheme="minorHAnsi"/>
          <w:b w:val="0"/>
          <w:bCs w:val="0"/>
          <w:sz w:val="22"/>
          <w:szCs w:val="22"/>
          <w:rtl/>
        </w:rPr>
      </w:pPr>
      <w:hyperlink w:anchor="_Toc74750943" w:history="1">
        <w:r w:rsidR="00D61F82" w:rsidRPr="00D61F82">
          <w:rPr>
            <w:rStyle w:val="Hyperlink"/>
            <w:rFonts w:hAnsi="Times New Roman"/>
            <w:sz w:val="22"/>
            <w:szCs w:val="22"/>
            <w:rtl/>
          </w:rPr>
          <w:t>1.</w:t>
        </w:r>
        <w:r w:rsidR="00D61F82" w:rsidRPr="00D61F82">
          <w:rPr>
            <w:rFonts w:asciiTheme="minorHAnsi" w:eastAsiaTheme="minorEastAsia" w:hAnsiTheme="minorHAnsi"/>
            <w:b w:val="0"/>
            <w:bCs w:val="0"/>
            <w:sz w:val="22"/>
            <w:szCs w:val="22"/>
            <w:rtl/>
          </w:rPr>
          <w:tab/>
        </w:r>
        <w:r w:rsidR="00D61F82" w:rsidRPr="00D61F82">
          <w:rPr>
            <w:rStyle w:val="Hyperlink"/>
            <w:sz w:val="22"/>
            <w:szCs w:val="22"/>
            <w:rtl/>
          </w:rPr>
          <w:t>חידוש וטיוב מדד משקלות התיקים הקודם</w:t>
        </w:r>
        <w:r w:rsidR="00D61F82" w:rsidRPr="00D61F82">
          <w:rPr>
            <w:webHidden/>
            <w:sz w:val="22"/>
            <w:szCs w:val="22"/>
            <w:rtl/>
          </w:rPr>
          <w:tab/>
        </w:r>
        <w:r w:rsidR="00D61F82" w:rsidRPr="00D61F82">
          <w:rPr>
            <w:webHidden/>
            <w:sz w:val="22"/>
            <w:szCs w:val="22"/>
            <w:rtl/>
          </w:rPr>
          <w:fldChar w:fldCharType="begin"/>
        </w:r>
        <w:r w:rsidR="00D61F82" w:rsidRPr="00D61F82">
          <w:rPr>
            <w:webHidden/>
            <w:sz w:val="22"/>
            <w:szCs w:val="22"/>
            <w:rtl/>
          </w:rPr>
          <w:instrText xml:space="preserve"> </w:instrText>
        </w:r>
        <w:r w:rsidR="00D61F82" w:rsidRPr="00D61F82">
          <w:rPr>
            <w:webHidden/>
            <w:sz w:val="22"/>
            <w:szCs w:val="22"/>
          </w:rPr>
          <w:instrText>PAGEREF</w:instrText>
        </w:r>
        <w:r w:rsidR="00D61F82" w:rsidRPr="00D61F82">
          <w:rPr>
            <w:webHidden/>
            <w:sz w:val="22"/>
            <w:szCs w:val="22"/>
            <w:rtl/>
          </w:rPr>
          <w:instrText xml:space="preserve"> _</w:instrText>
        </w:r>
        <w:r w:rsidR="00D61F82" w:rsidRPr="00D61F82">
          <w:rPr>
            <w:webHidden/>
            <w:sz w:val="22"/>
            <w:szCs w:val="22"/>
          </w:rPr>
          <w:instrText>Toc74750943 \h</w:instrText>
        </w:r>
        <w:r w:rsidR="00D61F82" w:rsidRPr="00D61F82">
          <w:rPr>
            <w:webHidden/>
            <w:sz w:val="22"/>
            <w:szCs w:val="22"/>
            <w:rtl/>
          </w:rPr>
          <w:instrText xml:space="preserve"> </w:instrText>
        </w:r>
        <w:r w:rsidR="00D61F82" w:rsidRPr="00D61F82">
          <w:rPr>
            <w:webHidden/>
            <w:sz w:val="22"/>
            <w:szCs w:val="22"/>
            <w:rtl/>
          </w:rPr>
        </w:r>
        <w:r w:rsidR="00D61F82" w:rsidRPr="00D61F82">
          <w:rPr>
            <w:webHidden/>
            <w:sz w:val="22"/>
            <w:szCs w:val="22"/>
            <w:rtl/>
          </w:rPr>
          <w:fldChar w:fldCharType="separate"/>
        </w:r>
        <w:r>
          <w:rPr>
            <w:webHidden/>
            <w:sz w:val="22"/>
            <w:szCs w:val="22"/>
            <w:rtl/>
          </w:rPr>
          <w:t>14</w:t>
        </w:r>
        <w:r w:rsidR="00D61F82" w:rsidRPr="00D61F82">
          <w:rPr>
            <w:webHidden/>
            <w:sz w:val="22"/>
            <w:szCs w:val="22"/>
            <w:rtl/>
          </w:rPr>
          <w:fldChar w:fldCharType="end"/>
        </w:r>
      </w:hyperlink>
    </w:p>
    <w:p w14:paraId="16FAED82" w14:textId="76FFC26F" w:rsidR="00D61F82" w:rsidRPr="00D61F82" w:rsidRDefault="008F1BC3">
      <w:pPr>
        <w:pStyle w:val="TOC2"/>
        <w:tabs>
          <w:tab w:val="left" w:pos="1540"/>
        </w:tabs>
        <w:rPr>
          <w:rFonts w:asciiTheme="minorHAnsi" w:eastAsiaTheme="minorEastAsia" w:hAnsiTheme="minorHAnsi" w:cs="David"/>
          <w:b w:val="0"/>
          <w:bCs w:val="0"/>
          <w:noProof/>
          <w:rtl/>
        </w:rPr>
      </w:pPr>
      <w:hyperlink w:anchor="_Toc74750944" w:history="1">
        <w:r w:rsidR="00D61F82" w:rsidRPr="00D61F82">
          <w:rPr>
            <w:rStyle w:val="Hyperlink"/>
            <w:rFonts w:cs="David"/>
            <w:noProof/>
            <w:rtl/>
          </w:rPr>
          <w:t>1.1.</w:t>
        </w:r>
        <w:r w:rsidR="00D61F82" w:rsidRPr="00D61F82">
          <w:rPr>
            <w:rFonts w:asciiTheme="minorHAnsi" w:eastAsiaTheme="minorEastAsia" w:hAnsiTheme="minorHAnsi" w:cs="David"/>
            <w:b w:val="0"/>
            <w:bCs w:val="0"/>
            <w:noProof/>
            <w:rtl/>
          </w:rPr>
          <w:tab/>
        </w:r>
        <w:r w:rsidR="00D61F82" w:rsidRPr="00D61F82">
          <w:rPr>
            <w:rStyle w:val="Hyperlink"/>
            <w:rFonts w:cs="David"/>
            <w:noProof/>
            <w:rtl/>
          </w:rPr>
          <w:t>שיטות המחקר בעולם בתחום משקלות התיקים</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Toc74750944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14</w:t>
        </w:r>
        <w:r w:rsidR="00D61F82" w:rsidRPr="00D61F82">
          <w:rPr>
            <w:rFonts w:cs="David"/>
            <w:noProof/>
            <w:webHidden/>
            <w:rtl/>
          </w:rPr>
          <w:fldChar w:fldCharType="end"/>
        </w:r>
      </w:hyperlink>
    </w:p>
    <w:p w14:paraId="337645D5" w14:textId="57A453B0" w:rsidR="00D61F82" w:rsidRPr="00D61F82" w:rsidRDefault="008F1BC3">
      <w:pPr>
        <w:pStyle w:val="TOC2"/>
        <w:tabs>
          <w:tab w:val="left" w:pos="1540"/>
        </w:tabs>
        <w:rPr>
          <w:rFonts w:asciiTheme="minorHAnsi" w:eastAsiaTheme="minorEastAsia" w:hAnsiTheme="minorHAnsi" w:cs="David"/>
          <w:b w:val="0"/>
          <w:bCs w:val="0"/>
          <w:noProof/>
          <w:rtl/>
        </w:rPr>
      </w:pPr>
      <w:hyperlink w:anchor="_Toc74750945" w:history="1">
        <w:r w:rsidR="00D61F82" w:rsidRPr="00D61F82">
          <w:rPr>
            <w:rStyle w:val="Hyperlink"/>
            <w:rFonts w:cs="David"/>
            <w:noProof/>
            <w:rtl/>
          </w:rPr>
          <w:t>1.2.</w:t>
        </w:r>
        <w:r w:rsidR="00D61F82" w:rsidRPr="00D61F82">
          <w:rPr>
            <w:rFonts w:asciiTheme="minorHAnsi" w:eastAsiaTheme="minorEastAsia" w:hAnsiTheme="minorHAnsi" w:cs="David"/>
            <w:b w:val="0"/>
            <w:bCs w:val="0"/>
            <w:noProof/>
            <w:rtl/>
          </w:rPr>
          <w:tab/>
        </w:r>
        <w:r w:rsidR="00D61F82" w:rsidRPr="00D61F82">
          <w:rPr>
            <w:rStyle w:val="Hyperlink"/>
            <w:rFonts w:cs="David"/>
            <w:noProof/>
            <w:rtl/>
          </w:rPr>
          <w:t>שלבי העבודה במחקר הקודם</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Toc74750945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16</w:t>
        </w:r>
        <w:r w:rsidR="00D61F82" w:rsidRPr="00D61F82">
          <w:rPr>
            <w:rFonts w:cs="David"/>
            <w:noProof/>
            <w:webHidden/>
            <w:rtl/>
          </w:rPr>
          <w:fldChar w:fldCharType="end"/>
        </w:r>
      </w:hyperlink>
    </w:p>
    <w:p w14:paraId="5B61B94B" w14:textId="5C2081F3" w:rsidR="00D61F82" w:rsidRPr="00D61F82" w:rsidRDefault="008F1BC3">
      <w:pPr>
        <w:pStyle w:val="TOC2"/>
        <w:tabs>
          <w:tab w:val="left" w:pos="1540"/>
        </w:tabs>
        <w:rPr>
          <w:rFonts w:asciiTheme="minorHAnsi" w:eastAsiaTheme="minorEastAsia" w:hAnsiTheme="minorHAnsi" w:cs="David"/>
          <w:b w:val="0"/>
          <w:bCs w:val="0"/>
          <w:noProof/>
          <w:rtl/>
        </w:rPr>
      </w:pPr>
      <w:hyperlink w:anchor="_Toc74750946" w:history="1">
        <w:r w:rsidR="00D61F82" w:rsidRPr="00D61F82">
          <w:rPr>
            <w:rStyle w:val="Hyperlink"/>
            <w:rFonts w:cs="David"/>
            <w:noProof/>
            <w:rtl/>
          </w:rPr>
          <w:t>1.3.</w:t>
        </w:r>
        <w:r w:rsidR="00D61F82" w:rsidRPr="00D61F82">
          <w:rPr>
            <w:rFonts w:asciiTheme="minorHAnsi" w:eastAsiaTheme="minorEastAsia" w:hAnsiTheme="minorHAnsi" w:cs="David"/>
            <w:b w:val="0"/>
            <w:bCs w:val="0"/>
            <w:noProof/>
            <w:rtl/>
          </w:rPr>
          <w:tab/>
        </w:r>
        <w:r w:rsidR="00D61F82" w:rsidRPr="00D61F82">
          <w:rPr>
            <w:rStyle w:val="Hyperlink"/>
            <w:rFonts w:cs="David"/>
            <w:noProof/>
            <w:rtl/>
          </w:rPr>
          <w:t>כלי המחקר ששימשו במחקר הקודם</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Toc74750946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17</w:t>
        </w:r>
        <w:r w:rsidR="00D61F82" w:rsidRPr="00D61F82">
          <w:rPr>
            <w:rFonts w:cs="David"/>
            <w:noProof/>
            <w:webHidden/>
            <w:rtl/>
          </w:rPr>
          <w:fldChar w:fldCharType="end"/>
        </w:r>
      </w:hyperlink>
    </w:p>
    <w:p w14:paraId="4F0E65EF" w14:textId="640CFCD0"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0947" w:history="1">
        <w:r w:rsidR="00D61F82" w:rsidRPr="00D61F82">
          <w:rPr>
            <w:rStyle w:val="Hyperlink"/>
            <w:rFonts w:cs="David"/>
            <w:noProof/>
            <w:sz w:val="22"/>
            <w:szCs w:val="22"/>
            <w:rtl/>
          </w:rPr>
          <w:t>1.3.1.</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שאלוני הערכת זמן עבודה (בשיטת דלפי), ומילוי מקדים של יומן עבודה</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Toc74750947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17</w:t>
        </w:r>
        <w:r w:rsidR="00D61F82" w:rsidRPr="00D61F82">
          <w:rPr>
            <w:rFonts w:cs="David"/>
            <w:noProof/>
            <w:webHidden/>
            <w:sz w:val="22"/>
            <w:szCs w:val="22"/>
            <w:rtl/>
          </w:rPr>
          <w:fldChar w:fldCharType="end"/>
        </w:r>
      </w:hyperlink>
    </w:p>
    <w:p w14:paraId="76696D0B" w14:textId="2DE76DA1"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0948" w:history="1">
        <w:r w:rsidR="00D61F82" w:rsidRPr="00D61F82">
          <w:rPr>
            <w:rStyle w:val="Hyperlink"/>
            <w:rFonts w:cs="David"/>
            <w:noProof/>
            <w:sz w:val="22"/>
            <w:szCs w:val="22"/>
            <w:rtl/>
          </w:rPr>
          <w:t>1.3.2.</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נתוני מחשב ממערכת ניהול התיקים "נט המשפט"</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Toc74750948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18</w:t>
        </w:r>
        <w:r w:rsidR="00D61F82" w:rsidRPr="00D61F82">
          <w:rPr>
            <w:rFonts w:cs="David"/>
            <w:noProof/>
            <w:webHidden/>
            <w:sz w:val="22"/>
            <w:szCs w:val="22"/>
            <w:rtl/>
          </w:rPr>
          <w:fldChar w:fldCharType="end"/>
        </w:r>
      </w:hyperlink>
    </w:p>
    <w:p w14:paraId="45893C6D" w14:textId="2DF72D82" w:rsidR="00D61F82" w:rsidRPr="00D61F82" w:rsidRDefault="008F1BC3" w:rsidP="00D61F82">
      <w:pPr>
        <w:pStyle w:val="TOC3"/>
        <w:tabs>
          <w:tab w:val="left" w:pos="1760"/>
        </w:tabs>
        <w:rPr>
          <w:rFonts w:asciiTheme="minorHAnsi" w:eastAsiaTheme="minorEastAsia" w:hAnsiTheme="minorHAnsi" w:cs="David"/>
          <w:noProof/>
          <w:sz w:val="22"/>
          <w:szCs w:val="22"/>
          <w:rtl/>
        </w:rPr>
      </w:pPr>
      <w:hyperlink w:anchor="_Toc74750949" w:history="1">
        <w:r w:rsidR="00D61F82">
          <w:rPr>
            <w:rStyle w:val="Hyperlink"/>
            <w:rFonts w:cs="David" w:hint="cs"/>
            <w:noProof/>
            <w:sz w:val="22"/>
            <w:szCs w:val="22"/>
            <w:rtl/>
          </w:rPr>
          <w:t>1.3.3.</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מדגמים מייצגים לצורך קביעת ההסתברות לסגירת התיקים בכל אחת מסיבות הסגירה</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Toc74750949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19</w:t>
        </w:r>
        <w:r w:rsidR="00D61F82" w:rsidRPr="00D61F82">
          <w:rPr>
            <w:rFonts w:cs="David"/>
            <w:noProof/>
            <w:webHidden/>
            <w:sz w:val="22"/>
            <w:szCs w:val="22"/>
            <w:rtl/>
          </w:rPr>
          <w:fldChar w:fldCharType="end"/>
        </w:r>
      </w:hyperlink>
    </w:p>
    <w:p w14:paraId="3CDFFE22" w14:textId="665ECEE0" w:rsidR="00D61F82" w:rsidRPr="00D61F82" w:rsidRDefault="008F1BC3" w:rsidP="00D61F82">
      <w:pPr>
        <w:pStyle w:val="TOC3"/>
        <w:tabs>
          <w:tab w:val="left" w:pos="1760"/>
        </w:tabs>
        <w:rPr>
          <w:rFonts w:asciiTheme="minorHAnsi" w:eastAsiaTheme="minorEastAsia" w:hAnsiTheme="minorHAnsi" w:cs="David"/>
          <w:noProof/>
          <w:sz w:val="22"/>
          <w:szCs w:val="22"/>
          <w:rtl/>
        </w:rPr>
      </w:pPr>
      <w:hyperlink w:anchor="_Toc74750950" w:history="1">
        <w:r w:rsidR="00D61F82">
          <w:rPr>
            <w:rStyle w:val="Hyperlink"/>
            <w:rFonts w:cs="David" w:hint="cs"/>
            <w:noProof/>
            <w:sz w:val="22"/>
            <w:szCs w:val="22"/>
            <w:rtl/>
          </w:rPr>
          <w:t>1.3.4.</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משוואת רגרסיה לחישוב משכי דיון באופן סטטיסטי</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Toc74750950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19</w:t>
        </w:r>
        <w:r w:rsidR="00D61F82" w:rsidRPr="00D61F82">
          <w:rPr>
            <w:rFonts w:cs="David"/>
            <w:noProof/>
            <w:webHidden/>
            <w:sz w:val="22"/>
            <w:szCs w:val="22"/>
            <w:rtl/>
          </w:rPr>
          <w:fldChar w:fldCharType="end"/>
        </w:r>
      </w:hyperlink>
    </w:p>
    <w:p w14:paraId="782544B3" w14:textId="71E34F6C" w:rsidR="00D61F82" w:rsidRPr="00D61F82" w:rsidRDefault="008F1BC3">
      <w:pPr>
        <w:pStyle w:val="TOC2"/>
        <w:tabs>
          <w:tab w:val="left" w:pos="1540"/>
        </w:tabs>
        <w:rPr>
          <w:rFonts w:asciiTheme="minorHAnsi" w:eastAsiaTheme="minorEastAsia" w:hAnsiTheme="minorHAnsi" w:cs="David"/>
          <w:b w:val="0"/>
          <w:bCs w:val="0"/>
          <w:noProof/>
          <w:rtl/>
        </w:rPr>
      </w:pPr>
      <w:hyperlink w:anchor="_Toc74750951" w:history="1">
        <w:r w:rsidR="00D61F82" w:rsidRPr="00D61F82">
          <w:rPr>
            <w:rStyle w:val="Hyperlink"/>
            <w:rFonts w:cs="David"/>
            <w:noProof/>
            <w:rtl/>
          </w:rPr>
          <w:t>1.4.</w:t>
        </w:r>
        <w:r w:rsidR="00D61F82" w:rsidRPr="00D61F82">
          <w:rPr>
            <w:rFonts w:asciiTheme="minorHAnsi" w:eastAsiaTheme="minorEastAsia" w:hAnsiTheme="minorHAnsi" w:cs="David"/>
            <w:b w:val="0"/>
            <w:bCs w:val="0"/>
            <w:noProof/>
            <w:rtl/>
          </w:rPr>
          <w:tab/>
        </w:r>
        <w:r w:rsidR="00D61F82" w:rsidRPr="00D61F82">
          <w:rPr>
            <w:rStyle w:val="Hyperlink"/>
            <w:rFonts w:cs="David"/>
            <w:noProof/>
            <w:rtl/>
          </w:rPr>
          <w:t>תוצאות המחקר הקודם</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Toc74750951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20</w:t>
        </w:r>
        <w:r w:rsidR="00D61F82" w:rsidRPr="00D61F82">
          <w:rPr>
            <w:rFonts w:cs="David"/>
            <w:noProof/>
            <w:webHidden/>
            <w:rtl/>
          </w:rPr>
          <w:fldChar w:fldCharType="end"/>
        </w:r>
      </w:hyperlink>
    </w:p>
    <w:p w14:paraId="48C98BE0" w14:textId="75D44792" w:rsidR="00D61F82" w:rsidRPr="00D61F82" w:rsidRDefault="008F1BC3">
      <w:pPr>
        <w:pStyle w:val="TOC2"/>
        <w:tabs>
          <w:tab w:val="left" w:pos="1540"/>
        </w:tabs>
        <w:rPr>
          <w:rFonts w:asciiTheme="minorHAnsi" w:eastAsiaTheme="minorEastAsia" w:hAnsiTheme="minorHAnsi" w:cs="David"/>
          <w:b w:val="0"/>
          <w:bCs w:val="0"/>
          <w:noProof/>
          <w:rtl/>
        </w:rPr>
      </w:pPr>
      <w:hyperlink w:anchor="_Toc74750952" w:history="1">
        <w:r w:rsidR="00D61F82" w:rsidRPr="00D61F82">
          <w:rPr>
            <w:rStyle w:val="Hyperlink"/>
            <w:rFonts w:cs="David"/>
            <w:noProof/>
            <w:rtl/>
          </w:rPr>
          <w:t>1.5.</w:t>
        </w:r>
        <w:r w:rsidR="00D61F82" w:rsidRPr="00D61F82">
          <w:rPr>
            <w:rFonts w:asciiTheme="minorHAnsi" w:eastAsiaTheme="minorEastAsia" w:hAnsiTheme="minorHAnsi" w:cs="David"/>
            <w:b w:val="0"/>
            <w:bCs w:val="0"/>
            <w:noProof/>
            <w:rtl/>
          </w:rPr>
          <w:tab/>
        </w:r>
        <w:r w:rsidR="00D61F82" w:rsidRPr="00D61F82">
          <w:rPr>
            <w:rStyle w:val="Hyperlink"/>
            <w:rFonts w:cs="David"/>
            <w:noProof/>
            <w:rtl/>
          </w:rPr>
          <w:t>שיטת המחקר הנוכחי</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Toc74750952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20</w:t>
        </w:r>
        <w:r w:rsidR="00D61F82" w:rsidRPr="00D61F82">
          <w:rPr>
            <w:rFonts w:cs="David"/>
            <w:noProof/>
            <w:webHidden/>
            <w:rtl/>
          </w:rPr>
          <w:fldChar w:fldCharType="end"/>
        </w:r>
      </w:hyperlink>
    </w:p>
    <w:p w14:paraId="7707EC29" w14:textId="59A333D1" w:rsidR="00D61F82" w:rsidRPr="00D61F82" w:rsidRDefault="008F1BC3">
      <w:pPr>
        <w:pStyle w:val="TOC1"/>
        <w:tabs>
          <w:tab w:val="left" w:pos="880"/>
        </w:tabs>
        <w:rPr>
          <w:rFonts w:asciiTheme="minorHAnsi" w:eastAsiaTheme="minorEastAsia" w:hAnsiTheme="minorHAnsi"/>
          <w:b w:val="0"/>
          <w:bCs w:val="0"/>
          <w:sz w:val="22"/>
          <w:szCs w:val="22"/>
          <w:rtl/>
        </w:rPr>
      </w:pPr>
      <w:hyperlink w:anchor="_Toc74750953" w:history="1">
        <w:r w:rsidR="00D61F82" w:rsidRPr="00D61F82">
          <w:rPr>
            <w:rStyle w:val="Hyperlink"/>
            <w:rFonts w:hAnsi="Times New Roman"/>
            <w:sz w:val="22"/>
            <w:szCs w:val="22"/>
            <w:rtl/>
          </w:rPr>
          <w:t>2.</w:t>
        </w:r>
        <w:r w:rsidR="00D61F82" w:rsidRPr="00D61F82">
          <w:rPr>
            <w:rFonts w:asciiTheme="minorHAnsi" w:eastAsiaTheme="minorEastAsia" w:hAnsiTheme="minorHAnsi"/>
            <w:b w:val="0"/>
            <w:bCs w:val="0"/>
            <w:sz w:val="22"/>
            <w:szCs w:val="22"/>
            <w:rtl/>
          </w:rPr>
          <w:tab/>
        </w:r>
        <w:r w:rsidR="00D61F82" w:rsidRPr="00D61F82">
          <w:rPr>
            <w:rStyle w:val="Hyperlink"/>
            <w:sz w:val="22"/>
            <w:szCs w:val="22"/>
            <w:rtl/>
          </w:rPr>
          <w:t>מתודולוגיה</w:t>
        </w:r>
        <w:r w:rsidR="00D61F82" w:rsidRPr="00D61F82">
          <w:rPr>
            <w:webHidden/>
            <w:sz w:val="22"/>
            <w:szCs w:val="22"/>
            <w:rtl/>
          </w:rPr>
          <w:tab/>
        </w:r>
        <w:r w:rsidR="00D61F82" w:rsidRPr="00D61F82">
          <w:rPr>
            <w:webHidden/>
            <w:sz w:val="22"/>
            <w:szCs w:val="22"/>
            <w:rtl/>
          </w:rPr>
          <w:fldChar w:fldCharType="begin"/>
        </w:r>
        <w:r w:rsidR="00D61F82" w:rsidRPr="00D61F82">
          <w:rPr>
            <w:webHidden/>
            <w:sz w:val="22"/>
            <w:szCs w:val="22"/>
            <w:rtl/>
          </w:rPr>
          <w:instrText xml:space="preserve"> </w:instrText>
        </w:r>
        <w:r w:rsidR="00D61F82" w:rsidRPr="00D61F82">
          <w:rPr>
            <w:webHidden/>
            <w:sz w:val="22"/>
            <w:szCs w:val="22"/>
          </w:rPr>
          <w:instrText>PAGEREF</w:instrText>
        </w:r>
        <w:r w:rsidR="00D61F82" w:rsidRPr="00D61F82">
          <w:rPr>
            <w:webHidden/>
            <w:sz w:val="22"/>
            <w:szCs w:val="22"/>
            <w:rtl/>
          </w:rPr>
          <w:instrText xml:space="preserve"> _</w:instrText>
        </w:r>
        <w:r w:rsidR="00D61F82" w:rsidRPr="00D61F82">
          <w:rPr>
            <w:webHidden/>
            <w:sz w:val="22"/>
            <w:szCs w:val="22"/>
          </w:rPr>
          <w:instrText>Toc74750953 \h</w:instrText>
        </w:r>
        <w:r w:rsidR="00D61F82" w:rsidRPr="00D61F82">
          <w:rPr>
            <w:webHidden/>
            <w:sz w:val="22"/>
            <w:szCs w:val="22"/>
            <w:rtl/>
          </w:rPr>
          <w:instrText xml:space="preserve"> </w:instrText>
        </w:r>
        <w:r w:rsidR="00D61F82" w:rsidRPr="00D61F82">
          <w:rPr>
            <w:webHidden/>
            <w:sz w:val="22"/>
            <w:szCs w:val="22"/>
            <w:rtl/>
          </w:rPr>
        </w:r>
        <w:r w:rsidR="00D61F82" w:rsidRPr="00D61F82">
          <w:rPr>
            <w:webHidden/>
            <w:sz w:val="22"/>
            <w:szCs w:val="22"/>
            <w:rtl/>
          </w:rPr>
          <w:fldChar w:fldCharType="separate"/>
        </w:r>
        <w:r>
          <w:rPr>
            <w:webHidden/>
            <w:sz w:val="22"/>
            <w:szCs w:val="22"/>
            <w:rtl/>
          </w:rPr>
          <w:t>22</w:t>
        </w:r>
        <w:r w:rsidR="00D61F82" w:rsidRPr="00D61F82">
          <w:rPr>
            <w:webHidden/>
            <w:sz w:val="22"/>
            <w:szCs w:val="22"/>
            <w:rtl/>
          </w:rPr>
          <w:fldChar w:fldCharType="end"/>
        </w:r>
      </w:hyperlink>
    </w:p>
    <w:p w14:paraId="05FBCE4B" w14:textId="76CBB38F" w:rsidR="00D61F82" w:rsidRPr="00D61F82" w:rsidRDefault="008F1BC3" w:rsidP="00D61F82">
      <w:pPr>
        <w:pStyle w:val="TOC2"/>
        <w:tabs>
          <w:tab w:val="left" w:pos="1320"/>
        </w:tabs>
        <w:rPr>
          <w:rFonts w:asciiTheme="minorHAnsi" w:eastAsiaTheme="minorEastAsia" w:hAnsiTheme="minorHAnsi" w:cs="David"/>
          <w:b w:val="0"/>
          <w:bCs w:val="0"/>
          <w:noProof/>
          <w:rtl/>
        </w:rPr>
      </w:pPr>
      <w:hyperlink w:anchor="_Toc74750954" w:history="1">
        <w:r w:rsidR="00D61F82">
          <w:rPr>
            <w:rStyle w:val="Hyperlink"/>
            <w:rFonts w:cs="David" w:hint="cs"/>
            <w:noProof/>
            <w:rtl/>
          </w:rPr>
          <w:t>2.1.</w:t>
        </w:r>
        <w:r w:rsidR="00D61F82" w:rsidRPr="00D61F82">
          <w:rPr>
            <w:rFonts w:asciiTheme="minorHAnsi" w:eastAsiaTheme="minorEastAsia" w:hAnsiTheme="minorHAnsi" w:cs="David"/>
            <w:b w:val="0"/>
            <w:bCs w:val="0"/>
            <w:noProof/>
            <w:rtl/>
          </w:rPr>
          <w:tab/>
        </w:r>
        <w:r w:rsidR="00D61F82" w:rsidRPr="00D61F82">
          <w:rPr>
            <w:rStyle w:val="Hyperlink"/>
            <w:rFonts w:cs="David"/>
            <w:noProof/>
            <w:rtl/>
          </w:rPr>
          <w:t>נתונים ומידע שהופקו על ידי השופטים, השופטות, הרשמים והרשמות</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Toc74750954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23</w:t>
        </w:r>
        <w:r w:rsidR="00D61F82" w:rsidRPr="00D61F82">
          <w:rPr>
            <w:rFonts w:cs="David"/>
            <w:noProof/>
            <w:webHidden/>
            <w:rtl/>
          </w:rPr>
          <w:fldChar w:fldCharType="end"/>
        </w:r>
      </w:hyperlink>
    </w:p>
    <w:p w14:paraId="2825CE37" w14:textId="45281725" w:rsidR="00D61F82" w:rsidRPr="00D61F82" w:rsidRDefault="008F1BC3" w:rsidP="00D61F82">
      <w:pPr>
        <w:pStyle w:val="TOC3"/>
        <w:tabs>
          <w:tab w:val="left" w:pos="1760"/>
        </w:tabs>
        <w:rPr>
          <w:rFonts w:asciiTheme="minorHAnsi" w:eastAsiaTheme="minorEastAsia" w:hAnsiTheme="minorHAnsi" w:cs="David"/>
          <w:noProof/>
          <w:sz w:val="22"/>
          <w:szCs w:val="22"/>
          <w:rtl/>
        </w:rPr>
      </w:pPr>
      <w:hyperlink w:anchor="_Toc74750955" w:history="1">
        <w:r w:rsidR="00D61F82">
          <w:rPr>
            <w:rStyle w:val="Hyperlink"/>
            <w:rFonts w:cs="David" w:hint="cs"/>
            <w:noProof/>
            <w:sz w:val="22"/>
            <w:szCs w:val="22"/>
            <w:rtl/>
          </w:rPr>
          <w:t xml:space="preserve">2.1.1.  </w:t>
        </w:r>
        <w:r w:rsidR="00D61F82" w:rsidRPr="00D61F82">
          <w:rPr>
            <w:rStyle w:val="Hyperlink"/>
            <w:rFonts w:cs="David"/>
            <w:noProof/>
            <w:sz w:val="22"/>
            <w:szCs w:val="22"/>
            <w:rtl/>
          </w:rPr>
          <w:t>בניית שאלונים ויומנים למילוי על ידי השופטים</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Toc74750955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23</w:t>
        </w:r>
        <w:r w:rsidR="00D61F82" w:rsidRPr="00D61F82">
          <w:rPr>
            <w:rFonts w:cs="David"/>
            <w:noProof/>
            <w:webHidden/>
            <w:sz w:val="22"/>
            <w:szCs w:val="22"/>
            <w:rtl/>
          </w:rPr>
          <w:fldChar w:fldCharType="end"/>
        </w:r>
      </w:hyperlink>
    </w:p>
    <w:p w14:paraId="4D64EBF2" w14:textId="39B521C7"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0956" w:history="1">
        <w:r w:rsidR="00D61F82" w:rsidRPr="00D61F82">
          <w:rPr>
            <w:rStyle w:val="Hyperlink"/>
            <w:rFonts w:cs="David"/>
            <w:noProof/>
            <w:sz w:val="22"/>
            <w:szCs w:val="22"/>
            <w:rtl/>
          </w:rPr>
          <w:t>2.1.2.</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יומן פעילות שיפוטית</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Toc74750956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23</w:t>
        </w:r>
        <w:r w:rsidR="00D61F82" w:rsidRPr="00D61F82">
          <w:rPr>
            <w:rFonts w:cs="David"/>
            <w:noProof/>
            <w:webHidden/>
            <w:sz w:val="22"/>
            <w:szCs w:val="22"/>
            <w:rtl/>
          </w:rPr>
          <w:fldChar w:fldCharType="end"/>
        </w:r>
      </w:hyperlink>
    </w:p>
    <w:p w14:paraId="33BC8632" w14:textId="7646D3AD" w:rsidR="00D61F82" w:rsidRPr="00D61F82" w:rsidRDefault="008F1BC3">
      <w:pPr>
        <w:pStyle w:val="TOC4"/>
        <w:tabs>
          <w:tab w:val="left" w:pos="2591"/>
        </w:tabs>
        <w:rPr>
          <w:rFonts w:asciiTheme="minorHAnsi" w:eastAsiaTheme="minorEastAsia" w:hAnsiTheme="minorHAnsi" w:cs="David"/>
          <w:noProof/>
          <w:sz w:val="22"/>
          <w:szCs w:val="22"/>
          <w:rtl/>
        </w:rPr>
      </w:pPr>
      <w:hyperlink w:anchor="_Toc74750957" w:history="1">
        <w:r w:rsidR="00D61F82" w:rsidRPr="00D61F82">
          <w:rPr>
            <w:rStyle w:val="Hyperlink"/>
            <w:rFonts w:cs="David"/>
            <w:noProof/>
            <w:sz w:val="22"/>
            <w:szCs w:val="22"/>
            <w:rtl/>
          </w:rPr>
          <w:t>2.1.2.1.</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שיעורי ההשתתפות של השופטים והרשמים במהלך תקופת המחקר</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Toc74750957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27</w:t>
        </w:r>
        <w:r w:rsidR="00D61F82" w:rsidRPr="00D61F82">
          <w:rPr>
            <w:rFonts w:cs="David"/>
            <w:noProof/>
            <w:webHidden/>
            <w:sz w:val="22"/>
            <w:szCs w:val="22"/>
            <w:rtl/>
          </w:rPr>
          <w:fldChar w:fldCharType="end"/>
        </w:r>
      </w:hyperlink>
    </w:p>
    <w:p w14:paraId="6274F97D" w14:textId="52F491C8"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0958" w:history="1">
        <w:r w:rsidR="00D61F82" w:rsidRPr="00D61F82">
          <w:rPr>
            <w:rStyle w:val="Hyperlink"/>
            <w:rFonts w:cs="David"/>
            <w:noProof/>
            <w:sz w:val="22"/>
            <w:szCs w:val="22"/>
            <w:rtl/>
          </w:rPr>
          <w:t>2.1.3.</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שאלון רקע</w:t>
        </w:r>
        <w:r w:rsidR="00D61F82">
          <w:rPr>
            <w:rStyle w:val="Hyperlink"/>
            <w:rFonts w:cs="David" w:hint="cs"/>
            <w:noProof/>
            <w:sz w:val="22"/>
            <w:szCs w:val="22"/>
            <w:rtl/>
          </w:rPr>
          <w:t xml:space="preserve">   </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Toc74750958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28</w:t>
        </w:r>
        <w:r w:rsidR="00D61F82" w:rsidRPr="00D61F82">
          <w:rPr>
            <w:rFonts w:cs="David"/>
            <w:noProof/>
            <w:webHidden/>
            <w:sz w:val="22"/>
            <w:szCs w:val="22"/>
            <w:rtl/>
          </w:rPr>
          <w:fldChar w:fldCharType="end"/>
        </w:r>
      </w:hyperlink>
    </w:p>
    <w:p w14:paraId="3C941BA2" w14:textId="34602326" w:rsidR="00D61F82" w:rsidRPr="00D61F82" w:rsidRDefault="008F1BC3" w:rsidP="00D61F82">
      <w:pPr>
        <w:pStyle w:val="TOC3"/>
        <w:tabs>
          <w:tab w:val="left" w:pos="1760"/>
        </w:tabs>
        <w:rPr>
          <w:rFonts w:asciiTheme="minorHAnsi" w:eastAsiaTheme="minorEastAsia" w:hAnsiTheme="minorHAnsi" w:cs="David"/>
          <w:noProof/>
          <w:sz w:val="22"/>
          <w:szCs w:val="22"/>
          <w:rtl/>
        </w:rPr>
      </w:pPr>
      <w:hyperlink w:anchor="_Toc74750959" w:history="1">
        <w:r w:rsidR="00D61F82">
          <w:rPr>
            <w:rStyle w:val="Hyperlink"/>
            <w:rFonts w:cs="David" w:hint="cs"/>
            <w:noProof/>
            <w:sz w:val="22"/>
            <w:szCs w:val="22"/>
            <w:rtl/>
          </w:rPr>
          <w:t>2.1.4.</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שאלון מסכם</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Toc74750959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29</w:t>
        </w:r>
        <w:r w:rsidR="00D61F82" w:rsidRPr="00D61F82">
          <w:rPr>
            <w:rFonts w:cs="David"/>
            <w:noProof/>
            <w:webHidden/>
            <w:sz w:val="22"/>
            <w:szCs w:val="22"/>
            <w:rtl/>
          </w:rPr>
          <w:fldChar w:fldCharType="end"/>
        </w:r>
      </w:hyperlink>
    </w:p>
    <w:p w14:paraId="18F4ECEC" w14:textId="63899725" w:rsidR="00D61F82" w:rsidRPr="00D61F82" w:rsidRDefault="008F1BC3" w:rsidP="00D61F82">
      <w:pPr>
        <w:pStyle w:val="TOC3"/>
        <w:tabs>
          <w:tab w:val="left" w:pos="1760"/>
        </w:tabs>
        <w:rPr>
          <w:rFonts w:asciiTheme="minorHAnsi" w:eastAsiaTheme="minorEastAsia" w:hAnsiTheme="minorHAnsi" w:cs="David"/>
          <w:noProof/>
          <w:sz w:val="22"/>
          <w:szCs w:val="22"/>
          <w:rtl/>
        </w:rPr>
      </w:pPr>
      <w:hyperlink w:anchor="_Toc74750960" w:history="1">
        <w:r w:rsidR="00D61F82">
          <w:rPr>
            <w:rStyle w:val="Hyperlink"/>
            <w:rFonts w:cs="David" w:hint="cs"/>
            <w:noProof/>
            <w:sz w:val="22"/>
            <w:szCs w:val="22"/>
            <w:rtl/>
          </w:rPr>
          <w:t>2.1.5.</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מהלכי תיקוף נוספים</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Toc74750960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30</w:t>
        </w:r>
        <w:r w:rsidR="00D61F82" w:rsidRPr="00D61F82">
          <w:rPr>
            <w:rFonts w:cs="David"/>
            <w:noProof/>
            <w:webHidden/>
            <w:sz w:val="22"/>
            <w:szCs w:val="22"/>
            <w:rtl/>
          </w:rPr>
          <w:fldChar w:fldCharType="end"/>
        </w:r>
      </w:hyperlink>
    </w:p>
    <w:p w14:paraId="0731CFC3" w14:textId="1107732B" w:rsidR="00D61F82" w:rsidRPr="00D61F82" w:rsidRDefault="008F1BC3" w:rsidP="00D61F82">
      <w:pPr>
        <w:pStyle w:val="TOC3"/>
        <w:tabs>
          <w:tab w:val="left" w:pos="1760"/>
        </w:tabs>
        <w:rPr>
          <w:rFonts w:asciiTheme="minorHAnsi" w:eastAsiaTheme="minorEastAsia" w:hAnsiTheme="minorHAnsi" w:cs="David"/>
          <w:noProof/>
          <w:sz w:val="22"/>
          <w:szCs w:val="22"/>
          <w:rtl/>
        </w:rPr>
      </w:pPr>
      <w:hyperlink w:anchor="_Toc74750961" w:history="1">
        <w:r w:rsidR="00D61F82">
          <w:rPr>
            <w:rStyle w:val="Hyperlink"/>
            <w:rFonts w:cs="David" w:hint="cs"/>
            <w:noProof/>
            <w:sz w:val="22"/>
            <w:szCs w:val="22"/>
            <w:rtl/>
          </w:rPr>
          <w:t>2.1.6.</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הערכת משקלות תיקים שלא נמדדו במסגרת המחקר</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Toc74750961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31</w:t>
        </w:r>
        <w:r w:rsidR="00D61F82" w:rsidRPr="00D61F82">
          <w:rPr>
            <w:rFonts w:cs="David"/>
            <w:noProof/>
            <w:webHidden/>
            <w:sz w:val="22"/>
            <w:szCs w:val="22"/>
            <w:rtl/>
          </w:rPr>
          <w:fldChar w:fldCharType="end"/>
        </w:r>
      </w:hyperlink>
    </w:p>
    <w:p w14:paraId="1CFC1DE5" w14:textId="730FBA97" w:rsidR="00D61F82" w:rsidRPr="00D61F82" w:rsidRDefault="008F1BC3" w:rsidP="00D61F82">
      <w:pPr>
        <w:pStyle w:val="TOC3"/>
        <w:tabs>
          <w:tab w:val="left" w:pos="2001"/>
        </w:tabs>
        <w:ind w:left="720" w:hanging="280"/>
        <w:rPr>
          <w:rFonts w:asciiTheme="minorHAnsi" w:eastAsiaTheme="minorEastAsia" w:hAnsiTheme="minorHAnsi" w:cs="David"/>
          <w:noProof/>
          <w:sz w:val="22"/>
          <w:szCs w:val="22"/>
          <w:rtl/>
        </w:rPr>
      </w:pPr>
      <w:hyperlink w:anchor="_Toc74750962" w:history="1">
        <w:r w:rsidR="00D61F82" w:rsidRPr="00D61F82">
          <w:rPr>
            <w:rStyle w:val="Hyperlink"/>
            <w:rFonts w:cs="David"/>
            <w:noProof/>
            <w:sz w:val="22"/>
            <w:szCs w:val="22"/>
            <w:rtl/>
          </w:rPr>
          <w:t>2.1.7.</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 xml:space="preserve">ביצוע הדרכות לקראת תקופת המחקר בקרב השופטים, הרשמים, והעוזרים המשפטיים ברחבי </w:t>
        </w:r>
        <w:r w:rsidR="00D61F82">
          <w:rPr>
            <w:rStyle w:val="Hyperlink"/>
            <w:rFonts w:cs="David" w:hint="cs"/>
            <w:noProof/>
            <w:sz w:val="22"/>
            <w:szCs w:val="22"/>
            <w:rtl/>
          </w:rPr>
          <w:t xml:space="preserve">  </w:t>
        </w:r>
        <w:r w:rsidR="00D61F82" w:rsidRPr="00D61F82">
          <w:rPr>
            <w:rStyle w:val="Hyperlink"/>
            <w:rFonts w:cs="David"/>
            <w:noProof/>
            <w:sz w:val="22"/>
            <w:szCs w:val="22"/>
            <w:rtl/>
          </w:rPr>
          <w:t>הארץ</w:t>
        </w:r>
        <w:r w:rsidR="00D61F82">
          <w:rPr>
            <w:rStyle w:val="Hyperlink"/>
            <w:rFonts w:cs="David" w:hint="cs"/>
            <w:noProof/>
            <w:sz w:val="22"/>
            <w:szCs w:val="22"/>
            <w:rtl/>
          </w:rPr>
          <w:t xml:space="preserve">                        </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Toc74750962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31</w:t>
        </w:r>
        <w:r w:rsidR="00D61F82" w:rsidRPr="00D61F82">
          <w:rPr>
            <w:rFonts w:cs="David"/>
            <w:noProof/>
            <w:webHidden/>
            <w:sz w:val="22"/>
            <w:szCs w:val="22"/>
            <w:rtl/>
          </w:rPr>
          <w:fldChar w:fldCharType="end"/>
        </w:r>
      </w:hyperlink>
    </w:p>
    <w:p w14:paraId="0F139A8F" w14:textId="7797DA8A"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0963" w:history="1">
        <w:r w:rsidR="00D61F82" w:rsidRPr="00D61F82">
          <w:rPr>
            <w:rStyle w:val="Hyperlink"/>
            <w:rFonts w:cs="David"/>
            <w:noProof/>
            <w:sz w:val="22"/>
            <w:szCs w:val="22"/>
            <w:rtl/>
          </w:rPr>
          <w:t>2.1.8.</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שלבי ביצוע המחקר</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Toc74750963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32</w:t>
        </w:r>
        <w:r w:rsidR="00D61F82" w:rsidRPr="00D61F82">
          <w:rPr>
            <w:rFonts w:cs="David"/>
            <w:noProof/>
            <w:webHidden/>
            <w:sz w:val="22"/>
            <w:szCs w:val="22"/>
            <w:rtl/>
          </w:rPr>
          <w:fldChar w:fldCharType="end"/>
        </w:r>
      </w:hyperlink>
    </w:p>
    <w:p w14:paraId="7E1D148C" w14:textId="1D4AC118" w:rsidR="00D61F82" w:rsidRPr="00D61F82" w:rsidRDefault="008F1BC3" w:rsidP="00D61F82">
      <w:pPr>
        <w:pStyle w:val="TOC4"/>
        <w:tabs>
          <w:tab w:val="left" w:pos="1991"/>
        </w:tabs>
        <w:rPr>
          <w:rFonts w:asciiTheme="minorHAnsi" w:eastAsiaTheme="minorEastAsia" w:hAnsiTheme="minorHAnsi" w:cs="David"/>
          <w:noProof/>
          <w:sz w:val="22"/>
          <w:szCs w:val="22"/>
          <w:rtl/>
        </w:rPr>
      </w:pPr>
      <w:hyperlink w:anchor="_Toc74750964" w:history="1">
        <w:r w:rsidR="00D61F82">
          <w:rPr>
            <w:rStyle w:val="Hyperlink"/>
            <w:rFonts w:cs="David" w:hint="cs"/>
            <w:noProof/>
            <w:sz w:val="22"/>
            <w:szCs w:val="22"/>
            <w:rtl/>
          </w:rPr>
          <w:t>2.1.8.1.</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ניסוי כלים</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Toc74750964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32</w:t>
        </w:r>
        <w:r w:rsidR="00D61F82" w:rsidRPr="00D61F82">
          <w:rPr>
            <w:rFonts w:cs="David"/>
            <w:noProof/>
            <w:webHidden/>
            <w:sz w:val="22"/>
            <w:szCs w:val="22"/>
            <w:rtl/>
          </w:rPr>
          <w:fldChar w:fldCharType="end"/>
        </w:r>
      </w:hyperlink>
    </w:p>
    <w:p w14:paraId="3CAA2C55" w14:textId="0C6D7E35" w:rsidR="00D61F82" w:rsidRPr="00D61F82" w:rsidRDefault="008F1BC3">
      <w:pPr>
        <w:pStyle w:val="TOC4"/>
        <w:tabs>
          <w:tab w:val="left" w:pos="2591"/>
        </w:tabs>
        <w:rPr>
          <w:rFonts w:asciiTheme="minorHAnsi" w:eastAsiaTheme="minorEastAsia" w:hAnsiTheme="minorHAnsi" w:cs="David"/>
          <w:noProof/>
          <w:sz w:val="22"/>
          <w:szCs w:val="22"/>
          <w:rtl/>
        </w:rPr>
      </w:pPr>
      <w:hyperlink w:anchor="_Toc74750965" w:history="1">
        <w:r w:rsidR="00D61F82" w:rsidRPr="00D61F82">
          <w:rPr>
            <w:rStyle w:val="Hyperlink"/>
            <w:rFonts w:cs="David"/>
            <w:noProof/>
            <w:sz w:val="22"/>
            <w:szCs w:val="22"/>
            <w:rtl/>
          </w:rPr>
          <w:t>2.1.8.2.</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תקופת המחקר</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Toc74750965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32</w:t>
        </w:r>
        <w:r w:rsidR="00D61F82" w:rsidRPr="00D61F82">
          <w:rPr>
            <w:rFonts w:cs="David"/>
            <w:noProof/>
            <w:webHidden/>
            <w:sz w:val="22"/>
            <w:szCs w:val="22"/>
            <w:rtl/>
          </w:rPr>
          <w:fldChar w:fldCharType="end"/>
        </w:r>
      </w:hyperlink>
    </w:p>
    <w:p w14:paraId="67737AE3" w14:textId="1D152D10" w:rsidR="00D61F82" w:rsidRPr="00D61F82" w:rsidRDefault="008F1BC3" w:rsidP="00D61F82">
      <w:pPr>
        <w:pStyle w:val="TOC2"/>
        <w:tabs>
          <w:tab w:val="left" w:pos="1320"/>
        </w:tabs>
        <w:rPr>
          <w:rFonts w:asciiTheme="minorHAnsi" w:eastAsiaTheme="minorEastAsia" w:hAnsiTheme="minorHAnsi" w:cs="David"/>
          <w:b w:val="0"/>
          <w:bCs w:val="0"/>
          <w:noProof/>
          <w:rtl/>
        </w:rPr>
      </w:pPr>
      <w:hyperlink w:anchor="_Toc74750966" w:history="1">
        <w:r w:rsidR="00D61F82">
          <w:rPr>
            <w:rStyle w:val="Hyperlink"/>
            <w:rFonts w:cs="David" w:hint="cs"/>
            <w:noProof/>
            <w:rtl/>
          </w:rPr>
          <w:t>2.2.</w:t>
        </w:r>
        <w:r w:rsidR="00D61F82" w:rsidRPr="00D61F82">
          <w:rPr>
            <w:rFonts w:asciiTheme="minorHAnsi" w:eastAsiaTheme="minorEastAsia" w:hAnsiTheme="minorHAnsi" w:cs="David"/>
            <w:b w:val="0"/>
            <w:bCs w:val="0"/>
            <w:noProof/>
            <w:rtl/>
          </w:rPr>
          <w:tab/>
        </w:r>
        <w:r w:rsidR="00D61F82" w:rsidRPr="00D61F82">
          <w:rPr>
            <w:rStyle w:val="Hyperlink"/>
            <w:rFonts w:cs="David"/>
            <w:noProof/>
            <w:rtl/>
          </w:rPr>
          <w:t>נתוני זמני דיונים שנאספו על ידי קלדניות בתי המשפט בערכאות השונות</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Toc74750966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33</w:t>
        </w:r>
        <w:r w:rsidR="00D61F82" w:rsidRPr="00D61F82">
          <w:rPr>
            <w:rFonts w:cs="David"/>
            <w:noProof/>
            <w:webHidden/>
            <w:rtl/>
          </w:rPr>
          <w:fldChar w:fldCharType="end"/>
        </w:r>
      </w:hyperlink>
    </w:p>
    <w:p w14:paraId="543E57A4" w14:textId="3B67CCEC"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0967" w:history="1">
        <w:r w:rsidR="00D61F82" w:rsidRPr="00D61F82">
          <w:rPr>
            <w:rStyle w:val="Hyperlink"/>
            <w:rFonts w:cs="David"/>
            <w:noProof/>
            <w:sz w:val="22"/>
            <w:szCs w:val="22"/>
            <w:rtl/>
          </w:rPr>
          <w:t>2.2.1.</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שיעורי ההשתתפות של הקלדניות במהלך תקופת המחקר</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Toc74750967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35</w:t>
        </w:r>
        <w:r w:rsidR="00D61F82" w:rsidRPr="00D61F82">
          <w:rPr>
            <w:rFonts w:cs="David"/>
            <w:noProof/>
            <w:webHidden/>
            <w:sz w:val="22"/>
            <w:szCs w:val="22"/>
            <w:rtl/>
          </w:rPr>
          <w:fldChar w:fldCharType="end"/>
        </w:r>
      </w:hyperlink>
    </w:p>
    <w:p w14:paraId="76B50E1C" w14:textId="1C5C720E"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0968" w:history="1">
        <w:r w:rsidR="00D61F82" w:rsidRPr="00D61F82">
          <w:rPr>
            <w:rStyle w:val="Hyperlink"/>
            <w:rFonts w:cs="David"/>
            <w:noProof/>
            <w:sz w:val="22"/>
            <w:szCs w:val="22"/>
            <w:rtl/>
          </w:rPr>
          <w:t>2.2.2.</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ביצוע הדרכות לקראת תקופת המחקר בקרב הקלדניות והמזכירים הראשיים ברחבי הארץ</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Toc74750968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36</w:t>
        </w:r>
        <w:r w:rsidR="00D61F82" w:rsidRPr="00D61F82">
          <w:rPr>
            <w:rFonts w:cs="David"/>
            <w:noProof/>
            <w:webHidden/>
            <w:sz w:val="22"/>
            <w:szCs w:val="22"/>
            <w:rtl/>
          </w:rPr>
          <w:fldChar w:fldCharType="end"/>
        </w:r>
      </w:hyperlink>
    </w:p>
    <w:p w14:paraId="1AEB38B7" w14:textId="3414294A"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0969" w:history="1">
        <w:r w:rsidR="00D61F82" w:rsidRPr="00D61F82">
          <w:rPr>
            <w:rStyle w:val="Hyperlink"/>
            <w:rFonts w:cs="David"/>
            <w:noProof/>
            <w:sz w:val="22"/>
            <w:szCs w:val="22"/>
            <w:rtl/>
          </w:rPr>
          <w:t>2.2.3.</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שלבי ביצוע המחקר</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Toc74750969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36</w:t>
        </w:r>
        <w:r w:rsidR="00D61F82" w:rsidRPr="00D61F82">
          <w:rPr>
            <w:rFonts w:cs="David"/>
            <w:noProof/>
            <w:webHidden/>
            <w:sz w:val="22"/>
            <w:szCs w:val="22"/>
            <w:rtl/>
          </w:rPr>
          <w:fldChar w:fldCharType="end"/>
        </w:r>
      </w:hyperlink>
    </w:p>
    <w:p w14:paraId="4CEB97BA" w14:textId="5A15F419" w:rsidR="00D61F82" w:rsidRPr="00D61F82" w:rsidRDefault="008F1BC3" w:rsidP="009F5570">
      <w:pPr>
        <w:pStyle w:val="TOC4"/>
        <w:tabs>
          <w:tab w:val="left" w:pos="1991"/>
        </w:tabs>
        <w:rPr>
          <w:rFonts w:asciiTheme="minorHAnsi" w:eastAsiaTheme="minorEastAsia" w:hAnsiTheme="minorHAnsi" w:cs="David"/>
          <w:noProof/>
          <w:sz w:val="22"/>
          <w:szCs w:val="22"/>
          <w:rtl/>
        </w:rPr>
      </w:pPr>
      <w:hyperlink w:anchor="_Toc74750970" w:history="1">
        <w:r w:rsidR="009F5570">
          <w:rPr>
            <w:rStyle w:val="Hyperlink"/>
            <w:rFonts w:cs="David" w:hint="cs"/>
            <w:noProof/>
            <w:sz w:val="22"/>
            <w:szCs w:val="22"/>
            <w:rtl/>
          </w:rPr>
          <w:t>2.2.3.1.</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תקופת המחקר</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Toc74750970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36</w:t>
        </w:r>
        <w:r w:rsidR="00D61F82" w:rsidRPr="00D61F82">
          <w:rPr>
            <w:rFonts w:cs="David"/>
            <w:noProof/>
            <w:webHidden/>
            <w:sz w:val="22"/>
            <w:szCs w:val="22"/>
            <w:rtl/>
          </w:rPr>
          <w:fldChar w:fldCharType="end"/>
        </w:r>
      </w:hyperlink>
    </w:p>
    <w:p w14:paraId="05288CD8" w14:textId="656F8127" w:rsidR="00D61F82" w:rsidRPr="00D61F82" w:rsidRDefault="008F1BC3">
      <w:pPr>
        <w:pStyle w:val="TOC4"/>
        <w:tabs>
          <w:tab w:val="left" w:pos="2591"/>
        </w:tabs>
        <w:rPr>
          <w:rFonts w:asciiTheme="minorHAnsi" w:eastAsiaTheme="minorEastAsia" w:hAnsiTheme="minorHAnsi" w:cs="David"/>
          <w:noProof/>
          <w:sz w:val="22"/>
          <w:szCs w:val="22"/>
          <w:rtl/>
        </w:rPr>
      </w:pPr>
      <w:hyperlink w:anchor="_Toc74750971" w:history="1">
        <w:r w:rsidR="00D61F82" w:rsidRPr="00D61F82">
          <w:rPr>
            <w:rStyle w:val="Hyperlink"/>
            <w:rFonts w:cs="David"/>
            <w:noProof/>
            <w:sz w:val="22"/>
            <w:szCs w:val="22"/>
            <w:rtl/>
          </w:rPr>
          <w:t>2.2.3.2.</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ניתוח הנתונים</w:t>
        </w:r>
        <w:r w:rsidR="00D61F82" w:rsidRPr="00D61F82">
          <w:rPr>
            <w:rFonts w:cs="David"/>
            <w:noProof/>
            <w:webHidden/>
            <w:sz w:val="22"/>
            <w:szCs w:val="22"/>
            <w:rtl/>
          </w:rPr>
          <w:tab/>
        </w:r>
        <w:r w:rsidR="009F5570">
          <w:rPr>
            <w:rFonts w:cs="David" w:hint="cs"/>
            <w:noProof/>
            <w:webHidden/>
            <w:sz w:val="22"/>
            <w:szCs w:val="22"/>
            <w:rtl/>
          </w:rPr>
          <w:t xml:space="preserve"> ..........................................................................................................</w:t>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Toc74750971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37</w:t>
        </w:r>
        <w:r w:rsidR="00D61F82" w:rsidRPr="00D61F82">
          <w:rPr>
            <w:rFonts w:cs="David"/>
            <w:noProof/>
            <w:webHidden/>
            <w:sz w:val="22"/>
            <w:szCs w:val="22"/>
            <w:rtl/>
          </w:rPr>
          <w:fldChar w:fldCharType="end"/>
        </w:r>
      </w:hyperlink>
    </w:p>
    <w:p w14:paraId="7FAFFEE0" w14:textId="6E18655E" w:rsidR="00D61F82" w:rsidRPr="00D61F82" w:rsidRDefault="008F1BC3" w:rsidP="009F5570">
      <w:pPr>
        <w:pStyle w:val="TOC2"/>
        <w:tabs>
          <w:tab w:val="left" w:pos="1320"/>
        </w:tabs>
        <w:rPr>
          <w:rFonts w:asciiTheme="minorHAnsi" w:eastAsiaTheme="minorEastAsia" w:hAnsiTheme="minorHAnsi" w:cs="David"/>
          <w:b w:val="0"/>
          <w:bCs w:val="0"/>
          <w:noProof/>
          <w:rtl/>
        </w:rPr>
      </w:pPr>
      <w:hyperlink w:anchor="_Toc74750972" w:history="1">
        <w:r w:rsidR="009F5570">
          <w:rPr>
            <w:rStyle w:val="Hyperlink"/>
            <w:rFonts w:cs="David" w:hint="cs"/>
            <w:noProof/>
            <w:rtl/>
          </w:rPr>
          <w:t>2.3.</w:t>
        </w:r>
        <w:r w:rsidR="00D61F82" w:rsidRPr="00D61F82">
          <w:rPr>
            <w:rFonts w:asciiTheme="minorHAnsi" w:eastAsiaTheme="minorEastAsia" w:hAnsiTheme="minorHAnsi" w:cs="David"/>
            <w:b w:val="0"/>
            <w:bCs w:val="0"/>
            <w:noProof/>
            <w:rtl/>
          </w:rPr>
          <w:tab/>
        </w:r>
        <w:r w:rsidR="00D61F82" w:rsidRPr="00D61F82">
          <w:rPr>
            <w:rStyle w:val="Hyperlink"/>
            <w:rFonts w:cs="David"/>
            <w:noProof/>
            <w:rtl/>
          </w:rPr>
          <w:t>מחקר סיבות סגירה: ביצוע בדיקות מדגמיות לבחינת סיבות סגירה של סוגי תיקים שונים</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Toc74750972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37</w:t>
        </w:r>
        <w:r w:rsidR="00D61F82" w:rsidRPr="00D61F82">
          <w:rPr>
            <w:rFonts w:cs="David"/>
            <w:noProof/>
            <w:webHidden/>
            <w:rtl/>
          </w:rPr>
          <w:fldChar w:fldCharType="end"/>
        </w:r>
      </w:hyperlink>
    </w:p>
    <w:p w14:paraId="1DD1D15C" w14:textId="47EAD093" w:rsidR="00D61F82" w:rsidRPr="00D61F82" w:rsidRDefault="008F1BC3" w:rsidP="009F5570">
      <w:pPr>
        <w:pStyle w:val="TOC2"/>
        <w:tabs>
          <w:tab w:val="left" w:pos="1320"/>
        </w:tabs>
        <w:rPr>
          <w:rFonts w:asciiTheme="minorHAnsi" w:eastAsiaTheme="minorEastAsia" w:hAnsiTheme="minorHAnsi" w:cs="David"/>
          <w:b w:val="0"/>
          <w:bCs w:val="0"/>
          <w:noProof/>
          <w:rtl/>
        </w:rPr>
      </w:pPr>
      <w:hyperlink w:anchor="_Toc74750973" w:history="1">
        <w:r w:rsidR="009F5570">
          <w:rPr>
            <w:rStyle w:val="Hyperlink"/>
            <w:rFonts w:cs="David" w:hint="cs"/>
            <w:noProof/>
            <w:rtl/>
          </w:rPr>
          <w:t>2.4.</w:t>
        </w:r>
        <w:r w:rsidR="00D61F82" w:rsidRPr="00D61F82">
          <w:rPr>
            <w:rFonts w:asciiTheme="minorHAnsi" w:eastAsiaTheme="minorEastAsia" w:hAnsiTheme="minorHAnsi" w:cs="David"/>
            <w:b w:val="0"/>
            <w:bCs w:val="0"/>
            <w:noProof/>
            <w:rtl/>
          </w:rPr>
          <w:tab/>
        </w:r>
        <w:r w:rsidR="00D61F82" w:rsidRPr="00D61F82">
          <w:rPr>
            <w:rStyle w:val="Hyperlink"/>
            <w:rFonts w:cs="David"/>
            <w:noProof/>
            <w:rtl/>
          </w:rPr>
          <w:t>איסוף נתוני המחשוב על תדירות האירועים המרכזיים בחיי התיק</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Toc74750973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39</w:t>
        </w:r>
        <w:r w:rsidR="00D61F82" w:rsidRPr="00D61F82">
          <w:rPr>
            <w:rFonts w:cs="David"/>
            <w:noProof/>
            <w:webHidden/>
            <w:rtl/>
          </w:rPr>
          <w:fldChar w:fldCharType="end"/>
        </w:r>
      </w:hyperlink>
    </w:p>
    <w:p w14:paraId="1559852D" w14:textId="2751867B" w:rsidR="00D61F82" w:rsidRPr="00D61F82" w:rsidRDefault="008F1BC3" w:rsidP="009F5570">
      <w:pPr>
        <w:pStyle w:val="TOC2"/>
        <w:tabs>
          <w:tab w:val="left" w:pos="1320"/>
        </w:tabs>
        <w:rPr>
          <w:rFonts w:asciiTheme="minorHAnsi" w:eastAsiaTheme="minorEastAsia" w:hAnsiTheme="minorHAnsi" w:cs="David"/>
          <w:b w:val="0"/>
          <w:bCs w:val="0"/>
          <w:noProof/>
          <w:rtl/>
        </w:rPr>
      </w:pPr>
      <w:hyperlink w:anchor="_Toc74750974" w:history="1">
        <w:r w:rsidR="009F5570">
          <w:rPr>
            <w:rStyle w:val="Hyperlink"/>
            <w:rFonts w:cs="David" w:hint="cs"/>
            <w:noProof/>
            <w:rtl/>
          </w:rPr>
          <w:t>2.5.</w:t>
        </w:r>
        <w:r w:rsidR="00D61F82" w:rsidRPr="00D61F82">
          <w:rPr>
            <w:rFonts w:asciiTheme="minorHAnsi" w:eastAsiaTheme="minorEastAsia" w:hAnsiTheme="minorHAnsi" w:cs="David"/>
            <w:b w:val="0"/>
            <w:bCs w:val="0"/>
            <w:noProof/>
            <w:rtl/>
          </w:rPr>
          <w:tab/>
        </w:r>
        <w:r w:rsidR="00D61F82" w:rsidRPr="00D61F82">
          <w:rPr>
            <w:rStyle w:val="Hyperlink"/>
            <w:rFonts w:cs="David"/>
            <w:noProof/>
            <w:rtl/>
          </w:rPr>
          <w:t>תוצרי המחקר</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Toc74750974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39</w:t>
        </w:r>
        <w:r w:rsidR="00D61F82" w:rsidRPr="00D61F82">
          <w:rPr>
            <w:rFonts w:cs="David"/>
            <w:noProof/>
            <w:webHidden/>
            <w:rtl/>
          </w:rPr>
          <w:fldChar w:fldCharType="end"/>
        </w:r>
      </w:hyperlink>
    </w:p>
    <w:p w14:paraId="2656BF27" w14:textId="21947612" w:rsidR="00D61F82" w:rsidRPr="00D61F82" w:rsidRDefault="008F1BC3" w:rsidP="009F5570">
      <w:pPr>
        <w:pStyle w:val="TOC3"/>
        <w:tabs>
          <w:tab w:val="left" w:pos="1760"/>
        </w:tabs>
        <w:rPr>
          <w:rFonts w:asciiTheme="minorHAnsi" w:eastAsiaTheme="minorEastAsia" w:hAnsiTheme="minorHAnsi" w:cs="David"/>
          <w:noProof/>
          <w:sz w:val="22"/>
          <w:szCs w:val="22"/>
          <w:rtl/>
        </w:rPr>
      </w:pPr>
      <w:hyperlink w:anchor="_Toc74750975" w:history="1">
        <w:r w:rsidR="009F5570">
          <w:rPr>
            <w:rStyle w:val="Hyperlink"/>
            <w:rFonts w:cs="David" w:hint="cs"/>
            <w:noProof/>
            <w:sz w:val="22"/>
            <w:szCs w:val="22"/>
            <w:rtl/>
          </w:rPr>
          <w:t>2.5.1.</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אופן חישוב הזמן השיפוטי הדרוש לטיפול בכל אחד מסוגי התיקים</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Toc74750975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40</w:t>
        </w:r>
        <w:r w:rsidR="00D61F82" w:rsidRPr="00D61F82">
          <w:rPr>
            <w:rFonts w:cs="David"/>
            <w:noProof/>
            <w:webHidden/>
            <w:sz w:val="22"/>
            <w:szCs w:val="22"/>
            <w:rtl/>
          </w:rPr>
          <w:fldChar w:fldCharType="end"/>
        </w:r>
      </w:hyperlink>
    </w:p>
    <w:p w14:paraId="68F010A9" w14:textId="3F88B04F" w:rsidR="00D61F82" w:rsidRPr="00D61F82" w:rsidRDefault="008F1BC3" w:rsidP="009F5570">
      <w:pPr>
        <w:pStyle w:val="TOC4"/>
        <w:tabs>
          <w:tab w:val="left" w:pos="1991"/>
        </w:tabs>
        <w:rPr>
          <w:rFonts w:asciiTheme="minorHAnsi" w:eastAsiaTheme="minorEastAsia" w:hAnsiTheme="minorHAnsi" w:cs="David"/>
          <w:noProof/>
          <w:sz w:val="22"/>
          <w:szCs w:val="22"/>
          <w:rtl/>
        </w:rPr>
      </w:pPr>
      <w:hyperlink w:anchor="_Toc74750976" w:history="1">
        <w:r w:rsidR="009F5570">
          <w:rPr>
            <w:rStyle w:val="Hyperlink"/>
            <w:rFonts w:cs="David" w:hint="cs"/>
            <w:noProof/>
            <w:sz w:val="22"/>
            <w:szCs w:val="22"/>
            <w:rtl/>
          </w:rPr>
          <w:t>2.5.1.1.</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אופן חישוב הזמן השיפוטי הדרוש לטיפול בתיקים הנדונים בהרכב שופטים</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Toc74750976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41</w:t>
        </w:r>
        <w:r w:rsidR="00D61F82" w:rsidRPr="00D61F82">
          <w:rPr>
            <w:rFonts w:cs="David"/>
            <w:noProof/>
            <w:webHidden/>
            <w:sz w:val="22"/>
            <w:szCs w:val="22"/>
            <w:rtl/>
          </w:rPr>
          <w:fldChar w:fldCharType="end"/>
        </w:r>
      </w:hyperlink>
    </w:p>
    <w:p w14:paraId="5CBC06E6" w14:textId="3A111915"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0977" w:history="1">
        <w:r w:rsidR="00D61F82" w:rsidRPr="00D61F82">
          <w:rPr>
            <w:rStyle w:val="Hyperlink"/>
            <w:rFonts w:cs="David"/>
            <w:noProof/>
            <w:sz w:val="22"/>
            <w:szCs w:val="22"/>
            <w:rtl/>
          </w:rPr>
          <w:t>2.5.2.</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חישוב תמהיל יום העבודה השיפוטי</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Toc74750977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42</w:t>
        </w:r>
        <w:r w:rsidR="00D61F82" w:rsidRPr="00D61F82">
          <w:rPr>
            <w:rFonts w:cs="David"/>
            <w:noProof/>
            <w:webHidden/>
            <w:sz w:val="22"/>
            <w:szCs w:val="22"/>
            <w:rtl/>
          </w:rPr>
          <w:fldChar w:fldCharType="end"/>
        </w:r>
      </w:hyperlink>
    </w:p>
    <w:p w14:paraId="346187C9" w14:textId="2A403895" w:rsidR="00D61F82" w:rsidRPr="00D61F82" w:rsidRDefault="008F1BC3">
      <w:pPr>
        <w:pStyle w:val="TOC1"/>
        <w:tabs>
          <w:tab w:val="left" w:pos="880"/>
        </w:tabs>
        <w:rPr>
          <w:rFonts w:asciiTheme="minorHAnsi" w:eastAsiaTheme="minorEastAsia" w:hAnsiTheme="minorHAnsi"/>
          <w:b w:val="0"/>
          <w:bCs w:val="0"/>
          <w:sz w:val="22"/>
          <w:szCs w:val="22"/>
          <w:rtl/>
        </w:rPr>
      </w:pPr>
      <w:hyperlink w:anchor="_Toc74750978" w:history="1">
        <w:r w:rsidR="00D61F82" w:rsidRPr="00D61F82">
          <w:rPr>
            <w:rStyle w:val="Hyperlink"/>
            <w:rFonts w:hAnsi="Times New Roman"/>
            <w:sz w:val="22"/>
            <w:szCs w:val="22"/>
            <w:rtl/>
          </w:rPr>
          <w:t>3.</w:t>
        </w:r>
        <w:r w:rsidR="00D61F82" w:rsidRPr="00D61F82">
          <w:rPr>
            <w:rFonts w:asciiTheme="minorHAnsi" w:eastAsiaTheme="minorEastAsia" w:hAnsiTheme="minorHAnsi"/>
            <w:b w:val="0"/>
            <w:bCs w:val="0"/>
            <w:sz w:val="22"/>
            <w:szCs w:val="22"/>
            <w:rtl/>
          </w:rPr>
          <w:tab/>
        </w:r>
        <w:r w:rsidR="00D61F82" w:rsidRPr="00D61F82">
          <w:rPr>
            <w:rStyle w:val="Hyperlink"/>
            <w:sz w:val="22"/>
            <w:szCs w:val="22"/>
            <w:rtl/>
          </w:rPr>
          <w:t>ממצאי המחקר</w:t>
        </w:r>
        <w:r w:rsidR="00D61F82" w:rsidRPr="00D61F82">
          <w:rPr>
            <w:webHidden/>
            <w:sz w:val="22"/>
            <w:szCs w:val="22"/>
            <w:rtl/>
          </w:rPr>
          <w:tab/>
        </w:r>
        <w:r w:rsidR="00D61F82" w:rsidRPr="00D61F82">
          <w:rPr>
            <w:webHidden/>
            <w:sz w:val="22"/>
            <w:szCs w:val="22"/>
            <w:rtl/>
          </w:rPr>
          <w:fldChar w:fldCharType="begin"/>
        </w:r>
        <w:r w:rsidR="00D61F82" w:rsidRPr="00D61F82">
          <w:rPr>
            <w:webHidden/>
            <w:sz w:val="22"/>
            <w:szCs w:val="22"/>
            <w:rtl/>
          </w:rPr>
          <w:instrText xml:space="preserve"> </w:instrText>
        </w:r>
        <w:r w:rsidR="00D61F82" w:rsidRPr="00D61F82">
          <w:rPr>
            <w:webHidden/>
            <w:sz w:val="22"/>
            <w:szCs w:val="22"/>
          </w:rPr>
          <w:instrText>PAGEREF</w:instrText>
        </w:r>
        <w:r w:rsidR="00D61F82" w:rsidRPr="00D61F82">
          <w:rPr>
            <w:webHidden/>
            <w:sz w:val="22"/>
            <w:szCs w:val="22"/>
            <w:rtl/>
          </w:rPr>
          <w:instrText xml:space="preserve"> _</w:instrText>
        </w:r>
        <w:r w:rsidR="00D61F82" w:rsidRPr="00D61F82">
          <w:rPr>
            <w:webHidden/>
            <w:sz w:val="22"/>
            <w:szCs w:val="22"/>
          </w:rPr>
          <w:instrText>Toc74750978 \h</w:instrText>
        </w:r>
        <w:r w:rsidR="00D61F82" w:rsidRPr="00D61F82">
          <w:rPr>
            <w:webHidden/>
            <w:sz w:val="22"/>
            <w:szCs w:val="22"/>
            <w:rtl/>
          </w:rPr>
          <w:instrText xml:space="preserve"> </w:instrText>
        </w:r>
        <w:r w:rsidR="00D61F82" w:rsidRPr="00D61F82">
          <w:rPr>
            <w:webHidden/>
            <w:sz w:val="22"/>
            <w:szCs w:val="22"/>
            <w:rtl/>
          </w:rPr>
        </w:r>
        <w:r w:rsidR="00D61F82" w:rsidRPr="00D61F82">
          <w:rPr>
            <w:webHidden/>
            <w:sz w:val="22"/>
            <w:szCs w:val="22"/>
            <w:rtl/>
          </w:rPr>
          <w:fldChar w:fldCharType="separate"/>
        </w:r>
        <w:r>
          <w:rPr>
            <w:webHidden/>
            <w:sz w:val="22"/>
            <w:szCs w:val="22"/>
            <w:rtl/>
          </w:rPr>
          <w:t>43</w:t>
        </w:r>
        <w:r w:rsidR="00D61F82" w:rsidRPr="00D61F82">
          <w:rPr>
            <w:webHidden/>
            <w:sz w:val="22"/>
            <w:szCs w:val="22"/>
            <w:rtl/>
          </w:rPr>
          <w:fldChar w:fldCharType="end"/>
        </w:r>
      </w:hyperlink>
    </w:p>
    <w:p w14:paraId="1CA308E2" w14:textId="0B60244E" w:rsidR="00D61F82" w:rsidRPr="00D61F82" w:rsidRDefault="008F1BC3">
      <w:pPr>
        <w:pStyle w:val="TOC2"/>
        <w:tabs>
          <w:tab w:val="left" w:pos="1540"/>
        </w:tabs>
        <w:rPr>
          <w:rFonts w:asciiTheme="minorHAnsi" w:eastAsiaTheme="minorEastAsia" w:hAnsiTheme="minorHAnsi" w:cs="David"/>
          <w:b w:val="0"/>
          <w:bCs w:val="0"/>
          <w:noProof/>
          <w:rtl/>
        </w:rPr>
      </w:pPr>
      <w:hyperlink w:anchor="_Toc74750979" w:history="1">
        <w:r w:rsidR="00D61F82" w:rsidRPr="00D61F82">
          <w:rPr>
            <w:rStyle w:val="Hyperlink"/>
            <w:rFonts w:cs="David"/>
            <w:noProof/>
            <w:rtl/>
          </w:rPr>
          <w:t>3.1.</w:t>
        </w:r>
        <w:r w:rsidR="00D61F82" w:rsidRPr="00D61F82">
          <w:rPr>
            <w:rFonts w:asciiTheme="minorHAnsi" w:eastAsiaTheme="minorEastAsia" w:hAnsiTheme="minorHAnsi" w:cs="David"/>
            <w:b w:val="0"/>
            <w:bCs w:val="0"/>
            <w:noProof/>
            <w:rtl/>
          </w:rPr>
          <w:tab/>
        </w:r>
        <w:r w:rsidR="00D61F82" w:rsidRPr="00D61F82">
          <w:rPr>
            <w:rStyle w:val="Hyperlink"/>
            <w:rFonts w:cs="David"/>
            <w:noProof/>
            <w:rtl/>
          </w:rPr>
          <w:t>ממצאי ערכאת המחוזי</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Toc74750979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45</w:t>
        </w:r>
        <w:r w:rsidR="00D61F82" w:rsidRPr="00D61F82">
          <w:rPr>
            <w:rFonts w:cs="David"/>
            <w:noProof/>
            <w:webHidden/>
            <w:rtl/>
          </w:rPr>
          <w:fldChar w:fldCharType="end"/>
        </w:r>
      </w:hyperlink>
    </w:p>
    <w:p w14:paraId="359877EE" w14:textId="59E3948A" w:rsidR="00D61F82" w:rsidRPr="00D61F82" w:rsidRDefault="008F1BC3" w:rsidP="009F5570">
      <w:pPr>
        <w:pStyle w:val="TOC3"/>
        <w:tabs>
          <w:tab w:val="left" w:pos="1760"/>
        </w:tabs>
        <w:rPr>
          <w:rFonts w:asciiTheme="minorHAnsi" w:eastAsiaTheme="minorEastAsia" w:hAnsiTheme="minorHAnsi" w:cs="David"/>
          <w:noProof/>
          <w:sz w:val="22"/>
          <w:szCs w:val="22"/>
          <w:rtl/>
        </w:rPr>
      </w:pPr>
      <w:hyperlink w:anchor="_Toc74750980" w:history="1">
        <w:r w:rsidR="009F5570">
          <w:rPr>
            <w:rStyle w:val="Hyperlink"/>
            <w:rFonts w:cs="David" w:hint="cs"/>
            <w:noProof/>
            <w:sz w:val="22"/>
            <w:szCs w:val="22"/>
            <w:rtl/>
          </w:rPr>
          <w:t>3.1.1.</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התאמות ליומני השופטים בערכאת המחוזי</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Toc74750980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45</w:t>
        </w:r>
        <w:r w:rsidR="00D61F82" w:rsidRPr="00D61F82">
          <w:rPr>
            <w:rFonts w:cs="David"/>
            <w:noProof/>
            <w:webHidden/>
            <w:sz w:val="22"/>
            <w:szCs w:val="22"/>
            <w:rtl/>
          </w:rPr>
          <w:fldChar w:fldCharType="end"/>
        </w:r>
      </w:hyperlink>
    </w:p>
    <w:p w14:paraId="353DB749" w14:textId="7651A1A0"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0981" w:history="1">
        <w:r w:rsidR="00D61F82" w:rsidRPr="00D61F82">
          <w:rPr>
            <w:rStyle w:val="Hyperlink"/>
            <w:rFonts w:cs="David"/>
            <w:noProof/>
            <w:sz w:val="22"/>
            <w:szCs w:val="22"/>
            <w:rtl/>
          </w:rPr>
          <w:t>3.1.2.</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ממצאי המחקר לגבי תיקי ערכאת המחוזי</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Toc74750981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46</w:t>
        </w:r>
        <w:r w:rsidR="00D61F82" w:rsidRPr="00D61F82">
          <w:rPr>
            <w:rFonts w:cs="David"/>
            <w:noProof/>
            <w:webHidden/>
            <w:sz w:val="22"/>
            <w:szCs w:val="22"/>
            <w:rtl/>
          </w:rPr>
          <w:fldChar w:fldCharType="end"/>
        </w:r>
      </w:hyperlink>
    </w:p>
    <w:p w14:paraId="1BAD2C7C" w14:textId="3DF1BF54" w:rsidR="00D61F82" w:rsidRPr="00D61F82" w:rsidRDefault="008F1BC3">
      <w:pPr>
        <w:pStyle w:val="TOC4"/>
        <w:tabs>
          <w:tab w:val="left" w:pos="2591"/>
        </w:tabs>
        <w:rPr>
          <w:rFonts w:asciiTheme="minorHAnsi" w:eastAsiaTheme="minorEastAsia" w:hAnsiTheme="minorHAnsi" w:cs="David"/>
          <w:noProof/>
          <w:sz w:val="22"/>
          <w:szCs w:val="22"/>
          <w:rtl/>
        </w:rPr>
      </w:pPr>
      <w:hyperlink w:anchor="_Toc74750982" w:history="1">
        <w:r w:rsidR="00D61F82" w:rsidRPr="00D61F82">
          <w:rPr>
            <w:rStyle w:val="Hyperlink"/>
            <w:rFonts w:cs="David"/>
            <w:noProof/>
            <w:sz w:val="22"/>
            <w:szCs w:val="22"/>
            <w:rtl/>
          </w:rPr>
          <w:t>3.1.2.1.</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הזמן השיפוטי הדרוש לטיפול בתיקי ערכאת המחוזי</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Toc74750982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46</w:t>
        </w:r>
        <w:r w:rsidR="00D61F82" w:rsidRPr="00D61F82">
          <w:rPr>
            <w:rFonts w:cs="David"/>
            <w:noProof/>
            <w:webHidden/>
            <w:sz w:val="22"/>
            <w:szCs w:val="22"/>
            <w:rtl/>
          </w:rPr>
          <w:fldChar w:fldCharType="end"/>
        </w:r>
      </w:hyperlink>
    </w:p>
    <w:p w14:paraId="5D905707" w14:textId="57E9BA4F" w:rsidR="00D61F82" w:rsidRPr="00D61F82" w:rsidRDefault="008F1BC3">
      <w:pPr>
        <w:pStyle w:val="TOC4"/>
        <w:tabs>
          <w:tab w:val="left" w:pos="2591"/>
        </w:tabs>
        <w:rPr>
          <w:rFonts w:asciiTheme="minorHAnsi" w:eastAsiaTheme="minorEastAsia" w:hAnsiTheme="minorHAnsi" w:cs="David"/>
          <w:noProof/>
          <w:sz w:val="22"/>
          <w:szCs w:val="22"/>
          <w:rtl/>
        </w:rPr>
      </w:pPr>
      <w:hyperlink w:anchor="_Toc74750983" w:history="1">
        <w:r w:rsidR="00D61F82" w:rsidRPr="00D61F82">
          <w:rPr>
            <w:rStyle w:val="Hyperlink"/>
            <w:rFonts w:cs="David"/>
            <w:noProof/>
            <w:sz w:val="22"/>
            <w:szCs w:val="22"/>
            <w:rtl/>
          </w:rPr>
          <w:t>3.1.2.2.</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תיקוף ממצאי המחקר בנוגע לחלק מתיקי ערכאת המחוזי</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Toc74750983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47</w:t>
        </w:r>
        <w:r w:rsidR="00D61F82" w:rsidRPr="00D61F82">
          <w:rPr>
            <w:rFonts w:cs="David"/>
            <w:noProof/>
            <w:webHidden/>
            <w:sz w:val="22"/>
            <w:szCs w:val="22"/>
            <w:rtl/>
          </w:rPr>
          <w:fldChar w:fldCharType="end"/>
        </w:r>
      </w:hyperlink>
    </w:p>
    <w:p w14:paraId="05679A69" w14:textId="76F4C67A" w:rsidR="00D61F82" w:rsidRPr="00D61F82" w:rsidRDefault="008F1BC3">
      <w:pPr>
        <w:pStyle w:val="TOC4"/>
        <w:tabs>
          <w:tab w:val="left" w:pos="2591"/>
        </w:tabs>
        <w:rPr>
          <w:rFonts w:asciiTheme="minorHAnsi" w:eastAsiaTheme="minorEastAsia" w:hAnsiTheme="minorHAnsi" w:cs="David"/>
          <w:noProof/>
          <w:sz w:val="22"/>
          <w:szCs w:val="22"/>
          <w:rtl/>
        </w:rPr>
      </w:pPr>
      <w:hyperlink w:anchor="_Toc74750984" w:history="1">
        <w:r w:rsidR="00D61F82" w:rsidRPr="00D61F82">
          <w:rPr>
            <w:rStyle w:val="Hyperlink"/>
            <w:rFonts w:cs="David"/>
            <w:noProof/>
            <w:sz w:val="22"/>
            <w:szCs w:val="22"/>
            <w:rtl/>
          </w:rPr>
          <w:t>3.1.2.3.</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הצגת זמני הטיפול בתיקי ערכאת המחוזי</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Toc74750984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51</w:t>
        </w:r>
        <w:r w:rsidR="00D61F82" w:rsidRPr="00D61F82">
          <w:rPr>
            <w:rFonts w:cs="David"/>
            <w:noProof/>
            <w:webHidden/>
            <w:sz w:val="22"/>
            <w:szCs w:val="22"/>
            <w:rtl/>
          </w:rPr>
          <w:fldChar w:fldCharType="end"/>
        </w:r>
      </w:hyperlink>
    </w:p>
    <w:p w14:paraId="729B7313" w14:textId="6DC2A47F" w:rsidR="00D61F82" w:rsidRPr="00D61F82" w:rsidRDefault="008F1BC3">
      <w:pPr>
        <w:pStyle w:val="TOC4"/>
        <w:tabs>
          <w:tab w:val="left" w:pos="2591"/>
        </w:tabs>
        <w:rPr>
          <w:rFonts w:asciiTheme="minorHAnsi" w:eastAsiaTheme="minorEastAsia" w:hAnsiTheme="minorHAnsi" w:cs="David"/>
          <w:noProof/>
          <w:sz w:val="22"/>
          <w:szCs w:val="22"/>
          <w:rtl/>
        </w:rPr>
      </w:pPr>
      <w:hyperlink w:anchor="_Toc74750985" w:history="1">
        <w:r w:rsidR="00D61F82" w:rsidRPr="00D61F82">
          <w:rPr>
            <w:rStyle w:val="Hyperlink"/>
            <w:rFonts w:cs="David"/>
            <w:noProof/>
            <w:sz w:val="22"/>
            <w:szCs w:val="22"/>
            <w:rtl/>
          </w:rPr>
          <w:t>3.1.2.4.</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זמני הטיפול בתיקי ערכאת המחוזי בחלוקה לסוג ההליך</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Toc74750985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53</w:t>
        </w:r>
        <w:r w:rsidR="00D61F82" w:rsidRPr="00D61F82">
          <w:rPr>
            <w:rFonts w:cs="David"/>
            <w:noProof/>
            <w:webHidden/>
            <w:sz w:val="22"/>
            <w:szCs w:val="22"/>
            <w:rtl/>
          </w:rPr>
          <w:fldChar w:fldCharType="end"/>
        </w:r>
      </w:hyperlink>
    </w:p>
    <w:p w14:paraId="509AA44D" w14:textId="72BCB3F8" w:rsidR="00D61F82" w:rsidRPr="00D61F82" w:rsidRDefault="008F1BC3">
      <w:pPr>
        <w:pStyle w:val="TOC5"/>
        <w:tabs>
          <w:tab w:val="left" w:pos="3181"/>
        </w:tabs>
        <w:rPr>
          <w:rFonts w:asciiTheme="minorHAnsi" w:eastAsiaTheme="minorEastAsia" w:hAnsiTheme="minorHAnsi" w:cs="David"/>
          <w:noProof/>
          <w:sz w:val="22"/>
          <w:szCs w:val="22"/>
          <w:rtl/>
        </w:rPr>
      </w:pPr>
      <w:hyperlink w:anchor="_Toc74750986" w:history="1">
        <w:r w:rsidR="00D61F82" w:rsidRPr="00D61F82">
          <w:rPr>
            <w:rStyle w:val="Hyperlink"/>
            <w:rFonts w:cs="David"/>
            <w:noProof/>
            <w:sz w:val="22"/>
            <w:szCs w:val="22"/>
            <w:rtl/>
          </w:rPr>
          <w:t>3.1.2.4.1.</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זמני הטיפול בתיקים אזרחיים/מנהליים בערכאת המחוזי</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Toc74750986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54</w:t>
        </w:r>
        <w:r w:rsidR="00D61F82" w:rsidRPr="00D61F82">
          <w:rPr>
            <w:rFonts w:cs="David"/>
            <w:noProof/>
            <w:webHidden/>
            <w:sz w:val="22"/>
            <w:szCs w:val="22"/>
            <w:rtl/>
          </w:rPr>
          <w:fldChar w:fldCharType="end"/>
        </w:r>
      </w:hyperlink>
    </w:p>
    <w:p w14:paraId="579DF650" w14:textId="608CB18F" w:rsidR="00D61F82" w:rsidRPr="00D61F82" w:rsidRDefault="008F1BC3">
      <w:pPr>
        <w:pStyle w:val="TOC5"/>
        <w:tabs>
          <w:tab w:val="left" w:pos="3181"/>
        </w:tabs>
        <w:rPr>
          <w:rFonts w:asciiTheme="minorHAnsi" w:eastAsiaTheme="minorEastAsia" w:hAnsiTheme="minorHAnsi" w:cs="David"/>
          <w:noProof/>
          <w:sz w:val="22"/>
          <w:szCs w:val="22"/>
          <w:rtl/>
        </w:rPr>
      </w:pPr>
      <w:hyperlink w:anchor="_Toc74750987" w:history="1">
        <w:r w:rsidR="00D61F82" w:rsidRPr="00D61F82">
          <w:rPr>
            <w:rStyle w:val="Hyperlink"/>
            <w:rFonts w:cs="David"/>
            <w:noProof/>
            <w:sz w:val="22"/>
            <w:szCs w:val="22"/>
            <w:rtl/>
          </w:rPr>
          <w:t>3.1.2.4.2.</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זמני הטיפול בתיקים פליליים בערכאת המחוזי</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Toc74750987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55</w:t>
        </w:r>
        <w:r w:rsidR="00D61F82" w:rsidRPr="00D61F82">
          <w:rPr>
            <w:rFonts w:cs="David"/>
            <w:noProof/>
            <w:webHidden/>
            <w:sz w:val="22"/>
            <w:szCs w:val="22"/>
            <w:rtl/>
          </w:rPr>
          <w:fldChar w:fldCharType="end"/>
        </w:r>
      </w:hyperlink>
    </w:p>
    <w:p w14:paraId="61FF3AD2" w14:textId="4E96BE24" w:rsidR="00D61F82" w:rsidRPr="00D61F82" w:rsidRDefault="008F1BC3" w:rsidP="009F5570">
      <w:pPr>
        <w:pStyle w:val="TOC5"/>
        <w:tabs>
          <w:tab w:val="left" w:pos="2431"/>
        </w:tabs>
        <w:rPr>
          <w:rFonts w:asciiTheme="minorHAnsi" w:eastAsiaTheme="minorEastAsia" w:hAnsiTheme="minorHAnsi" w:cs="David"/>
          <w:noProof/>
          <w:sz w:val="22"/>
          <w:szCs w:val="22"/>
          <w:rtl/>
        </w:rPr>
      </w:pPr>
      <w:hyperlink w:anchor="_Toc74750988" w:history="1">
        <w:r w:rsidR="009F5570">
          <w:rPr>
            <w:rStyle w:val="Hyperlink"/>
            <w:rFonts w:cs="David" w:hint="cs"/>
            <w:noProof/>
            <w:sz w:val="22"/>
            <w:szCs w:val="22"/>
            <w:rtl/>
          </w:rPr>
          <w:t>3.1.2.4.3.</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זמני הטיפול השיפוטי בתיק מסוג ת"א, בחלוקה לסוגי העניין המרכזיים</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Toc74750988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56</w:t>
        </w:r>
        <w:r w:rsidR="00D61F82" w:rsidRPr="00D61F82">
          <w:rPr>
            <w:rFonts w:cs="David"/>
            <w:noProof/>
            <w:webHidden/>
            <w:sz w:val="22"/>
            <w:szCs w:val="22"/>
            <w:rtl/>
          </w:rPr>
          <w:fldChar w:fldCharType="end"/>
        </w:r>
      </w:hyperlink>
    </w:p>
    <w:p w14:paraId="17806960" w14:textId="68E7830C"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0989" w:history="1">
        <w:r w:rsidR="00D61F82" w:rsidRPr="00D61F82">
          <w:rPr>
            <w:rStyle w:val="Hyperlink"/>
            <w:rFonts w:cs="David"/>
            <w:noProof/>
            <w:sz w:val="22"/>
            <w:szCs w:val="22"/>
            <w:rtl/>
          </w:rPr>
          <w:t>3.1.3.</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תמהיל יום העבודה השיפוטי - מחוזי</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Toc74750989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59</w:t>
        </w:r>
        <w:r w:rsidR="00D61F82" w:rsidRPr="00D61F82">
          <w:rPr>
            <w:rFonts w:cs="David"/>
            <w:noProof/>
            <w:webHidden/>
            <w:sz w:val="22"/>
            <w:szCs w:val="22"/>
            <w:rtl/>
          </w:rPr>
          <w:fldChar w:fldCharType="end"/>
        </w:r>
      </w:hyperlink>
    </w:p>
    <w:p w14:paraId="34574E9C" w14:textId="24CF24F3" w:rsidR="00D61F82" w:rsidRPr="00D61F82" w:rsidRDefault="008F1BC3">
      <w:pPr>
        <w:pStyle w:val="TOC4"/>
        <w:tabs>
          <w:tab w:val="left" w:pos="2591"/>
        </w:tabs>
        <w:rPr>
          <w:rFonts w:asciiTheme="minorHAnsi" w:eastAsiaTheme="minorEastAsia" w:hAnsiTheme="minorHAnsi" w:cs="David"/>
          <w:noProof/>
          <w:sz w:val="22"/>
          <w:szCs w:val="22"/>
          <w:rtl/>
        </w:rPr>
      </w:pPr>
      <w:hyperlink w:anchor="_Toc74750990" w:history="1">
        <w:r w:rsidR="00D61F82" w:rsidRPr="00D61F82">
          <w:rPr>
            <w:rStyle w:val="Hyperlink"/>
            <w:rFonts w:cs="David"/>
            <w:noProof/>
            <w:sz w:val="22"/>
            <w:szCs w:val="22"/>
            <w:rtl/>
          </w:rPr>
          <w:t>3.1.3.1.</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פילוח בהבחנה בין שופט אזרחי לפלילי</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Toc74750990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60</w:t>
        </w:r>
        <w:r w:rsidR="00D61F82" w:rsidRPr="00D61F82">
          <w:rPr>
            <w:rFonts w:cs="David"/>
            <w:noProof/>
            <w:webHidden/>
            <w:sz w:val="22"/>
            <w:szCs w:val="22"/>
            <w:rtl/>
          </w:rPr>
          <w:fldChar w:fldCharType="end"/>
        </w:r>
      </w:hyperlink>
    </w:p>
    <w:p w14:paraId="146F7C22" w14:textId="7791DEC1" w:rsidR="00D61F82" w:rsidRPr="00D61F82" w:rsidRDefault="008F1BC3">
      <w:pPr>
        <w:pStyle w:val="TOC2"/>
        <w:tabs>
          <w:tab w:val="left" w:pos="1540"/>
        </w:tabs>
        <w:rPr>
          <w:rFonts w:asciiTheme="minorHAnsi" w:eastAsiaTheme="minorEastAsia" w:hAnsiTheme="minorHAnsi" w:cs="David"/>
          <w:b w:val="0"/>
          <w:bCs w:val="0"/>
          <w:noProof/>
          <w:rtl/>
        </w:rPr>
      </w:pPr>
      <w:hyperlink w:anchor="_Toc74750991" w:history="1">
        <w:r w:rsidR="00D61F82" w:rsidRPr="00D61F82">
          <w:rPr>
            <w:rStyle w:val="Hyperlink"/>
            <w:rFonts w:cs="David"/>
            <w:noProof/>
            <w:rtl/>
          </w:rPr>
          <w:t>3.2.</w:t>
        </w:r>
        <w:r w:rsidR="00D61F82" w:rsidRPr="00D61F82">
          <w:rPr>
            <w:rFonts w:asciiTheme="minorHAnsi" w:eastAsiaTheme="minorEastAsia" w:hAnsiTheme="minorHAnsi" w:cs="David"/>
            <w:b w:val="0"/>
            <w:bCs w:val="0"/>
            <w:noProof/>
            <w:rtl/>
          </w:rPr>
          <w:tab/>
        </w:r>
        <w:r w:rsidR="00D61F82" w:rsidRPr="00D61F82">
          <w:rPr>
            <w:rStyle w:val="Hyperlink"/>
            <w:rFonts w:cs="David"/>
            <w:noProof/>
            <w:rtl/>
          </w:rPr>
          <w:t>ממצאי ערכאת השלום (לא כולל בתי המשפט לתעבורה, נוער ומשפחה)</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Toc74750991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62</w:t>
        </w:r>
        <w:r w:rsidR="00D61F82" w:rsidRPr="00D61F82">
          <w:rPr>
            <w:rFonts w:cs="David"/>
            <w:noProof/>
            <w:webHidden/>
            <w:rtl/>
          </w:rPr>
          <w:fldChar w:fldCharType="end"/>
        </w:r>
      </w:hyperlink>
    </w:p>
    <w:p w14:paraId="13F9E671" w14:textId="66C61F60" w:rsidR="00D61F82" w:rsidRPr="00D61F82" w:rsidRDefault="008F1BC3" w:rsidP="004C7658">
      <w:pPr>
        <w:pStyle w:val="TOC3"/>
        <w:tabs>
          <w:tab w:val="left" w:pos="1760"/>
        </w:tabs>
        <w:rPr>
          <w:rFonts w:asciiTheme="minorHAnsi" w:eastAsiaTheme="minorEastAsia" w:hAnsiTheme="minorHAnsi" w:cs="David"/>
          <w:noProof/>
          <w:sz w:val="22"/>
          <w:szCs w:val="22"/>
          <w:rtl/>
        </w:rPr>
      </w:pPr>
      <w:hyperlink w:anchor="_Toc74750992" w:history="1">
        <w:r w:rsidR="004C7658">
          <w:rPr>
            <w:rStyle w:val="Hyperlink"/>
            <w:rFonts w:cs="David" w:hint="cs"/>
            <w:noProof/>
            <w:sz w:val="22"/>
            <w:szCs w:val="22"/>
            <w:rtl/>
          </w:rPr>
          <w:t>3.2.1.</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התאמות ליומני השופטים בערכאת השלום</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Toc74750992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62</w:t>
        </w:r>
        <w:r w:rsidR="00D61F82" w:rsidRPr="00D61F82">
          <w:rPr>
            <w:rFonts w:cs="David"/>
            <w:noProof/>
            <w:webHidden/>
            <w:sz w:val="22"/>
            <w:szCs w:val="22"/>
            <w:rtl/>
          </w:rPr>
          <w:fldChar w:fldCharType="end"/>
        </w:r>
      </w:hyperlink>
    </w:p>
    <w:p w14:paraId="750A3877" w14:textId="1909E2C3"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0993" w:history="1">
        <w:r w:rsidR="00D61F82" w:rsidRPr="00D61F82">
          <w:rPr>
            <w:rStyle w:val="Hyperlink"/>
            <w:rFonts w:cs="David"/>
            <w:noProof/>
            <w:sz w:val="22"/>
            <w:szCs w:val="22"/>
            <w:rtl/>
          </w:rPr>
          <w:t>3.2.2.</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הזמן השיפוטי הדרוש לטיפול בתיקי ערכאת השלום</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Toc74750993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63</w:t>
        </w:r>
        <w:r w:rsidR="00D61F82" w:rsidRPr="00D61F82">
          <w:rPr>
            <w:rFonts w:cs="David"/>
            <w:noProof/>
            <w:webHidden/>
            <w:sz w:val="22"/>
            <w:szCs w:val="22"/>
            <w:rtl/>
          </w:rPr>
          <w:fldChar w:fldCharType="end"/>
        </w:r>
      </w:hyperlink>
    </w:p>
    <w:p w14:paraId="24252F02" w14:textId="493F51D3" w:rsidR="00D61F82" w:rsidRPr="00D61F82" w:rsidRDefault="008F1BC3">
      <w:pPr>
        <w:pStyle w:val="TOC4"/>
        <w:tabs>
          <w:tab w:val="left" w:pos="2591"/>
        </w:tabs>
        <w:rPr>
          <w:rFonts w:asciiTheme="minorHAnsi" w:eastAsiaTheme="minorEastAsia" w:hAnsiTheme="minorHAnsi" w:cs="David"/>
          <w:noProof/>
          <w:sz w:val="22"/>
          <w:szCs w:val="22"/>
          <w:rtl/>
        </w:rPr>
      </w:pPr>
      <w:hyperlink w:anchor="_Toc74750994" w:history="1">
        <w:r w:rsidR="00D61F82" w:rsidRPr="00D61F82">
          <w:rPr>
            <w:rStyle w:val="Hyperlink"/>
            <w:rFonts w:cs="David"/>
            <w:noProof/>
            <w:sz w:val="22"/>
            <w:szCs w:val="22"/>
            <w:rtl/>
          </w:rPr>
          <w:t>3.2.2.1.</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זמני הטיפול בתיקי ערכאת השלום בחלוקה לסוג ההליך:</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Toc74750994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68</w:t>
        </w:r>
        <w:r w:rsidR="00D61F82" w:rsidRPr="00D61F82">
          <w:rPr>
            <w:rFonts w:cs="David"/>
            <w:noProof/>
            <w:webHidden/>
            <w:sz w:val="22"/>
            <w:szCs w:val="22"/>
            <w:rtl/>
          </w:rPr>
          <w:fldChar w:fldCharType="end"/>
        </w:r>
      </w:hyperlink>
    </w:p>
    <w:p w14:paraId="41892A48" w14:textId="44F40070" w:rsidR="00D61F82" w:rsidRPr="00D61F82" w:rsidRDefault="008F1BC3">
      <w:pPr>
        <w:pStyle w:val="TOC5"/>
        <w:tabs>
          <w:tab w:val="left" w:pos="3181"/>
        </w:tabs>
        <w:rPr>
          <w:rFonts w:asciiTheme="minorHAnsi" w:eastAsiaTheme="minorEastAsia" w:hAnsiTheme="minorHAnsi" w:cs="David"/>
          <w:noProof/>
          <w:sz w:val="22"/>
          <w:szCs w:val="22"/>
          <w:rtl/>
        </w:rPr>
      </w:pPr>
      <w:hyperlink w:anchor="_Toc74750995" w:history="1">
        <w:r w:rsidR="00D61F82" w:rsidRPr="00D61F82">
          <w:rPr>
            <w:rStyle w:val="Hyperlink"/>
            <w:rFonts w:cs="David"/>
            <w:noProof/>
            <w:sz w:val="22"/>
            <w:szCs w:val="22"/>
            <w:rtl/>
          </w:rPr>
          <w:t>3.2.2.1.1.</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זמני הטיפול בתיקים אזרחיים בערכאת השלום</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Toc74750995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68</w:t>
        </w:r>
        <w:r w:rsidR="00D61F82" w:rsidRPr="00D61F82">
          <w:rPr>
            <w:rFonts w:cs="David"/>
            <w:noProof/>
            <w:webHidden/>
            <w:sz w:val="22"/>
            <w:szCs w:val="22"/>
            <w:rtl/>
          </w:rPr>
          <w:fldChar w:fldCharType="end"/>
        </w:r>
      </w:hyperlink>
    </w:p>
    <w:p w14:paraId="4627DBBB" w14:textId="208DDD59" w:rsidR="00D61F82" w:rsidRPr="00D61F82" w:rsidRDefault="008F1BC3">
      <w:pPr>
        <w:pStyle w:val="TOC5"/>
        <w:tabs>
          <w:tab w:val="left" w:pos="3181"/>
        </w:tabs>
        <w:rPr>
          <w:rFonts w:asciiTheme="minorHAnsi" w:eastAsiaTheme="minorEastAsia" w:hAnsiTheme="minorHAnsi" w:cs="David"/>
          <w:noProof/>
          <w:sz w:val="22"/>
          <w:szCs w:val="22"/>
          <w:rtl/>
        </w:rPr>
      </w:pPr>
      <w:hyperlink w:anchor="_Toc74750996" w:history="1">
        <w:r w:rsidR="00D61F82" w:rsidRPr="00D61F82">
          <w:rPr>
            <w:rStyle w:val="Hyperlink"/>
            <w:rFonts w:cs="David"/>
            <w:noProof/>
            <w:sz w:val="22"/>
            <w:szCs w:val="22"/>
            <w:rtl/>
          </w:rPr>
          <w:t>3.2.2.1.2.</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זמני הטיפול בתיקים פליליים בערכאת השלום</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Toc74750996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69</w:t>
        </w:r>
        <w:r w:rsidR="00D61F82" w:rsidRPr="00D61F82">
          <w:rPr>
            <w:rFonts w:cs="David"/>
            <w:noProof/>
            <w:webHidden/>
            <w:sz w:val="22"/>
            <w:szCs w:val="22"/>
            <w:rtl/>
          </w:rPr>
          <w:fldChar w:fldCharType="end"/>
        </w:r>
      </w:hyperlink>
    </w:p>
    <w:p w14:paraId="02256B08" w14:textId="04090CC2" w:rsidR="00D61F82" w:rsidRPr="00D61F82" w:rsidRDefault="008F1BC3">
      <w:pPr>
        <w:pStyle w:val="TOC5"/>
        <w:tabs>
          <w:tab w:val="left" w:pos="3181"/>
        </w:tabs>
        <w:rPr>
          <w:rFonts w:asciiTheme="minorHAnsi" w:eastAsiaTheme="minorEastAsia" w:hAnsiTheme="minorHAnsi" w:cs="David"/>
          <w:noProof/>
          <w:sz w:val="22"/>
          <w:szCs w:val="22"/>
          <w:rtl/>
        </w:rPr>
      </w:pPr>
      <w:hyperlink w:anchor="_Toc74750997" w:history="1">
        <w:r w:rsidR="00D61F82" w:rsidRPr="00D61F82">
          <w:rPr>
            <w:rStyle w:val="Hyperlink"/>
            <w:rFonts w:cs="David"/>
            <w:noProof/>
            <w:sz w:val="22"/>
            <w:szCs w:val="22"/>
            <w:rtl/>
          </w:rPr>
          <w:t>3.2.2.1.3.</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זמני הטיפול השיפוטי בתיק מסוג ת"א, בחלוקה לסוגי העניין המרכזיים</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Toc74750997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70</w:t>
        </w:r>
        <w:r w:rsidR="00D61F82" w:rsidRPr="00D61F82">
          <w:rPr>
            <w:rFonts w:cs="David"/>
            <w:noProof/>
            <w:webHidden/>
            <w:sz w:val="22"/>
            <w:szCs w:val="22"/>
            <w:rtl/>
          </w:rPr>
          <w:fldChar w:fldCharType="end"/>
        </w:r>
      </w:hyperlink>
    </w:p>
    <w:p w14:paraId="7087BA11" w14:textId="77D7B33A" w:rsidR="00D61F82" w:rsidRPr="00D61F82" w:rsidRDefault="008F1BC3">
      <w:pPr>
        <w:pStyle w:val="TOC5"/>
        <w:tabs>
          <w:tab w:val="left" w:pos="3181"/>
        </w:tabs>
        <w:rPr>
          <w:rFonts w:asciiTheme="minorHAnsi" w:eastAsiaTheme="minorEastAsia" w:hAnsiTheme="minorHAnsi" w:cs="David"/>
          <w:noProof/>
          <w:sz w:val="22"/>
          <w:szCs w:val="22"/>
          <w:rtl/>
        </w:rPr>
      </w:pPr>
      <w:hyperlink w:anchor="_Toc74750998" w:history="1">
        <w:r w:rsidR="00D61F82" w:rsidRPr="00D61F82">
          <w:rPr>
            <w:rStyle w:val="Hyperlink"/>
            <w:rFonts w:cs="David"/>
            <w:noProof/>
            <w:sz w:val="22"/>
            <w:szCs w:val="22"/>
            <w:rtl/>
          </w:rPr>
          <w:t>3.2.2.1.4.</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זמני הטיפול בתיקי עניינים מקומיים בערכאת השלום</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Toc74750998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73</w:t>
        </w:r>
        <w:r w:rsidR="00D61F82" w:rsidRPr="00D61F82">
          <w:rPr>
            <w:rFonts w:cs="David"/>
            <w:noProof/>
            <w:webHidden/>
            <w:sz w:val="22"/>
            <w:szCs w:val="22"/>
            <w:rtl/>
          </w:rPr>
          <w:fldChar w:fldCharType="end"/>
        </w:r>
      </w:hyperlink>
    </w:p>
    <w:p w14:paraId="21FA05CE" w14:textId="0C0F4638"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0999" w:history="1">
        <w:r w:rsidR="00D61F82" w:rsidRPr="00D61F82">
          <w:rPr>
            <w:rStyle w:val="Hyperlink"/>
            <w:rFonts w:cs="David"/>
            <w:noProof/>
            <w:sz w:val="22"/>
            <w:szCs w:val="22"/>
            <w:rtl/>
          </w:rPr>
          <w:t>3.2.3.</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תמהיל יום העבודה השיפוטי - השלום</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Toc74750999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74</w:t>
        </w:r>
        <w:r w:rsidR="00D61F82" w:rsidRPr="00D61F82">
          <w:rPr>
            <w:rFonts w:cs="David"/>
            <w:noProof/>
            <w:webHidden/>
            <w:sz w:val="22"/>
            <w:szCs w:val="22"/>
            <w:rtl/>
          </w:rPr>
          <w:fldChar w:fldCharType="end"/>
        </w:r>
      </w:hyperlink>
    </w:p>
    <w:p w14:paraId="0FBD8256" w14:textId="0BA3BE33" w:rsidR="00D61F82" w:rsidRPr="00D61F82" w:rsidRDefault="008F1BC3">
      <w:pPr>
        <w:pStyle w:val="TOC4"/>
        <w:tabs>
          <w:tab w:val="left" w:pos="2591"/>
        </w:tabs>
        <w:rPr>
          <w:rFonts w:asciiTheme="minorHAnsi" w:eastAsiaTheme="minorEastAsia" w:hAnsiTheme="minorHAnsi" w:cs="David"/>
          <w:noProof/>
          <w:sz w:val="22"/>
          <w:szCs w:val="22"/>
          <w:rtl/>
        </w:rPr>
      </w:pPr>
      <w:hyperlink w:anchor="_Toc74751000" w:history="1">
        <w:r w:rsidR="00D61F82" w:rsidRPr="00D61F82">
          <w:rPr>
            <w:rStyle w:val="Hyperlink"/>
            <w:rFonts w:cs="David"/>
            <w:noProof/>
            <w:sz w:val="22"/>
            <w:szCs w:val="22"/>
            <w:rtl/>
          </w:rPr>
          <w:t>3.2.3.1.</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פילוח בהבחנה בין שופט אזרחי לפלילי</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Toc74751000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75</w:t>
        </w:r>
        <w:r w:rsidR="00D61F82" w:rsidRPr="00D61F82">
          <w:rPr>
            <w:rFonts w:cs="David"/>
            <w:noProof/>
            <w:webHidden/>
            <w:sz w:val="22"/>
            <w:szCs w:val="22"/>
            <w:rtl/>
          </w:rPr>
          <w:fldChar w:fldCharType="end"/>
        </w:r>
      </w:hyperlink>
    </w:p>
    <w:p w14:paraId="743DD031" w14:textId="3D7713A2" w:rsidR="00D61F82" w:rsidRPr="00D61F82" w:rsidRDefault="008F1BC3" w:rsidP="009F5570">
      <w:pPr>
        <w:pStyle w:val="TOC4"/>
        <w:tabs>
          <w:tab w:val="left" w:pos="1991"/>
        </w:tabs>
        <w:rPr>
          <w:rFonts w:asciiTheme="minorHAnsi" w:eastAsiaTheme="minorEastAsia" w:hAnsiTheme="minorHAnsi" w:cs="David"/>
          <w:noProof/>
          <w:sz w:val="22"/>
          <w:szCs w:val="22"/>
          <w:rtl/>
        </w:rPr>
      </w:pPr>
      <w:hyperlink w:anchor="_Toc74751001" w:history="1">
        <w:r w:rsidR="009F5570">
          <w:rPr>
            <w:rStyle w:val="Hyperlink"/>
            <w:rFonts w:cs="David" w:hint="cs"/>
            <w:noProof/>
            <w:sz w:val="22"/>
            <w:szCs w:val="22"/>
            <w:rtl/>
          </w:rPr>
          <w:t>3.2.3.2.</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פילוח הממצאים בחלוקה בין שופטים לרשמים</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Toc74751001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75</w:t>
        </w:r>
        <w:r w:rsidR="00D61F82" w:rsidRPr="00D61F82">
          <w:rPr>
            <w:rFonts w:cs="David"/>
            <w:noProof/>
            <w:webHidden/>
            <w:sz w:val="22"/>
            <w:szCs w:val="22"/>
            <w:rtl/>
          </w:rPr>
          <w:fldChar w:fldCharType="end"/>
        </w:r>
      </w:hyperlink>
    </w:p>
    <w:p w14:paraId="0268D56D" w14:textId="527E87C2" w:rsidR="00D61F82" w:rsidRPr="00D61F82" w:rsidRDefault="008F1BC3">
      <w:pPr>
        <w:pStyle w:val="TOC2"/>
        <w:tabs>
          <w:tab w:val="left" w:pos="1540"/>
        </w:tabs>
        <w:rPr>
          <w:rFonts w:asciiTheme="minorHAnsi" w:eastAsiaTheme="minorEastAsia" w:hAnsiTheme="minorHAnsi" w:cs="David"/>
          <w:b w:val="0"/>
          <w:bCs w:val="0"/>
          <w:noProof/>
          <w:rtl/>
        </w:rPr>
      </w:pPr>
      <w:hyperlink w:anchor="_Toc74751002" w:history="1">
        <w:r w:rsidR="00D61F82" w:rsidRPr="00D61F82">
          <w:rPr>
            <w:rStyle w:val="Hyperlink"/>
            <w:rFonts w:cs="David"/>
            <w:noProof/>
            <w:rtl/>
          </w:rPr>
          <w:t>3.3.</w:t>
        </w:r>
        <w:r w:rsidR="00D61F82" w:rsidRPr="00D61F82">
          <w:rPr>
            <w:rFonts w:asciiTheme="minorHAnsi" w:eastAsiaTheme="minorEastAsia" w:hAnsiTheme="minorHAnsi" w:cs="David"/>
            <w:b w:val="0"/>
            <w:bCs w:val="0"/>
            <w:noProof/>
            <w:rtl/>
          </w:rPr>
          <w:tab/>
        </w:r>
        <w:r w:rsidR="00D61F82" w:rsidRPr="00D61F82">
          <w:rPr>
            <w:rStyle w:val="Hyperlink"/>
            <w:rFonts w:cs="David"/>
            <w:noProof/>
            <w:rtl/>
          </w:rPr>
          <w:t>ממצאי בתי המשפט לתעבורה</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Toc74751002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77</w:t>
        </w:r>
        <w:r w:rsidR="00D61F82" w:rsidRPr="00D61F82">
          <w:rPr>
            <w:rFonts w:cs="David"/>
            <w:noProof/>
            <w:webHidden/>
            <w:rtl/>
          </w:rPr>
          <w:fldChar w:fldCharType="end"/>
        </w:r>
      </w:hyperlink>
    </w:p>
    <w:p w14:paraId="0AD06030" w14:textId="1A28128F" w:rsidR="00D61F82" w:rsidRPr="00D61F82" w:rsidRDefault="008F1BC3" w:rsidP="004C7658">
      <w:pPr>
        <w:pStyle w:val="TOC3"/>
        <w:tabs>
          <w:tab w:val="left" w:pos="1760"/>
        </w:tabs>
        <w:rPr>
          <w:rFonts w:asciiTheme="minorHAnsi" w:eastAsiaTheme="minorEastAsia" w:hAnsiTheme="minorHAnsi" w:cs="David"/>
          <w:noProof/>
          <w:sz w:val="22"/>
          <w:szCs w:val="22"/>
          <w:rtl/>
        </w:rPr>
      </w:pPr>
      <w:hyperlink w:anchor="_Toc74751003" w:history="1">
        <w:r w:rsidR="004C7658">
          <w:rPr>
            <w:rStyle w:val="Hyperlink"/>
            <w:rFonts w:cs="David" w:hint="cs"/>
            <w:noProof/>
            <w:sz w:val="22"/>
            <w:szCs w:val="22"/>
            <w:rtl/>
          </w:rPr>
          <w:t>3.3.1.</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התאמות ליומני השופטים בבתי המשפט לתעבורה</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Toc74751003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77</w:t>
        </w:r>
        <w:r w:rsidR="00D61F82" w:rsidRPr="00D61F82">
          <w:rPr>
            <w:rFonts w:cs="David"/>
            <w:noProof/>
            <w:webHidden/>
            <w:sz w:val="22"/>
            <w:szCs w:val="22"/>
            <w:rtl/>
          </w:rPr>
          <w:fldChar w:fldCharType="end"/>
        </w:r>
      </w:hyperlink>
    </w:p>
    <w:p w14:paraId="7706BDA5" w14:textId="14546455"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1004" w:history="1">
        <w:r w:rsidR="00D61F82" w:rsidRPr="00D61F82">
          <w:rPr>
            <w:rStyle w:val="Hyperlink"/>
            <w:rFonts w:cs="David"/>
            <w:noProof/>
            <w:sz w:val="22"/>
            <w:szCs w:val="22"/>
            <w:rtl/>
          </w:rPr>
          <w:t>3.3.2.</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הזמן השיפוטי הדרוש לטיפול בתיקי בתי המשפט לתעבורה</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Toc74751004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77</w:t>
        </w:r>
        <w:r w:rsidR="00D61F82" w:rsidRPr="00D61F82">
          <w:rPr>
            <w:rFonts w:cs="David"/>
            <w:noProof/>
            <w:webHidden/>
            <w:sz w:val="22"/>
            <w:szCs w:val="22"/>
            <w:rtl/>
          </w:rPr>
          <w:fldChar w:fldCharType="end"/>
        </w:r>
      </w:hyperlink>
    </w:p>
    <w:p w14:paraId="58A65A37" w14:textId="1C396FC6"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1005" w:history="1">
        <w:r w:rsidR="00D61F82" w:rsidRPr="00D61F82">
          <w:rPr>
            <w:rStyle w:val="Hyperlink"/>
            <w:rFonts w:cs="David"/>
            <w:noProof/>
            <w:sz w:val="22"/>
            <w:szCs w:val="22"/>
            <w:rtl/>
          </w:rPr>
          <w:t>3.3.3.</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תמהיל יום העבודה השיפוטי - תעבורה</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Toc74751005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79</w:t>
        </w:r>
        <w:r w:rsidR="00D61F82" w:rsidRPr="00D61F82">
          <w:rPr>
            <w:rFonts w:cs="David"/>
            <w:noProof/>
            <w:webHidden/>
            <w:sz w:val="22"/>
            <w:szCs w:val="22"/>
            <w:rtl/>
          </w:rPr>
          <w:fldChar w:fldCharType="end"/>
        </w:r>
      </w:hyperlink>
    </w:p>
    <w:p w14:paraId="00DFE7A5" w14:textId="261EA083" w:rsidR="00D61F82" w:rsidRPr="00D61F82" w:rsidRDefault="008F1BC3">
      <w:pPr>
        <w:pStyle w:val="TOC2"/>
        <w:tabs>
          <w:tab w:val="left" w:pos="1540"/>
        </w:tabs>
        <w:rPr>
          <w:rFonts w:asciiTheme="minorHAnsi" w:eastAsiaTheme="minorEastAsia" w:hAnsiTheme="minorHAnsi" w:cs="David"/>
          <w:b w:val="0"/>
          <w:bCs w:val="0"/>
          <w:noProof/>
          <w:rtl/>
        </w:rPr>
      </w:pPr>
      <w:hyperlink w:anchor="_Toc74751006" w:history="1">
        <w:r w:rsidR="00D61F82" w:rsidRPr="00D61F82">
          <w:rPr>
            <w:rStyle w:val="Hyperlink"/>
            <w:rFonts w:cs="David"/>
            <w:noProof/>
            <w:rtl/>
          </w:rPr>
          <w:t>3.4.</w:t>
        </w:r>
        <w:r w:rsidR="00D61F82" w:rsidRPr="00D61F82">
          <w:rPr>
            <w:rFonts w:asciiTheme="minorHAnsi" w:eastAsiaTheme="minorEastAsia" w:hAnsiTheme="minorHAnsi" w:cs="David"/>
            <w:b w:val="0"/>
            <w:bCs w:val="0"/>
            <w:noProof/>
            <w:rtl/>
          </w:rPr>
          <w:tab/>
        </w:r>
        <w:r w:rsidR="00D61F82" w:rsidRPr="00D61F82">
          <w:rPr>
            <w:rStyle w:val="Hyperlink"/>
            <w:rFonts w:cs="David"/>
            <w:noProof/>
            <w:rtl/>
          </w:rPr>
          <w:t>ממצאי בתי המשפט לענייני משפחה</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Toc74751006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81</w:t>
        </w:r>
        <w:r w:rsidR="00D61F82" w:rsidRPr="00D61F82">
          <w:rPr>
            <w:rFonts w:cs="David"/>
            <w:noProof/>
            <w:webHidden/>
            <w:rtl/>
          </w:rPr>
          <w:fldChar w:fldCharType="end"/>
        </w:r>
      </w:hyperlink>
    </w:p>
    <w:p w14:paraId="28C65B7E" w14:textId="31DC0232" w:rsidR="00D61F82" w:rsidRPr="00D61F82" w:rsidRDefault="008F1BC3" w:rsidP="004C7658">
      <w:pPr>
        <w:pStyle w:val="TOC3"/>
        <w:tabs>
          <w:tab w:val="left" w:pos="1760"/>
        </w:tabs>
        <w:rPr>
          <w:rFonts w:asciiTheme="minorHAnsi" w:eastAsiaTheme="minorEastAsia" w:hAnsiTheme="minorHAnsi" w:cs="David"/>
          <w:noProof/>
          <w:sz w:val="22"/>
          <w:szCs w:val="22"/>
          <w:rtl/>
        </w:rPr>
      </w:pPr>
      <w:hyperlink w:anchor="_Toc74751007" w:history="1">
        <w:r w:rsidR="004C7658">
          <w:rPr>
            <w:rStyle w:val="Hyperlink"/>
            <w:rFonts w:cs="David" w:hint="cs"/>
            <w:noProof/>
            <w:sz w:val="22"/>
            <w:szCs w:val="22"/>
            <w:rtl/>
          </w:rPr>
          <w:t>3.4.1.</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התאמות ליומני השופטים בבתי המשפט לענייני משפחה</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Toc74751007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81</w:t>
        </w:r>
        <w:r w:rsidR="00D61F82" w:rsidRPr="00D61F82">
          <w:rPr>
            <w:rFonts w:cs="David"/>
            <w:noProof/>
            <w:webHidden/>
            <w:sz w:val="22"/>
            <w:szCs w:val="22"/>
            <w:rtl/>
          </w:rPr>
          <w:fldChar w:fldCharType="end"/>
        </w:r>
      </w:hyperlink>
    </w:p>
    <w:p w14:paraId="5CB0AD3E" w14:textId="0576C9D2"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1008" w:history="1">
        <w:r w:rsidR="00D61F82" w:rsidRPr="00D61F82">
          <w:rPr>
            <w:rStyle w:val="Hyperlink"/>
            <w:rFonts w:cs="David"/>
            <w:noProof/>
            <w:sz w:val="22"/>
            <w:szCs w:val="22"/>
            <w:rtl/>
          </w:rPr>
          <w:t>3.4.2.</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הזמן השיפוטי הדרוש לטיפול בתיקי בתי המשפט לענייני משפחה</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Toc74751008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81</w:t>
        </w:r>
        <w:r w:rsidR="00D61F82" w:rsidRPr="00D61F82">
          <w:rPr>
            <w:rFonts w:cs="David"/>
            <w:noProof/>
            <w:webHidden/>
            <w:sz w:val="22"/>
            <w:szCs w:val="22"/>
            <w:rtl/>
          </w:rPr>
          <w:fldChar w:fldCharType="end"/>
        </w:r>
      </w:hyperlink>
    </w:p>
    <w:p w14:paraId="00F2F8E9" w14:textId="7C4380BE"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1009" w:history="1">
        <w:r w:rsidR="00D61F82" w:rsidRPr="00D61F82">
          <w:rPr>
            <w:rStyle w:val="Hyperlink"/>
            <w:rFonts w:cs="David"/>
            <w:noProof/>
            <w:sz w:val="22"/>
            <w:szCs w:val="22"/>
            <w:rtl/>
          </w:rPr>
          <w:t>3.4.3.</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תמהיל יום העבודה השיפוטי - משפחה</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Toc74751009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83</w:t>
        </w:r>
        <w:r w:rsidR="00D61F82" w:rsidRPr="00D61F82">
          <w:rPr>
            <w:rFonts w:cs="David"/>
            <w:noProof/>
            <w:webHidden/>
            <w:sz w:val="22"/>
            <w:szCs w:val="22"/>
            <w:rtl/>
          </w:rPr>
          <w:fldChar w:fldCharType="end"/>
        </w:r>
      </w:hyperlink>
    </w:p>
    <w:p w14:paraId="0443A21E" w14:textId="06EC9FC9" w:rsidR="00D61F82" w:rsidRPr="00D61F82" w:rsidRDefault="008F1BC3">
      <w:pPr>
        <w:pStyle w:val="TOC2"/>
        <w:tabs>
          <w:tab w:val="left" w:pos="1540"/>
        </w:tabs>
        <w:rPr>
          <w:rFonts w:asciiTheme="minorHAnsi" w:eastAsiaTheme="minorEastAsia" w:hAnsiTheme="minorHAnsi" w:cs="David"/>
          <w:b w:val="0"/>
          <w:bCs w:val="0"/>
          <w:noProof/>
          <w:rtl/>
        </w:rPr>
      </w:pPr>
      <w:hyperlink w:anchor="_Toc74751010" w:history="1">
        <w:r w:rsidR="00D61F82" w:rsidRPr="00D61F82">
          <w:rPr>
            <w:rStyle w:val="Hyperlink"/>
            <w:rFonts w:cs="David"/>
            <w:noProof/>
            <w:rtl/>
          </w:rPr>
          <w:t>3.5.</w:t>
        </w:r>
        <w:r w:rsidR="00D61F82" w:rsidRPr="00D61F82">
          <w:rPr>
            <w:rFonts w:asciiTheme="minorHAnsi" w:eastAsiaTheme="minorEastAsia" w:hAnsiTheme="minorHAnsi" w:cs="David"/>
            <w:b w:val="0"/>
            <w:bCs w:val="0"/>
            <w:noProof/>
            <w:rtl/>
          </w:rPr>
          <w:tab/>
        </w:r>
        <w:r w:rsidR="00D61F82" w:rsidRPr="00D61F82">
          <w:rPr>
            <w:rStyle w:val="Hyperlink"/>
            <w:rFonts w:cs="David"/>
            <w:noProof/>
            <w:rtl/>
          </w:rPr>
          <w:t>ממצאי בתי המשפט לנוער</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Toc74751010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84</w:t>
        </w:r>
        <w:r w:rsidR="00D61F82" w:rsidRPr="00D61F82">
          <w:rPr>
            <w:rFonts w:cs="David"/>
            <w:noProof/>
            <w:webHidden/>
            <w:rtl/>
          </w:rPr>
          <w:fldChar w:fldCharType="end"/>
        </w:r>
      </w:hyperlink>
    </w:p>
    <w:p w14:paraId="31AF1777" w14:textId="16792126" w:rsidR="00D61F82" w:rsidRPr="00D61F82" w:rsidRDefault="008F1BC3" w:rsidP="004C7658">
      <w:pPr>
        <w:pStyle w:val="TOC3"/>
        <w:tabs>
          <w:tab w:val="left" w:pos="1760"/>
        </w:tabs>
        <w:rPr>
          <w:rFonts w:asciiTheme="minorHAnsi" w:eastAsiaTheme="minorEastAsia" w:hAnsiTheme="minorHAnsi" w:cs="David"/>
          <w:noProof/>
          <w:sz w:val="22"/>
          <w:szCs w:val="22"/>
          <w:rtl/>
        </w:rPr>
      </w:pPr>
      <w:hyperlink w:anchor="_Toc74751011" w:history="1">
        <w:r w:rsidR="004C7658">
          <w:rPr>
            <w:rStyle w:val="Hyperlink"/>
            <w:rFonts w:cs="David" w:hint="cs"/>
            <w:noProof/>
            <w:sz w:val="22"/>
            <w:szCs w:val="22"/>
            <w:rtl/>
          </w:rPr>
          <w:t>3.5.1.</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התאמות ליומני השופטים בבתי המשפט לנוער</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Toc74751011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84</w:t>
        </w:r>
        <w:r w:rsidR="00D61F82" w:rsidRPr="00D61F82">
          <w:rPr>
            <w:rFonts w:cs="David"/>
            <w:noProof/>
            <w:webHidden/>
            <w:sz w:val="22"/>
            <w:szCs w:val="22"/>
            <w:rtl/>
          </w:rPr>
          <w:fldChar w:fldCharType="end"/>
        </w:r>
      </w:hyperlink>
    </w:p>
    <w:p w14:paraId="252408E8" w14:textId="5EAF0525"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1012" w:history="1">
        <w:r w:rsidR="00D61F82" w:rsidRPr="00D61F82">
          <w:rPr>
            <w:rStyle w:val="Hyperlink"/>
            <w:rFonts w:cs="David"/>
            <w:noProof/>
            <w:sz w:val="22"/>
            <w:szCs w:val="22"/>
            <w:rtl/>
          </w:rPr>
          <w:t>3.5.2.</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הזמן השיפוטי הדרוש לטיפול בתיקי בתי המשפט לנוער</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Toc74751012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84</w:t>
        </w:r>
        <w:r w:rsidR="00D61F82" w:rsidRPr="00D61F82">
          <w:rPr>
            <w:rFonts w:cs="David"/>
            <w:noProof/>
            <w:webHidden/>
            <w:sz w:val="22"/>
            <w:szCs w:val="22"/>
            <w:rtl/>
          </w:rPr>
          <w:fldChar w:fldCharType="end"/>
        </w:r>
      </w:hyperlink>
    </w:p>
    <w:p w14:paraId="72766A35" w14:textId="75A0D129"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1013" w:history="1">
        <w:r w:rsidR="00D61F82" w:rsidRPr="00D61F82">
          <w:rPr>
            <w:rStyle w:val="Hyperlink"/>
            <w:rFonts w:cs="David"/>
            <w:noProof/>
            <w:sz w:val="22"/>
            <w:szCs w:val="22"/>
            <w:rtl/>
          </w:rPr>
          <w:t>3.5.3.</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תמהיל יום העבודה השיפוטי - נוער</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Toc74751013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86</w:t>
        </w:r>
        <w:r w:rsidR="00D61F82" w:rsidRPr="00D61F82">
          <w:rPr>
            <w:rFonts w:cs="David"/>
            <w:noProof/>
            <w:webHidden/>
            <w:sz w:val="22"/>
            <w:szCs w:val="22"/>
            <w:rtl/>
          </w:rPr>
          <w:fldChar w:fldCharType="end"/>
        </w:r>
      </w:hyperlink>
    </w:p>
    <w:p w14:paraId="43D5651C" w14:textId="4BE36889" w:rsidR="00D61F82" w:rsidRPr="00D61F82" w:rsidRDefault="008F1BC3" w:rsidP="004C7658">
      <w:pPr>
        <w:pStyle w:val="TOC2"/>
        <w:tabs>
          <w:tab w:val="left" w:pos="1320"/>
        </w:tabs>
        <w:rPr>
          <w:rFonts w:asciiTheme="minorHAnsi" w:eastAsiaTheme="minorEastAsia" w:hAnsiTheme="minorHAnsi" w:cs="David"/>
          <w:b w:val="0"/>
          <w:bCs w:val="0"/>
          <w:noProof/>
          <w:rtl/>
        </w:rPr>
      </w:pPr>
      <w:hyperlink w:anchor="_Toc74751014" w:history="1">
        <w:r w:rsidR="004C7658">
          <w:rPr>
            <w:rStyle w:val="Hyperlink"/>
            <w:rFonts w:cs="David" w:hint="cs"/>
            <w:noProof/>
            <w:rtl/>
          </w:rPr>
          <w:t>3.6.</w:t>
        </w:r>
        <w:r w:rsidR="00D61F82" w:rsidRPr="00D61F82">
          <w:rPr>
            <w:rFonts w:asciiTheme="minorHAnsi" w:eastAsiaTheme="minorEastAsia" w:hAnsiTheme="minorHAnsi" w:cs="David"/>
            <w:b w:val="0"/>
            <w:bCs w:val="0"/>
            <w:noProof/>
            <w:rtl/>
          </w:rPr>
          <w:tab/>
        </w:r>
        <w:r w:rsidR="00D61F82" w:rsidRPr="00D61F82">
          <w:rPr>
            <w:rStyle w:val="Hyperlink"/>
            <w:rFonts w:cs="David"/>
            <w:noProof/>
            <w:rtl/>
          </w:rPr>
          <w:t>ממצאי בתי הדין האזוריים לעבודה</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Toc74751014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87</w:t>
        </w:r>
        <w:r w:rsidR="00D61F82" w:rsidRPr="00D61F82">
          <w:rPr>
            <w:rFonts w:cs="David"/>
            <w:noProof/>
            <w:webHidden/>
            <w:rtl/>
          </w:rPr>
          <w:fldChar w:fldCharType="end"/>
        </w:r>
      </w:hyperlink>
    </w:p>
    <w:p w14:paraId="6C94A9FA" w14:textId="7F32527B"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1015" w:history="1">
        <w:r w:rsidR="00D61F82" w:rsidRPr="00D61F82">
          <w:rPr>
            <w:rStyle w:val="Hyperlink"/>
            <w:rFonts w:cs="David"/>
            <w:noProof/>
            <w:sz w:val="22"/>
            <w:szCs w:val="22"/>
            <w:rtl/>
          </w:rPr>
          <w:t>3.6.1.</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הזמן השיפוטי הדרוש לטיפול בתיקי בתי הדין האזוריים לעבודה</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Toc74751015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87</w:t>
        </w:r>
        <w:r w:rsidR="00D61F82" w:rsidRPr="00D61F82">
          <w:rPr>
            <w:rFonts w:cs="David"/>
            <w:noProof/>
            <w:webHidden/>
            <w:sz w:val="22"/>
            <w:szCs w:val="22"/>
            <w:rtl/>
          </w:rPr>
          <w:fldChar w:fldCharType="end"/>
        </w:r>
      </w:hyperlink>
    </w:p>
    <w:p w14:paraId="1E49CE9D" w14:textId="55221561"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1016" w:history="1">
        <w:r w:rsidR="00D61F82" w:rsidRPr="00D61F82">
          <w:rPr>
            <w:rStyle w:val="Hyperlink"/>
            <w:rFonts w:cs="David"/>
            <w:noProof/>
            <w:sz w:val="22"/>
            <w:szCs w:val="22"/>
            <w:rtl/>
          </w:rPr>
          <w:t>3.6.2.</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תמהיל יום העבודה השיפוטי – עבודה</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Toc74751016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88</w:t>
        </w:r>
        <w:r w:rsidR="00D61F82" w:rsidRPr="00D61F82">
          <w:rPr>
            <w:rFonts w:cs="David"/>
            <w:noProof/>
            <w:webHidden/>
            <w:sz w:val="22"/>
            <w:szCs w:val="22"/>
            <w:rtl/>
          </w:rPr>
          <w:fldChar w:fldCharType="end"/>
        </w:r>
      </w:hyperlink>
    </w:p>
    <w:p w14:paraId="10881B01" w14:textId="341A40DB" w:rsidR="00D61F82" w:rsidRPr="00D61F82" w:rsidRDefault="008F1BC3">
      <w:pPr>
        <w:pStyle w:val="TOC2"/>
        <w:tabs>
          <w:tab w:val="left" w:pos="1540"/>
        </w:tabs>
        <w:rPr>
          <w:rFonts w:asciiTheme="minorHAnsi" w:eastAsiaTheme="minorEastAsia" w:hAnsiTheme="minorHAnsi" w:cs="David"/>
          <w:b w:val="0"/>
          <w:bCs w:val="0"/>
          <w:noProof/>
          <w:rtl/>
        </w:rPr>
      </w:pPr>
      <w:hyperlink w:anchor="_Toc74751017" w:history="1">
        <w:r w:rsidR="00D61F82" w:rsidRPr="00D61F82">
          <w:rPr>
            <w:rStyle w:val="Hyperlink"/>
            <w:rFonts w:cs="David"/>
            <w:noProof/>
            <w:rtl/>
          </w:rPr>
          <w:t>3.7.</w:t>
        </w:r>
        <w:r w:rsidR="00D61F82" w:rsidRPr="00D61F82">
          <w:rPr>
            <w:rFonts w:asciiTheme="minorHAnsi" w:eastAsiaTheme="minorEastAsia" w:hAnsiTheme="minorHAnsi" w:cs="David"/>
            <w:b w:val="0"/>
            <w:bCs w:val="0"/>
            <w:noProof/>
            <w:rtl/>
          </w:rPr>
          <w:tab/>
        </w:r>
        <w:r w:rsidR="00D61F82" w:rsidRPr="00D61F82">
          <w:rPr>
            <w:rStyle w:val="Hyperlink"/>
            <w:rFonts w:cs="David"/>
            <w:noProof/>
            <w:rtl/>
          </w:rPr>
          <w:t>ממצאים כלל מערכתיים</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Toc74751017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90</w:t>
        </w:r>
        <w:r w:rsidR="00D61F82" w:rsidRPr="00D61F82">
          <w:rPr>
            <w:rFonts w:cs="David"/>
            <w:noProof/>
            <w:webHidden/>
            <w:rtl/>
          </w:rPr>
          <w:fldChar w:fldCharType="end"/>
        </w:r>
      </w:hyperlink>
    </w:p>
    <w:p w14:paraId="5080B128" w14:textId="4C0B5890"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1018" w:history="1">
        <w:r w:rsidR="00D61F82" w:rsidRPr="00D61F82">
          <w:rPr>
            <w:rStyle w:val="Hyperlink"/>
            <w:rFonts w:cs="David"/>
            <w:noProof/>
            <w:sz w:val="22"/>
            <w:szCs w:val="22"/>
            <w:rtl/>
          </w:rPr>
          <w:t>3.7.1.</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הזמן השיפוטי הממוצע הדרוש לטיפול בתיקים במערכת המשפט</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Toc74751018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90</w:t>
        </w:r>
        <w:r w:rsidR="00D61F82" w:rsidRPr="00D61F82">
          <w:rPr>
            <w:rFonts w:cs="David"/>
            <w:noProof/>
            <w:webHidden/>
            <w:sz w:val="22"/>
            <w:szCs w:val="22"/>
            <w:rtl/>
          </w:rPr>
          <w:fldChar w:fldCharType="end"/>
        </w:r>
      </w:hyperlink>
    </w:p>
    <w:p w14:paraId="7419236B" w14:textId="4FEB364A"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1019" w:history="1">
        <w:r w:rsidR="00D61F82" w:rsidRPr="00D61F82">
          <w:rPr>
            <w:rStyle w:val="Hyperlink"/>
            <w:rFonts w:cs="David"/>
            <w:noProof/>
            <w:sz w:val="22"/>
            <w:szCs w:val="22"/>
            <w:rtl/>
          </w:rPr>
          <w:t>3.7.2.</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חישוב זמני הטיפול בתיקים לצרכים ניהוליים</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Toc74751019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99</w:t>
        </w:r>
        <w:r w:rsidR="00D61F82" w:rsidRPr="00D61F82">
          <w:rPr>
            <w:rFonts w:cs="David"/>
            <w:noProof/>
            <w:webHidden/>
            <w:sz w:val="22"/>
            <w:szCs w:val="22"/>
            <w:rtl/>
          </w:rPr>
          <w:fldChar w:fldCharType="end"/>
        </w:r>
      </w:hyperlink>
    </w:p>
    <w:p w14:paraId="0370C28D" w14:textId="2F4B74CC"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1020" w:history="1">
        <w:r w:rsidR="00D61F82" w:rsidRPr="00D61F82">
          <w:rPr>
            <w:rStyle w:val="Hyperlink"/>
            <w:rFonts w:cs="David"/>
            <w:noProof/>
            <w:sz w:val="22"/>
            <w:szCs w:val="22"/>
            <w:rtl/>
          </w:rPr>
          <w:t>3.7.3.</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הערכת משקלות תיקים שלא נמדדו במסגרת המחקר</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Toc74751020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100</w:t>
        </w:r>
        <w:r w:rsidR="00D61F82" w:rsidRPr="00D61F82">
          <w:rPr>
            <w:rFonts w:cs="David"/>
            <w:noProof/>
            <w:webHidden/>
            <w:sz w:val="22"/>
            <w:szCs w:val="22"/>
            <w:rtl/>
          </w:rPr>
          <w:fldChar w:fldCharType="end"/>
        </w:r>
      </w:hyperlink>
    </w:p>
    <w:p w14:paraId="17E4464F" w14:textId="4C094DFD" w:rsidR="00D61F82" w:rsidRPr="00D61F82" w:rsidRDefault="008F1BC3" w:rsidP="004C7658">
      <w:pPr>
        <w:pStyle w:val="TOC3"/>
        <w:tabs>
          <w:tab w:val="left" w:pos="1760"/>
        </w:tabs>
        <w:rPr>
          <w:rFonts w:asciiTheme="minorHAnsi" w:eastAsiaTheme="minorEastAsia" w:hAnsiTheme="minorHAnsi" w:cs="David"/>
          <w:noProof/>
          <w:sz w:val="22"/>
          <w:szCs w:val="22"/>
          <w:rtl/>
        </w:rPr>
      </w:pPr>
      <w:hyperlink w:anchor="_Toc74751021" w:history="1">
        <w:r w:rsidR="004C7658">
          <w:rPr>
            <w:rStyle w:val="Hyperlink"/>
            <w:rFonts w:cs="David" w:hint="cs"/>
            <w:noProof/>
            <w:sz w:val="22"/>
            <w:szCs w:val="22"/>
            <w:rtl/>
          </w:rPr>
          <w:t>3.7.4.</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משך יום העבודה השיפוטי</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Toc74751021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101</w:t>
        </w:r>
        <w:r w:rsidR="00D61F82" w:rsidRPr="00D61F82">
          <w:rPr>
            <w:rFonts w:cs="David"/>
            <w:noProof/>
            <w:webHidden/>
            <w:sz w:val="22"/>
            <w:szCs w:val="22"/>
            <w:rtl/>
          </w:rPr>
          <w:fldChar w:fldCharType="end"/>
        </w:r>
      </w:hyperlink>
    </w:p>
    <w:p w14:paraId="2B6A092F" w14:textId="0865726D" w:rsidR="00D61F82" w:rsidRPr="00D61F82" w:rsidRDefault="008F1BC3">
      <w:pPr>
        <w:pStyle w:val="TOC4"/>
        <w:tabs>
          <w:tab w:val="left" w:pos="2591"/>
        </w:tabs>
        <w:rPr>
          <w:rFonts w:asciiTheme="minorHAnsi" w:eastAsiaTheme="minorEastAsia" w:hAnsiTheme="minorHAnsi" w:cs="David"/>
          <w:noProof/>
          <w:sz w:val="22"/>
          <w:szCs w:val="22"/>
          <w:rtl/>
        </w:rPr>
      </w:pPr>
      <w:hyperlink w:anchor="_Toc74751022" w:history="1">
        <w:r w:rsidR="00D61F82" w:rsidRPr="00D61F82">
          <w:rPr>
            <w:rStyle w:val="Hyperlink"/>
            <w:rFonts w:cs="David"/>
            <w:noProof/>
            <w:sz w:val="22"/>
            <w:szCs w:val="22"/>
            <w:rtl/>
          </w:rPr>
          <w:t>3.7.4.1.</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משך יום העבודה השיפוטי בימי העבודה המוגדרים</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Toc74751022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101</w:t>
        </w:r>
        <w:r w:rsidR="00D61F82" w:rsidRPr="00D61F82">
          <w:rPr>
            <w:rFonts w:cs="David"/>
            <w:noProof/>
            <w:webHidden/>
            <w:sz w:val="22"/>
            <w:szCs w:val="22"/>
            <w:rtl/>
          </w:rPr>
          <w:fldChar w:fldCharType="end"/>
        </w:r>
      </w:hyperlink>
    </w:p>
    <w:p w14:paraId="1DEF2AAA" w14:textId="515793D4" w:rsidR="00D61F82" w:rsidRPr="00D61F82" w:rsidRDefault="008F1BC3">
      <w:pPr>
        <w:pStyle w:val="TOC4"/>
        <w:tabs>
          <w:tab w:val="left" w:pos="2591"/>
        </w:tabs>
        <w:rPr>
          <w:rFonts w:asciiTheme="minorHAnsi" w:eastAsiaTheme="minorEastAsia" w:hAnsiTheme="minorHAnsi" w:cs="David"/>
          <w:noProof/>
          <w:sz w:val="22"/>
          <w:szCs w:val="22"/>
          <w:rtl/>
        </w:rPr>
      </w:pPr>
      <w:hyperlink w:anchor="_Toc74751023" w:history="1">
        <w:r w:rsidR="00D61F82" w:rsidRPr="00D61F82">
          <w:rPr>
            <w:rStyle w:val="Hyperlink"/>
            <w:rFonts w:cs="David"/>
            <w:noProof/>
            <w:sz w:val="22"/>
            <w:szCs w:val="22"/>
            <w:rtl/>
          </w:rPr>
          <w:t>3.7.4.2.</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משך יום העבודה השיפוטי בימי עבודה "מיוחדים"</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Toc74751023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104</w:t>
        </w:r>
        <w:r w:rsidR="00D61F82" w:rsidRPr="00D61F82">
          <w:rPr>
            <w:rFonts w:cs="David"/>
            <w:noProof/>
            <w:webHidden/>
            <w:sz w:val="22"/>
            <w:szCs w:val="22"/>
            <w:rtl/>
          </w:rPr>
          <w:fldChar w:fldCharType="end"/>
        </w:r>
      </w:hyperlink>
    </w:p>
    <w:p w14:paraId="7B448662" w14:textId="4DBE619B" w:rsidR="00D61F82" w:rsidRPr="00D61F82" w:rsidRDefault="008F1BC3" w:rsidP="004C7658">
      <w:pPr>
        <w:pStyle w:val="TOC5"/>
        <w:tabs>
          <w:tab w:val="left" w:pos="2431"/>
        </w:tabs>
        <w:rPr>
          <w:rFonts w:asciiTheme="minorHAnsi" w:eastAsiaTheme="minorEastAsia" w:hAnsiTheme="minorHAnsi" w:cs="David"/>
          <w:noProof/>
          <w:sz w:val="22"/>
          <w:szCs w:val="22"/>
          <w:rtl/>
        </w:rPr>
      </w:pPr>
      <w:hyperlink w:anchor="_Toc74751024" w:history="1">
        <w:r w:rsidR="004C7658">
          <w:rPr>
            <w:rStyle w:val="Hyperlink"/>
            <w:rFonts w:cs="David" w:hint="cs"/>
            <w:noProof/>
            <w:sz w:val="22"/>
            <w:szCs w:val="22"/>
            <w:rtl/>
          </w:rPr>
          <w:t>3.7.4.2.1.</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עבודה ביום המנוחה השבועי</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Toc74751024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104</w:t>
        </w:r>
        <w:r w:rsidR="00D61F82" w:rsidRPr="00D61F82">
          <w:rPr>
            <w:rFonts w:cs="David"/>
            <w:noProof/>
            <w:webHidden/>
            <w:sz w:val="22"/>
            <w:szCs w:val="22"/>
            <w:rtl/>
          </w:rPr>
          <w:fldChar w:fldCharType="end"/>
        </w:r>
      </w:hyperlink>
    </w:p>
    <w:p w14:paraId="0EE45A83" w14:textId="4C398E13"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1025" w:history="1">
        <w:r w:rsidR="00D61F82" w:rsidRPr="00D61F82">
          <w:rPr>
            <w:rStyle w:val="Hyperlink"/>
            <w:rFonts w:cs="David"/>
            <w:noProof/>
            <w:sz w:val="22"/>
            <w:szCs w:val="22"/>
            <w:rtl/>
          </w:rPr>
          <w:t>3.7.5.</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שעות עבודה שבועיות לשופט</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Toc74751025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105</w:t>
        </w:r>
        <w:r w:rsidR="00D61F82" w:rsidRPr="00D61F82">
          <w:rPr>
            <w:rFonts w:cs="David"/>
            <w:noProof/>
            <w:webHidden/>
            <w:sz w:val="22"/>
            <w:szCs w:val="22"/>
            <w:rtl/>
          </w:rPr>
          <w:fldChar w:fldCharType="end"/>
        </w:r>
      </w:hyperlink>
    </w:p>
    <w:p w14:paraId="6970FF45" w14:textId="0FB0D748" w:rsidR="00D61F82" w:rsidRPr="00D61F82" w:rsidRDefault="008F1BC3" w:rsidP="004C7658">
      <w:pPr>
        <w:pStyle w:val="TOC3"/>
        <w:tabs>
          <w:tab w:val="left" w:pos="1760"/>
        </w:tabs>
        <w:rPr>
          <w:rFonts w:asciiTheme="minorHAnsi" w:eastAsiaTheme="minorEastAsia" w:hAnsiTheme="minorHAnsi" w:cs="David"/>
          <w:noProof/>
          <w:sz w:val="22"/>
          <w:szCs w:val="22"/>
          <w:rtl/>
        </w:rPr>
      </w:pPr>
      <w:hyperlink w:anchor="_Toc74751026" w:history="1">
        <w:r w:rsidR="004C7658">
          <w:rPr>
            <w:rStyle w:val="Hyperlink"/>
            <w:rFonts w:cs="David" w:hint="cs"/>
            <w:noProof/>
            <w:sz w:val="22"/>
            <w:szCs w:val="22"/>
            <w:rtl/>
          </w:rPr>
          <w:t>3.7.6.</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תמהיל יום העבודה השיפוטי הממוצע הכלל מערכתי</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Toc74751026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106</w:t>
        </w:r>
        <w:r w:rsidR="00D61F82" w:rsidRPr="00D61F82">
          <w:rPr>
            <w:rFonts w:cs="David"/>
            <w:noProof/>
            <w:webHidden/>
            <w:sz w:val="22"/>
            <w:szCs w:val="22"/>
            <w:rtl/>
          </w:rPr>
          <w:fldChar w:fldCharType="end"/>
        </w:r>
      </w:hyperlink>
    </w:p>
    <w:p w14:paraId="2EFDF64D" w14:textId="3A0B824C"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1027" w:history="1">
        <w:r w:rsidR="00D61F82" w:rsidRPr="00D61F82">
          <w:rPr>
            <w:rStyle w:val="Hyperlink"/>
            <w:rFonts w:cs="David"/>
            <w:noProof/>
            <w:sz w:val="22"/>
            <w:szCs w:val="22"/>
            <w:rtl/>
          </w:rPr>
          <w:t>3.7.7.</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פילוח יום העבודה השיפוטי עם ובלי מערך תמיכה</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Toc74751027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108</w:t>
        </w:r>
        <w:r w:rsidR="00D61F82" w:rsidRPr="00D61F82">
          <w:rPr>
            <w:rFonts w:cs="David"/>
            <w:noProof/>
            <w:webHidden/>
            <w:sz w:val="22"/>
            <w:szCs w:val="22"/>
            <w:rtl/>
          </w:rPr>
          <w:fldChar w:fldCharType="end"/>
        </w:r>
      </w:hyperlink>
    </w:p>
    <w:p w14:paraId="5FDEA197" w14:textId="1CFA3D12"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1028" w:history="1">
        <w:r w:rsidR="00D61F82" w:rsidRPr="00D61F82">
          <w:rPr>
            <w:rStyle w:val="Hyperlink"/>
            <w:rFonts w:cs="David"/>
            <w:noProof/>
            <w:sz w:val="22"/>
            <w:szCs w:val="22"/>
            <w:rtl/>
          </w:rPr>
          <w:t>3.7.8.</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פילוח יום העבודה השיפוטי עם ובלי תפקיד נוסף</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Toc74751028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110</w:t>
        </w:r>
        <w:r w:rsidR="00D61F82" w:rsidRPr="00D61F82">
          <w:rPr>
            <w:rFonts w:cs="David"/>
            <w:noProof/>
            <w:webHidden/>
            <w:sz w:val="22"/>
            <w:szCs w:val="22"/>
            <w:rtl/>
          </w:rPr>
          <w:fldChar w:fldCharType="end"/>
        </w:r>
      </w:hyperlink>
    </w:p>
    <w:p w14:paraId="7AEA11D7" w14:textId="3E5FFAB1" w:rsidR="00D61F82" w:rsidRPr="00D61F82" w:rsidRDefault="008F1BC3" w:rsidP="004C7658">
      <w:pPr>
        <w:pStyle w:val="TOC3"/>
        <w:tabs>
          <w:tab w:val="left" w:pos="1760"/>
        </w:tabs>
        <w:rPr>
          <w:rFonts w:asciiTheme="minorHAnsi" w:eastAsiaTheme="minorEastAsia" w:hAnsiTheme="minorHAnsi" w:cs="David"/>
          <w:noProof/>
          <w:sz w:val="22"/>
          <w:szCs w:val="22"/>
          <w:rtl/>
        </w:rPr>
      </w:pPr>
      <w:hyperlink w:anchor="_Toc74751029" w:history="1">
        <w:r w:rsidR="004C7658">
          <w:rPr>
            <w:rStyle w:val="Hyperlink"/>
            <w:rFonts w:cs="David" w:hint="cs"/>
            <w:noProof/>
            <w:sz w:val="22"/>
            <w:szCs w:val="22"/>
            <w:rtl/>
          </w:rPr>
          <w:t>3.7.9.</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פעילויות שיפוטיות שנעשות בימי כתיבה</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Toc74751029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112</w:t>
        </w:r>
        <w:r w:rsidR="00D61F82" w:rsidRPr="00D61F82">
          <w:rPr>
            <w:rFonts w:cs="David"/>
            <w:noProof/>
            <w:webHidden/>
            <w:sz w:val="22"/>
            <w:szCs w:val="22"/>
            <w:rtl/>
          </w:rPr>
          <w:fldChar w:fldCharType="end"/>
        </w:r>
      </w:hyperlink>
    </w:p>
    <w:p w14:paraId="00BB6C35" w14:textId="28FDFE3D" w:rsidR="00D61F82" w:rsidRPr="00D61F82" w:rsidRDefault="008F1BC3">
      <w:pPr>
        <w:pStyle w:val="TOC3"/>
        <w:tabs>
          <w:tab w:val="left" w:pos="2101"/>
        </w:tabs>
        <w:rPr>
          <w:rFonts w:asciiTheme="minorHAnsi" w:eastAsiaTheme="minorEastAsia" w:hAnsiTheme="minorHAnsi" w:cs="David"/>
          <w:noProof/>
          <w:sz w:val="22"/>
          <w:szCs w:val="22"/>
          <w:rtl/>
        </w:rPr>
      </w:pPr>
      <w:hyperlink w:anchor="_Toc74751030" w:history="1">
        <w:r w:rsidR="00D61F82" w:rsidRPr="00D61F82">
          <w:rPr>
            <w:rStyle w:val="Hyperlink"/>
            <w:rFonts w:cs="David"/>
            <w:noProof/>
            <w:sz w:val="22"/>
            <w:szCs w:val="22"/>
            <w:rtl/>
          </w:rPr>
          <w:t>3.7.10.יישומים של תוצרי המחקר לצורך הקלת העומס השיפוטי</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Toc74751030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112</w:t>
        </w:r>
        <w:r w:rsidR="00D61F82" w:rsidRPr="00D61F82">
          <w:rPr>
            <w:rFonts w:cs="David"/>
            <w:noProof/>
            <w:webHidden/>
            <w:sz w:val="22"/>
            <w:szCs w:val="22"/>
            <w:rtl/>
          </w:rPr>
          <w:fldChar w:fldCharType="end"/>
        </w:r>
      </w:hyperlink>
    </w:p>
    <w:p w14:paraId="3132CD8D" w14:textId="68B3FF13" w:rsidR="00D61F82" w:rsidRPr="00D61F82" w:rsidRDefault="008F1BC3">
      <w:pPr>
        <w:pStyle w:val="TOC1"/>
        <w:tabs>
          <w:tab w:val="left" w:pos="880"/>
        </w:tabs>
        <w:rPr>
          <w:rFonts w:asciiTheme="minorHAnsi" w:eastAsiaTheme="minorEastAsia" w:hAnsiTheme="minorHAnsi"/>
          <w:b w:val="0"/>
          <w:bCs w:val="0"/>
          <w:sz w:val="22"/>
          <w:szCs w:val="22"/>
          <w:rtl/>
        </w:rPr>
      </w:pPr>
      <w:hyperlink w:anchor="_Toc74751031" w:history="1">
        <w:r w:rsidR="00D61F82" w:rsidRPr="00D61F82">
          <w:rPr>
            <w:rStyle w:val="Hyperlink"/>
            <w:rFonts w:hAnsi="Times New Roman"/>
            <w:sz w:val="22"/>
            <w:szCs w:val="22"/>
            <w:rtl/>
          </w:rPr>
          <w:t>4.</w:t>
        </w:r>
        <w:r w:rsidR="00D61F82" w:rsidRPr="00D61F82">
          <w:rPr>
            <w:rFonts w:asciiTheme="minorHAnsi" w:eastAsiaTheme="minorEastAsia" w:hAnsiTheme="minorHAnsi"/>
            <w:b w:val="0"/>
            <w:bCs w:val="0"/>
            <w:sz w:val="22"/>
            <w:szCs w:val="22"/>
            <w:rtl/>
          </w:rPr>
          <w:tab/>
        </w:r>
        <w:r w:rsidR="00D61F82" w:rsidRPr="00D61F82">
          <w:rPr>
            <w:rStyle w:val="Hyperlink"/>
            <w:sz w:val="22"/>
            <w:szCs w:val="22"/>
            <w:rtl/>
          </w:rPr>
          <w:t>היבטים נוספים של עומס העבודה השיפוטית</w:t>
        </w:r>
        <w:r w:rsidR="00D61F82" w:rsidRPr="00D61F82">
          <w:rPr>
            <w:webHidden/>
            <w:sz w:val="22"/>
            <w:szCs w:val="22"/>
            <w:rtl/>
          </w:rPr>
          <w:tab/>
        </w:r>
        <w:r w:rsidR="00D61F82" w:rsidRPr="00D61F82">
          <w:rPr>
            <w:webHidden/>
            <w:sz w:val="22"/>
            <w:szCs w:val="22"/>
            <w:rtl/>
          </w:rPr>
          <w:fldChar w:fldCharType="begin"/>
        </w:r>
        <w:r w:rsidR="00D61F82" w:rsidRPr="00D61F82">
          <w:rPr>
            <w:webHidden/>
            <w:sz w:val="22"/>
            <w:szCs w:val="22"/>
            <w:rtl/>
          </w:rPr>
          <w:instrText xml:space="preserve"> </w:instrText>
        </w:r>
        <w:r w:rsidR="00D61F82" w:rsidRPr="00D61F82">
          <w:rPr>
            <w:webHidden/>
            <w:sz w:val="22"/>
            <w:szCs w:val="22"/>
          </w:rPr>
          <w:instrText>PAGEREF</w:instrText>
        </w:r>
        <w:r w:rsidR="00D61F82" w:rsidRPr="00D61F82">
          <w:rPr>
            <w:webHidden/>
            <w:sz w:val="22"/>
            <w:szCs w:val="22"/>
            <w:rtl/>
          </w:rPr>
          <w:instrText xml:space="preserve"> _</w:instrText>
        </w:r>
        <w:r w:rsidR="00D61F82" w:rsidRPr="00D61F82">
          <w:rPr>
            <w:webHidden/>
            <w:sz w:val="22"/>
            <w:szCs w:val="22"/>
          </w:rPr>
          <w:instrText>Toc74751031 \h</w:instrText>
        </w:r>
        <w:r w:rsidR="00D61F82" w:rsidRPr="00D61F82">
          <w:rPr>
            <w:webHidden/>
            <w:sz w:val="22"/>
            <w:szCs w:val="22"/>
            <w:rtl/>
          </w:rPr>
          <w:instrText xml:space="preserve"> </w:instrText>
        </w:r>
        <w:r w:rsidR="00D61F82" w:rsidRPr="00D61F82">
          <w:rPr>
            <w:webHidden/>
            <w:sz w:val="22"/>
            <w:szCs w:val="22"/>
            <w:rtl/>
          </w:rPr>
        </w:r>
        <w:r w:rsidR="00D61F82" w:rsidRPr="00D61F82">
          <w:rPr>
            <w:webHidden/>
            <w:sz w:val="22"/>
            <w:szCs w:val="22"/>
            <w:rtl/>
          </w:rPr>
          <w:fldChar w:fldCharType="separate"/>
        </w:r>
        <w:r>
          <w:rPr>
            <w:webHidden/>
            <w:sz w:val="22"/>
            <w:szCs w:val="22"/>
            <w:rtl/>
          </w:rPr>
          <w:t>116</w:t>
        </w:r>
        <w:r w:rsidR="00D61F82" w:rsidRPr="00D61F82">
          <w:rPr>
            <w:webHidden/>
            <w:sz w:val="22"/>
            <w:szCs w:val="22"/>
            <w:rtl/>
          </w:rPr>
          <w:fldChar w:fldCharType="end"/>
        </w:r>
      </w:hyperlink>
    </w:p>
    <w:p w14:paraId="050458B8" w14:textId="1FBF361A" w:rsidR="00D61F82" w:rsidRPr="00D61F82" w:rsidRDefault="008F1BC3">
      <w:pPr>
        <w:pStyle w:val="TOC2"/>
        <w:tabs>
          <w:tab w:val="left" w:pos="1540"/>
        </w:tabs>
        <w:rPr>
          <w:rFonts w:asciiTheme="minorHAnsi" w:eastAsiaTheme="minorEastAsia" w:hAnsiTheme="minorHAnsi" w:cs="David"/>
          <w:b w:val="0"/>
          <w:bCs w:val="0"/>
          <w:noProof/>
          <w:rtl/>
        </w:rPr>
      </w:pPr>
      <w:hyperlink w:anchor="_Toc74751032" w:history="1">
        <w:r w:rsidR="00D61F82" w:rsidRPr="00D61F82">
          <w:rPr>
            <w:rStyle w:val="Hyperlink"/>
            <w:rFonts w:cs="David"/>
            <w:noProof/>
            <w:rtl/>
          </w:rPr>
          <w:t>4.1.</w:t>
        </w:r>
        <w:r w:rsidR="00D61F82" w:rsidRPr="00D61F82">
          <w:rPr>
            <w:rFonts w:asciiTheme="minorHAnsi" w:eastAsiaTheme="minorEastAsia" w:hAnsiTheme="minorHAnsi" w:cs="David"/>
            <w:b w:val="0"/>
            <w:bCs w:val="0"/>
            <w:noProof/>
            <w:rtl/>
          </w:rPr>
          <w:tab/>
        </w:r>
        <w:r w:rsidR="00D61F82" w:rsidRPr="00D61F82">
          <w:rPr>
            <w:rStyle w:val="Hyperlink"/>
            <w:rFonts w:cs="David"/>
            <w:noProof/>
            <w:rtl/>
          </w:rPr>
          <w:t>גורמי לחץ ועומס נפשי</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Toc74751032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117</w:t>
        </w:r>
        <w:r w:rsidR="00D61F82" w:rsidRPr="00D61F82">
          <w:rPr>
            <w:rFonts w:cs="David"/>
            <w:noProof/>
            <w:webHidden/>
            <w:rtl/>
          </w:rPr>
          <w:fldChar w:fldCharType="end"/>
        </w:r>
      </w:hyperlink>
    </w:p>
    <w:p w14:paraId="12CC3631" w14:textId="490EAA2C"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1033" w:history="1">
        <w:r w:rsidR="00D61F82" w:rsidRPr="00D61F82">
          <w:rPr>
            <w:rStyle w:val="Hyperlink"/>
            <w:rFonts w:cs="David"/>
            <w:noProof/>
            <w:sz w:val="22"/>
            <w:szCs w:val="22"/>
            <w:rtl/>
          </w:rPr>
          <w:t>4.1.1.</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מידת העומס</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Toc74751033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118</w:t>
        </w:r>
        <w:r w:rsidR="00D61F82" w:rsidRPr="00D61F82">
          <w:rPr>
            <w:rFonts w:cs="David"/>
            <w:noProof/>
            <w:webHidden/>
            <w:sz w:val="22"/>
            <w:szCs w:val="22"/>
            <w:rtl/>
          </w:rPr>
          <w:fldChar w:fldCharType="end"/>
        </w:r>
      </w:hyperlink>
    </w:p>
    <w:p w14:paraId="3F47BF7E" w14:textId="5BC58347"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1034" w:history="1">
        <w:r w:rsidR="00D61F82" w:rsidRPr="00D61F82">
          <w:rPr>
            <w:rStyle w:val="Hyperlink"/>
            <w:rFonts w:cs="David"/>
            <w:noProof/>
            <w:sz w:val="22"/>
            <w:szCs w:val="22"/>
            <w:rtl/>
          </w:rPr>
          <w:t>4.1.2.</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חוסר איזון בין עבודה לחיים הפרטיים</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Toc74751034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119</w:t>
        </w:r>
        <w:r w:rsidR="00D61F82" w:rsidRPr="00D61F82">
          <w:rPr>
            <w:rFonts w:cs="David"/>
            <w:noProof/>
            <w:webHidden/>
            <w:sz w:val="22"/>
            <w:szCs w:val="22"/>
            <w:rtl/>
          </w:rPr>
          <w:fldChar w:fldCharType="end"/>
        </w:r>
      </w:hyperlink>
    </w:p>
    <w:p w14:paraId="3E8A241F" w14:textId="0DF7A627"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1035" w:history="1">
        <w:r w:rsidR="00D61F82" w:rsidRPr="00D61F82">
          <w:rPr>
            <w:rStyle w:val="Hyperlink"/>
            <w:rFonts w:cs="David"/>
            <w:noProof/>
            <w:sz w:val="22"/>
            <w:szCs w:val="22"/>
            <w:rtl/>
          </w:rPr>
          <w:t>4.1.3.</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חוסר בכלים להתמודדות עם העומס</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Toc74751035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120</w:t>
        </w:r>
        <w:r w:rsidR="00D61F82" w:rsidRPr="00D61F82">
          <w:rPr>
            <w:rFonts w:cs="David"/>
            <w:noProof/>
            <w:webHidden/>
            <w:sz w:val="22"/>
            <w:szCs w:val="22"/>
            <w:rtl/>
          </w:rPr>
          <w:fldChar w:fldCharType="end"/>
        </w:r>
      </w:hyperlink>
    </w:p>
    <w:p w14:paraId="5498853D" w14:textId="5AD665D7"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1036" w:history="1">
        <w:r w:rsidR="00D61F82" w:rsidRPr="00D61F82">
          <w:rPr>
            <w:rStyle w:val="Hyperlink"/>
            <w:rFonts w:cs="David"/>
            <w:noProof/>
            <w:sz w:val="22"/>
            <w:szCs w:val="22"/>
            <w:rtl/>
          </w:rPr>
          <w:t>4.1.4.</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הכרח להדחיק רגשות</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Toc74751036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121</w:t>
        </w:r>
        <w:r w:rsidR="00D61F82" w:rsidRPr="00D61F82">
          <w:rPr>
            <w:rFonts w:cs="David"/>
            <w:noProof/>
            <w:webHidden/>
            <w:sz w:val="22"/>
            <w:szCs w:val="22"/>
            <w:rtl/>
          </w:rPr>
          <w:fldChar w:fldCharType="end"/>
        </w:r>
      </w:hyperlink>
    </w:p>
    <w:p w14:paraId="7A3C560A" w14:textId="25521DAB" w:rsidR="00D61F82" w:rsidRPr="00D61F82" w:rsidRDefault="008F1BC3">
      <w:pPr>
        <w:pStyle w:val="TOC3"/>
        <w:tabs>
          <w:tab w:val="left" w:pos="2001"/>
        </w:tabs>
        <w:rPr>
          <w:rFonts w:asciiTheme="minorHAnsi" w:eastAsiaTheme="minorEastAsia" w:hAnsiTheme="minorHAnsi" w:cs="David"/>
          <w:noProof/>
          <w:sz w:val="22"/>
          <w:szCs w:val="22"/>
          <w:rtl/>
        </w:rPr>
      </w:pPr>
      <w:hyperlink w:anchor="_Toc74751037" w:history="1">
        <w:r w:rsidR="00D61F82" w:rsidRPr="00D61F82">
          <w:rPr>
            <w:rStyle w:val="Hyperlink"/>
            <w:rFonts w:cs="David"/>
            <w:noProof/>
            <w:sz w:val="22"/>
            <w:szCs w:val="22"/>
            <w:rtl/>
          </w:rPr>
          <w:t>4.1.5.</w:t>
        </w:r>
        <w:r w:rsidR="00D61F82" w:rsidRPr="00D61F82">
          <w:rPr>
            <w:rFonts w:asciiTheme="minorHAnsi" w:eastAsiaTheme="minorEastAsia" w:hAnsiTheme="minorHAnsi" w:cs="David"/>
            <w:noProof/>
            <w:sz w:val="22"/>
            <w:szCs w:val="22"/>
            <w:rtl/>
          </w:rPr>
          <w:tab/>
        </w:r>
        <w:r w:rsidR="00D61F82" w:rsidRPr="00D61F82">
          <w:rPr>
            <w:rStyle w:val="Hyperlink"/>
            <w:rFonts w:cs="David"/>
            <w:noProof/>
            <w:sz w:val="22"/>
            <w:szCs w:val="22"/>
            <w:rtl/>
          </w:rPr>
          <w:t>המחקר ככלי להערכת העומס המוטל על השופטים</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Toc74751037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122</w:t>
        </w:r>
        <w:r w:rsidR="00D61F82" w:rsidRPr="00D61F82">
          <w:rPr>
            <w:rFonts w:cs="David"/>
            <w:noProof/>
            <w:webHidden/>
            <w:sz w:val="22"/>
            <w:szCs w:val="22"/>
            <w:rtl/>
          </w:rPr>
          <w:fldChar w:fldCharType="end"/>
        </w:r>
      </w:hyperlink>
    </w:p>
    <w:p w14:paraId="77BDB883" w14:textId="3B460898" w:rsidR="00D61F82" w:rsidRPr="00D61F82" w:rsidRDefault="008F1BC3">
      <w:pPr>
        <w:pStyle w:val="TOC2"/>
        <w:tabs>
          <w:tab w:val="left" w:pos="1540"/>
        </w:tabs>
        <w:rPr>
          <w:rFonts w:asciiTheme="minorHAnsi" w:eastAsiaTheme="minorEastAsia" w:hAnsiTheme="minorHAnsi" w:cs="David"/>
          <w:b w:val="0"/>
          <w:bCs w:val="0"/>
          <w:noProof/>
          <w:rtl/>
        </w:rPr>
      </w:pPr>
      <w:hyperlink w:anchor="_Toc74751038" w:history="1">
        <w:r w:rsidR="00D61F82" w:rsidRPr="00D61F82">
          <w:rPr>
            <w:rStyle w:val="Hyperlink"/>
            <w:rFonts w:cs="David"/>
            <w:noProof/>
            <w:rtl/>
          </w:rPr>
          <w:t>4.2.</w:t>
        </w:r>
        <w:r w:rsidR="00D61F82" w:rsidRPr="00D61F82">
          <w:rPr>
            <w:rFonts w:asciiTheme="minorHAnsi" w:eastAsiaTheme="minorEastAsia" w:hAnsiTheme="minorHAnsi" w:cs="David"/>
            <w:b w:val="0"/>
            <w:bCs w:val="0"/>
            <w:noProof/>
            <w:rtl/>
          </w:rPr>
          <w:tab/>
        </w:r>
        <w:r w:rsidR="00D61F82" w:rsidRPr="00D61F82">
          <w:rPr>
            <w:rStyle w:val="Hyperlink"/>
            <w:rFonts w:cs="David"/>
            <w:noProof/>
            <w:rtl/>
          </w:rPr>
          <w:t>עומס רגשי</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Toc74751038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122</w:t>
        </w:r>
        <w:r w:rsidR="00D61F82" w:rsidRPr="00D61F82">
          <w:rPr>
            <w:rFonts w:cs="David"/>
            <w:noProof/>
            <w:webHidden/>
            <w:rtl/>
          </w:rPr>
          <w:fldChar w:fldCharType="end"/>
        </w:r>
      </w:hyperlink>
    </w:p>
    <w:p w14:paraId="445C7599" w14:textId="77F008ED" w:rsidR="00D61F82" w:rsidRPr="00D61F82" w:rsidRDefault="008F1BC3">
      <w:pPr>
        <w:pStyle w:val="TOC1"/>
        <w:rPr>
          <w:rFonts w:asciiTheme="minorHAnsi" w:eastAsiaTheme="minorEastAsia" w:hAnsiTheme="minorHAnsi"/>
          <w:b w:val="0"/>
          <w:bCs w:val="0"/>
          <w:sz w:val="22"/>
          <w:szCs w:val="22"/>
          <w:rtl/>
        </w:rPr>
      </w:pPr>
      <w:hyperlink w:anchor="_Toc74751039" w:history="1">
        <w:r w:rsidR="00D61F82" w:rsidRPr="00D61F82">
          <w:rPr>
            <w:rStyle w:val="Hyperlink"/>
            <w:sz w:val="22"/>
            <w:szCs w:val="22"/>
            <w:rtl/>
          </w:rPr>
          <w:t>סיכום, מסקנות, מגבלות המחקר והמלצות לעתיד</w:t>
        </w:r>
        <w:r w:rsidR="00D61F82" w:rsidRPr="00D61F82">
          <w:rPr>
            <w:webHidden/>
            <w:sz w:val="22"/>
            <w:szCs w:val="22"/>
            <w:rtl/>
          </w:rPr>
          <w:tab/>
        </w:r>
        <w:r w:rsidR="00D61F82" w:rsidRPr="00D61F82">
          <w:rPr>
            <w:webHidden/>
            <w:sz w:val="22"/>
            <w:szCs w:val="22"/>
            <w:rtl/>
          </w:rPr>
          <w:fldChar w:fldCharType="begin"/>
        </w:r>
        <w:r w:rsidR="00D61F82" w:rsidRPr="00D61F82">
          <w:rPr>
            <w:webHidden/>
            <w:sz w:val="22"/>
            <w:szCs w:val="22"/>
            <w:rtl/>
          </w:rPr>
          <w:instrText xml:space="preserve"> </w:instrText>
        </w:r>
        <w:r w:rsidR="00D61F82" w:rsidRPr="00D61F82">
          <w:rPr>
            <w:webHidden/>
            <w:sz w:val="22"/>
            <w:szCs w:val="22"/>
          </w:rPr>
          <w:instrText>PAGEREF</w:instrText>
        </w:r>
        <w:r w:rsidR="00D61F82" w:rsidRPr="00D61F82">
          <w:rPr>
            <w:webHidden/>
            <w:sz w:val="22"/>
            <w:szCs w:val="22"/>
            <w:rtl/>
          </w:rPr>
          <w:instrText xml:space="preserve"> _</w:instrText>
        </w:r>
        <w:r w:rsidR="00D61F82" w:rsidRPr="00D61F82">
          <w:rPr>
            <w:webHidden/>
            <w:sz w:val="22"/>
            <w:szCs w:val="22"/>
          </w:rPr>
          <w:instrText>Toc74751039 \h</w:instrText>
        </w:r>
        <w:r w:rsidR="00D61F82" w:rsidRPr="00D61F82">
          <w:rPr>
            <w:webHidden/>
            <w:sz w:val="22"/>
            <w:szCs w:val="22"/>
            <w:rtl/>
          </w:rPr>
          <w:instrText xml:space="preserve"> </w:instrText>
        </w:r>
        <w:r w:rsidR="00D61F82" w:rsidRPr="00D61F82">
          <w:rPr>
            <w:webHidden/>
            <w:sz w:val="22"/>
            <w:szCs w:val="22"/>
            <w:rtl/>
          </w:rPr>
        </w:r>
        <w:r w:rsidR="00D61F82" w:rsidRPr="00D61F82">
          <w:rPr>
            <w:webHidden/>
            <w:sz w:val="22"/>
            <w:szCs w:val="22"/>
            <w:rtl/>
          </w:rPr>
          <w:fldChar w:fldCharType="separate"/>
        </w:r>
        <w:r>
          <w:rPr>
            <w:webHidden/>
            <w:sz w:val="22"/>
            <w:szCs w:val="22"/>
            <w:rtl/>
          </w:rPr>
          <w:t>130</w:t>
        </w:r>
        <w:r w:rsidR="00D61F82" w:rsidRPr="00D61F82">
          <w:rPr>
            <w:webHidden/>
            <w:sz w:val="22"/>
            <w:szCs w:val="22"/>
            <w:rtl/>
          </w:rPr>
          <w:fldChar w:fldCharType="end"/>
        </w:r>
      </w:hyperlink>
    </w:p>
    <w:p w14:paraId="2A1839BD" w14:textId="08DC95A7" w:rsidR="00D61F82" w:rsidRPr="00D61F82" w:rsidRDefault="008F1BC3">
      <w:pPr>
        <w:pStyle w:val="TOC1"/>
        <w:rPr>
          <w:rFonts w:asciiTheme="minorHAnsi" w:eastAsiaTheme="minorEastAsia" w:hAnsiTheme="minorHAnsi"/>
          <w:b w:val="0"/>
          <w:bCs w:val="0"/>
          <w:sz w:val="22"/>
          <w:szCs w:val="22"/>
          <w:rtl/>
        </w:rPr>
      </w:pPr>
      <w:hyperlink w:anchor="_Toc74751040" w:history="1">
        <w:r w:rsidR="00D61F82" w:rsidRPr="00D61F82">
          <w:rPr>
            <w:rStyle w:val="Hyperlink"/>
            <w:sz w:val="22"/>
            <w:szCs w:val="22"/>
            <w:rtl/>
          </w:rPr>
          <w:t>נספחים</w:t>
        </w:r>
        <w:r w:rsidR="00D61F82" w:rsidRPr="00D61F82">
          <w:rPr>
            <w:webHidden/>
            <w:sz w:val="22"/>
            <w:szCs w:val="22"/>
            <w:rtl/>
          </w:rPr>
          <w:tab/>
        </w:r>
        <w:r w:rsidR="00D61F82" w:rsidRPr="00D61F82">
          <w:rPr>
            <w:webHidden/>
            <w:sz w:val="22"/>
            <w:szCs w:val="22"/>
            <w:rtl/>
          </w:rPr>
          <w:fldChar w:fldCharType="begin"/>
        </w:r>
        <w:r w:rsidR="00D61F82" w:rsidRPr="00D61F82">
          <w:rPr>
            <w:webHidden/>
            <w:sz w:val="22"/>
            <w:szCs w:val="22"/>
            <w:rtl/>
          </w:rPr>
          <w:instrText xml:space="preserve"> </w:instrText>
        </w:r>
        <w:r w:rsidR="00D61F82" w:rsidRPr="00D61F82">
          <w:rPr>
            <w:webHidden/>
            <w:sz w:val="22"/>
            <w:szCs w:val="22"/>
          </w:rPr>
          <w:instrText>PAGEREF</w:instrText>
        </w:r>
        <w:r w:rsidR="00D61F82" w:rsidRPr="00D61F82">
          <w:rPr>
            <w:webHidden/>
            <w:sz w:val="22"/>
            <w:szCs w:val="22"/>
            <w:rtl/>
          </w:rPr>
          <w:instrText xml:space="preserve"> _</w:instrText>
        </w:r>
        <w:r w:rsidR="00D61F82" w:rsidRPr="00D61F82">
          <w:rPr>
            <w:webHidden/>
            <w:sz w:val="22"/>
            <w:szCs w:val="22"/>
          </w:rPr>
          <w:instrText>Toc74751040 \h</w:instrText>
        </w:r>
        <w:r w:rsidR="00D61F82" w:rsidRPr="00D61F82">
          <w:rPr>
            <w:webHidden/>
            <w:sz w:val="22"/>
            <w:szCs w:val="22"/>
            <w:rtl/>
          </w:rPr>
          <w:instrText xml:space="preserve"> </w:instrText>
        </w:r>
        <w:r w:rsidR="00D61F82" w:rsidRPr="00D61F82">
          <w:rPr>
            <w:webHidden/>
            <w:sz w:val="22"/>
            <w:szCs w:val="22"/>
            <w:rtl/>
          </w:rPr>
        </w:r>
        <w:r w:rsidR="00D61F82" w:rsidRPr="00D61F82">
          <w:rPr>
            <w:webHidden/>
            <w:sz w:val="22"/>
            <w:szCs w:val="22"/>
            <w:rtl/>
          </w:rPr>
          <w:fldChar w:fldCharType="separate"/>
        </w:r>
        <w:r>
          <w:rPr>
            <w:webHidden/>
            <w:sz w:val="22"/>
            <w:szCs w:val="22"/>
            <w:rtl/>
          </w:rPr>
          <w:t>141</w:t>
        </w:r>
        <w:r w:rsidR="00D61F82" w:rsidRPr="00D61F82">
          <w:rPr>
            <w:webHidden/>
            <w:sz w:val="22"/>
            <w:szCs w:val="22"/>
            <w:rtl/>
          </w:rPr>
          <w:fldChar w:fldCharType="end"/>
        </w:r>
      </w:hyperlink>
    </w:p>
    <w:p w14:paraId="7E6BC240" w14:textId="0E2CEE3E" w:rsidR="00D61F82" w:rsidRPr="00D61F82" w:rsidRDefault="008F1BC3">
      <w:pPr>
        <w:pStyle w:val="TOC2"/>
        <w:rPr>
          <w:rFonts w:asciiTheme="minorHAnsi" w:eastAsiaTheme="minorEastAsia" w:hAnsiTheme="minorHAnsi" w:cs="David"/>
          <w:b w:val="0"/>
          <w:bCs w:val="0"/>
          <w:noProof/>
          <w:rtl/>
        </w:rPr>
      </w:pPr>
      <w:hyperlink w:anchor="_Toc74751041" w:history="1">
        <w:r w:rsidR="00D61F82" w:rsidRPr="00D61F82">
          <w:rPr>
            <w:rStyle w:val="Hyperlink"/>
            <w:rFonts w:cs="David"/>
            <w:noProof/>
            <w:rtl/>
          </w:rPr>
          <w:t>נספח א': טבלה הסוקרת את מחקרי משקלות התיקים שנעשו במדינות שונות בעולם</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Toc74751041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141</w:t>
        </w:r>
        <w:r w:rsidR="00D61F82" w:rsidRPr="00D61F82">
          <w:rPr>
            <w:rFonts w:cs="David"/>
            <w:noProof/>
            <w:webHidden/>
            <w:rtl/>
          </w:rPr>
          <w:fldChar w:fldCharType="end"/>
        </w:r>
      </w:hyperlink>
    </w:p>
    <w:p w14:paraId="0708131B" w14:textId="15BACA2A" w:rsidR="00D61F82" w:rsidRPr="00D61F82" w:rsidRDefault="008F1BC3">
      <w:pPr>
        <w:pStyle w:val="TOC2"/>
        <w:rPr>
          <w:rFonts w:asciiTheme="minorHAnsi" w:eastAsiaTheme="minorEastAsia" w:hAnsiTheme="minorHAnsi" w:cs="David"/>
          <w:b w:val="0"/>
          <w:bCs w:val="0"/>
          <w:noProof/>
          <w:rtl/>
        </w:rPr>
      </w:pPr>
      <w:hyperlink w:anchor="_Toc74751042" w:history="1">
        <w:r w:rsidR="00D61F82" w:rsidRPr="00D61F82">
          <w:rPr>
            <w:rStyle w:val="Hyperlink"/>
            <w:rFonts w:cs="David"/>
            <w:noProof/>
            <w:rtl/>
          </w:rPr>
          <w:t>נספח ב': השאלונים המסכמים של הערכאות ובתי המשפט השונים</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Toc74751042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141</w:t>
        </w:r>
        <w:r w:rsidR="00D61F82" w:rsidRPr="00D61F82">
          <w:rPr>
            <w:rFonts w:cs="David"/>
            <w:noProof/>
            <w:webHidden/>
            <w:rtl/>
          </w:rPr>
          <w:fldChar w:fldCharType="end"/>
        </w:r>
      </w:hyperlink>
    </w:p>
    <w:p w14:paraId="5BD19E0A" w14:textId="72064184" w:rsidR="00D61F82" w:rsidRPr="00D61F82" w:rsidRDefault="008F1BC3">
      <w:pPr>
        <w:pStyle w:val="TOC3"/>
        <w:rPr>
          <w:rFonts w:asciiTheme="minorHAnsi" w:eastAsiaTheme="minorEastAsia" w:hAnsiTheme="minorHAnsi" w:cs="David"/>
          <w:noProof/>
          <w:sz w:val="22"/>
          <w:szCs w:val="22"/>
          <w:rtl/>
        </w:rPr>
      </w:pPr>
      <w:hyperlink w:anchor="_Toc74751043" w:history="1">
        <w:r w:rsidR="00D61F82" w:rsidRPr="00D61F82">
          <w:rPr>
            <w:rStyle w:val="Hyperlink"/>
            <w:rFonts w:cs="David"/>
            <w:noProof/>
            <w:sz w:val="22"/>
            <w:szCs w:val="22"/>
            <w:rtl/>
          </w:rPr>
          <w:t>נספח ב1: כללי</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Toc74751043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142</w:t>
        </w:r>
        <w:r w:rsidR="00D61F82" w:rsidRPr="00D61F82">
          <w:rPr>
            <w:rFonts w:cs="David"/>
            <w:noProof/>
            <w:webHidden/>
            <w:sz w:val="22"/>
            <w:szCs w:val="22"/>
            <w:rtl/>
          </w:rPr>
          <w:fldChar w:fldCharType="end"/>
        </w:r>
      </w:hyperlink>
    </w:p>
    <w:p w14:paraId="13A8DE6C" w14:textId="73DCEBF4" w:rsidR="00D61F82" w:rsidRPr="00D61F82" w:rsidRDefault="008F1BC3">
      <w:pPr>
        <w:pStyle w:val="TOC3"/>
        <w:rPr>
          <w:rFonts w:asciiTheme="minorHAnsi" w:eastAsiaTheme="minorEastAsia" w:hAnsiTheme="minorHAnsi" w:cs="David"/>
          <w:noProof/>
          <w:sz w:val="22"/>
          <w:szCs w:val="22"/>
          <w:rtl/>
        </w:rPr>
      </w:pPr>
      <w:hyperlink w:anchor="_Toc74751044" w:history="1">
        <w:r w:rsidR="00D61F82" w:rsidRPr="00D61F82">
          <w:rPr>
            <w:rStyle w:val="Hyperlink"/>
            <w:rFonts w:cs="David"/>
            <w:noProof/>
            <w:sz w:val="22"/>
            <w:szCs w:val="22"/>
            <w:rtl/>
          </w:rPr>
          <w:t>נספח ב2: ערכאת מחוזי פלילי</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Toc74751044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145</w:t>
        </w:r>
        <w:r w:rsidR="00D61F82" w:rsidRPr="00D61F82">
          <w:rPr>
            <w:rFonts w:cs="David"/>
            <w:noProof/>
            <w:webHidden/>
            <w:sz w:val="22"/>
            <w:szCs w:val="22"/>
            <w:rtl/>
          </w:rPr>
          <w:fldChar w:fldCharType="end"/>
        </w:r>
      </w:hyperlink>
    </w:p>
    <w:p w14:paraId="50698137" w14:textId="3C545C4E" w:rsidR="00D61F82" w:rsidRPr="00D61F82" w:rsidRDefault="008F1BC3">
      <w:pPr>
        <w:pStyle w:val="TOC3"/>
        <w:rPr>
          <w:rFonts w:asciiTheme="minorHAnsi" w:eastAsiaTheme="minorEastAsia" w:hAnsiTheme="minorHAnsi" w:cs="David"/>
          <w:noProof/>
          <w:sz w:val="22"/>
          <w:szCs w:val="22"/>
          <w:rtl/>
        </w:rPr>
      </w:pPr>
      <w:hyperlink w:anchor="_Toc74751045" w:history="1">
        <w:r w:rsidR="00D61F82" w:rsidRPr="00D61F82">
          <w:rPr>
            <w:rStyle w:val="Hyperlink"/>
            <w:rFonts w:cs="David"/>
            <w:noProof/>
            <w:sz w:val="22"/>
            <w:szCs w:val="22"/>
            <w:rtl/>
          </w:rPr>
          <w:t>נספח ב3: ערכאת מחוזי אזרחי</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Toc74751045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150</w:t>
        </w:r>
        <w:r w:rsidR="00D61F82" w:rsidRPr="00D61F82">
          <w:rPr>
            <w:rFonts w:cs="David"/>
            <w:noProof/>
            <w:webHidden/>
            <w:sz w:val="22"/>
            <w:szCs w:val="22"/>
            <w:rtl/>
          </w:rPr>
          <w:fldChar w:fldCharType="end"/>
        </w:r>
      </w:hyperlink>
    </w:p>
    <w:p w14:paraId="7A8F0CB8" w14:textId="61B32D3E" w:rsidR="00D61F82" w:rsidRPr="00D61F82" w:rsidRDefault="008F1BC3">
      <w:pPr>
        <w:pStyle w:val="TOC3"/>
        <w:rPr>
          <w:rFonts w:asciiTheme="minorHAnsi" w:eastAsiaTheme="minorEastAsia" w:hAnsiTheme="minorHAnsi" w:cs="David"/>
          <w:noProof/>
          <w:sz w:val="22"/>
          <w:szCs w:val="22"/>
          <w:rtl/>
        </w:rPr>
      </w:pPr>
      <w:hyperlink w:anchor="_Toc74751046" w:history="1">
        <w:r w:rsidR="00D61F82" w:rsidRPr="00D61F82">
          <w:rPr>
            <w:rStyle w:val="Hyperlink"/>
            <w:rFonts w:cs="David"/>
            <w:noProof/>
            <w:sz w:val="22"/>
            <w:szCs w:val="22"/>
            <w:rtl/>
          </w:rPr>
          <w:t>נספח ב4: ערכאת שלום פלילי</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Toc74751046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156</w:t>
        </w:r>
        <w:r w:rsidR="00D61F82" w:rsidRPr="00D61F82">
          <w:rPr>
            <w:rFonts w:cs="David"/>
            <w:noProof/>
            <w:webHidden/>
            <w:sz w:val="22"/>
            <w:szCs w:val="22"/>
            <w:rtl/>
          </w:rPr>
          <w:fldChar w:fldCharType="end"/>
        </w:r>
      </w:hyperlink>
    </w:p>
    <w:p w14:paraId="5CE7E4B4" w14:textId="4E5F13B2" w:rsidR="00D61F82" w:rsidRPr="00D61F82" w:rsidRDefault="008F1BC3">
      <w:pPr>
        <w:pStyle w:val="TOC3"/>
        <w:rPr>
          <w:rFonts w:asciiTheme="minorHAnsi" w:eastAsiaTheme="minorEastAsia" w:hAnsiTheme="minorHAnsi" w:cs="David"/>
          <w:noProof/>
          <w:sz w:val="22"/>
          <w:szCs w:val="22"/>
          <w:rtl/>
        </w:rPr>
      </w:pPr>
      <w:hyperlink w:anchor="_Toc74751047" w:history="1">
        <w:r w:rsidR="00D61F82" w:rsidRPr="00D61F82">
          <w:rPr>
            <w:rStyle w:val="Hyperlink"/>
            <w:rFonts w:cs="David"/>
            <w:noProof/>
            <w:sz w:val="22"/>
            <w:szCs w:val="22"/>
            <w:rtl/>
          </w:rPr>
          <w:t>נספח ב5: ערכאת שלום אזרחי</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Toc74751047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162</w:t>
        </w:r>
        <w:r w:rsidR="00D61F82" w:rsidRPr="00D61F82">
          <w:rPr>
            <w:rFonts w:cs="David"/>
            <w:noProof/>
            <w:webHidden/>
            <w:sz w:val="22"/>
            <w:szCs w:val="22"/>
            <w:rtl/>
          </w:rPr>
          <w:fldChar w:fldCharType="end"/>
        </w:r>
      </w:hyperlink>
    </w:p>
    <w:p w14:paraId="473DC2F4" w14:textId="3D857A1B" w:rsidR="00D61F82" w:rsidRPr="00D61F82" w:rsidRDefault="008F1BC3">
      <w:pPr>
        <w:pStyle w:val="TOC3"/>
        <w:rPr>
          <w:rFonts w:asciiTheme="minorHAnsi" w:eastAsiaTheme="minorEastAsia" w:hAnsiTheme="minorHAnsi" w:cs="David"/>
          <w:noProof/>
          <w:sz w:val="22"/>
          <w:szCs w:val="22"/>
          <w:rtl/>
        </w:rPr>
      </w:pPr>
      <w:hyperlink w:anchor="_Toc74751048" w:history="1">
        <w:r w:rsidR="00D61F82" w:rsidRPr="00D61F82">
          <w:rPr>
            <w:rStyle w:val="Hyperlink"/>
            <w:rFonts w:cs="David"/>
            <w:noProof/>
            <w:sz w:val="22"/>
            <w:szCs w:val="22"/>
            <w:rtl/>
          </w:rPr>
          <w:t>נספח ב6: ערכאת תעבורה</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Toc74751048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167</w:t>
        </w:r>
        <w:r w:rsidR="00D61F82" w:rsidRPr="00D61F82">
          <w:rPr>
            <w:rFonts w:cs="David"/>
            <w:noProof/>
            <w:webHidden/>
            <w:sz w:val="22"/>
            <w:szCs w:val="22"/>
            <w:rtl/>
          </w:rPr>
          <w:fldChar w:fldCharType="end"/>
        </w:r>
      </w:hyperlink>
    </w:p>
    <w:p w14:paraId="276CE442" w14:textId="4E234FA3" w:rsidR="00D61F82" w:rsidRPr="00D61F82" w:rsidRDefault="008F1BC3">
      <w:pPr>
        <w:pStyle w:val="TOC3"/>
        <w:rPr>
          <w:rFonts w:asciiTheme="minorHAnsi" w:eastAsiaTheme="minorEastAsia" w:hAnsiTheme="minorHAnsi" w:cs="David"/>
          <w:noProof/>
          <w:sz w:val="22"/>
          <w:szCs w:val="22"/>
          <w:rtl/>
        </w:rPr>
      </w:pPr>
      <w:hyperlink w:anchor="_Toc74751049" w:history="1">
        <w:r w:rsidR="00D61F82" w:rsidRPr="00D61F82">
          <w:rPr>
            <w:rStyle w:val="Hyperlink"/>
            <w:rFonts w:cs="David"/>
            <w:noProof/>
            <w:sz w:val="22"/>
            <w:szCs w:val="22"/>
            <w:rtl/>
          </w:rPr>
          <w:t>נספח ב7: ערכאת משפחה</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Toc74751049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171</w:t>
        </w:r>
        <w:r w:rsidR="00D61F82" w:rsidRPr="00D61F82">
          <w:rPr>
            <w:rFonts w:cs="David"/>
            <w:noProof/>
            <w:webHidden/>
            <w:sz w:val="22"/>
            <w:szCs w:val="22"/>
            <w:rtl/>
          </w:rPr>
          <w:fldChar w:fldCharType="end"/>
        </w:r>
      </w:hyperlink>
    </w:p>
    <w:p w14:paraId="177D74BF" w14:textId="5AE80B80" w:rsidR="00D61F82" w:rsidRPr="00D61F82" w:rsidRDefault="008F1BC3">
      <w:pPr>
        <w:pStyle w:val="TOC3"/>
        <w:rPr>
          <w:rFonts w:asciiTheme="minorHAnsi" w:eastAsiaTheme="minorEastAsia" w:hAnsiTheme="minorHAnsi" w:cs="David"/>
          <w:noProof/>
          <w:sz w:val="22"/>
          <w:szCs w:val="22"/>
          <w:rtl/>
        </w:rPr>
      </w:pPr>
      <w:hyperlink w:anchor="_Toc74751050" w:history="1">
        <w:r w:rsidR="00D61F82" w:rsidRPr="00D61F82">
          <w:rPr>
            <w:rStyle w:val="Hyperlink"/>
            <w:rFonts w:cs="David"/>
            <w:noProof/>
            <w:sz w:val="22"/>
            <w:szCs w:val="22"/>
            <w:rtl/>
          </w:rPr>
          <w:t>נספח ב8: ערכאת נוער</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Toc74751050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175</w:t>
        </w:r>
        <w:r w:rsidR="00D61F82" w:rsidRPr="00D61F82">
          <w:rPr>
            <w:rFonts w:cs="David"/>
            <w:noProof/>
            <w:webHidden/>
            <w:sz w:val="22"/>
            <w:szCs w:val="22"/>
            <w:rtl/>
          </w:rPr>
          <w:fldChar w:fldCharType="end"/>
        </w:r>
      </w:hyperlink>
    </w:p>
    <w:p w14:paraId="42F482C7" w14:textId="1D9556C3" w:rsidR="00D61F82" w:rsidRPr="00D61F82" w:rsidRDefault="008F1BC3">
      <w:pPr>
        <w:pStyle w:val="TOC2"/>
        <w:rPr>
          <w:rFonts w:asciiTheme="minorHAnsi" w:eastAsiaTheme="minorEastAsia" w:hAnsiTheme="minorHAnsi" w:cs="David"/>
          <w:b w:val="0"/>
          <w:bCs w:val="0"/>
          <w:noProof/>
          <w:rtl/>
        </w:rPr>
      </w:pPr>
      <w:hyperlink w:anchor="_Toc74751051" w:history="1">
        <w:r w:rsidR="00D61F82" w:rsidRPr="00D61F82">
          <w:rPr>
            <w:rStyle w:val="Hyperlink"/>
            <w:rFonts w:cs="David"/>
            <w:noProof/>
            <w:rtl/>
          </w:rPr>
          <w:t>נספח ג': טופס הסכמה לדוגמה</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Toc74751051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178</w:t>
        </w:r>
        <w:r w:rsidR="00D61F82" w:rsidRPr="00D61F82">
          <w:rPr>
            <w:rFonts w:cs="David"/>
            <w:noProof/>
            <w:webHidden/>
            <w:rtl/>
          </w:rPr>
          <w:fldChar w:fldCharType="end"/>
        </w:r>
      </w:hyperlink>
    </w:p>
    <w:p w14:paraId="3949D965" w14:textId="57A9F0A1" w:rsidR="00D61F82" w:rsidRPr="00D61F82" w:rsidRDefault="008F1BC3">
      <w:pPr>
        <w:pStyle w:val="TOC2"/>
        <w:rPr>
          <w:rFonts w:asciiTheme="minorHAnsi" w:eastAsiaTheme="minorEastAsia" w:hAnsiTheme="minorHAnsi" w:cs="David"/>
          <w:b w:val="0"/>
          <w:bCs w:val="0"/>
          <w:noProof/>
          <w:rtl/>
        </w:rPr>
      </w:pPr>
      <w:hyperlink w:anchor="_Toc74751052" w:history="1">
        <w:r w:rsidR="00D61F82" w:rsidRPr="00D61F82">
          <w:rPr>
            <w:rStyle w:val="Hyperlink"/>
            <w:rFonts w:cs="David"/>
            <w:noProof/>
            <w:rtl/>
          </w:rPr>
          <w:t>נספח ד': יומני השופטים הידניים אשר הותאמו לערכאות השונות</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Toc74751052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179</w:t>
        </w:r>
        <w:r w:rsidR="00D61F82" w:rsidRPr="00D61F82">
          <w:rPr>
            <w:rFonts w:cs="David"/>
            <w:noProof/>
            <w:webHidden/>
            <w:rtl/>
          </w:rPr>
          <w:fldChar w:fldCharType="end"/>
        </w:r>
      </w:hyperlink>
    </w:p>
    <w:p w14:paraId="6125CE02" w14:textId="52CE0152" w:rsidR="00D61F82" w:rsidRPr="00D61F82" w:rsidRDefault="008F1BC3">
      <w:pPr>
        <w:pStyle w:val="TOC3"/>
        <w:rPr>
          <w:rFonts w:asciiTheme="minorHAnsi" w:eastAsiaTheme="minorEastAsia" w:hAnsiTheme="minorHAnsi" w:cs="David"/>
          <w:noProof/>
          <w:sz w:val="22"/>
          <w:szCs w:val="22"/>
          <w:rtl/>
        </w:rPr>
      </w:pPr>
      <w:hyperlink w:anchor="_Toc74751053" w:history="1">
        <w:r w:rsidR="00D61F82" w:rsidRPr="00D61F82">
          <w:rPr>
            <w:rStyle w:val="Hyperlink"/>
            <w:rFonts w:cs="David"/>
            <w:noProof/>
            <w:sz w:val="22"/>
            <w:szCs w:val="22"/>
            <w:rtl/>
          </w:rPr>
          <w:t>נספח ד1: ערכאת מחוזי</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Toc74751053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179</w:t>
        </w:r>
        <w:r w:rsidR="00D61F82" w:rsidRPr="00D61F82">
          <w:rPr>
            <w:rFonts w:cs="David"/>
            <w:noProof/>
            <w:webHidden/>
            <w:sz w:val="22"/>
            <w:szCs w:val="22"/>
            <w:rtl/>
          </w:rPr>
          <w:fldChar w:fldCharType="end"/>
        </w:r>
      </w:hyperlink>
    </w:p>
    <w:p w14:paraId="025D0629" w14:textId="0833AF52" w:rsidR="00D61F82" w:rsidRPr="00D61F82" w:rsidRDefault="008F1BC3">
      <w:pPr>
        <w:pStyle w:val="TOC3"/>
        <w:rPr>
          <w:rFonts w:asciiTheme="minorHAnsi" w:eastAsiaTheme="minorEastAsia" w:hAnsiTheme="minorHAnsi" w:cs="David"/>
          <w:noProof/>
          <w:sz w:val="22"/>
          <w:szCs w:val="22"/>
          <w:rtl/>
        </w:rPr>
      </w:pPr>
      <w:hyperlink w:anchor="_Toc74751054" w:history="1">
        <w:r w:rsidR="00D61F82" w:rsidRPr="00D61F82">
          <w:rPr>
            <w:rStyle w:val="Hyperlink"/>
            <w:rFonts w:cs="David"/>
            <w:noProof/>
            <w:sz w:val="22"/>
            <w:szCs w:val="22"/>
            <w:rtl/>
          </w:rPr>
          <w:t>נספח ד2: ערכאת שלום</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Toc74751054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180</w:t>
        </w:r>
        <w:r w:rsidR="00D61F82" w:rsidRPr="00D61F82">
          <w:rPr>
            <w:rFonts w:cs="David"/>
            <w:noProof/>
            <w:webHidden/>
            <w:sz w:val="22"/>
            <w:szCs w:val="22"/>
            <w:rtl/>
          </w:rPr>
          <w:fldChar w:fldCharType="end"/>
        </w:r>
      </w:hyperlink>
    </w:p>
    <w:p w14:paraId="45C207CB" w14:textId="50586B34" w:rsidR="00D61F82" w:rsidRPr="00D61F82" w:rsidRDefault="008F1BC3">
      <w:pPr>
        <w:pStyle w:val="TOC3"/>
        <w:rPr>
          <w:rFonts w:asciiTheme="minorHAnsi" w:eastAsiaTheme="minorEastAsia" w:hAnsiTheme="minorHAnsi" w:cs="David"/>
          <w:noProof/>
          <w:sz w:val="22"/>
          <w:szCs w:val="22"/>
          <w:rtl/>
        </w:rPr>
      </w:pPr>
      <w:hyperlink w:anchor="_Toc74751055" w:history="1">
        <w:r w:rsidR="00D61F82" w:rsidRPr="00D61F82">
          <w:rPr>
            <w:rStyle w:val="Hyperlink"/>
            <w:rFonts w:cs="David"/>
            <w:noProof/>
            <w:sz w:val="22"/>
            <w:szCs w:val="22"/>
            <w:rtl/>
          </w:rPr>
          <w:t>נספח ד3: ערכאת תעבורה</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Toc74751055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180</w:t>
        </w:r>
        <w:r w:rsidR="00D61F82" w:rsidRPr="00D61F82">
          <w:rPr>
            <w:rFonts w:cs="David"/>
            <w:noProof/>
            <w:webHidden/>
            <w:sz w:val="22"/>
            <w:szCs w:val="22"/>
            <w:rtl/>
          </w:rPr>
          <w:fldChar w:fldCharType="end"/>
        </w:r>
      </w:hyperlink>
    </w:p>
    <w:p w14:paraId="3FB1D9BB" w14:textId="36F205FF" w:rsidR="00D61F82" w:rsidRPr="00D61F82" w:rsidRDefault="008F1BC3">
      <w:pPr>
        <w:pStyle w:val="TOC3"/>
        <w:rPr>
          <w:rFonts w:asciiTheme="minorHAnsi" w:eastAsiaTheme="minorEastAsia" w:hAnsiTheme="minorHAnsi" w:cs="David"/>
          <w:noProof/>
          <w:sz w:val="22"/>
          <w:szCs w:val="22"/>
          <w:rtl/>
        </w:rPr>
      </w:pPr>
      <w:hyperlink w:anchor="_Toc74751056" w:history="1">
        <w:r w:rsidR="00D61F82" w:rsidRPr="00D61F82">
          <w:rPr>
            <w:rStyle w:val="Hyperlink"/>
            <w:rFonts w:cs="David"/>
            <w:noProof/>
            <w:sz w:val="22"/>
            <w:szCs w:val="22"/>
            <w:rtl/>
          </w:rPr>
          <w:t>נספח ד4: ערכאת משפחה</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Toc74751056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182</w:t>
        </w:r>
        <w:r w:rsidR="00D61F82" w:rsidRPr="00D61F82">
          <w:rPr>
            <w:rFonts w:cs="David"/>
            <w:noProof/>
            <w:webHidden/>
            <w:sz w:val="22"/>
            <w:szCs w:val="22"/>
            <w:rtl/>
          </w:rPr>
          <w:fldChar w:fldCharType="end"/>
        </w:r>
      </w:hyperlink>
    </w:p>
    <w:p w14:paraId="24FAA364" w14:textId="1F3E45EC" w:rsidR="00D61F82" w:rsidRPr="00D61F82" w:rsidRDefault="008F1BC3">
      <w:pPr>
        <w:pStyle w:val="TOC3"/>
        <w:rPr>
          <w:rFonts w:asciiTheme="minorHAnsi" w:eastAsiaTheme="minorEastAsia" w:hAnsiTheme="minorHAnsi" w:cs="David"/>
          <w:noProof/>
          <w:sz w:val="22"/>
          <w:szCs w:val="22"/>
          <w:rtl/>
        </w:rPr>
      </w:pPr>
      <w:hyperlink w:anchor="_Toc74751057" w:history="1">
        <w:r w:rsidR="00D61F82" w:rsidRPr="00D61F82">
          <w:rPr>
            <w:rStyle w:val="Hyperlink"/>
            <w:rFonts w:cs="David"/>
            <w:noProof/>
            <w:sz w:val="22"/>
            <w:szCs w:val="22"/>
            <w:rtl/>
          </w:rPr>
          <w:t>נספח ד5: ערכאת נוער</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Toc74751057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182</w:t>
        </w:r>
        <w:r w:rsidR="00D61F82" w:rsidRPr="00D61F82">
          <w:rPr>
            <w:rFonts w:cs="David"/>
            <w:noProof/>
            <w:webHidden/>
            <w:sz w:val="22"/>
            <w:szCs w:val="22"/>
            <w:rtl/>
          </w:rPr>
          <w:fldChar w:fldCharType="end"/>
        </w:r>
      </w:hyperlink>
    </w:p>
    <w:p w14:paraId="3E5AFF9B" w14:textId="1E920D7E" w:rsidR="00D61F82" w:rsidRPr="00D61F82" w:rsidRDefault="008F1BC3">
      <w:pPr>
        <w:pStyle w:val="TOC2"/>
        <w:rPr>
          <w:rFonts w:asciiTheme="minorHAnsi" w:eastAsiaTheme="minorEastAsia" w:hAnsiTheme="minorHAnsi" w:cs="David"/>
          <w:b w:val="0"/>
          <w:bCs w:val="0"/>
          <w:noProof/>
          <w:rtl/>
        </w:rPr>
      </w:pPr>
      <w:hyperlink w:anchor="_Toc74751058" w:history="1">
        <w:r w:rsidR="00D61F82" w:rsidRPr="00D61F82">
          <w:rPr>
            <w:rStyle w:val="Hyperlink"/>
            <w:rFonts w:cs="David"/>
            <w:noProof/>
            <w:rtl/>
            <w:lang w:val="en-GB"/>
          </w:rPr>
          <w:t>נספח ה':</w:t>
        </w:r>
        <w:r w:rsidR="00D61F82" w:rsidRPr="00D61F82">
          <w:rPr>
            <w:rStyle w:val="Hyperlink"/>
            <w:rFonts w:cs="David"/>
            <w:noProof/>
            <w:rtl/>
          </w:rPr>
          <w:t xml:space="preserve"> פירוט משקלות התיקים ברמה הערכאתית</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Toc74751058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184</w:t>
        </w:r>
        <w:r w:rsidR="00D61F82" w:rsidRPr="00D61F82">
          <w:rPr>
            <w:rFonts w:cs="David"/>
            <w:noProof/>
            <w:webHidden/>
            <w:rtl/>
          </w:rPr>
          <w:fldChar w:fldCharType="end"/>
        </w:r>
      </w:hyperlink>
    </w:p>
    <w:p w14:paraId="440CB3B3" w14:textId="2EAD6B02" w:rsidR="00D61F82" w:rsidRPr="00D61F82" w:rsidRDefault="008F1BC3">
      <w:pPr>
        <w:pStyle w:val="TOC3"/>
        <w:rPr>
          <w:rFonts w:asciiTheme="minorHAnsi" w:eastAsiaTheme="minorEastAsia" w:hAnsiTheme="minorHAnsi" w:cs="David"/>
          <w:noProof/>
          <w:sz w:val="22"/>
          <w:szCs w:val="22"/>
          <w:rtl/>
        </w:rPr>
      </w:pPr>
      <w:hyperlink w:anchor="_Toc74751059" w:history="1">
        <w:r w:rsidR="00D61F82" w:rsidRPr="00D61F82">
          <w:rPr>
            <w:rStyle w:val="Hyperlink"/>
            <w:rFonts w:cs="David"/>
            <w:noProof/>
            <w:sz w:val="22"/>
            <w:szCs w:val="22"/>
            <w:rtl/>
          </w:rPr>
          <w:t>נספח ה1: ערכאת מחוזי פלילי</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Toc74751059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184</w:t>
        </w:r>
        <w:r w:rsidR="00D61F82" w:rsidRPr="00D61F82">
          <w:rPr>
            <w:rFonts w:cs="David"/>
            <w:noProof/>
            <w:webHidden/>
            <w:sz w:val="22"/>
            <w:szCs w:val="22"/>
            <w:rtl/>
          </w:rPr>
          <w:fldChar w:fldCharType="end"/>
        </w:r>
      </w:hyperlink>
    </w:p>
    <w:p w14:paraId="3656C46D" w14:textId="62850213" w:rsidR="00D61F82" w:rsidRPr="00D61F82" w:rsidRDefault="008F1BC3">
      <w:pPr>
        <w:pStyle w:val="TOC3"/>
        <w:rPr>
          <w:rFonts w:asciiTheme="minorHAnsi" w:eastAsiaTheme="minorEastAsia" w:hAnsiTheme="minorHAnsi" w:cs="David"/>
          <w:noProof/>
          <w:sz w:val="22"/>
          <w:szCs w:val="22"/>
          <w:rtl/>
        </w:rPr>
      </w:pPr>
      <w:hyperlink w:anchor="_Toc74751060" w:history="1">
        <w:r w:rsidR="00D61F82" w:rsidRPr="00D61F82">
          <w:rPr>
            <w:rStyle w:val="Hyperlink"/>
            <w:rFonts w:cs="David"/>
            <w:noProof/>
            <w:sz w:val="22"/>
            <w:szCs w:val="22"/>
            <w:rtl/>
          </w:rPr>
          <w:t>נספח ה2: ערכאת מחוזי אזרחי</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Toc74751060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185</w:t>
        </w:r>
        <w:r w:rsidR="00D61F82" w:rsidRPr="00D61F82">
          <w:rPr>
            <w:rFonts w:cs="David"/>
            <w:noProof/>
            <w:webHidden/>
            <w:sz w:val="22"/>
            <w:szCs w:val="22"/>
            <w:rtl/>
          </w:rPr>
          <w:fldChar w:fldCharType="end"/>
        </w:r>
      </w:hyperlink>
    </w:p>
    <w:p w14:paraId="39BA60BD" w14:textId="520BA5D9" w:rsidR="00D61F82" w:rsidRPr="00D61F82" w:rsidRDefault="008F1BC3">
      <w:pPr>
        <w:pStyle w:val="TOC3"/>
        <w:rPr>
          <w:rFonts w:asciiTheme="minorHAnsi" w:eastAsiaTheme="minorEastAsia" w:hAnsiTheme="minorHAnsi" w:cs="David"/>
          <w:noProof/>
          <w:sz w:val="22"/>
          <w:szCs w:val="22"/>
          <w:rtl/>
        </w:rPr>
      </w:pPr>
      <w:hyperlink w:anchor="_Toc74751061" w:history="1">
        <w:r w:rsidR="00D61F82" w:rsidRPr="00D61F82">
          <w:rPr>
            <w:rStyle w:val="Hyperlink"/>
            <w:rFonts w:cs="David"/>
            <w:noProof/>
            <w:sz w:val="22"/>
            <w:szCs w:val="22"/>
            <w:rtl/>
          </w:rPr>
          <w:t>נספח ה3: ערכאת שלום פלילי</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Toc74751061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187</w:t>
        </w:r>
        <w:r w:rsidR="00D61F82" w:rsidRPr="00D61F82">
          <w:rPr>
            <w:rFonts w:cs="David"/>
            <w:noProof/>
            <w:webHidden/>
            <w:sz w:val="22"/>
            <w:szCs w:val="22"/>
            <w:rtl/>
          </w:rPr>
          <w:fldChar w:fldCharType="end"/>
        </w:r>
      </w:hyperlink>
    </w:p>
    <w:p w14:paraId="3E1E1604" w14:textId="53D65ED0" w:rsidR="00D61F82" w:rsidRPr="00D61F82" w:rsidRDefault="008F1BC3">
      <w:pPr>
        <w:pStyle w:val="TOC3"/>
        <w:rPr>
          <w:rFonts w:asciiTheme="minorHAnsi" w:eastAsiaTheme="minorEastAsia" w:hAnsiTheme="minorHAnsi" w:cs="David"/>
          <w:noProof/>
          <w:sz w:val="22"/>
          <w:szCs w:val="22"/>
          <w:rtl/>
        </w:rPr>
      </w:pPr>
      <w:hyperlink w:anchor="_Toc74751062" w:history="1">
        <w:r w:rsidR="00D61F82" w:rsidRPr="00D61F82">
          <w:rPr>
            <w:rStyle w:val="Hyperlink"/>
            <w:rFonts w:cs="David"/>
            <w:noProof/>
            <w:sz w:val="22"/>
            <w:szCs w:val="22"/>
            <w:rtl/>
          </w:rPr>
          <w:t>נספח ה4: ערכאת שלום אזרחי</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Toc74751062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188</w:t>
        </w:r>
        <w:r w:rsidR="00D61F82" w:rsidRPr="00D61F82">
          <w:rPr>
            <w:rFonts w:cs="David"/>
            <w:noProof/>
            <w:webHidden/>
            <w:sz w:val="22"/>
            <w:szCs w:val="22"/>
            <w:rtl/>
          </w:rPr>
          <w:fldChar w:fldCharType="end"/>
        </w:r>
      </w:hyperlink>
    </w:p>
    <w:p w14:paraId="233F6BC0" w14:textId="3D5F8B24" w:rsidR="00D61F82" w:rsidRPr="00D61F82" w:rsidRDefault="008F1BC3">
      <w:pPr>
        <w:pStyle w:val="TOC3"/>
        <w:rPr>
          <w:rFonts w:asciiTheme="minorHAnsi" w:eastAsiaTheme="minorEastAsia" w:hAnsiTheme="minorHAnsi" w:cs="David"/>
          <w:noProof/>
          <w:sz w:val="22"/>
          <w:szCs w:val="22"/>
          <w:rtl/>
        </w:rPr>
      </w:pPr>
      <w:hyperlink w:anchor="_Toc74751063" w:history="1">
        <w:r w:rsidR="00D61F82" w:rsidRPr="00D61F82">
          <w:rPr>
            <w:rStyle w:val="Hyperlink"/>
            <w:rFonts w:cs="David"/>
            <w:noProof/>
            <w:sz w:val="22"/>
            <w:szCs w:val="22"/>
            <w:rtl/>
          </w:rPr>
          <w:t>נספח ה5: ערכאת שלום עניינים מקומיים</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Toc74751063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190</w:t>
        </w:r>
        <w:r w:rsidR="00D61F82" w:rsidRPr="00D61F82">
          <w:rPr>
            <w:rFonts w:cs="David"/>
            <w:noProof/>
            <w:webHidden/>
            <w:sz w:val="22"/>
            <w:szCs w:val="22"/>
            <w:rtl/>
          </w:rPr>
          <w:fldChar w:fldCharType="end"/>
        </w:r>
      </w:hyperlink>
    </w:p>
    <w:p w14:paraId="5315657D" w14:textId="12464D77" w:rsidR="00D61F82" w:rsidRPr="00D61F82" w:rsidRDefault="008F1BC3">
      <w:pPr>
        <w:pStyle w:val="TOC3"/>
        <w:rPr>
          <w:rFonts w:asciiTheme="minorHAnsi" w:eastAsiaTheme="minorEastAsia" w:hAnsiTheme="minorHAnsi" w:cs="David"/>
          <w:noProof/>
          <w:sz w:val="22"/>
          <w:szCs w:val="22"/>
          <w:rtl/>
        </w:rPr>
      </w:pPr>
      <w:hyperlink w:anchor="_Toc74751064" w:history="1">
        <w:r w:rsidR="00D61F82" w:rsidRPr="00D61F82">
          <w:rPr>
            <w:rStyle w:val="Hyperlink"/>
            <w:rFonts w:cs="David"/>
            <w:noProof/>
            <w:sz w:val="22"/>
            <w:szCs w:val="22"/>
            <w:rtl/>
          </w:rPr>
          <w:t>נספח ה6: בתי המשפט לתעבורה</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Toc74751064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191</w:t>
        </w:r>
        <w:r w:rsidR="00D61F82" w:rsidRPr="00D61F82">
          <w:rPr>
            <w:rFonts w:cs="David"/>
            <w:noProof/>
            <w:webHidden/>
            <w:sz w:val="22"/>
            <w:szCs w:val="22"/>
            <w:rtl/>
          </w:rPr>
          <w:fldChar w:fldCharType="end"/>
        </w:r>
      </w:hyperlink>
    </w:p>
    <w:p w14:paraId="76E343D9" w14:textId="2F1C1E34" w:rsidR="00D61F82" w:rsidRPr="00D61F82" w:rsidRDefault="008F1BC3">
      <w:pPr>
        <w:pStyle w:val="TOC3"/>
        <w:rPr>
          <w:rFonts w:asciiTheme="minorHAnsi" w:eastAsiaTheme="minorEastAsia" w:hAnsiTheme="minorHAnsi" w:cs="David"/>
          <w:noProof/>
          <w:sz w:val="22"/>
          <w:szCs w:val="22"/>
          <w:rtl/>
        </w:rPr>
      </w:pPr>
      <w:hyperlink w:anchor="_Toc74751065" w:history="1">
        <w:r w:rsidR="00D61F82" w:rsidRPr="00D61F82">
          <w:rPr>
            <w:rStyle w:val="Hyperlink"/>
            <w:rFonts w:cs="David"/>
            <w:noProof/>
            <w:sz w:val="22"/>
            <w:szCs w:val="22"/>
            <w:rtl/>
          </w:rPr>
          <w:t>נספח ה7: בתי המשפט לענייני משפחה</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Toc74751065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192</w:t>
        </w:r>
        <w:r w:rsidR="00D61F82" w:rsidRPr="00D61F82">
          <w:rPr>
            <w:rFonts w:cs="David"/>
            <w:noProof/>
            <w:webHidden/>
            <w:sz w:val="22"/>
            <w:szCs w:val="22"/>
            <w:rtl/>
          </w:rPr>
          <w:fldChar w:fldCharType="end"/>
        </w:r>
      </w:hyperlink>
    </w:p>
    <w:p w14:paraId="07AEDB10" w14:textId="23C3F366" w:rsidR="00D61F82" w:rsidRPr="00D61F82" w:rsidRDefault="008F1BC3">
      <w:pPr>
        <w:pStyle w:val="TOC3"/>
        <w:rPr>
          <w:rFonts w:asciiTheme="minorHAnsi" w:eastAsiaTheme="minorEastAsia" w:hAnsiTheme="minorHAnsi" w:cs="David"/>
          <w:noProof/>
          <w:sz w:val="22"/>
          <w:szCs w:val="22"/>
          <w:rtl/>
        </w:rPr>
      </w:pPr>
      <w:hyperlink w:anchor="_Toc74751066" w:history="1">
        <w:r w:rsidR="00D61F82" w:rsidRPr="00D61F82">
          <w:rPr>
            <w:rStyle w:val="Hyperlink"/>
            <w:rFonts w:cs="David"/>
            <w:noProof/>
            <w:sz w:val="22"/>
            <w:szCs w:val="22"/>
            <w:rtl/>
          </w:rPr>
          <w:t>נספח ה8: בתי המשפט לנוער</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Toc74751066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193</w:t>
        </w:r>
        <w:r w:rsidR="00D61F82" w:rsidRPr="00D61F82">
          <w:rPr>
            <w:rFonts w:cs="David"/>
            <w:noProof/>
            <w:webHidden/>
            <w:sz w:val="22"/>
            <w:szCs w:val="22"/>
            <w:rtl/>
          </w:rPr>
          <w:fldChar w:fldCharType="end"/>
        </w:r>
      </w:hyperlink>
    </w:p>
    <w:p w14:paraId="5A16B8C5" w14:textId="2CBD12FD" w:rsidR="00D61F82" w:rsidRPr="00D61F82" w:rsidRDefault="008F1BC3">
      <w:pPr>
        <w:pStyle w:val="TOC2"/>
        <w:rPr>
          <w:rFonts w:asciiTheme="minorHAnsi" w:eastAsiaTheme="minorEastAsia" w:hAnsiTheme="minorHAnsi" w:cs="David"/>
          <w:b w:val="0"/>
          <w:bCs w:val="0"/>
          <w:noProof/>
          <w:rtl/>
        </w:rPr>
      </w:pPr>
      <w:hyperlink w:anchor="_Toc74751067" w:history="1">
        <w:r w:rsidR="00D61F82" w:rsidRPr="00D61F82">
          <w:rPr>
            <w:rStyle w:val="Hyperlink"/>
            <w:rFonts w:cs="David"/>
            <w:noProof/>
            <w:rtl/>
          </w:rPr>
          <w:t>נספח ו': סוגי העניין בתיקי סדר דין רגיל (ת"א) בערכאת המחוזי והקטגוריות שקובצו אליהן</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Toc74751067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194</w:t>
        </w:r>
        <w:r w:rsidR="00D61F82" w:rsidRPr="00D61F82">
          <w:rPr>
            <w:rFonts w:cs="David"/>
            <w:noProof/>
            <w:webHidden/>
            <w:rtl/>
          </w:rPr>
          <w:fldChar w:fldCharType="end"/>
        </w:r>
      </w:hyperlink>
    </w:p>
    <w:p w14:paraId="34BB541B" w14:textId="25D743A3" w:rsidR="00D61F82" w:rsidRPr="00D61F82" w:rsidRDefault="008F1BC3">
      <w:pPr>
        <w:pStyle w:val="TOC2"/>
        <w:rPr>
          <w:rFonts w:asciiTheme="minorHAnsi" w:eastAsiaTheme="minorEastAsia" w:hAnsiTheme="minorHAnsi" w:cs="David"/>
          <w:b w:val="0"/>
          <w:bCs w:val="0"/>
          <w:noProof/>
          <w:rtl/>
        </w:rPr>
      </w:pPr>
      <w:hyperlink w:anchor="_Toc74751068" w:history="1">
        <w:r w:rsidR="00D61F82" w:rsidRPr="00D61F82">
          <w:rPr>
            <w:rStyle w:val="Hyperlink"/>
            <w:rFonts w:cs="David"/>
            <w:noProof/>
            <w:rtl/>
          </w:rPr>
          <w:t>נספח ז': סוגי העניין בתיקי סדר דין רגיל (ת"א) בערכאת השלום והקטגוריות שקובצו אליהן</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Toc74751068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195</w:t>
        </w:r>
        <w:r w:rsidR="00D61F82" w:rsidRPr="00D61F82">
          <w:rPr>
            <w:rFonts w:cs="David"/>
            <w:noProof/>
            <w:webHidden/>
            <w:rtl/>
          </w:rPr>
          <w:fldChar w:fldCharType="end"/>
        </w:r>
      </w:hyperlink>
    </w:p>
    <w:p w14:paraId="119650ED" w14:textId="1CEC6FCC" w:rsidR="00D61F82" w:rsidRPr="00D61F82" w:rsidRDefault="008F1BC3" w:rsidP="000F6349">
      <w:pPr>
        <w:pStyle w:val="TOC2"/>
        <w:rPr>
          <w:rFonts w:asciiTheme="minorHAnsi" w:eastAsiaTheme="minorEastAsia" w:hAnsiTheme="minorHAnsi" w:cs="David"/>
          <w:b w:val="0"/>
          <w:bCs w:val="0"/>
          <w:noProof/>
          <w:rtl/>
        </w:rPr>
      </w:pPr>
      <w:hyperlink w:anchor="_Toc74751069" w:history="1">
        <w:r w:rsidR="00D61F82" w:rsidRPr="00D61F82">
          <w:rPr>
            <w:rStyle w:val="Hyperlink"/>
            <w:rFonts w:cs="David"/>
            <w:noProof/>
            <w:rtl/>
          </w:rPr>
          <w:t xml:space="preserve">נספח ח': טבלת משקלות לפי זמנים ופירוט הזמן לתיק בהתאם למספר התיקים הממוצע שנסגרים </w:t>
        </w:r>
        <w:r w:rsidR="004C7658">
          <w:rPr>
            <w:rStyle w:val="Hyperlink"/>
            <w:rFonts w:cs="David" w:hint="cs"/>
            <w:noProof/>
            <w:rtl/>
          </w:rPr>
          <w:t xml:space="preserve">  </w:t>
        </w:r>
        <w:r w:rsidR="000F6349">
          <w:rPr>
            <w:rStyle w:val="Hyperlink"/>
            <w:rFonts w:cs="David" w:hint="cs"/>
            <w:noProof/>
            <w:rtl/>
          </w:rPr>
          <w:t xml:space="preserve">    </w:t>
        </w:r>
        <w:r w:rsidR="00D61F82" w:rsidRPr="00D61F82">
          <w:rPr>
            <w:rStyle w:val="Hyperlink"/>
            <w:rFonts w:cs="David"/>
            <w:noProof/>
            <w:rtl/>
          </w:rPr>
          <w:t>בפס"ד</w:t>
        </w:r>
        <w:r w:rsidR="000F6349">
          <w:rPr>
            <w:rFonts w:cs="David" w:hint="cs"/>
            <w:noProof/>
            <w:webHidden/>
            <w:rtl/>
          </w:rPr>
          <w:t xml:space="preserve"> </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Toc74751069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196</w:t>
        </w:r>
        <w:r w:rsidR="00D61F82" w:rsidRPr="00D61F82">
          <w:rPr>
            <w:rFonts w:cs="David"/>
            <w:noProof/>
            <w:webHidden/>
            <w:rtl/>
          </w:rPr>
          <w:fldChar w:fldCharType="end"/>
        </w:r>
      </w:hyperlink>
    </w:p>
    <w:p w14:paraId="4EAB41A7" w14:textId="7F1C1135" w:rsidR="00D61F82" w:rsidRPr="00D61F82" w:rsidRDefault="008F1BC3">
      <w:pPr>
        <w:pStyle w:val="TOC2"/>
        <w:rPr>
          <w:rFonts w:asciiTheme="minorHAnsi" w:eastAsiaTheme="minorEastAsia" w:hAnsiTheme="minorHAnsi" w:cs="David"/>
          <w:b w:val="0"/>
          <w:bCs w:val="0"/>
          <w:noProof/>
          <w:rtl/>
        </w:rPr>
      </w:pPr>
      <w:hyperlink w:anchor="_Toc74751070" w:history="1">
        <w:r w:rsidR="00D61F82" w:rsidRPr="00D61F82">
          <w:rPr>
            <w:rStyle w:val="Hyperlink"/>
            <w:rFonts w:cs="David"/>
            <w:noProof/>
            <w:rtl/>
          </w:rPr>
          <w:t>נספח ט': משקלות מוערכים לתיקים שלא נמדדו במחקר, לפי ערכאות</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Toc74751070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205</w:t>
        </w:r>
        <w:r w:rsidR="00D61F82" w:rsidRPr="00D61F82">
          <w:rPr>
            <w:rFonts w:cs="David"/>
            <w:noProof/>
            <w:webHidden/>
            <w:rtl/>
          </w:rPr>
          <w:fldChar w:fldCharType="end"/>
        </w:r>
      </w:hyperlink>
    </w:p>
    <w:p w14:paraId="1B028E4B" w14:textId="4027D67F" w:rsidR="00D61F82" w:rsidRPr="00D61F82" w:rsidRDefault="008F1BC3">
      <w:pPr>
        <w:pStyle w:val="TOC2"/>
        <w:rPr>
          <w:rFonts w:asciiTheme="minorHAnsi" w:eastAsiaTheme="minorEastAsia" w:hAnsiTheme="minorHAnsi" w:cs="David"/>
          <w:b w:val="0"/>
          <w:bCs w:val="0"/>
          <w:noProof/>
          <w:rtl/>
        </w:rPr>
      </w:pPr>
      <w:hyperlink w:anchor="_Toc74751071" w:history="1">
        <w:r w:rsidR="00D61F82" w:rsidRPr="00D61F82">
          <w:rPr>
            <w:rStyle w:val="Hyperlink"/>
            <w:rFonts w:cs="David"/>
            <w:noProof/>
            <w:rtl/>
          </w:rPr>
          <w:t>נספח י': תמהיל יום העבודה של שופט עם עוזר משפטי שמסייע/ לא מסייע במשימות כתיבה מהותיות ברמה הערכאתית</w:t>
        </w:r>
        <w:r w:rsidR="00D61F82" w:rsidRPr="00D61F82">
          <w:rPr>
            <w:rFonts w:cs="David"/>
            <w:noProof/>
            <w:webHidden/>
            <w:rtl/>
          </w:rPr>
          <w:tab/>
        </w:r>
        <w:r w:rsidR="00D61F82" w:rsidRPr="00D61F82">
          <w:rPr>
            <w:rFonts w:cs="David"/>
            <w:noProof/>
            <w:webHidden/>
            <w:rtl/>
          </w:rPr>
          <w:fldChar w:fldCharType="begin"/>
        </w:r>
        <w:r w:rsidR="00D61F82" w:rsidRPr="00D61F82">
          <w:rPr>
            <w:rFonts w:cs="David"/>
            <w:noProof/>
            <w:webHidden/>
            <w:rtl/>
          </w:rPr>
          <w:instrText xml:space="preserve"> </w:instrText>
        </w:r>
        <w:r w:rsidR="00D61F82" w:rsidRPr="00D61F82">
          <w:rPr>
            <w:rFonts w:cs="David"/>
            <w:noProof/>
            <w:webHidden/>
          </w:rPr>
          <w:instrText>PAGEREF</w:instrText>
        </w:r>
        <w:r w:rsidR="00D61F82" w:rsidRPr="00D61F82">
          <w:rPr>
            <w:rFonts w:cs="David"/>
            <w:noProof/>
            <w:webHidden/>
            <w:rtl/>
          </w:rPr>
          <w:instrText xml:space="preserve"> _</w:instrText>
        </w:r>
        <w:r w:rsidR="00D61F82" w:rsidRPr="00D61F82">
          <w:rPr>
            <w:rFonts w:cs="David"/>
            <w:noProof/>
            <w:webHidden/>
          </w:rPr>
          <w:instrText>Toc74751071 \h</w:instrText>
        </w:r>
        <w:r w:rsidR="00D61F82" w:rsidRPr="00D61F82">
          <w:rPr>
            <w:rFonts w:cs="David"/>
            <w:noProof/>
            <w:webHidden/>
            <w:rtl/>
          </w:rPr>
          <w:instrText xml:space="preserve"> </w:instrText>
        </w:r>
        <w:r w:rsidR="00D61F82" w:rsidRPr="00D61F82">
          <w:rPr>
            <w:rFonts w:cs="David"/>
            <w:noProof/>
            <w:webHidden/>
            <w:rtl/>
          </w:rPr>
        </w:r>
        <w:r w:rsidR="00D61F82" w:rsidRPr="00D61F82">
          <w:rPr>
            <w:rFonts w:cs="David"/>
            <w:noProof/>
            <w:webHidden/>
            <w:rtl/>
          </w:rPr>
          <w:fldChar w:fldCharType="separate"/>
        </w:r>
        <w:r>
          <w:rPr>
            <w:rFonts w:cs="David"/>
            <w:noProof/>
            <w:webHidden/>
            <w:rtl/>
          </w:rPr>
          <w:t>207</w:t>
        </w:r>
        <w:r w:rsidR="00D61F82" w:rsidRPr="00D61F82">
          <w:rPr>
            <w:rFonts w:cs="David"/>
            <w:noProof/>
            <w:webHidden/>
            <w:rtl/>
          </w:rPr>
          <w:fldChar w:fldCharType="end"/>
        </w:r>
      </w:hyperlink>
    </w:p>
    <w:p w14:paraId="4C1998EE" w14:textId="216CA2C6" w:rsidR="00D61F82" w:rsidRPr="00D61F82" w:rsidRDefault="008F1BC3">
      <w:pPr>
        <w:pStyle w:val="TOC3"/>
        <w:rPr>
          <w:rFonts w:asciiTheme="minorHAnsi" w:eastAsiaTheme="minorEastAsia" w:hAnsiTheme="minorHAnsi" w:cs="David"/>
          <w:noProof/>
          <w:sz w:val="22"/>
          <w:szCs w:val="22"/>
          <w:rtl/>
        </w:rPr>
      </w:pPr>
      <w:hyperlink w:anchor="_Toc74751072" w:history="1">
        <w:r w:rsidR="00D61F82" w:rsidRPr="00D61F82">
          <w:rPr>
            <w:rStyle w:val="Hyperlink"/>
            <w:rFonts w:cs="David"/>
            <w:noProof/>
            <w:sz w:val="22"/>
            <w:szCs w:val="22"/>
            <w:rtl/>
          </w:rPr>
          <w:t>נספח י1: ערכאת המחוזי</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Toc74751072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207</w:t>
        </w:r>
        <w:r w:rsidR="00D61F82" w:rsidRPr="00D61F82">
          <w:rPr>
            <w:rFonts w:cs="David"/>
            <w:noProof/>
            <w:webHidden/>
            <w:sz w:val="22"/>
            <w:szCs w:val="22"/>
            <w:rtl/>
          </w:rPr>
          <w:fldChar w:fldCharType="end"/>
        </w:r>
      </w:hyperlink>
    </w:p>
    <w:p w14:paraId="0D0CB975" w14:textId="155D46FD" w:rsidR="00D61F82" w:rsidRPr="00D61F82" w:rsidRDefault="008F1BC3">
      <w:pPr>
        <w:pStyle w:val="TOC3"/>
        <w:rPr>
          <w:rFonts w:asciiTheme="minorHAnsi" w:eastAsiaTheme="minorEastAsia" w:hAnsiTheme="minorHAnsi" w:cs="David"/>
          <w:noProof/>
          <w:sz w:val="22"/>
          <w:szCs w:val="22"/>
          <w:rtl/>
        </w:rPr>
      </w:pPr>
      <w:hyperlink w:anchor="_Toc74751073" w:history="1">
        <w:r w:rsidR="00D61F82" w:rsidRPr="00D61F82">
          <w:rPr>
            <w:rStyle w:val="Hyperlink"/>
            <w:rFonts w:cs="David"/>
            <w:noProof/>
            <w:sz w:val="22"/>
            <w:szCs w:val="22"/>
            <w:rtl/>
          </w:rPr>
          <w:t>נספח י2: ערכאת השלום</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Toc74751073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207</w:t>
        </w:r>
        <w:r w:rsidR="00D61F82" w:rsidRPr="00D61F82">
          <w:rPr>
            <w:rFonts w:cs="David"/>
            <w:noProof/>
            <w:webHidden/>
            <w:sz w:val="22"/>
            <w:szCs w:val="22"/>
            <w:rtl/>
          </w:rPr>
          <w:fldChar w:fldCharType="end"/>
        </w:r>
      </w:hyperlink>
    </w:p>
    <w:p w14:paraId="3C336C8F" w14:textId="5D9C9C4A" w:rsidR="00D61F82" w:rsidRPr="00D61F82" w:rsidRDefault="008F1BC3">
      <w:pPr>
        <w:pStyle w:val="TOC3"/>
        <w:rPr>
          <w:rFonts w:asciiTheme="minorHAnsi" w:eastAsiaTheme="minorEastAsia" w:hAnsiTheme="minorHAnsi" w:cs="David"/>
          <w:noProof/>
          <w:sz w:val="22"/>
          <w:szCs w:val="22"/>
          <w:rtl/>
        </w:rPr>
      </w:pPr>
      <w:hyperlink w:anchor="_Toc74751074" w:history="1">
        <w:r w:rsidR="00D61F82" w:rsidRPr="00D61F82">
          <w:rPr>
            <w:rStyle w:val="Hyperlink"/>
            <w:rFonts w:cs="David"/>
            <w:noProof/>
            <w:sz w:val="22"/>
            <w:szCs w:val="22"/>
            <w:rtl/>
          </w:rPr>
          <w:t>נספח י3: ערכאת התעבורה</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Toc74751074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208</w:t>
        </w:r>
        <w:r w:rsidR="00D61F82" w:rsidRPr="00D61F82">
          <w:rPr>
            <w:rFonts w:cs="David"/>
            <w:noProof/>
            <w:webHidden/>
            <w:sz w:val="22"/>
            <w:szCs w:val="22"/>
            <w:rtl/>
          </w:rPr>
          <w:fldChar w:fldCharType="end"/>
        </w:r>
      </w:hyperlink>
    </w:p>
    <w:p w14:paraId="1BD8867D" w14:textId="05E1DCC2" w:rsidR="00D61F82" w:rsidRPr="00D61F82" w:rsidRDefault="008F1BC3">
      <w:pPr>
        <w:pStyle w:val="TOC3"/>
        <w:rPr>
          <w:rFonts w:asciiTheme="minorHAnsi" w:eastAsiaTheme="minorEastAsia" w:hAnsiTheme="minorHAnsi" w:cs="David"/>
          <w:noProof/>
          <w:sz w:val="22"/>
          <w:szCs w:val="22"/>
          <w:rtl/>
        </w:rPr>
      </w:pPr>
      <w:hyperlink w:anchor="_Toc74751075" w:history="1">
        <w:r w:rsidR="00D61F82" w:rsidRPr="00D61F82">
          <w:rPr>
            <w:rStyle w:val="Hyperlink"/>
            <w:rFonts w:cs="David"/>
            <w:noProof/>
            <w:sz w:val="22"/>
            <w:szCs w:val="22"/>
            <w:rtl/>
          </w:rPr>
          <w:t>נספח י4: ערכאת המשפחה</w:t>
        </w:r>
        <w:r w:rsidR="00D61F82" w:rsidRPr="00D61F82">
          <w:rPr>
            <w:rFonts w:cs="David"/>
            <w:noProof/>
            <w:webHidden/>
            <w:sz w:val="22"/>
            <w:szCs w:val="22"/>
            <w:rtl/>
          </w:rPr>
          <w:tab/>
        </w:r>
        <w:r w:rsidR="00D61F82" w:rsidRPr="00D61F82">
          <w:rPr>
            <w:rFonts w:cs="David"/>
            <w:noProof/>
            <w:webHidden/>
            <w:sz w:val="22"/>
            <w:szCs w:val="22"/>
            <w:rtl/>
          </w:rPr>
          <w:fldChar w:fldCharType="begin"/>
        </w:r>
        <w:r w:rsidR="00D61F82" w:rsidRPr="00D61F82">
          <w:rPr>
            <w:rFonts w:cs="David"/>
            <w:noProof/>
            <w:webHidden/>
            <w:sz w:val="22"/>
            <w:szCs w:val="22"/>
            <w:rtl/>
          </w:rPr>
          <w:instrText xml:space="preserve"> </w:instrText>
        </w:r>
        <w:r w:rsidR="00D61F82" w:rsidRPr="00D61F82">
          <w:rPr>
            <w:rFonts w:cs="David"/>
            <w:noProof/>
            <w:webHidden/>
            <w:sz w:val="22"/>
            <w:szCs w:val="22"/>
          </w:rPr>
          <w:instrText>PAGEREF</w:instrText>
        </w:r>
        <w:r w:rsidR="00D61F82" w:rsidRPr="00D61F82">
          <w:rPr>
            <w:rFonts w:cs="David"/>
            <w:noProof/>
            <w:webHidden/>
            <w:sz w:val="22"/>
            <w:szCs w:val="22"/>
            <w:rtl/>
          </w:rPr>
          <w:instrText xml:space="preserve"> _</w:instrText>
        </w:r>
        <w:r w:rsidR="00D61F82" w:rsidRPr="00D61F82">
          <w:rPr>
            <w:rFonts w:cs="David"/>
            <w:noProof/>
            <w:webHidden/>
            <w:sz w:val="22"/>
            <w:szCs w:val="22"/>
          </w:rPr>
          <w:instrText>Toc74751075 \h</w:instrText>
        </w:r>
        <w:r w:rsidR="00D61F82" w:rsidRPr="00D61F82">
          <w:rPr>
            <w:rFonts w:cs="David"/>
            <w:noProof/>
            <w:webHidden/>
            <w:sz w:val="22"/>
            <w:szCs w:val="22"/>
            <w:rtl/>
          </w:rPr>
          <w:instrText xml:space="preserve"> </w:instrText>
        </w:r>
        <w:r w:rsidR="00D61F82" w:rsidRPr="00D61F82">
          <w:rPr>
            <w:rFonts w:cs="David"/>
            <w:noProof/>
            <w:webHidden/>
            <w:sz w:val="22"/>
            <w:szCs w:val="22"/>
            <w:rtl/>
          </w:rPr>
        </w:r>
        <w:r w:rsidR="00D61F82" w:rsidRPr="00D61F82">
          <w:rPr>
            <w:rFonts w:cs="David"/>
            <w:noProof/>
            <w:webHidden/>
            <w:sz w:val="22"/>
            <w:szCs w:val="22"/>
            <w:rtl/>
          </w:rPr>
          <w:fldChar w:fldCharType="separate"/>
        </w:r>
        <w:r>
          <w:rPr>
            <w:rFonts w:cs="David"/>
            <w:noProof/>
            <w:webHidden/>
            <w:sz w:val="22"/>
            <w:szCs w:val="22"/>
            <w:rtl/>
          </w:rPr>
          <w:t>208</w:t>
        </w:r>
        <w:r w:rsidR="00D61F82" w:rsidRPr="00D61F82">
          <w:rPr>
            <w:rFonts w:cs="David"/>
            <w:noProof/>
            <w:webHidden/>
            <w:sz w:val="22"/>
            <w:szCs w:val="22"/>
            <w:rtl/>
          </w:rPr>
          <w:fldChar w:fldCharType="end"/>
        </w:r>
      </w:hyperlink>
    </w:p>
    <w:p w14:paraId="5054A9C3" w14:textId="28F27A48" w:rsidR="00CE7E0C" w:rsidRPr="00F25744" w:rsidRDefault="00E25AE7" w:rsidP="00CE7E0C">
      <w:pPr>
        <w:rPr>
          <w:rtl/>
        </w:rPr>
      </w:pPr>
      <w:r w:rsidRPr="00D61F82">
        <w:rPr>
          <w:rFonts w:cs="David"/>
        </w:rPr>
        <w:fldChar w:fldCharType="end"/>
      </w:r>
    </w:p>
    <w:p w14:paraId="1367BB21" w14:textId="77777777" w:rsidR="005366CC" w:rsidRDefault="005366CC" w:rsidP="00F057A1">
      <w:pPr>
        <w:pStyle w:val="TOC1"/>
        <w:rPr>
          <w:rtl/>
        </w:rPr>
      </w:pPr>
    </w:p>
    <w:p w14:paraId="0E81E182" w14:textId="77777777" w:rsidR="005366CC" w:rsidRDefault="005366CC" w:rsidP="00F057A1">
      <w:pPr>
        <w:pStyle w:val="TOC1"/>
        <w:rPr>
          <w:rtl/>
        </w:rPr>
      </w:pPr>
    </w:p>
    <w:p w14:paraId="2CECDAD2" w14:textId="77777777" w:rsidR="005366CC" w:rsidRDefault="005366CC" w:rsidP="00F057A1">
      <w:pPr>
        <w:pStyle w:val="TOC1"/>
        <w:rPr>
          <w:rtl/>
        </w:rPr>
      </w:pPr>
    </w:p>
    <w:p w14:paraId="111DBC7F" w14:textId="77777777" w:rsidR="005366CC" w:rsidRDefault="005366CC" w:rsidP="00F057A1">
      <w:pPr>
        <w:pStyle w:val="TOC1"/>
        <w:rPr>
          <w:rtl/>
        </w:rPr>
      </w:pPr>
    </w:p>
    <w:p w14:paraId="4C6E57EF" w14:textId="77777777" w:rsidR="005366CC" w:rsidRDefault="005366CC" w:rsidP="00F057A1">
      <w:pPr>
        <w:pStyle w:val="TOC1"/>
        <w:rPr>
          <w:rtl/>
        </w:rPr>
      </w:pPr>
    </w:p>
    <w:p w14:paraId="70D3DF09" w14:textId="77777777" w:rsidR="005366CC" w:rsidRDefault="005366CC" w:rsidP="00F057A1">
      <w:pPr>
        <w:pStyle w:val="TOC1"/>
        <w:rPr>
          <w:rtl/>
        </w:rPr>
      </w:pPr>
    </w:p>
    <w:p w14:paraId="5B017DAC" w14:textId="726A3DDB" w:rsidR="00E544F6" w:rsidRPr="00F25744" w:rsidRDefault="00E25AE7" w:rsidP="00F057A1">
      <w:pPr>
        <w:pStyle w:val="TOC1"/>
        <w:rPr>
          <w:rtl/>
        </w:rPr>
      </w:pPr>
      <w:r w:rsidRPr="00F25744">
        <w:rPr>
          <w:rFonts w:hint="cs"/>
          <w:rtl/>
        </w:rPr>
        <w:lastRenderedPageBreak/>
        <w:t>רשימת הטבלאות</w:t>
      </w:r>
    </w:p>
    <w:p w14:paraId="2E7E169D" w14:textId="30071C2C" w:rsidR="001F10D0" w:rsidRPr="001F10D0" w:rsidRDefault="008534FC">
      <w:pPr>
        <w:pStyle w:val="af7"/>
        <w:tabs>
          <w:tab w:val="right" w:leader="dot" w:pos="8639"/>
        </w:tabs>
        <w:rPr>
          <w:rFonts w:asciiTheme="minorHAnsi" w:eastAsiaTheme="minorEastAsia" w:hAnsiTheme="minorHAnsi" w:cs="David"/>
          <w:smallCaps w:val="0"/>
          <w:noProof/>
          <w:sz w:val="22"/>
          <w:szCs w:val="22"/>
          <w:rtl/>
        </w:rPr>
      </w:pPr>
      <w:r w:rsidRPr="00A50885">
        <w:rPr>
          <w:rFonts w:ascii="David" w:hAnsi="David" w:cs="David"/>
          <w:b/>
          <w:bCs/>
          <w:smallCaps w:val="0"/>
          <w:sz w:val="22"/>
          <w:szCs w:val="22"/>
          <w:u w:val="single"/>
          <w:rtl/>
        </w:rPr>
        <w:fldChar w:fldCharType="begin"/>
      </w:r>
      <w:r w:rsidRPr="00A50885">
        <w:rPr>
          <w:rFonts w:ascii="David" w:hAnsi="David" w:cs="David"/>
          <w:b/>
          <w:bCs/>
          <w:smallCaps w:val="0"/>
          <w:sz w:val="22"/>
          <w:szCs w:val="22"/>
          <w:u w:val="single"/>
          <w:rtl/>
        </w:rPr>
        <w:instrText xml:space="preserve"> </w:instrText>
      </w:r>
      <w:r w:rsidRPr="00A50885">
        <w:rPr>
          <w:rFonts w:ascii="David" w:hAnsi="David" w:cs="David"/>
          <w:b/>
          <w:bCs/>
          <w:smallCaps w:val="0"/>
          <w:sz w:val="22"/>
          <w:szCs w:val="22"/>
          <w:u w:val="single"/>
        </w:rPr>
        <w:instrText>TOC</w:instrText>
      </w:r>
      <w:r w:rsidRPr="00A50885">
        <w:rPr>
          <w:rFonts w:ascii="David" w:hAnsi="David" w:cs="David"/>
          <w:b/>
          <w:bCs/>
          <w:smallCaps w:val="0"/>
          <w:sz w:val="22"/>
          <w:szCs w:val="22"/>
          <w:u w:val="single"/>
          <w:rtl/>
        </w:rPr>
        <w:instrText xml:space="preserve"> \</w:instrText>
      </w:r>
      <w:r w:rsidRPr="00A50885">
        <w:rPr>
          <w:rFonts w:ascii="David" w:hAnsi="David" w:cs="David"/>
          <w:b/>
          <w:bCs/>
          <w:smallCaps w:val="0"/>
          <w:sz w:val="22"/>
          <w:szCs w:val="22"/>
          <w:u w:val="single"/>
        </w:rPr>
        <w:instrText>h \z \c</w:instrText>
      </w:r>
      <w:r w:rsidRPr="00A50885">
        <w:rPr>
          <w:rFonts w:ascii="David" w:hAnsi="David" w:cs="David"/>
          <w:b/>
          <w:bCs/>
          <w:smallCaps w:val="0"/>
          <w:sz w:val="22"/>
          <w:szCs w:val="22"/>
          <w:u w:val="single"/>
          <w:rtl/>
        </w:rPr>
        <w:instrText xml:space="preserve"> "טבלה" </w:instrText>
      </w:r>
      <w:r w:rsidRPr="00A50885">
        <w:rPr>
          <w:rFonts w:ascii="David" w:hAnsi="David" w:cs="David"/>
          <w:b/>
          <w:bCs/>
          <w:smallCaps w:val="0"/>
          <w:sz w:val="22"/>
          <w:szCs w:val="22"/>
          <w:u w:val="single"/>
          <w:rtl/>
        </w:rPr>
        <w:fldChar w:fldCharType="separate"/>
      </w:r>
      <w:hyperlink w:anchor="_Toc76988896" w:history="1">
        <w:r w:rsidR="001F10D0" w:rsidRPr="001F10D0">
          <w:rPr>
            <w:rStyle w:val="Hyperlink"/>
            <w:rFonts w:cs="David"/>
            <w:noProof/>
            <w:rtl/>
          </w:rPr>
          <w:t xml:space="preserve">טבלה </w:t>
        </w:r>
        <w:r w:rsidR="001F10D0" w:rsidRPr="001F10D0">
          <w:rPr>
            <w:rStyle w:val="Hyperlink"/>
            <w:rFonts w:ascii="David" w:hAnsi="David" w:cs="David"/>
            <w:noProof/>
            <w:rtl/>
          </w:rPr>
          <w:t>1: תמצית החידושים במחקר הנוכחי</w:t>
        </w:r>
        <w:r w:rsidR="001F10D0" w:rsidRPr="001F10D0">
          <w:rPr>
            <w:rFonts w:cs="David"/>
            <w:noProof/>
            <w:webHidden/>
            <w:rtl/>
          </w:rPr>
          <w:tab/>
        </w:r>
        <w:r w:rsidR="001F10D0" w:rsidRPr="001F10D0">
          <w:rPr>
            <w:rStyle w:val="Hyperlink"/>
            <w:rFonts w:cs="David"/>
            <w:noProof/>
            <w:rtl/>
          </w:rPr>
          <w:fldChar w:fldCharType="begin"/>
        </w:r>
        <w:r w:rsidR="001F10D0" w:rsidRPr="001F10D0">
          <w:rPr>
            <w:rFonts w:cs="David"/>
            <w:noProof/>
            <w:webHidden/>
            <w:rtl/>
          </w:rPr>
          <w:instrText xml:space="preserve"> </w:instrText>
        </w:r>
        <w:r w:rsidR="001F10D0" w:rsidRPr="001F10D0">
          <w:rPr>
            <w:rFonts w:cs="David"/>
            <w:noProof/>
            <w:webHidden/>
          </w:rPr>
          <w:instrText>PAGEREF</w:instrText>
        </w:r>
        <w:r w:rsidR="001F10D0" w:rsidRPr="001F10D0">
          <w:rPr>
            <w:rFonts w:cs="David"/>
            <w:noProof/>
            <w:webHidden/>
            <w:rtl/>
          </w:rPr>
          <w:instrText xml:space="preserve"> _</w:instrText>
        </w:r>
        <w:r w:rsidR="001F10D0" w:rsidRPr="001F10D0">
          <w:rPr>
            <w:rFonts w:cs="David"/>
            <w:noProof/>
            <w:webHidden/>
          </w:rPr>
          <w:instrText>Toc76988896 \h</w:instrText>
        </w:r>
        <w:r w:rsidR="001F10D0" w:rsidRPr="001F10D0">
          <w:rPr>
            <w:rFonts w:cs="David"/>
            <w:noProof/>
            <w:webHidden/>
            <w:rtl/>
          </w:rPr>
          <w:instrText xml:space="preserve"> </w:instrText>
        </w:r>
        <w:r w:rsidR="001F10D0" w:rsidRPr="001F10D0">
          <w:rPr>
            <w:rStyle w:val="Hyperlink"/>
            <w:rFonts w:cs="David"/>
            <w:noProof/>
            <w:rtl/>
          </w:rPr>
        </w:r>
        <w:r w:rsidR="001F10D0" w:rsidRPr="001F10D0">
          <w:rPr>
            <w:rStyle w:val="Hyperlink"/>
            <w:rFonts w:cs="David"/>
            <w:noProof/>
            <w:rtl/>
          </w:rPr>
          <w:fldChar w:fldCharType="separate"/>
        </w:r>
        <w:r w:rsidR="008F1BC3">
          <w:rPr>
            <w:rFonts w:cs="David"/>
            <w:noProof/>
            <w:webHidden/>
            <w:rtl/>
          </w:rPr>
          <w:t>21</w:t>
        </w:r>
        <w:r w:rsidR="001F10D0" w:rsidRPr="001F10D0">
          <w:rPr>
            <w:rStyle w:val="Hyperlink"/>
            <w:rFonts w:cs="David"/>
            <w:noProof/>
            <w:rtl/>
          </w:rPr>
          <w:fldChar w:fldCharType="end"/>
        </w:r>
      </w:hyperlink>
    </w:p>
    <w:p w14:paraId="36364793" w14:textId="2DC7B360" w:rsidR="001F10D0" w:rsidRPr="001F10D0" w:rsidRDefault="008F1BC3">
      <w:pPr>
        <w:pStyle w:val="af7"/>
        <w:tabs>
          <w:tab w:val="right" w:leader="dot" w:pos="8639"/>
        </w:tabs>
        <w:rPr>
          <w:rFonts w:asciiTheme="minorHAnsi" w:eastAsiaTheme="minorEastAsia" w:hAnsiTheme="minorHAnsi" w:cs="David"/>
          <w:smallCaps w:val="0"/>
          <w:noProof/>
          <w:sz w:val="22"/>
          <w:szCs w:val="22"/>
          <w:rtl/>
        </w:rPr>
      </w:pPr>
      <w:hyperlink w:anchor="_Toc76988897" w:history="1">
        <w:r w:rsidR="001F10D0" w:rsidRPr="001F10D0">
          <w:rPr>
            <w:rStyle w:val="Hyperlink"/>
            <w:rFonts w:cs="David"/>
            <w:noProof/>
            <w:rtl/>
          </w:rPr>
          <w:t xml:space="preserve">טבלה </w:t>
        </w:r>
        <w:r w:rsidR="001F10D0" w:rsidRPr="001F10D0">
          <w:rPr>
            <w:rStyle w:val="Hyperlink"/>
            <w:rFonts w:ascii="David" w:hAnsi="David" w:cs="David"/>
            <w:noProof/>
            <w:rtl/>
          </w:rPr>
          <w:t>2: שיעור ההשתתפות של השופטים במחקר עומס העבודה השיפוטית</w:t>
        </w:r>
        <w:r w:rsidR="001F10D0" w:rsidRPr="001F10D0">
          <w:rPr>
            <w:rFonts w:cs="David"/>
            <w:noProof/>
            <w:webHidden/>
            <w:rtl/>
          </w:rPr>
          <w:tab/>
        </w:r>
        <w:r w:rsidR="001F10D0" w:rsidRPr="001F10D0">
          <w:rPr>
            <w:rStyle w:val="Hyperlink"/>
            <w:rFonts w:cs="David"/>
            <w:noProof/>
            <w:rtl/>
          </w:rPr>
          <w:fldChar w:fldCharType="begin"/>
        </w:r>
        <w:r w:rsidR="001F10D0" w:rsidRPr="001F10D0">
          <w:rPr>
            <w:rFonts w:cs="David"/>
            <w:noProof/>
            <w:webHidden/>
            <w:rtl/>
          </w:rPr>
          <w:instrText xml:space="preserve"> </w:instrText>
        </w:r>
        <w:r w:rsidR="001F10D0" w:rsidRPr="001F10D0">
          <w:rPr>
            <w:rFonts w:cs="David"/>
            <w:noProof/>
            <w:webHidden/>
          </w:rPr>
          <w:instrText>PAGEREF</w:instrText>
        </w:r>
        <w:r w:rsidR="001F10D0" w:rsidRPr="001F10D0">
          <w:rPr>
            <w:rFonts w:cs="David"/>
            <w:noProof/>
            <w:webHidden/>
            <w:rtl/>
          </w:rPr>
          <w:instrText xml:space="preserve"> _</w:instrText>
        </w:r>
        <w:r w:rsidR="001F10D0" w:rsidRPr="001F10D0">
          <w:rPr>
            <w:rFonts w:cs="David"/>
            <w:noProof/>
            <w:webHidden/>
          </w:rPr>
          <w:instrText>Toc76988897 \h</w:instrText>
        </w:r>
        <w:r w:rsidR="001F10D0" w:rsidRPr="001F10D0">
          <w:rPr>
            <w:rFonts w:cs="David"/>
            <w:noProof/>
            <w:webHidden/>
            <w:rtl/>
          </w:rPr>
          <w:instrText xml:space="preserve"> </w:instrText>
        </w:r>
        <w:r w:rsidR="001F10D0" w:rsidRPr="001F10D0">
          <w:rPr>
            <w:rStyle w:val="Hyperlink"/>
            <w:rFonts w:cs="David"/>
            <w:noProof/>
            <w:rtl/>
          </w:rPr>
        </w:r>
        <w:r w:rsidR="001F10D0" w:rsidRPr="001F10D0">
          <w:rPr>
            <w:rStyle w:val="Hyperlink"/>
            <w:rFonts w:cs="David"/>
            <w:noProof/>
            <w:rtl/>
          </w:rPr>
          <w:fldChar w:fldCharType="separate"/>
        </w:r>
        <w:r>
          <w:rPr>
            <w:rFonts w:cs="David"/>
            <w:noProof/>
            <w:webHidden/>
            <w:rtl/>
          </w:rPr>
          <w:t>27</w:t>
        </w:r>
        <w:r w:rsidR="001F10D0" w:rsidRPr="001F10D0">
          <w:rPr>
            <w:rStyle w:val="Hyperlink"/>
            <w:rFonts w:cs="David"/>
            <w:noProof/>
            <w:rtl/>
          </w:rPr>
          <w:fldChar w:fldCharType="end"/>
        </w:r>
      </w:hyperlink>
    </w:p>
    <w:p w14:paraId="5B649144" w14:textId="6D2C920C" w:rsidR="001F10D0" w:rsidRPr="001F10D0" w:rsidRDefault="008F1BC3">
      <w:pPr>
        <w:pStyle w:val="af7"/>
        <w:tabs>
          <w:tab w:val="right" w:leader="dot" w:pos="8639"/>
        </w:tabs>
        <w:rPr>
          <w:rFonts w:asciiTheme="minorHAnsi" w:eastAsiaTheme="minorEastAsia" w:hAnsiTheme="minorHAnsi" w:cs="David"/>
          <w:smallCaps w:val="0"/>
          <w:noProof/>
          <w:sz w:val="22"/>
          <w:szCs w:val="22"/>
          <w:rtl/>
        </w:rPr>
      </w:pPr>
      <w:hyperlink w:anchor="_Toc76988898" w:history="1">
        <w:r w:rsidR="001F10D0" w:rsidRPr="001F10D0">
          <w:rPr>
            <w:rStyle w:val="Hyperlink"/>
            <w:rFonts w:cs="David"/>
            <w:noProof/>
            <w:rtl/>
          </w:rPr>
          <w:t>טבלה 3:שיעור היומנים שמולאו בכל אחד מימות המחקר</w:t>
        </w:r>
        <w:r w:rsidR="001F10D0" w:rsidRPr="001F10D0">
          <w:rPr>
            <w:rFonts w:cs="David"/>
            <w:noProof/>
            <w:webHidden/>
            <w:rtl/>
          </w:rPr>
          <w:tab/>
        </w:r>
        <w:r w:rsidR="001F10D0" w:rsidRPr="001F10D0">
          <w:rPr>
            <w:rStyle w:val="Hyperlink"/>
            <w:rFonts w:cs="David"/>
            <w:noProof/>
            <w:rtl/>
          </w:rPr>
          <w:fldChar w:fldCharType="begin"/>
        </w:r>
        <w:r w:rsidR="001F10D0" w:rsidRPr="001F10D0">
          <w:rPr>
            <w:rFonts w:cs="David"/>
            <w:noProof/>
            <w:webHidden/>
            <w:rtl/>
          </w:rPr>
          <w:instrText xml:space="preserve"> </w:instrText>
        </w:r>
        <w:r w:rsidR="001F10D0" w:rsidRPr="001F10D0">
          <w:rPr>
            <w:rFonts w:cs="David"/>
            <w:noProof/>
            <w:webHidden/>
          </w:rPr>
          <w:instrText>PAGEREF</w:instrText>
        </w:r>
        <w:r w:rsidR="001F10D0" w:rsidRPr="001F10D0">
          <w:rPr>
            <w:rFonts w:cs="David"/>
            <w:noProof/>
            <w:webHidden/>
            <w:rtl/>
          </w:rPr>
          <w:instrText xml:space="preserve"> _</w:instrText>
        </w:r>
        <w:r w:rsidR="001F10D0" w:rsidRPr="001F10D0">
          <w:rPr>
            <w:rFonts w:cs="David"/>
            <w:noProof/>
            <w:webHidden/>
          </w:rPr>
          <w:instrText>Toc76988898 \h</w:instrText>
        </w:r>
        <w:r w:rsidR="001F10D0" w:rsidRPr="001F10D0">
          <w:rPr>
            <w:rFonts w:cs="David"/>
            <w:noProof/>
            <w:webHidden/>
            <w:rtl/>
          </w:rPr>
          <w:instrText xml:space="preserve"> </w:instrText>
        </w:r>
        <w:r w:rsidR="001F10D0" w:rsidRPr="001F10D0">
          <w:rPr>
            <w:rStyle w:val="Hyperlink"/>
            <w:rFonts w:cs="David"/>
            <w:noProof/>
            <w:rtl/>
          </w:rPr>
        </w:r>
        <w:r w:rsidR="001F10D0" w:rsidRPr="001F10D0">
          <w:rPr>
            <w:rStyle w:val="Hyperlink"/>
            <w:rFonts w:cs="David"/>
            <w:noProof/>
            <w:rtl/>
          </w:rPr>
          <w:fldChar w:fldCharType="separate"/>
        </w:r>
        <w:r>
          <w:rPr>
            <w:rFonts w:cs="David"/>
            <w:noProof/>
            <w:webHidden/>
            <w:rtl/>
          </w:rPr>
          <w:t>27</w:t>
        </w:r>
        <w:r w:rsidR="001F10D0" w:rsidRPr="001F10D0">
          <w:rPr>
            <w:rStyle w:val="Hyperlink"/>
            <w:rFonts w:cs="David"/>
            <w:noProof/>
            <w:rtl/>
          </w:rPr>
          <w:fldChar w:fldCharType="end"/>
        </w:r>
      </w:hyperlink>
    </w:p>
    <w:p w14:paraId="3C25C6C1" w14:textId="2C2F0B1E" w:rsidR="001F10D0" w:rsidRPr="001F10D0" w:rsidRDefault="008F1BC3">
      <w:pPr>
        <w:pStyle w:val="af7"/>
        <w:tabs>
          <w:tab w:val="right" w:leader="dot" w:pos="8639"/>
        </w:tabs>
        <w:rPr>
          <w:rFonts w:asciiTheme="minorHAnsi" w:eastAsiaTheme="minorEastAsia" w:hAnsiTheme="minorHAnsi" w:cs="David"/>
          <w:smallCaps w:val="0"/>
          <w:noProof/>
          <w:sz w:val="22"/>
          <w:szCs w:val="22"/>
          <w:rtl/>
        </w:rPr>
      </w:pPr>
      <w:hyperlink w:anchor="_Toc76988899" w:history="1">
        <w:r w:rsidR="001F10D0" w:rsidRPr="001F10D0">
          <w:rPr>
            <w:rStyle w:val="Hyperlink"/>
            <w:rFonts w:cs="David"/>
            <w:noProof/>
            <w:rtl/>
          </w:rPr>
          <w:t xml:space="preserve">טבלה </w:t>
        </w:r>
        <w:r w:rsidR="001F10D0" w:rsidRPr="001F10D0">
          <w:rPr>
            <w:rStyle w:val="Hyperlink"/>
            <w:rFonts w:ascii="David" w:hAnsi="David" w:cs="David"/>
            <w:noProof/>
            <w:rtl/>
          </w:rPr>
          <w:t>4: נתונים על שיעור מילוי היומנים על ידי השופטים והרשמים בחלוקה לערכאות</w:t>
        </w:r>
        <w:r w:rsidR="001F10D0" w:rsidRPr="001F10D0">
          <w:rPr>
            <w:rFonts w:cs="David"/>
            <w:noProof/>
            <w:webHidden/>
            <w:rtl/>
          </w:rPr>
          <w:tab/>
        </w:r>
        <w:r w:rsidR="001F10D0" w:rsidRPr="001F10D0">
          <w:rPr>
            <w:rStyle w:val="Hyperlink"/>
            <w:rFonts w:cs="David"/>
            <w:noProof/>
            <w:rtl/>
          </w:rPr>
          <w:fldChar w:fldCharType="begin"/>
        </w:r>
        <w:r w:rsidR="001F10D0" w:rsidRPr="001F10D0">
          <w:rPr>
            <w:rFonts w:cs="David"/>
            <w:noProof/>
            <w:webHidden/>
            <w:rtl/>
          </w:rPr>
          <w:instrText xml:space="preserve"> </w:instrText>
        </w:r>
        <w:r w:rsidR="001F10D0" w:rsidRPr="001F10D0">
          <w:rPr>
            <w:rFonts w:cs="David"/>
            <w:noProof/>
            <w:webHidden/>
          </w:rPr>
          <w:instrText>PAGEREF</w:instrText>
        </w:r>
        <w:r w:rsidR="001F10D0" w:rsidRPr="001F10D0">
          <w:rPr>
            <w:rFonts w:cs="David"/>
            <w:noProof/>
            <w:webHidden/>
            <w:rtl/>
          </w:rPr>
          <w:instrText xml:space="preserve"> _</w:instrText>
        </w:r>
        <w:r w:rsidR="001F10D0" w:rsidRPr="001F10D0">
          <w:rPr>
            <w:rFonts w:cs="David"/>
            <w:noProof/>
            <w:webHidden/>
          </w:rPr>
          <w:instrText>Toc76988899 \h</w:instrText>
        </w:r>
        <w:r w:rsidR="001F10D0" w:rsidRPr="001F10D0">
          <w:rPr>
            <w:rFonts w:cs="David"/>
            <w:noProof/>
            <w:webHidden/>
            <w:rtl/>
          </w:rPr>
          <w:instrText xml:space="preserve"> </w:instrText>
        </w:r>
        <w:r w:rsidR="001F10D0" w:rsidRPr="001F10D0">
          <w:rPr>
            <w:rStyle w:val="Hyperlink"/>
            <w:rFonts w:cs="David"/>
            <w:noProof/>
            <w:rtl/>
          </w:rPr>
        </w:r>
        <w:r w:rsidR="001F10D0" w:rsidRPr="001F10D0">
          <w:rPr>
            <w:rStyle w:val="Hyperlink"/>
            <w:rFonts w:cs="David"/>
            <w:noProof/>
            <w:rtl/>
          </w:rPr>
          <w:fldChar w:fldCharType="separate"/>
        </w:r>
        <w:r>
          <w:rPr>
            <w:rFonts w:cs="David"/>
            <w:noProof/>
            <w:webHidden/>
            <w:rtl/>
          </w:rPr>
          <w:t>28</w:t>
        </w:r>
        <w:r w:rsidR="001F10D0" w:rsidRPr="001F10D0">
          <w:rPr>
            <w:rStyle w:val="Hyperlink"/>
            <w:rFonts w:cs="David"/>
            <w:noProof/>
            <w:rtl/>
          </w:rPr>
          <w:fldChar w:fldCharType="end"/>
        </w:r>
      </w:hyperlink>
    </w:p>
    <w:p w14:paraId="1046A6EB" w14:textId="2258B912" w:rsidR="001F10D0" w:rsidRPr="001F10D0" w:rsidRDefault="008F1BC3">
      <w:pPr>
        <w:pStyle w:val="af7"/>
        <w:tabs>
          <w:tab w:val="right" w:leader="dot" w:pos="8639"/>
        </w:tabs>
        <w:rPr>
          <w:rFonts w:asciiTheme="minorHAnsi" w:eastAsiaTheme="minorEastAsia" w:hAnsiTheme="minorHAnsi" w:cs="David"/>
          <w:smallCaps w:val="0"/>
          <w:noProof/>
          <w:sz w:val="22"/>
          <w:szCs w:val="22"/>
          <w:rtl/>
        </w:rPr>
      </w:pPr>
      <w:hyperlink w:anchor="_Toc76988900" w:history="1">
        <w:r w:rsidR="001F10D0" w:rsidRPr="001F10D0">
          <w:rPr>
            <w:rStyle w:val="Hyperlink"/>
            <w:rFonts w:cs="David"/>
            <w:noProof/>
            <w:rtl/>
          </w:rPr>
          <w:t xml:space="preserve">טבלה 5: </w:t>
        </w:r>
        <w:r w:rsidR="001F10D0" w:rsidRPr="001F10D0">
          <w:rPr>
            <w:rStyle w:val="Hyperlink"/>
            <w:rFonts w:ascii="David" w:hAnsi="David" w:cs="David"/>
            <w:noProof/>
            <w:rtl/>
          </w:rPr>
          <w:t>זמני הטיפול בתיקי ערכאת המחוזי</w:t>
        </w:r>
        <w:r w:rsidR="001F10D0" w:rsidRPr="001F10D0">
          <w:rPr>
            <w:rFonts w:cs="David"/>
            <w:noProof/>
            <w:webHidden/>
            <w:rtl/>
          </w:rPr>
          <w:tab/>
        </w:r>
        <w:r w:rsidR="001F10D0" w:rsidRPr="001F10D0">
          <w:rPr>
            <w:rStyle w:val="Hyperlink"/>
            <w:rFonts w:cs="David"/>
            <w:noProof/>
            <w:rtl/>
          </w:rPr>
          <w:fldChar w:fldCharType="begin"/>
        </w:r>
        <w:r w:rsidR="001F10D0" w:rsidRPr="001F10D0">
          <w:rPr>
            <w:rFonts w:cs="David"/>
            <w:noProof/>
            <w:webHidden/>
            <w:rtl/>
          </w:rPr>
          <w:instrText xml:space="preserve"> </w:instrText>
        </w:r>
        <w:r w:rsidR="001F10D0" w:rsidRPr="001F10D0">
          <w:rPr>
            <w:rFonts w:cs="David"/>
            <w:noProof/>
            <w:webHidden/>
          </w:rPr>
          <w:instrText>PAGEREF</w:instrText>
        </w:r>
        <w:r w:rsidR="001F10D0" w:rsidRPr="001F10D0">
          <w:rPr>
            <w:rFonts w:cs="David"/>
            <w:noProof/>
            <w:webHidden/>
            <w:rtl/>
          </w:rPr>
          <w:instrText xml:space="preserve"> _</w:instrText>
        </w:r>
        <w:r w:rsidR="001F10D0" w:rsidRPr="001F10D0">
          <w:rPr>
            <w:rFonts w:cs="David"/>
            <w:noProof/>
            <w:webHidden/>
          </w:rPr>
          <w:instrText>Toc76988900 \h</w:instrText>
        </w:r>
        <w:r w:rsidR="001F10D0" w:rsidRPr="001F10D0">
          <w:rPr>
            <w:rFonts w:cs="David"/>
            <w:noProof/>
            <w:webHidden/>
            <w:rtl/>
          </w:rPr>
          <w:instrText xml:space="preserve"> </w:instrText>
        </w:r>
        <w:r w:rsidR="001F10D0" w:rsidRPr="001F10D0">
          <w:rPr>
            <w:rStyle w:val="Hyperlink"/>
            <w:rFonts w:cs="David"/>
            <w:noProof/>
            <w:rtl/>
          </w:rPr>
        </w:r>
        <w:r w:rsidR="001F10D0" w:rsidRPr="001F10D0">
          <w:rPr>
            <w:rStyle w:val="Hyperlink"/>
            <w:rFonts w:cs="David"/>
            <w:noProof/>
            <w:rtl/>
          </w:rPr>
          <w:fldChar w:fldCharType="separate"/>
        </w:r>
        <w:r>
          <w:rPr>
            <w:rFonts w:cs="David"/>
            <w:noProof/>
            <w:webHidden/>
            <w:rtl/>
          </w:rPr>
          <w:t>51</w:t>
        </w:r>
        <w:r w:rsidR="001F10D0" w:rsidRPr="001F10D0">
          <w:rPr>
            <w:rStyle w:val="Hyperlink"/>
            <w:rFonts w:cs="David"/>
            <w:noProof/>
            <w:rtl/>
          </w:rPr>
          <w:fldChar w:fldCharType="end"/>
        </w:r>
      </w:hyperlink>
    </w:p>
    <w:p w14:paraId="017E3FD2" w14:textId="3A2141F1" w:rsidR="001F10D0" w:rsidRPr="001F10D0" w:rsidRDefault="008F1BC3">
      <w:pPr>
        <w:pStyle w:val="af7"/>
        <w:tabs>
          <w:tab w:val="right" w:leader="dot" w:pos="8639"/>
        </w:tabs>
        <w:rPr>
          <w:rFonts w:asciiTheme="minorHAnsi" w:eastAsiaTheme="minorEastAsia" w:hAnsiTheme="minorHAnsi" w:cs="David"/>
          <w:smallCaps w:val="0"/>
          <w:noProof/>
          <w:sz w:val="22"/>
          <w:szCs w:val="22"/>
          <w:rtl/>
        </w:rPr>
      </w:pPr>
      <w:hyperlink w:anchor="_Toc76988901" w:history="1">
        <w:r w:rsidR="001F10D0" w:rsidRPr="001F10D0">
          <w:rPr>
            <w:rStyle w:val="Hyperlink"/>
            <w:rFonts w:cs="David"/>
            <w:noProof/>
            <w:rtl/>
          </w:rPr>
          <w:t xml:space="preserve">טבלה </w:t>
        </w:r>
        <w:r w:rsidR="001F10D0" w:rsidRPr="001F10D0">
          <w:rPr>
            <w:rStyle w:val="Hyperlink"/>
            <w:rFonts w:ascii="David" w:hAnsi="David" w:cs="David"/>
            <w:noProof/>
            <w:rtl/>
          </w:rPr>
          <w:t>6: זמני הטיפול בתיקים אזרחיים/ מנהליים בערכאת המחוזי</w:t>
        </w:r>
        <w:r w:rsidR="001F10D0" w:rsidRPr="001F10D0">
          <w:rPr>
            <w:rFonts w:cs="David"/>
            <w:noProof/>
            <w:webHidden/>
            <w:rtl/>
          </w:rPr>
          <w:tab/>
        </w:r>
        <w:r w:rsidR="001F10D0" w:rsidRPr="001F10D0">
          <w:rPr>
            <w:rStyle w:val="Hyperlink"/>
            <w:rFonts w:cs="David"/>
            <w:noProof/>
            <w:rtl/>
          </w:rPr>
          <w:fldChar w:fldCharType="begin"/>
        </w:r>
        <w:r w:rsidR="001F10D0" w:rsidRPr="001F10D0">
          <w:rPr>
            <w:rFonts w:cs="David"/>
            <w:noProof/>
            <w:webHidden/>
            <w:rtl/>
          </w:rPr>
          <w:instrText xml:space="preserve"> </w:instrText>
        </w:r>
        <w:r w:rsidR="001F10D0" w:rsidRPr="001F10D0">
          <w:rPr>
            <w:rFonts w:cs="David"/>
            <w:noProof/>
            <w:webHidden/>
          </w:rPr>
          <w:instrText>PAGEREF</w:instrText>
        </w:r>
        <w:r w:rsidR="001F10D0" w:rsidRPr="001F10D0">
          <w:rPr>
            <w:rFonts w:cs="David"/>
            <w:noProof/>
            <w:webHidden/>
            <w:rtl/>
          </w:rPr>
          <w:instrText xml:space="preserve"> _</w:instrText>
        </w:r>
        <w:r w:rsidR="001F10D0" w:rsidRPr="001F10D0">
          <w:rPr>
            <w:rFonts w:cs="David"/>
            <w:noProof/>
            <w:webHidden/>
          </w:rPr>
          <w:instrText>Toc76988901 \h</w:instrText>
        </w:r>
        <w:r w:rsidR="001F10D0" w:rsidRPr="001F10D0">
          <w:rPr>
            <w:rFonts w:cs="David"/>
            <w:noProof/>
            <w:webHidden/>
            <w:rtl/>
          </w:rPr>
          <w:instrText xml:space="preserve"> </w:instrText>
        </w:r>
        <w:r w:rsidR="001F10D0" w:rsidRPr="001F10D0">
          <w:rPr>
            <w:rStyle w:val="Hyperlink"/>
            <w:rFonts w:cs="David"/>
            <w:noProof/>
            <w:rtl/>
          </w:rPr>
        </w:r>
        <w:r w:rsidR="001F10D0" w:rsidRPr="001F10D0">
          <w:rPr>
            <w:rStyle w:val="Hyperlink"/>
            <w:rFonts w:cs="David"/>
            <w:noProof/>
            <w:rtl/>
          </w:rPr>
          <w:fldChar w:fldCharType="separate"/>
        </w:r>
        <w:r>
          <w:rPr>
            <w:rFonts w:cs="David"/>
            <w:noProof/>
            <w:webHidden/>
            <w:rtl/>
          </w:rPr>
          <w:t>54</w:t>
        </w:r>
        <w:r w:rsidR="001F10D0" w:rsidRPr="001F10D0">
          <w:rPr>
            <w:rStyle w:val="Hyperlink"/>
            <w:rFonts w:cs="David"/>
            <w:noProof/>
            <w:rtl/>
          </w:rPr>
          <w:fldChar w:fldCharType="end"/>
        </w:r>
      </w:hyperlink>
    </w:p>
    <w:p w14:paraId="6363027A" w14:textId="7015F898" w:rsidR="001F10D0" w:rsidRPr="001F10D0" w:rsidRDefault="008F1BC3">
      <w:pPr>
        <w:pStyle w:val="af7"/>
        <w:tabs>
          <w:tab w:val="right" w:leader="dot" w:pos="8639"/>
        </w:tabs>
        <w:rPr>
          <w:rFonts w:asciiTheme="minorHAnsi" w:eastAsiaTheme="minorEastAsia" w:hAnsiTheme="minorHAnsi" w:cs="David"/>
          <w:smallCaps w:val="0"/>
          <w:noProof/>
          <w:sz w:val="22"/>
          <w:szCs w:val="22"/>
          <w:rtl/>
        </w:rPr>
      </w:pPr>
      <w:hyperlink w:anchor="_Toc76988902" w:history="1">
        <w:r w:rsidR="001F10D0" w:rsidRPr="001F10D0">
          <w:rPr>
            <w:rStyle w:val="Hyperlink"/>
            <w:rFonts w:cs="David"/>
            <w:noProof/>
            <w:rtl/>
          </w:rPr>
          <w:t xml:space="preserve">טבלה </w:t>
        </w:r>
        <w:r w:rsidR="001F10D0" w:rsidRPr="001F10D0">
          <w:rPr>
            <w:rStyle w:val="Hyperlink"/>
            <w:rFonts w:ascii="David" w:hAnsi="David" w:cs="David"/>
            <w:noProof/>
            <w:rtl/>
          </w:rPr>
          <w:t>7: זמני הטיפול בתיקים פליליים בערכאת המחוזי</w:t>
        </w:r>
        <w:r w:rsidR="001F10D0" w:rsidRPr="001F10D0">
          <w:rPr>
            <w:rFonts w:cs="David"/>
            <w:noProof/>
            <w:webHidden/>
            <w:rtl/>
          </w:rPr>
          <w:tab/>
        </w:r>
        <w:r w:rsidR="001F10D0" w:rsidRPr="001F10D0">
          <w:rPr>
            <w:rStyle w:val="Hyperlink"/>
            <w:rFonts w:cs="David"/>
            <w:noProof/>
            <w:rtl/>
          </w:rPr>
          <w:fldChar w:fldCharType="begin"/>
        </w:r>
        <w:r w:rsidR="001F10D0" w:rsidRPr="001F10D0">
          <w:rPr>
            <w:rFonts w:cs="David"/>
            <w:noProof/>
            <w:webHidden/>
            <w:rtl/>
          </w:rPr>
          <w:instrText xml:space="preserve"> </w:instrText>
        </w:r>
        <w:r w:rsidR="001F10D0" w:rsidRPr="001F10D0">
          <w:rPr>
            <w:rFonts w:cs="David"/>
            <w:noProof/>
            <w:webHidden/>
          </w:rPr>
          <w:instrText>PAGEREF</w:instrText>
        </w:r>
        <w:r w:rsidR="001F10D0" w:rsidRPr="001F10D0">
          <w:rPr>
            <w:rFonts w:cs="David"/>
            <w:noProof/>
            <w:webHidden/>
            <w:rtl/>
          </w:rPr>
          <w:instrText xml:space="preserve"> _</w:instrText>
        </w:r>
        <w:r w:rsidR="001F10D0" w:rsidRPr="001F10D0">
          <w:rPr>
            <w:rFonts w:cs="David"/>
            <w:noProof/>
            <w:webHidden/>
          </w:rPr>
          <w:instrText>Toc76988902 \h</w:instrText>
        </w:r>
        <w:r w:rsidR="001F10D0" w:rsidRPr="001F10D0">
          <w:rPr>
            <w:rFonts w:cs="David"/>
            <w:noProof/>
            <w:webHidden/>
            <w:rtl/>
          </w:rPr>
          <w:instrText xml:space="preserve"> </w:instrText>
        </w:r>
        <w:r w:rsidR="001F10D0" w:rsidRPr="001F10D0">
          <w:rPr>
            <w:rStyle w:val="Hyperlink"/>
            <w:rFonts w:cs="David"/>
            <w:noProof/>
            <w:rtl/>
          </w:rPr>
        </w:r>
        <w:r w:rsidR="001F10D0" w:rsidRPr="001F10D0">
          <w:rPr>
            <w:rStyle w:val="Hyperlink"/>
            <w:rFonts w:cs="David"/>
            <w:noProof/>
            <w:rtl/>
          </w:rPr>
          <w:fldChar w:fldCharType="separate"/>
        </w:r>
        <w:r>
          <w:rPr>
            <w:rFonts w:cs="David"/>
            <w:noProof/>
            <w:webHidden/>
            <w:rtl/>
          </w:rPr>
          <w:t>55</w:t>
        </w:r>
        <w:r w:rsidR="001F10D0" w:rsidRPr="001F10D0">
          <w:rPr>
            <w:rStyle w:val="Hyperlink"/>
            <w:rFonts w:cs="David"/>
            <w:noProof/>
            <w:rtl/>
          </w:rPr>
          <w:fldChar w:fldCharType="end"/>
        </w:r>
      </w:hyperlink>
    </w:p>
    <w:p w14:paraId="6862DC15" w14:textId="04ED475E" w:rsidR="001F10D0" w:rsidRPr="001F10D0" w:rsidRDefault="008F1BC3">
      <w:pPr>
        <w:pStyle w:val="af7"/>
        <w:tabs>
          <w:tab w:val="right" w:leader="dot" w:pos="8639"/>
        </w:tabs>
        <w:rPr>
          <w:rFonts w:asciiTheme="minorHAnsi" w:eastAsiaTheme="minorEastAsia" w:hAnsiTheme="minorHAnsi" w:cs="David"/>
          <w:smallCaps w:val="0"/>
          <w:noProof/>
          <w:sz w:val="22"/>
          <w:szCs w:val="22"/>
          <w:rtl/>
        </w:rPr>
      </w:pPr>
      <w:hyperlink w:anchor="_Toc76988903" w:history="1">
        <w:r w:rsidR="001F10D0" w:rsidRPr="001F10D0">
          <w:rPr>
            <w:rStyle w:val="Hyperlink"/>
            <w:rFonts w:cs="David"/>
            <w:noProof/>
            <w:rtl/>
          </w:rPr>
          <w:t xml:space="preserve">טבלה </w:t>
        </w:r>
        <w:r w:rsidR="001F10D0" w:rsidRPr="001F10D0">
          <w:rPr>
            <w:rStyle w:val="Hyperlink"/>
            <w:rFonts w:ascii="David" w:hAnsi="David" w:cs="David"/>
            <w:noProof/>
            <w:rtl/>
          </w:rPr>
          <w:t>8: זמני הטיפול בתיק ת"א בערכאת המחוזי בחלוקה לסוגי עניין</w:t>
        </w:r>
        <w:r w:rsidR="001F10D0" w:rsidRPr="001F10D0">
          <w:rPr>
            <w:rFonts w:cs="David"/>
            <w:noProof/>
            <w:webHidden/>
            <w:rtl/>
          </w:rPr>
          <w:tab/>
        </w:r>
        <w:r w:rsidR="001F10D0" w:rsidRPr="001F10D0">
          <w:rPr>
            <w:rStyle w:val="Hyperlink"/>
            <w:rFonts w:cs="David"/>
            <w:noProof/>
            <w:rtl/>
          </w:rPr>
          <w:fldChar w:fldCharType="begin"/>
        </w:r>
        <w:r w:rsidR="001F10D0" w:rsidRPr="001F10D0">
          <w:rPr>
            <w:rFonts w:cs="David"/>
            <w:noProof/>
            <w:webHidden/>
            <w:rtl/>
          </w:rPr>
          <w:instrText xml:space="preserve"> </w:instrText>
        </w:r>
        <w:r w:rsidR="001F10D0" w:rsidRPr="001F10D0">
          <w:rPr>
            <w:rFonts w:cs="David"/>
            <w:noProof/>
            <w:webHidden/>
          </w:rPr>
          <w:instrText>PAGEREF</w:instrText>
        </w:r>
        <w:r w:rsidR="001F10D0" w:rsidRPr="001F10D0">
          <w:rPr>
            <w:rFonts w:cs="David"/>
            <w:noProof/>
            <w:webHidden/>
            <w:rtl/>
          </w:rPr>
          <w:instrText xml:space="preserve"> _</w:instrText>
        </w:r>
        <w:r w:rsidR="001F10D0" w:rsidRPr="001F10D0">
          <w:rPr>
            <w:rFonts w:cs="David"/>
            <w:noProof/>
            <w:webHidden/>
          </w:rPr>
          <w:instrText>Toc76988903 \h</w:instrText>
        </w:r>
        <w:r w:rsidR="001F10D0" w:rsidRPr="001F10D0">
          <w:rPr>
            <w:rFonts w:cs="David"/>
            <w:noProof/>
            <w:webHidden/>
            <w:rtl/>
          </w:rPr>
          <w:instrText xml:space="preserve"> </w:instrText>
        </w:r>
        <w:r w:rsidR="001F10D0" w:rsidRPr="001F10D0">
          <w:rPr>
            <w:rStyle w:val="Hyperlink"/>
            <w:rFonts w:cs="David"/>
            <w:noProof/>
            <w:rtl/>
          </w:rPr>
        </w:r>
        <w:r w:rsidR="001F10D0" w:rsidRPr="001F10D0">
          <w:rPr>
            <w:rStyle w:val="Hyperlink"/>
            <w:rFonts w:cs="David"/>
            <w:noProof/>
            <w:rtl/>
          </w:rPr>
          <w:fldChar w:fldCharType="separate"/>
        </w:r>
        <w:r>
          <w:rPr>
            <w:rFonts w:cs="David"/>
            <w:noProof/>
            <w:webHidden/>
            <w:rtl/>
          </w:rPr>
          <w:t>56</w:t>
        </w:r>
        <w:r w:rsidR="001F10D0" w:rsidRPr="001F10D0">
          <w:rPr>
            <w:rStyle w:val="Hyperlink"/>
            <w:rFonts w:cs="David"/>
            <w:noProof/>
            <w:rtl/>
          </w:rPr>
          <w:fldChar w:fldCharType="end"/>
        </w:r>
      </w:hyperlink>
    </w:p>
    <w:p w14:paraId="33A20E29" w14:textId="70934522" w:rsidR="001F10D0" w:rsidRPr="001F10D0" w:rsidRDefault="008F1BC3">
      <w:pPr>
        <w:pStyle w:val="af7"/>
        <w:tabs>
          <w:tab w:val="right" w:leader="dot" w:pos="8639"/>
        </w:tabs>
        <w:rPr>
          <w:rFonts w:asciiTheme="minorHAnsi" w:eastAsiaTheme="minorEastAsia" w:hAnsiTheme="minorHAnsi" w:cs="David"/>
          <w:smallCaps w:val="0"/>
          <w:noProof/>
          <w:sz w:val="22"/>
          <w:szCs w:val="22"/>
          <w:rtl/>
        </w:rPr>
      </w:pPr>
      <w:hyperlink w:anchor="_Toc76988904" w:history="1">
        <w:r w:rsidR="001F10D0" w:rsidRPr="001F10D0">
          <w:rPr>
            <w:rStyle w:val="Hyperlink"/>
            <w:rFonts w:cs="David"/>
            <w:noProof/>
            <w:rtl/>
          </w:rPr>
          <w:t xml:space="preserve">טבלה 9: </w:t>
        </w:r>
        <w:r w:rsidR="001F10D0" w:rsidRPr="001F10D0">
          <w:rPr>
            <w:rStyle w:val="Hyperlink"/>
            <w:rFonts w:ascii="David" w:hAnsi="David" w:cs="David"/>
            <w:noProof/>
            <w:rtl/>
          </w:rPr>
          <w:t>זמני הטיפול בתיקי ערכאת השלום</w:t>
        </w:r>
        <w:r w:rsidR="001F10D0" w:rsidRPr="001F10D0">
          <w:rPr>
            <w:rFonts w:cs="David"/>
            <w:noProof/>
            <w:webHidden/>
            <w:rtl/>
          </w:rPr>
          <w:tab/>
        </w:r>
        <w:r w:rsidR="001F10D0" w:rsidRPr="001F10D0">
          <w:rPr>
            <w:rStyle w:val="Hyperlink"/>
            <w:rFonts w:cs="David"/>
            <w:noProof/>
            <w:rtl/>
          </w:rPr>
          <w:fldChar w:fldCharType="begin"/>
        </w:r>
        <w:r w:rsidR="001F10D0" w:rsidRPr="001F10D0">
          <w:rPr>
            <w:rFonts w:cs="David"/>
            <w:noProof/>
            <w:webHidden/>
            <w:rtl/>
          </w:rPr>
          <w:instrText xml:space="preserve"> </w:instrText>
        </w:r>
        <w:r w:rsidR="001F10D0" w:rsidRPr="001F10D0">
          <w:rPr>
            <w:rFonts w:cs="David"/>
            <w:noProof/>
            <w:webHidden/>
          </w:rPr>
          <w:instrText>PAGEREF</w:instrText>
        </w:r>
        <w:r w:rsidR="001F10D0" w:rsidRPr="001F10D0">
          <w:rPr>
            <w:rFonts w:cs="David"/>
            <w:noProof/>
            <w:webHidden/>
            <w:rtl/>
          </w:rPr>
          <w:instrText xml:space="preserve"> _</w:instrText>
        </w:r>
        <w:r w:rsidR="001F10D0" w:rsidRPr="001F10D0">
          <w:rPr>
            <w:rFonts w:cs="David"/>
            <w:noProof/>
            <w:webHidden/>
          </w:rPr>
          <w:instrText>Toc76988904 \h</w:instrText>
        </w:r>
        <w:r w:rsidR="001F10D0" w:rsidRPr="001F10D0">
          <w:rPr>
            <w:rFonts w:cs="David"/>
            <w:noProof/>
            <w:webHidden/>
            <w:rtl/>
          </w:rPr>
          <w:instrText xml:space="preserve"> </w:instrText>
        </w:r>
        <w:r w:rsidR="001F10D0" w:rsidRPr="001F10D0">
          <w:rPr>
            <w:rStyle w:val="Hyperlink"/>
            <w:rFonts w:cs="David"/>
            <w:noProof/>
            <w:rtl/>
          </w:rPr>
        </w:r>
        <w:r w:rsidR="001F10D0" w:rsidRPr="001F10D0">
          <w:rPr>
            <w:rStyle w:val="Hyperlink"/>
            <w:rFonts w:cs="David"/>
            <w:noProof/>
            <w:rtl/>
          </w:rPr>
          <w:fldChar w:fldCharType="separate"/>
        </w:r>
        <w:r>
          <w:rPr>
            <w:rFonts w:cs="David"/>
            <w:noProof/>
            <w:webHidden/>
            <w:rtl/>
          </w:rPr>
          <w:t>64</w:t>
        </w:r>
        <w:r w:rsidR="001F10D0" w:rsidRPr="001F10D0">
          <w:rPr>
            <w:rStyle w:val="Hyperlink"/>
            <w:rFonts w:cs="David"/>
            <w:noProof/>
            <w:rtl/>
          </w:rPr>
          <w:fldChar w:fldCharType="end"/>
        </w:r>
      </w:hyperlink>
    </w:p>
    <w:p w14:paraId="6B061063" w14:textId="37307145" w:rsidR="001F10D0" w:rsidRPr="001F10D0" w:rsidRDefault="008F1BC3">
      <w:pPr>
        <w:pStyle w:val="af7"/>
        <w:tabs>
          <w:tab w:val="right" w:leader="dot" w:pos="8639"/>
        </w:tabs>
        <w:rPr>
          <w:rFonts w:asciiTheme="minorHAnsi" w:eastAsiaTheme="minorEastAsia" w:hAnsiTheme="minorHAnsi" w:cs="David"/>
          <w:smallCaps w:val="0"/>
          <w:noProof/>
          <w:sz w:val="22"/>
          <w:szCs w:val="22"/>
          <w:rtl/>
        </w:rPr>
      </w:pPr>
      <w:hyperlink w:anchor="_Toc76988905" w:history="1">
        <w:r w:rsidR="001F10D0" w:rsidRPr="001F10D0">
          <w:rPr>
            <w:rStyle w:val="Hyperlink"/>
            <w:rFonts w:cs="David"/>
            <w:noProof/>
            <w:rtl/>
          </w:rPr>
          <w:t xml:space="preserve">טבלה </w:t>
        </w:r>
        <w:r w:rsidR="001F10D0" w:rsidRPr="001F10D0">
          <w:rPr>
            <w:rStyle w:val="Hyperlink"/>
            <w:rFonts w:ascii="David" w:hAnsi="David" w:cs="David"/>
            <w:noProof/>
            <w:rtl/>
          </w:rPr>
          <w:t>10: זמני הטיפול בתיקים אזרחיים בערכאת השלום</w:t>
        </w:r>
        <w:r w:rsidR="001F10D0" w:rsidRPr="001F10D0">
          <w:rPr>
            <w:rFonts w:cs="David"/>
            <w:noProof/>
            <w:webHidden/>
            <w:rtl/>
          </w:rPr>
          <w:tab/>
        </w:r>
        <w:r w:rsidR="001F10D0" w:rsidRPr="001F10D0">
          <w:rPr>
            <w:rStyle w:val="Hyperlink"/>
            <w:rFonts w:cs="David"/>
            <w:noProof/>
            <w:rtl/>
          </w:rPr>
          <w:fldChar w:fldCharType="begin"/>
        </w:r>
        <w:r w:rsidR="001F10D0" w:rsidRPr="001F10D0">
          <w:rPr>
            <w:rFonts w:cs="David"/>
            <w:noProof/>
            <w:webHidden/>
            <w:rtl/>
          </w:rPr>
          <w:instrText xml:space="preserve"> </w:instrText>
        </w:r>
        <w:r w:rsidR="001F10D0" w:rsidRPr="001F10D0">
          <w:rPr>
            <w:rFonts w:cs="David"/>
            <w:noProof/>
            <w:webHidden/>
          </w:rPr>
          <w:instrText>PAGEREF</w:instrText>
        </w:r>
        <w:r w:rsidR="001F10D0" w:rsidRPr="001F10D0">
          <w:rPr>
            <w:rFonts w:cs="David"/>
            <w:noProof/>
            <w:webHidden/>
            <w:rtl/>
          </w:rPr>
          <w:instrText xml:space="preserve"> _</w:instrText>
        </w:r>
        <w:r w:rsidR="001F10D0" w:rsidRPr="001F10D0">
          <w:rPr>
            <w:rFonts w:cs="David"/>
            <w:noProof/>
            <w:webHidden/>
          </w:rPr>
          <w:instrText>Toc76988905 \h</w:instrText>
        </w:r>
        <w:r w:rsidR="001F10D0" w:rsidRPr="001F10D0">
          <w:rPr>
            <w:rFonts w:cs="David"/>
            <w:noProof/>
            <w:webHidden/>
            <w:rtl/>
          </w:rPr>
          <w:instrText xml:space="preserve"> </w:instrText>
        </w:r>
        <w:r w:rsidR="001F10D0" w:rsidRPr="001F10D0">
          <w:rPr>
            <w:rStyle w:val="Hyperlink"/>
            <w:rFonts w:cs="David"/>
            <w:noProof/>
            <w:rtl/>
          </w:rPr>
        </w:r>
        <w:r w:rsidR="001F10D0" w:rsidRPr="001F10D0">
          <w:rPr>
            <w:rStyle w:val="Hyperlink"/>
            <w:rFonts w:cs="David"/>
            <w:noProof/>
            <w:rtl/>
          </w:rPr>
          <w:fldChar w:fldCharType="separate"/>
        </w:r>
        <w:r>
          <w:rPr>
            <w:rFonts w:cs="David"/>
            <w:noProof/>
            <w:webHidden/>
            <w:rtl/>
          </w:rPr>
          <w:t>68</w:t>
        </w:r>
        <w:r w:rsidR="001F10D0" w:rsidRPr="001F10D0">
          <w:rPr>
            <w:rStyle w:val="Hyperlink"/>
            <w:rFonts w:cs="David"/>
            <w:noProof/>
            <w:rtl/>
          </w:rPr>
          <w:fldChar w:fldCharType="end"/>
        </w:r>
      </w:hyperlink>
    </w:p>
    <w:p w14:paraId="62AF8978" w14:textId="49ECED91" w:rsidR="001F10D0" w:rsidRPr="001F10D0" w:rsidRDefault="008F1BC3">
      <w:pPr>
        <w:pStyle w:val="af7"/>
        <w:tabs>
          <w:tab w:val="right" w:leader="dot" w:pos="8639"/>
        </w:tabs>
        <w:rPr>
          <w:rFonts w:asciiTheme="minorHAnsi" w:eastAsiaTheme="minorEastAsia" w:hAnsiTheme="minorHAnsi" w:cs="David"/>
          <w:smallCaps w:val="0"/>
          <w:noProof/>
          <w:sz w:val="22"/>
          <w:szCs w:val="22"/>
          <w:rtl/>
        </w:rPr>
      </w:pPr>
      <w:hyperlink w:anchor="_Toc76988906" w:history="1">
        <w:r w:rsidR="001F10D0" w:rsidRPr="001F10D0">
          <w:rPr>
            <w:rStyle w:val="Hyperlink"/>
            <w:rFonts w:cs="David"/>
            <w:noProof/>
            <w:rtl/>
          </w:rPr>
          <w:t xml:space="preserve">טבלה </w:t>
        </w:r>
        <w:r w:rsidR="001F10D0" w:rsidRPr="001F10D0">
          <w:rPr>
            <w:rStyle w:val="Hyperlink"/>
            <w:rFonts w:ascii="David" w:hAnsi="David" w:cs="David"/>
            <w:noProof/>
            <w:rtl/>
          </w:rPr>
          <w:t>11: זמני הטיפול בתיקים פליליים בערכאת השלום</w:t>
        </w:r>
        <w:r w:rsidR="001F10D0" w:rsidRPr="001F10D0">
          <w:rPr>
            <w:rFonts w:cs="David"/>
            <w:noProof/>
            <w:webHidden/>
            <w:rtl/>
          </w:rPr>
          <w:tab/>
        </w:r>
        <w:r w:rsidR="001F10D0" w:rsidRPr="001F10D0">
          <w:rPr>
            <w:rStyle w:val="Hyperlink"/>
            <w:rFonts w:cs="David"/>
            <w:noProof/>
            <w:rtl/>
          </w:rPr>
          <w:fldChar w:fldCharType="begin"/>
        </w:r>
        <w:r w:rsidR="001F10D0" w:rsidRPr="001F10D0">
          <w:rPr>
            <w:rFonts w:cs="David"/>
            <w:noProof/>
            <w:webHidden/>
            <w:rtl/>
          </w:rPr>
          <w:instrText xml:space="preserve"> </w:instrText>
        </w:r>
        <w:r w:rsidR="001F10D0" w:rsidRPr="001F10D0">
          <w:rPr>
            <w:rFonts w:cs="David"/>
            <w:noProof/>
            <w:webHidden/>
          </w:rPr>
          <w:instrText>PAGEREF</w:instrText>
        </w:r>
        <w:r w:rsidR="001F10D0" w:rsidRPr="001F10D0">
          <w:rPr>
            <w:rFonts w:cs="David"/>
            <w:noProof/>
            <w:webHidden/>
            <w:rtl/>
          </w:rPr>
          <w:instrText xml:space="preserve"> _</w:instrText>
        </w:r>
        <w:r w:rsidR="001F10D0" w:rsidRPr="001F10D0">
          <w:rPr>
            <w:rFonts w:cs="David"/>
            <w:noProof/>
            <w:webHidden/>
          </w:rPr>
          <w:instrText>Toc76988906 \h</w:instrText>
        </w:r>
        <w:r w:rsidR="001F10D0" w:rsidRPr="001F10D0">
          <w:rPr>
            <w:rFonts w:cs="David"/>
            <w:noProof/>
            <w:webHidden/>
            <w:rtl/>
          </w:rPr>
          <w:instrText xml:space="preserve"> </w:instrText>
        </w:r>
        <w:r w:rsidR="001F10D0" w:rsidRPr="001F10D0">
          <w:rPr>
            <w:rStyle w:val="Hyperlink"/>
            <w:rFonts w:cs="David"/>
            <w:noProof/>
            <w:rtl/>
          </w:rPr>
        </w:r>
        <w:r w:rsidR="001F10D0" w:rsidRPr="001F10D0">
          <w:rPr>
            <w:rStyle w:val="Hyperlink"/>
            <w:rFonts w:cs="David"/>
            <w:noProof/>
            <w:rtl/>
          </w:rPr>
          <w:fldChar w:fldCharType="separate"/>
        </w:r>
        <w:r>
          <w:rPr>
            <w:rFonts w:cs="David"/>
            <w:noProof/>
            <w:webHidden/>
            <w:rtl/>
          </w:rPr>
          <w:t>69</w:t>
        </w:r>
        <w:r w:rsidR="001F10D0" w:rsidRPr="001F10D0">
          <w:rPr>
            <w:rStyle w:val="Hyperlink"/>
            <w:rFonts w:cs="David"/>
            <w:noProof/>
            <w:rtl/>
          </w:rPr>
          <w:fldChar w:fldCharType="end"/>
        </w:r>
      </w:hyperlink>
    </w:p>
    <w:p w14:paraId="0339A2D4" w14:textId="62624A38" w:rsidR="001F10D0" w:rsidRPr="001F10D0" w:rsidRDefault="008F1BC3">
      <w:pPr>
        <w:pStyle w:val="af7"/>
        <w:tabs>
          <w:tab w:val="right" w:leader="dot" w:pos="8639"/>
        </w:tabs>
        <w:rPr>
          <w:rFonts w:asciiTheme="minorHAnsi" w:eastAsiaTheme="minorEastAsia" w:hAnsiTheme="minorHAnsi" w:cs="David"/>
          <w:smallCaps w:val="0"/>
          <w:noProof/>
          <w:sz w:val="22"/>
          <w:szCs w:val="22"/>
          <w:rtl/>
        </w:rPr>
      </w:pPr>
      <w:hyperlink w:anchor="_Toc76988907" w:history="1">
        <w:r w:rsidR="001F10D0" w:rsidRPr="001F10D0">
          <w:rPr>
            <w:rStyle w:val="Hyperlink"/>
            <w:rFonts w:cs="David"/>
            <w:noProof/>
            <w:rtl/>
          </w:rPr>
          <w:t xml:space="preserve">טבלה </w:t>
        </w:r>
        <w:r w:rsidR="001F10D0" w:rsidRPr="001F10D0">
          <w:rPr>
            <w:rStyle w:val="Hyperlink"/>
            <w:rFonts w:ascii="David" w:hAnsi="David" w:cs="David"/>
            <w:noProof/>
            <w:rtl/>
          </w:rPr>
          <w:t>12: זמני הטיפול בתיק ת"א בערכאת השלום בחלוקה לסוגי עניין</w:t>
        </w:r>
        <w:r w:rsidR="001F10D0" w:rsidRPr="001F10D0">
          <w:rPr>
            <w:rFonts w:cs="David"/>
            <w:noProof/>
            <w:webHidden/>
            <w:rtl/>
          </w:rPr>
          <w:tab/>
        </w:r>
        <w:r w:rsidR="001F10D0" w:rsidRPr="001F10D0">
          <w:rPr>
            <w:rStyle w:val="Hyperlink"/>
            <w:rFonts w:cs="David"/>
            <w:noProof/>
            <w:rtl/>
          </w:rPr>
          <w:fldChar w:fldCharType="begin"/>
        </w:r>
        <w:r w:rsidR="001F10D0" w:rsidRPr="001F10D0">
          <w:rPr>
            <w:rFonts w:cs="David"/>
            <w:noProof/>
            <w:webHidden/>
            <w:rtl/>
          </w:rPr>
          <w:instrText xml:space="preserve"> </w:instrText>
        </w:r>
        <w:r w:rsidR="001F10D0" w:rsidRPr="001F10D0">
          <w:rPr>
            <w:rFonts w:cs="David"/>
            <w:noProof/>
            <w:webHidden/>
          </w:rPr>
          <w:instrText>PAGEREF</w:instrText>
        </w:r>
        <w:r w:rsidR="001F10D0" w:rsidRPr="001F10D0">
          <w:rPr>
            <w:rFonts w:cs="David"/>
            <w:noProof/>
            <w:webHidden/>
            <w:rtl/>
          </w:rPr>
          <w:instrText xml:space="preserve"> _</w:instrText>
        </w:r>
        <w:r w:rsidR="001F10D0" w:rsidRPr="001F10D0">
          <w:rPr>
            <w:rFonts w:cs="David"/>
            <w:noProof/>
            <w:webHidden/>
          </w:rPr>
          <w:instrText>Toc76988907 \h</w:instrText>
        </w:r>
        <w:r w:rsidR="001F10D0" w:rsidRPr="001F10D0">
          <w:rPr>
            <w:rFonts w:cs="David"/>
            <w:noProof/>
            <w:webHidden/>
            <w:rtl/>
          </w:rPr>
          <w:instrText xml:space="preserve"> </w:instrText>
        </w:r>
        <w:r w:rsidR="001F10D0" w:rsidRPr="001F10D0">
          <w:rPr>
            <w:rStyle w:val="Hyperlink"/>
            <w:rFonts w:cs="David"/>
            <w:noProof/>
            <w:rtl/>
          </w:rPr>
        </w:r>
        <w:r w:rsidR="001F10D0" w:rsidRPr="001F10D0">
          <w:rPr>
            <w:rStyle w:val="Hyperlink"/>
            <w:rFonts w:cs="David"/>
            <w:noProof/>
            <w:rtl/>
          </w:rPr>
          <w:fldChar w:fldCharType="separate"/>
        </w:r>
        <w:r>
          <w:rPr>
            <w:rFonts w:cs="David"/>
            <w:noProof/>
            <w:webHidden/>
            <w:rtl/>
          </w:rPr>
          <w:t>70</w:t>
        </w:r>
        <w:r w:rsidR="001F10D0" w:rsidRPr="001F10D0">
          <w:rPr>
            <w:rStyle w:val="Hyperlink"/>
            <w:rFonts w:cs="David"/>
            <w:noProof/>
            <w:rtl/>
          </w:rPr>
          <w:fldChar w:fldCharType="end"/>
        </w:r>
      </w:hyperlink>
    </w:p>
    <w:p w14:paraId="55285783" w14:textId="1ED61C5C" w:rsidR="001F10D0" w:rsidRPr="001F10D0" w:rsidRDefault="008F1BC3">
      <w:pPr>
        <w:pStyle w:val="af7"/>
        <w:tabs>
          <w:tab w:val="right" w:leader="dot" w:pos="8639"/>
        </w:tabs>
        <w:rPr>
          <w:rFonts w:asciiTheme="minorHAnsi" w:eastAsiaTheme="minorEastAsia" w:hAnsiTheme="minorHAnsi" w:cs="David"/>
          <w:smallCaps w:val="0"/>
          <w:noProof/>
          <w:sz w:val="22"/>
          <w:szCs w:val="22"/>
          <w:rtl/>
        </w:rPr>
      </w:pPr>
      <w:hyperlink w:anchor="_Toc76988908" w:history="1">
        <w:r w:rsidR="001F10D0" w:rsidRPr="001F10D0">
          <w:rPr>
            <w:rStyle w:val="Hyperlink"/>
            <w:rFonts w:cs="David"/>
            <w:noProof/>
            <w:rtl/>
          </w:rPr>
          <w:t xml:space="preserve">טבלה </w:t>
        </w:r>
        <w:r w:rsidR="001F10D0" w:rsidRPr="001F10D0">
          <w:rPr>
            <w:rStyle w:val="Hyperlink"/>
            <w:rFonts w:ascii="David" w:hAnsi="David" w:cs="David"/>
            <w:noProof/>
            <w:rtl/>
          </w:rPr>
          <w:t>13: זמני הטיפול בתיקי עניינים מקומיים בערכאת השלום</w:t>
        </w:r>
        <w:r w:rsidR="001F10D0" w:rsidRPr="001F10D0">
          <w:rPr>
            <w:rFonts w:cs="David"/>
            <w:noProof/>
            <w:webHidden/>
            <w:rtl/>
          </w:rPr>
          <w:tab/>
        </w:r>
        <w:r w:rsidR="001F10D0" w:rsidRPr="001F10D0">
          <w:rPr>
            <w:rStyle w:val="Hyperlink"/>
            <w:rFonts w:cs="David"/>
            <w:noProof/>
            <w:rtl/>
          </w:rPr>
          <w:fldChar w:fldCharType="begin"/>
        </w:r>
        <w:r w:rsidR="001F10D0" w:rsidRPr="001F10D0">
          <w:rPr>
            <w:rFonts w:cs="David"/>
            <w:noProof/>
            <w:webHidden/>
            <w:rtl/>
          </w:rPr>
          <w:instrText xml:space="preserve"> </w:instrText>
        </w:r>
        <w:r w:rsidR="001F10D0" w:rsidRPr="001F10D0">
          <w:rPr>
            <w:rFonts w:cs="David"/>
            <w:noProof/>
            <w:webHidden/>
          </w:rPr>
          <w:instrText>PAGEREF</w:instrText>
        </w:r>
        <w:r w:rsidR="001F10D0" w:rsidRPr="001F10D0">
          <w:rPr>
            <w:rFonts w:cs="David"/>
            <w:noProof/>
            <w:webHidden/>
            <w:rtl/>
          </w:rPr>
          <w:instrText xml:space="preserve"> _</w:instrText>
        </w:r>
        <w:r w:rsidR="001F10D0" w:rsidRPr="001F10D0">
          <w:rPr>
            <w:rFonts w:cs="David"/>
            <w:noProof/>
            <w:webHidden/>
          </w:rPr>
          <w:instrText>Toc76988908 \h</w:instrText>
        </w:r>
        <w:r w:rsidR="001F10D0" w:rsidRPr="001F10D0">
          <w:rPr>
            <w:rFonts w:cs="David"/>
            <w:noProof/>
            <w:webHidden/>
            <w:rtl/>
          </w:rPr>
          <w:instrText xml:space="preserve"> </w:instrText>
        </w:r>
        <w:r w:rsidR="001F10D0" w:rsidRPr="001F10D0">
          <w:rPr>
            <w:rStyle w:val="Hyperlink"/>
            <w:rFonts w:cs="David"/>
            <w:noProof/>
            <w:rtl/>
          </w:rPr>
        </w:r>
        <w:r w:rsidR="001F10D0" w:rsidRPr="001F10D0">
          <w:rPr>
            <w:rStyle w:val="Hyperlink"/>
            <w:rFonts w:cs="David"/>
            <w:noProof/>
            <w:rtl/>
          </w:rPr>
          <w:fldChar w:fldCharType="separate"/>
        </w:r>
        <w:r>
          <w:rPr>
            <w:rFonts w:cs="David"/>
            <w:noProof/>
            <w:webHidden/>
            <w:rtl/>
          </w:rPr>
          <w:t>73</w:t>
        </w:r>
        <w:r w:rsidR="001F10D0" w:rsidRPr="001F10D0">
          <w:rPr>
            <w:rStyle w:val="Hyperlink"/>
            <w:rFonts w:cs="David"/>
            <w:noProof/>
            <w:rtl/>
          </w:rPr>
          <w:fldChar w:fldCharType="end"/>
        </w:r>
      </w:hyperlink>
    </w:p>
    <w:p w14:paraId="07B214C9" w14:textId="12D56500" w:rsidR="001F10D0" w:rsidRPr="001F10D0" w:rsidRDefault="008F1BC3">
      <w:pPr>
        <w:pStyle w:val="af7"/>
        <w:tabs>
          <w:tab w:val="right" w:leader="dot" w:pos="8639"/>
        </w:tabs>
        <w:rPr>
          <w:rFonts w:asciiTheme="minorHAnsi" w:eastAsiaTheme="minorEastAsia" w:hAnsiTheme="minorHAnsi" w:cs="David"/>
          <w:smallCaps w:val="0"/>
          <w:noProof/>
          <w:sz w:val="22"/>
          <w:szCs w:val="22"/>
          <w:rtl/>
        </w:rPr>
      </w:pPr>
      <w:hyperlink w:anchor="_Toc76988909" w:history="1">
        <w:r w:rsidR="001F10D0" w:rsidRPr="001F10D0">
          <w:rPr>
            <w:rStyle w:val="Hyperlink"/>
            <w:rFonts w:cs="David"/>
            <w:noProof/>
            <w:rtl/>
          </w:rPr>
          <w:t xml:space="preserve">טבלה 14: </w:t>
        </w:r>
        <w:r w:rsidR="001F10D0" w:rsidRPr="001F10D0">
          <w:rPr>
            <w:rStyle w:val="Hyperlink"/>
            <w:rFonts w:ascii="David" w:hAnsi="David" w:cs="David"/>
            <w:noProof/>
            <w:rtl/>
          </w:rPr>
          <w:t>זמני הטיפול בתיקי בתי המשפט לתעבורה</w:t>
        </w:r>
        <w:r w:rsidR="001F10D0" w:rsidRPr="001F10D0">
          <w:rPr>
            <w:rFonts w:cs="David"/>
            <w:noProof/>
            <w:webHidden/>
            <w:rtl/>
          </w:rPr>
          <w:tab/>
        </w:r>
        <w:r w:rsidR="001F10D0" w:rsidRPr="001F10D0">
          <w:rPr>
            <w:rStyle w:val="Hyperlink"/>
            <w:rFonts w:cs="David"/>
            <w:noProof/>
            <w:rtl/>
          </w:rPr>
          <w:fldChar w:fldCharType="begin"/>
        </w:r>
        <w:r w:rsidR="001F10D0" w:rsidRPr="001F10D0">
          <w:rPr>
            <w:rFonts w:cs="David"/>
            <w:noProof/>
            <w:webHidden/>
            <w:rtl/>
          </w:rPr>
          <w:instrText xml:space="preserve"> </w:instrText>
        </w:r>
        <w:r w:rsidR="001F10D0" w:rsidRPr="001F10D0">
          <w:rPr>
            <w:rFonts w:cs="David"/>
            <w:noProof/>
            <w:webHidden/>
          </w:rPr>
          <w:instrText>PAGEREF</w:instrText>
        </w:r>
        <w:r w:rsidR="001F10D0" w:rsidRPr="001F10D0">
          <w:rPr>
            <w:rFonts w:cs="David"/>
            <w:noProof/>
            <w:webHidden/>
            <w:rtl/>
          </w:rPr>
          <w:instrText xml:space="preserve"> _</w:instrText>
        </w:r>
        <w:r w:rsidR="001F10D0" w:rsidRPr="001F10D0">
          <w:rPr>
            <w:rFonts w:cs="David"/>
            <w:noProof/>
            <w:webHidden/>
          </w:rPr>
          <w:instrText>Toc76988909 \h</w:instrText>
        </w:r>
        <w:r w:rsidR="001F10D0" w:rsidRPr="001F10D0">
          <w:rPr>
            <w:rFonts w:cs="David"/>
            <w:noProof/>
            <w:webHidden/>
            <w:rtl/>
          </w:rPr>
          <w:instrText xml:space="preserve"> </w:instrText>
        </w:r>
        <w:r w:rsidR="001F10D0" w:rsidRPr="001F10D0">
          <w:rPr>
            <w:rStyle w:val="Hyperlink"/>
            <w:rFonts w:cs="David"/>
            <w:noProof/>
            <w:rtl/>
          </w:rPr>
        </w:r>
        <w:r w:rsidR="001F10D0" w:rsidRPr="001F10D0">
          <w:rPr>
            <w:rStyle w:val="Hyperlink"/>
            <w:rFonts w:cs="David"/>
            <w:noProof/>
            <w:rtl/>
          </w:rPr>
          <w:fldChar w:fldCharType="separate"/>
        </w:r>
        <w:r>
          <w:rPr>
            <w:rFonts w:cs="David"/>
            <w:noProof/>
            <w:webHidden/>
            <w:rtl/>
          </w:rPr>
          <w:t>78</w:t>
        </w:r>
        <w:r w:rsidR="001F10D0" w:rsidRPr="001F10D0">
          <w:rPr>
            <w:rStyle w:val="Hyperlink"/>
            <w:rFonts w:cs="David"/>
            <w:noProof/>
            <w:rtl/>
          </w:rPr>
          <w:fldChar w:fldCharType="end"/>
        </w:r>
      </w:hyperlink>
    </w:p>
    <w:p w14:paraId="55D4257B" w14:textId="02DB5D71" w:rsidR="001F10D0" w:rsidRPr="001F10D0" w:rsidRDefault="008F1BC3">
      <w:pPr>
        <w:pStyle w:val="af7"/>
        <w:tabs>
          <w:tab w:val="right" w:leader="dot" w:pos="8639"/>
        </w:tabs>
        <w:rPr>
          <w:rFonts w:asciiTheme="minorHAnsi" w:eastAsiaTheme="minorEastAsia" w:hAnsiTheme="minorHAnsi" w:cs="David"/>
          <w:smallCaps w:val="0"/>
          <w:noProof/>
          <w:sz w:val="22"/>
          <w:szCs w:val="22"/>
          <w:rtl/>
        </w:rPr>
      </w:pPr>
      <w:hyperlink w:anchor="_Toc76988910" w:history="1">
        <w:r w:rsidR="001F10D0" w:rsidRPr="001F10D0">
          <w:rPr>
            <w:rStyle w:val="Hyperlink"/>
            <w:rFonts w:cs="David"/>
            <w:noProof/>
            <w:rtl/>
          </w:rPr>
          <w:t xml:space="preserve">טבלה 15: </w:t>
        </w:r>
        <w:r w:rsidR="001F10D0" w:rsidRPr="001F10D0">
          <w:rPr>
            <w:rStyle w:val="Hyperlink"/>
            <w:rFonts w:ascii="David" w:hAnsi="David" w:cs="David"/>
            <w:noProof/>
            <w:rtl/>
          </w:rPr>
          <w:t xml:space="preserve">זמני הטיפול בתיקי </w:t>
        </w:r>
        <w:r w:rsidR="001F10D0" w:rsidRPr="001F10D0">
          <w:rPr>
            <w:rStyle w:val="Hyperlink"/>
            <w:rFonts w:cs="David"/>
            <w:noProof/>
            <w:rtl/>
          </w:rPr>
          <w:t>בתי המשפט לענייני משפחה</w:t>
        </w:r>
        <w:r w:rsidR="001F10D0" w:rsidRPr="001F10D0">
          <w:rPr>
            <w:rFonts w:cs="David"/>
            <w:noProof/>
            <w:webHidden/>
            <w:rtl/>
          </w:rPr>
          <w:tab/>
        </w:r>
        <w:r w:rsidR="001F10D0" w:rsidRPr="001F10D0">
          <w:rPr>
            <w:rStyle w:val="Hyperlink"/>
            <w:rFonts w:cs="David"/>
            <w:noProof/>
            <w:rtl/>
          </w:rPr>
          <w:fldChar w:fldCharType="begin"/>
        </w:r>
        <w:r w:rsidR="001F10D0" w:rsidRPr="001F10D0">
          <w:rPr>
            <w:rFonts w:cs="David"/>
            <w:noProof/>
            <w:webHidden/>
            <w:rtl/>
          </w:rPr>
          <w:instrText xml:space="preserve"> </w:instrText>
        </w:r>
        <w:r w:rsidR="001F10D0" w:rsidRPr="001F10D0">
          <w:rPr>
            <w:rFonts w:cs="David"/>
            <w:noProof/>
            <w:webHidden/>
          </w:rPr>
          <w:instrText>PAGEREF</w:instrText>
        </w:r>
        <w:r w:rsidR="001F10D0" w:rsidRPr="001F10D0">
          <w:rPr>
            <w:rFonts w:cs="David"/>
            <w:noProof/>
            <w:webHidden/>
            <w:rtl/>
          </w:rPr>
          <w:instrText xml:space="preserve"> _</w:instrText>
        </w:r>
        <w:r w:rsidR="001F10D0" w:rsidRPr="001F10D0">
          <w:rPr>
            <w:rFonts w:cs="David"/>
            <w:noProof/>
            <w:webHidden/>
          </w:rPr>
          <w:instrText>Toc76988910 \h</w:instrText>
        </w:r>
        <w:r w:rsidR="001F10D0" w:rsidRPr="001F10D0">
          <w:rPr>
            <w:rFonts w:cs="David"/>
            <w:noProof/>
            <w:webHidden/>
            <w:rtl/>
          </w:rPr>
          <w:instrText xml:space="preserve"> </w:instrText>
        </w:r>
        <w:r w:rsidR="001F10D0" w:rsidRPr="001F10D0">
          <w:rPr>
            <w:rStyle w:val="Hyperlink"/>
            <w:rFonts w:cs="David"/>
            <w:noProof/>
            <w:rtl/>
          </w:rPr>
        </w:r>
        <w:r w:rsidR="001F10D0" w:rsidRPr="001F10D0">
          <w:rPr>
            <w:rStyle w:val="Hyperlink"/>
            <w:rFonts w:cs="David"/>
            <w:noProof/>
            <w:rtl/>
          </w:rPr>
          <w:fldChar w:fldCharType="separate"/>
        </w:r>
        <w:r>
          <w:rPr>
            <w:rFonts w:cs="David"/>
            <w:noProof/>
            <w:webHidden/>
            <w:rtl/>
          </w:rPr>
          <w:t>82</w:t>
        </w:r>
        <w:r w:rsidR="001F10D0" w:rsidRPr="001F10D0">
          <w:rPr>
            <w:rStyle w:val="Hyperlink"/>
            <w:rFonts w:cs="David"/>
            <w:noProof/>
            <w:rtl/>
          </w:rPr>
          <w:fldChar w:fldCharType="end"/>
        </w:r>
      </w:hyperlink>
    </w:p>
    <w:p w14:paraId="46AEBDF1" w14:textId="71349BF0" w:rsidR="001F10D0" w:rsidRPr="001F10D0" w:rsidRDefault="008F1BC3">
      <w:pPr>
        <w:pStyle w:val="af7"/>
        <w:tabs>
          <w:tab w:val="right" w:leader="dot" w:pos="8639"/>
        </w:tabs>
        <w:rPr>
          <w:rFonts w:asciiTheme="minorHAnsi" w:eastAsiaTheme="minorEastAsia" w:hAnsiTheme="minorHAnsi" w:cs="David"/>
          <w:smallCaps w:val="0"/>
          <w:noProof/>
          <w:sz w:val="22"/>
          <w:szCs w:val="22"/>
          <w:rtl/>
        </w:rPr>
      </w:pPr>
      <w:hyperlink w:anchor="_Toc76988911" w:history="1">
        <w:r w:rsidR="001F10D0" w:rsidRPr="001F10D0">
          <w:rPr>
            <w:rStyle w:val="Hyperlink"/>
            <w:rFonts w:cs="David"/>
            <w:noProof/>
            <w:rtl/>
          </w:rPr>
          <w:t xml:space="preserve">טבלה 16: </w:t>
        </w:r>
        <w:r w:rsidR="001F10D0" w:rsidRPr="001F10D0">
          <w:rPr>
            <w:rStyle w:val="Hyperlink"/>
            <w:rFonts w:ascii="David" w:hAnsi="David" w:cs="David"/>
            <w:noProof/>
            <w:rtl/>
          </w:rPr>
          <w:t xml:space="preserve">זמני הטיפול בתיקי </w:t>
        </w:r>
        <w:r w:rsidR="001F10D0" w:rsidRPr="001F10D0">
          <w:rPr>
            <w:rStyle w:val="Hyperlink"/>
            <w:rFonts w:cs="David"/>
            <w:noProof/>
            <w:rtl/>
          </w:rPr>
          <w:t>בתי המשפט לנוער</w:t>
        </w:r>
        <w:r w:rsidR="001F10D0" w:rsidRPr="001F10D0">
          <w:rPr>
            <w:rFonts w:cs="David"/>
            <w:noProof/>
            <w:webHidden/>
            <w:rtl/>
          </w:rPr>
          <w:tab/>
        </w:r>
        <w:r w:rsidR="001F10D0" w:rsidRPr="001F10D0">
          <w:rPr>
            <w:rStyle w:val="Hyperlink"/>
            <w:rFonts w:cs="David"/>
            <w:noProof/>
            <w:rtl/>
          </w:rPr>
          <w:fldChar w:fldCharType="begin"/>
        </w:r>
        <w:r w:rsidR="001F10D0" w:rsidRPr="001F10D0">
          <w:rPr>
            <w:rFonts w:cs="David"/>
            <w:noProof/>
            <w:webHidden/>
            <w:rtl/>
          </w:rPr>
          <w:instrText xml:space="preserve"> </w:instrText>
        </w:r>
        <w:r w:rsidR="001F10D0" w:rsidRPr="001F10D0">
          <w:rPr>
            <w:rFonts w:cs="David"/>
            <w:noProof/>
            <w:webHidden/>
          </w:rPr>
          <w:instrText>PAGEREF</w:instrText>
        </w:r>
        <w:r w:rsidR="001F10D0" w:rsidRPr="001F10D0">
          <w:rPr>
            <w:rFonts w:cs="David"/>
            <w:noProof/>
            <w:webHidden/>
            <w:rtl/>
          </w:rPr>
          <w:instrText xml:space="preserve"> _</w:instrText>
        </w:r>
        <w:r w:rsidR="001F10D0" w:rsidRPr="001F10D0">
          <w:rPr>
            <w:rFonts w:cs="David"/>
            <w:noProof/>
            <w:webHidden/>
          </w:rPr>
          <w:instrText>Toc76988911 \h</w:instrText>
        </w:r>
        <w:r w:rsidR="001F10D0" w:rsidRPr="001F10D0">
          <w:rPr>
            <w:rFonts w:cs="David"/>
            <w:noProof/>
            <w:webHidden/>
            <w:rtl/>
          </w:rPr>
          <w:instrText xml:space="preserve"> </w:instrText>
        </w:r>
        <w:r w:rsidR="001F10D0" w:rsidRPr="001F10D0">
          <w:rPr>
            <w:rStyle w:val="Hyperlink"/>
            <w:rFonts w:cs="David"/>
            <w:noProof/>
            <w:rtl/>
          </w:rPr>
        </w:r>
        <w:r w:rsidR="001F10D0" w:rsidRPr="001F10D0">
          <w:rPr>
            <w:rStyle w:val="Hyperlink"/>
            <w:rFonts w:cs="David"/>
            <w:noProof/>
            <w:rtl/>
          </w:rPr>
          <w:fldChar w:fldCharType="separate"/>
        </w:r>
        <w:r>
          <w:rPr>
            <w:rFonts w:cs="David"/>
            <w:noProof/>
            <w:webHidden/>
            <w:rtl/>
          </w:rPr>
          <w:t>85</w:t>
        </w:r>
        <w:r w:rsidR="001F10D0" w:rsidRPr="001F10D0">
          <w:rPr>
            <w:rStyle w:val="Hyperlink"/>
            <w:rFonts w:cs="David"/>
            <w:noProof/>
            <w:rtl/>
          </w:rPr>
          <w:fldChar w:fldCharType="end"/>
        </w:r>
      </w:hyperlink>
    </w:p>
    <w:p w14:paraId="38B9B3B9" w14:textId="1B527E6C" w:rsidR="001F10D0" w:rsidRPr="001F10D0" w:rsidRDefault="008F1BC3">
      <w:pPr>
        <w:pStyle w:val="af7"/>
        <w:tabs>
          <w:tab w:val="right" w:leader="dot" w:pos="8639"/>
        </w:tabs>
        <w:rPr>
          <w:rFonts w:asciiTheme="minorHAnsi" w:eastAsiaTheme="minorEastAsia" w:hAnsiTheme="minorHAnsi" w:cs="David"/>
          <w:smallCaps w:val="0"/>
          <w:noProof/>
          <w:sz w:val="22"/>
          <w:szCs w:val="22"/>
          <w:rtl/>
        </w:rPr>
      </w:pPr>
      <w:hyperlink w:anchor="_Toc76988912" w:history="1">
        <w:r w:rsidR="001F10D0" w:rsidRPr="001F10D0">
          <w:rPr>
            <w:rStyle w:val="Hyperlink"/>
            <w:rFonts w:cs="David"/>
            <w:noProof/>
            <w:rtl/>
          </w:rPr>
          <w:t xml:space="preserve">טבלה 17: </w:t>
        </w:r>
        <w:r w:rsidR="001F10D0" w:rsidRPr="001F10D0">
          <w:rPr>
            <w:rStyle w:val="Hyperlink"/>
            <w:rFonts w:ascii="David" w:hAnsi="David" w:cs="David"/>
            <w:noProof/>
            <w:rtl/>
          </w:rPr>
          <w:t>זמני הטיפול בתיקי כלל הערכאות</w:t>
        </w:r>
        <w:r w:rsidR="001F10D0" w:rsidRPr="001F10D0">
          <w:rPr>
            <w:rFonts w:cs="David"/>
            <w:noProof/>
            <w:webHidden/>
            <w:rtl/>
          </w:rPr>
          <w:tab/>
        </w:r>
        <w:r w:rsidR="001F10D0" w:rsidRPr="001F10D0">
          <w:rPr>
            <w:rStyle w:val="Hyperlink"/>
            <w:rFonts w:cs="David"/>
            <w:noProof/>
            <w:rtl/>
          </w:rPr>
          <w:fldChar w:fldCharType="begin"/>
        </w:r>
        <w:r w:rsidR="001F10D0" w:rsidRPr="001F10D0">
          <w:rPr>
            <w:rFonts w:cs="David"/>
            <w:noProof/>
            <w:webHidden/>
            <w:rtl/>
          </w:rPr>
          <w:instrText xml:space="preserve"> </w:instrText>
        </w:r>
        <w:r w:rsidR="001F10D0" w:rsidRPr="001F10D0">
          <w:rPr>
            <w:rFonts w:cs="David"/>
            <w:noProof/>
            <w:webHidden/>
          </w:rPr>
          <w:instrText>PAGEREF</w:instrText>
        </w:r>
        <w:r w:rsidR="001F10D0" w:rsidRPr="001F10D0">
          <w:rPr>
            <w:rFonts w:cs="David"/>
            <w:noProof/>
            <w:webHidden/>
            <w:rtl/>
          </w:rPr>
          <w:instrText xml:space="preserve"> _</w:instrText>
        </w:r>
        <w:r w:rsidR="001F10D0" w:rsidRPr="001F10D0">
          <w:rPr>
            <w:rFonts w:cs="David"/>
            <w:noProof/>
            <w:webHidden/>
          </w:rPr>
          <w:instrText>Toc76988912 \h</w:instrText>
        </w:r>
        <w:r w:rsidR="001F10D0" w:rsidRPr="001F10D0">
          <w:rPr>
            <w:rFonts w:cs="David"/>
            <w:noProof/>
            <w:webHidden/>
            <w:rtl/>
          </w:rPr>
          <w:instrText xml:space="preserve"> </w:instrText>
        </w:r>
        <w:r w:rsidR="001F10D0" w:rsidRPr="001F10D0">
          <w:rPr>
            <w:rStyle w:val="Hyperlink"/>
            <w:rFonts w:cs="David"/>
            <w:noProof/>
            <w:rtl/>
          </w:rPr>
        </w:r>
        <w:r w:rsidR="001F10D0" w:rsidRPr="001F10D0">
          <w:rPr>
            <w:rStyle w:val="Hyperlink"/>
            <w:rFonts w:cs="David"/>
            <w:noProof/>
            <w:rtl/>
          </w:rPr>
          <w:fldChar w:fldCharType="separate"/>
        </w:r>
        <w:r>
          <w:rPr>
            <w:rFonts w:cs="David"/>
            <w:noProof/>
            <w:webHidden/>
            <w:rtl/>
          </w:rPr>
          <w:t>91</w:t>
        </w:r>
        <w:r w:rsidR="001F10D0" w:rsidRPr="001F10D0">
          <w:rPr>
            <w:rStyle w:val="Hyperlink"/>
            <w:rFonts w:cs="David"/>
            <w:noProof/>
            <w:rtl/>
          </w:rPr>
          <w:fldChar w:fldCharType="end"/>
        </w:r>
      </w:hyperlink>
    </w:p>
    <w:p w14:paraId="47308CA2" w14:textId="1FB1899B" w:rsidR="001F10D0" w:rsidRPr="001F10D0" w:rsidRDefault="008F1BC3">
      <w:pPr>
        <w:pStyle w:val="af7"/>
        <w:tabs>
          <w:tab w:val="right" w:leader="dot" w:pos="8639"/>
        </w:tabs>
        <w:rPr>
          <w:rFonts w:asciiTheme="minorHAnsi" w:eastAsiaTheme="minorEastAsia" w:hAnsiTheme="minorHAnsi" w:cs="David"/>
          <w:smallCaps w:val="0"/>
          <w:noProof/>
          <w:sz w:val="22"/>
          <w:szCs w:val="22"/>
          <w:rtl/>
        </w:rPr>
      </w:pPr>
      <w:hyperlink w:anchor="_Toc76988913" w:history="1">
        <w:r w:rsidR="001F10D0" w:rsidRPr="001F10D0">
          <w:rPr>
            <w:rStyle w:val="Hyperlink"/>
            <w:rFonts w:cs="David"/>
            <w:noProof/>
            <w:rtl/>
          </w:rPr>
          <w:t>טבלה 18</w:t>
        </w:r>
        <w:r w:rsidR="001F10D0" w:rsidRPr="001F10D0">
          <w:rPr>
            <w:rStyle w:val="Hyperlink"/>
            <w:rFonts w:ascii="David" w:hAnsi="David" w:cs="David"/>
            <w:noProof/>
            <w:rtl/>
          </w:rPr>
          <w:t>: נתונים על ממוצע שעות העבודה נטו ביום "רגיל" בחלוקה לערכאות</w:t>
        </w:r>
        <w:r w:rsidR="001F10D0" w:rsidRPr="001F10D0">
          <w:rPr>
            <w:rFonts w:cs="David"/>
            <w:noProof/>
            <w:webHidden/>
            <w:rtl/>
          </w:rPr>
          <w:tab/>
        </w:r>
        <w:r w:rsidR="001F10D0" w:rsidRPr="001F10D0">
          <w:rPr>
            <w:rStyle w:val="Hyperlink"/>
            <w:rFonts w:cs="David"/>
            <w:noProof/>
            <w:rtl/>
          </w:rPr>
          <w:fldChar w:fldCharType="begin"/>
        </w:r>
        <w:r w:rsidR="001F10D0" w:rsidRPr="001F10D0">
          <w:rPr>
            <w:rFonts w:cs="David"/>
            <w:noProof/>
            <w:webHidden/>
            <w:rtl/>
          </w:rPr>
          <w:instrText xml:space="preserve"> </w:instrText>
        </w:r>
        <w:r w:rsidR="001F10D0" w:rsidRPr="001F10D0">
          <w:rPr>
            <w:rFonts w:cs="David"/>
            <w:noProof/>
            <w:webHidden/>
          </w:rPr>
          <w:instrText>PAGEREF</w:instrText>
        </w:r>
        <w:r w:rsidR="001F10D0" w:rsidRPr="001F10D0">
          <w:rPr>
            <w:rFonts w:cs="David"/>
            <w:noProof/>
            <w:webHidden/>
            <w:rtl/>
          </w:rPr>
          <w:instrText xml:space="preserve"> _</w:instrText>
        </w:r>
        <w:r w:rsidR="001F10D0" w:rsidRPr="001F10D0">
          <w:rPr>
            <w:rFonts w:cs="David"/>
            <w:noProof/>
            <w:webHidden/>
          </w:rPr>
          <w:instrText>Toc76988913 \h</w:instrText>
        </w:r>
        <w:r w:rsidR="001F10D0" w:rsidRPr="001F10D0">
          <w:rPr>
            <w:rFonts w:cs="David"/>
            <w:noProof/>
            <w:webHidden/>
            <w:rtl/>
          </w:rPr>
          <w:instrText xml:space="preserve"> </w:instrText>
        </w:r>
        <w:r w:rsidR="001F10D0" w:rsidRPr="001F10D0">
          <w:rPr>
            <w:rStyle w:val="Hyperlink"/>
            <w:rFonts w:cs="David"/>
            <w:noProof/>
            <w:rtl/>
          </w:rPr>
        </w:r>
        <w:r w:rsidR="001F10D0" w:rsidRPr="001F10D0">
          <w:rPr>
            <w:rStyle w:val="Hyperlink"/>
            <w:rFonts w:cs="David"/>
            <w:noProof/>
            <w:rtl/>
          </w:rPr>
          <w:fldChar w:fldCharType="separate"/>
        </w:r>
        <w:r>
          <w:rPr>
            <w:rFonts w:cs="David"/>
            <w:noProof/>
            <w:webHidden/>
            <w:rtl/>
          </w:rPr>
          <w:t>102</w:t>
        </w:r>
        <w:r w:rsidR="001F10D0" w:rsidRPr="001F10D0">
          <w:rPr>
            <w:rStyle w:val="Hyperlink"/>
            <w:rFonts w:cs="David"/>
            <w:noProof/>
            <w:rtl/>
          </w:rPr>
          <w:fldChar w:fldCharType="end"/>
        </w:r>
      </w:hyperlink>
    </w:p>
    <w:p w14:paraId="2C90072F" w14:textId="77CFFC1C" w:rsidR="001F10D0" w:rsidRPr="001F10D0" w:rsidRDefault="008F1BC3">
      <w:pPr>
        <w:pStyle w:val="af7"/>
        <w:tabs>
          <w:tab w:val="right" w:leader="dot" w:pos="8639"/>
        </w:tabs>
        <w:rPr>
          <w:rFonts w:asciiTheme="minorHAnsi" w:eastAsiaTheme="minorEastAsia" w:hAnsiTheme="minorHAnsi" w:cs="David"/>
          <w:smallCaps w:val="0"/>
          <w:noProof/>
          <w:sz w:val="22"/>
          <w:szCs w:val="22"/>
          <w:rtl/>
        </w:rPr>
      </w:pPr>
      <w:hyperlink w:anchor="_Toc76988914" w:history="1">
        <w:r w:rsidR="001F10D0" w:rsidRPr="001F10D0">
          <w:rPr>
            <w:rStyle w:val="Hyperlink"/>
            <w:rFonts w:cs="David"/>
            <w:noProof/>
            <w:rtl/>
          </w:rPr>
          <w:t>טבלה 19</w:t>
        </w:r>
        <w:r w:rsidR="001F10D0" w:rsidRPr="001F10D0">
          <w:rPr>
            <w:rStyle w:val="Hyperlink"/>
            <w:rFonts w:ascii="David" w:hAnsi="David" w:cs="David"/>
            <w:noProof/>
            <w:w w:val="110"/>
            <w:rtl/>
          </w:rPr>
          <w:t>: אורך יום העבודה השיפוטי על</w:t>
        </w:r>
        <w:r w:rsidR="001F10D0" w:rsidRPr="001F10D0">
          <w:rPr>
            <w:rStyle w:val="Hyperlink"/>
            <w:rFonts w:ascii="David" w:hAnsi="David" w:cs="David"/>
            <w:noProof/>
            <w:spacing w:val="-20"/>
            <w:w w:val="110"/>
            <w:rtl/>
          </w:rPr>
          <w:t xml:space="preserve"> </w:t>
        </w:r>
        <w:r w:rsidR="001F10D0" w:rsidRPr="001F10D0">
          <w:rPr>
            <w:rStyle w:val="Hyperlink"/>
            <w:rFonts w:ascii="David" w:hAnsi="David" w:cs="David"/>
            <w:noProof/>
            <w:w w:val="110"/>
            <w:rtl/>
          </w:rPr>
          <w:t>פי</w:t>
        </w:r>
        <w:r w:rsidR="001F10D0" w:rsidRPr="001F10D0">
          <w:rPr>
            <w:rStyle w:val="Hyperlink"/>
            <w:rFonts w:ascii="David" w:hAnsi="David" w:cs="David"/>
            <w:noProof/>
            <w:spacing w:val="-23"/>
            <w:w w:val="110"/>
            <w:rtl/>
          </w:rPr>
          <w:t xml:space="preserve"> </w:t>
        </w:r>
        <w:r w:rsidR="001F10D0" w:rsidRPr="001F10D0">
          <w:rPr>
            <w:rStyle w:val="Hyperlink"/>
            <w:rFonts w:ascii="David" w:hAnsi="David" w:cs="David"/>
            <w:noProof/>
            <w:w w:val="110"/>
            <w:rtl/>
          </w:rPr>
          <w:t>מדדים</w:t>
        </w:r>
        <w:r w:rsidR="001F10D0" w:rsidRPr="001F10D0">
          <w:rPr>
            <w:rStyle w:val="Hyperlink"/>
            <w:rFonts w:ascii="David" w:hAnsi="David" w:cs="David"/>
            <w:noProof/>
            <w:spacing w:val="-20"/>
            <w:w w:val="110"/>
            <w:rtl/>
          </w:rPr>
          <w:t xml:space="preserve"> </w:t>
        </w:r>
        <w:r w:rsidR="001F10D0" w:rsidRPr="001F10D0">
          <w:rPr>
            <w:rStyle w:val="Hyperlink"/>
            <w:rFonts w:ascii="David" w:hAnsi="David" w:cs="David"/>
            <w:noProof/>
            <w:w w:val="110"/>
            <w:rtl/>
          </w:rPr>
          <w:t>זרים</w:t>
        </w:r>
        <w:r w:rsidR="001F10D0" w:rsidRPr="001F10D0">
          <w:rPr>
            <w:rFonts w:cs="David"/>
            <w:noProof/>
            <w:webHidden/>
            <w:rtl/>
          </w:rPr>
          <w:tab/>
        </w:r>
        <w:r w:rsidR="001F10D0" w:rsidRPr="001F10D0">
          <w:rPr>
            <w:rStyle w:val="Hyperlink"/>
            <w:rFonts w:cs="David"/>
            <w:noProof/>
            <w:rtl/>
          </w:rPr>
          <w:fldChar w:fldCharType="begin"/>
        </w:r>
        <w:r w:rsidR="001F10D0" w:rsidRPr="001F10D0">
          <w:rPr>
            <w:rFonts w:cs="David"/>
            <w:noProof/>
            <w:webHidden/>
            <w:rtl/>
          </w:rPr>
          <w:instrText xml:space="preserve"> </w:instrText>
        </w:r>
        <w:r w:rsidR="001F10D0" w:rsidRPr="001F10D0">
          <w:rPr>
            <w:rFonts w:cs="David"/>
            <w:noProof/>
            <w:webHidden/>
          </w:rPr>
          <w:instrText>PAGEREF</w:instrText>
        </w:r>
        <w:r w:rsidR="001F10D0" w:rsidRPr="001F10D0">
          <w:rPr>
            <w:rFonts w:cs="David"/>
            <w:noProof/>
            <w:webHidden/>
            <w:rtl/>
          </w:rPr>
          <w:instrText xml:space="preserve"> _</w:instrText>
        </w:r>
        <w:r w:rsidR="001F10D0" w:rsidRPr="001F10D0">
          <w:rPr>
            <w:rFonts w:cs="David"/>
            <w:noProof/>
            <w:webHidden/>
          </w:rPr>
          <w:instrText>Toc76988914 \h</w:instrText>
        </w:r>
        <w:r w:rsidR="001F10D0" w:rsidRPr="001F10D0">
          <w:rPr>
            <w:rFonts w:cs="David"/>
            <w:noProof/>
            <w:webHidden/>
            <w:rtl/>
          </w:rPr>
          <w:instrText xml:space="preserve"> </w:instrText>
        </w:r>
        <w:r w:rsidR="001F10D0" w:rsidRPr="001F10D0">
          <w:rPr>
            <w:rStyle w:val="Hyperlink"/>
            <w:rFonts w:cs="David"/>
            <w:noProof/>
            <w:rtl/>
          </w:rPr>
        </w:r>
        <w:r w:rsidR="001F10D0" w:rsidRPr="001F10D0">
          <w:rPr>
            <w:rStyle w:val="Hyperlink"/>
            <w:rFonts w:cs="David"/>
            <w:noProof/>
            <w:rtl/>
          </w:rPr>
          <w:fldChar w:fldCharType="separate"/>
        </w:r>
        <w:r>
          <w:rPr>
            <w:rFonts w:cs="David"/>
            <w:noProof/>
            <w:webHidden/>
            <w:rtl/>
          </w:rPr>
          <w:t>102</w:t>
        </w:r>
        <w:r w:rsidR="001F10D0" w:rsidRPr="001F10D0">
          <w:rPr>
            <w:rStyle w:val="Hyperlink"/>
            <w:rFonts w:cs="David"/>
            <w:noProof/>
            <w:rtl/>
          </w:rPr>
          <w:fldChar w:fldCharType="end"/>
        </w:r>
      </w:hyperlink>
    </w:p>
    <w:p w14:paraId="2C7051DE" w14:textId="221C2F3E" w:rsidR="001F10D0" w:rsidRPr="001F10D0" w:rsidRDefault="008F1BC3">
      <w:pPr>
        <w:pStyle w:val="af7"/>
        <w:tabs>
          <w:tab w:val="right" w:leader="dot" w:pos="8639"/>
        </w:tabs>
        <w:rPr>
          <w:rFonts w:asciiTheme="minorHAnsi" w:eastAsiaTheme="minorEastAsia" w:hAnsiTheme="minorHAnsi" w:cs="David"/>
          <w:smallCaps w:val="0"/>
          <w:noProof/>
          <w:sz w:val="22"/>
          <w:szCs w:val="22"/>
          <w:rtl/>
        </w:rPr>
      </w:pPr>
      <w:hyperlink w:anchor="_Toc76988915" w:history="1">
        <w:r w:rsidR="001F10D0" w:rsidRPr="001F10D0">
          <w:rPr>
            <w:rStyle w:val="Hyperlink"/>
            <w:rFonts w:cs="David"/>
            <w:noProof/>
            <w:rtl/>
          </w:rPr>
          <w:t>טבלה 20: שעות עבודה ממוצעות ביום רגיל לשופט אזרחי או פלילי</w:t>
        </w:r>
        <w:r w:rsidR="001F10D0" w:rsidRPr="001F10D0">
          <w:rPr>
            <w:rFonts w:cs="David"/>
            <w:noProof/>
            <w:webHidden/>
            <w:rtl/>
          </w:rPr>
          <w:tab/>
        </w:r>
        <w:r w:rsidR="001F10D0" w:rsidRPr="001F10D0">
          <w:rPr>
            <w:rStyle w:val="Hyperlink"/>
            <w:rFonts w:cs="David"/>
            <w:noProof/>
            <w:rtl/>
          </w:rPr>
          <w:fldChar w:fldCharType="begin"/>
        </w:r>
        <w:r w:rsidR="001F10D0" w:rsidRPr="001F10D0">
          <w:rPr>
            <w:rFonts w:cs="David"/>
            <w:noProof/>
            <w:webHidden/>
            <w:rtl/>
          </w:rPr>
          <w:instrText xml:space="preserve"> </w:instrText>
        </w:r>
        <w:r w:rsidR="001F10D0" w:rsidRPr="001F10D0">
          <w:rPr>
            <w:rFonts w:cs="David"/>
            <w:noProof/>
            <w:webHidden/>
          </w:rPr>
          <w:instrText>PAGEREF</w:instrText>
        </w:r>
        <w:r w:rsidR="001F10D0" w:rsidRPr="001F10D0">
          <w:rPr>
            <w:rFonts w:cs="David"/>
            <w:noProof/>
            <w:webHidden/>
            <w:rtl/>
          </w:rPr>
          <w:instrText xml:space="preserve"> _</w:instrText>
        </w:r>
        <w:r w:rsidR="001F10D0" w:rsidRPr="001F10D0">
          <w:rPr>
            <w:rFonts w:cs="David"/>
            <w:noProof/>
            <w:webHidden/>
          </w:rPr>
          <w:instrText>Toc76988915 \h</w:instrText>
        </w:r>
        <w:r w:rsidR="001F10D0" w:rsidRPr="001F10D0">
          <w:rPr>
            <w:rFonts w:cs="David"/>
            <w:noProof/>
            <w:webHidden/>
            <w:rtl/>
          </w:rPr>
          <w:instrText xml:space="preserve"> </w:instrText>
        </w:r>
        <w:r w:rsidR="001F10D0" w:rsidRPr="001F10D0">
          <w:rPr>
            <w:rStyle w:val="Hyperlink"/>
            <w:rFonts w:cs="David"/>
            <w:noProof/>
            <w:rtl/>
          </w:rPr>
        </w:r>
        <w:r w:rsidR="001F10D0" w:rsidRPr="001F10D0">
          <w:rPr>
            <w:rStyle w:val="Hyperlink"/>
            <w:rFonts w:cs="David"/>
            <w:noProof/>
            <w:rtl/>
          </w:rPr>
          <w:fldChar w:fldCharType="separate"/>
        </w:r>
        <w:r>
          <w:rPr>
            <w:rFonts w:cs="David"/>
            <w:noProof/>
            <w:webHidden/>
            <w:rtl/>
          </w:rPr>
          <w:t>103</w:t>
        </w:r>
        <w:r w:rsidR="001F10D0" w:rsidRPr="001F10D0">
          <w:rPr>
            <w:rStyle w:val="Hyperlink"/>
            <w:rFonts w:cs="David"/>
            <w:noProof/>
            <w:rtl/>
          </w:rPr>
          <w:fldChar w:fldCharType="end"/>
        </w:r>
      </w:hyperlink>
    </w:p>
    <w:p w14:paraId="6C018989" w14:textId="61B0FAB6" w:rsidR="001F10D0" w:rsidRPr="001F10D0" w:rsidRDefault="008F1BC3">
      <w:pPr>
        <w:pStyle w:val="af7"/>
        <w:tabs>
          <w:tab w:val="right" w:leader="dot" w:pos="8639"/>
        </w:tabs>
        <w:rPr>
          <w:rFonts w:asciiTheme="minorHAnsi" w:eastAsiaTheme="minorEastAsia" w:hAnsiTheme="minorHAnsi" w:cs="David"/>
          <w:smallCaps w:val="0"/>
          <w:noProof/>
          <w:sz w:val="22"/>
          <w:szCs w:val="22"/>
          <w:rtl/>
        </w:rPr>
      </w:pPr>
      <w:hyperlink w:anchor="_Toc76988916" w:history="1">
        <w:r w:rsidR="001F10D0" w:rsidRPr="001F10D0">
          <w:rPr>
            <w:rStyle w:val="Hyperlink"/>
            <w:rFonts w:cs="David"/>
            <w:noProof/>
            <w:rtl/>
          </w:rPr>
          <w:t>טבלה 21: שעות עבודה ממוצעות ביום שישי לשופט אזרחי או פלילי</w:t>
        </w:r>
        <w:r w:rsidR="001F10D0" w:rsidRPr="001F10D0">
          <w:rPr>
            <w:rFonts w:cs="David"/>
            <w:noProof/>
            <w:webHidden/>
            <w:rtl/>
          </w:rPr>
          <w:tab/>
        </w:r>
        <w:r w:rsidR="001F10D0" w:rsidRPr="001F10D0">
          <w:rPr>
            <w:rStyle w:val="Hyperlink"/>
            <w:rFonts w:cs="David"/>
            <w:noProof/>
            <w:rtl/>
          </w:rPr>
          <w:fldChar w:fldCharType="begin"/>
        </w:r>
        <w:r w:rsidR="001F10D0" w:rsidRPr="001F10D0">
          <w:rPr>
            <w:rFonts w:cs="David"/>
            <w:noProof/>
            <w:webHidden/>
            <w:rtl/>
          </w:rPr>
          <w:instrText xml:space="preserve"> </w:instrText>
        </w:r>
        <w:r w:rsidR="001F10D0" w:rsidRPr="001F10D0">
          <w:rPr>
            <w:rFonts w:cs="David"/>
            <w:noProof/>
            <w:webHidden/>
          </w:rPr>
          <w:instrText>PAGEREF</w:instrText>
        </w:r>
        <w:r w:rsidR="001F10D0" w:rsidRPr="001F10D0">
          <w:rPr>
            <w:rFonts w:cs="David"/>
            <w:noProof/>
            <w:webHidden/>
            <w:rtl/>
          </w:rPr>
          <w:instrText xml:space="preserve"> _</w:instrText>
        </w:r>
        <w:r w:rsidR="001F10D0" w:rsidRPr="001F10D0">
          <w:rPr>
            <w:rFonts w:cs="David"/>
            <w:noProof/>
            <w:webHidden/>
          </w:rPr>
          <w:instrText>Toc76988916 \h</w:instrText>
        </w:r>
        <w:r w:rsidR="001F10D0" w:rsidRPr="001F10D0">
          <w:rPr>
            <w:rFonts w:cs="David"/>
            <w:noProof/>
            <w:webHidden/>
            <w:rtl/>
          </w:rPr>
          <w:instrText xml:space="preserve"> </w:instrText>
        </w:r>
        <w:r w:rsidR="001F10D0" w:rsidRPr="001F10D0">
          <w:rPr>
            <w:rStyle w:val="Hyperlink"/>
            <w:rFonts w:cs="David"/>
            <w:noProof/>
            <w:rtl/>
          </w:rPr>
        </w:r>
        <w:r w:rsidR="001F10D0" w:rsidRPr="001F10D0">
          <w:rPr>
            <w:rStyle w:val="Hyperlink"/>
            <w:rFonts w:cs="David"/>
            <w:noProof/>
            <w:rtl/>
          </w:rPr>
          <w:fldChar w:fldCharType="separate"/>
        </w:r>
        <w:r>
          <w:rPr>
            <w:rFonts w:cs="David"/>
            <w:noProof/>
            <w:webHidden/>
            <w:rtl/>
          </w:rPr>
          <w:t>103</w:t>
        </w:r>
        <w:r w:rsidR="001F10D0" w:rsidRPr="001F10D0">
          <w:rPr>
            <w:rStyle w:val="Hyperlink"/>
            <w:rFonts w:cs="David"/>
            <w:noProof/>
            <w:rtl/>
          </w:rPr>
          <w:fldChar w:fldCharType="end"/>
        </w:r>
      </w:hyperlink>
    </w:p>
    <w:p w14:paraId="12064F73" w14:textId="4F960932" w:rsidR="001F10D0" w:rsidRPr="001F10D0" w:rsidRDefault="008F1BC3">
      <w:pPr>
        <w:pStyle w:val="af7"/>
        <w:tabs>
          <w:tab w:val="right" w:leader="dot" w:pos="8639"/>
        </w:tabs>
        <w:rPr>
          <w:rFonts w:asciiTheme="minorHAnsi" w:eastAsiaTheme="minorEastAsia" w:hAnsiTheme="minorHAnsi" w:cs="David"/>
          <w:smallCaps w:val="0"/>
          <w:noProof/>
          <w:sz w:val="22"/>
          <w:szCs w:val="22"/>
          <w:rtl/>
        </w:rPr>
      </w:pPr>
      <w:hyperlink w:anchor="_Toc76988917" w:history="1">
        <w:r w:rsidR="001F10D0" w:rsidRPr="001F10D0">
          <w:rPr>
            <w:rStyle w:val="Hyperlink"/>
            <w:rFonts w:cs="David"/>
            <w:noProof/>
            <w:rtl/>
          </w:rPr>
          <w:t>טבלה 22</w:t>
        </w:r>
        <w:r w:rsidR="001F10D0" w:rsidRPr="001F10D0">
          <w:rPr>
            <w:rStyle w:val="Hyperlink"/>
            <w:rFonts w:ascii="David" w:hAnsi="David" w:cs="David"/>
            <w:noProof/>
            <w:rtl/>
          </w:rPr>
          <w:t>: נתונים על ממוצע שעות העבודה נטו ביום "מיוחד" בחלוקה לערכאות</w:t>
        </w:r>
        <w:r w:rsidR="001F10D0" w:rsidRPr="001F10D0">
          <w:rPr>
            <w:rFonts w:cs="David"/>
            <w:noProof/>
            <w:webHidden/>
            <w:rtl/>
          </w:rPr>
          <w:tab/>
        </w:r>
        <w:r w:rsidR="001F10D0" w:rsidRPr="001F10D0">
          <w:rPr>
            <w:rStyle w:val="Hyperlink"/>
            <w:rFonts w:cs="David"/>
            <w:noProof/>
            <w:rtl/>
          </w:rPr>
          <w:fldChar w:fldCharType="begin"/>
        </w:r>
        <w:r w:rsidR="001F10D0" w:rsidRPr="001F10D0">
          <w:rPr>
            <w:rFonts w:cs="David"/>
            <w:noProof/>
            <w:webHidden/>
            <w:rtl/>
          </w:rPr>
          <w:instrText xml:space="preserve"> </w:instrText>
        </w:r>
        <w:r w:rsidR="001F10D0" w:rsidRPr="001F10D0">
          <w:rPr>
            <w:rFonts w:cs="David"/>
            <w:noProof/>
            <w:webHidden/>
          </w:rPr>
          <w:instrText>PAGEREF</w:instrText>
        </w:r>
        <w:r w:rsidR="001F10D0" w:rsidRPr="001F10D0">
          <w:rPr>
            <w:rFonts w:cs="David"/>
            <w:noProof/>
            <w:webHidden/>
            <w:rtl/>
          </w:rPr>
          <w:instrText xml:space="preserve"> _</w:instrText>
        </w:r>
        <w:r w:rsidR="001F10D0" w:rsidRPr="001F10D0">
          <w:rPr>
            <w:rFonts w:cs="David"/>
            <w:noProof/>
            <w:webHidden/>
          </w:rPr>
          <w:instrText>Toc76988917 \h</w:instrText>
        </w:r>
        <w:r w:rsidR="001F10D0" w:rsidRPr="001F10D0">
          <w:rPr>
            <w:rFonts w:cs="David"/>
            <w:noProof/>
            <w:webHidden/>
            <w:rtl/>
          </w:rPr>
          <w:instrText xml:space="preserve"> </w:instrText>
        </w:r>
        <w:r w:rsidR="001F10D0" w:rsidRPr="001F10D0">
          <w:rPr>
            <w:rStyle w:val="Hyperlink"/>
            <w:rFonts w:cs="David"/>
            <w:noProof/>
            <w:rtl/>
          </w:rPr>
        </w:r>
        <w:r w:rsidR="001F10D0" w:rsidRPr="001F10D0">
          <w:rPr>
            <w:rStyle w:val="Hyperlink"/>
            <w:rFonts w:cs="David"/>
            <w:noProof/>
            <w:rtl/>
          </w:rPr>
          <w:fldChar w:fldCharType="separate"/>
        </w:r>
        <w:r>
          <w:rPr>
            <w:rFonts w:cs="David"/>
            <w:noProof/>
            <w:webHidden/>
            <w:rtl/>
          </w:rPr>
          <w:t>104</w:t>
        </w:r>
        <w:r w:rsidR="001F10D0" w:rsidRPr="001F10D0">
          <w:rPr>
            <w:rStyle w:val="Hyperlink"/>
            <w:rFonts w:cs="David"/>
            <w:noProof/>
            <w:rtl/>
          </w:rPr>
          <w:fldChar w:fldCharType="end"/>
        </w:r>
      </w:hyperlink>
    </w:p>
    <w:p w14:paraId="172299DD" w14:textId="6E188ADD" w:rsidR="001F10D0" w:rsidRPr="001F10D0" w:rsidRDefault="008F1BC3">
      <w:pPr>
        <w:pStyle w:val="af7"/>
        <w:tabs>
          <w:tab w:val="right" w:leader="dot" w:pos="8639"/>
        </w:tabs>
        <w:rPr>
          <w:rFonts w:asciiTheme="minorHAnsi" w:eastAsiaTheme="minorEastAsia" w:hAnsiTheme="minorHAnsi" w:cs="David"/>
          <w:smallCaps w:val="0"/>
          <w:noProof/>
          <w:sz w:val="22"/>
          <w:szCs w:val="22"/>
          <w:rtl/>
        </w:rPr>
      </w:pPr>
      <w:hyperlink w:anchor="_Toc76988918" w:history="1">
        <w:r w:rsidR="001F10D0" w:rsidRPr="001F10D0">
          <w:rPr>
            <w:rStyle w:val="Hyperlink"/>
            <w:rFonts w:cs="David"/>
            <w:noProof/>
            <w:rtl/>
          </w:rPr>
          <w:t>טבלה 23: שעות עבודה ממוצעות ביום מיוחד לשופט אזרחי או פלילי</w:t>
        </w:r>
        <w:r w:rsidR="001F10D0" w:rsidRPr="001F10D0">
          <w:rPr>
            <w:rFonts w:cs="David"/>
            <w:noProof/>
            <w:webHidden/>
            <w:rtl/>
          </w:rPr>
          <w:tab/>
        </w:r>
        <w:r w:rsidR="001F10D0" w:rsidRPr="001F10D0">
          <w:rPr>
            <w:rStyle w:val="Hyperlink"/>
            <w:rFonts w:cs="David"/>
            <w:noProof/>
            <w:rtl/>
          </w:rPr>
          <w:fldChar w:fldCharType="begin"/>
        </w:r>
        <w:r w:rsidR="001F10D0" w:rsidRPr="001F10D0">
          <w:rPr>
            <w:rFonts w:cs="David"/>
            <w:noProof/>
            <w:webHidden/>
            <w:rtl/>
          </w:rPr>
          <w:instrText xml:space="preserve"> </w:instrText>
        </w:r>
        <w:r w:rsidR="001F10D0" w:rsidRPr="001F10D0">
          <w:rPr>
            <w:rFonts w:cs="David"/>
            <w:noProof/>
            <w:webHidden/>
          </w:rPr>
          <w:instrText>PAGEREF</w:instrText>
        </w:r>
        <w:r w:rsidR="001F10D0" w:rsidRPr="001F10D0">
          <w:rPr>
            <w:rFonts w:cs="David"/>
            <w:noProof/>
            <w:webHidden/>
            <w:rtl/>
          </w:rPr>
          <w:instrText xml:space="preserve"> _</w:instrText>
        </w:r>
        <w:r w:rsidR="001F10D0" w:rsidRPr="001F10D0">
          <w:rPr>
            <w:rFonts w:cs="David"/>
            <w:noProof/>
            <w:webHidden/>
          </w:rPr>
          <w:instrText>Toc76988918 \h</w:instrText>
        </w:r>
        <w:r w:rsidR="001F10D0" w:rsidRPr="001F10D0">
          <w:rPr>
            <w:rFonts w:cs="David"/>
            <w:noProof/>
            <w:webHidden/>
            <w:rtl/>
          </w:rPr>
          <w:instrText xml:space="preserve"> </w:instrText>
        </w:r>
        <w:r w:rsidR="001F10D0" w:rsidRPr="001F10D0">
          <w:rPr>
            <w:rStyle w:val="Hyperlink"/>
            <w:rFonts w:cs="David"/>
            <w:noProof/>
            <w:rtl/>
          </w:rPr>
        </w:r>
        <w:r w:rsidR="001F10D0" w:rsidRPr="001F10D0">
          <w:rPr>
            <w:rStyle w:val="Hyperlink"/>
            <w:rFonts w:cs="David"/>
            <w:noProof/>
            <w:rtl/>
          </w:rPr>
          <w:fldChar w:fldCharType="separate"/>
        </w:r>
        <w:r>
          <w:rPr>
            <w:rFonts w:cs="David"/>
            <w:noProof/>
            <w:webHidden/>
            <w:rtl/>
          </w:rPr>
          <w:t>104</w:t>
        </w:r>
        <w:r w:rsidR="001F10D0" w:rsidRPr="001F10D0">
          <w:rPr>
            <w:rStyle w:val="Hyperlink"/>
            <w:rFonts w:cs="David"/>
            <w:noProof/>
            <w:rtl/>
          </w:rPr>
          <w:fldChar w:fldCharType="end"/>
        </w:r>
      </w:hyperlink>
    </w:p>
    <w:p w14:paraId="257577C6" w14:textId="539B4549" w:rsidR="001F10D0" w:rsidRPr="001F10D0" w:rsidRDefault="008F1BC3">
      <w:pPr>
        <w:pStyle w:val="af7"/>
        <w:tabs>
          <w:tab w:val="right" w:leader="dot" w:pos="8639"/>
        </w:tabs>
        <w:rPr>
          <w:rFonts w:asciiTheme="minorHAnsi" w:eastAsiaTheme="minorEastAsia" w:hAnsiTheme="minorHAnsi" w:cs="David"/>
          <w:smallCaps w:val="0"/>
          <w:noProof/>
          <w:sz w:val="22"/>
          <w:szCs w:val="22"/>
          <w:rtl/>
        </w:rPr>
      </w:pPr>
      <w:hyperlink w:anchor="_Toc76988919" w:history="1">
        <w:r w:rsidR="001F10D0" w:rsidRPr="001F10D0">
          <w:rPr>
            <w:rStyle w:val="Hyperlink"/>
            <w:rFonts w:cs="David"/>
            <w:noProof/>
            <w:rtl/>
          </w:rPr>
          <w:t>טבלה 24</w:t>
        </w:r>
        <w:r w:rsidR="001F10D0" w:rsidRPr="001F10D0">
          <w:rPr>
            <w:rStyle w:val="Hyperlink"/>
            <w:rFonts w:ascii="David" w:hAnsi="David" w:cs="David"/>
            <w:noProof/>
            <w:rtl/>
          </w:rPr>
          <w:t>: משך יום העבודה השיפוטי ושעות העבודה המוקדשות לעבודה שיפוטית הקשורה בתיקים בחלוקה לערכאות</w:t>
        </w:r>
        <w:r w:rsidR="001F10D0" w:rsidRPr="001F10D0">
          <w:rPr>
            <w:rFonts w:cs="David"/>
            <w:noProof/>
            <w:webHidden/>
            <w:rtl/>
          </w:rPr>
          <w:tab/>
        </w:r>
        <w:r w:rsidR="001F10D0" w:rsidRPr="001F10D0">
          <w:rPr>
            <w:rStyle w:val="Hyperlink"/>
            <w:rFonts w:cs="David"/>
            <w:noProof/>
            <w:rtl/>
          </w:rPr>
          <w:fldChar w:fldCharType="begin"/>
        </w:r>
        <w:r w:rsidR="001F10D0" w:rsidRPr="001F10D0">
          <w:rPr>
            <w:rFonts w:cs="David"/>
            <w:noProof/>
            <w:webHidden/>
            <w:rtl/>
          </w:rPr>
          <w:instrText xml:space="preserve"> </w:instrText>
        </w:r>
        <w:r w:rsidR="001F10D0" w:rsidRPr="001F10D0">
          <w:rPr>
            <w:rFonts w:cs="David"/>
            <w:noProof/>
            <w:webHidden/>
          </w:rPr>
          <w:instrText>PAGEREF</w:instrText>
        </w:r>
        <w:r w:rsidR="001F10D0" w:rsidRPr="001F10D0">
          <w:rPr>
            <w:rFonts w:cs="David"/>
            <w:noProof/>
            <w:webHidden/>
            <w:rtl/>
          </w:rPr>
          <w:instrText xml:space="preserve"> _</w:instrText>
        </w:r>
        <w:r w:rsidR="001F10D0" w:rsidRPr="001F10D0">
          <w:rPr>
            <w:rFonts w:cs="David"/>
            <w:noProof/>
            <w:webHidden/>
          </w:rPr>
          <w:instrText>Toc76988919 \h</w:instrText>
        </w:r>
        <w:r w:rsidR="001F10D0" w:rsidRPr="001F10D0">
          <w:rPr>
            <w:rFonts w:cs="David"/>
            <w:noProof/>
            <w:webHidden/>
            <w:rtl/>
          </w:rPr>
          <w:instrText xml:space="preserve"> </w:instrText>
        </w:r>
        <w:r w:rsidR="001F10D0" w:rsidRPr="001F10D0">
          <w:rPr>
            <w:rStyle w:val="Hyperlink"/>
            <w:rFonts w:cs="David"/>
            <w:noProof/>
            <w:rtl/>
          </w:rPr>
        </w:r>
        <w:r w:rsidR="001F10D0" w:rsidRPr="001F10D0">
          <w:rPr>
            <w:rStyle w:val="Hyperlink"/>
            <w:rFonts w:cs="David"/>
            <w:noProof/>
            <w:rtl/>
          </w:rPr>
          <w:fldChar w:fldCharType="separate"/>
        </w:r>
        <w:r>
          <w:rPr>
            <w:rFonts w:cs="David"/>
            <w:noProof/>
            <w:webHidden/>
            <w:rtl/>
          </w:rPr>
          <w:t>107</w:t>
        </w:r>
        <w:r w:rsidR="001F10D0" w:rsidRPr="001F10D0">
          <w:rPr>
            <w:rStyle w:val="Hyperlink"/>
            <w:rFonts w:cs="David"/>
            <w:noProof/>
            <w:rtl/>
          </w:rPr>
          <w:fldChar w:fldCharType="end"/>
        </w:r>
      </w:hyperlink>
    </w:p>
    <w:p w14:paraId="26809B28" w14:textId="3B6197EF" w:rsidR="001F10D0" w:rsidRPr="001F10D0" w:rsidRDefault="008F1BC3">
      <w:pPr>
        <w:pStyle w:val="af7"/>
        <w:tabs>
          <w:tab w:val="right" w:leader="dot" w:pos="8639"/>
        </w:tabs>
        <w:rPr>
          <w:rFonts w:asciiTheme="minorHAnsi" w:eastAsiaTheme="minorEastAsia" w:hAnsiTheme="minorHAnsi" w:cs="David"/>
          <w:smallCaps w:val="0"/>
          <w:noProof/>
          <w:sz w:val="22"/>
          <w:szCs w:val="22"/>
          <w:rtl/>
        </w:rPr>
      </w:pPr>
      <w:hyperlink w:anchor="_Toc76988920" w:history="1">
        <w:r w:rsidR="001F10D0" w:rsidRPr="001F10D0">
          <w:rPr>
            <w:rStyle w:val="Hyperlink"/>
            <w:rFonts w:cs="David"/>
            <w:noProof/>
            <w:rtl/>
          </w:rPr>
          <w:t>טבלה 25</w:t>
        </w:r>
        <w:r w:rsidR="001F10D0" w:rsidRPr="001F10D0">
          <w:rPr>
            <w:rStyle w:val="Hyperlink"/>
            <w:rFonts w:ascii="David" w:hAnsi="David" w:cs="David"/>
            <w:noProof/>
            <w:rtl/>
          </w:rPr>
          <w:t>: משך השעות המוקדשות לעבודה שיפוטית הקשורה בתיקים במדינות שונות</w:t>
        </w:r>
        <w:r w:rsidR="001F10D0" w:rsidRPr="001F10D0">
          <w:rPr>
            <w:rFonts w:cs="David"/>
            <w:noProof/>
            <w:webHidden/>
            <w:rtl/>
          </w:rPr>
          <w:tab/>
        </w:r>
        <w:r w:rsidR="001F10D0" w:rsidRPr="001F10D0">
          <w:rPr>
            <w:rStyle w:val="Hyperlink"/>
            <w:rFonts w:cs="David"/>
            <w:noProof/>
            <w:rtl/>
          </w:rPr>
          <w:fldChar w:fldCharType="begin"/>
        </w:r>
        <w:r w:rsidR="001F10D0" w:rsidRPr="001F10D0">
          <w:rPr>
            <w:rFonts w:cs="David"/>
            <w:noProof/>
            <w:webHidden/>
            <w:rtl/>
          </w:rPr>
          <w:instrText xml:space="preserve"> </w:instrText>
        </w:r>
        <w:r w:rsidR="001F10D0" w:rsidRPr="001F10D0">
          <w:rPr>
            <w:rFonts w:cs="David"/>
            <w:noProof/>
            <w:webHidden/>
          </w:rPr>
          <w:instrText>PAGEREF</w:instrText>
        </w:r>
        <w:r w:rsidR="001F10D0" w:rsidRPr="001F10D0">
          <w:rPr>
            <w:rFonts w:cs="David"/>
            <w:noProof/>
            <w:webHidden/>
            <w:rtl/>
          </w:rPr>
          <w:instrText xml:space="preserve"> _</w:instrText>
        </w:r>
        <w:r w:rsidR="001F10D0" w:rsidRPr="001F10D0">
          <w:rPr>
            <w:rFonts w:cs="David"/>
            <w:noProof/>
            <w:webHidden/>
          </w:rPr>
          <w:instrText>Toc76988920 \h</w:instrText>
        </w:r>
        <w:r w:rsidR="001F10D0" w:rsidRPr="001F10D0">
          <w:rPr>
            <w:rFonts w:cs="David"/>
            <w:noProof/>
            <w:webHidden/>
            <w:rtl/>
          </w:rPr>
          <w:instrText xml:space="preserve"> </w:instrText>
        </w:r>
        <w:r w:rsidR="001F10D0" w:rsidRPr="001F10D0">
          <w:rPr>
            <w:rStyle w:val="Hyperlink"/>
            <w:rFonts w:cs="David"/>
            <w:noProof/>
            <w:rtl/>
          </w:rPr>
        </w:r>
        <w:r w:rsidR="001F10D0" w:rsidRPr="001F10D0">
          <w:rPr>
            <w:rStyle w:val="Hyperlink"/>
            <w:rFonts w:cs="David"/>
            <w:noProof/>
            <w:rtl/>
          </w:rPr>
          <w:fldChar w:fldCharType="separate"/>
        </w:r>
        <w:r>
          <w:rPr>
            <w:rFonts w:cs="David"/>
            <w:noProof/>
            <w:webHidden/>
            <w:rtl/>
          </w:rPr>
          <w:t>108</w:t>
        </w:r>
        <w:r w:rsidR="001F10D0" w:rsidRPr="001F10D0">
          <w:rPr>
            <w:rStyle w:val="Hyperlink"/>
            <w:rFonts w:cs="David"/>
            <w:noProof/>
            <w:rtl/>
          </w:rPr>
          <w:fldChar w:fldCharType="end"/>
        </w:r>
      </w:hyperlink>
    </w:p>
    <w:p w14:paraId="2ECD1829" w14:textId="0730DEB4" w:rsidR="001F10D0" w:rsidRPr="001F10D0" w:rsidRDefault="008F1BC3">
      <w:pPr>
        <w:pStyle w:val="af7"/>
        <w:tabs>
          <w:tab w:val="right" w:leader="dot" w:pos="8639"/>
        </w:tabs>
        <w:rPr>
          <w:rFonts w:asciiTheme="minorHAnsi" w:eastAsiaTheme="minorEastAsia" w:hAnsiTheme="minorHAnsi" w:cs="David"/>
          <w:smallCaps w:val="0"/>
          <w:noProof/>
          <w:sz w:val="22"/>
          <w:szCs w:val="22"/>
          <w:rtl/>
        </w:rPr>
      </w:pPr>
      <w:hyperlink w:anchor="_Toc76988921" w:history="1">
        <w:r w:rsidR="001F10D0" w:rsidRPr="001F10D0">
          <w:rPr>
            <w:rStyle w:val="Hyperlink"/>
            <w:rFonts w:cs="David"/>
            <w:noProof/>
            <w:rtl/>
          </w:rPr>
          <w:t>טבלה 26: סוגי כוח העזר השיפוטי בחלוקה לערכאות ובתי המשפט</w:t>
        </w:r>
        <w:r w:rsidR="001F10D0" w:rsidRPr="001F10D0">
          <w:rPr>
            <w:rFonts w:cs="David"/>
            <w:noProof/>
            <w:webHidden/>
            <w:rtl/>
          </w:rPr>
          <w:tab/>
        </w:r>
        <w:r w:rsidR="001F10D0" w:rsidRPr="001F10D0">
          <w:rPr>
            <w:rStyle w:val="Hyperlink"/>
            <w:rFonts w:cs="David"/>
            <w:noProof/>
            <w:rtl/>
          </w:rPr>
          <w:fldChar w:fldCharType="begin"/>
        </w:r>
        <w:r w:rsidR="001F10D0" w:rsidRPr="001F10D0">
          <w:rPr>
            <w:rFonts w:cs="David"/>
            <w:noProof/>
            <w:webHidden/>
            <w:rtl/>
          </w:rPr>
          <w:instrText xml:space="preserve"> </w:instrText>
        </w:r>
        <w:r w:rsidR="001F10D0" w:rsidRPr="001F10D0">
          <w:rPr>
            <w:rFonts w:cs="David"/>
            <w:noProof/>
            <w:webHidden/>
          </w:rPr>
          <w:instrText>PAGEREF</w:instrText>
        </w:r>
        <w:r w:rsidR="001F10D0" w:rsidRPr="001F10D0">
          <w:rPr>
            <w:rFonts w:cs="David"/>
            <w:noProof/>
            <w:webHidden/>
            <w:rtl/>
          </w:rPr>
          <w:instrText xml:space="preserve"> _</w:instrText>
        </w:r>
        <w:r w:rsidR="001F10D0" w:rsidRPr="001F10D0">
          <w:rPr>
            <w:rFonts w:cs="David"/>
            <w:noProof/>
            <w:webHidden/>
          </w:rPr>
          <w:instrText>Toc76988921 \h</w:instrText>
        </w:r>
        <w:r w:rsidR="001F10D0" w:rsidRPr="001F10D0">
          <w:rPr>
            <w:rFonts w:cs="David"/>
            <w:noProof/>
            <w:webHidden/>
            <w:rtl/>
          </w:rPr>
          <w:instrText xml:space="preserve"> </w:instrText>
        </w:r>
        <w:r w:rsidR="001F10D0" w:rsidRPr="001F10D0">
          <w:rPr>
            <w:rStyle w:val="Hyperlink"/>
            <w:rFonts w:cs="David"/>
            <w:noProof/>
            <w:rtl/>
          </w:rPr>
        </w:r>
        <w:r w:rsidR="001F10D0" w:rsidRPr="001F10D0">
          <w:rPr>
            <w:rStyle w:val="Hyperlink"/>
            <w:rFonts w:cs="David"/>
            <w:noProof/>
            <w:rtl/>
          </w:rPr>
          <w:fldChar w:fldCharType="separate"/>
        </w:r>
        <w:r>
          <w:rPr>
            <w:rFonts w:cs="David"/>
            <w:noProof/>
            <w:webHidden/>
            <w:rtl/>
          </w:rPr>
          <w:t>108</w:t>
        </w:r>
        <w:r w:rsidR="001F10D0" w:rsidRPr="001F10D0">
          <w:rPr>
            <w:rStyle w:val="Hyperlink"/>
            <w:rFonts w:cs="David"/>
            <w:noProof/>
            <w:rtl/>
          </w:rPr>
          <w:fldChar w:fldCharType="end"/>
        </w:r>
      </w:hyperlink>
    </w:p>
    <w:p w14:paraId="0D24B371" w14:textId="3A01A230" w:rsidR="001F10D0" w:rsidRPr="001F10D0" w:rsidRDefault="008F1BC3">
      <w:pPr>
        <w:pStyle w:val="af7"/>
        <w:tabs>
          <w:tab w:val="right" w:leader="dot" w:pos="8639"/>
        </w:tabs>
        <w:rPr>
          <w:rFonts w:asciiTheme="minorHAnsi" w:eastAsiaTheme="minorEastAsia" w:hAnsiTheme="minorHAnsi" w:cs="David"/>
          <w:smallCaps w:val="0"/>
          <w:noProof/>
          <w:sz w:val="22"/>
          <w:szCs w:val="22"/>
          <w:rtl/>
        </w:rPr>
      </w:pPr>
      <w:hyperlink w:anchor="_Toc76988922" w:history="1">
        <w:r w:rsidR="001F10D0" w:rsidRPr="001F10D0">
          <w:rPr>
            <w:rStyle w:val="Hyperlink"/>
            <w:rFonts w:cs="David"/>
            <w:noProof/>
            <w:rtl/>
          </w:rPr>
          <w:t>טבלה 27</w:t>
        </w:r>
        <w:r w:rsidR="001F10D0" w:rsidRPr="001F10D0">
          <w:rPr>
            <w:rStyle w:val="Hyperlink"/>
            <w:rFonts w:ascii="David" w:hAnsi="David" w:cs="David"/>
            <w:noProof/>
            <w:rtl/>
          </w:rPr>
          <w:t>: תמהיל יום העבודה של שופט עם עוזר משפטי שמסייע/ לא מסייע במשימות כתיבה מהותיות</w:t>
        </w:r>
        <w:r w:rsidR="001F10D0" w:rsidRPr="001F10D0">
          <w:rPr>
            <w:rFonts w:cs="David"/>
            <w:noProof/>
            <w:webHidden/>
            <w:rtl/>
          </w:rPr>
          <w:tab/>
        </w:r>
        <w:r w:rsidR="001F10D0" w:rsidRPr="001F10D0">
          <w:rPr>
            <w:rStyle w:val="Hyperlink"/>
            <w:rFonts w:cs="David"/>
            <w:noProof/>
            <w:rtl/>
          </w:rPr>
          <w:fldChar w:fldCharType="begin"/>
        </w:r>
        <w:r w:rsidR="001F10D0" w:rsidRPr="001F10D0">
          <w:rPr>
            <w:rFonts w:cs="David"/>
            <w:noProof/>
            <w:webHidden/>
            <w:rtl/>
          </w:rPr>
          <w:instrText xml:space="preserve"> </w:instrText>
        </w:r>
        <w:r w:rsidR="001F10D0" w:rsidRPr="001F10D0">
          <w:rPr>
            <w:rFonts w:cs="David"/>
            <w:noProof/>
            <w:webHidden/>
          </w:rPr>
          <w:instrText>PAGEREF</w:instrText>
        </w:r>
        <w:r w:rsidR="001F10D0" w:rsidRPr="001F10D0">
          <w:rPr>
            <w:rFonts w:cs="David"/>
            <w:noProof/>
            <w:webHidden/>
            <w:rtl/>
          </w:rPr>
          <w:instrText xml:space="preserve"> _</w:instrText>
        </w:r>
        <w:r w:rsidR="001F10D0" w:rsidRPr="001F10D0">
          <w:rPr>
            <w:rFonts w:cs="David"/>
            <w:noProof/>
            <w:webHidden/>
          </w:rPr>
          <w:instrText>Toc76988922 \h</w:instrText>
        </w:r>
        <w:r w:rsidR="001F10D0" w:rsidRPr="001F10D0">
          <w:rPr>
            <w:rFonts w:cs="David"/>
            <w:noProof/>
            <w:webHidden/>
            <w:rtl/>
          </w:rPr>
          <w:instrText xml:space="preserve"> </w:instrText>
        </w:r>
        <w:r w:rsidR="001F10D0" w:rsidRPr="001F10D0">
          <w:rPr>
            <w:rStyle w:val="Hyperlink"/>
            <w:rFonts w:cs="David"/>
            <w:noProof/>
            <w:rtl/>
          </w:rPr>
        </w:r>
        <w:r w:rsidR="001F10D0" w:rsidRPr="001F10D0">
          <w:rPr>
            <w:rStyle w:val="Hyperlink"/>
            <w:rFonts w:cs="David"/>
            <w:noProof/>
            <w:rtl/>
          </w:rPr>
          <w:fldChar w:fldCharType="separate"/>
        </w:r>
        <w:r>
          <w:rPr>
            <w:rFonts w:cs="David"/>
            <w:noProof/>
            <w:webHidden/>
            <w:rtl/>
          </w:rPr>
          <w:t>109</w:t>
        </w:r>
        <w:r w:rsidR="001F10D0" w:rsidRPr="001F10D0">
          <w:rPr>
            <w:rStyle w:val="Hyperlink"/>
            <w:rFonts w:cs="David"/>
            <w:noProof/>
            <w:rtl/>
          </w:rPr>
          <w:fldChar w:fldCharType="end"/>
        </w:r>
      </w:hyperlink>
    </w:p>
    <w:p w14:paraId="5404A1A8" w14:textId="08AA290E" w:rsidR="001F10D0" w:rsidRPr="001F10D0" w:rsidRDefault="008F1BC3">
      <w:pPr>
        <w:pStyle w:val="af7"/>
        <w:tabs>
          <w:tab w:val="right" w:leader="dot" w:pos="8639"/>
        </w:tabs>
        <w:rPr>
          <w:rFonts w:asciiTheme="minorHAnsi" w:eastAsiaTheme="minorEastAsia" w:hAnsiTheme="minorHAnsi" w:cs="David"/>
          <w:smallCaps w:val="0"/>
          <w:noProof/>
          <w:sz w:val="22"/>
          <w:szCs w:val="22"/>
          <w:rtl/>
        </w:rPr>
      </w:pPr>
      <w:hyperlink w:anchor="_Toc76988923" w:history="1">
        <w:r w:rsidR="001F10D0" w:rsidRPr="001F10D0">
          <w:rPr>
            <w:rStyle w:val="Hyperlink"/>
            <w:rFonts w:cs="David"/>
            <w:noProof/>
            <w:rtl/>
          </w:rPr>
          <w:t>טבלה 28: פילוח תשובות השופטים בסוגי התיקים העיקריים המטילים עומס רגשי מיוחד</w:t>
        </w:r>
        <w:r w:rsidR="001F10D0" w:rsidRPr="001F10D0">
          <w:rPr>
            <w:rFonts w:cs="David"/>
            <w:noProof/>
            <w:webHidden/>
            <w:rtl/>
          </w:rPr>
          <w:tab/>
        </w:r>
        <w:r w:rsidR="001F10D0" w:rsidRPr="001F10D0">
          <w:rPr>
            <w:rStyle w:val="Hyperlink"/>
            <w:rFonts w:cs="David"/>
            <w:noProof/>
            <w:rtl/>
          </w:rPr>
          <w:fldChar w:fldCharType="begin"/>
        </w:r>
        <w:r w:rsidR="001F10D0" w:rsidRPr="001F10D0">
          <w:rPr>
            <w:rFonts w:cs="David"/>
            <w:noProof/>
            <w:webHidden/>
            <w:rtl/>
          </w:rPr>
          <w:instrText xml:space="preserve"> </w:instrText>
        </w:r>
        <w:r w:rsidR="001F10D0" w:rsidRPr="001F10D0">
          <w:rPr>
            <w:rFonts w:cs="David"/>
            <w:noProof/>
            <w:webHidden/>
          </w:rPr>
          <w:instrText>PAGEREF</w:instrText>
        </w:r>
        <w:r w:rsidR="001F10D0" w:rsidRPr="001F10D0">
          <w:rPr>
            <w:rFonts w:cs="David"/>
            <w:noProof/>
            <w:webHidden/>
            <w:rtl/>
          </w:rPr>
          <w:instrText xml:space="preserve"> _</w:instrText>
        </w:r>
        <w:r w:rsidR="001F10D0" w:rsidRPr="001F10D0">
          <w:rPr>
            <w:rFonts w:cs="David"/>
            <w:noProof/>
            <w:webHidden/>
          </w:rPr>
          <w:instrText>Toc76988923 \h</w:instrText>
        </w:r>
        <w:r w:rsidR="001F10D0" w:rsidRPr="001F10D0">
          <w:rPr>
            <w:rFonts w:cs="David"/>
            <w:noProof/>
            <w:webHidden/>
            <w:rtl/>
          </w:rPr>
          <w:instrText xml:space="preserve"> </w:instrText>
        </w:r>
        <w:r w:rsidR="001F10D0" w:rsidRPr="001F10D0">
          <w:rPr>
            <w:rStyle w:val="Hyperlink"/>
            <w:rFonts w:cs="David"/>
            <w:noProof/>
            <w:rtl/>
          </w:rPr>
        </w:r>
        <w:r w:rsidR="001F10D0" w:rsidRPr="001F10D0">
          <w:rPr>
            <w:rStyle w:val="Hyperlink"/>
            <w:rFonts w:cs="David"/>
            <w:noProof/>
            <w:rtl/>
          </w:rPr>
          <w:fldChar w:fldCharType="separate"/>
        </w:r>
        <w:r>
          <w:rPr>
            <w:rFonts w:cs="David"/>
            <w:noProof/>
            <w:webHidden/>
            <w:rtl/>
          </w:rPr>
          <w:t>126</w:t>
        </w:r>
        <w:r w:rsidR="001F10D0" w:rsidRPr="001F10D0">
          <w:rPr>
            <w:rStyle w:val="Hyperlink"/>
            <w:rFonts w:cs="David"/>
            <w:noProof/>
            <w:rtl/>
          </w:rPr>
          <w:fldChar w:fldCharType="end"/>
        </w:r>
      </w:hyperlink>
    </w:p>
    <w:p w14:paraId="17C13674" w14:textId="39C3FAED" w:rsidR="00956E42" w:rsidRPr="00F25744" w:rsidRDefault="008534FC" w:rsidP="006313C8">
      <w:pPr>
        <w:pStyle w:val="TOC3"/>
        <w:ind w:hanging="440"/>
        <w:rPr>
          <w:sz w:val="36"/>
          <w:szCs w:val="36"/>
          <w:rtl/>
        </w:rPr>
      </w:pPr>
      <w:r w:rsidRPr="00A50885">
        <w:rPr>
          <w:rFonts w:ascii="David" w:hAnsi="David" w:cs="David"/>
          <w:b/>
          <w:bCs/>
          <w:smallCaps/>
          <w:sz w:val="22"/>
          <w:szCs w:val="22"/>
          <w:u w:val="single"/>
          <w:rtl/>
        </w:rPr>
        <w:fldChar w:fldCharType="end"/>
      </w:r>
    </w:p>
    <w:p w14:paraId="6A52CD2A" w14:textId="77777777" w:rsidR="00E544F6" w:rsidRPr="00F25744" w:rsidRDefault="00E25AE7" w:rsidP="00F057A1">
      <w:pPr>
        <w:pStyle w:val="TOC1"/>
        <w:rPr>
          <w:rtl/>
        </w:rPr>
      </w:pPr>
      <w:r w:rsidRPr="00F25744">
        <w:rPr>
          <w:rtl/>
        </w:rPr>
        <w:t xml:space="preserve"> </w:t>
      </w:r>
      <w:r w:rsidRPr="00F25744">
        <w:rPr>
          <w:rFonts w:hint="cs"/>
          <w:rtl/>
        </w:rPr>
        <w:t>רשימת התרשימים</w:t>
      </w:r>
    </w:p>
    <w:p w14:paraId="0FC76DD1" w14:textId="2778A9AD" w:rsidR="00A50885" w:rsidRPr="00A50885" w:rsidRDefault="00E25AE7">
      <w:pPr>
        <w:pStyle w:val="af7"/>
        <w:tabs>
          <w:tab w:val="right" w:leader="dot" w:pos="8639"/>
        </w:tabs>
        <w:rPr>
          <w:rFonts w:asciiTheme="minorHAnsi" w:eastAsiaTheme="minorEastAsia" w:hAnsiTheme="minorHAnsi" w:cs="David"/>
          <w:smallCaps w:val="0"/>
          <w:noProof/>
          <w:sz w:val="22"/>
          <w:szCs w:val="22"/>
          <w:rtl/>
        </w:rPr>
      </w:pPr>
      <w:r w:rsidRPr="00F25744">
        <w:rPr>
          <w:rFonts w:ascii="David" w:hAnsi="David" w:cs="David"/>
          <w:sz w:val="22"/>
          <w:szCs w:val="22"/>
          <w:rtl/>
        </w:rPr>
        <w:fldChar w:fldCharType="begin"/>
      </w:r>
      <w:r w:rsidRPr="00F25744">
        <w:rPr>
          <w:rFonts w:ascii="David" w:hAnsi="David" w:cs="David"/>
          <w:sz w:val="22"/>
          <w:szCs w:val="22"/>
          <w:rtl/>
        </w:rPr>
        <w:instrText xml:space="preserve"> </w:instrText>
      </w:r>
      <w:r w:rsidRPr="00F25744">
        <w:rPr>
          <w:rFonts w:ascii="David" w:hAnsi="David" w:cs="David"/>
          <w:sz w:val="22"/>
          <w:szCs w:val="22"/>
        </w:rPr>
        <w:instrText>TOC</w:instrText>
      </w:r>
      <w:r w:rsidRPr="00F25744">
        <w:rPr>
          <w:rFonts w:ascii="David" w:hAnsi="David" w:cs="David"/>
          <w:sz w:val="22"/>
          <w:szCs w:val="22"/>
          <w:rtl/>
        </w:rPr>
        <w:instrText xml:space="preserve"> \</w:instrText>
      </w:r>
      <w:r w:rsidRPr="00F25744">
        <w:rPr>
          <w:rFonts w:ascii="David" w:hAnsi="David" w:cs="David"/>
          <w:sz w:val="22"/>
          <w:szCs w:val="22"/>
        </w:rPr>
        <w:instrText>h \z \c</w:instrText>
      </w:r>
      <w:r w:rsidRPr="00F25744">
        <w:rPr>
          <w:rFonts w:ascii="David" w:hAnsi="David" w:cs="David"/>
          <w:sz w:val="22"/>
          <w:szCs w:val="22"/>
          <w:rtl/>
        </w:rPr>
        <w:instrText xml:space="preserve"> "תרשים" </w:instrText>
      </w:r>
      <w:r w:rsidRPr="00F25744">
        <w:rPr>
          <w:rFonts w:ascii="David" w:hAnsi="David" w:cs="David"/>
          <w:sz w:val="22"/>
          <w:szCs w:val="22"/>
          <w:rtl/>
        </w:rPr>
        <w:fldChar w:fldCharType="separate"/>
      </w:r>
      <w:hyperlink w:anchor="_Toc76988522" w:history="1">
        <w:r w:rsidR="00A50885" w:rsidRPr="00A50885">
          <w:rPr>
            <w:rStyle w:val="Hyperlink"/>
            <w:rFonts w:cs="David"/>
            <w:noProof/>
            <w:rtl/>
          </w:rPr>
          <w:t>תרשים 1:</w:t>
        </w:r>
        <w:r w:rsidR="00A50885" w:rsidRPr="00A50885">
          <w:rPr>
            <w:rStyle w:val="Hyperlink"/>
            <w:rFonts w:ascii="David" w:hAnsi="David" w:cs="David"/>
            <w:noProof/>
            <w:rtl/>
          </w:rPr>
          <w:t xml:space="preserve"> חישוב זמן הטיפול השיפוטי הממוצע בתיק מסוג </w:t>
        </w:r>
        <w:r w:rsidR="00A50885" w:rsidRPr="00A50885">
          <w:rPr>
            <w:rStyle w:val="Hyperlink"/>
            <w:rFonts w:ascii="David" w:hAnsi="David" w:cs="David"/>
            <w:noProof/>
          </w:rPr>
          <w:t>X</w:t>
        </w:r>
        <w:r w:rsidR="00A50885" w:rsidRPr="00A50885">
          <w:rPr>
            <w:rFonts w:cs="David"/>
            <w:noProof/>
            <w:webHidden/>
            <w:rtl/>
          </w:rPr>
          <w:tab/>
        </w:r>
        <w:r w:rsidR="00A50885" w:rsidRPr="00A50885">
          <w:rPr>
            <w:rFonts w:cs="David"/>
            <w:noProof/>
            <w:webHidden/>
            <w:rtl/>
          </w:rPr>
          <w:fldChar w:fldCharType="begin"/>
        </w:r>
        <w:r w:rsidR="00A50885" w:rsidRPr="00A50885">
          <w:rPr>
            <w:rFonts w:cs="David"/>
            <w:noProof/>
            <w:webHidden/>
            <w:rtl/>
          </w:rPr>
          <w:instrText xml:space="preserve"> </w:instrText>
        </w:r>
        <w:r w:rsidR="00A50885" w:rsidRPr="00A50885">
          <w:rPr>
            <w:rFonts w:cs="David"/>
            <w:noProof/>
            <w:webHidden/>
          </w:rPr>
          <w:instrText>PAGEREF</w:instrText>
        </w:r>
        <w:r w:rsidR="00A50885" w:rsidRPr="00A50885">
          <w:rPr>
            <w:rFonts w:cs="David"/>
            <w:noProof/>
            <w:webHidden/>
            <w:rtl/>
          </w:rPr>
          <w:instrText xml:space="preserve"> _</w:instrText>
        </w:r>
        <w:r w:rsidR="00A50885" w:rsidRPr="00A50885">
          <w:rPr>
            <w:rFonts w:cs="David"/>
            <w:noProof/>
            <w:webHidden/>
          </w:rPr>
          <w:instrText>Toc76988522 \h</w:instrText>
        </w:r>
        <w:r w:rsidR="00A50885" w:rsidRPr="00A50885">
          <w:rPr>
            <w:rFonts w:cs="David"/>
            <w:noProof/>
            <w:webHidden/>
            <w:rtl/>
          </w:rPr>
          <w:instrText xml:space="preserve"> </w:instrText>
        </w:r>
        <w:r w:rsidR="00A50885" w:rsidRPr="00A50885">
          <w:rPr>
            <w:rFonts w:cs="David"/>
            <w:noProof/>
            <w:webHidden/>
            <w:rtl/>
          </w:rPr>
        </w:r>
        <w:r w:rsidR="00A50885" w:rsidRPr="00A50885">
          <w:rPr>
            <w:rFonts w:cs="David"/>
            <w:noProof/>
            <w:webHidden/>
            <w:rtl/>
          </w:rPr>
          <w:fldChar w:fldCharType="separate"/>
        </w:r>
        <w:r w:rsidR="008F1BC3">
          <w:rPr>
            <w:rFonts w:cs="David"/>
            <w:noProof/>
            <w:webHidden/>
            <w:rtl/>
          </w:rPr>
          <w:t>9</w:t>
        </w:r>
        <w:r w:rsidR="00A50885" w:rsidRPr="00A50885">
          <w:rPr>
            <w:rFonts w:cs="David"/>
            <w:noProof/>
            <w:webHidden/>
            <w:rtl/>
          </w:rPr>
          <w:fldChar w:fldCharType="end"/>
        </w:r>
      </w:hyperlink>
    </w:p>
    <w:p w14:paraId="70CCADFC" w14:textId="5ED8D903" w:rsidR="00A50885" w:rsidRPr="00A50885" w:rsidRDefault="008F1BC3">
      <w:pPr>
        <w:pStyle w:val="af7"/>
        <w:tabs>
          <w:tab w:val="right" w:leader="dot" w:pos="8639"/>
        </w:tabs>
        <w:rPr>
          <w:rFonts w:asciiTheme="minorHAnsi" w:eastAsiaTheme="minorEastAsia" w:hAnsiTheme="minorHAnsi" w:cs="David"/>
          <w:smallCaps w:val="0"/>
          <w:noProof/>
          <w:sz w:val="22"/>
          <w:szCs w:val="22"/>
          <w:rtl/>
        </w:rPr>
      </w:pPr>
      <w:hyperlink w:anchor="_Toc76988523" w:history="1">
        <w:r w:rsidR="00A50885" w:rsidRPr="00A50885">
          <w:rPr>
            <w:rStyle w:val="Hyperlink"/>
            <w:rFonts w:cs="David"/>
            <w:noProof/>
            <w:rtl/>
          </w:rPr>
          <w:t>תרשים</w:t>
        </w:r>
        <w:r w:rsidR="00A50885" w:rsidRPr="00A50885">
          <w:rPr>
            <w:rStyle w:val="Hyperlink"/>
            <w:rFonts w:ascii="David" w:hAnsi="David" w:cs="David"/>
            <w:noProof/>
            <w:rtl/>
          </w:rPr>
          <w:t xml:space="preserve"> 2: הנוסחה לחישוב </w:t>
        </w:r>
        <w:r w:rsidR="00A50885" w:rsidRPr="00A50885">
          <w:rPr>
            <w:rStyle w:val="Hyperlink"/>
            <w:rFonts w:cs="David"/>
            <w:noProof/>
            <w:rtl/>
          </w:rPr>
          <w:t>מרכיבי</w:t>
        </w:r>
        <w:r w:rsidR="00A50885" w:rsidRPr="00A50885">
          <w:rPr>
            <w:rStyle w:val="Hyperlink"/>
            <w:rFonts w:ascii="David" w:hAnsi="David" w:cs="David"/>
            <w:noProof/>
            <w:rtl/>
          </w:rPr>
          <w:t xml:space="preserve"> מדד זמן העבודה השיפוטית ומקורות המידע של מרכיביה</w:t>
        </w:r>
        <w:r w:rsidR="00A50885" w:rsidRPr="00A50885">
          <w:rPr>
            <w:rFonts w:cs="David"/>
            <w:noProof/>
            <w:webHidden/>
            <w:rtl/>
          </w:rPr>
          <w:tab/>
        </w:r>
        <w:r w:rsidR="00A50885" w:rsidRPr="00A50885">
          <w:rPr>
            <w:rFonts w:cs="David"/>
            <w:noProof/>
            <w:webHidden/>
            <w:rtl/>
          </w:rPr>
          <w:fldChar w:fldCharType="begin"/>
        </w:r>
        <w:r w:rsidR="00A50885" w:rsidRPr="00A50885">
          <w:rPr>
            <w:rFonts w:cs="David"/>
            <w:noProof/>
            <w:webHidden/>
            <w:rtl/>
          </w:rPr>
          <w:instrText xml:space="preserve"> </w:instrText>
        </w:r>
        <w:r w:rsidR="00A50885" w:rsidRPr="00A50885">
          <w:rPr>
            <w:rFonts w:cs="David"/>
            <w:noProof/>
            <w:webHidden/>
          </w:rPr>
          <w:instrText>PAGEREF</w:instrText>
        </w:r>
        <w:r w:rsidR="00A50885" w:rsidRPr="00A50885">
          <w:rPr>
            <w:rFonts w:cs="David"/>
            <w:noProof/>
            <w:webHidden/>
            <w:rtl/>
          </w:rPr>
          <w:instrText xml:space="preserve"> _</w:instrText>
        </w:r>
        <w:r w:rsidR="00A50885" w:rsidRPr="00A50885">
          <w:rPr>
            <w:rFonts w:cs="David"/>
            <w:noProof/>
            <w:webHidden/>
          </w:rPr>
          <w:instrText>Toc76988523 \h</w:instrText>
        </w:r>
        <w:r w:rsidR="00A50885" w:rsidRPr="00A50885">
          <w:rPr>
            <w:rFonts w:cs="David"/>
            <w:noProof/>
            <w:webHidden/>
            <w:rtl/>
          </w:rPr>
          <w:instrText xml:space="preserve"> </w:instrText>
        </w:r>
        <w:r w:rsidR="00A50885" w:rsidRPr="00A50885">
          <w:rPr>
            <w:rFonts w:cs="David"/>
            <w:noProof/>
            <w:webHidden/>
            <w:rtl/>
          </w:rPr>
        </w:r>
        <w:r w:rsidR="00A50885" w:rsidRPr="00A50885">
          <w:rPr>
            <w:rFonts w:cs="David"/>
            <w:noProof/>
            <w:webHidden/>
            <w:rtl/>
          </w:rPr>
          <w:fldChar w:fldCharType="separate"/>
        </w:r>
        <w:r>
          <w:rPr>
            <w:rFonts w:cs="David"/>
            <w:noProof/>
            <w:webHidden/>
            <w:rtl/>
          </w:rPr>
          <w:t>10</w:t>
        </w:r>
        <w:r w:rsidR="00A50885" w:rsidRPr="00A50885">
          <w:rPr>
            <w:rFonts w:cs="David"/>
            <w:noProof/>
            <w:webHidden/>
            <w:rtl/>
          </w:rPr>
          <w:fldChar w:fldCharType="end"/>
        </w:r>
      </w:hyperlink>
    </w:p>
    <w:p w14:paraId="773B8C30" w14:textId="644AE503" w:rsidR="00A50885" w:rsidRPr="00A50885" w:rsidRDefault="008F1BC3">
      <w:pPr>
        <w:pStyle w:val="af7"/>
        <w:tabs>
          <w:tab w:val="right" w:leader="dot" w:pos="8639"/>
        </w:tabs>
        <w:rPr>
          <w:rFonts w:asciiTheme="minorHAnsi" w:eastAsiaTheme="minorEastAsia" w:hAnsiTheme="minorHAnsi" w:cs="David"/>
          <w:smallCaps w:val="0"/>
          <w:noProof/>
          <w:sz w:val="22"/>
          <w:szCs w:val="22"/>
          <w:rtl/>
        </w:rPr>
      </w:pPr>
      <w:hyperlink w:anchor="_Toc76988524" w:history="1">
        <w:r w:rsidR="00A50885" w:rsidRPr="00A50885">
          <w:rPr>
            <w:rStyle w:val="Hyperlink"/>
            <w:rFonts w:cs="David"/>
            <w:noProof/>
            <w:rtl/>
          </w:rPr>
          <w:t>תרשים 3: זמני ההכנה לדיונים</w:t>
        </w:r>
        <w:r w:rsidR="00A50885" w:rsidRPr="00A50885">
          <w:rPr>
            <w:rFonts w:cs="David"/>
            <w:noProof/>
            <w:webHidden/>
            <w:rtl/>
          </w:rPr>
          <w:tab/>
        </w:r>
        <w:r w:rsidR="00A50885" w:rsidRPr="00A50885">
          <w:rPr>
            <w:rFonts w:cs="David"/>
            <w:noProof/>
            <w:webHidden/>
            <w:rtl/>
          </w:rPr>
          <w:fldChar w:fldCharType="begin"/>
        </w:r>
        <w:r w:rsidR="00A50885" w:rsidRPr="00A50885">
          <w:rPr>
            <w:rFonts w:cs="David"/>
            <w:noProof/>
            <w:webHidden/>
            <w:rtl/>
          </w:rPr>
          <w:instrText xml:space="preserve"> </w:instrText>
        </w:r>
        <w:r w:rsidR="00A50885" w:rsidRPr="00A50885">
          <w:rPr>
            <w:rFonts w:cs="David"/>
            <w:noProof/>
            <w:webHidden/>
          </w:rPr>
          <w:instrText>PAGEREF</w:instrText>
        </w:r>
        <w:r w:rsidR="00A50885" w:rsidRPr="00A50885">
          <w:rPr>
            <w:rFonts w:cs="David"/>
            <w:noProof/>
            <w:webHidden/>
            <w:rtl/>
          </w:rPr>
          <w:instrText xml:space="preserve"> _</w:instrText>
        </w:r>
        <w:r w:rsidR="00A50885" w:rsidRPr="00A50885">
          <w:rPr>
            <w:rFonts w:cs="David"/>
            <w:noProof/>
            <w:webHidden/>
          </w:rPr>
          <w:instrText>Toc76988524 \h</w:instrText>
        </w:r>
        <w:r w:rsidR="00A50885" w:rsidRPr="00A50885">
          <w:rPr>
            <w:rFonts w:cs="David"/>
            <w:noProof/>
            <w:webHidden/>
            <w:rtl/>
          </w:rPr>
          <w:instrText xml:space="preserve"> </w:instrText>
        </w:r>
        <w:r w:rsidR="00A50885" w:rsidRPr="00A50885">
          <w:rPr>
            <w:rFonts w:cs="David"/>
            <w:noProof/>
            <w:webHidden/>
            <w:rtl/>
          </w:rPr>
        </w:r>
        <w:r w:rsidR="00A50885" w:rsidRPr="00A50885">
          <w:rPr>
            <w:rFonts w:cs="David"/>
            <w:noProof/>
            <w:webHidden/>
            <w:rtl/>
          </w:rPr>
          <w:fldChar w:fldCharType="separate"/>
        </w:r>
        <w:r>
          <w:rPr>
            <w:rFonts w:cs="David"/>
            <w:noProof/>
            <w:webHidden/>
            <w:rtl/>
          </w:rPr>
          <w:t>40</w:t>
        </w:r>
        <w:r w:rsidR="00A50885" w:rsidRPr="00A50885">
          <w:rPr>
            <w:rFonts w:cs="David"/>
            <w:noProof/>
            <w:webHidden/>
            <w:rtl/>
          </w:rPr>
          <w:fldChar w:fldCharType="end"/>
        </w:r>
      </w:hyperlink>
    </w:p>
    <w:p w14:paraId="427E0027" w14:textId="512E16F6" w:rsidR="00A50885" w:rsidRPr="00A50885" w:rsidRDefault="008F1BC3">
      <w:pPr>
        <w:pStyle w:val="af7"/>
        <w:tabs>
          <w:tab w:val="right" w:leader="dot" w:pos="8639"/>
        </w:tabs>
        <w:rPr>
          <w:rFonts w:asciiTheme="minorHAnsi" w:eastAsiaTheme="minorEastAsia" w:hAnsiTheme="minorHAnsi" w:cs="David"/>
          <w:smallCaps w:val="0"/>
          <w:noProof/>
          <w:sz w:val="22"/>
          <w:szCs w:val="22"/>
          <w:rtl/>
        </w:rPr>
      </w:pPr>
      <w:hyperlink w:anchor="_Toc76988525" w:history="1">
        <w:r w:rsidR="00A50885" w:rsidRPr="00A50885">
          <w:rPr>
            <w:rStyle w:val="Hyperlink"/>
            <w:rFonts w:cs="David"/>
            <w:noProof/>
            <w:rtl/>
          </w:rPr>
          <w:t>תרשים 4: זמני שמיעת דיונים</w:t>
        </w:r>
        <w:r w:rsidR="00A50885" w:rsidRPr="00A50885">
          <w:rPr>
            <w:rFonts w:cs="David"/>
            <w:noProof/>
            <w:webHidden/>
            <w:rtl/>
          </w:rPr>
          <w:tab/>
        </w:r>
        <w:r w:rsidR="00A50885" w:rsidRPr="00A50885">
          <w:rPr>
            <w:rFonts w:cs="David"/>
            <w:noProof/>
            <w:webHidden/>
            <w:rtl/>
          </w:rPr>
          <w:fldChar w:fldCharType="begin"/>
        </w:r>
        <w:r w:rsidR="00A50885" w:rsidRPr="00A50885">
          <w:rPr>
            <w:rFonts w:cs="David"/>
            <w:noProof/>
            <w:webHidden/>
            <w:rtl/>
          </w:rPr>
          <w:instrText xml:space="preserve"> </w:instrText>
        </w:r>
        <w:r w:rsidR="00A50885" w:rsidRPr="00A50885">
          <w:rPr>
            <w:rFonts w:cs="David"/>
            <w:noProof/>
            <w:webHidden/>
          </w:rPr>
          <w:instrText>PAGEREF</w:instrText>
        </w:r>
        <w:r w:rsidR="00A50885" w:rsidRPr="00A50885">
          <w:rPr>
            <w:rFonts w:cs="David"/>
            <w:noProof/>
            <w:webHidden/>
            <w:rtl/>
          </w:rPr>
          <w:instrText xml:space="preserve"> _</w:instrText>
        </w:r>
        <w:r w:rsidR="00A50885" w:rsidRPr="00A50885">
          <w:rPr>
            <w:rFonts w:cs="David"/>
            <w:noProof/>
            <w:webHidden/>
          </w:rPr>
          <w:instrText>Toc76988525 \h</w:instrText>
        </w:r>
        <w:r w:rsidR="00A50885" w:rsidRPr="00A50885">
          <w:rPr>
            <w:rFonts w:cs="David"/>
            <w:noProof/>
            <w:webHidden/>
            <w:rtl/>
          </w:rPr>
          <w:instrText xml:space="preserve"> </w:instrText>
        </w:r>
        <w:r w:rsidR="00A50885" w:rsidRPr="00A50885">
          <w:rPr>
            <w:rFonts w:cs="David"/>
            <w:noProof/>
            <w:webHidden/>
            <w:rtl/>
          </w:rPr>
        </w:r>
        <w:r w:rsidR="00A50885" w:rsidRPr="00A50885">
          <w:rPr>
            <w:rFonts w:cs="David"/>
            <w:noProof/>
            <w:webHidden/>
            <w:rtl/>
          </w:rPr>
          <w:fldChar w:fldCharType="separate"/>
        </w:r>
        <w:r>
          <w:rPr>
            <w:rFonts w:cs="David"/>
            <w:noProof/>
            <w:webHidden/>
            <w:rtl/>
          </w:rPr>
          <w:t>40</w:t>
        </w:r>
        <w:r w:rsidR="00A50885" w:rsidRPr="00A50885">
          <w:rPr>
            <w:rFonts w:cs="David"/>
            <w:noProof/>
            <w:webHidden/>
            <w:rtl/>
          </w:rPr>
          <w:fldChar w:fldCharType="end"/>
        </w:r>
      </w:hyperlink>
    </w:p>
    <w:p w14:paraId="76D8B59A" w14:textId="0E6779A4" w:rsidR="00A50885" w:rsidRPr="00A50885" w:rsidRDefault="008F1BC3">
      <w:pPr>
        <w:pStyle w:val="af7"/>
        <w:tabs>
          <w:tab w:val="right" w:leader="dot" w:pos="8639"/>
        </w:tabs>
        <w:rPr>
          <w:rFonts w:asciiTheme="minorHAnsi" w:eastAsiaTheme="minorEastAsia" w:hAnsiTheme="minorHAnsi" w:cs="David"/>
          <w:smallCaps w:val="0"/>
          <w:noProof/>
          <w:sz w:val="22"/>
          <w:szCs w:val="22"/>
          <w:rtl/>
        </w:rPr>
      </w:pPr>
      <w:hyperlink w:anchor="_Toc76988526" w:history="1">
        <w:r w:rsidR="00A50885" w:rsidRPr="00A50885">
          <w:rPr>
            <w:rStyle w:val="Hyperlink"/>
            <w:rFonts w:cs="David"/>
            <w:noProof/>
            <w:rtl/>
          </w:rPr>
          <w:t>תרשים 5: זמני כתיבת החלטות</w:t>
        </w:r>
        <w:r w:rsidR="00A50885" w:rsidRPr="00A50885">
          <w:rPr>
            <w:rFonts w:cs="David"/>
            <w:noProof/>
            <w:webHidden/>
            <w:rtl/>
          </w:rPr>
          <w:tab/>
        </w:r>
        <w:r w:rsidR="00A50885" w:rsidRPr="00A50885">
          <w:rPr>
            <w:rFonts w:cs="David"/>
            <w:noProof/>
            <w:webHidden/>
            <w:rtl/>
          </w:rPr>
          <w:fldChar w:fldCharType="begin"/>
        </w:r>
        <w:r w:rsidR="00A50885" w:rsidRPr="00A50885">
          <w:rPr>
            <w:rFonts w:cs="David"/>
            <w:noProof/>
            <w:webHidden/>
            <w:rtl/>
          </w:rPr>
          <w:instrText xml:space="preserve"> </w:instrText>
        </w:r>
        <w:r w:rsidR="00A50885" w:rsidRPr="00A50885">
          <w:rPr>
            <w:rFonts w:cs="David"/>
            <w:noProof/>
            <w:webHidden/>
          </w:rPr>
          <w:instrText>PAGEREF</w:instrText>
        </w:r>
        <w:r w:rsidR="00A50885" w:rsidRPr="00A50885">
          <w:rPr>
            <w:rFonts w:cs="David"/>
            <w:noProof/>
            <w:webHidden/>
            <w:rtl/>
          </w:rPr>
          <w:instrText xml:space="preserve"> _</w:instrText>
        </w:r>
        <w:r w:rsidR="00A50885" w:rsidRPr="00A50885">
          <w:rPr>
            <w:rFonts w:cs="David"/>
            <w:noProof/>
            <w:webHidden/>
          </w:rPr>
          <w:instrText>Toc76988526 \h</w:instrText>
        </w:r>
        <w:r w:rsidR="00A50885" w:rsidRPr="00A50885">
          <w:rPr>
            <w:rFonts w:cs="David"/>
            <w:noProof/>
            <w:webHidden/>
            <w:rtl/>
          </w:rPr>
          <w:instrText xml:space="preserve"> </w:instrText>
        </w:r>
        <w:r w:rsidR="00A50885" w:rsidRPr="00A50885">
          <w:rPr>
            <w:rFonts w:cs="David"/>
            <w:noProof/>
            <w:webHidden/>
            <w:rtl/>
          </w:rPr>
        </w:r>
        <w:r w:rsidR="00A50885" w:rsidRPr="00A50885">
          <w:rPr>
            <w:rFonts w:cs="David"/>
            <w:noProof/>
            <w:webHidden/>
            <w:rtl/>
          </w:rPr>
          <w:fldChar w:fldCharType="separate"/>
        </w:r>
        <w:r>
          <w:rPr>
            <w:rFonts w:cs="David"/>
            <w:noProof/>
            <w:webHidden/>
            <w:rtl/>
          </w:rPr>
          <w:t>41</w:t>
        </w:r>
        <w:r w:rsidR="00A50885" w:rsidRPr="00A50885">
          <w:rPr>
            <w:rFonts w:cs="David"/>
            <w:noProof/>
            <w:webHidden/>
            <w:rtl/>
          </w:rPr>
          <w:fldChar w:fldCharType="end"/>
        </w:r>
      </w:hyperlink>
    </w:p>
    <w:p w14:paraId="72BBC230" w14:textId="79ED7FCF" w:rsidR="00A50885" w:rsidRPr="00A50885" w:rsidRDefault="008F1BC3">
      <w:pPr>
        <w:pStyle w:val="af7"/>
        <w:tabs>
          <w:tab w:val="right" w:leader="dot" w:pos="8639"/>
        </w:tabs>
        <w:rPr>
          <w:rFonts w:asciiTheme="minorHAnsi" w:eastAsiaTheme="minorEastAsia" w:hAnsiTheme="minorHAnsi" w:cs="David"/>
          <w:smallCaps w:val="0"/>
          <w:noProof/>
          <w:sz w:val="22"/>
          <w:szCs w:val="22"/>
          <w:rtl/>
        </w:rPr>
      </w:pPr>
      <w:hyperlink w:anchor="_Toc76988527" w:history="1">
        <w:r w:rsidR="00A50885" w:rsidRPr="00A50885">
          <w:rPr>
            <w:rStyle w:val="Hyperlink"/>
            <w:rFonts w:cs="David"/>
            <w:noProof/>
            <w:rtl/>
          </w:rPr>
          <w:t>תרשים 6: זמני כתיבת פסקי דין</w:t>
        </w:r>
        <w:r w:rsidR="00A50885" w:rsidRPr="00A50885">
          <w:rPr>
            <w:rFonts w:cs="David"/>
            <w:noProof/>
            <w:webHidden/>
            <w:rtl/>
          </w:rPr>
          <w:tab/>
        </w:r>
        <w:r w:rsidR="00A50885" w:rsidRPr="00A50885">
          <w:rPr>
            <w:rFonts w:cs="David"/>
            <w:noProof/>
            <w:webHidden/>
            <w:rtl/>
          </w:rPr>
          <w:fldChar w:fldCharType="begin"/>
        </w:r>
        <w:r w:rsidR="00A50885" w:rsidRPr="00A50885">
          <w:rPr>
            <w:rFonts w:cs="David"/>
            <w:noProof/>
            <w:webHidden/>
            <w:rtl/>
          </w:rPr>
          <w:instrText xml:space="preserve"> </w:instrText>
        </w:r>
        <w:r w:rsidR="00A50885" w:rsidRPr="00A50885">
          <w:rPr>
            <w:rFonts w:cs="David"/>
            <w:noProof/>
            <w:webHidden/>
          </w:rPr>
          <w:instrText>PAGEREF</w:instrText>
        </w:r>
        <w:r w:rsidR="00A50885" w:rsidRPr="00A50885">
          <w:rPr>
            <w:rFonts w:cs="David"/>
            <w:noProof/>
            <w:webHidden/>
            <w:rtl/>
          </w:rPr>
          <w:instrText xml:space="preserve"> _</w:instrText>
        </w:r>
        <w:r w:rsidR="00A50885" w:rsidRPr="00A50885">
          <w:rPr>
            <w:rFonts w:cs="David"/>
            <w:noProof/>
            <w:webHidden/>
          </w:rPr>
          <w:instrText>Toc76988527 \h</w:instrText>
        </w:r>
        <w:r w:rsidR="00A50885" w:rsidRPr="00A50885">
          <w:rPr>
            <w:rFonts w:cs="David"/>
            <w:noProof/>
            <w:webHidden/>
            <w:rtl/>
          </w:rPr>
          <w:instrText xml:space="preserve"> </w:instrText>
        </w:r>
        <w:r w:rsidR="00A50885" w:rsidRPr="00A50885">
          <w:rPr>
            <w:rFonts w:cs="David"/>
            <w:noProof/>
            <w:webHidden/>
            <w:rtl/>
          </w:rPr>
        </w:r>
        <w:r w:rsidR="00A50885" w:rsidRPr="00A50885">
          <w:rPr>
            <w:rFonts w:cs="David"/>
            <w:noProof/>
            <w:webHidden/>
            <w:rtl/>
          </w:rPr>
          <w:fldChar w:fldCharType="separate"/>
        </w:r>
        <w:r>
          <w:rPr>
            <w:rFonts w:cs="David"/>
            <w:noProof/>
            <w:webHidden/>
            <w:rtl/>
          </w:rPr>
          <w:t>41</w:t>
        </w:r>
        <w:r w:rsidR="00A50885" w:rsidRPr="00A50885">
          <w:rPr>
            <w:rFonts w:cs="David"/>
            <w:noProof/>
            <w:webHidden/>
            <w:rtl/>
          </w:rPr>
          <w:fldChar w:fldCharType="end"/>
        </w:r>
      </w:hyperlink>
    </w:p>
    <w:p w14:paraId="2815A559" w14:textId="533F69C1" w:rsidR="00A50885" w:rsidRPr="00A50885" w:rsidRDefault="008F1BC3">
      <w:pPr>
        <w:pStyle w:val="af7"/>
        <w:tabs>
          <w:tab w:val="right" w:leader="dot" w:pos="8639"/>
        </w:tabs>
        <w:rPr>
          <w:rFonts w:asciiTheme="minorHAnsi" w:eastAsiaTheme="minorEastAsia" w:hAnsiTheme="minorHAnsi" w:cs="David"/>
          <w:smallCaps w:val="0"/>
          <w:noProof/>
          <w:sz w:val="22"/>
          <w:szCs w:val="22"/>
          <w:rtl/>
        </w:rPr>
      </w:pPr>
      <w:hyperlink w:anchor="_Toc76988528" w:history="1">
        <w:r w:rsidR="00A50885" w:rsidRPr="00A50885">
          <w:rPr>
            <w:rStyle w:val="Hyperlink"/>
            <w:rFonts w:cs="David"/>
            <w:noProof/>
            <w:rtl/>
          </w:rPr>
          <w:t xml:space="preserve">תרשים </w:t>
        </w:r>
        <w:r w:rsidR="00A50885" w:rsidRPr="00A50885">
          <w:rPr>
            <w:rStyle w:val="Hyperlink"/>
            <w:rFonts w:ascii="David" w:hAnsi="David" w:cs="David"/>
            <w:noProof/>
            <w:rtl/>
          </w:rPr>
          <w:t xml:space="preserve">7: פילוח יום העבודה השיפוטי </w:t>
        </w:r>
        <w:r w:rsidR="00A50885" w:rsidRPr="00A50885">
          <w:rPr>
            <w:rStyle w:val="Hyperlink"/>
            <w:rFonts w:cs="David"/>
            <w:noProof/>
            <w:rtl/>
          </w:rPr>
          <w:t>הממוצע</w:t>
        </w:r>
        <w:r w:rsidR="00A50885" w:rsidRPr="00A50885">
          <w:rPr>
            <w:rStyle w:val="Hyperlink"/>
            <w:rFonts w:ascii="David" w:hAnsi="David" w:cs="David"/>
            <w:noProof/>
            <w:rtl/>
          </w:rPr>
          <w:t xml:space="preserve"> של שופטי המחוזי</w:t>
        </w:r>
        <w:r w:rsidR="00A50885" w:rsidRPr="00A50885">
          <w:rPr>
            <w:rFonts w:cs="David"/>
            <w:noProof/>
            <w:webHidden/>
            <w:rtl/>
          </w:rPr>
          <w:tab/>
        </w:r>
        <w:r w:rsidR="00A50885" w:rsidRPr="00A50885">
          <w:rPr>
            <w:rFonts w:cs="David"/>
            <w:noProof/>
            <w:webHidden/>
            <w:rtl/>
          </w:rPr>
          <w:fldChar w:fldCharType="begin"/>
        </w:r>
        <w:r w:rsidR="00A50885" w:rsidRPr="00A50885">
          <w:rPr>
            <w:rFonts w:cs="David"/>
            <w:noProof/>
            <w:webHidden/>
            <w:rtl/>
          </w:rPr>
          <w:instrText xml:space="preserve"> </w:instrText>
        </w:r>
        <w:r w:rsidR="00A50885" w:rsidRPr="00A50885">
          <w:rPr>
            <w:rFonts w:cs="David"/>
            <w:noProof/>
            <w:webHidden/>
          </w:rPr>
          <w:instrText>PAGEREF</w:instrText>
        </w:r>
        <w:r w:rsidR="00A50885" w:rsidRPr="00A50885">
          <w:rPr>
            <w:rFonts w:cs="David"/>
            <w:noProof/>
            <w:webHidden/>
            <w:rtl/>
          </w:rPr>
          <w:instrText xml:space="preserve"> _</w:instrText>
        </w:r>
        <w:r w:rsidR="00A50885" w:rsidRPr="00A50885">
          <w:rPr>
            <w:rFonts w:cs="David"/>
            <w:noProof/>
            <w:webHidden/>
          </w:rPr>
          <w:instrText>Toc76988528 \h</w:instrText>
        </w:r>
        <w:r w:rsidR="00A50885" w:rsidRPr="00A50885">
          <w:rPr>
            <w:rFonts w:cs="David"/>
            <w:noProof/>
            <w:webHidden/>
            <w:rtl/>
          </w:rPr>
          <w:instrText xml:space="preserve"> </w:instrText>
        </w:r>
        <w:r w:rsidR="00A50885" w:rsidRPr="00A50885">
          <w:rPr>
            <w:rFonts w:cs="David"/>
            <w:noProof/>
            <w:webHidden/>
            <w:rtl/>
          </w:rPr>
        </w:r>
        <w:r w:rsidR="00A50885" w:rsidRPr="00A50885">
          <w:rPr>
            <w:rFonts w:cs="David"/>
            <w:noProof/>
            <w:webHidden/>
            <w:rtl/>
          </w:rPr>
          <w:fldChar w:fldCharType="separate"/>
        </w:r>
        <w:r>
          <w:rPr>
            <w:rFonts w:cs="David"/>
            <w:noProof/>
            <w:webHidden/>
            <w:rtl/>
          </w:rPr>
          <w:t>59</w:t>
        </w:r>
        <w:r w:rsidR="00A50885" w:rsidRPr="00A50885">
          <w:rPr>
            <w:rFonts w:cs="David"/>
            <w:noProof/>
            <w:webHidden/>
            <w:rtl/>
          </w:rPr>
          <w:fldChar w:fldCharType="end"/>
        </w:r>
      </w:hyperlink>
    </w:p>
    <w:p w14:paraId="61750F30" w14:textId="324BF468" w:rsidR="00A50885" w:rsidRPr="00A50885" w:rsidRDefault="008F1BC3">
      <w:pPr>
        <w:pStyle w:val="af7"/>
        <w:tabs>
          <w:tab w:val="right" w:leader="dot" w:pos="8639"/>
        </w:tabs>
        <w:rPr>
          <w:rFonts w:asciiTheme="minorHAnsi" w:eastAsiaTheme="minorEastAsia" w:hAnsiTheme="minorHAnsi" w:cs="David"/>
          <w:smallCaps w:val="0"/>
          <w:noProof/>
          <w:sz w:val="22"/>
          <w:szCs w:val="22"/>
          <w:rtl/>
        </w:rPr>
      </w:pPr>
      <w:hyperlink w:anchor="_Toc76988529" w:history="1">
        <w:r w:rsidR="00A50885" w:rsidRPr="00A50885">
          <w:rPr>
            <w:rStyle w:val="Hyperlink"/>
            <w:rFonts w:cs="David"/>
            <w:noProof/>
            <w:rtl/>
          </w:rPr>
          <w:t>תרשים 8: פילוח הממצאים בהבחנה בין שופט אזרחי לפלילי</w:t>
        </w:r>
        <w:r w:rsidR="00A50885" w:rsidRPr="00A50885">
          <w:rPr>
            <w:rFonts w:cs="David"/>
            <w:noProof/>
            <w:webHidden/>
            <w:rtl/>
          </w:rPr>
          <w:tab/>
        </w:r>
        <w:r w:rsidR="00A50885" w:rsidRPr="00A50885">
          <w:rPr>
            <w:rFonts w:cs="David"/>
            <w:noProof/>
            <w:webHidden/>
            <w:rtl/>
          </w:rPr>
          <w:fldChar w:fldCharType="begin"/>
        </w:r>
        <w:r w:rsidR="00A50885" w:rsidRPr="00A50885">
          <w:rPr>
            <w:rFonts w:cs="David"/>
            <w:noProof/>
            <w:webHidden/>
            <w:rtl/>
          </w:rPr>
          <w:instrText xml:space="preserve"> </w:instrText>
        </w:r>
        <w:r w:rsidR="00A50885" w:rsidRPr="00A50885">
          <w:rPr>
            <w:rFonts w:cs="David"/>
            <w:noProof/>
            <w:webHidden/>
          </w:rPr>
          <w:instrText>PAGEREF</w:instrText>
        </w:r>
        <w:r w:rsidR="00A50885" w:rsidRPr="00A50885">
          <w:rPr>
            <w:rFonts w:cs="David"/>
            <w:noProof/>
            <w:webHidden/>
            <w:rtl/>
          </w:rPr>
          <w:instrText xml:space="preserve"> _</w:instrText>
        </w:r>
        <w:r w:rsidR="00A50885" w:rsidRPr="00A50885">
          <w:rPr>
            <w:rFonts w:cs="David"/>
            <w:noProof/>
            <w:webHidden/>
          </w:rPr>
          <w:instrText>Toc76988529 \h</w:instrText>
        </w:r>
        <w:r w:rsidR="00A50885" w:rsidRPr="00A50885">
          <w:rPr>
            <w:rFonts w:cs="David"/>
            <w:noProof/>
            <w:webHidden/>
            <w:rtl/>
          </w:rPr>
          <w:instrText xml:space="preserve"> </w:instrText>
        </w:r>
        <w:r w:rsidR="00A50885" w:rsidRPr="00A50885">
          <w:rPr>
            <w:rFonts w:cs="David"/>
            <w:noProof/>
            <w:webHidden/>
            <w:rtl/>
          </w:rPr>
        </w:r>
        <w:r w:rsidR="00A50885" w:rsidRPr="00A50885">
          <w:rPr>
            <w:rFonts w:cs="David"/>
            <w:noProof/>
            <w:webHidden/>
            <w:rtl/>
          </w:rPr>
          <w:fldChar w:fldCharType="separate"/>
        </w:r>
        <w:r>
          <w:rPr>
            <w:rFonts w:cs="David"/>
            <w:noProof/>
            <w:webHidden/>
            <w:rtl/>
          </w:rPr>
          <w:t>61</w:t>
        </w:r>
        <w:r w:rsidR="00A50885" w:rsidRPr="00A50885">
          <w:rPr>
            <w:rFonts w:cs="David"/>
            <w:noProof/>
            <w:webHidden/>
            <w:rtl/>
          </w:rPr>
          <w:fldChar w:fldCharType="end"/>
        </w:r>
      </w:hyperlink>
    </w:p>
    <w:p w14:paraId="62D485B1" w14:textId="486EFB4E" w:rsidR="00A50885" w:rsidRPr="00A50885" w:rsidRDefault="008F1BC3">
      <w:pPr>
        <w:pStyle w:val="af7"/>
        <w:tabs>
          <w:tab w:val="right" w:leader="dot" w:pos="8639"/>
        </w:tabs>
        <w:rPr>
          <w:rFonts w:asciiTheme="minorHAnsi" w:eastAsiaTheme="minorEastAsia" w:hAnsiTheme="minorHAnsi" w:cs="David"/>
          <w:smallCaps w:val="0"/>
          <w:noProof/>
          <w:sz w:val="22"/>
          <w:szCs w:val="22"/>
          <w:rtl/>
        </w:rPr>
      </w:pPr>
      <w:hyperlink w:anchor="_Toc76988530" w:history="1">
        <w:r w:rsidR="00A50885" w:rsidRPr="00A50885">
          <w:rPr>
            <w:rStyle w:val="Hyperlink"/>
            <w:rFonts w:cs="David"/>
            <w:noProof/>
            <w:rtl/>
          </w:rPr>
          <w:t>תרשים 9: פילוח יום העבודה השיפוטי של שופט שלום</w:t>
        </w:r>
        <w:r w:rsidR="00A50885" w:rsidRPr="00A50885">
          <w:rPr>
            <w:rFonts w:cs="David"/>
            <w:noProof/>
            <w:webHidden/>
            <w:rtl/>
          </w:rPr>
          <w:tab/>
        </w:r>
        <w:r w:rsidR="00A50885" w:rsidRPr="00A50885">
          <w:rPr>
            <w:rFonts w:cs="David"/>
            <w:noProof/>
            <w:webHidden/>
            <w:rtl/>
          </w:rPr>
          <w:fldChar w:fldCharType="begin"/>
        </w:r>
        <w:r w:rsidR="00A50885" w:rsidRPr="00A50885">
          <w:rPr>
            <w:rFonts w:cs="David"/>
            <w:noProof/>
            <w:webHidden/>
            <w:rtl/>
          </w:rPr>
          <w:instrText xml:space="preserve"> </w:instrText>
        </w:r>
        <w:r w:rsidR="00A50885" w:rsidRPr="00A50885">
          <w:rPr>
            <w:rFonts w:cs="David"/>
            <w:noProof/>
            <w:webHidden/>
          </w:rPr>
          <w:instrText>PAGEREF</w:instrText>
        </w:r>
        <w:r w:rsidR="00A50885" w:rsidRPr="00A50885">
          <w:rPr>
            <w:rFonts w:cs="David"/>
            <w:noProof/>
            <w:webHidden/>
            <w:rtl/>
          </w:rPr>
          <w:instrText xml:space="preserve"> _</w:instrText>
        </w:r>
        <w:r w:rsidR="00A50885" w:rsidRPr="00A50885">
          <w:rPr>
            <w:rFonts w:cs="David"/>
            <w:noProof/>
            <w:webHidden/>
          </w:rPr>
          <w:instrText>Toc76988530 \h</w:instrText>
        </w:r>
        <w:r w:rsidR="00A50885" w:rsidRPr="00A50885">
          <w:rPr>
            <w:rFonts w:cs="David"/>
            <w:noProof/>
            <w:webHidden/>
            <w:rtl/>
          </w:rPr>
          <w:instrText xml:space="preserve"> </w:instrText>
        </w:r>
        <w:r w:rsidR="00A50885" w:rsidRPr="00A50885">
          <w:rPr>
            <w:rFonts w:cs="David"/>
            <w:noProof/>
            <w:webHidden/>
            <w:rtl/>
          </w:rPr>
        </w:r>
        <w:r w:rsidR="00A50885" w:rsidRPr="00A50885">
          <w:rPr>
            <w:rFonts w:cs="David"/>
            <w:noProof/>
            <w:webHidden/>
            <w:rtl/>
          </w:rPr>
          <w:fldChar w:fldCharType="separate"/>
        </w:r>
        <w:r>
          <w:rPr>
            <w:rFonts w:cs="David"/>
            <w:noProof/>
            <w:webHidden/>
            <w:rtl/>
          </w:rPr>
          <w:t>74</w:t>
        </w:r>
        <w:r w:rsidR="00A50885" w:rsidRPr="00A50885">
          <w:rPr>
            <w:rFonts w:cs="David"/>
            <w:noProof/>
            <w:webHidden/>
            <w:rtl/>
          </w:rPr>
          <w:fldChar w:fldCharType="end"/>
        </w:r>
      </w:hyperlink>
    </w:p>
    <w:p w14:paraId="0E19CEAA" w14:textId="2CE2CE64" w:rsidR="00A50885" w:rsidRPr="00A50885" w:rsidRDefault="008F1BC3">
      <w:pPr>
        <w:pStyle w:val="af7"/>
        <w:tabs>
          <w:tab w:val="right" w:leader="dot" w:pos="8639"/>
        </w:tabs>
        <w:rPr>
          <w:rFonts w:asciiTheme="minorHAnsi" w:eastAsiaTheme="minorEastAsia" w:hAnsiTheme="minorHAnsi" w:cs="David"/>
          <w:smallCaps w:val="0"/>
          <w:noProof/>
          <w:sz w:val="22"/>
          <w:szCs w:val="22"/>
          <w:rtl/>
        </w:rPr>
      </w:pPr>
      <w:hyperlink w:anchor="_Toc76988531" w:history="1">
        <w:r w:rsidR="00A50885" w:rsidRPr="00A50885">
          <w:rPr>
            <w:rStyle w:val="Hyperlink"/>
            <w:rFonts w:cs="David"/>
            <w:noProof/>
            <w:rtl/>
          </w:rPr>
          <w:t>תרשים 10: פילוח בהבחנה בין שופט אזרחי לפלילי</w:t>
        </w:r>
        <w:r w:rsidR="00A50885" w:rsidRPr="00A50885">
          <w:rPr>
            <w:rFonts w:cs="David"/>
            <w:noProof/>
            <w:webHidden/>
            <w:rtl/>
          </w:rPr>
          <w:tab/>
        </w:r>
        <w:r w:rsidR="00A50885" w:rsidRPr="00A50885">
          <w:rPr>
            <w:rFonts w:cs="David"/>
            <w:noProof/>
            <w:webHidden/>
            <w:rtl/>
          </w:rPr>
          <w:fldChar w:fldCharType="begin"/>
        </w:r>
        <w:r w:rsidR="00A50885" w:rsidRPr="00A50885">
          <w:rPr>
            <w:rFonts w:cs="David"/>
            <w:noProof/>
            <w:webHidden/>
            <w:rtl/>
          </w:rPr>
          <w:instrText xml:space="preserve"> </w:instrText>
        </w:r>
        <w:r w:rsidR="00A50885" w:rsidRPr="00A50885">
          <w:rPr>
            <w:rFonts w:cs="David"/>
            <w:noProof/>
            <w:webHidden/>
          </w:rPr>
          <w:instrText>PAGEREF</w:instrText>
        </w:r>
        <w:r w:rsidR="00A50885" w:rsidRPr="00A50885">
          <w:rPr>
            <w:rFonts w:cs="David"/>
            <w:noProof/>
            <w:webHidden/>
            <w:rtl/>
          </w:rPr>
          <w:instrText xml:space="preserve"> _</w:instrText>
        </w:r>
        <w:r w:rsidR="00A50885" w:rsidRPr="00A50885">
          <w:rPr>
            <w:rFonts w:cs="David"/>
            <w:noProof/>
            <w:webHidden/>
          </w:rPr>
          <w:instrText>Toc76988531 \h</w:instrText>
        </w:r>
        <w:r w:rsidR="00A50885" w:rsidRPr="00A50885">
          <w:rPr>
            <w:rFonts w:cs="David"/>
            <w:noProof/>
            <w:webHidden/>
            <w:rtl/>
          </w:rPr>
          <w:instrText xml:space="preserve"> </w:instrText>
        </w:r>
        <w:r w:rsidR="00A50885" w:rsidRPr="00A50885">
          <w:rPr>
            <w:rFonts w:cs="David"/>
            <w:noProof/>
            <w:webHidden/>
            <w:rtl/>
          </w:rPr>
        </w:r>
        <w:r w:rsidR="00A50885" w:rsidRPr="00A50885">
          <w:rPr>
            <w:rFonts w:cs="David"/>
            <w:noProof/>
            <w:webHidden/>
            <w:rtl/>
          </w:rPr>
          <w:fldChar w:fldCharType="separate"/>
        </w:r>
        <w:r>
          <w:rPr>
            <w:rFonts w:cs="David"/>
            <w:noProof/>
            <w:webHidden/>
            <w:rtl/>
          </w:rPr>
          <w:t>75</w:t>
        </w:r>
        <w:r w:rsidR="00A50885" w:rsidRPr="00A50885">
          <w:rPr>
            <w:rFonts w:cs="David"/>
            <w:noProof/>
            <w:webHidden/>
            <w:rtl/>
          </w:rPr>
          <w:fldChar w:fldCharType="end"/>
        </w:r>
      </w:hyperlink>
    </w:p>
    <w:p w14:paraId="0F1A10CD" w14:textId="7374D4F6" w:rsidR="00A50885" w:rsidRPr="00A50885" w:rsidRDefault="008F1BC3">
      <w:pPr>
        <w:pStyle w:val="af7"/>
        <w:tabs>
          <w:tab w:val="right" w:leader="dot" w:pos="8639"/>
        </w:tabs>
        <w:rPr>
          <w:rFonts w:asciiTheme="minorHAnsi" w:eastAsiaTheme="minorEastAsia" w:hAnsiTheme="minorHAnsi" w:cs="David"/>
          <w:smallCaps w:val="0"/>
          <w:noProof/>
          <w:sz w:val="22"/>
          <w:szCs w:val="22"/>
          <w:rtl/>
        </w:rPr>
      </w:pPr>
      <w:hyperlink w:anchor="_Toc76988532" w:history="1">
        <w:r w:rsidR="00A50885" w:rsidRPr="00A50885">
          <w:rPr>
            <w:rStyle w:val="Hyperlink"/>
            <w:rFonts w:cs="David"/>
            <w:noProof/>
            <w:rtl/>
          </w:rPr>
          <w:t>תרשים 11: תמהיל יום העבודה השיפוטי לפי סוג הגורם השיפוטי</w:t>
        </w:r>
        <w:r w:rsidR="00A50885" w:rsidRPr="00A50885">
          <w:rPr>
            <w:rFonts w:cs="David"/>
            <w:noProof/>
            <w:webHidden/>
            <w:rtl/>
          </w:rPr>
          <w:tab/>
        </w:r>
        <w:r w:rsidR="00A50885" w:rsidRPr="00A50885">
          <w:rPr>
            <w:rFonts w:cs="David"/>
            <w:noProof/>
            <w:webHidden/>
            <w:rtl/>
          </w:rPr>
          <w:fldChar w:fldCharType="begin"/>
        </w:r>
        <w:r w:rsidR="00A50885" w:rsidRPr="00A50885">
          <w:rPr>
            <w:rFonts w:cs="David"/>
            <w:noProof/>
            <w:webHidden/>
            <w:rtl/>
          </w:rPr>
          <w:instrText xml:space="preserve"> </w:instrText>
        </w:r>
        <w:r w:rsidR="00A50885" w:rsidRPr="00A50885">
          <w:rPr>
            <w:rFonts w:cs="David"/>
            <w:noProof/>
            <w:webHidden/>
          </w:rPr>
          <w:instrText>PAGEREF</w:instrText>
        </w:r>
        <w:r w:rsidR="00A50885" w:rsidRPr="00A50885">
          <w:rPr>
            <w:rFonts w:cs="David"/>
            <w:noProof/>
            <w:webHidden/>
            <w:rtl/>
          </w:rPr>
          <w:instrText xml:space="preserve"> _</w:instrText>
        </w:r>
        <w:r w:rsidR="00A50885" w:rsidRPr="00A50885">
          <w:rPr>
            <w:rFonts w:cs="David"/>
            <w:noProof/>
            <w:webHidden/>
          </w:rPr>
          <w:instrText>Toc76988532 \h</w:instrText>
        </w:r>
        <w:r w:rsidR="00A50885" w:rsidRPr="00A50885">
          <w:rPr>
            <w:rFonts w:cs="David"/>
            <w:noProof/>
            <w:webHidden/>
            <w:rtl/>
          </w:rPr>
          <w:instrText xml:space="preserve"> </w:instrText>
        </w:r>
        <w:r w:rsidR="00A50885" w:rsidRPr="00A50885">
          <w:rPr>
            <w:rFonts w:cs="David"/>
            <w:noProof/>
            <w:webHidden/>
            <w:rtl/>
          </w:rPr>
        </w:r>
        <w:r w:rsidR="00A50885" w:rsidRPr="00A50885">
          <w:rPr>
            <w:rFonts w:cs="David"/>
            <w:noProof/>
            <w:webHidden/>
            <w:rtl/>
          </w:rPr>
          <w:fldChar w:fldCharType="separate"/>
        </w:r>
        <w:r>
          <w:rPr>
            <w:rFonts w:cs="David"/>
            <w:noProof/>
            <w:webHidden/>
            <w:rtl/>
          </w:rPr>
          <w:t>76</w:t>
        </w:r>
        <w:r w:rsidR="00A50885" w:rsidRPr="00A50885">
          <w:rPr>
            <w:rFonts w:cs="David"/>
            <w:noProof/>
            <w:webHidden/>
            <w:rtl/>
          </w:rPr>
          <w:fldChar w:fldCharType="end"/>
        </w:r>
      </w:hyperlink>
    </w:p>
    <w:p w14:paraId="76032F0F" w14:textId="73D12C70" w:rsidR="00A50885" w:rsidRPr="00A50885" w:rsidRDefault="008F1BC3">
      <w:pPr>
        <w:pStyle w:val="af7"/>
        <w:tabs>
          <w:tab w:val="right" w:leader="dot" w:pos="8639"/>
        </w:tabs>
        <w:rPr>
          <w:rFonts w:asciiTheme="minorHAnsi" w:eastAsiaTheme="minorEastAsia" w:hAnsiTheme="minorHAnsi" w:cs="David"/>
          <w:smallCaps w:val="0"/>
          <w:noProof/>
          <w:sz w:val="22"/>
          <w:szCs w:val="22"/>
          <w:rtl/>
        </w:rPr>
      </w:pPr>
      <w:hyperlink w:anchor="_Toc76988533" w:history="1">
        <w:r w:rsidR="00A50885" w:rsidRPr="00A50885">
          <w:rPr>
            <w:rStyle w:val="Hyperlink"/>
            <w:rFonts w:cs="David"/>
            <w:noProof/>
            <w:rtl/>
          </w:rPr>
          <w:t xml:space="preserve">תרשים </w:t>
        </w:r>
        <w:r w:rsidR="00A50885" w:rsidRPr="00A50885">
          <w:rPr>
            <w:rStyle w:val="Hyperlink"/>
            <w:rFonts w:ascii="David" w:hAnsi="David" w:cs="David"/>
            <w:noProof/>
            <w:rtl/>
          </w:rPr>
          <w:t>12: תמהיל יום העבודה שיפוטי של שופטי תעבורה</w:t>
        </w:r>
        <w:r w:rsidR="00A50885" w:rsidRPr="00A50885">
          <w:rPr>
            <w:rFonts w:cs="David"/>
            <w:noProof/>
            <w:webHidden/>
            <w:rtl/>
          </w:rPr>
          <w:tab/>
        </w:r>
        <w:r w:rsidR="00A50885" w:rsidRPr="00A50885">
          <w:rPr>
            <w:rFonts w:cs="David"/>
            <w:noProof/>
            <w:webHidden/>
            <w:rtl/>
          </w:rPr>
          <w:fldChar w:fldCharType="begin"/>
        </w:r>
        <w:r w:rsidR="00A50885" w:rsidRPr="00A50885">
          <w:rPr>
            <w:rFonts w:cs="David"/>
            <w:noProof/>
            <w:webHidden/>
            <w:rtl/>
          </w:rPr>
          <w:instrText xml:space="preserve"> </w:instrText>
        </w:r>
        <w:r w:rsidR="00A50885" w:rsidRPr="00A50885">
          <w:rPr>
            <w:rFonts w:cs="David"/>
            <w:noProof/>
            <w:webHidden/>
          </w:rPr>
          <w:instrText>PAGEREF</w:instrText>
        </w:r>
        <w:r w:rsidR="00A50885" w:rsidRPr="00A50885">
          <w:rPr>
            <w:rFonts w:cs="David"/>
            <w:noProof/>
            <w:webHidden/>
            <w:rtl/>
          </w:rPr>
          <w:instrText xml:space="preserve"> _</w:instrText>
        </w:r>
        <w:r w:rsidR="00A50885" w:rsidRPr="00A50885">
          <w:rPr>
            <w:rFonts w:cs="David"/>
            <w:noProof/>
            <w:webHidden/>
          </w:rPr>
          <w:instrText>Toc76988533 \h</w:instrText>
        </w:r>
        <w:r w:rsidR="00A50885" w:rsidRPr="00A50885">
          <w:rPr>
            <w:rFonts w:cs="David"/>
            <w:noProof/>
            <w:webHidden/>
            <w:rtl/>
          </w:rPr>
          <w:instrText xml:space="preserve"> </w:instrText>
        </w:r>
        <w:r w:rsidR="00A50885" w:rsidRPr="00A50885">
          <w:rPr>
            <w:rFonts w:cs="David"/>
            <w:noProof/>
            <w:webHidden/>
            <w:rtl/>
          </w:rPr>
        </w:r>
        <w:r w:rsidR="00A50885" w:rsidRPr="00A50885">
          <w:rPr>
            <w:rFonts w:cs="David"/>
            <w:noProof/>
            <w:webHidden/>
            <w:rtl/>
          </w:rPr>
          <w:fldChar w:fldCharType="separate"/>
        </w:r>
        <w:r>
          <w:rPr>
            <w:rFonts w:cs="David"/>
            <w:noProof/>
            <w:webHidden/>
            <w:rtl/>
          </w:rPr>
          <w:t>80</w:t>
        </w:r>
        <w:r w:rsidR="00A50885" w:rsidRPr="00A50885">
          <w:rPr>
            <w:rFonts w:cs="David"/>
            <w:noProof/>
            <w:webHidden/>
            <w:rtl/>
          </w:rPr>
          <w:fldChar w:fldCharType="end"/>
        </w:r>
      </w:hyperlink>
    </w:p>
    <w:p w14:paraId="73314131" w14:textId="11EF4A93" w:rsidR="00A50885" w:rsidRPr="00A50885" w:rsidRDefault="008F1BC3">
      <w:pPr>
        <w:pStyle w:val="af7"/>
        <w:tabs>
          <w:tab w:val="right" w:leader="dot" w:pos="8639"/>
        </w:tabs>
        <w:rPr>
          <w:rFonts w:asciiTheme="minorHAnsi" w:eastAsiaTheme="minorEastAsia" w:hAnsiTheme="minorHAnsi" w:cs="David"/>
          <w:smallCaps w:val="0"/>
          <w:noProof/>
          <w:sz w:val="22"/>
          <w:szCs w:val="22"/>
          <w:rtl/>
        </w:rPr>
      </w:pPr>
      <w:hyperlink w:anchor="_Toc76988534" w:history="1">
        <w:r w:rsidR="00A50885" w:rsidRPr="00A50885">
          <w:rPr>
            <w:rStyle w:val="Hyperlink"/>
            <w:rFonts w:cs="David"/>
            <w:noProof/>
            <w:rtl/>
          </w:rPr>
          <w:t xml:space="preserve">תרשים </w:t>
        </w:r>
        <w:r w:rsidR="00A50885" w:rsidRPr="00A50885">
          <w:rPr>
            <w:rStyle w:val="Hyperlink"/>
            <w:rFonts w:ascii="David" w:hAnsi="David" w:cs="David"/>
            <w:noProof/>
            <w:rtl/>
          </w:rPr>
          <w:t>13: תמהיל יום העבודה השיפוטי הממוצע של שופט משפחה</w:t>
        </w:r>
        <w:r w:rsidR="00A50885" w:rsidRPr="00A50885">
          <w:rPr>
            <w:rFonts w:cs="David"/>
            <w:noProof/>
            <w:webHidden/>
            <w:rtl/>
          </w:rPr>
          <w:tab/>
        </w:r>
        <w:r w:rsidR="00A50885" w:rsidRPr="00A50885">
          <w:rPr>
            <w:rFonts w:cs="David"/>
            <w:noProof/>
            <w:webHidden/>
            <w:rtl/>
          </w:rPr>
          <w:fldChar w:fldCharType="begin"/>
        </w:r>
        <w:r w:rsidR="00A50885" w:rsidRPr="00A50885">
          <w:rPr>
            <w:rFonts w:cs="David"/>
            <w:noProof/>
            <w:webHidden/>
            <w:rtl/>
          </w:rPr>
          <w:instrText xml:space="preserve"> </w:instrText>
        </w:r>
        <w:r w:rsidR="00A50885" w:rsidRPr="00A50885">
          <w:rPr>
            <w:rFonts w:cs="David"/>
            <w:noProof/>
            <w:webHidden/>
          </w:rPr>
          <w:instrText>PAGEREF</w:instrText>
        </w:r>
        <w:r w:rsidR="00A50885" w:rsidRPr="00A50885">
          <w:rPr>
            <w:rFonts w:cs="David"/>
            <w:noProof/>
            <w:webHidden/>
            <w:rtl/>
          </w:rPr>
          <w:instrText xml:space="preserve"> _</w:instrText>
        </w:r>
        <w:r w:rsidR="00A50885" w:rsidRPr="00A50885">
          <w:rPr>
            <w:rFonts w:cs="David"/>
            <w:noProof/>
            <w:webHidden/>
          </w:rPr>
          <w:instrText>Toc76988534 \h</w:instrText>
        </w:r>
        <w:r w:rsidR="00A50885" w:rsidRPr="00A50885">
          <w:rPr>
            <w:rFonts w:cs="David"/>
            <w:noProof/>
            <w:webHidden/>
            <w:rtl/>
          </w:rPr>
          <w:instrText xml:space="preserve"> </w:instrText>
        </w:r>
        <w:r w:rsidR="00A50885" w:rsidRPr="00A50885">
          <w:rPr>
            <w:rFonts w:cs="David"/>
            <w:noProof/>
            <w:webHidden/>
            <w:rtl/>
          </w:rPr>
        </w:r>
        <w:r w:rsidR="00A50885" w:rsidRPr="00A50885">
          <w:rPr>
            <w:rFonts w:cs="David"/>
            <w:noProof/>
            <w:webHidden/>
            <w:rtl/>
          </w:rPr>
          <w:fldChar w:fldCharType="separate"/>
        </w:r>
        <w:r>
          <w:rPr>
            <w:rFonts w:cs="David"/>
            <w:noProof/>
            <w:webHidden/>
            <w:rtl/>
          </w:rPr>
          <w:t>83</w:t>
        </w:r>
        <w:r w:rsidR="00A50885" w:rsidRPr="00A50885">
          <w:rPr>
            <w:rFonts w:cs="David"/>
            <w:noProof/>
            <w:webHidden/>
            <w:rtl/>
          </w:rPr>
          <w:fldChar w:fldCharType="end"/>
        </w:r>
      </w:hyperlink>
    </w:p>
    <w:p w14:paraId="439EE09F" w14:textId="14A8C15E" w:rsidR="00A50885" w:rsidRPr="00A50885" w:rsidRDefault="008F1BC3">
      <w:pPr>
        <w:pStyle w:val="af7"/>
        <w:tabs>
          <w:tab w:val="right" w:leader="dot" w:pos="8639"/>
        </w:tabs>
        <w:rPr>
          <w:rFonts w:asciiTheme="minorHAnsi" w:eastAsiaTheme="minorEastAsia" w:hAnsiTheme="minorHAnsi" w:cs="David"/>
          <w:smallCaps w:val="0"/>
          <w:noProof/>
          <w:sz w:val="22"/>
          <w:szCs w:val="22"/>
          <w:rtl/>
        </w:rPr>
      </w:pPr>
      <w:hyperlink w:anchor="_Toc76988535" w:history="1">
        <w:r w:rsidR="00A50885" w:rsidRPr="00A50885">
          <w:rPr>
            <w:rStyle w:val="Hyperlink"/>
            <w:rFonts w:cs="David"/>
            <w:noProof/>
            <w:rtl/>
          </w:rPr>
          <w:t xml:space="preserve">תרשים </w:t>
        </w:r>
        <w:r w:rsidR="00A50885" w:rsidRPr="00A50885">
          <w:rPr>
            <w:rStyle w:val="Hyperlink"/>
            <w:rFonts w:ascii="David" w:hAnsi="David" w:cs="David"/>
            <w:noProof/>
            <w:rtl/>
          </w:rPr>
          <w:t>14: תמהיל יום העבודה שיפוטי של שופטי נוער</w:t>
        </w:r>
        <w:r w:rsidR="00A50885" w:rsidRPr="00A50885">
          <w:rPr>
            <w:rFonts w:cs="David"/>
            <w:noProof/>
            <w:webHidden/>
            <w:rtl/>
          </w:rPr>
          <w:tab/>
        </w:r>
        <w:r w:rsidR="00A50885" w:rsidRPr="00A50885">
          <w:rPr>
            <w:rFonts w:cs="David"/>
            <w:noProof/>
            <w:webHidden/>
            <w:rtl/>
          </w:rPr>
          <w:fldChar w:fldCharType="begin"/>
        </w:r>
        <w:r w:rsidR="00A50885" w:rsidRPr="00A50885">
          <w:rPr>
            <w:rFonts w:cs="David"/>
            <w:noProof/>
            <w:webHidden/>
            <w:rtl/>
          </w:rPr>
          <w:instrText xml:space="preserve"> </w:instrText>
        </w:r>
        <w:r w:rsidR="00A50885" w:rsidRPr="00A50885">
          <w:rPr>
            <w:rFonts w:cs="David"/>
            <w:noProof/>
            <w:webHidden/>
          </w:rPr>
          <w:instrText>PAGEREF</w:instrText>
        </w:r>
        <w:r w:rsidR="00A50885" w:rsidRPr="00A50885">
          <w:rPr>
            <w:rFonts w:cs="David"/>
            <w:noProof/>
            <w:webHidden/>
            <w:rtl/>
          </w:rPr>
          <w:instrText xml:space="preserve"> _</w:instrText>
        </w:r>
        <w:r w:rsidR="00A50885" w:rsidRPr="00A50885">
          <w:rPr>
            <w:rFonts w:cs="David"/>
            <w:noProof/>
            <w:webHidden/>
          </w:rPr>
          <w:instrText>Toc76988535 \h</w:instrText>
        </w:r>
        <w:r w:rsidR="00A50885" w:rsidRPr="00A50885">
          <w:rPr>
            <w:rFonts w:cs="David"/>
            <w:noProof/>
            <w:webHidden/>
            <w:rtl/>
          </w:rPr>
          <w:instrText xml:space="preserve"> </w:instrText>
        </w:r>
        <w:r w:rsidR="00A50885" w:rsidRPr="00A50885">
          <w:rPr>
            <w:rFonts w:cs="David"/>
            <w:noProof/>
            <w:webHidden/>
            <w:rtl/>
          </w:rPr>
        </w:r>
        <w:r w:rsidR="00A50885" w:rsidRPr="00A50885">
          <w:rPr>
            <w:rFonts w:cs="David"/>
            <w:noProof/>
            <w:webHidden/>
            <w:rtl/>
          </w:rPr>
          <w:fldChar w:fldCharType="separate"/>
        </w:r>
        <w:r>
          <w:rPr>
            <w:rFonts w:cs="David"/>
            <w:noProof/>
            <w:webHidden/>
            <w:rtl/>
          </w:rPr>
          <w:t>86</w:t>
        </w:r>
        <w:r w:rsidR="00A50885" w:rsidRPr="00A50885">
          <w:rPr>
            <w:rFonts w:cs="David"/>
            <w:noProof/>
            <w:webHidden/>
            <w:rtl/>
          </w:rPr>
          <w:fldChar w:fldCharType="end"/>
        </w:r>
      </w:hyperlink>
    </w:p>
    <w:p w14:paraId="411C1C49" w14:textId="3DA3A36D" w:rsidR="00A50885" w:rsidRPr="00A50885" w:rsidRDefault="008F1BC3">
      <w:pPr>
        <w:pStyle w:val="af7"/>
        <w:tabs>
          <w:tab w:val="right" w:leader="dot" w:pos="8639"/>
        </w:tabs>
        <w:rPr>
          <w:rFonts w:asciiTheme="minorHAnsi" w:eastAsiaTheme="minorEastAsia" w:hAnsiTheme="minorHAnsi" w:cs="David"/>
          <w:smallCaps w:val="0"/>
          <w:noProof/>
          <w:sz w:val="22"/>
          <w:szCs w:val="22"/>
          <w:rtl/>
        </w:rPr>
      </w:pPr>
      <w:hyperlink w:anchor="_Toc76988536" w:history="1">
        <w:r w:rsidR="00A50885" w:rsidRPr="00A50885">
          <w:rPr>
            <w:rStyle w:val="Hyperlink"/>
            <w:rFonts w:cs="David"/>
            <w:noProof/>
            <w:rtl/>
          </w:rPr>
          <w:t>תרשים 15: תמהיל יום העבודה השיפוטי של שופטי בית הדין לעבודה</w:t>
        </w:r>
        <w:r w:rsidR="00A50885" w:rsidRPr="00A50885">
          <w:rPr>
            <w:rFonts w:cs="David"/>
            <w:noProof/>
            <w:webHidden/>
            <w:rtl/>
          </w:rPr>
          <w:tab/>
        </w:r>
        <w:r w:rsidR="00A50885" w:rsidRPr="00A50885">
          <w:rPr>
            <w:rFonts w:cs="David"/>
            <w:noProof/>
            <w:webHidden/>
            <w:rtl/>
          </w:rPr>
          <w:fldChar w:fldCharType="begin"/>
        </w:r>
        <w:r w:rsidR="00A50885" w:rsidRPr="00A50885">
          <w:rPr>
            <w:rFonts w:cs="David"/>
            <w:noProof/>
            <w:webHidden/>
            <w:rtl/>
          </w:rPr>
          <w:instrText xml:space="preserve"> </w:instrText>
        </w:r>
        <w:r w:rsidR="00A50885" w:rsidRPr="00A50885">
          <w:rPr>
            <w:rFonts w:cs="David"/>
            <w:noProof/>
            <w:webHidden/>
          </w:rPr>
          <w:instrText>PAGEREF</w:instrText>
        </w:r>
        <w:r w:rsidR="00A50885" w:rsidRPr="00A50885">
          <w:rPr>
            <w:rFonts w:cs="David"/>
            <w:noProof/>
            <w:webHidden/>
            <w:rtl/>
          </w:rPr>
          <w:instrText xml:space="preserve"> _</w:instrText>
        </w:r>
        <w:r w:rsidR="00A50885" w:rsidRPr="00A50885">
          <w:rPr>
            <w:rFonts w:cs="David"/>
            <w:noProof/>
            <w:webHidden/>
          </w:rPr>
          <w:instrText>Toc76988536 \h</w:instrText>
        </w:r>
        <w:r w:rsidR="00A50885" w:rsidRPr="00A50885">
          <w:rPr>
            <w:rFonts w:cs="David"/>
            <w:noProof/>
            <w:webHidden/>
            <w:rtl/>
          </w:rPr>
          <w:instrText xml:space="preserve"> </w:instrText>
        </w:r>
        <w:r w:rsidR="00A50885" w:rsidRPr="00A50885">
          <w:rPr>
            <w:rFonts w:cs="David"/>
            <w:noProof/>
            <w:webHidden/>
            <w:rtl/>
          </w:rPr>
        </w:r>
        <w:r w:rsidR="00A50885" w:rsidRPr="00A50885">
          <w:rPr>
            <w:rFonts w:cs="David"/>
            <w:noProof/>
            <w:webHidden/>
            <w:rtl/>
          </w:rPr>
          <w:fldChar w:fldCharType="separate"/>
        </w:r>
        <w:r>
          <w:rPr>
            <w:rFonts w:cs="David"/>
            <w:noProof/>
            <w:webHidden/>
            <w:rtl/>
          </w:rPr>
          <w:t>88</w:t>
        </w:r>
        <w:r w:rsidR="00A50885" w:rsidRPr="00A50885">
          <w:rPr>
            <w:rFonts w:cs="David"/>
            <w:noProof/>
            <w:webHidden/>
            <w:rtl/>
          </w:rPr>
          <w:fldChar w:fldCharType="end"/>
        </w:r>
      </w:hyperlink>
    </w:p>
    <w:p w14:paraId="6E760544" w14:textId="1816EFCE" w:rsidR="00A50885" w:rsidRPr="00A50885" w:rsidRDefault="008F1BC3">
      <w:pPr>
        <w:pStyle w:val="af7"/>
        <w:tabs>
          <w:tab w:val="right" w:leader="dot" w:pos="8639"/>
        </w:tabs>
        <w:rPr>
          <w:rFonts w:asciiTheme="minorHAnsi" w:eastAsiaTheme="minorEastAsia" w:hAnsiTheme="minorHAnsi" w:cs="David"/>
          <w:smallCaps w:val="0"/>
          <w:noProof/>
          <w:sz w:val="22"/>
          <w:szCs w:val="22"/>
          <w:rtl/>
        </w:rPr>
      </w:pPr>
      <w:hyperlink w:anchor="_Toc76988537" w:history="1">
        <w:r w:rsidR="00A50885" w:rsidRPr="00A50885">
          <w:rPr>
            <w:rStyle w:val="Hyperlink"/>
            <w:rFonts w:cs="David"/>
            <w:noProof/>
            <w:rtl/>
          </w:rPr>
          <w:t>תרשים 16: תמהיל יום העבודה השיפוטי הממוצע של כלל שופטי ערכאות השלום והמחוזי</w:t>
        </w:r>
        <w:r w:rsidR="00A50885" w:rsidRPr="00A50885">
          <w:rPr>
            <w:rFonts w:cs="David"/>
            <w:noProof/>
            <w:webHidden/>
            <w:rtl/>
          </w:rPr>
          <w:tab/>
        </w:r>
        <w:r w:rsidR="00A50885" w:rsidRPr="00A50885">
          <w:rPr>
            <w:rFonts w:cs="David"/>
            <w:noProof/>
            <w:webHidden/>
            <w:rtl/>
          </w:rPr>
          <w:fldChar w:fldCharType="begin"/>
        </w:r>
        <w:r w:rsidR="00A50885" w:rsidRPr="00A50885">
          <w:rPr>
            <w:rFonts w:cs="David"/>
            <w:noProof/>
            <w:webHidden/>
            <w:rtl/>
          </w:rPr>
          <w:instrText xml:space="preserve"> </w:instrText>
        </w:r>
        <w:r w:rsidR="00A50885" w:rsidRPr="00A50885">
          <w:rPr>
            <w:rFonts w:cs="David"/>
            <w:noProof/>
            <w:webHidden/>
          </w:rPr>
          <w:instrText>PAGEREF</w:instrText>
        </w:r>
        <w:r w:rsidR="00A50885" w:rsidRPr="00A50885">
          <w:rPr>
            <w:rFonts w:cs="David"/>
            <w:noProof/>
            <w:webHidden/>
            <w:rtl/>
          </w:rPr>
          <w:instrText xml:space="preserve"> _</w:instrText>
        </w:r>
        <w:r w:rsidR="00A50885" w:rsidRPr="00A50885">
          <w:rPr>
            <w:rFonts w:cs="David"/>
            <w:noProof/>
            <w:webHidden/>
          </w:rPr>
          <w:instrText>Toc76988537 \h</w:instrText>
        </w:r>
        <w:r w:rsidR="00A50885" w:rsidRPr="00A50885">
          <w:rPr>
            <w:rFonts w:cs="David"/>
            <w:noProof/>
            <w:webHidden/>
            <w:rtl/>
          </w:rPr>
          <w:instrText xml:space="preserve"> </w:instrText>
        </w:r>
        <w:r w:rsidR="00A50885" w:rsidRPr="00A50885">
          <w:rPr>
            <w:rFonts w:cs="David"/>
            <w:noProof/>
            <w:webHidden/>
            <w:rtl/>
          </w:rPr>
        </w:r>
        <w:r w:rsidR="00A50885" w:rsidRPr="00A50885">
          <w:rPr>
            <w:rFonts w:cs="David"/>
            <w:noProof/>
            <w:webHidden/>
            <w:rtl/>
          </w:rPr>
          <w:fldChar w:fldCharType="separate"/>
        </w:r>
        <w:r>
          <w:rPr>
            <w:rFonts w:cs="David"/>
            <w:noProof/>
            <w:webHidden/>
            <w:rtl/>
          </w:rPr>
          <w:t>106</w:t>
        </w:r>
        <w:r w:rsidR="00A50885" w:rsidRPr="00A50885">
          <w:rPr>
            <w:rFonts w:cs="David"/>
            <w:noProof/>
            <w:webHidden/>
            <w:rtl/>
          </w:rPr>
          <w:fldChar w:fldCharType="end"/>
        </w:r>
      </w:hyperlink>
    </w:p>
    <w:p w14:paraId="40B4FF5C" w14:textId="1F602DF2" w:rsidR="00A50885" w:rsidRPr="00A50885" w:rsidRDefault="008F1BC3">
      <w:pPr>
        <w:pStyle w:val="af7"/>
        <w:tabs>
          <w:tab w:val="right" w:leader="dot" w:pos="8639"/>
        </w:tabs>
        <w:rPr>
          <w:rFonts w:asciiTheme="minorHAnsi" w:eastAsiaTheme="minorEastAsia" w:hAnsiTheme="minorHAnsi" w:cs="David"/>
          <w:smallCaps w:val="0"/>
          <w:noProof/>
          <w:sz w:val="22"/>
          <w:szCs w:val="22"/>
          <w:rtl/>
        </w:rPr>
      </w:pPr>
      <w:hyperlink w:anchor="_Toc76988538" w:history="1">
        <w:r w:rsidR="00A50885" w:rsidRPr="00A50885">
          <w:rPr>
            <w:rStyle w:val="Hyperlink"/>
            <w:rFonts w:cs="David"/>
            <w:noProof/>
            <w:rtl/>
          </w:rPr>
          <w:t>תרשים 17</w:t>
        </w:r>
        <w:r w:rsidR="00A50885" w:rsidRPr="00A50885">
          <w:rPr>
            <w:rStyle w:val="Hyperlink"/>
            <w:rFonts w:ascii="David" w:hAnsi="David" w:cs="David"/>
            <w:noProof/>
            <w:rtl/>
          </w:rPr>
          <w:t>: פילוח תמהיל יום העבודה השיפוטי בחלוקה לערכאות השיפוט השונות</w:t>
        </w:r>
        <w:r w:rsidR="00A50885" w:rsidRPr="00A50885">
          <w:rPr>
            <w:rFonts w:cs="David"/>
            <w:noProof/>
            <w:webHidden/>
            <w:rtl/>
          </w:rPr>
          <w:tab/>
        </w:r>
        <w:r w:rsidR="00A50885" w:rsidRPr="00A50885">
          <w:rPr>
            <w:rFonts w:cs="David"/>
            <w:noProof/>
            <w:webHidden/>
            <w:rtl/>
          </w:rPr>
          <w:fldChar w:fldCharType="begin"/>
        </w:r>
        <w:r w:rsidR="00A50885" w:rsidRPr="00A50885">
          <w:rPr>
            <w:rFonts w:cs="David"/>
            <w:noProof/>
            <w:webHidden/>
            <w:rtl/>
          </w:rPr>
          <w:instrText xml:space="preserve"> </w:instrText>
        </w:r>
        <w:r w:rsidR="00A50885" w:rsidRPr="00A50885">
          <w:rPr>
            <w:rFonts w:cs="David"/>
            <w:noProof/>
            <w:webHidden/>
          </w:rPr>
          <w:instrText>PAGEREF</w:instrText>
        </w:r>
        <w:r w:rsidR="00A50885" w:rsidRPr="00A50885">
          <w:rPr>
            <w:rFonts w:cs="David"/>
            <w:noProof/>
            <w:webHidden/>
            <w:rtl/>
          </w:rPr>
          <w:instrText xml:space="preserve"> _</w:instrText>
        </w:r>
        <w:r w:rsidR="00A50885" w:rsidRPr="00A50885">
          <w:rPr>
            <w:rFonts w:cs="David"/>
            <w:noProof/>
            <w:webHidden/>
          </w:rPr>
          <w:instrText>Toc76988538 \h</w:instrText>
        </w:r>
        <w:r w:rsidR="00A50885" w:rsidRPr="00A50885">
          <w:rPr>
            <w:rFonts w:cs="David"/>
            <w:noProof/>
            <w:webHidden/>
            <w:rtl/>
          </w:rPr>
          <w:instrText xml:space="preserve"> </w:instrText>
        </w:r>
        <w:r w:rsidR="00A50885" w:rsidRPr="00A50885">
          <w:rPr>
            <w:rFonts w:cs="David"/>
            <w:noProof/>
            <w:webHidden/>
            <w:rtl/>
          </w:rPr>
        </w:r>
        <w:r w:rsidR="00A50885" w:rsidRPr="00A50885">
          <w:rPr>
            <w:rFonts w:cs="David"/>
            <w:noProof/>
            <w:webHidden/>
            <w:rtl/>
          </w:rPr>
          <w:fldChar w:fldCharType="separate"/>
        </w:r>
        <w:r>
          <w:rPr>
            <w:rFonts w:cs="David"/>
            <w:noProof/>
            <w:webHidden/>
            <w:rtl/>
          </w:rPr>
          <w:t>107</w:t>
        </w:r>
        <w:r w:rsidR="00A50885" w:rsidRPr="00A50885">
          <w:rPr>
            <w:rFonts w:cs="David"/>
            <w:noProof/>
            <w:webHidden/>
            <w:rtl/>
          </w:rPr>
          <w:fldChar w:fldCharType="end"/>
        </w:r>
      </w:hyperlink>
    </w:p>
    <w:p w14:paraId="7AB5376C" w14:textId="7AEC5439" w:rsidR="00A50885" w:rsidRPr="00A50885" w:rsidRDefault="008F1BC3">
      <w:pPr>
        <w:pStyle w:val="af7"/>
        <w:tabs>
          <w:tab w:val="right" w:leader="dot" w:pos="8639"/>
        </w:tabs>
        <w:rPr>
          <w:rFonts w:asciiTheme="minorHAnsi" w:eastAsiaTheme="minorEastAsia" w:hAnsiTheme="minorHAnsi" w:cs="David"/>
          <w:smallCaps w:val="0"/>
          <w:noProof/>
          <w:sz w:val="22"/>
          <w:szCs w:val="22"/>
          <w:rtl/>
        </w:rPr>
      </w:pPr>
      <w:hyperlink w:anchor="_Toc76988539" w:history="1">
        <w:r w:rsidR="00A50885" w:rsidRPr="00A50885">
          <w:rPr>
            <w:rStyle w:val="Hyperlink"/>
            <w:rFonts w:cs="David"/>
            <w:noProof/>
            <w:rtl/>
          </w:rPr>
          <w:t>תרשים 18</w:t>
        </w:r>
        <w:r w:rsidR="00A50885" w:rsidRPr="00A50885">
          <w:rPr>
            <w:rStyle w:val="Hyperlink"/>
            <w:rFonts w:ascii="David" w:hAnsi="David" w:cs="David"/>
            <w:noProof/>
            <w:rtl/>
          </w:rPr>
          <w:t>: פילוח תמהיל יום העבודה השיפוטי אצל שופט עם וללא תפקיד נוסף</w:t>
        </w:r>
        <w:r w:rsidR="00A50885" w:rsidRPr="00A50885">
          <w:rPr>
            <w:rFonts w:cs="David"/>
            <w:noProof/>
            <w:webHidden/>
            <w:rtl/>
          </w:rPr>
          <w:tab/>
        </w:r>
        <w:r w:rsidR="00A50885" w:rsidRPr="00A50885">
          <w:rPr>
            <w:rFonts w:cs="David"/>
            <w:noProof/>
            <w:webHidden/>
            <w:rtl/>
          </w:rPr>
          <w:fldChar w:fldCharType="begin"/>
        </w:r>
        <w:r w:rsidR="00A50885" w:rsidRPr="00A50885">
          <w:rPr>
            <w:rFonts w:cs="David"/>
            <w:noProof/>
            <w:webHidden/>
            <w:rtl/>
          </w:rPr>
          <w:instrText xml:space="preserve"> </w:instrText>
        </w:r>
        <w:r w:rsidR="00A50885" w:rsidRPr="00A50885">
          <w:rPr>
            <w:rFonts w:cs="David"/>
            <w:noProof/>
            <w:webHidden/>
          </w:rPr>
          <w:instrText>PAGEREF</w:instrText>
        </w:r>
        <w:r w:rsidR="00A50885" w:rsidRPr="00A50885">
          <w:rPr>
            <w:rFonts w:cs="David"/>
            <w:noProof/>
            <w:webHidden/>
            <w:rtl/>
          </w:rPr>
          <w:instrText xml:space="preserve"> _</w:instrText>
        </w:r>
        <w:r w:rsidR="00A50885" w:rsidRPr="00A50885">
          <w:rPr>
            <w:rFonts w:cs="David"/>
            <w:noProof/>
            <w:webHidden/>
          </w:rPr>
          <w:instrText>Toc76988539 \h</w:instrText>
        </w:r>
        <w:r w:rsidR="00A50885" w:rsidRPr="00A50885">
          <w:rPr>
            <w:rFonts w:cs="David"/>
            <w:noProof/>
            <w:webHidden/>
            <w:rtl/>
          </w:rPr>
          <w:instrText xml:space="preserve"> </w:instrText>
        </w:r>
        <w:r w:rsidR="00A50885" w:rsidRPr="00A50885">
          <w:rPr>
            <w:rFonts w:cs="David"/>
            <w:noProof/>
            <w:webHidden/>
            <w:rtl/>
          </w:rPr>
        </w:r>
        <w:r w:rsidR="00A50885" w:rsidRPr="00A50885">
          <w:rPr>
            <w:rFonts w:cs="David"/>
            <w:noProof/>
            <w:webHidden/>
            <w:rtl/>
          </w:rPr>
          <w:fldChar w:fldCharType="separate"/>
        </w:r>
        <w:r>
          <w:rPr>
            <w:rFonts w:cs="David"/>
            <w:noProof/>
            <w:webHidden/>
            <w:rtl/>
          </w:rPr>
          <w:t>111</w:t>
        </w:r>
        <w:r w:rsidR="00A50885" w:rsidRPr="00A50885">
          <w:rPr>
            <w:rFonts w:cs="David"/>
            <w:noProof/>
            <w:webHidden/>
            <w:rtl/>
          </w:rPr>
          <w:fldChar w:fldCharType="end"/>
        </w:r>
      </w:hyperlink>
    </w:p>
    <w:p w14:paraId="151C239F" w14:textId="4FBD1F0C" w:rsidR="00A50885" w:rsidRPr="00A50885" w:rsidRDefault="008F1BC3">
      <w:pPr>
        <w:pStyle w:val="af7"/>
        <w:tabs>
          <w:tab w:val="right" w:leader="dot" w:pos="8639"/>
        </w:tabs>
        <w:rPr>
          <w:rFonts w:asciiTheme="minorHAnsi" w:eastAsiaTheme="minorEastAsia" w:hAnsiTheme="minorHAnsi" w:cs="David"/>
          <w:smallCaps w:val="0"/>
          <w:noProof/>
          <w:sz w:val="22"/>
          <w:szCs w:val="22"/>
          <w:rtl/>
        </w:rPr>
      </w:pPr>
      <w:hyperlink w:anchor="_Toc76988540" w:history="1">
        <w:r w:rsidR="00A50885" w:rsidRPr="00A50885">
          <w:rPr>
            <w:rStyle w:val="Hyperlink"/>
            <w:rFonts w:cs="David"/>
            <w:noProof/>
            <w:rtl/>
          </w:rPr>
          <w:t>תרשים 19</w:t>
        </w:r>
        <w:r w:rsidR="00A50885" w:rsidRPr="00A50885">
          <w:rPr>
            <w:rStyle w:val="Hyperlink"/>
            <w:rFonts w:ascii="David" w:hAnsi="David" w:cs="David"/>
            <w:noProof/>
            <w:rtl/>
          </w:rPr>
          <w:t>: מידת ההסכמה של השופטים והרשמים עם היגדים בנושא מידת העומס המוטל עליהם בחלוקה לערכאות ובתי משפט</w:t>
        </w:r>
        <w:r w:rsidR="00A50885" w:rsidRPr="00A50885">
          <w:rPr>
            <w:rFonts w:cs="David"/>
            <w:noProof/>
            <w:webHidden/>
            <w:rtl/>
          </w:rPr>
          <w:tab/>
        </w:r>
        <w:r w:rsidR="00A50885" w:rsidRPr="00A50885">
          <w:rPr>
            <w:rFonts w:cs="David"/>
            <w:noProof/>
            <w:webHidden/>
            <w:rtl/>
          </w:rPr>
          <w:fldChar w:fldCharType="begin"/>
        </w:r>
        <w:r w:rsidR="00A50885" w:rsidRPr="00A50885">
          <w:rPr>
            <w:rFonts w:cs="David"/>
            <w:noProof/>
            <w:webHidden/>
            <w:rtl/>
          </w:rPr>
          <w:instrText xml:space="preserve"> </w:instrText>
        </w:r>
        <w:r w:rsidR="00A50885" w:rsidRPr="00A50885">
          <w:rPr>
            <w:rFonts w:cs="David"/>
            <w:noProof/>
            <w:webHidden/>
          </w:rPr>
          <w:instrText>PAGEREF</w:instrText>
        </w:r>
        <w:r w:rsidR="00A50885" w:rsidRPr="00A50885">
          <w:rPr>
            <w:rFonts w:cs="David"/>
            <w:noProof/>
            <w:webHidden/>
            <w:rtl/>
          </w:rPr>
          <w:instrText xml:space="preserve"> _</w:instrText>
        </w:r>
        <w:r w:rsidR="00A50885" w:rsidRPr="00A50885">
          <w:rPr>
            <w:rFonts w:cs="David"/>
            <w:noProof/>
            <w:webHidden/>
          </w:rPr>
          <w:instrText>Toc76988540 \h</w:instrText>
        </w:r>
        <w:r w:rsidR="00A50885" w:rsidRPr="00A50885">
          <w:rPr>
            <w:rFonts w:cs="David"/>
            <w:noProof/>
            <w:webHidden/>
            <w:rtl/>
          </w:rPr>
          <w:instrText xml:space="preserve"> </w:instrText>
        </w:r>
        <w:r w:rsidR="00A50885" w:rsidRPr="00A50885">
          <w:rPr>
            <w:rFonts w:cs="David"/>
            <w:noProof/>
            <w:webHidden/>
            <w:rtl/>
          </w:rPr>
        </w:r>
        <w:r w:rsidR="00A50885" w:rsidRPr="00A50885">
          <w:rPr>
            <w:rFonts w:cs="David"/>
            <w:noProof/>
            <w:webHidden/>
            <w:rtl/>
          </w:rPr>
          <w:fldChar w:fldCharType="separate"/>
        </w:r>
        <w:r>
          <w:rPr>
            <w:rFonts w:cs="David"/>
            <w:noProof/>
            <w:webHidden/>
            <w:rtl/>
          </w:rPr>
          <w:t>119</w:t>
        </w:r>
        <w:r w:rsidR="00A50885" w:rsidRPr="00A50885">
          <w:rPr>
            <w:rFonts w:cs="David"/>
            <w:noProof/>
            <w:webHidden/>
            <w:rtl/>
          </w:rPr>
          <w:fldChar w:fldCharType="end"/>
        </w:r>
      </w:hyperlink>
    </w:p>
    <w:p w14:paraId="738F4820" w14:textId="78513C5C" w:rsidR="00A50885" w:rsidRPr="00A50885" w:rsidRDefault="008F1BC3">
      <w:pPr>
        <w:pStyle w:val="af7"/>
        <w:tabs>
          <w:tab w:val="right" w:leader="dot" w:pos="8639"/>
        </w:tabs>
        <w:rPr>
          <w:rFonts w:asciiTheme="minorHAnsi" w:eastAsiaTheme="minorEastAsia" w:hAnsiTheme="minorHAnsi" w:cs="David"/>
          <w:smallCaps w:val="0"/>
          <w:noProof/>
          <w:sz w:val="22"/>
          <w:szCs w:val="22"/>
          <w:rtl/>
        </w:rPr>
      </w:pPr>
      <w:hyperlink w:anchor="_Toc76988541" w:history="1">
        <w:r w:rsidR="00A50885" w:rsidRPr="00A50885">
          <w:rPr>
            <w:rStyle w:val="Hyperlink"/>
            <w:rFonts w:cs="David"/>
            <w:noProof/>
            <w:rtl/>
          </w:rPr>
          <w:t xml:space="preserve">תרשים </w:t>
        </w:r>
        <w:r w:rsidR="00A50885" w:rsidRPr="00A50885">
          <w:rPr>
            <w:rStyle w:val="Hyperlink"/>
            <w:rFonts w:ascii="David" w:hAnsi="David" w:cs="David"/>
            <w:noProof/>
            <w:rtl/>
          </w:rPr>
          <w:t>20: מידת ההסכמה של השופטים והרשמים עם היגדים בנושא איזון עבודה וחיים פרטיים בחלוקה לערכאות ובתי משפט</w:t>
        </w:r>
        <w:r w:rsidR="00A50885" w:rsidRPr="00A50885">
          <w:rPr>
            <w:rFonts w:cs="David"/>
            <w:noProof/>
            <w:webHidden/>
            <w:rtl/>
          </w:rPr>
          <w:tab/>
        </w:r>
        <w:r w:rsidR="00A50885" w:rsidRPr="00A50885">
          <w:rPr>
            <w:rFonts w:cs="David"/>
            <w:noProof/>
            <w:webHidden/>
            <w:rtl/>
          </w:rPr>
          <w:fldChar w:fldCharType="begin"/>
        </w:r>
        <w:r w:rsidR="00A50885" w:rsidRPr="00A50885">
          <w:rPr>
            <w:rFonts w:cs="David"/>
            <w:noProof/>
            <w:webHidden/>
            <w:rtl/>
          </w:rPr>
          <w:instrText xml:space="preserve"> </w:instrText>
        </w:r>
        <w:r w:rsidR="00A50885" w:rsidRPr="00A50885">
          <w:rPr>
            <w:rFonts w:cs="David"/>
            <w:noProof/>
            <w:webHidden/>
          </w:rPr>
          <w:instrText>PAGEREF</w:instrText>
        </w:r>
        <w:r w:rsidR="00A50885" w:rsidRPr="00A50885">
          <w:rPr>
            <w:rFonts w:cs="David"/>
            <w:noProof/>
            <w:webHidden/>
            <w:rtl/>
          </w:rPr>
          <w:instrText xml:space="preserve"> _</w:instrText>
        </w:r>
        <w:r w:rsidR="00A50885" w:rsidRPr="00A50885">
          <w:rPr>
            <w:rFonts w:cs="David"/>
            <w:noProof/>
            <w:webHidden/>
          </w:rPr>
          <w:instrText>Toc76988541 \h</w:instrText>
        </w:r>
        <w:r w:rsidR="00A50885" w:rsidRPr="00A50885">
          <w:rPr>
            <w:rFonts w:cs="David"/>
            <w:noProof/>
            <w:webHidden/>
            <w:rtl/>
          </w:rPr>
          <w:instrText xml:space="preserve"> </w:instrText>
        </w:r>
        <w:r w:rsidR="00A50885" w:rsidRPr="00A50885">
          <w:rPr>
            <w:rFonts w:cs="David"/>
            <w:noProof/>
            <w:webHidden/>
            <w:rtl/>
          </w:rPr>
        </w:r>
        <w:r w:rsidR="00A50885" w:rsidRPr="00A50885">
          <w:rPr>
            <w:rFonts w:cs="David"/>
            <w:noProof/>
            <w:webHidden/>
            <w:rtl/>
          </w:rPr>
          <w:fldChar w:fldCharType="separate"/>
        </w:r>
        <w:r>
          <w:rPr>
            <w:rFonts w:cs="David"/>
            <w:noProof/>
            <w:webHidden/>
            <w:rtl/>
          </w:rPr>
          <w:t>120</w:t>
        </w:r>
        <w:r w:rsidR="00A50885" w:rsidRPr="00A50885">
          <w:rPr>
            <w:rFonts w:cs="David"/>
            <w:noProof/>
            <w:webHidden/>
            <w:rtl/>
          </w:rPr>
          <w:fldChar w:fldCharType="end"/>
        </w:r>
      </w:hyperlink>
    </w:p>
    <w:p w14:paraId="5ACEEAC2" w14:textId="2287CFC6" w:rsidR="00A50885" w:rsidRPr="00A50885" w:rsidRDefault="008F1BC3">
      <w:pPr>
        <w:pStyle w:val="af7"/>
        <w:tabs>
          <w:tab w:val="right" w:leader="dot" w:pos="8639"/>
        </w:tabs>
        <w:rPr>
          <w:rFonts w:asciiTheme="minorHAnsi" w:eastAsiaTheme="minorEastAsia" w:hAnsiTheme="minorHAnsi" w:cs="David"/>
          <w:smallCaps w:val="0"/>
          <w:noProof/>
          <w:sz w:val="22"/>
          <w:szCs w:val="22"/>
          <w:rtl/>
        </w:rPr>
      </w:pPr>
      <w:hyperlink w:anchor="_Toc76988542" w:history="1">
        <w:r w:rsidR="00A50885" w:rsidRPr="00A50885">
          <w:rPr>
            <w:rStyle w:val="Hyperlink"/>
            <w:rFonts w:cs="David"/>
            <w:noProof/>
            <w:rtl/>
          </w:rPr>
          <w:t>תרשים 21</w:t>
        </w:r>
        <w:r w:rsidR="00A50885" w:rsidRPr="00A50885">
          <w:rPr>
            <w:rStyle w:val="Hyperlink"/>
            <w:rFonts w:ascii="David" w:hAnsi="David" w:cs="David"/>
            <w:noProof/>
            <w:rtl/>
          </w:rPr>
          <w:t>: מידת ההסכמה של השופטים והרשמים עם היגדים בנושא כלים להתמודדות עם העומס בחלוקה לערכאות ובתי משפט</w:t>
        </w:r>
        <w:r w:rsidR="00A50885" w:rsidRPr="00A50885">
          <w:rPr>
            <w:rFonts w:cs="David"/>
            <w:noProof/>
            <w:webHidden/>
            <w:rtl/>
          </w:rPr>
          <w:tab/>
        </w:r>
        <w:r w:rsidR="00A50885" w:rsidRPr="00A50885">
          <w:rPr>
            <w:rFonts w:cs="David"/>
            <w:noProof/>
            <w:webHidden/>
            <w:rtl/>
          </w:rPr>
          <w:fldChar w:fldCharType="begin"/>
        </w:r>
        <w:r w:rsidR="00A50885" w:rsidRPr="00A50885">
          <w:rPr>
            <w:rFonts w:cs="David"/>
            <w:noProof/>
            <w:webHidden/>
            <w:rtl/>
          </w:rPr>
          <w:instrText xml:space="preserve"> </w:instrText>
        </w:r>
        <w:r w:rsidR="00A50885" w:rsidRPr="00A50885">
          <w:rPr>
            <w:rFonts w:cs="David"/>
            <w:noProof/>
            <w:webHidden/>
          </w:rPr>
          <w:instrText>PAGEREF</w:instrText>
        </w:r>
        <w:r w:rsidR="00A50885" w:rsidRPr="00A50885">
          <w:rPr>
            <w:rFonts w:cs="David"/>
            <w:noProof/>
            <w:webHidden/>
            <w:rtl/>
          </w:rPr>
          <w:instrText xml:space="preserve"> _</w:instrText>
        </w:r>
        <w:r w:rsidR="00A50885" w:rsidRPr="00A50885">
          <w:rPr>
            <w:rFonts w:cs="David"/>
            <w:noProof/>
            <w:webHidden/>
          </w:rPr>
          <w:instrText>Toc76988542 \h</w:instrText>
        </w:r>
        <w:r w:rsidR="00A50885" w:rsidRPr="00A50885">
          <w:rPr>
            <w:rFonts w:cs="David"/>
            <w:noProof/>
            <w:webHidden/>
            <w:rtl/>
          </w:rPr>
          <w:instrText xml:space="preserve"> </w:instrText>
        </w:r>
        <w:r w:rsidR="00A50885" w:rsidRPr="00A50885">
          <w:rPr>
            <w:rFonts w:cs="David"/>
            <w:noProof/>
            <w:webHidden/>
            <w:rtl/>
          </w:rPr>
        </w:r>
        <w:r w:rsidR="00A50885" w:rsidRPr="00A50885">
          <w:rPr>
            <w:rFonts w:cs="David"/>
            <w:noProof/>
            <w:webHidden/>
            <w:rtl/>
          </w:rPr>
          <w:fldChar w:fldCharType="separate"/>
        </w:r>
        <w:r>
          <w:rPr>
            <w:rFonts w:cs="David"/>
            <w:noProof/>
            <w:webHidden/>
            <w:rtl/>
          </w:rPr>
          <w:t>121</w:t>
        </w:r>
        <w:r w:rsidR="00A50885" w:rsidRPr="00A50885">
          <w:rPr>
            <w:rFonts w:cs="David"/>
            <w:noProof/>
            <w:webHidden/>
            <w:rtl/>
          </w:rPr>
          <w:fldChar w:fldCharType="end"/>
        </w:r>
      </w:hyperlink>
    </w:p>
    <w:p w14:paraId="4F110D7C" w14:textId="17B2F310" w:rsidR="00A50885" w:rsidRPr="00A50885" w:rsidRDefault="008F1BC3">
      <w:pPr>
        <w:pStyle w:val="af7"/>
        <w:tabs>
          <w:tab w:val="right" w:leader="dot" w:pos="8639"/>
        </w:tabs>
        <w:rPr>
          <w:rFonts w:asciiTheme="minorHAnsi" w:eastAsiaTheme="minorEastAsia" w:hAnsiTheme="minorHAnsi" w:cs="David"/>
          <w:smallCaps w:val="0"/>
          <w:noProof/>
          <w:sz w:val="22"/>
          <w:szCs w:val="22"/>
          <w:rtl/>
        </w:rPr>
      </w:pPr>
      <w:hyperlink w:anchor="_Toc76988543" w:history="1">
        <w:r w:rsidR="00A50885" w:rsidRPr="00A50885">
          <w:rPr>
            <w:rStyle w:val="Hyperlink"/>
            <w:rFonts w:cs="David"/>
            <w:noProof/>
            <w:rtl/>
          </w:rPr>
          <w:t>תרשים 22</w:t>
        </w:r>
        <w:r w:rsidR="00A50885" w:rsidRPr="00A50885">
          <w:rPr>
            <w:rStyle w:val="Hyperlink"/>
            <w:rFonts w:ascii="David" w:hAnsi="David" w:cs="David"/>
            <w:noProof/>
            <w:rtl/>
          </w:rPr>
          <w:t>: מידת ההסכמה של השופטים והרשמים עם היגד בנושא הדחקת רגשות במבט מערכתי</w:t>
        </w:r>
        <w:r w:rsidR="00A50885" w:rsidRPr="00A50885">
          <w:rPr>
            <w:rFonts w:cs="David"/>
            <w:noProof/>
            <w:webHidden/>
            <w:rtl/>
          </w:rPr>
          <w:tab/>
        </w:r>
        <w:r w:rsidR="00A50885" w:rsidRPr="00A50885">
          <w:rPr>
            <w:rFonts w:cs="David"/>
            <w:noProof/>
            <w:webHidden/>
            <w:rtl/>
          </w:rPr>
          <w:fldChar w:fldCharType="begin"/>
        </w:r>
        <w:r w:rsidR="00A50885" w:rsidRPr="00A50885">
          <w:rPr>
            <w:rFonts w:cs="David"/>
            <w:noProof/>
            <w:webHidden/>
            <w:rtl/>
          </w:rPr>
          <w:instrText xml:space="preserve"> </w:instrText>
        </w:r>
        <w:r w:rsidR="00A50885" w:rsidRPr="00A50885">
          <w:rPr>
            <w:rFonts w:cs="David"/>
            <w:noProof/>
            <w:webHidden/>
          </w:rPr>
          <w:instrText>PAGEREF</w:instrText>
        </w:r>
        <w:r w:rsidR="00A50885" w:rsidRPr="00A50885">
          <w:rPr>
            <w:rFonts w:cs="David"/>
            <w:noProof/>
            <w:webHidden/>
            <w:rtl/>
          </w:rPr>
          <w:instrText xml:space="preserve"> _</w:instrText>
        </w:r>
        <w:r w:rsidR="00A50885" w:rsidRPr="00A50885">
          <w:rPr>
            <w:rFonts w:cs="David"/>
            <w:noProof/>
            <w:webHidden/>
          </w:rPr>
          <w:instrText>Toc76988543 \h</w:instrText>
        </w:r>
        <w:r w:rsidR="00A50885" w:rsidRPr="00A50885">
          <w:rPr>
            <w:rFonts w:cs="David"/>
            <w:noProof/>
            <w:webHidden/>
            <w:rtl/>
          </w:rPr>
          <w:instrText xml:space="preserve"> </w:instrText>
        </w:r>
        <w:r w:rsidR="00A50885" w:rsidRPr="00A50885">
          <w:rPr>
            <w:rFonts w:cs="David"/>
            <w:noProof/>
            <w:webHidden/>
            <w:rtl/>
          </w:rPr>
        </w:r>
        <w:r w:rsidR="00A50885" w:rsidRPr="00A50885">
          <w:rPr>
            <w:rFonts w:cs="David"/>
            <w:noProof/>
            <w:webHidden/>
            <w:rtl/>
          </w:rPr>
          <w:fldChar w:fldCharType="separate"/>
        </w:r>
        <w:r>
          <w:rPr>
            <w:rFonts w:cs="David"/>
            <w:noProof/>
            <w:webHidden/>
            <w:rtl/>
          </w:rPr>
          <w:t>121</w:t>
        </w:r>
        <w:r w:rsidR="00A50885" w:rsidRPr="00A50885">
          <w:rPr>
            <w:rFonts w:cs="David"/>
            <w:noProof/>
            <w:webHidden/>
            <w:rtl/>
          </w:rPr>
          <w:fldChar w:fldCharType="end"/>
        </w:r>
      </w:hyperlink>
    </w:p>
    <w:p w14:paraId="5C3F354C" w14:textId="3778F748" w:rsidR="00A50885" w:rsidRPr="00A50885" w:rsidRDefault="008F1BC3">
      <w:pPr>
        <w:pStyle w:val="af7"/>
        <w:tabs>
          <w:tab w:val="right" w:leader="dot" w:pos="8639"/>
        </w:tabs>
        <w:rPr>
          <w:rFonts w:asciiTheme="minorHAnsi" w:eastAsiaTheme="minorEastAsia" w:hAnsiTheme="minorHAnsi" w:cs="David"/>
          <w:smallCaps w:val="0"/>
          <w:noProof/>
          <w:sz w:val="22"/>
          <w:szCs w:val="22"/>
          <w:rtl/>
        </w:rPr>
      </w:pPr>
      <w:hyperlink w:anchor="_Toc76988544" w:history="1">
        <w:r w:rsidR="00A50885" w:rsidRPr="00A50885">
          <w:rPr>
            <w:rStyle w:val="Hyperlink"/>
            <w:rFonts w:cs="David"/>
            <w:noProof/>
            <w:rtl/>
          </w:rPr>
          <w:t>תרשים 23</w:t>
        </w:r>
        <w:r w:rsidR="00A50885" w:rsidRPr="00A50885">
          <w:rPr>
            <w:rStyle w:val="Hyperlink"/>
            <w:rFonts w:ascii="David" w:hAnsi="David" w:cs="David"/>
            <w:noProof/>
            <w:rtl/>
          </w:rPr>
          <w:t>: פילוח תשובותיהם של השופטים והרשמים לשאלת חוויית עומס רגשי בטיפול בתיקיהם</w:t>
        </w:r>
        <w:r w:rsidR="00A50885" w:rsidRPr="00A50885">
          <w:rPr>
            <w:rFonts w:cs="David"/>
            <w:noProof/>
            <w:webHidden/>
            <w:rtl/>
          </w:rPr>
          <w:tab/>
        </w:r>
        <w:r w:rsidR="00A50885" w:rsidRPr="00A50885">
          <w:rPr>
            <w:rFonts w:cs="David"/>
            <w:noProof/>
            <w:webHidden/>
            <w:rtl/>
          </w:rPr>
          <w:fldChar w:fldCharType="begin"/>
        </w:r>
        <w:r w:rsidR="00A50885" w:rsidRPr="00A50885">
          <w:rPr>
            <w:rFonts w:cs="David"/>
            <w:noProof/>
            <w:webHidden/>
            <w:rtl/>
          </w:rPr>
          <w:instrText xml:space="preserve"> </w:instrText>
        </w:r>
        <w:r w:rsidR="00A50885" w:rsidRPr="00A50885">
          <w:rPr>
            <w:rFonts w:cs="David"/>
            <w:noProof/>
            <w:webHidden/>
          </w:rPr>
          <w:instrText>PAGEREF</w:instrText>
        </w:r>
        <w:r w:rsidR="00A50885" w:rsidRPr="00A50885">
          <w:rPr>
            <w:rFonts w:cs="David"/>
            <w:noProof/>
            <w:webHidden/>
            <w:rtl/>
          </w:rPr>
          <w:instrText xml:space="preserve"> _</w:instrText>
        </w:r>
        <w:r w:rsidR="00A50885" w:rsidRPr="00A50885">
          <w:rPr>
            <w:rFonts w:cs="David"/>
            <w:noProof/>
            <w:webHidden/>
          </w:rPr>
          <w:instrText>Toc76988544 \h</w:instrText>
        </w:r>
        <w:r w:rsidR="00A50885" w:rsidRPr="00A50885">
          <w:rPr>
            <w:rFonts w:cs="David"/>
            <w:noProof/>
            <w:webHidden/>
            <w:rtl/>
          </w:rPr>
          <w:instrText xml:space="preserve"> </w:instrText>
        </w:r>
        <w:r w:rsidR="00A50885" w:rsidRPr="00A50885">
          <w:rPr>
            <w:rFonts w:cs="David"/>
            <w:noProof/>
            <w:webHidden/>
            <w:rtl/>
          </w:rPr>
        </w:r>
        <w:r w:rsidR="00A50885" w:rsidRPr="00A50885">
          <w:rPr>
            <w:rFonts w:cs="David"/>
            <w:noProof/>
            <w:webHidden/>
            <w:rtl/>
          </w:rPr>
          <w:fldChar w:fldCharType="separate"/>
        </w:r>
        <w:r>
          <w:rPr>
            <w:rFonts w:cs="David"/>
            <w:noProof/>
            <w:webHidden/>
            <w:rtl/>
          </w:rPr>
          <w:t>123</w:t>
        </w:r>
        <w:r w:rsidR="00A50885" w:rsidRPr="00A50885">
          <w:rPr>
            <w:rFonts w:cs="David"/>
            <w:noProof/>
            <w:webHidden/>
            <w:rtl/>
          </w:rPr>
          <w:fldChar w:fldCharType="end"/>
        </w:r>
      </w:hyperlink>
    </w:p>
    <w:p w14:paraId="7FEC89FC" w14:textId="1AA94A4D" w:rsidR="00A50885" w:rsidRPr="00A50885" w:rsidRDefault="008F1BC3">
      <w:pPr>
        <w:pStyle w:val="af7"/>
        <w:tabs>
          <w:tab w:val="right" w:leader="dot" w:pos="8639"/>
        </w:tabs>
        <w:rPr>
          <w:rFonts w:asciiTheme="minorHAnsi" w:eastAsiaTheme="minorEastAsia" w:hAnsiTheme="minorHAnsi" w:cs="David"/>
          <w:smallCaps w:val="0"/>
          <w:noProof/>
          <w:sz w:val="22"/>
          <w:szCs w:val="22"/>
          <w:rtl/>
        </w:rPr>
      </w:pPr>
      <w:hyperlink w:anchor="_Toc76988545" w:history="1">
        <w:r w:rsidR="00A50885" w:rsidRPr="00A50885">
          <w:rPr>
            <w:rStyle w:val="Hyperlink"/>
            <w:rFonts w:cs="David"/>
            <w:noProof/>
            <w:rtl/>
          </w:rPr>
          <w:t>תרשים 24</w:t>
        </w:r>
        <w:r w:rsidR="00A50885" w:rsidRPr="00A50885">
          <w:rPr>
            <w:rStyle w:val="Hyperlink"/>
            <w:rFonts w:ascii="David" w:hAnsi="David" w:cs="David"/>
            <w:noProof/>
            <w:rtl/>
          </w:rPr>
          <w:t>: פילוח תשובות השופטים והרשמים לשאלת העומס הרגשי בחלוקה לערכאות השיפוט</w:t>
        </w:r>
        <w:r w:rsidR="00A50885" w:rsidRPr="00A50885">
          <w:rPr>
            <w:rFonts w:cs="David"/>
            <w:noProof/>
            <w:webHidden/>
            <w:rtl/>
          </w:rPr>
          <w:tab/>
        </w:r>
        <w:r w:rsidR="00A50885" w:rsidRPr="00A50885">
          <w:rPr>
            <w:rFonts w:cs="David"/>
            <w:noProof/>
            <w:webHidden/>
            <w:rtl/>
          </w:rPr>
          <w:fldChar w:fldCharType="begin"/>
        </w:r>
        <w:r w:rsidR="00A50885" w:rsidRPr="00A50885">
          <w:rPr>
            <w:rFonts w:cs="David"/>
            <w:noProof/>
            <w:webHidden/>
            <w:rtl/>
          </w:rPr>
          <w:instrText xml:space="preserve"> </w:instrText>
        </w:r>
        <w:r w:rsidR="00A50885" w:rsidRPr="00A50885">
          <w:rPr>
            <w:rFonts w:cs="David"/>
            <w:noProof/>
            <w:webHidden/>
          </w:rPr>
          <w:instrText>PAGEREF</w:instrText>
        </w:r>
        <w:r w:rsidR="00A50885" w:rsidRPr="00A50885">
          <w:rPr>
            <w:rFonts w:cs="David"/>
            <w:noProof/>
            <w:webHidden/>
            <w:rtl/>
          </w:rPr>
          <w:instrText xml:space="preserve"> _</w:instrText>
        </w:r>
        <w:r w:rsidR="00A50885" w:rsidRPr="00A50885">
          <w:rPr>
            <w:rFonts w:cs="David"/>
            <w:noProof/>
            <w:webHidden/>
          </w:rPr>
          <w:instrText>Toc76988545 \h</w:instrText>
        </w:r>
        <w:r w:rsidR="00A50885" w:rsidRPr="00A50885">
          <w:rPr>
            <w:rFonts w:cs="David"/>
            <w:noProof/>
            <w:webHidden/>
            <w:rtl/>
          </w:rPr>
          <w:instrText xml:space="preserve"> </w:instrText>
        </w:r>
        <w:r w:rsidR="00A50885" w:rsidRPr="00A50885">
          <w:rPr>
            <w:rFonts w:cs="David"/>
            <w:noProof/>
            <w:webHidden/>
            <w:rtl/>
          </w:rPr>
        </w:r>
        <w:r w:rsidR="00A50885" w:rsidRPr="00A50885">
          <w:rPr>
            <w:rFonts w:cs="David"/>
            <w:noProof/>
            <w:webHidden/>
            <w:rtl/>
          </w:rPr>
          <w:fldChar w:fldCharType="separate"/>
        </w:r>
        <w:r>
          <w:rPr>
            <w:rFonts w:cs="David"/>
            <w:noProof/>
            <w:webHidden/>
            <w:rtl/>
          </w:rPr>
          <w:t>124</w:t>
        </w:r>
        <w:r w:rsidR="00A50885" w:rsidRPr="00A50885">
          <w:rPr>
            <w:rFonts w:cs="David"/>
            <w:noProof/>
            <w:webHidden/>
            <w:rtl/>
          </w:rPr>
          <w:fldChar w:fldCharType="end"/>
        </w:r>
      </w:hyperlink>
    </w:p>
    <w:p w14:paraId="30767F89" w14:textId="305004DE" w:rsidR="00A50885" w:rsidRPr="00A50885" w:rsidRDefault="008F1BC3">
      <w:pPr>
        <w:pStyle w:val="af7"/>
        <w:tabs>
          <w:tab w:val="right" w:leader="dot" w:pos="8639"/>
        </w:tabs>
        <w:rPr>
          <w:rFonts w:asciiTheme="minorHAnsi" w:eastAsiaTheme="minorEastAsia" w:hAnsiTheme="minorHAnsi" w:cs="David"/>
          <w:smallCaps w:val="0"/>
          <w:noProof/>
          <w:sz w:val="22"/>
          <w:szCs w:val="22"/>
          <w:rtl/>
        </w:rPr>
      </w:pPr>
      <w:hyperlink w:anchor="_Toc76988546" w:history="1">
        <w:r w:rsidR="00A50885" w:rsidRPr="00A50885">
          <w:rPr>
            <w:rStyle w:val="Hyperlink"/>
            <w:rFonts w:cs="David"/>
            <w:noProof/>
            <w:rtl/>
          </w:rPr>
          <w:t>תרשים 25</w:t>
        </w:r>
        <w:r w:rsidR="00A50885" w:rsidRPr="00A50885">
          <w:rPr>
            <w:rStyle w:val="Hyperlink"/>
            <w:rFonts w:ascii="David" w:hAnsi="David" w:cs="David"/>
            <w:noProof/>
            <w:rtl/>
          </w:rPr>
          <w:t>: פילוח תשובותיהם של השופטים והרשמים לשאלת חוויית העומס הרגשי בטיפול בתיקיהם לפי הליך (אזרחי/ פלילי)</w:t>
        </w:r>
        <w:r w:rsidR="00A50885" w:rsidRPr="00A50885">
          <w:rPr>
            <w:rFonts w:cs="David"/>
            <w:noProof/>
            <w:webHidden/>
            <w:rtl/>
          </w:rPr>
          <w:tab/>
        </w:r>
        <w:r w:rsidR="00A50885" w:rsidRPr="00A50885">
          <w:rPr>
            <w:rFonts w:cs="David"/>
            <w:noProof/>
            <w:webHidden/>
            <w:rtl/>
          </w:rPr>
          <w:fldChar w:fldCharType="begin"/>
        </w:r>
        <w:r w:rsidR="00A50885" w:rsidRPr="00A50885">
          <w:rPr>
            <w:rFonts w:cs="David"/>
            <w:noProof/>
            <w:webHidden/>
            <w:rtl/>
          </w:rPr>
          <w:instrText xml:space="preserve"> </w:instrText>
        </w:r>
        <w:r w:rsidR="00A50885" w:rsidRPr="00A50885">
          <w:rPr>
            <w:rFonts w:cs="David"/>
            <w:noProof/>
            <w:webHidden/>
          </w:rPr>
          <w:instrText>PAGEREF</w:instrText>
        </w:r>
        <w:r w:rsidR="00A50885" w:rsidRPr="00A50885">
          <w:rPr>
            <w:rFonts w:cs="David"/>
            <w:noProof/>
            <w:webHidden/>
            <w:rtl/>
          </w:rPr>
          <w:instrText xml:space="preserve"> _</w:instrText>
        </w:r>
        <w:r w:rsidR="00A50885" w:rsidRPr="00A50885">
          <w:rPr>
            <w:rFonts w:cs="David"/>
            <w:noProof/>
            <w:webHidden/>
          </w:rPr>
          <w:instrText>Toc76988546 \h</w:instrText>
        </w:r>
        <w:r w:rsidR="00A50885" w:rsidRPr="00A50885">
          <w:rPr>
            <w:rFonts w:cs="David"/>
            <w:noProof/>
            <w:webHidden/>
            <w:rtl/>
          </w:rPr>
          <w:instrText xml:space="preserve"> </w:instrText>
        </w:r>
        <w:r w:rsidR="00A50885" w:rsidRPr="00A50885">
          <w:rPr>
            <w:rFonts w:cs="David"/>
            <w:noProof/>
            <w:webHidden/>
            <w:rtl/>
          </w:rPr>
        </w:r>
        <w:r w:rsidR="00A50885" w:rsidRPr="00A50885">
          <w:rPr>
            <w:rFonts w:cs="David"/>
            <w:noProof/>
            <w:webHidden/>
            <w:rtl/>
          </w:rPr>
          <w:fldChar w:fldCharType="separate"/>
        </w:r>
        <w:r>
          <w:rPr>
            <w:rFonts w:cs="David"/>
            <w:noProof/>
            <w:webHidden/>
            <w:rtl/>
          </w:rPr>
          <w:t>124</w:t>
        </w:r>
        <w:r w:rsidR="00A50885" w:rsidRPr="00A50885">
          <w:rPr>
            <w:rFonts w:cs="David"/>
            <w:noProof/>
            <w:webHidden/>
            <w:rtl/>
          </w:rPr>
          <w:fldChar w:fldCharType="end"/>
        </w:r>
      </w:hyperlink>
    </w:p>
    <w:p w14:paraId="02A377B2" w14:textId="638964AB" w:rsidR="00594534" w:rsidRPr="00F25744" w:rsidRDefault="00E25AE7" w:rsidP="005366CC">
      <w:pPr>
        <w:pStyle w:val="1"/>
        <w:rPr>
          <w:caps/>
          <w:rtl/>
        </w:rPr>
      </w:pPr>
      <w:r w:rsidRPr="00F25744">
        <w:rPr>
          <w:sz w:val="22"/>
          <w:szCs w:val="22"/>
          <w:rtl/>
        </w:rPr>
        <w:lastRenderedPageBreak/>
        <w:fldChar w:fldCharType="end"/>
      </w:r>
      <w:bookmarkStart w:id="1" w:name="_Toc46226023"/>
      <w:bookmarkStart w:id="2" w:name="_Toc46226167"/>
      <w:bookmarkStart w:id="3" w:name="_Toc46228334"/>
      <w:bookmarkStart w:id="4" w:name="_Toc46228432"/>
      <w:bookmarkStart w:id="5" w:name="_Toc46230359"/>
      <w:bookmarkStart w:id="6" w:name="_Toc46230457"/>
      <w:bookmarkStart w:id="7" w:name="_Toc46310347"/>
      <w:bookmarkStart w:id="8" w:name="_Toc46413989"/>
      <w:bookmarkStart w:id="9" w:name="_Toc49352729"/>
      <w:bookmarkStart w:id="10" w:name="_Toc49429634"/>
      <w:bookmarkStart w:id="11" w:name="_Toc74750942"/>
      <w:r w:rsidR="007F3A52" w:rsidRPr="00F25744">
        <w:rPr>
          <w:rtl/>
        </w:rPr>
        <w:t>תקציר מנהלים</w:t>
      </w:r>
      <w:bookmarkEnd w:id="1"/>
      <w:bookmarkEnd w:id="2"/>
      <w:bookmarkEnd w:id="3"/>
      <w:bookmarkEnd w:id="4"/>
      <w:bookmarkEnd w:id="5"/>
      <w:bookmarkEnd w:id="6"/>
      <w:bookmarkEnd w:id="7"/>
      <w:bookmarkEnd w:id="8"/>
      <w:r w:rsidRPr="00F25744">
        <w:rPr>
          <w:rStyle w:val="a6"/>
          <w:rtl/>
        </w:rPr>
        <w:footnoteReference w:id="2"/>
      </w:r>
      <w:bookmarkEnd w:id="9"/>
      <w:bookmarkEnd w:id="10"/>
      <w:bookmarkEnd w:id="11"/>
    </w:p>
    <w:p w14:paraId="5433A0C2" w14:textId="77777777" w:rsidR="00594534" w:rsidRPr="00F25744" w:rsidRDefault="00E25AE7" w:rsidP="0072393E">
      <w:pPr>
        <w:widowControl w:val="0"/>
        <w:autoSpaceDE w:val="0"/>
        <w:autoSpaceDN w:val="0"/>
        <w:adjustRightInd w:val="0"/>
        <w:spacing w:before="120" w:after="0" w:line="360" w:lineRule="auto"/>
        <w:ind w:left="2"/>
        <w:jc w:val="both"/>
        <w:rPr>
          <w:rFonts w:ascii="David" w:hAnsi="David" w:cs="David"/>
          <w:sz w:val="24"/>
          <w:szCs w:val="24"/>
        </w:rPr>
      </w:pPr>
      <w:r w:rsidRPr="00F25744">
        <w:rPr>
          <w:rFonts w:ascii="David" w:hAnsi="David" w:cs="David" w:hint="cs"/>
          <w:sz w:val="24"/>
          <w:szCs w:val="24"/>
          <w:rtl/>
        </w:rPr>
        <w:t xml:space="preserve">מחלקת המחקר של הרשות השופטת </w:t>
      </w:r>
      <w:r w:rsidR="00471AED" w:rsidRPr="00F25744">
        <w:rPr>
          <w:rFonts w:ascii="David" w:hAnsi="David" w:cs="David" w:hint="cs"/>
          <w:sz w:val="24"/>
          <w:szCs w:val="24"/>
          <w:rtl/>
        </w:rPr>
        <w:t xml:space="preserve">מתכבדת </w:t>
      </w:r>
      <w:r w:rsidRPr="00F25744">
        <w:rPr>
          <w:rFonts w:ascii="David" w:hAnsi="David" w:cs="David" w:hint="cs"/>
          <w:sz w:val="24"/>
          <w:szCs w:val="24"/>
          <w:rtl/>
        </w:rPr>
        <w:t xml:space="preserve">להציג </w:t>
      </w:r>
      <w:r w:rsidR="00471AED" w:rsidRPr="00F25744">
        <w:rPr>
          <w:rFonts w:ascii="David" w:hAnsi="David" w:cs="David" w:hint="cs"/>
          <w:sz w:val="24"/>
          <w:szCs w:val="24"/>
          <w:rtl/>
        </w:rPr>
        <w:t xml:space="preserve">במחקר שלפניכם </w:t>
      </w:r>
      <w:r w:rsidRPr="00F25744">
        <w:rPr>
          <w:rFonts w:ascii="David" w:hAnsi="David" w:cs="David" w:hint="cs"/>
          <w:sz w:val="24"/>
          <w:szCs w:val="24"/>
          <w:rtl/>
        </w:rPr>
        <w:t xml:space="preserve">את </w:t>
      </w:r>
      <w:r w:rsidR="007F3A52" w:rsidRPr="00F25744">
        <w:rPr>
          <w:rFonts w:ascii="David" w:hAnsi="David" w:cs="David" w:hint="cs"/>
          <w:sz w:val="24"/>
          <w:szCs w:val="24"/>
          <w:rtl/>
        </w:rPr>
        <w:t>מדד עומס העבודה השיפוטית, אשר נועד לאמוד וליתן משקל כמותי לעומס העבודה השיפוטית המוטל על השופטות, השופטים, הרשמות והרשמים בבתי המשפט בישראל. מדד זה, אשר נערך לראשונה במערכת המשפט בישראל בשיט</w:t>
      </w:r>
      <w:r w:rsidR="00A324B2" w:rsidRPr="00F25744">
        <w:rPr>
          <w:rFonts w:ascii="David" w:hAnsi="David" w:cs="David" w:hint="cs"/>
          <w:sz w:val="24"/>
          <w:szCs w:val="24"/>
          <w:rtl/>
        </w:rPr>
        <w:t>ה של מדידת זמנים</w:t>
      </w:r>
      <w:r w:rsidR="007F3A52" w:rsidRPr="00F25744">
        <w:rPr>
          <w:rFonts w:ascii="David" w:hAnsi="David" w:cs="David" w:hint="cs"/>
          <w:sz w:val="24"/>
          <w:szCs w:val="24"/>
          <w:rtl/>
        </w:rPr>
        <w:t xml:space="preserve"> בזמן אמת, נוצר תוך שכלול וטיוב תוצרי </w:t>
      </w:r>
      <w:r w:rsidR="00471AED" w:rsidRPr="00F25744">
        <w:rPr>
          <w:rFonts w:ascii="David" w:hAnsi="David" w:cs="David" w:hint="cs"/>
          <w:sz w:val="24"/>
          <w:szCs w:val="24"/>
          <w:rtl/>
        </w:rPr>
        <w:t>מחקר קודם שנערך בשנת 2013</w:t>
      </w:r>
      <w:r w:rsidRPr="00F25744">
        <w:rPr>
          <w:rStyle w:val="a6"/>
          <w:rFonts w:ascii="David" w:hAnsi="David" w:cs="David"/>
          <w:sz w:val="24"/>
          <w:szCs w:val="24"/>
          <w:rtl/>
        </w:rPr>
        <w:footnoteReference w:id="3"/>
      </w:r>
      <w:r w:rsidR="00471AED" w:rsidRPr="00F25744">
        <w:rPr>
          <w:rFonts w:ascii="David" w:hAnsi="David" w:cs="David" w:hint="cs"/>
          <w:sz w:val="24"/>
          <w:szCs w:val="24"/>
          <w:rtl/>
        </w:rPr>
        <w:t xml:space="preserve"> </w:t>
      </w:r>
      <w:r w:rsidR="007F3A52" w:rsidRPr="00F25744">
        <w:rPr>
          <w:rFonts w:ascii="David" w:hAnsi="David" w:cs="David" w:hint="cs"/>
          <w:sz w:val="24"/>
          <w:szCs w:val="24"/>
          <w:rtl/>
        </w:rPr>
        <w:t xml:space="preserve">(להלן </w:t>
      </w:r>
      <w:r w:rsidR="007F3A52" w:rsidRPr="00F25744">
        <w:rPr>
          <w:rFonts w:ascii="David" w:hAnsi="David" w:cs="David"/>
          <w:sz w:val="24"/>
          <w:szCs w:val="24"/>
          <w:rtl/>
        </w:rPr>
        <w:t>–</w:t>
      </w:r>
      <w:r w:rsidR="007F3A52" w:rsidRPr="00F25744">
        <w:rPr>
          <w:rFonts w:ascii="David" w:hAnsi="David" w:cs="David" w:hint="cs"/>
          <w:sz w:val="24"/>
          <w:szCs w:val="24"/>
          <w:rtl/>
        </w:rPr>
        <w:t xml:space="preserve"> </w:t>
      </w:r>
      <w:r w:rsidR="007F3A52" w:rsidRPr="00F25744">
        <w:rPr>
          <w:rFonts w:ascii="David" w:hAnsi="David" w:cs="David" w:hint="cs"/>
          <w:b/>
          <w:bCs/>
          <w:sz w:val="24"/>
          <w:szCs w:val="24"/>
          <w:rtl/>
        </w:rPr>
        <w:t xml:space="preserve">מדד משקלות התיקים </w:t>
      </w:r>
      <w:r w:rsidR="007F3A52" w:rsidRPr="00F25744">
        <w:rPr>
          <w:rFonts w:ascii="David" w:hAnsi="David" w:cs="David" w:hint="cs"/>
          <w:sz w:val="24"/>
          <w:szCs w:val="24"/>
          <w:rtl/>
        </w:rPr>
        <w:t>או</w:t>
      </w:r>
      <w:r w:rsidR="007F3A52" w:rsidRPr="00F25744">
        <w:rPr>
          <w:rFonts w:ascii="David" w:hAnsi="David" w:cs="David" w:hint="cs"/>
          <w:b/>
          <w:bCs/>
          <w:sz w:val="24"/>
          <w:szCs w:val="24"/>
          <w:rtl/>
        </w:rPr>
        <w:t xml:space="preserve"> המחקר הקודם</w:t>
      </w:r>
      <w:r w:rsidR="007F3A52" w:rsidRPr="00F25744">
        <w:rPr>
          <w:rFonts w:ascii="David" w:hAnsi="David" w:cs="David" w:hint="cs"/>
          <w:sz w:val="24"/>
          <w:szCs w:val="24"/>
          <w:rtl/>
        </w:rPr>
        <w:t xml:space="preserve">), </w:t>
      </w:r>
      <w:r w:rsidR="00471AED" w:rsidRPr="00F25744">
        <w:rPr>
          <w:rFonts w:ascii="David" w:hAnsi="David" w:cs="David" w:hint="cs"/>
          <w:sz w:val="24"/>
          <w:szCs w:val="24"/>
          <w:rtl/>
        </w:rPr>
        <w:t xml:space="preserve">וזאת, </w:t>
      </w:r>
      <w:r w:rsidR="007F3A52" w:rsidRPr="00F25744">
        <w:rPr>
          <w:rFonts w:ascii="David" w:hAnsi="David" w:cs="David" w:hint="cs"/>
          <w:sz w:val="24"/>
          <w:szCs w:val="24"/>
          <w:rtl/>
        </w:rPr>
        <w:t>במטרה לשקף בצורה המהימנה והמדויקת ביותר את עומס העבודה השיפוטית. בכך, מיועד מחקר זה לשמש את ראשי המערכת לצורכי תקינה ואיוש של שופטים, רשמים וצוותי העזר לשופטים במערכת, לצורכי השוואת עומסים בין בתי המשפט והעברת תיקים (</w:t>
      </w:r>
      <w:r w:rsidR="006B39B0" w:rsidRPr="00F25744">
        <w:rPr>
          <w:rFonts w:ascii="David" w:hAnsi="David" w:cs="David" w:hint="cs"/>
          <w:sz w:val="24"/>
          <w:szCs w:val="24"/>
          <w:rtl/>
        </w:rPr>
        <w:t>בתוך המחוזות וביניהם</w:t>
      </w:r>
      <w:r w:rsidR="007F3A52" w:rsidRPr="00F25744">
        <w:rPr>
          <w:rFonts w:ascii="David" w:hAnsi="David" w:cs="David" w:hint="cs"/>
          <w:sz w:val="24"/>
          <w:szCs w:val="24"/>
          <w:rtl/>
        </w:rPr>
        <w:t>), לקביעת הצורך במבני בתי משפט עתידיים וגודלם, ואף לסייע בקביעת</w:t>
      </w:r>
      <w:r w:rsidR="0047347E" w:rsidRPr="00F25744">
        <w:rPr>
          <w:rFonts w:ascii="David" w:hAnsi="David" w:cs="David" w:hint="cs"/>
          <w:sz w:val="24"/>
          <w:szCs w:val="24"/>
          <w:rtl/>
        </w:rPr>
        <w:t xml:space="preserve"> תכניו</w:t>
      </w:r>
      <w:r w:rsidR="007F3A52" w:rsidRPr="00F25744">
        <w:rPr>
          <w:rFonts w:ascii="David" w:hAnsi="David" w:cs="David" w:hint="cs"/>
          <w:sz w:val="24"/>
          <w:szCs w:val="24"/>
          <w:rtl/>
        </w:rPr>
        <w:t xml:space="preserve">ת העבודה ברמת בית המשפט והמחוז. </w:t>
      </w:r>
    </w:p>
    <w:p w14:paraId="5BAB1C0D" w14:textId="0DF665EE" w:rsidR="00121080" w:rsidRPr="00F25744" w:rsidRDefault="00E25AE7" w:rsidP="0072393E">
      <w:pPr>
        <w:widowControl w:val="0"/>
        <w:autoSpaceDE w:val="0"/>
        <w:autoSpaceDN w:val="0"/>
        <w:adjustRightInd w:val="0"/>
        <w:spacing w:before="120" w:after="0" w:line="360" w:lineRule="auto"/>
        <w:ind w:left="2"/>
        <w:jc w:val="both"/>
        <w:rPr>
          <w:rFonts w:ascii="David" w:hAnsi="David" w:cs="David"/>
          <w:sz w:val="24"/>
          <w:szCs w:val="24"/>
          <w:rtl/>
        </w:rPr>
      </w:pPr>
      <w:r w:rsidRPr="00F25744">
        <w:rPr>
          <w:rFonts w:ascii="David" w:hAnsi="David" w:cs="David" w:hint="cs"/>
          <w:sz w:val="24"/>
          <w:szCs w:val="24"/>
          <w:rtl/>
        </w:rPr>
        <w:t>עומס העבודה השיפוטית הוא נושא שמעסיק רבות את מערכת בתי המשפט בישראל</w:t>
      </w:r>
      <w:r w:rsidR="00E403FE" w:rsidRPr="00F25744">
        <w:rPr>
          <w:rFonts w:ascii="David" w:hAnsi="David" w:cs="David" w:hint="cs"/>
          <w:sz w:val="24"/>
          <w:szCs w:val="24"/>
          <w:rtl/>
        </w:rPr>
        <w:t xml:space="preserve"> ואת </w:t>
      </w:r>
      <w:r w:rsidR="008B6E31" w:rsidRPr="00F25744">
        <w:rPr>
          <w:rFonts w:ascii="David" w:hAnsi="David" w:cs="David" w:hint="cs"/>
          <w:sz w:val="24"/>
          <w:szCs w:val="24"/>
          <w:rtl/>
        </w:rPr>
        <w:t>רשויות השלטון האחרות</w:t>
      </w:r>
      <w:r w:rsidR="00B979C4" w:rsidRPr="00F25744">
        <w:rPr>
          <w:rFonts w:ascii="David" w:hAnsi="David" w:cs="David" w:hint="cs"/>
          <w:sz w:val="24"/>
          <w:szCs w:val="24"/>
          <w:rtl/>
        </w:rPr>
        <w:t>. הקלת עומס העבודה השיפוטית הכרחי</w:t>
      </w:r>
      <w:r w:rsidR="00D41E43" w:rsidRPr="00F25744">
        <w:rPr>
          <w:rFonts w:ascii="David" w:hAnsi="David" w:cs="David" w:hint="cs"/>
          <w:sz w:val="24"/>
          <w:szCs w:val="24"/>
          <w:rtl/>
        </w:rPr>
        <w:t>ת</w:t>
      </w:r>
      <w:r w:rsidR="00B979C4" w:rsidRPr="00F25744">
        <w:rPr>
          <w:rFonts w:ascii="David" w:hAnsi="David" w:cs="David" w:hint="cs"/>
          <w:sz w:val="24"/>
          <w:szCs w:val="24"/>
          <w:rtl/>
        </w:rPr>
        <w:t xml:space="preserve"> לצורך </w:t>
      </w:r>
      <w:r w:rsidRPr="00F25744">
        <w:rPr>
          <w:rFonts w:ascii="David" w:hAnsi="David" w:cs="David" w:hint="cs"/>
          <w:sz w:val="24"/>
          <w:szCs w:val="24"/>
          <w:rtl/>
        </w:rPr>
        <w:t>הבטחת זכויות אדם בסיסיות</w:t>
      </w:r>
      <w:r w:rsidR="005F0E33" w:rsidRPr="00F25744">
        <w:rPr>
          <w:rFonts w:ascii="David" w:hAnsi="David" w:cs="David" w:hint="cs"/>
          <w:sz w:val="24"/>
          <w:szCs w:val="24"/>
          <w:rtl/>
        </w:rPr>
        <w:t xml:space="preserve"> ל"צרכני" מערכת המשפט</w:t>
      </w:r>
      <w:r w:rsidRPr="00F25744">
        <w:rPr>
          <w:rFonts w:ascii="David" w:hAnsi="David" w:cs="David" w:hint="cs"/>
          <w:sz w:val="24"/>
          <w:szCs w:val="24"/>
          <w:rtl/>
        </w:rPr>
        <w:t xml:space="preserve">, ובהן זכות הגישה לערכאות, הזכות למשפט הוגן, והגנה מפני עינוי דין אשר בא לידי </w:t>
      </w:r>
      <w:r w:rsidR="00B979C4" w:rsidRPr="00F25744">
        <w:rPr>
          <w:rFonts w:ascii="David" w:hAnsi="David" w:cs="David" w:hint="cs"/>
          <w:sz w:val="24"/>
          <w:szCs w:val="24"/>
          <w:rtl/>
        </w:rPr>
        <w:t>ביטוי בהתמשכות ההליכים המשפטיים</w:t>
      </w:r>
      <w:r w:rsidRPr="00F25744">
        <w:rPr>
          <w:rFonts w:ascii="David" w:hAnsi="David" w:cs="David" w:hint="cs"/>
          <w:sz w:val="24"/>
          <w:szCs w:val="24"/>
          <w:rtl/>
        </w:rPr>
        <w:t xml:space="preserve">. </w:t>
      </w:r>
      <w:r w:rsidR="00471AED" w:rsidRPr="00F25744">
        <w:rPr>
          <w:rFonts w:ascii="David" w:hAnsi="David" w:cs="David" w:hint="cs"/>
          <w:sz w:val="24"/>
          <w:szCs w:val="24"/>
          <w:rtl/>
        </w:rPr>
        <w:t xml:space="preserve">הקלת העומס נחוצה גם לשם הבטחת תנאי </w:t>
      </w:r>
      <w:r w:rsidR="00BE3D29">
        <w:rPr>
          <w:rFonts w:ascii="David" w:hAnsi="David" w:cs="David" w:hint="cs"/>
          <w:sz w:val="24"/>
          <w:szCs w:val="24"/>
          <w:rtl/>
        </w:rPr>
        <w:t>ה</w:t>
      </w:r>
      <w:r w:rsidR="00471AED" w:rsidRPr="00F25744">
        <w:rPr>
          <w:rFonts w:ascii="David" w:hAnsi="David" w:cs="David" w:hint="cs"/>
          <w:sz w:val="24"/>
          <w:szCs w:val="24"/>
          <w:rtl/>
        </w:rPr>
        <w:t xml:space="preserve">עבודה </w:t>
      </w:r>
      <w:r w:rsidR="00BE3D29">
        <w:rPr>
          <w:rFonts w:ascii="David" w:hAnsi="David" w:cs="David" w:hint="cs"/>
          <w:sz w:val="24"/>
          <w:szCs w:val="24"/>
          <w:rtl/>
        </w:rPr>
        <w:t>ש</w:t>
      </w:r>
      <w:r w:rsidR="00471AED" w:rsidRPr="00F25744">
        <w:rPr>
          <w:rFonts w:ascii="David" w:hAnsi="David" w:cs="David" w:hint="cs"/>
          <w:sz w:val="24"/>
          <w:szCs w:val="24"/>
          <w:rtl/>
        </w:rPr>
        <w:t>ל</w:t>
      </w:r>
      <w:r w:rsidR="00BE3D29">
        <w:rPr>
          <w:rFonts w:ascii="David" w:hAnsi="David" w:cs="David" w:hint="cs"/>
          <w:sz w:val="24"/>
          <w:szCs w:val="24"/>
          <w:rtl/>
        </w:rPr>
        <w:t xml:space="preserve"> ה</w:t>
      </w:r>
      <w:r w:rsidR="00471AED" w:rsidRPr="00F25744">
        <w:rPr>
          <w:rFonts w:ascii="David" w:hAnsi="David" w:cs="David" w:hint="cs"/>
          <w:sz w:val="24"/>
          <w:szCs w:val="24"/>
          <w:rtl/>
        </w:rPr>
        <w:t>שופטים וצוותי העזר. לא אחת נזכר עומס העבודה המשמעותי המוטל על שופטי ישראל, בפרט בהשוואה לעומס העבודה השיפוטי</w:t>
      </w:r>
      <w:r w:rsidR="00DC25D2" w:rsidRPr="00F25744">
        <w:rPr>
          <w:rFonts w:ascii="David" w:hAnsi="David" w:cs="David" w:hint="cs"/>
          <w:sz w:val="24"/>
          <w:szCs w:val="24"/>
          <w:rtl/>
        </w:rPr>
        <w:t>ת</w:t>
      </w:r>
      <w:r w:rsidR="00471AED" w:rsidRPr="00F25744">
        <w:rPr>
          <w:rFonts w:ascii="David" w:hAnsi="David" w:cs="David" w:hint="cs"/>
          <w:sz w:val="24"/>
          <w:szCs w:val="24"/>
          <w:rtl/>
        </w:rPr>
        <w:t xml:space="preserve"> במערכות משפט מקבילות בעולם.</w:t>
      </w:r>
      <w:r w:rsidRPr="00F25744">
        <w:rPr>
          <w:rStyle w:val="a6"/>
          <w:rFonts w:ascii="David" w:hAnsi="David" w:cs="David"/>
          <w:sz w:val="24"/>
          <w:szCs w:val="24"/>
          <w:rtl/>
        </w:rPr>
        <w:footnoteReference w:id="4"/>
      </w:r>
      <w:r w:rsidR="00471AED" w:rsidRPr="00F25744">
        <w:rPr>
          <w:rFonts w:ascii="David" w:hAnsi="David" w:cs="David" w:hint="cs"/>
          <w:sz w:val="24"/>
          <w:szCs w:val="24"/>
          <w:rtl/>
        </w:rPr>
        <w:t xml:space="preserve"> </w:t>
      </w:r>
    </w:p>
    <w:p w14:paraId="4E600CF1" w14:textId="77777777" w:rsidR="00121080" w:rsidRPr="00F25744" w:rsidRDefault="00E25AE7" w:rsidP="00BD23BB">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 xml:space="preserve">המשנה לנשיא בית המשפט העליון (בדימוס), כבוד השופט אליהו מצא, אמר לגבי עומסי העבודה המוטלים על שופטי ישראל, כי הכמות הממוצעת של תיקים ששופט בישראל נדרש לטפל בהם, בכל </w:t>
      </w:r>
      <w:r w:rsidRPr="00F25744">
        <w:rPr>
          <w:rFonts w:ascii="David" w:hAnsi="David" w:cs="David" w:hint="cs"/>
          <w:sz w:val="24"/>
          <w:szCs w:val="24"/>
          <w:rtl/>
        </w:rPr>
        <w:lastRenderedPageBreak/>
        <w:t>פרק זמן נתון, עולה כדי כפל ואף יותר על כמות התיקים המוטלת על שופט ברוב מדינות המערב.</w:t>
      </w:r>
      <w:r w:rsidRPr="00F25744">
        <w:rPr>
          <w:rStyle w:val="a6"/>
          <w:rFonts w:ascii="David" w:hAnsi="David" w:cs="David"/>
          <w:sz w:val="24"/>
          <w:szCs w:val="24"/>
          <w:rtl/>
        </w:rPr>
        <w:footnoteReference w:id="5"/>
      </w:r>
      <w:r w:rsidRPr="00F25744">
        <w:rPr>
          <w:rFonts w:ascii="David" w:hAnsi="David" w:cs="David" w:hint="cs"/>
          <w:sz w:val="24"/>
          <w:szCs w:val="24"/>
          <w:rtl/>
        </w:rPr>
        <w:t xml:space="preserve"> </w:t>
      </w:r>
    </w:p>
    <w:p w14:paraId="55DD5ACF" w14:textId="0FC3B4CA" w:rsidR="0038054A" w:rsidRPr="00F25744" w:rsidRDefault="00E25AE7" w:rsidP="00BD23BB">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 xml:space="preserve">ואכן, </w:t>
      </w:r>
      <w:r w:rsidR="0058399C" w:rsidRPr="00F25744">
        <w:rPr>
          <w:rFonts w:ascii="David" w:hAnsi="David" w:cs="David" w:hint="cs"/>
          <w:sz w:val="24"/>
          <w:szCs w:val="24"/>
          <w:rtl/>
        </w:rPr>
        <w:t>לפחות בעשור אחרון, נתונים על מערכת המשפט בישראל מראים מגמה עקבית המעידה על כך ש</w:t>
      </w:r>
      <w:r w:rsidRPr="00F25744">
        <w:rPr>
          <w:rFonts w:ascii="David" w:hAnsi="David" w:cs="David" w:hint="cs"/>
          <w:sz w:val="24"/>
          <w:szCs w:val="24"/>
          <w:rtl/>
        </w:rPr>
        <w:t xml:space="preserve">עומס העבודה השיפוטית בישראל </w:t>
      </w:r>
      <w:r w:rsidR="00147E2D" w:rsidRPr="00F25744">
        <w:rPr>
          <w:rFonts w:ascii="David" w:hAnsi="David" w:cs="David" w:hint="cs"/>
          <w:sz w:val="24"/>
          <w:szCs w:val="24"/>
          <w:rtl/>
        </w:rPr>
        <w:t xml:space="preserve">הולך ונעשה </w:t>
      </w:r>
      <w:r w:rsidR="00471AED" w:rsidRPr="00F25744">
        <w:rPr>
          <w:rFonts w:ascii="David" w:hAnsi="David" w:cs="David" w:hint="cs"/>
          <w:sz w:val="24"/>
          <w:szCs w:val="24"/>
          <w:rtl/>
        </w:rPr>
        <w:t xml:space="preserve">משמעותי </w:t>
      </w:r>
      <w:r w:rsidR="00147E2D" w:rsidRPr="00F25744">
        <w:rPr>
          <w:rFonts w:ascii="David" w:hAnsi="David" w:cs="David" w:hint="cs"/>
          <w:sz w:val="24"/>
          <w:szCs w:val="24"/>
          <w:rtl/>
        </w:rPr>
        <w:t>יותר ב</w:t>
      </w:r>
      <w:r w:rsidRPr="00F25744">
        <w:rPr>
          <w:rFonts w:ascii="David" w:hAnsi="David" w:cs="David" w:hint="cs"/>
          <w:sz w:val="24"/>
          <w:szCs w:val="24"/>
          <w:rtl/>
        </w:rPr>
        <w:t>השוואה למדינות</w:t>
      </w:r>
      <w:r w:rsidR="00147E2D" w:rsidRPr="00F25744">
        <w:rPr>
          <w:rFonts w:ascii="David" w:hAnsi="David" w:cs="David" w:hint="cs"/>
          <w:sz w:val="24"/>
          <w:szCs w:val="24"/>
          <w:rtl/>
        </w:rPr>
        <w:t xml:space="preserve"> אחרות ב</w:t>
      </w:r>
      <w:r w:rsidRPr="00F25744">
        <w:rPr>
          <w:rFonts w:ascii="David" w:hAnsi="David" w:cs="David" w:hint="cs"/>
          <w:sz w:val="24"/>
          <w:szCs w:val="24"/>
          <w:rtl/>
        </w:rPr>
        <w:t>עולם המערבי</w:t>
      </w:r>
      <w:r w:rsidR="00931B90" w:rsidRPr="00F25744">
        <w:rPr>
          <w:rFonts w:ascii="David" w:hAnsi="David" w:cs="David" w:hint="cs"/>
          <w:sz w:val="24"/>
          <w:szCs w:val="24"/>
          <w:rtl/>
        </w:rPr>
        <w:t xml:space="preserve">. עומס כבד זה ניתן לייחס למספר גורמים, ובהם </w:t>
      </w:r>
      <w:r w:rsidRPr="00F25744">
        <w:rPr>
          <w:rFonts w:ascii="David" w:hAnsi="David" w:cs="David" w:hint="cs"/>
          <w:sz w:val="24"/>
          <w:szCs w:val="24"/>
          <w:rtl/>
        </w:rPr>
        <w:t xml:space="preserve">הכמות הגדולה של ההליכים הנפתחים בכל שנה במערכת </w:t>
      </w:r>
      <w:r w:rsidR="00E14228">
        <w:rPr>
          <w:rFonts w:ascii="David" w:hAnsi="David" w:cs="David" w:hint="cs"/>
          <w:sz w:val="24"/>
          <w:szCs w:val="24"/>
          <w:rtl/>
        </w:rPr>
        <w:t xml:space="preserve">בתי </w:t>
      </w:r>
      <w:r w:rsidRPr="00F25744">
        <w:rPr>
          <w:rFonts w:ascii="David" w:hAnsi="David" w:cs="David" w:hint="cs"/>
          <w:sz w:val="24"/>
          <w:szCs w:val="24"/>
          <w:rtl/>
        </w:rPr>
        <w:t xml:space="preserve">המשפט בהשוואה לגודל האוכלוסייה בישראל, </w:t>
      </w:r>
      <w:r w:rsidR="00471AED" w:rsidRPr="00F25744">
        <w:rPr>
          <w:rFonts w:ascii="David" w:hAnsi="David" w:cs="David" w:hint="cs"/>
          <w:sz w:val="24"/>
          <w:szCs w:val="24"/>
          <w:rtl/>
        </w:rPr>
        <w:t>ה</w:t>
      </w:r>
      <w:r w:rsidRPr="00F25744">
        <w:rPr>
          <w:rFonts w:ascii="David" w:hAnsi="David" w:cs="David" w:hint="cs"/>
          <w:sz w:val="24"/>
          <w:szCs w:val="24"/>
          <w:rtl/>
        </w:rPr>
        <w:t xml:space="preserve">מספר </w:t>
      </w:r>
      <w:r w:rsidR="00471AED" w:rsidRPr="00F25744">
        <w:rPr>
          <w:rFonts w:ascii="David" w:hAnsi="David" w:cs="David" w:hint="cs"/>
          <w:sz w:val="24"/>
          <w:szCs w:val="24"/>
          <w:rtl/>
        </w:rPr>
        <w:t xml:space="preserve">הקטן </w:t>
      </w:r>
      <w:r w:rsidRPr="00F25744">
        <w:rPr>
          <w:rFonts w:ascii="David" w:hAnsi="David" w:cs="David" w:hint="cs"/>
          <w:sz w:val="24"/>
          <w:szCs w:val="24"/>
          <w:rtl/>
        </w:rPr>
        <w:t>של השופטים ביחס לאוכלוסייה</w:t>
      </w:r>
      <w:r w:rsidR="00931B90" w:rsidRPr="00F25744">
        <w:rPr>
          <w:rFonts w:ascii="David" w:hAnsi="David" w:cs="David" w:hint="cs"/>
          <w:sz w:val="24"/>
          <w:szCs w:val="24"/>
          <w:rtl/>
        </w:rPr>
        <w:t xml:space="preserve"> ומספרם </w:t>
      </w:r>
      <w:r w:rsidR="00471AED" w:rsidRPr="00F25744">
        <w:rPr>
          <w:rFonts w:ascii="David" w:hAnsi="David" w:cs="David" w:hint="cs"/>
          <w:sz w:val="24"/>
          <w:szCs w:val="24"/>
          <w:rtl/>
        </w:rPr>
        <w:t xml:space="preserve">הגדול </w:t>
      </w:r>
      <w:r w:rsidR="00931B90" w:rsidRPr="00F25744">
        <w:rPr>
          <w:rFonts w:ascii="David" w:hAnsi="David" w:cs="David" w:hint="cs"/>
          <w:sz w:val="24"/>
          <w:szCs w:val="24"/>
          <w:rtl/>
        </w:rPr>
        <w:t>של עורכי הדין ביחס לאוכלוסייה בישראל.</w:t>
      </w:r>
    </w:p>
    <w:p w14:paraId="27F18833" w14:textId="77777777" w:rsidR="00121080" w:rsidRPr="00F25744" w:rsidRDefault="00E25AE7" w:rsidP="00BD23BB">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בפרסום</w:t>
      </w:r>
      <w:r w:rsidRPr="00F25744">
        <w:rPr>
          <w:rFonts w:ascii="David" w:hAnsi="David" w:cs="David"/>
          <w:sz w:val="24"/>
          <w:szCs w:val="24"/>
        </w:rPr>
        <w:t xml:space="preserve"> </w:t>
      </w:r>
      <w:r w:rsidR="003049FF" w:rsidRPr="00F25744">
        <w:rPr>
          <w:rFonts w:ascii="David" w:hAnsi="David" w:cs="David" w:hint="cs"/>
          <w:sz w:val="24"/>
          <w:szCs w:val="24"/>
          <w:rtl/>
        </w:rPr>
        <w:t xml:space="preserve">של מחלקת המחקר על </w:t>
      </w:r>
      <w:r w:rsidRPr="00F25744">
        <w:rPr>
          <w:rFonts w:ascii="David" w:hAnsi="David" w:cs="David" w:hint="cs"/>
          <w:sz w:val="24"/>
          <w:szCs w:val="24"/>
          <w:rtl/>
        </w:rPr>
        <w:t>עיקרי</w:t>
      </w:r>
      <w:r w:rsidRPr="00F25744">
        <w:rPr>
          <w:rFonts w:ascii="David" w:hAnsi="David" w:cs="David"/>
          <w:sz w:val="24"/>
          <w:szCs w:val="24"/>
        </w:rPr>
        <w:t xml:space="preserve"> </w:t>
      </w:r>
      <w:r w:rsidRPr="00F25744">
        <w:rPr>
          <w:rFonts w:ascii="David" w:hAnsi="David" w:cs="David" w:hint="cs"/>
          <w:sz w:val="24"/>
          <w:szCs w:val="24"/>
          <w:rtl/>
        </w:rPr>
        <w:t>הדו"ח</w:t>
      </w:r>
      <w:r w:rsidRPr="00F25744">
        <w:rPr>
          <w:rFonts w:ascii="David" w:hAnsi="David" w:cs="David"/>
          <w:sz w:val="24"/>
          <w:szCs w:val="24"/>
        </w:rPr>
        <w:t xml:space="preserve"> </w:t>
      </w:r>
      <w:r w:rsidRPr="00F25744">
        <w:rPr>
          <w:rFonts w:ascii="David" w:hAnsi="David" w:cs="David" w:hint="cs"/>
          <w:sz w:val="24"/>
          <w:szCs w:val="24"/>
          <w:rtl/>
        </w:rPr>
        <w:t>ההשוואתי</w:t>
      </w:r>
      <w:r w:rsidRPr="00F25744">
        <w:rPr>
          <w:rFonts w:ascii="David" w:hAnsi="David" w:cs="David"/>
          <w:sz w:val="24"/>
          <w:szCs w:val="24"/>
        </w:rPr>
        <w:t xml:space="preserve"> </w:t>
      </w:r>
      <w:r w:rsidRPr="00F25744">
        <w:rPr>
          <w:rFonts w:ascii="David" w:hAnsi="David" w:cs="David" w:hint="cs"/>
          <w:sz w:val="24"/>
          <w:szCs w:val="24"/>
          <w:rtl/>
        </w:rPr>
        <w:t>של</w:t>
      </w:r>
      <w:r w:rsidRPr="00F25744">
        <w:rPr>
          <w:rFonts w:ascii="David" w:hAnsi="David" w:cs="David"/>
          <w:sz w:val="24"/>
          <w:szCs w:val="24"/>
        </w:rPr>
        <w:t xml:space="preserve"> </w:t>
      </w:r>
      <w:r w:rsidRPr="00F25744">
        <w:rPr>
          <w:rFonts w:ascii="David" w:hAnsi="David" w:cs="David" w:hint="cs"/>
          <w:sz w:val="24"/>
          <w:szCs w:val="24"/>
          <w:rtl/>
        </w:rPr>
        <w:t>ה</w:t>
      </w:r>
      <w:r w:rsidR="00A324B2" w:rsidRPr="00F25744">
        <w:rPr>
          <w:rFonts w:ascii="David" w:hAnsi="David" w:cs="David" w:hint="cs"/>
          <w:sz w:val="24"/>
          <w:szCs w:val="24"/>
          <w:rtl/>
        </w:rPr>
        <w:t>נציבות</w:t>
      </w:r>
      <w:r w:rsidRPr="00F25744">
        <w:rPr>
          <w:rFonts w:ascii="David" w:hAnsi="David" w:cs="David"/>
          <w:sz w:val="24"/>
          <w:szCs w:val="24"/>
        </w:rPr>
        <w:t xml:space="preserve"> </w:t>
      </w:r>
      <w:r w:rsidRPr="00F25744">
        <w:rPr>
          <w:rFonts w:ascii="David" w:hAnsi="David" w:cs="David" w:hint="cs"/>
          <w:sz w:val="24"/>
          <w:szCs w:val="24"/>
          <w:rtl/>
        </w:rPr>
        <w:t>האירופית</w:t>
      </w:r>
      <w:r w:rsidRPr="00F25744">
        <w:rPr>
          <w:rFonts w:ascii="David" w:hAnsi="David" w:cs="David"/>
          <w:sz w:val="24"/>
          <w:szCs w:val="24"/>
        </w:rPr>
        <w:t xml:space="preserve"> </w:t>
      </w:r>
      <w:r w:rsidRPr="00F25744">
        <w:rPr>
          <w:rFonts w:ascii="David" w:hAnsi="David" w:cs="David" w:hint="cs"/>
          <w:sz w:val="24"/>
          <w:szCs w:val="24"/>
          <w:rtl/>
        </w:rPr>
        <w:t>ל</w:t>
      </w:r>
      <w:r w:rsidR="00A324B2" w:rsidRPr="00F25744">
        <w:rPr>
          <w:rFonts w:ascii="David" w:hAnsi="David" w:cs="David" w:hint="cs"/>
          <w:sz w:val="24"/>
          <w:szCs w:val="24"/>
          <w:rtl/>
        </w:rPr>
        <w:t xml:space="preserve">בחינת </w:t>
      </w:r>
      <w:r w:rsidRPr="00F25744">
        <w:rPr>
          <w:rFonts w:ascii="David" w:hAnsi="David" w:cs="David" w:hint="cs"/>
          <w:sz w:val="24"/>
          <w:szCs w:val="24"/>
          <w:rtl/>
        </w:rPr>
        <w:t>יעילות</w:t>
      </w:r>
      <w:r w:rsidR="00A324B2" w:rsidRPr="00F25744">
        <w:rPr>
          <w:rFonts w:ascii="David" w:hAnsi="David" w:cs="David" w:hint="cs"/>
          <w:sz w:val="24"/>
          <w:szCs w:val="24"/>
          <w:rtl/>
        </w:rPr>
        <w:t xml:space="preserve"> מערכות</w:t>
      </w:r>
      <w:r w:rsidR="00727589" w:rsidRPr="00F25744">
        <w:rPr>
          <w:rFonts w:ascii="David" w:hAnsi="David" w:cs="David" w:hint="cs"/>
          <w:sz w:val="24"/>
          <w:szCs w:val="24"/>
          <w:rtl/>
        </w:rPr>
        <w:t xml:space="preserve"> </w:t>
      </w:r>
      <w:r w:rsidRPr="00F25744">
        <w:rPr>
          <w:rFonts w:ascii="David" w:hAnsi="David" w:cs="David" w:hint="cs"/>
          <w:sz w:val="24"/>
          <w:szCs w:val="24"/>
          <w:rtl/>
        </w:rPr>
        <w:t>הצדק (2016)</w:t>
      </w:r>
      <w:r w:rsidR="003049FF" w:rsidRPr="00F25744">
        <w:rPr>
          <w:rFonts w:ascii="David" w:hAnsi="David" w:cs="David" w:hint="cs"/>
          <w:sz w:val="24"/>
          <w:szCs w:val="24"/>
          <w:rtl/>
        </w:rPr>
        <w:t>,</w:t>
      </w:r>
      <w:r w:rsidRPr="00F25744">
        <w:rPr>
          <w:rStyle w:val="a6"/>
          <w:rFonts w:ascii="David" w:hAnsi="David" w:cs="David"/>
          <w:sz w:val="24"/>
          <w:szCs w:val="24"/>
          <w:rtl/>
        </w:rPr>
        <w:footnoteReference w:id="6"/>
      </w:r>
      <w:r w:rsidR="00B803A1" w:rsidRPr="00F25744">
        <w:rPr>
          <w:rFonts w:ascii="David" w:hAnsi="David" w:cs="David" w:hint="cs"/>
          <w:sz w:val="24"/>
          <w:szCs w:val="24"/>
          <w:rtl/>
        </w:rPr>
        <w:t xml:space="preserve"> </w:t>
      </w:r>
      <w:r w:rsidRPr="00F25744">
        <w:rPr>
          <w:rFonts w:ascii="David" w:hAnsi="David" w:cs="David" w:hint="cs"/>
          <w:sz w:val="24"/>
          <w:szCs w:val="24"/>
          <w:rtl/>
        </w:rPr>
        <w:t>פורט</w:t>
      </w:r>
      <w:r w:rsidR="00CB2802" w:rsidRPr="00F25744">
        <w:rPr>
          <w:rFonts w:ascii="David" w:hAnsi="David" w:cs="David" w:hint="cs"/>
          <w:sz w:val="24"/>
          <w:szCs w:val="24"/>
          <w:rtl/>
        </w:rPr>
        <w:t>ו הממצאים ההשוואתיים על כמות השופטים במדינות המערב אל מול מדינת ישראל. נמצא,</w:t>
      </w:r>
      <w:r w:rsidRPr="00F25744">
        <w:rPr>
          <w:rFonts w:ascii="David" w:hAnsi="David" w:cs="David" w:hint="cs"/>
          <w:sz w:val="24"/>
          <w:szCs w:val="24"/>
          <w:rtl/>
        </w:rPr>
        <w:t xml:space="preserve"> כי מספר השופטים הממוצע במדינות אירופה עומד על 22 שופטים מקצועיים במשרה קבועה, 94 שופטים "לא מקצועיים" ו-9 שופטים מקצועיים ארעיים על כל 100,000 תושבים.</w:t>
      </w:r>
      <w:r w:rsidRPr="00F25744">
        <w:rPr>
          <w:rStyle w:val="a6"/>
          <w:rFonts w:ascii="David" w:hAnsi="David" w:cs="David"/>
          <w:sz w:val="24"/>
          <w:szCs w:val="24"/>
          <w:rtl/>
        </w:rPr>
        <w:footnoteReference w:id="7"/>
      </w:r>
      <w:r w:rsidRPr="00F25744">
        <w:rPr>
          <w:rFonts w:ascii="David" w:hAnsi="David" w:cs="David" w:hint="cs"/>
          <w:sz w:val="24"/>
          <w:szCs w:val="24"/>
          <w:rtl/>
        </w:rPr>
        <w:t xml:space="preserve"> בישראל</w:t>
      </w:r>
      <w:r w:rsidR="00471AED" w:rsidRPr="00F25744">
        <w:rPr>
          <w:rFonts w:ascii="David" w:hAnsi="David" w:cs="David" w:hint="cs"/>
          <w:sz w:val="24"/>
          <w:szCs w:val="24"/>
          <w:rtl/>
        </w:rPr>
        <w:t>,</w:t>
      </w:r>
      <w:r w:rsidRPr="00F25744">
        <w:rPr>
          <w:rFonts w:ascii="David" w:hAnsi="David" w:cs="David" w:hint="cs"/>
          <w:sz w:val="24"/>
          <w:szCs w:val="24"/>
          <w:rtl/>
        </w:rPr>
        <w:t xml:space="preserve"> לעומת זאת, מספר השופטים לנפש נמוך בהרבה ועומד על 9 שופטים מקצועיים, 5 "שופטים לא מקצועיים" ושופט מקצועי ארעי אחד בלבד על כל 100,000 תושבים. </w:t>
      </w:r>
      <w:r w:rsidRPr="00F25744">
        <w:rPr>
          <w:rFonts w:ascii="David" w:hAnsi="David" w:cs="David"/>
          <w:sz w:val="24"/>
          <w:szCs w:val="24"/>
          <w:rtl/>
        </w:rPr>
        <w:t>בשונה מן המצב בישראל,</w:t>
      </w:r>
      <w:r w:rsidRPr="00F25744">
        <w:rPr>
          <w:rFonts w:ascii="David" w:hAnsi="David" w:cs="David" w:hint="cs"/>
          <w:sz w:val="24"/>
          <w:szCs w:val="24"/>
          <w:rtl/>
        </w:rPr>
        <w:t xml:space="preserve"> </w:t>
      </w:r>
      <w:r w:rsidRPr="00F25744">
        <w:rPr>
          <w:rFonts w:ascii="David" w:hAnsi="David" w:cs="David"/>
          <w:sz w:val="24"/>
          <w:szCs w:val="24"/>
          <w:rtl/>
        </w:rPr>
        <w:t>במדינות רבות, כאשר מספר השופטים המקצועיים הוא קטן יחסית, ישנו מספר גבוה במיוחד של</w:t>
      </w:r>
      <w:r w:rsidRPr="00F25744">
        <w:rPr>
          <w:rFonts w:ascii="David" w:hAnsi="David" w:cs="David" w:hint="cs"/>
          <w:sz w:val="24"/>
          <w:szCs w:val="24"/>
          <w:rtl/>
        </w:rPr>
        <w:t xml:space="preserve"> </w:t>
      </w:r>
      <w:r w:rsidRPr="00F25744">
        <w:rPr>
          <w:rFonts w:ascii="David" w:hAnsi="David" w:cs="David"/>
          <w:sz w:val="24"/>
          <w:szCs w:val="24"/>
          <w:rtl/>
        </w:rPr>
        <w:t>שופטים "לא מקצועיים".</w:t>
      </w:r>
    </w:p>
    <w:p w14:paraId="7802CD90" w14:textId="41A64FBD" w:rsidR="003603E0" w:rsidRPr="00F25744" w:rsidRDefault="00E25AE7" w:rsidP="00E14228">
      <w:pPr>
        <w:widowControl w:val="0"/>
        <w:autoSpaceDE w:val="0"/>
        <w:autoSpaceDN w:val="0"/>
        <w:adjustRightInd w:val="0"/>
        <w:spacing w:before="120" w:after="0" w:line="360" w:lineRule="auto"/>
        <w:jc w:val="both"/>
        <w:rPr>
          <w:rFonts w:ascii="Times New Roman,Bold" w:cs="Times New Roman,Bold"/>
          <w:b/>
          <w:bCs/>
          <w:color w:val="000081"/>
          <w:sz w:val="24"/>
          <w:szCs w:val="24"/>
          <w:rtl/>
        </w:rPr>
      </w:pPr>
      <w:r w:rsidRPr="00F25744">
        <w:rPr>
          <w:rFonts w:ascii="David" w:hAnsi="David" w:cs="David" w:hint="cs"/>
          <w:sz w:val="24"/>
          <w:szCs w:val="24"/>
          <w:rtl/>
        </w:rPr>
        <w:t xml:space="preserve">עוד פורט בדו"ח זה, כי </w:t>
      </w:r>
      <w:r w:rsidR="007F3A52" w:rsidRPr="00F25744">
        <w:rPr>
          <w:rFonts w:ascii="David" w:hAnsi="David" w:cs="David" w:hint="cs"/>
          <w:sz w:val="24"/>
          <w:szCs w:val="24"/>
          <w:rtl/>
        </w:rPr>
        <w:t>מספר</w:t>
      </w:r>
      <w:r w:rsidR="007F3A52" w:rsidRPr="00F25744">
        <w:rPr>
          <w:rFonts w:ascii="David" w:hAnsi="David" w:cs="David"/>
          <w:sz w:val="24"/>
          <w:szCs w:val="24"/>
        </w:rPr>
        <w:t xml:space="preserve"> </w:t>
      </w:r>
      <w:r w:rsidR="007F3A52" w:rsidRPr="00F25744">
        <w:rPr>
          <w:rFonts w:ascii="David" w:hAnsi="David" w:cs="David" w:hint="cs"/>
          <w:sz w:val="24"/>
          <w:szCs w:val="24"/>
          <w:rtl/>
        </w:rPr>
        <w:t>התיקים</w:t>
      </w:r>
      <w:r w:rsidR="007F3A52" w:rsidRPr="00F25744">
        <w:rPr>
          <w:rFonts w:ascii="David" w:hAnsi="David" w:cs="David"/>
          <w:sz w:val="24"/>
          <w:szCs w:val="24"/>
        </w:rPr>
        <w:t xml:space="preserve"> </w:t>
      </w:r>
      <w:r w:rsidR="00A324B2" w:rsidRPr="00F25744">
        <w:rPr>
          <w:rFonts w:ascii="David" w:hAnsi="David" w:cs="David" w:hint="cs"/>
          <w:sz w:val="24"/>
          <w:szCs w:val="24"/>
          <w:rtl/>
        </w:rPr>
        <w:t xml:space="preserve">האזרחיים </w:t>
      </w:r>
      <w:r w:rsidR="007F3A52" w:rsidRPr="00F25744">
        <w:rPr>
          <w:rFonts w:ascii="David" w:hAnsi="David" w:cs="David" w:hint="cs"/>
          <w:sz w:val="24"/>
          <w:szCs w:val="24"/>
          <w:rtl/>
        </w:rPr>
        <w:t>הנפתחים</w:t>
      </w:r>
      <w:r w:rsidR="007F3A52" w:rsidRPr="00F25744">
        <w:rPr>
          <w:rFonts w:ascii="David" w:hAnsi="David" w:cs="David"/>
          <w:sz w:val="24"/>
          <w:szCs w:val="24"/>
        </w:rPr>
        <w:t xml:space="preserve"> </w:t>
      </w:r>
      <w:r w:rsidR="007F3A52" w:rsidRPr="00F25744">
        <w:rPr>
          <w:rFonts w:ascii="David" w:hAnsi="David" w:cs="David" w:hint="cs"/>
          <w:sz w:val="24"/>
          <w:szCs w:val="24"/>
          <w:rtl/>
        </w:rPr>
        <w:t>במדינת</w:t>
      </w:r>
      <w:r w:rsidR="007F3A52" w:rsidRPr="00F25744">
        <w:rPr>
          <w:rFonts w:ascii="David" w:hAnsi="David" w:cs="David"/>
          <w:sz w:val="24"/>
          <w:szCs w:val="24"/>
        </w:rPr>
        <w:t xml:space="preserve"> </w:t>
      </w:r>
      <w:r w:rsidR="007F3A52" w:rsidRPr="00F25744">
        <w:rPr>
          <w:rFonts w:ascii="David" w:hAnsi="David" w:cs="David" w:hint="cs"/>
          <w:sz w:val="24"/>
          <w:szCs w:val="24"/>
          <w:rtl/>
        </w:rPr>
        <w:t>ישראל</w:t>
      </w:r>
      <w:r w:rsidR="00471AED" w:rsidRPr="00F25744">
        <w:rPr>
          <w:rFonts w:ascii="David" w:hAnsi="David" w:cs="David" w:hint="cs"/>
          <w:sz w:val="24"/>
          <w:szCs w:val="24"/>
          <w:rtl/>
        </w:rPr>
        <w:t xml:space="preserve"> הוא </w:t>
      </w:r>
      <w:r w:rsidR="007F3A52" w:rsidRPr="00F25744">
        <w:rPr>
          <w:rFonts w:ascii="David" w:hAnsi="David" w:cs="David" w:hint="cs"/>
          <w:sz w:val="24"/>
          <w:szCs w:val="24"/>
          <w:rtl/>
        </w:rPr>
        <w:t>כמעט כפול מ</w:t>
      </w:r>
      <w:r w:rsidR="00471AED" w:rsidRPr="00F25744">
        <w:rPr>
          <w:rFonts w:ascii="David" w:hAnsi="David" w:cs="David" w:hint="cs"/>
          <w:sz w:val="24"/>
          <w:szCs w:val="24"/>
          <w:rtl/>
        </w:rPr>
        <w:t>ה</w:t>
      </w:r>
      <w:r w:rsidR="007F3A52" w:rsidRPr="00F25744">
        <w:rPr>
          <w:rFonts w:ascii="David" w:hAnsi="David" w:cs="David" w:hint="cs"/>
          <w:sz w:val="24"/>
          <w:szCs w:val="24"/>
          <w:rtl/>
        </w:rPr>
        <w:t>מספר</w:t>
      </w:r>
      <w:r w:rsidR="00471AED" w:rsidRPr="00F25744">
        <w:rPr>
          <w:rFonts w:ascii="David" w:hAnsi="David" w:cs="David" w:hint="cs"/>
          <w:sz w:val="24"/>
          <w:szCs w:val="24"/>
          <w:rtl/>
        </w:rPr>
        <w:t xml:space="preserve"> הממוצע של </w:t>
      </w:r>
      <w:r w:rsidR="007F3A52" w:rsidRPr="00F25744">
        <w:rPr>
          <w:rFonts w:ascii="David" w:hAnsi="David" w:cs="David" w:hint="cs"/>
          <w:sz w:val="24"/>
          <w:szCs w:val="24"/>
          <w:rtl/>
        </w:rPr>
        <w:t>התיקים</w:t>
      </w:r>
      <w:r w:rsidR="00AC5DDA" w:rsidRPr="00F25744">
        <w:rPr>
          <w:rFonts w:ascii="David" w:hAnsi="David" w:cs="David" w:hint="cs"/>
          <w:sz w:val="24"/>
          <w:szCs w:val="24"/>
          <w:rtl/>
        </w:rPr>
        <w:t xml:space="preserve"> </w:t>
      </w:r>
      <w:r w:rsidR="007F3A52" w:rsidRPr="00F25744">
        <w:rPr>
          <w:rFonts w:ascii="David" w:hAnsi="David" w:cs="David" w:hint="cs"/>
          <w:sz w:val="24"/>
          <w:szCs w:val="24"/>
          <w:rtl/>
        </w:rPr>
        <w:t>הנפתחים</w:t>
      </w:r>
      <w:r w:rsidR="007F3A52" w:rsidRPr="00F25744">
        <w:rPr>
          <w:rFonts w:ascii="David" w:hAnsi="David" w:cs="David"/>
          <w:sz w:val="24"/>
          <w:szCs w:val="24"/>
        </w:rPr>
        <w:t xml:space="preserve"> </w:t>
      </w:r>
      <w:r w:rsidR="007F3A52" w:rsidRPr="00F25744">
        <w:rPr>
          <w:rFonts w:ascii="David" w:hAnsi="David" w:cs="David" w:hint="cs"/>
          <w:sz w:val="24"/>
          <w:szCs w:val="24"/>
          <w:rtl/>
        </w:rPr>
        <w:t>במדינות אירופה</w:t>
      </w:r>
      <w:r w:rsidR="007F3A52" w:rsidRPr="00F25744">
        <w:rPr>
          <w:rFonts w:ascii="David" w:hAnsi="David" w:cs="David"/>
          <w:sz w:val="24"/>
          <w:szCs w:val="24"/>
        </w:rPr>
        <w:t xml:space="preserve"> </w:t>
      </w:r>
      <w:r w:rsidR="007F3A52" w:rsidRPr="00F25744">
        <w:rPr>
          <w:rFonts w:ascii="David" w:hAnsi="David" w:cs="David" w:hint="cs"/>
          <w:sz w:val="24"/>
          <w:szCs w:val="24"/>
          <w:rtl/>
        </w:rPr>
        <w:t>שנה</w:t>
      </w:r>
      <w:r w:rsidR="007F3A52" w:rsidRPr="00F25744">
        <w:rPr>
          <w:rFonts w:ascii="David" w:hAnsi="David" w:cs="David"/>
          <w:sz w:val="24"/>
          <w:szCs w:val="24"/>
        </w:rPr>
        <w:t xml:space="preserve"> </w:t>
      </w:r>
      <w:r w:rsidR="007F3A52" w:rsidRPr="00F25744">
        <w:rPr>
          <w:rFonts w:ascii="David" w:hAnsi="David" w:cs="David" w:hint="cs"/>
          <w:sz w:val="24"/>
          <w:szCs w:val="24"/>
          <w:rtl/>
        </w:rPr>
        <w:t>אחר</w:t>
      </w:r>
      <w:r w:rsidR="007F3A52" w:rsidRPr="00F25744">
        <w:rPr>
          <w:rFonts w:ascii="David" w:hAnsi="David" w:cs="David"/>
          <w:sz w:val="24"/>
          <w:szCs w:val="24"/>
        </w:rPr>
        <w:t xml:space="preserve"> </w:t>
      </w:r>
      <w:r w:rsidR="007F3A52" w:rsidRPr="00F25744">
        <w:rPr>
          <w:rFonts w:ascii="David" w:hAnsi="David" w:cs="David" w:hint="cs"/>
          <w:sz w:val="24"/>
          <w:szCs w:val="24"/>
          <w:rtl/>
        </w:rPr>
        <w:t>שנה</w:t>
      </w:r>
      <w:r w:rsidR="008B6E31" w:rsidRPr="00F25744">
        <w:rPr>
          <w:rFonts w:ascii="David" w:hAnsi="David" w:cs="David" w:hint="cs"/>
          <w:sz w:val="24"/>
          <w:szCs w:val="24"/>
          <w:rtl/>
        </w:rPr>
        <w:t>, לכל 100,000 תושבים</w:t>
      </w:r>
      <w:r w:rsidR="007F3A52" w:rsidRPr="00F25744">
        <w:rPr>
          <w:rFonts w:ascii="David" w:hAnsi="David" w:cs="David" w:hint="cs"/>
          <w:sz w:val="24"/>
          <w:szCs w:val="24"/>
          <w:rtl/>
        </w:rPr>
        <w:t>.</w:t>
      </w:r>
      <w:r w:rsidR="008F43BA" w:rsidRPr="00F25744">
        <w:rPr>
          <w:rFonts w:ascii="David" w:hAnsi="David" w:cs="David" w:hint="cs"/>
          <w:sz w:val="24"/>
          <w:szCs w:val="24"/>
          <w:rtl/>
        </w:rPr>
        <w:t xml:space="preserve"> </w:t>
      </w:r>
      <w:r w:rsidR="007F3A52" w:rsidRPr="00F25744">
        <w:rPr>
          <w:rFonts w:ascii="David" w:hAnsi="David" w:cs="David" w:hint="cs"/>
          <w:sz w:val="24"/>
          <w:szCs w:val="24"/>
          <w:rtl/>
        </w:rPr>
        <w:t>בכך</w:t>
      </w:r>
      <w:r w:rsidR="007F3A52" w:rsidRPr="00F25744">
        <w:rPr>
          <w:rFonts w:ascii="David" w:hAnsi="David" w:cs="David"/>
          <w:sz w:val="24"/>
          <w:szCs w:val="24"/>
        </w:rPr>
        <w:t xml:space="preserve"> </w:t>
      </w:r>
      <w:r w:rsidR="007F3A52" w:rsidRPr="00F25744">
        <w:rPr>
          <w:rFonts w:ascii="David" w:hAnsi="David" w:cs="David" w:hint="cs"/>
          <w:sz w:val="24"/>
          <w:szCs w:val="24"/>
          <w:rtl/>
        </w:rPr>
        <w:t>יש</w:t>
      </w:r>
      <w:r w:rsidR="007F3A52" w:rsidRPr="00F25744">
        <w:rPr>
          <w:rFonts w:ascii="David" w:hAnsi="David" w:cs="David"/>
          <w:sz w:val="24"/>
          <w:szCs w:val="24"/>
        </w:rPr>
        <w:t xml:space="preserve"> </w:t>
      </w:r>
      <w:r w:rsidR="007F3A52" w:rsidRPr="00F25744">
        <w:rPr>
          <w:rFonts w:ascii="David" w:hAnsi="David" w:cs="David" w:hint="cs"/>
          <w:sz w:val="24"/>
          <w:szCs w:val="24"/>
          <w:rtl/>
        </w:rPr>
        <w:t>להעיד</w:t>
      </w:r>
      <w:r w:rsidR="00623548" w:rsidRPr="00F25744">
        <w:rPr>
          <w:rFonts w:ascii="David" w:hAnsi="David" w:cs="David" w:hint="cs"/>
          <w:sz w:val="24"/>
          <w:szCs w:val="24"/>
          <w:rtl/>
        </w:rPr>
        <w:t xml:space="preserve"> </w:t>
      </w:r>
      <w:r w:rsidR="007F3A52" w:rsidRPr="00F25744">
        <w:rPr>
          <w:rFonts w:ascii="David" w:hAnsi="David" w:cs="David" w:hint="cs"/>
          <w:sz w:val="24"/>
          <w:szCs w:val="24"/>
          <w:rtl/>
        </w:rPr>
        <w:t>על</w:t>
      </w:r>
      <w:r w:rsidR="007F3A52" w:rsidRPr="00F25744">
        <w:rPr>
          <w:rFonts w:ascii="David" w:hAnsi="David" w:cs="David"/>
          <w:sz w:val="24"/>
          <w:szCs w:val="24"/>
        </w:rPr>
        <w:t xml:space="preserve"> </w:t>
      </w:r>
      <w:r w:rsidR="007F3A52" w:rsidRPr="00F25744">
        <w:rPr>
          <w:rFonts w:ascii="David" w:hAnsi="David" w:cs="David" w:hint="cs"/>
          <w:sz w:val="24"/>
          <w:szCs w:val="24"/>
          <w:rtl/>
        </w:rPr>
        <w:t>מידת</w:t>
      </w:r>
      <w:r w:rsidR="007F3A52" w:rsidRPr="00F25744">
        <w:rPr>
          <w:rFonts w:ascii="David" w:hAnsi="David" w:cs="David"/>
          <w:sz w:val="24"/>
          <w:szCs w:val="24"/>
        </w:rPr>
        <w:t xml:space="preserve"> </w:t>
      </w:r>
      <w:r w:rsidR="007F3A52" w:rsidRPr="00F25744">
        <w:rPr>
          <w:rFonts w:ascii="David" w:hAnsi="David" w:cs="David" w:hint="cs"/>
          <w:sz w:val="24"/>
          <w:szCs w:val="24"/>
          <w:rtl/>
        </w:rPr>
        <w:t>העומס</w:t>
      </w:r>
      <w:r w:rsidR="007F3A52" w:rsidRPr="00F25744">
        <w:rPr>
          <w:rFonts w:ascii="David" w:hAnsi="David" w:cs="David"/>
          <w:sz w:val="24"/>
          <w:szCs w:val="24"/>
        </w:rPr>
        <w:t xml:space="preserve"> </w:t>
      </w:r>
      <w:r w:rsidR="007F3A52" w:rsidRPr="00F25744">
        <w:rPr>
          <w:rFonts w:ascii="David" w:hAnsi="David" w:cs="David" w:hint="cs"/>
          <w:sz w:val="24"/>
          <w:szCs w:val="24"/>
          <w:rtl/>
        </w:rPr>
        <w:t>המוטלת</w:t>
      </w:r>
      <w:r w:rsidR="007F3A52" w:rsidRPr="00F25744">
        <w:rPr>
          <w:rFonts w:ascii="David" w:hAnsi="David" w:cs="David"/>
          <w:sz w:val="24"/>
          <w:szCs w:val="24"/>
        </w:rPr>
        <w:t xml:space="preserve"> </w:t>
      </w:r>
      <w:r w:rsidR="007F3A52" w:rsidRPr="00F25744">
        <w:rPr>
          <w:rFonts w:ascii="David" w:hAnsi="David" w:cs="David" w:hint="cs"/>
          <w:sz w:val="24"/>
          <w:szCs w:val="24"/>
          <w:rtl/>
        </w:rPr>
        <w:t>על</w:t>
      </w:r>
      <w:r w:rsidR="007F3A52" w:rsidRPr="00F25744">
        <w:rPr>
          <w:rFonts w:ascii="David" w:hAnsi="David" w:cs="David"/>
          <w:sz w:val="24"/>
          <w:szCs w:val="24"/>
        </w:rPr>
        <w:t xml:space="preserve"> </w:t>
      </w:r>
      <w:r w:rsidR="007F3A52" w:rsidRPr="00F25744">
        <w:rPr>
          <w:rFonts w:ascii="David" w:hAnsi="David" w:cs="David" w:hint="cs"/>
          <w:sz w:val="24"/>
          <w:szCs w:val="24"/>
          <w:rtl/>
        </w:rPr>
        <w:t>בתי</w:t>
      </w:r>
      <w:r w:rsidR="004C5447" w:rsidRPr="00F25744">
        <w:rPr>
          <w:rFonts w:ascii="David" w:hAnsi="David" w:cs="David" w:hint="cs"/>
          <w:sz w:val="24"/>
          <w:szCs w:val="24"/>
          <w:rtl/>
        </w:rPr>
        <w:t xml:space="preserve"> </w:t>
      </w:r>
      <w:r w:rsidR="007F3A52" w:rsidRPr="00F25744">
        <w:rPr>
          <w:rFonts w:ascii="David" w:hAnsi="David" w:cs="David" w:hint="cs"/>
          <w:sz w:val="24"/>
          <w:szCs w:val="24"/>
          <w:rtl/>
        </w:rPr>
        <w:t>המשפט</w:t>
      </w:r>
      <w:r w:rsidR="00AC5DDA" w:rsidRPr="00F25744">
        <w:rPr>
          <w:rFonts w:ascii="David" w:hAnsi="David" w:cs="David" w:hint="cs"/>
          <w:sz w:val="24"/>
          <w:szCs w:val="24"/>
          <w:rtl/>
        </w:rPr>
        <w:t xml:space="preserve"> ב</w:t>
      </w:r>
      <w:r w:rsidR="00F30B69" w:rsidRPr="00F25744">
        <w:rPr>
          <w:rFonts w:ascii="David" w:hAnsi="David" w:cs="David" w:hint="cs"/>
          <w:sz w:val="24"/>
          <w:szCs w:val="24"/>
          <w:rtl/>
        </w:rPr>
        <w:t>ישר</w:t>
      </w:r>
      <w:r w:rsidR="00F30B69" w:rsidRPr="00F25744">
        <w:rPr>
          <w:rFonts w:cs="David" w:hint="cs"/>
          <w:sz w:val="24"/>
          <w:szCs w:val="24"/>
          <w:rtl/>
        </w:rPr>
        <w:t>אל</w:t>
      </w:r>
      <w:r w:rsidR="00F30B69" w:rsidRPr="00F25744">
        <w:rPr>
          <w:rFonts w:ascii="David" w:hAnsi="David" w:cs="David" w:hint="cs"/>
          <w:sz w:val="24"/>
          <w:szCs w:val="24"/>
          <w:rtl/>
        </w:rPr>
        <w:t xml:space="preserve">, </w:t>
      </w:r>
      <w:r w:rsidR="007F3A52" w:rsidRPr="00F25744">
        <w:rPr>
          <w:rFonts w:ascii="David" w:hAnsi="David" w:cs="David" w:hint="cs"/>
          <w:sz w:val="24"/>
          <w:szCs w:val="24"/>
          <w:rtl/>
        </w:rPr>
        <w:t>וזאת בשים</w:t>
      </w:r>
      <w:r w:rsidR="007F3A52" w:rsidRPr="00F25744">
        <w:rPr>
          <w:rFonts w:ascii="David" w:hAnsi="David" w:cs="David"/>
          <w:sz w:val="24"/>
          <w:szCs w:val="24"/>
        </w:rPr>
        <w:t xml:space="preserve"> </w:t>
      </w:r>
      <w:r w:rsidR="007F3A52" w:rsidRPr="00F25744">
        <w:rPr>
          <w:rFonts w:ascii="David" w:hAnsi="David" w:cs="David" w:hint="cs"/>
          <w:sz w:val="24"/>
          <w:szCs w:val="24"/>
          <w:rtl/>
        </w:rPr>
        <w:t>לב</w:t>
      </w:r>
      <w:r w:rsidR="007F3A52" w:rsidRPr="00F25744">
        <w:rPr>
          <w:rFonts w:ascii="David" w:hAnsi="David" w:cs="David"/>
          <w:sz w:val="24"/>
          <w:szCs w:val="24"/>
        </w:rPr>
        <w:t xml:space="preserve"> </w:t>
      </w:r>
      <w:r w:rsidR="007F3A52" w:rsidRPr="00F25744">
        <w:rPr>
          <w:rFonts w:ascii="David" w:hAnsi="David" w:cs="David" w:hint="cs"/>
          <w:sz w:val="24"/>
          <w:szCs w:val="24"/>
          <w:rtl/>
        </w:rPr>
        <w:t>לכך</w:t>
      </w:r>
      <w:r w:rsidR="00623548" w:rsidRPr="00F25744">
        <w:rPr>
          <w:rFonts w:ascii="David" w:hAnsi="David" w:cs="David" w:hint="cs"/>
          <w:sz w:val="24"/>
          <w:szCs w:val="24"/>
          <w:rtl/>
        </w:rPr>
        <w:t xml:space="preserve"> </w:t>
      </w:r>
      <w:r w:rsidR="007F3A52" w:rsidRPr="00F25744">
        <w:rPr>
          <w:rFonts w:ascii="David" w:hAnsi="David" w:cs="David" w:hint="cs"/>
          <w:sz w:val="24"/>
          <w:szCs w:val="24"/>
          <w:rtl/>
        </w:rPr>
        <w:t>שתקינת</w:t>
      </w:r>
      <w:r w:rsidR="008F43BA" w:rsidRPr="00F25744">
        <w:rPr>
          <w:rFonts w:ascii="David" w:hAnsi="David" w:cs="David" w:hint="cs"/>
          <w:sz w:val="24"/>
          <w:szCs w:val="24"/>
          <w:rtl/>
        </w:rPr>
        <w:t xml:space="preserve"> </w:t>
      </w:r>
      <w:r w:rsidR="007F3A52" w:rsidRPr="00F25744">
        <w:rPr>
          <w:rFonts w:ascii="David" w:hAnsi="David" w:cs="David" w:hint="cs"/>
          <w:sz w:val="24"/>
          <w:szCs w:val="24"/>
          <w:rtl/>
        </w:rPr>
        <w:t>השופטים</w:t>
      </w:r>
      <w:r w:rsidR="00623548" w:rsidRPr="00F25744">
        <w:rPr>
          <w:rFonts w:ascii="David" w:hAnsi="David" w:cs="David" w:hint="cs"/>
          <w:sz w:val="24"/>
          <w:szCs w:val="24"/>
          <w:rtl/>
        </w:rPr>
        <w:t xml:space="preserve"> </w:t>
      </w:r>
      <w:r w:rsidR="007F3A52" w:rsidRPr="00F25744">
        <w:rPr>
          <w:rFonts w:ascii="David" w:hAnsi="David" w:cs="David" w:hint="cs"/>
          <w:sz w:val="24"/>
          <w:szCs w:val="24"/>
          <w:rtl/>
        </w:rPr>
        <w:t>המקצועיים</w:t>
      </w:r>
      <w:r w:rsidR="007F3A52" w:rsidRPr="00F25744">
        <w:rPr>
          <w:rFonts w:ascii="David" w:hAnsi="David" w:cs="David"/>
          <w:sz w:val="24"/>
          <w:szCs w:val="24"/>
        </w:rPr>
        <w:t xml:space="preserve"> </w:t>
      </w:r>
      <w:r w:rsidR="007F3A52" w:rsidRPr="00F25744">
        <w:rPr>
          <w:rFonts w:ascii="David" w:hAnsi="David" w:cs="David" w:hint="cs"/>
          <w:sz w:val="24"/>
          <w:szCs w:val="24"/>
          <w:rtl/>
        </w:rPr>
        <w:t>במדינה</w:t>
      </w:r>
      <w:r w:rsidR="007F3A52" w:rsidRPr="00F25744">
        <w:rPr>
          <w:rFonts w:ascii="David" w:hAnsi="David" w:cs="David"/>
          <w:sz w:val="24"/>
          <w:szCs w:val="24"/>
        </w:rPr>
        <w:t xml:space="preserve"> </w:t>
      </w:r>
      <w:r w:rsidR="007F3A52" w:rsidRPr="00F25744">
        <w:rPr>
          <w:rFonts w:ascii="David" w:hAnsi="David" w:cs="David" w:hint="cs"/>
          <w:sz w:val="24"/>
          <w:szCs w:val="24"/>
          <w:rtl/>
        </w:rPr>
        <w:t>עומדת</w:t>
      </w:r>
      <w:r w:rsidR="007F3A52" w:rsidRPr="00F25744">
        <w:rPr>
          <w:rFonts w:ascii="David" w:hAnsi="David" w:cs="David"/>
          <w:sz w:val="24"/>
          <w:szCs w:val="24"/>
        </w:rPr>
        <w:t xml:space="preserve"> </w:t>
      </w:r>
      <w:r w:rsidR="007F3A52" w:rsidRPr="00F25744">
        <w:rPr>
          <w:rFonts w:ascii="David" w:hAnsi="David" w:cs="David" w:hint="cs"/>
          <w:sz w:val="24"/>
          <w:szCs w:val="24"/>
          <w:rtl/>
        </w:rPr>
        <w:t>על</w:t>
      </w:r>
      <w:r w:rsidR="007F3A52" w:rsidRPr="00F25744">
        <w:rPr>
          <w:rFonts w:ascii="David" w:hAnsi="David" w:cs="David"/>
          <w:sz w:val="24"/>
          <w:szCs w:val="24"/>
        </w:rPr>
        <w:t xml:space="preserve"> </w:t>
      </w:r>
      <w:r w:rsidR="007F3A52" w:rsidRPr="00F25744">
        <w:rPr>
          <w:rFonts w:ascii="David" w:hAnsi="David" w:cs="David" w:hint="cs"/>
          <w:sz w:val="24"/>
          <w:szCs w:val="24"/>
          <w:rtl/>
        </w:rPr>
        <w:t>כשליש</w:t>
      </w:r>
      <w:r w:rsidR="007F3A52" w:rsidRPr="00F25744">
        <w:rPr>
          <w:rFonts w:ascii="David" w:hAnsi="David" w:cs="David"/>
          <w:sz w:val="24"/>
          <w:szCs w:val="24"/>
        </w:rPr>
        <w:t xml:space="preserve"> </w:t>
      </w:r>
      <w:r w:rsidR="007F3A52" w:rsidRPr="00F25744">
        <w:rPr>
          <w:rFonts w:ascii="David" w:hAnsi="David" w:cs="David" w:hint="cs"/>
          <w:sz w:val="24"/>
          <w:szCs w:val="24"/>
          <w:rtl/>
        </w:rPr>
        <w:t>בלבד</w:t>
      </w:r>
      <w:r w:rsidR="007F3A52" w:rsidRPr="00F25744">
        <w:rPr>
          <w:rFonts w:ascii="David" w:hAnsi="David" w:cs="David"/>
          <w:sz w:val="24"/>
          <w:szCs w:val="24"/>
        </w:rPr>
        <w:t xml:space="preserve"> </w:t>
      </w:r>
      <w:r w:rsidR="007F3A52" w:rsidRPr="00F25744">
        <w:rPr>
          <w:rFonts w:ascii="David" w:hAnsi="David" w:cs="David" w:hint="cs"/>
          <w:sz w:val="24"/>
          <w:szCs w:val="24"/>
          <w:rtl/>
        </w:rPr>
        <w:t>ממספר</w:t>
      </w:r>
      <w:r w:rsidR="00AC5DDA" w:rsidRPr="00F25744">
        <w:rPr>
          <w:rFonts w:ascii="David" w:hAnsi="David" w:cs="David" w:hint="cs"/>
          <w:sz w:val="24"/>
          <w:szCs w:val="24"/>
          <w:rtl/>
        </w:rPr>
        <w:t xml:space="preserve"> </w:t>
      </w:r>
      <w:r w:rsidR="007F3A52" w:rsidRPr="00F25744">
        <w:rPr>
          <w:rFonts w:ascii="David" w:hAnsi="David" w:cs="David" w:hint="cs"/>
          <w:sz w:val="24"/>
          <w:szCs w:val="24"/>
          <w:rtl/>
        </w:rPr>
        <w:t>השופטים</w:t>
      </w:r>
      <w:r w:rsidR="007F3A52" w:rsidRPr="00F25744">
        <w:rPr>
          <w:rFonts w:ascii="David" w:cs="David" w:hint="cs"/>
          <w:color w:val="000000"/>
          <w:sz w:val="24"/>
          <w:szCs w:val="24"/>
          <w:rtl/>
        </w:rPr>
        <w:t xml:space="preserve"> המקצועיים</w:t>
      </w:r>
      <w:r w:rsidR="007F3A52" w:rsidRPr="00F25744">
        <w:rPr>
          <w:rFonts w:ascii="David" w:cs="David"/>
          <w:color w:val="000000"/>
          <w:sz w:val="24"/>
          <w:szCs w:val="24"/>
        </w:rPr>
        <w:t xml:space="preserve"> </w:t>
      </w:r>
      <w:r w:rsidR="007F3A52" w:rsidRPr="00F25744">
        <w:rPr>
          <w:rFonts w:ascii="David" w:cs="David" w:hint="cs"/>
          <w:color w:val="000000"/>
          <w:sz w:val="24"/>
          <w:szCs w:val="24"/>
          <w:rtl/>
        </w:rPr>
        <w:t>הממוצע</w:t>
      </w:r>
      <w:r w:rsidR="008F43BA" w:rsidRPr="00F25744">
        <w:rPr>
          <w:rFonts w:ascii="David" w:cs="David" w:hint="cs"/>
          <w:color w:val="000000"/>
          <w:sz w:val="24"/>
          <w:szCs w:val="24"/>
          <w:rtl/>
        </w:rPr>
        <w:t xml:space="preserve"> </w:t>
      </w:r>
      <w:r w:rsidR="007F3A52" w:rsidRPr="00F25744">
        <w:rPr>
          <w:rFonts w:ascii="David" w:cs="David" w:hint="cs"/>
          <w:color w:val="000000"/>
          <w:sz w:val="24"/>
          <w:szCs w:val="24"/>
          <w:rtl/>
        </w:rPr>
        <w:t>באירופה</w:t>
      </w:r>
      <w:r w:rsidR="007F3A52" w:rsidRPr="00F25744">
        <w:rPr>
          <w:rFonts w:ascii="David" w:cs="David"/>
          <w:color w:val="000000"/>
          <w:sz w:val="24"/>
          <w:szCs w:val="24"/>
        </w:rPr>
        <w:t xml:space="preserve"> </w:t>
      </w:r>
      <w:r w:rsidR="007F3A52" w:rsidRPr="00F25744">
        <w:rPr>
          <w:rFonts w:ascii="David" w:cs="David" w:hint="cs"/>
          <w:color w:val="000000"/>
          <w:sz w:val="24"/>
          <w:szCs w:val="24"/>
          <w:rtl/>
        </w:rPr>
        <w:t>ביחס</w:t>
      </w:r>
      <w:r w:rsidR="00623548" w:rsidRPr="00F25744">
        <w:rPr>
          <w:rFonts w:ascii="David" w:cs="David" w:hint="cs"/>
          <w:color w:val="000000"/>
          <w:sz w:val="24"/>
          <w:szCs w:val="24"/>
          <w:rtl/>
        </w:rPr>
        <w:t xml:space="preserve"> ל</w:t>
      </w:r>
      <w:r w:rsidR="00E14228">
        <w:rPr>
          <w:rFonts w:ascii="David" w:cs="David" w:hint="cs"/>
          <w:color w:val="000000"/>
          <w:sz w:val="24"/>
          <w:szCs w:val="24"/>
          <w:rtl/>
        </w:rPr>
        <w:t>-</w:t>
      </w:r>
      <w:r w:rsidR="00623548" w:rsidRPr="00F25744">
        <w:rPr>
          <w:rFonts w:ascii="David" w:cs="David" w:hint="cs"/>
          <w:color w:val="000000"/>
          <w:sz w:val="24"/>
          <w:szCs w:val="24"/>
          <w:rtl/>
        </w:rPr>
        <w:t xml:space="preserve"> 100,000 תושב</w:t>
      </w:r>
      <w:r w:rsidR="004C5447" w:rsidRPr="00F25744">
        <w:rPr>
          <w:rFonts w:ascii="David" w:cs="David" w:hint="cs"/>
          <w:color w:val="000000"/>
          <w:sz w:val="24"/>
          <w:szCs w:val="24"/>
          <w:rtl/>
        </w:rPr>
        <w:t xml:space="preserve">ים, </w:t>
      </w:r>
      <w:r w:rsidR="007F3A52" w:rsidRPr="00F25744">
        <w:rPr>
          <w:rFonts w:ascii="David" w:cs="David"/>
          <w:color w:val="000000"/>
          <w:sz w:val="24"/>
          <w:szCs w:val="24"/>
        </w:rPr>
        <w:t xml:space="preserve"> </w:t>
      </w:r>
      <w:r w:rsidR="007F3A52" w:rsidRPr="00F25744">
        <w:rPr>
          <w:rFonts w:ascii="David" w:cs="David" w:hint="cs"/>
          <w:color w:val="000000"/>
          <w:sz w:val="24"/>
          <w:szCs w:val="24"/>
          <w:rtl/>
        </w:rPr>
        <w:t>כפי</w:t>
      </w:r>
      <w:r w:rsidR="007F3A52" w:rsidRPr="00F25744">
        <w:rPr>
          <w:rFonts w:ascii="David" w:cs="David"/>
          <w:color w:val="000000"/>
          <w:sz w:val="24"/>
          <w:szCs w:val="24"/>
        </w:rPr>
        <w:t xml:space="preserve"> </w:t>
      </w:r>
      <w:r w:rsidR="007F3A52" w:rsidRPr="00F25744">
        <w:rPr>
          <w:rFonts w:ascii="David" w:cs="David" w:hint="cs"/>
          <w:color w:val="000000"/>
          <w:sz w:val="24"/>
          <w:szCs w:val="24"/>
          <w:rtl/>
        </w:rPr>
        <w:t>שצוין</w:t>
      </w:r>
      <w:r w:rsidR="007F3A52" w:rsidRPr="00F25744">
        <w:rPr>
          <w:rFonts w:ascii="David" w:cs="David"/>
          <w:color w:val="000000"/>
          <w:sz w:val="24"/>
          <w:szCs w:val="24"/>
        </w:rPr>
        <w:t xml:space="preserve"> </w:t>
      </w:r>
      <w:r w:rsidR="007F3A52" w:rsidRPr="00F25744">
        <w:rPr>
          <w:rFonts w:ascii="David" w:cs="David" w:hint="cs"/>
          <w:color w:val="000000"/>
          <w:sz w:val="24"/>
          <w:szCs w:val="24"/>
          <w:rtl/>
        </w:rPr>
        <w:t>לעיל.</w:t>
      </w:r>
    </w:p>
    <w:p w14:paraId="1E9500A1" w14:textId="77777777" w:rsidR="00AF6F19" w:rsidRPr="00F25744" w:rsidRDefault="00E25AE7" w:rsidP="00BD23BB">
      <w:pPr>
        <w:widowControl w:val="0"/>
        <w:autoSpaceDE w:val="0"/>
        <w:autoSpaceDN w:val="0"/>
        <w:adjustRightInd w:val="0"/>
        <w:spacing w:before="120" w:after="0" w:line="360" w:lineRule="auto"/>
        <w:jc w:val="both"/>
        <w:rPr>
          <w:rFonts w:cs="David"/>
          <w:color w:val="000000"/>
          <w:sz w:val="24"/>
          <w:szCs w:val="24"/>
        </w:rPr>
      </w:pPr>
      <w:r w:rsidRPr="00F25744">
        <w:rPr>
          <w:rFonts w:ascii="David" w:cs="David" w:hint="cs"/>
          <w:color w:val="000000"/>
          <w:sz w:val="24"/>
          <w:szCs w:val="24"/>
          <w:rtl/>
        </w:rPr>
        <w:t>מנתוני</w:t>
      </w:r>
      <w:r w:rsidRPr="00F25744">
        <w:rPr>
          <w:rFonts w:ascii="David" w:cs="David"/>
          <w:color w:val="000000"/>
          <w:sz w:val="24"/>
          <w:szCs w:val="24"/>
        </w:rPr>
        <w:t xml:space="preserve"> </w:t>
      </w:r>
      <w:r w:rsidRPr="00F25744">
        <w:rPr>
          <w:rFonts w:ascii="David" w:cs="David" w:hint="cs"/>
          <w:color w:val="000000"/>
          <w:sz w:val="24"/>
          <w:szCs w:val="24"/>
          <w:rtl/>
        </w:rPr>
        <w:t>הדו</w:t>
      </w:r>
      <w:r w:rsidR="003361ED" w:rsidRPr="00F25744">
        <w:rPr>
          <w:rFonts w:ascii="David" w:cs="David" w:hint="cs"/>
          <w:color w:val="000000"/>
          <w:sz w:val="24"/>
          <w:szCs w:val="24"/>
          <w:rtl/>
        </w:rPr>
        <w:t>"</w:t>
      </w:r>
      <w:r w:rsidRPr="00F25744">
        <w:rPr>
          <w:rFonts w:ascii="David" w:cs="David" w:hint="cs"/>
          <w:color w:val="000000"/>
          <w:sz w:val="24"/>
          <w:szCs w:val="24"/>
          <w:rtl/>
        </w:rPr>
        <w:t>ח</w:t>
      </w:r>
      <w:r w:rsidRPr="00F25744">
        <w:rPr>
          <w:rFonts w:ascii="David" w:cs="David"/>
          <w:color w:val="000000"/>
          <w:sz w:val="24"/>
          <w:szCs w:val="24"/>
        </w:rPr>
        <w:t xml:space="preserve"> </w:t>
      </w:r>
      <w:r w:rsidRPr="00F25744">
        <w:rPr>
          <w:rFonts w:ascii="David" w:cs="David" w:hint="cs"/>
          <w:color w:val="000000"/>
          <w:sz w:val="24"/>
          <w:szCs w:val="24"/>
          <w:rtl/>
        </w:rPr>
        <w:t>עולה</w:t>
      </w:r>
      <w:r w:rsidRPr="00F25744">
        <w:rPr>
          <w:rFonts w:ascii="David" w:cs="David"/>
          <w:color w:val="000000"/>
          <w:sz w:val="24"/>
          <w:szCs w:val="24"/>
        </w:rPr>
        <w:t xml:space="preserve"> </w:t>
      </w:r>
      <w:r w:rsidR="00341018" w:rsidRPr="00F25744">
        <w:rPr>
          <w:rFonts w:ascii="David" w:cs="David" w:hint="cs"/>
          <w:color w:val="000000"/>
          <w:sz w:val="24"/>
          <w:szCs w:val="24"/>
          <w:rtl/>
        </w:rPr>
        <w:t xml:space="preserve">עוד </w:t>
      </w:r>
      <w:r w:rsidRPr="00F25744">
        <w:rPr>
          <w:rFonts w:ascii="David" w:cs="David" w:hint="cs"/>
          <w:color w:val="000000"/>
          <w:sz w:val="24"/>
          <w:szCs w:val="24"/>
          <w:rtl/>
        </w:rPr>
        <w:t>כי</w:t>
      </w:r>
      <w:r w:rsidRPr="00F25744">
        <w:rPr>
          <w:rFonts w:ascii="David" w:cs="David"/>
          <w:color w:val="000000"/>
          <w:sz w:val="24"/>
          <w:szCs w:val="24"/>
        </w:rPr>
        <w:t xml:space="preserve"> </w:t>
      </w:r>
      <w:r w:rsidRPr="00F25744">
        <w:rPr>
          <w:rFonts w:ascii="David" w:cs="David" w:hint="cs"/>
          <w:color w:val="000000"/>
          <w:sz w:val="24"/>
          <w:szCs w:val="24"/>
          <w:rtl/>
        </w:rPr>
        <w:t>בין</w:t>
      </w:r>
      <w:r w:rsidRPr="00F25744">
        <w:rPr>
          <w:rFonts w:ascii="David" w:cs="David"/>
          <w:color w:val="000000"/>
          <w:sz w:val="24"/>
          <w:szCs w:val="24"/>
        </w:rPr>
        <w:t xml:space="preserve"> </w:t>
      </w:r>
      <w:r w:rsidRPr="00F25744">
        <w:rPr>
          <w:rFonts w:ascii="David" w:cs="David" w:hint="cs"/>
          <w:color w:val="000000"/>
          <w:sz w:val="24"/>
          <w:szCs w:val="24"/>
          <w:rtl/>
        </w:rPr>
        <w:t>השנים</w:t>
      </w:r>
      <w:r w:rsidR="00471AED" w:rsidRPr="00F25744">
        <w:rPr>
          <w:rFonts w:ascii="David" w:cs="David" w:hint="cs"/>
          <w:color w:val="000000"/>
          <w:sz w:val="24"/>
          <w:szCs w:val="24"/>
          <w:rtl/>
        </w:rPr>
        <w:t xml:space="preserve"> 2014-2012 </w:t>
      </w:r>
      <w:r w:rsidRPr="00F25744">
        <w:rPr>
          <w:rFonts w:ascii="David" w:cs="David" w:hint="cs"/>
          <w:color w:val="000000"/>
          <w:sz w:val="24"/>
          <w:szCs w:val="24"/>
          <w:rtl/>
        </w:rPr>
        <w:t>חלה</w:t>
      </w:r>
      <w:r w:rsidRPr="00F25744">
        <w:rPr>
          <w:rFonts w:ascii="David" w:cs="David"/>
          <w:color w:val="000000"/>
          <w:sz w:val="24"/>
          <w:szCs w:val="24"/>
        </w:rPr>
        <w:t xml:space="preserve"> </w:t>
      </w:r>
      <w:r w:rsidRPr="00F25744">
        <w:rPr>
          <w:rFonts w:ascii="David" w:cs="David" w:hint="cs"/>
          <w:color w:val="000000"/>
          <w:sz w:val="24"/>
          <w:szCs w:val="24"/>
          <w:rtl/>
        </w:rPr>
        <w:t>עלי</w:t>
      </w:r>
      <w:r w:rsidR="00F17072" w:rsidRPr="00F25744">
        <w:rPr>
          <w:rFonts w:ascii="David" w:cs="David" w:hint="cs"/>
          <w:color w:val="000000"/>
          <w:sz w:val="24"/>
          <w:szCs w:val="24"/>
          <w:rtl/>
        </w:rPr>
        <w:t>י</w:t>
      </w:r>
      <w:r w:rsidRPr="00F25744">
        <w:rPr>
          <w:rFonts w:ascii="David" w:cs="David" w:hint="cs"/>
          <w:color w:val="000000"/>
          <w:sz w:val="24"/>
          <w:szCs w:val="24"/>
          <w:rtl/>
        </w:rPr>
        <w:t>ה</w:t>
      </w:r>
      <w:r w:rsidRPr="00F25744">
        <w:rPr>
          <w:rFonts w:ascii="David" w:cs="David"/>
          <w:color w:val="000000"/>
          <w:sz w:val="24"/>
          <w:szCs w:val="24"/>
        </w:rPr>
        <w:t xml:space="preserve"> </w:t>
      </w:r>
      <w:r w:rsidRPr="00F25744">
        <w:rPr>
          <w:rFonts w:ascii="David" w:cs="David" w:hint="cs"/>
          <w:color w:val="000000"/>
          <w:sz w:val="24"/>
          <w:szCs w:val="24"/>
          <w:rtl/>
        </w:rPr>
        <w:t>במספר</w:t>
      </w:r>
      <w:r w:rsidRPr="00F25744">
        <w:rPr>
          <w:rFonts w:ascii="David" w:cs="David"/>
          <w:color w:val="000000"/>
          <w:sz w:val="24"/>
          <w:szCs w:val="24"/>
        </w:rPr>
        <w:t xml:space="preserve"> </w:t>
      </w:r>
      <w:r w:rsidRPr="00F25744">
        <w:rPr>
          <w:rFonts w:ascii="David" w:cs="David" w:hint="cs"/>
          <w:color w:val="000000"/>
          <w:sz w:val="24"/>
          <w:szCs w:val="24"/>
          <w:rtl/>
        </w:rPr>
        <w:t>עורכי</w:t>
      </w:r>
      <w:r w:rsidRPr="00F25744">
        <w:rPr>
          <w:rFonts w:ascii="David" w:cs="David"/>
          <w:color w:val="000000"/>
          <w:sz w:val="24"/>
          <w:szCs w:val="24"/>
        </w:rPr>
        <w:t xml:space="preserve"> </w:t>
      </w:r>
      <w:r w:rsidRPr="00F25744">
        <w:rPr>
          <w:rFonts w:ascii="David" w:cs="David" w:hint="cs"/>
          <w:color w:val="000000"/>
          <w:sz w:val="24"/>
          <w:szCs w:val="24"/>
          <w:rtl/>
        </w:rPr>
        <w:t>הדין</w:t>
      </w:r>
      <w:r w:rsidR="0080787F" w:rsidRPr="00F25744">
        <w:rPr>
          <w:rFonts w:ascii="David" w:cs="David" w:hint="cs"/>
          <w:color w:val="000000"/>
          <w:sz w:val="24"/>
          <w:szCs w:val="24"/>
          <w:rtl/>
        </w:rPr>
        <w:t xml:space="preserve"> </w:t>
      </w:r>
      <w:r w:rsidR="00341018" w:rsidRPr="00F25744">
        <w:rPr>
          <w:rFonts w:ascii="David" w:cs="David" w:hint="cs"/>
          <w:color w:val="000000"/>
          <w:sz w:val="24"/>
          <w:szCs w:val="24"/>
          <w:rtl/>
        </w:rPr>
        <w:t xml:space="preserve">בישראל </w:t>
      </w:r>
      <w:r w:rsidRPr="00F25744">
        <w:rPr>
          <w:rFonts w:ascii="David" w:cs="David" w:hint="cs"/>
          <w:color w:val="000000"/>
          <w:sz w:val="24"/>
          <w:szCs w:val="24"/>
          <w:rtl/>
        </w:rPr>
        <w:t xml:space="preserve">בהשוואה ל-46 מדינות אירופיות שנבדקו במסגרת הדו"ח, </w:t>
      </w:r>
      <w:r w:rsidR="00341018" w:rsidRPr="00F25744">
        <w:rPr>
          <w:rFonts w:ascii="David" w:cs="David" w:hint="cs"/>
          <w:color w:val="000000"/>
          <w:sz w:val="24"/>
          <w:szCs w:val="24"/>
          <w:rtl/>
        </w:rPr>
        <w:t xml:space="preserve">וזאת, </w:t>
      </w:r>
      <w:r w:rsidRPr="00F25744">
        <w:rPr>
          <w:rFonts w:ascii="David" w:cs="David" w:hint="cs"/>
          <w:color w:val="000000"/>
          <w:sz w:val="24"/>
          <w:szCs w:val="24"/>
          <w:rtl/>
        </w:rPr>
        <w:t>בשיעור כפול מן הממוצע האירופי לעניין זה</w:t>
      </w:r>
      <w:r w:rsidR="00961AC7" w:rsidRPr="00F25744">
        <w:rPr>
          <w:rFonts w:ascii="David" w:cs="David" w:hint="cs"/>
          <w:color w:val="000000"/>
          <w:sz w:val="24"/>
          <w:szCs w:val="24"/>
          <w:rtl/>
        </w:rPr>
        <w:t xml:space="preserve">. </w:t>
      </w:r>
      <w:r w:rsidR="00341018" w:rsidRPr="00F25744">
        <w:rPr>
          <w:rFonts w:ascii="David" w:cs="David" w:hint="cs"/>
          <w:color w:val="000000"/>
          <w:sz w:val="24"/>
          <w:szCs w:val="24"/>
          <w:rtl/>
        </w:rPr>
        <w:t xml:space="preserve">כך, </w:t>
      </w:r>
      <w:r w:rsidR="00961AC7" w:rsidRPr="00F25744">
        <w:rPr>
          <w:rFonts w:ascii="David" w:cs="David" w:hint="cs"/>
          <w:color w:val="000000"/>
          <w:sz w:val="24"/>
          <w:szCs w:val="24"/>
          <w:rtl/>
        </w:rPr>
        <w:t xml:space="preserve">בשנת 2016 נמצא כי </w:t>
      </w:r>
      <w:r w:rsidRPr="00F25744">
        <w:rPr>
          <w:rFonts w:ascii="David" w:cs="David" w:hint="cs"/>
          <w:color w:val="000000"/>
          <w:sz w:val="24"/>
          <w:szCs w:val="24"/>
          <w:rtl/>
        </w:rPr>
        <w:t xml:space="preserve">שיעור עורכי הדין במדינת ישראל, ביחס ל-100,000 תושבים, עומד על </w:t>
      </w:r>
      <w:r w:rsidR="00961AC7" w:rsidRPr="00F25744">
        <w:rPr>
          <w:rFonts w:ascii="David" w:cs="David" w:hint="cs"/>
          <w:color w:val="000000"/>
          <w:sz w:val="24"/>
          <w:szCs w:val="24"/>
          <w:rtl/>
        </w:rPr>
        <w:t>738</w:t>
      </w:r>
      <w:r w:rsidRPr="00F25744">
        <w:rPr>
          <w:rFonts w:ascii="David" w:cs="David" w:hint="cs"/>
          <w:color w:val="000000"/>
          <w:sz w:val="24"/>
          <w:szCs w:val="24"/>
          <w:rtl/>
        </w:rPr>
        <w:t xml:space="preserve">. לשם ההמחשה, במדינה העוקבת בשיעור עורכי הדין ביחס לאוכלוסייה </w:t>
      </w:r>
      <w:r w:rsidRPr="00F25744">
        <w:rPr>
          <w:rFonts w:ascii="David" w:cs="David"/>
          <w:color w:val="000000"/>
          <w:sz w:val="24"/>
          <w:szCs w:val="24"/>
          <w:rtl/>
        </w:rPr>
        <w:t>–</w:t>
      </w:r>
      <w:r w:rsidRPr="00F25744">
        <w:rPr>
          <w:rFonts w:ascii="David" w:cs="David" w:hint="cs"/>
          <w:color w:val="000000"/>
          <w:sz w:val="24"/>
          <w:szCs w:val="24"/>
          <w:rtl/>
        </w:rPr>
        <w:t xml:space="preserve"> </w:t>
      </w:r>
      <w:r w:rsidR="00961AC7" w:rsidRPr="00F25744">
        <w:rPr>
          <w:rFonts w:ascii="David" w:cs="David" w:hint="cs"/>
          <w:color w:val="000000"/>
          <w:sz w:val="24"/>
          <w:szCs w:val="24"/>
          <w:rtl/>
        </w:rPr>
        <w:t>קפריסין</w:t>
      </w:r>
      <w:r w:rsidRPr="00F25744">
        <w:rPr>
          <w:rFonts w:ascii="David" w:cs="David" w:hint="cs"/>
          <w:color w:val="000000"/>
          <w:sz w:val="24"/>
          <w:szCs w:val="24"/>
          <w:rtl/>
        </w:rPr>
        <w:t xml:space="preserve">, </w:t>
      </w:r>
      <w:r w:rsidRPr="00F25744">
        <w:rPr>
          <w:rFonts w:ascii="David" w:cs="David" w:hint="cs"/>
          <w:sz w:val="24"/>
          <w:szCs w:val="24"/>
          <w:rtl/>
        </w:rPr>
        <w:t xml:space="preserve">קיימים </w:t>
      </w:r>
      <w:r w:rsidR="00961AC7" w:rsidRPr="00F25744">
        <w:rPr>
          <w:rFonts w:ascii="David" w:cs="David" w:hint="cs"/>
          <w:sz w:val="24"/>
          <w:szCs w:val="24"/>
          <w:rtl/>
        </w:rPr>
        <w:t>425</w:t>
      </w:r>
      <w:r w:rsidRPr="00F25744">
        <w:rPr>
          <w:rFonts w:ascii="David" w:cs="David" w:hint="cs"/>
          <w:sz w:val="24"/>
          <w:szCs w:val="24"/>
          <w:rtl/>
        </w:rPr>
        <w:t xml:space="preserve"> עורכי</w:t>
      </w:r>
      <w:r w:rsidRPr="00F25744">
        <w:rPr>
          <w:rFonts w:ascii="David" w:cs="David"/>
          <w:sz w:val="24"/>
          <w:szCs w:val="24"/>
        </w:rPr>
        <w:t xml:space="preserve"> </w:t>
      </w:r>
      <w:r w:rsidRPr="00F25744">
        <w:rPr>
          <w:rFonts w:ascii="David" w:cs="David" w:hint="cs"/>
          <w:sz w:val="24"/>
          <w:szCs w:val="24"/>
          <w:rtl/>
        </w:rPr>
        <w:t>דין</w:t>
      </w:r>
      <w:r w:rsidR="00232DC3" w:rsidRPr="00F25744">
        <w:rPr>
          <w:rFonts w:ascii="David" w:cs="David" w:hint="cs"/>
          <w:sz w:val="24"/>
          <w:szCs w:val="24"/>
          <w:rtl/>
        </w:rPr>
        <w:t xml:space="preserve"> </w:t>
      </w:r>
      <w:r w:rsidR="0084239E" w:rsidRPr="00F25744">
        <w:rPr>
          <w:rFonts w:ascii="David" w:cs="David" w:hint="cs"/>
          <w:sz w:val="24"/>
          <w:szCs w:val="24"/>
          <w:rtl/>
        </w:rPr>
        <w:t>ל-</w:t>
      </w:r>
      <w:r w:rsidRPr="00F25744">
        <w:rPr>
          <w:rFonts w:ascii="David" w:cs="David"/>
          <w:sz w:val="24"/>
          <w:szCs w:val="24"/>
        </w:rPr>
        <w:t xml:space="preserve"> 100,000 </w:t>
      </w:r>
      <w:r w:rsidRPr="00F25744">
        <w:rPr>
          <w:rFonts w:ascii="David" w:cs="David" w:hint="cs"/>
          <w:sz w:val="24"/>
          <w:szCs w:val="24"/>
          <w:rtl/>
        </w:rPr>
        <w:t>תושבים</w:t>
      </w:r>
      <w:r w:rsidRPr="00F25744">
        <w:rPr>
          <w:rFonts w:cs="David" w:hint="cs"/>
          <w:color w:val="000000"/>
          <w:sz w:val="24"/>
          <w:szCs w:val="24"/>
          <w:rtl/>
        </w:rPr>
        <w:t>.</w:t>
      </w:r>
      <w:r w:rsidRPr="00F25744">
        <w:rPr>
          <w:rStyle w:val="a6"/>
          <w:rFonts w:cs="David"/>
          <w:color w:val="000000"/>
          <w:sz w:val="24"/>
          <w:szCs w:val="24"/>
        </w:rPr>
        <w:footnoteReference w:id="8"/>
      </w:r>
      <w:r w:rsidR="001B5B25" w:rsidRPr="00F25744">
        <w:rPr>
          <w:rFonts w:cs="David" w:hint="cs"/>
          <w:color w:val="000000"/>
          <w:sz w:val="24"/>
          <w:szCs w:val="24"/>
          <w:rtl/>
        </w:rPr>
        <w:t xml:space="preserve"> מספרם הממוצע של עו</w:t>
      </w:r>
      <w:r w:rsidR="00341018" w:rsidRPr="00F25744">
        <w:rPr>
          <w:rFonts w:cs="David" w:hint="cs"/>
          <w:color w:val="000000"/>
          <w:sz w:val="24"/>
          <w:szCs w:val="24"/>
          <w:rtl/>
        </w:rPr>
        <w:t xml:space="preserve">רכי הדין </w:t>
      </w:r>
      <w:r w:rsidR="001B5B25" w:rsidRPr="00F25744">
        <w:rPr>
          <w:rFonts w:cs="David" w:hint="cs"/>
          <w:color w:val="000000"/>
          <w:sz w:val="24"/>
          <w:szCs w:val="24"/>
          <w:rtl/>
        </w:rPr>
        <w:t>במדינות אירופה שנבדקו במסגרת הדו"ח עומד על 162 עו</w:t>
      </w:r>
      <w:r w:rsidR="00341018" w:rsidRPr="00F25744">
        <w:rPr>
          <w:rFonts w:cs="David" w:hint="cs"/>
          <w:color w:val="000000"/>
          <w:sz w:val="24"/>
          <w:szCs w:val="24"/>
          <w:rtl/>
        </w:rPr>
        <w:t>רכי דין</w:t>
      </w:r>
      <w:r w:rsidR="001B5B25" w:rsidRPr="00F25744">
        <w:rPr>
          <w:rFonts w:cs="David" w:hint="cs"/>
          <w:color w:val="000000"/>
          <w:sz w:val="24"/>
          <w:szCs w:val="24"/>
          <w:rtl/>
        </w:rPr>
        <w:t xml:space="preserve"> לכל 100,000 תושבים, ואילו החציון עומד על 119 עו"ד</w:t>
      </w:r>
      <w:r w:rsidR="00613AAE" w:rsidRPr="00F25744">
        <w:rPr>
          <w:rFonts w:cs="David" w:hint="cs"/>
          <w:color w:val="000000"/>
          <w:sz w:val="24"/>
          <w:szCs w:val="24"/>
          <w:rtl/>
        </w:rPr>
        <w:t>, נכון לשנת 2016</w:t>
      </w:r>
      <w:r w:rsidR="001B5B25" w:rsidRPr="00F25744">
        <w:rPr>
          <w:rFonts w:cs="David" w:hint="cs"/>
          <w:color w:val="000000"/>
          <w:sz w:val="24"/>
          <w:szCs w:val="24"/>
          <w:rtl/>
        </w:rPr>
        <w:t>.</w:t>
      </w:r>
      <w:r w:rsidR="00341018" w:rsidRPr="00F25744">
        <w:rPr>
          <w:rFonts w:cs="David" w:hint="cs"/>
          <w:color w:val="000000"/>
          <w:sz w:val="24"/>
          <w:szCs w:val="24"/>
          <w:rtl/>
        </w:rPr>
        <w:t xml:space="preserve"> עניין זה תורם אף הוא לעומס העבודה השיפוטית.</w:t>
      </w:r>
    </w:p>
    <w:p w14:paraId="5545E8F1" w14:textId="77777777" w:rsidR="00121080" w:rsidRPr="00F25744" w:rsidRDefault="00E25AE7" w:rsidP="00BD23BB">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cs="David" w:hint="cs"/>
          <w:color w:val="000000"/>
          <w:sz w:val="24"/>
          <w:szCs w:val="24"/>
          <w:rtl/>
        </w:rPr>
        <w:t xml:space="preserve">במסגרת מחקר זה, </w:t>
      </w:r>
      <w:r w:rsidR="007F3A52" w:rsidRPr="00F25744">
        <w:rPr>
          <w:rFonts w:ascii="David" w:cs="David" w:hint="cs"/>
          <w:color w:val="000000"/>
          <w:sz w:val="24"/>
          <w:szCs w:val="24"/>
          <w:rtl/>
        </w:rPr>
        <w:t>באמרנו "עומס העבודה השיפוטית", כוונתנו ל</w:t>
      </w:r>
      <w:r w:rsidR="007F3A52" w:rsidRPr="00F25744">
        <w:rPr>
          <w:rFonts w:ascii="David" w:cs="David" w:hint="cs"/>
          <w:b/>
          <w:bCs/>
          <w:color w:val="000000"/>
          <w:sz w:val="24"/>
          <w:szCs w:val="24"/>
          <w:rtl/>
        </w:rPr>
        <w:t>זמן השיפוטי הממוצע</w:t>
      </w:r>
      <w:r w:rsidR="007F3A52" w:rsidRPr="00F25744">
        <w:rPr>
          <w:rFonts w:ascii="David" w:cs="David" w:hint="cs"/>
          <w:color w:val="000000"/>
          <w:sz w:val="24"/>
          <w:szCs w:val="24"/>
          <w:rtl/>
        </w:rPr>
        <w:t xml:space="preserve"> הנדרש</w:t>
      </w:r>
      <w:r w:rsidR="007F3A52" w:rsidRPr="00F25744">
        <w:rPr>
          <w:rFonts w:ascii="David" w:hAnsi="David" w:cs="David" w:hint="cs"/>
          <w:sz w:val="24"/>
          <w:szCs w:val="24"/>
          <w:rtl/>
        </w:rPr>
        <w:t xml:space="preserve"> לטיפול בתיק, על כל שלביו </w:t>
      </w:r>
      <w:r w:rsidR="007F3A52" w:rsidRPr="00F25744">
        <w:rPr>
          <w:rFonts w:ascii="David" w:hAnsi="David" w:cs="David"/>
          <w:sz w:val="24"/>
          <w:szCs w:val="24"/>
          <w:rtl/>
        </w:rPr>
        <w:t>–</w:t>
      </w:r>
      <w:r w:rsidR="007F3A52" w:rsidRPr="00F25744">
        <w:rPr>
          <w:rFonts w:ascii="David" w:hAnsi="David" w:cs="David" w:hint="cs"/>
          <w:sz w:val="24"/>
          <w:szCs w:val="24"/>
          <w:rtl/>
        </w:rPr>
        <w:t xml:space="preserve"> הכנה לדיונים, שמיעת דיונים וכתיבת ההחלטות ופסק הדין בתיק.</w:t>
      </w:r>
      <w:r w:rsidRPr="00F25744">
        <w:rPr>
          <w:rStyle w:val="a6"/>
          <w:rFonts w:ascii="David" w:hAnsi="David" w:cs="David"/>
          <w:sz w:val="24"/>
          <w:szCs w:val="24"/>
          <w:rtl/>
        </w:rPr>
        <w:footnoteReference w:id="9"/>
      </w:r>
      <w:r w:rsidR="007F3A52" w:rsidRPr="00F25744">
        <w:rPr>
          <w:rFonts w:ascii="David" w:hAnsi="David" w:cs="David" w:hint="cs"/>
          <w:sz w:val="24"/>
          <w:szCs w:val="24"/>
          <w:rtl/>
        </w:rPr>
        <w:t xml:space="preserve"> יש לזכור, כי </w:t>
      </w:r>
      <w:r w:rsidR="007F3A52" w:rsidRPr="00F25744">
        <w:rPr>
          <w:rFonts w:ascii="David" w:hAnsi="David" w:cs="David" w:hint="cs"/>
          <w:sz w:val="24"/>
          <w:szCs w:val="24"/>
          <w:rtl/>
        </w:rPr>
        <w:lastRenderedPageBreak/>
        <w:t xml:space="preserve">עובר ליצירת מדד משקלות התיקים בשנת 2013, נערכו השוואות </w:t>
      </w:r>
      <w:r w:rsidR="009D23CB" w:rsidRPr="00F25744">
        <w:rPr>
          <w:rFonts w:ascii="David" w:hAnsi="David" w:cs="David" w:hint="cs"/>
          <w:sz w:val="24"/>
          <w:szCs w:val="24"/>
          <w:rtl/>
        </w:rPr>
        <w:t xml:space="preserve">בין בתי המשפט והמחוזות </w:t>
      </w:r>
      <w:r w:rsidR="007F3A52" w:rsidRPr="00F25744">
        <w:rPr>
          <w:rFonts w:ascii="David" w:hAnsi="David" w:cs="David" w:hint="cs"/>
          <w:sz w:val="24"/>
          <w:szCs w:val="24"/>
          <w:rtl/>
        </w:rPr>
        <w:t>על בסיס כמויות התיקים (כמות התיקים שנפתחו באותה שנה לעומת כמות התיקים שנסגרו, וכן תיקי "מלאי" משנים קודמות שטרם נסגרו), והחלטות בנוגע לתקינה והשוואת עומסים התקבלו על פי נתונים אלו. מובן, כי נתונים המשקפים הן את כמויות התיקים כאמור, הן את משקלם היחסי או את משך הזמן הממוצע הנדרש לטיפול בהם והן את הזמן הממוצע שכל שופט מקדיש ביום לטיפול בתיקים, מהווים בסיס מדויק ומהימן יותר להחלטות מערכתיות הנוגעות ל</w:t>
      </w:r>
      <w:r w:rsidR="00623548" w:rsidRPr="00F25744">
        <w:rPr>
          <w:rFonts w:ascii="David" w:hAnsi="David" w:cs="David" w:hint="cs"/>
          <w:sz w:val="24"/>
          <w:szCs w:val="24"/>
          <w:rtl/>
        </w:rPr>
        <w:t xml:space="preserve">איזון עומסים, </w:t>
      </w:r>
      <w:r w:rsidR="007F3A52" w:rsidRPr="00F25744">
        <w:rPr>
          <w:rFonts w:ascii="David" w:hAnsi="David" w:cs="David" w:hint="cs"/>
          <w:sz w:val="24"/>
          <w:szCs w:val="24"/>
          <w:rtl/>
        </w:rPr>
        <w:t xml:space="preserve">הוספת תקינה </w:t>
      </w:r>
      <w:r w:rsidR="009D23CB" w:rsidRPr="00F25744">
        <w:rPr>
          <w:rFonts w:ascii="David" w:hAnsi="David" w:cs="David" w:hint="cs"/>
          <w:sz w:val="24"/>
          <w:szCs w:val="24"/>
          <w:rtl/>
        </w:rPr>
        <w:t xml:space="preserve">או </w:t>
      </w:r>
      <w:r w:rsidR="00471AED" w:rsidRPr="00F25744">
        <w:rPr>
          <w:rFonts w:ascii="David" w:hAnsi="David" w:cs="David" w:hint="cs"/>
          <w:sz w:val="24"/>
          <w:szCs w:val="24"/>
          <w:rtl/>
        </w:rPr>
        <w:t xml:space="preserve">למציאת </w:t>
      </w:r>
      <w:r w:rsidR="009D23CB" w:rsidRPr="00F25744">
        <w:rPr>
          <w:rFonts w:ascii="David" w:hAnsi="David" w:cs="David" w:hint="cs"/>
          <w:sz w:val="24"/>
          <w:szCs w:val="24"/>
          <w:rtl/>
        </w:rPr>
        <w:t>פתרונות אחרים להקלת העומס.</w:t>
      </w:r>
      <w:r w:rsidR="007F3A52" w:rsidRPr="00F25744">
        <w:rPr>
          <w:rFonts w:ascii="David" w:hAnsi="David" w:cs="David" w:hint="cs"/>
          <w:sz w:val="24"/>
          <w:szCs w:val="24"/>
          <w:rtl/>
        </w:rPr>
        <w:t xml:space="preserve"> </w:t>
      </w:r>
    </w:p>
    <w:p w14:paraId="76065830" w14:textId="77777777" w:rsidR="00121080" w:rsidRPr="00F25744" w:rsidRDefault="00E25AE7" w:rsidP="00BD23BB">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 xml:space="preserve">מכאן חשיבותו הגדולה של מדד עומס העבודה השיפוטית, אשר מחלקת המחקר מתכבדת להציגו במסגרת המחקר שלפניכם, ובכך לסייע במציאת פתרונות שונים להקלת העומס השיפוטי במערכת המשפט בישראל, לטובת המערכת עצמה ולטובת </w:t>
      </w:r>
      <w:r w:rsidR="00341018" w:rsidRPr="00F25744">
        <w:rPr>
          <w:rFonts w:ascii="David" w:hAnsi="David" w:cs="David" w:hint="cs"/>
          <w:sz w:val="24"/>
          <w:szCs w:val="24"/>
          <w:rtl/>
        </w:rPr>
        <w:t>הבאים בשעריה</w:t>
      </w:r>
      <w:r w:rsidRPr="00F25744">
        <w:rPr>
          <w:rFonts w:ascii="David" w:hAnsi="David" w:cs="David" w:hint="cs"/>
          <w:sz w:val="24"/>
          <w:szCs w:val="24"/>
          <w:rtl/>
        </w:rPr>
        <w:t>.</w:t>
      </w:r>
    </w:p>
    <w:p w14:paraId="6C722631" w14:textId="77777777" w:rsidR="00471AED" w:rsidRPr="00F25744" w:rsidRDefault="00E25AE7" w:rsidP="00BD23BB">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 xml:space="preserve">זה המקום לציין כי </w:t>
      </w:r>
      <w:r w:rsidR="000A449A" w:rsidRPr="00F25744">
        <w:rPr>
          <w:rFonts w:ascii="David" w:hAnsi="David" w:cs="David" w:hint="cs"/>
          <w:sz w:val="24"/>
          <w:szCs w:val="24"/>
          <w:rtl/>
        </w:rPr>
        <w:t>המחקר נכתב בלשון זכר אולם הכוונה היא כמובן לגברים ולנשים כאחד.</w:t>
      </w:r>
    </w:p>
    <w:p w14:paraId="72301045" w14:textId="77777777" w:rsidR="00772747" w:rsidRPr="00F25744" w:rsidRDefault="00E25AE7" w:rsidP="00BD23BB">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כמו כן, בכל מקום שבו נכתב במחקר זה "שופטים" הכוונה היא לשופטים ולרשמים, אלא אם כן מצוין במפורש אחרת.</w:t>
      </w:r>
    </w:p>
    <w:p w14:paraId="38ED2B9E" w14:textId="77777777" w:rsidR="000A449A" w:rsidRPr="00F25744" w:rsidRDefault="000A449A" w:rsidP="00DE437E">
      <w:pPr>
        <w:widowControl w:val="0"/>
        <w:autoSpaceDE w:val="0"/>
        <w:autoSpaceDN w:val="0"/>
        <w:adjustRightInd w:val="0"/>
        <w:spacing w:after="0" w:line="240" w:lineRule="auto"/>
        <w:jc w:val="both"/>
        <w:rPr>
          <w:rFonts w:ascii="David" w:hAnsi="David" w:cs="David"/>
          <w:b/>
          <w:bCs/>
          <w:sz w:val="24"/>
          <w:szCs w:val="24"/>
          <w:u w:val="single"/>
          <w:rtl/>
        </w:rPr>
      </w:pPr>
    </w:p>
    <w:p w14:paraId="7DAF0C4F" w14:textId="77777777" w:rsidR="00DE437E" w:rsidRPr="00F25744" w:rsidRDefault="00E25AE7" w:rsidP="00DE437E">
      <w:pPr>
        <w:widowControl w:val="0"/>
        <w:autoSpaceDE w:val="0"/>
        <w:autoSpaceDN w:val="0"/>
        <w:adjustRightInd w:val="0"/>
        <w:spacing w:after="0" w:line="240" w:lineRule="auto"/>
        <w:jc w:val="both"/>
        <w:rPr>
          <w:rFonts w:ascii="David" w:hAnsi="David" w:cs="David"/>
          <w:sz w:val="24"/>
          <w:szCs w:val="24"/>
          <w:rtl/>
        </w:rPr>
      </w:pPr>
      <w:r w:rsidRPr="00F25744">
        <w:rPr>
          <w:rFonts w:ascii="David" w:hAnsi="David" w:cs="David" w:hint="cs"/>
          <w:b/>
          <w:bCs/>
          <w:sz w:val="24"/>
          <w:szCs w:val="24"/>
          <w:u w:val="single"/>
          <w:rtl/>
        </w:rPr>
        <w:t>תוצרי המחקר</w:t>
      </w:r>
    </w:p>
    <w:p w14:paraId="3F783094" w14:textId="77777777" w:rsidR="00F563F1" w:rsidRPr="00F25744" w:rsidRDefault="00F563F1" w:rsidP="00DE437E">
      <w:pPr>
        <w:widowControl w:val="0"/>
        <w:autoSpaceDE w:val="0"/>
        <w:autoSpaceDN w:val="0"/>
        <w:adjustRightInd w:val="0"/>
        <w:spacing w:after="0" w:line="240" w:lineRule="auto"/>
        <w:jc w:val="both"/>
        <w:rPr>
          <w:rFonts w:ascii="David" w:hAnsi="David" w:cs="David"/>
          <w:sz w:val="24"/>
          <w:szCs w:val="24"/>
          <w:rtl/>
        </w:rPr>
      </w:pPr>
    </w:p>
    <w:p w14:paraId="00EC7D9A" w14:textId="77777777" w:rsidR="00594534" w:rsidRPr="00F25744" w:rsidRDefault="00E25AE7" w:rsidP="00594534">
      <w:pPr>
        <w:widowControl w:val="0"/>
        <w:autoSpaceDE w:val="0"/>
        <w:autoSpaceDN w:val="0"/>
        <w:adjustRightInd w:val="0"/>
        <w:spacing w:after="0" w:line="360" w:lineRule="auto"/>
        <w:jc w:val="both"/>
        <w:rPr>
          <w:rFonts w:ascii="David" w:hAnsi="David" w:cs="David"/>
          <w:sz w:val="24"/>
          <w:szCs w:val="24"/>
          <w:rtl/>
        </w:rPr>
      </w:pPr>
      <w:r w:rsidRPr="00F25744">
        <w:rPr>
          <w:rFonts w:ascii="David" w:hAnsi="David" w:cs="David" w:hint="cs"/>
          <w:sz w:val="24"/>
          <w:szCs w:val="24"/>
          <w:rtl/>
        </w:rPr>
        <w:t xml:space="preserve">המחקר הנוכחי מבקש להניח שני תוצרים עיקריים: </w:t>
      </w:r>
    </w:p>
    <w:p w14:paraId="0B9B3CA3" w14:textId="77777777" w:rsidR="00594534" w:rsidRPr="00F25744" w:rsidRDefault="00E25AE7" w:rsidP="00D1763B">
      <w:pPr>
        <w:pStyle w:val="a3"/>
        <w:widowControl w:val="0"/>
        <w:numPr>
          <w:ilvl w:val="0"/>
          <w:numId w:val="1"/>
        </w:numPr>
        <w:autoSpaceDE w:val="0"/>
        <w:autoSpaceDN w:val="0"/>
        <w:bidi/>
        <w:adjustRightInd w:val="0"/>
        <w:spacing w:after="0" w:line="360" w:lineRule="auto"/>
        <w:rPr>
          <w:rFonts w:ascii="David" w:hAnsi="David" w:cs="David"/>
          <w:sz w:val="24"/>
          <w:szCs w:val="24"/>
        </w:rPr>
      </w:pPr>
      <w:r w:rsidRPr="00F25744">
        <w:rPr>
          <w:rFonts w:ascii="David" w:hAnsi="David" w:cs="David" w:hint="cs"/>
          <w:b/>
          <w:bCs/>
          <w:sz w:val="24"/>
          <w:szCs w:val="24"/>
          <w:rtl/>
        </w:rPr>
        <w:t>מדד עומס העבודה השיפוטית</w:t>
      </w:r>
      <w:r w:rsidRPr="00F25744">
        <w:rPr>
          <w:rFonts w:ascii="David" w:hAnsi="David" w:cs="David" w:hint="cs"/>
          <w:sz w:val="24"/>
          <w:szCs w:val="24"/>
          <w:rtl/>
        </w:rPr>
        <w:t>, הכולל הצגת משך הזמן השיפוטי הדרוש בממוצע לטיפול בסוגי התיקים השונים הקיימים במערכת, בחלוקה לערכאות השונות (</w:t>
      </w:r>
      <w:r w:rsidR="00D1763B" w:rsidRPr="00F25744">
        <w:rPr>
          <w:rFonts w:ascii="David" w:hAnsi="David" w:cs="David" w:hint="cs"/>
          <w:sz w:val="24"/>
          <w:szCs w:val="24"/>
          <w:rtl/>
        </w:rPr>
        <w:t>ערכאות ה</w:t>
      </w:r>
      <w:r w:rsidRPr="00F25744">
        <w:rPr>
          <w:rFonts w:ascii="David" w:hAnsi="David" w:cs="David" w:hint="cs"/>
          <w:sz w:val="24"/>
          <w:szCs w:val="24"/>
          <w:rtl/>
        </w:rPr>
        <w:t>מחוזי</w:t>
      </w:r>
      <w:r w:rsidR="00D1763B" w:rsidRPr="00F25744">
        <w:rPr>
          <w:rFonts w:ascii="David" w:hAnsi="David" w:cs="David" w:hint="cs"/>
          <w:sz w:val="24"/>
          <w:szCs w:val="24"/>
          <w:rtl/>
        </w:rPr>
        <w:t xml:space="preserve"> והשלום</w:t>
      </w:r>
      <w:r w:rsidRPr="00F25744">
        <w:rPr>
          <w:rFonts w:ascii="David" w:hAnsi="David" w:cs="David" w:hint="cs"/>
          <w:sz w:val="24"/>
          <w:szCs w:val="24"/>
          <w:rtl/>
        </w:rPr>
        <w:t>,</w:t>
      </w:r>
      <w:r w:rsidR="00D1763B" w:rsidRPr="00F25744">
        <w:rPr>
          <w:rFonts w:ascii="David" w:hAnsi="David" w:cs="David" w:hint="cs"/>
          <w:sz w:val="24"/>
          <w:szCs w:val="24"/>
          <w:rtl/>
        </w:rPr>
        <w:t xml:space="preserve"> </w:t>
      </w:r>
      <w:r w:rsidR="004B50E8" w:rsidRPr="00F25744">
        <w:rPr>
          <w:rFonts w:ascii="David" w:hAnsi="David" w:cs="David" w:hint="cs"/>
          <w:sz w:val="24"/>
          <w:szCs w:val="24"/>
          <w:rtl/>
        </w:rPr>
        <w:t>לרבות בתי המשפט ל</w:t>
      </w:r>
      <w:r w:rsidRPr="00F25744">
        <w:rPr>
          <w:rFonts w:ascii="David" w:hAnsi="David" w:cs="David" w:hint="cs"/>
          <w:sz w:val="24"/>
          <w:szCs w:val="24"/>
          <w:rtl/>
        </w:rPr>
        <w:t xml:space="preserve">תעבורה, משפחה </w:t>
      </w:r>
      <w:r w:rsidR="004B50E8" w:rsidRPr="00F25744">
        <w:rPr>
          <w:rFonts w:ascii="David" w:hAnsi="David" w:cs="David" w:hint="cs"/>
          <w:sz w:val="24"/>
          <w:szCs w:val="24"/>
          <w:rtl/>
        </w:rPr>
        <w:t>ו</w:t>
      </w:r>
      <w:r w:rsidRPr="00F25744">
        <w:rPr>
          <w:rFonts w:ascii="David" w:hAnsi="David" w:cs="David" w:hint="cs"/>
          <w:sz w:val="24"/>
          <w:szCs w:val="24"/>
          <w:rtl/>
        </w:rPr>
        <w:t>נוער ו</w:t>
      </w:r>
      <w:r w:rsidR="00D1763B" w:rsidRPr="00F25744">
        <w:rPr>
          <w:rFonts w:ascii="David" w:hAnsi="David" w:cs="David" w:hint="cs"/>
          <w:sz w:val="24"/>
          <w:szCs w:val="24"/>
          <w:rtl/>
        </w:rPr>
        <w:t xml:space="preserve">ערכאת </w:t>
      </w:r>
      <w:r w:rsidR="0017056A" w:rsidRPr="00F25744">
        <w:rPr>
          <w:rFonts w:ascii="David" w:hAnsi="David" w:cs="David" w:hint="cs"/>
          <w:sz w:val="24"/>
          <w:szCs w:val="24"/>
          <w:rtl/>
        </w:rPr>
        <w:t>בתי הדין</w:t>
      </w:r>
      <w:r w:rsidR="00D1763B" w:rsidRPr="00F25744">
        <w:rPr>
          <w:rFonts w:ascii="David" w:hAnsi="David" w:cs="David" w:hint="cs"/>
          <w:sz w:val="24"/>
          <w:szCs w:val="24"/>
          <w:rtl/>
        </w:rPr>
        <w:t xml:space="preserve"> האזוריים</w:t>
      </w:r>
      <w:r w:rsidR="0017056A" w:rsidRPr="00F25744">
        <w:rPr>
          <w:rFonts w:ascii="David" w:hAnsi="David" w:cs="David" w:hint="cs"/>
          <w:sz w:val="24"/>
          <w:szCs w:val="24"/>
          <w:rtl/>
        </w:rPr>
        <w:t xml:space="preserve"> ל</w:t>
      </w:r>
      <w:r w:rsidRPr="00F25744">
        <w:rPr>
          <w:rFonts w:ascii="David" w:hAnsi="David" w:cs="David" w:hint="cs"/>
          <w:sz w:val="24"/>
          <w:szCs w:val="24"/>
          <w:rtl/>
        </w:rPr>
        <w:t>עבודה).</w:t>
      </w:r>
      <w:r w:rsidR="0080787F" w:rsidRPr="00F25744">
        <w:rPr>
          <w:rFonts w:ascii="David" w:hAnsi="David" w:cs="David" w:hint="cs"/>
          <w:sz w:val="24"/>
          <w:szCs w:val="24"/>
          <w:rtl/>
        </w:rPr>
        <w:t xml:space="preserve"> זמן שיפוטי זה</w:t>
      </w:r>
      <w:r w:rsidR="00E403FE" w:rsidRPr="00F25744">
        <w:rPr>
          <w:rFonts w:ascii="David" w:hAnsi="David" w:cs="David" w:hint="cs"/>
          <w:sz w:val="24"/>
          <w:szCs w:val="24"/>
          <w:rtl/>
        </w:rPr>
        <w:t xml:space="preserve"> </w:t>
      </w:r>
      <w:r w:rsidR="00B601EF" w:rsidRPr="00F25744">
        <w:rPr>
          <w:rFonts w:ascii="David" w:hAnsi="David" w:cs="David" w:hint="cs"/>
          <w:sz w:val="24"/>
          <w:szCs w:val="24"/>
          <w:rtl/>
        </w:rPr>
        <w:t xml:space="preserve">יתורגם </w:t>
      </w:r>
      <w:r w:rsidR="00E403FE" w:rsidRPr="00F25744">
        <w:rPr>
          <w:rFonts w:ascii="David" w:hAnsi="David" w:cs="David" w:hint="cs"/>
          <w:sz w:val="24"/>
          <w:szCs w:val="24"/>
          <w:rtl/>
        </w:rPr>
        <w:t>גם</w:t>
      </w:r>
      <w:r w:rsidR="0080787F" w:rsidRPr="00F25744">
        <w:rPr>
          <w:rFonts w:ascii="David" w:hAnsi="David" w:cs="David" w:hint="cs"/>
          <w:sz w:val="24"/>
          <w:szCs w:val="24"/>
          <w:rtl/>
        </w:rPr>
        <w:t xml:space="preserve"> למשקלות </w:t>
      </w:r>
      <w:r w:rsidR="00E403FE" w:rsidRPr="00F25744">
        <w:rPr>
          <w:rFonts w:ascii="David" w:hAnsi="David" w:cs="David" w:hint="cs"/>
          <w:sz w:val="24"/>
          <w:szCs w:val="24"/>
          <w:rtl/>
        </w:rPr>
        <w:t>מעודכנים של התיקים.</w:t>
      </w:r>
      <w:r w:rsidRPr="00F25744">
        <w:rPr>
          <w:rFonts w:ascii="David" w:hAnsi="David" w:cs="David" w:hint="cs"/>
          <w:sz w:val="24"/>
          <w:szCs w:val="24"/>
          <w:rtl/>
        </w:rPr>
        <w:t xml:space="preserve"> </w:t>
      </w:r>
    </w:p>
    <w:p w14:paraId="5D71FBD3" w14:textId="77777777" w:rsidR="00594534" w:rsidRPr="00F25744" w:rsidRDefault="00E25AE7" w:rsidP="00566146">
      <w:pPr>
        <w:pStyle w:val="a3"/>
        <w:widowControl w:val="0"/>
        <w:numPr>
          <w:ilvl w:val="0"/>
          <w:numId w:val="1"/>
        </w:numPr>
        <w:autoSpaceDE w:val="0"/>
        <w:autoSpaceDN w:val="0"/>
        <w:bidi/>
        <w:adjustRightInd w:val="0"/>
        <w:spacing w:after="0" w:line="360" w:lineRule="auto"/>
        <w:rPr>
          <w:rFonts w:ascii="David" w:hAnsi="David" w:cs="David"/>
          <w:sz w:val="24"/>
          <w:szCs w:val="24"/>
        </w:rPr>
      </w:pPr>
      <w:r w:rsidRPr="00F25744">
        <w:rPr>
          <w:rFonts w:ascii="David" w:hAnsi="David" w:cs="David" w:hint="cs"/>
          <w:b/>
          <w:bCs/>
          <w:sz w:val="24"/>
          <w:szCs w:val="24"/>
          <w:rtl/>
        </w:rPr>
        <w:t>תמהיל יום העבודה השיפוטי</w:t>
      </w:r>
      <w:r w:rsidRPr="00F25744">
        <w:rPr>
          <w:rFonts w:ascii="David" w:hAnsi="David" w:cs="David" w:hint="cs"/>
          <w:sz w:val="24"/>
          <w:szCs w:val="24"/>
          <w:rtl/>
        </w:rPr>
        <w:t xml:space="preserve"> הממוצע</w:t>
      </w:r>
      <w:r w:rsidR="00623548" w:rsidRPr="00F25744">
        <w:rPr>
          <w:rFonts w:ascii="David" w:hAnsi="David" w:cs="David" w:hint="cs"/>
          <w:sz w:val="24"/>
          <w:szCs w:val="24"/>
          <w:rtl/>
        </w:rPr>
        <w:t xml:space="preserve">, </w:t>
      </w:r>
      <w:r w:rsidRPr="00F25744">
        <w:rPr>
          <w:rFonts w:ascii="David" w:hAnsi="David" w:cs="David" w:hint="cs"/>
          <w:sz w:val="24"/>
          <w:szCs w:val="24"/>
          <w:rtl/>
        </w:rPr>
        <w:t>לרבות זמני הפעולות השיפוטיות השונות הנוגעות לטיפול בתיקים, וכן פעילות שיפוטית נוספת מלבד זו המוקדשת לטובת טיפול בתיקים.</w:t>
      </w:r>
      <w:r w:rsidR="0084239E" w:rsidRPr="00F25744">
        <w:rPr>
          <w:rFonts w:ascii="David" w:hAnsi="David" w:cs="David" w:hint="cs"/>
          <w:sz w:val="24"/>
          <w:szCs w:val="24"/>
          <w:rtl/>
        </w:rPr>
        <w:t xml:space="preserve"> </w:t>
      </w:r>
    </w:p>
    <w:p w14:paraId="78D6C559" w14:textId="77777777" w:rsidR="00471AED" w:rsidRPr="00F25744" w:rsidRDefault="00471AED" w:rsidP="00DE437E">
      <w:pPr>
        <w:pStyle w:val="a3"/>
        <w:widowControl w:val="0"/>
        <w:autoSpaceDE w:val="0"/>
        <w:autoSpaceDN w:val="0"/>
        <w:bidi/>
        <w:adjustRightInd w:val="0"/>
        <w:spacing w:after="0" w:line="240" w:lineRule="auto"/>
        <w:ind w:left="360"/>
        <w:rPr>
          <w:rFonts w:ascii="David" w:hAnsi="David" w:cs="David"/>
          <w:sz w:val="24"/>
          <w:szCs w:val="24"/>
          <w:rtl/>
        </w:rPr>
      </w:pPr>
    </w:p>
    <w:p w14:paraId="625DDADF" w14:textId="77777777" w:rsidR="00594534" w:rsidRPr="00F25744" w:rsidRDefault="00E25AE7" w:rsidP="00DE437E">
      <w:pPr>
        <w:pStyle w:val="a3"/>
        <w:widowControl w:val="0"/>
        <w:autoSpaceDE w:val="0"/>
        <w:autoSpaceDN w:val="0"/>
        <w:bidi/>
        <w:adjustRightInd w:val="0"/>
        <w:spacing w:after="0" w:line="360" w:lineRule="auto"/>
        <w:ind w:left="0"/>
        <w:rPr>
          <w:rFonts w:ascii="David" w:hAnsi="David" w:cs="David"/>
          <w:sz w:val="24"/>
          <w:szCs w:val="24"/>
          <w:rtl/>
        </w:rPr>
      </w:pPr>
      <w:r w:rsidRPr="00F25744">
        <w:rPr>
          <w:rFonts w:ascii="David" w:hAnsi="David" w:cs="David" w:hint="cs"/>
          <w:sz w:val="24"/>
          <w:szCs w:val="24"/>
          <w:rtl/>
        </w:rPr>
        <w:t>מלבד שני תוצרים עיקריים אל</w:t>
      </w:r>
      <w:r w:rsidR="00471AED" w:rsidRPr="00F25744">
        <w:rPr>
          <w:rFonts w:ascii="David" w:hAnsi="David" w:cs="David" w:hint="cs"/>
          <w:sz w:val="24"/>
          <w:szCs w:val="24"/>
          <w:rtl/>
        </w:rPr>
        <w:t>ה</w:t>
      </w:r>
      <w:r w:rsidRPr="00F25744">
        <w:rPr>
          <w:rFonts w:ascii="David" w:hAnsi="David" w:cs="David" w:hint="cs"/>
          <w:sz w:val="24"/>
          <w:szCs w:val="24"/>
          <w:rtl/>
        </w:rPr>
        <w:t>, ניסינו במסגרת מחקר מקיף זה</w:t>
      </w:r>
      <w:r w:rsidR="00471AED" w:rsidRPr="00F25744">
        <w:rPr>
          <w:rFonts w:ascii="David" w:hAnsi="David" w:cs="David" w:hint="cs"/>
          <w:sz w:val="24"/>
          <w:szCs w:val="24"/>
          <w:rtl/>
        </w:rPr>
        <w:t xml:space="preserve"> להתייחס גם </w:t>
      </w:r>
      <w:r w:rsidR="00471AED" w:rsidRPr="00F25744">
        <w:rPr>
          <w:rFonts w:ascii="David" w:hAnsi="David" w:cs="David" w:hint="cs"/>
          <w:b/>
          <w:bCs/>
          <w:sz w:val="24"/>
          <w:szCs w:val="24"/>
          <w:rtl/>
        </w:rPr>
        <w:t>ל</w:t>
      </w:r>
      <w:r w:rsidRPr="00F25744">
        <w:rPr>
          <w:rFonts w:ascii="David" w:hAnsi="David" w:cs="David" w:hint="cs"/>
          <w:b/>
          <w:bCs/>
          <w:sz w:val="24"/>
          <w:szCs w:val="24"/>
          <w:rtl/>
        </w:rPr>
        <w:t xml:space="preserve">היבטים אחרים של עומס </w:t>
      </w:r>
      <w:r w:rsidR="007C41E5" w:rsidRPr="00F25744">
        <w:rPr>
          <w:rFonts w:ascii="David" w:hAnsi="David" w:cs="David" w:hint="cs"/>
          <w:b/>
          <w:bCs/>
          <w:sz w:val="24"/>
          <w:szCs w:val="24"/>
          <w:rtl/>
        </w:rPr>
        <w:t>ה</w:t>
      </w:r>
      <w:r w:rsidRPr="00F25744">
        <w:rPr>
          <w:rFonts w:ascii="David" w:hAnsi="David" w:cs="David" w:hint="cs"/>
          <w:b/>
          <w:bCs/>
          <w:sz w:val="24"/>
          <w:szCs w:val="24"/>
          <w:rtl/>
        </w:rPr>
        <w:t xml:space="preserve">עבודה </w:t>
      </w:r>
      <w:r w:rsidR="007C41E5" w:rsidRPr="00F25744">
        <w:rPr>
          <w:rFonts w:ascii="David" w:hAnsi="David" w:cs="David" w:hint="cs"/>
          <w:b/>
          <w:bCs/>
          <w:sz w:val="24"/>
          <w:szCs w:val="24"/>
          <w:rtl/>
        </w:rPr>
        <w:t>ה</w:t>
      </w:r>
      <w:r w:rsidRPr="00F25744">
        <w:rPr>
          <w:rFonts w:ascii="David" w:hAnsi="David" w:cs="David" w:hint="cs"/>
          <w:b/>
          <w:bCs/>
          <w:sz w:val="24"/>
          <w:szCs w:val="24"/>
          <w:rtl/>
        </w:rPr>
        <w:t>שיפוטי</w:t>
      </w:r>
      <w:r w:rsidR="007C41E5" w:rsidRPr="00F25744">
        <w:rPr>
          <w:rFonts w:ascii="David" w:hAnsi="David" w:cs="David" w:hint="cs"/>
          <w:b/>
          <w:bCs/>
          <w:sz w:val="24"/>
          <w:szCs w:val="24"/>
          <w:rtl/>
        </w:rPr>
        <w:t>ת</w:t>
      </w:r>
      <w:r w:rsidRPr="00F25744">
        <w:rPr>
          <w:rFonts w:ascii="David" w:hAnsi="David" w:cs="David" w:hint="cs"/>
          <w:sz w:val="24"/>
          <w:szCs w:val="24"/>
          <w:rtl/>
        </w:rPr>
        <w:t>, אשר יש בהם כדי להביא לידי ביטוי השלכות נוספות של העומס על השופטים והרשמים</w:t>
      </w:r>
      <w:r w:rsidR="007E270F" w:rsidRPr="00F25744">
        <w:rPr>
          <w:rFonts w:ascii="David" w:hAnsi="David" w:cs="David" w:hint="cs"/>
          <w:sz w:val="24"/>
          <w:szCs w:val="24"/>
          <w:rtl/>
        </w:rPr>
        <w:t>, מבחינת התחושה הסובייקטיבית שלהם</w:t>
      </w:r>
      <w:r w:rsidR="00E403FE" w:rsidRPr="00F25744">
        <w:rPr>
          <w:rFonts w:ascii="David" w:hAnsi="David" w:cs="David" w:hint="cs"/>
          <w:sz w:val="24"/>
          <w:szCs w:val="24"/>
          <w:rtl/>
        </w:rPr>
        <w:t>,</w:t>
      </w:r>
      <w:r w:rsidR="007E270F" w:rsidRPr="00F25744">
        <w:rPr>
          <w:rFonts w:ascii="David" w:hAnsi="David" w:cs="David" w:hint="cs"/>
          <w:sz w:val="24"/>
          <w:szCs w:val="24"/>
          <w:rtl/>
        </w:rPr>
        <w:t xml:space="preserve"> </w:t>
      </w:r>
      <w:r w:rsidR="0062097F" w:rsidRPr="00F25744">
        <w:rPr>
          <w:rFonts w:ascii="David" w:hAnsi="David" w:cs="David" w:hint="cs"/>
          <w:sz w:val="24"/>
          <w:szCs w:val="24"/>
          <w:rtl/>
        </w:rPr>
        <w:t>במובחן מ</w:t>
      </w:r>
      <w:r w:rsidR="007E270F" w:rsidRPr="00F25744">
        <w:rPr>
          <w:rFonts w:ascii="David" w:hAnsi="David" w:cs="David" w:hint="cs"/>
          <w:sz w:val="24"/>
          <w:szCs w:val="24"/>
          <w:rtl/>
        </w:rPr>
        <w:t>מדידת זמנים אובייקטיבית. היבטים אחרים אלו כוללים בחינת היגדים בנוגע ל</w:t>
      </w:r>
      <w:r w:rsidR="000003E6" w:rsidRPr="00F25744">
        <w:rPr>
          <w:rFonts w:ascii="David" w:hAnsi="David" w:cs="David" w:hint="cs"/>
          <w:sz w:val="24"/>
          <w:szCs w:val="24"/>
          <w:rtl/>
        </w:rPr>
        <w:t>השלכות ה</w:t>
      </w:r>
      <w:r w:rsidR="007E270F" w:rsidRPr="00F25744">
        <w:rPr>
          <w:rFonts w:ascii="David" w:hAnsi="David" w:cs="David" w:hint="cs"/>
          <w:sz w:val="24"/>
          <w:szCs w:val="24"/>
          <w:rtl/>
        </w:rPr>
        <w:t>עומס השיפוטי, ובחינת שאלות המתארות את מידת העומס הרגשי שהשופטים חשים כי הטיפול בתיקים מסוימים מטיל עליהם.</w:t>
      </w:r>
    </w:p>
    <w:p w14:paraId="45A27A73" w14:textId="77777777" w:rsidR="00F068B3" w:rsidRPr="00F25744" w:rsidRDefault="00F068B3" w:rsidP="00F068B3">
      <w:pPr>
        <w:pStyle w:val="a3"/>
        <w:widowControl w:val="0"/>
        <w:autoSpaceDE w:val="0"/>
        <w:autoSpaceDN w:val="0"/>
        <w:bidi/>
        <w:adjustRightInd w:val="0"/>
        <w:spacing w:after="0" w:line="240" w:lineRule="auto"/>
        <w:ind w:left="0"/>
        <w:rPr>
          <w:rFonts w:ascii="David" w:hAnsi="David" w:cs="David"/>
          <w:b/>
          <w:bCs/>
          <w:sz w:val="24"/>
          <w:szCs w:val="24"/>
          <w:u w:val="single"/>
          <w:rtl/>
        </w:rPr>
      </w:pPr>
    </w:p>
    <w:p w14:paraId="27251BA2" w14:textId="77777777" w:rsidR="00AE6DAD" w:rsidRDefault="00AE6DAD" w:rsidP="00D81B64">
      <w:pPr>
        <w:pStyle w:val="a3"/>
        <w:widowControl w:val="0"/>
        <w:autoSpaceDE w:val="0"/>
        <w:autoSpaceDN w:val="0"/>
        <w:bidi/>
        <w:adjustRightInd w:val="0"/>
        <w:spacing w:after="0" w:line="360" w:lineRule="auto"/>
        <w:ind w:left="0"/>
        <w:rPr>
          <w:rFonts w:ascii="David" w:hAnsi="David" w:cs="David"/>
          <w:b/>
          <w:bCs/>
          <w:sz w:val="24"/>
          <w:szCs w:val="24"/>
          <w:u w:val="single"/>
          <w:rtl/>
        </w:rPr>
      </w:pPr>
    </w:p>
    <w:p w14:paraId="054054AA" w14:textId="02BCFC3B" w:rsidR="00594534" w:rsidRPr="00F25744" w:rsidRDefault="00E25AE7" w:rsidP="00AE6DAD">
      <w:pPr>
        <w:pStyle w:val="a3"/>
        <w:widowControl w:val="0"/>
        <w:autoSpaceDE w:val="0"/>
        <w:autoSpaceDN w:val="0"/>
        <w:bidi/>
        <w:adjustRightInd w:val="0"/>
        <w:spacing w:after="0" w:line="360" w:lineRule="auto"/>
        <w:ind w:left="0"/>
        <w:rPr>
          <w:rFonts w:ascii="David" w:hAnsi="David" w:cs="David"/>
          <w:b/>
          <w:bCs/>
          <w:sz w:val="24"/>
          <w:szCs w:val="24"/>
          <w:u w:val="single"/>
          <w:rtl/>
        </w:rPr>
      </w:pPr>
      <w:r w:rsidRPr="00F25744">
        <w:rPr>
          <w:rFonts w:ascii="David" w:hAnsi="David" w:cs="David" w:hint="cs"/>
          <w:b/>
          <w:bCs/>
          <w:sz w:val="24"/>
          <w:szCs w:val="24"/>
          <w:u w:val="single"/>
          <w:rtl/>
        </w:rPr>
        <w:t>מדד עומס העבודה השיפוטית</w:t>
      </w:r>
    </w:p>
    <w:p w14:paraId="0FFCAACB" w14:textId="01D0438D" w:rsidR="006B23F5" w:rsidRPr="00F25744" w:rsidRDefault="00E25AE7" w:rsidP="00AE6DAD">
      <w:pPr>
        <w:pStyle w:val="a3"/>
        <w:widowControl w:val="0"/>
        <w:autoSpaceDE w:val="0"/>
        <w:autoSpaceDN w:val="0"/>
        <w:bidi/>
        <w:adjustRightInd w:val="0"/>
        <w:spacing w:after="0" w:line="360" w:lineRule="auto"/>
        <w:ind w:left="0"/>
        <w:rPr>
          <w:rFonts w:ascii="David" w:hAnsi="David" w:cs="David"/>
          <w:sz w:val="24"/>
          <w:szCs w:val="24"/>
          <w:rtl/>
        </w:rPr>
      </w:pPr>
      <w:r w:rsidRPr="00F25744">
        <w:rPr>
          <w:rFonts w:ascii="David" w:hAnsi="David" w:cs="David" w:hint="cs"/>
          <w:sz w:val="24"/>
          <w:szCs w:val="24"/>
          <w:rtl/>
        </w:rPr>
        <w:t xml:space="preserve">התוצר הראשון והעיקרי של המחקר הנוכחי הוא מדד עומס העבודה השיפוטית, אשר ממצאיו משקפים את הזמן השיפוטי </w:t>
      </w:r>
      <w:r w:rsidRPr="00F25744">
        <w:rPr>
          <w:rFonts w:ascii="David" w:hAnsi="David" w:cs="David" w:hint="cs"/>
          <w:b/>
          <w:bCs/>
          <w:sz w:val="24"/>
          <w:szCs w:val="24"/>
          <w:rtl/>
        </w:rPr>
        <w:t>הממוצע</w:t>
      </w:r>
      <w:r w:rsidRPr="00F25744">
        <w:rPr>
          <w:rFonts w:ascii="David" w:hAnsi="David" w:cs="David" w:hint="cs"/>
          <w:sz w:val="24"/>
          <w:szCs w:val="24"/>
          <w:rtl/>
        </w:rPr>
        <w:t xml:space="preserve"> הדרוש לט</w:t>
      </w:r>
      <w:r w:rsidR="00236372" w:rsidRPr="00F25744">
        <w:rPr>
          <w:rFonts w:ascii="David" w:hAnsi="David" w:cs="David" w:hint="cs"/>
          <w:sz w:val="24"/>
          <w:szCs w:val="24"/>
          <w:rtl/>
        </w:rPr>
        <w:t>י</w:t>
      </w:r>
      <w:r w:rsidRPr="00F25744">
        <w:rPr>
          <w:rFonts w:ascii="David" w:hAnsi="David" w:cs="David" w:hint="cs"/>
          <w:sz w:val="24"/>
          <w:szCs w:val="24"/>
          <w:rtl/>
        </w:rPr>
        <w:t>פ</w:t>
      </w:r>
      <w:r w:rsidR="00236372" w:rsidRPr="00F25744">
        <w:rPr>
          <w:rFonts w:ascii="David" w:hAnsi="David" w:cs="David" w:hint="cs"/>
          <w:sz w:val="24"/>
          <w:szCs w:val="24"/>
          <w:rtl/>
        </w:rPr>
        <w:t>ו</w:t>
      </w:r>
      <w:r w:rsidRPr="00F25744">
        <w:rPr>
          <w:rFonts w:ascii="David" w:hAnsi="David" w:cs="David" w:hint="cs"/>
          <w:sz w:val="24"/>
          <w:szCs w:val="24"/>
          <w:rtl/>
        </w:rPr>
        <w:t>ל בכל אחד מסוגי התיקים הנדונים בערכאות השונות, עבור מרביתם המכרעת של סוגי התיקים הקיימים במערכת.</w:t>
      </w:r>
      <w:r w:rsidR="009762DB" w:rsidRPr="00F25744">
        <w:rPr>
          <w:rFonts w:ascii="David" w:hAnsi="David" w:cs="David" w:hint="cs"/>
          <w:sz w:val="24"/>
          <w:szCs w:val="24"/>
          <w:rtl/>
        </w:rPr>
        <w:t xml:space="preserve"> את ממצאי המחקר הנוגעים לזמני הטיפול בתיקים נציג בחלוקה לפרקים, כאשר כל פרק יוקדש לערכאה/ בית משפט בנפרד: </w:t>
      </w:r>
      <w:r w:rsidR="00341018" w:rsidRPr="00F25744">
        <w:rPr>
          <w:rFonts w:ascii="David" w:hAnsi="David" w:cs="David" w:hint="cs"/>
          <w:sz w:val="24"/>
          <w:szCs w:val="24"/>
          <w:rtl/>
        </w:rPr>
        <w:t>בתי המשפט</w:t>
      </w:r>
      <w:r w:rsidR="009762DB" w:rsidRPr="00F25744">
        <w:rPr>
          <w:rFonts w:ascii="David" w:hAnsi="David" w:cs="David" w:hint="cs"/>
          <w:sz w:val="24"/>
          <w:szCs w:val="24"/>
          <w:rtl/>
        </w:rPr>
        <w:t xml:space="preserve"> המחוזי</w:t>
      </w:r>
      <w:r w:rsidR="00341018" w:rsidRPr="00F25744">
        <w:rPr>
          <w:rFonts w:ascii="David" w:hAnsi="David" w:cs="David" w:hint="cs"/>
          <w:sz w:val="24"/>
          <w:szCs w:val="24"/>
          <w:rtl/>
        </w:rPr>
        <w:t>ים</w:t>
      </w:r>
      <w:r w:rsidR="009762DB" w:rsidRPr="00F25744">
        <w:rPr>
          <w:rFonts w:ascii="David" w:hAnsi="David" w:cs="David" w:hint="cs"/>
          <w:sz w:val="24"/>
          <w:szCs w:val="24"/>
          <w:rtl/>
        </w:rPr>
        <w:t xml:space="preserve">, בתי משפט השלום, בתי המשפט לתעבורה, בתי המשפט לנוער ובתי המשפט לענייני משפחה. </w:t>
      </w:r>
      <w:r w:rsidR="0053106E" w:rsidRPr="00F25744">
        <w:rPr>
          <w:rFonts w:ascii="David" w:hAnsi="David" w:cs="David" w:hint="cs"/>
          <w:sz w:val="24"/>
          <w:szCs w:val="24"/>
          <w:rtl/>
        </w:rPr>
        <w:t xml:space="preserve">כמו כן נציג פרק קצר הנוגע לבתי הדין האזוריים לעבודה, על מנת לתת תמונה מערכתית רחבה </w:t>
      </w:r>
      <w:r w:rsidR="0053106E" w:rsidRPr="00F25744">
        <w:rPr>
          <w:rFonts w:ascii="David" w:hAnsi="David" w:cs="David" w:hint="cs"/>
          <w:sz w:val="24"/>
          <w:szCs w:val="24"/>
          <w:rtl/>
        </w:rPr>
        <w:lastRenderedPageBreak/>
        <w:t xml:space="preserve">וקוהרנטית. </w:t>
      </w:r>
      <w:r w:rsidR="009762DB" w:rsidRPr="00F25744">
        <w:rPr>
          <w:rFonts w:ascii="David" w:hAnsi="David" w:cs="David" w:hint="cs"/>
          <w:sz w:val="24"/>
          <w:szCs w:val="24"/>
          <w:rtl/>
        </w:rPr>
        <w:t xml:space="preserve">בכל פרק יוצגו </w:t>
      </w:r>
      <w:r w:rsidR="00F64C1E" w:rsidRPr="00F25744">
        <w:rPr>
          <w:rFonts w:ascii="David" w:hAnsi="David" w:cs="David" w:hint="cs"/>
          <w:sz w:val="24"/>
          <w:szCs w:val="24"/>
          <w:rtl/>
        </w:rPr>
        <w:t xml:space="preserve">ראשית ההתאמות המיוחדות שנעשו במערך המחקר </w:t>
      </w:r>
      <w:r w:rsidR="00341018" w:rsidRPr="00F25744">
        <w:rPr>
          <w:rFonts w:ascii="David" w:hAnsi="David" w:cs="David" w:hint="cs"/>
          <w:sz w:val="24"/>
          <w:szCs w:val="24"/>
          <w:rtl/>
        </w:rPr>
        <w:t xml:space="preserve">ביחס </w:t>
      </w:r>
      <w:r w:rsidR="00F64C1E" w:rsidRPr="00F25744">
        <w:rPr>
          <w:rFonts w:ascii="David" w:hAnsi="David" w:cs="David" w:hint="cs"/>
          <w:sz w:val="24"/>
          <w:szCs w:val="24"/>
          <w:rtl/>
        </w:rPr>
        <w:t xml:space="preserve">לאותה ערכאה/ בית משפט בהתאם לאופי הדיונים בה, </w:t>
      </w:r>
      <w:r w:rsidR="00341018" w:rsidRPr="00F25744">
        <w:rPr>
          <w:rFonts w:ascii="David" w:hAnsi="David" w:cs="David" w:hint="cs"/>
          <w:sz w:val="24"/>
          <w:szCs w:val="24"/>
          <w:rtl/>
        </w:rPr>
        <w:t>ו</w:t>
      </w:r>
      <w:r w:rsidR="00F64C1E" w:rsidRPr="00F25744">
        <w:rPr>
          <w:rFonts w:ascii="David" w:hAnsi="David" w:cs="David" w:hint="cs"/>
          <w:sz w:val="24"/>
          <w:szCs w:val="24"/>
          <w:rtl/>
        </w:rPr>
        <w:t xml:space="preserve">לאחר מכן נציג את </w:t>
      </w:r>
      <w:r w:rsidR="009762DB" w:rsidRPr="00F25744">
        <w:rPr>
          <w:rFonts w:ascii="David" w:hAnsi="David" w:cs="David" w:hint="cs"/>
          <w:sz w:val="24"/>
          <w:szCs w:val="24"/>
          <w:rtl/>
        </w:rPr>
        <w:t>זמני הטיפול בתיקים ה</w:t>
      </w:r>
      <w:r w:rsidR="00341018" w:rsidRPr="00F25744">
        <w:rPr>
          <w:rFonts w:ascii="David" w:hAnsi="David" w:cs="David" w:hint="cs"/>
          <w:sz w:val="24"/>
          <w:szCs w:val="24"/>
          <w:rtl/>
        </w:rPr>
        <w:t xml:space="preserve">רלוונטיים </w:t>
      </w:r>
      <w:r w:rsidR="009762DB" w:rsidRPr="00F25744">
        <w:rPr>
          <w:rFonts w:ascii="David" w:hAnsi="David" w:cs="David" w:hint="cs"/>
          <w:sz w:val="24"/>
          <w:szCs w:val="24"/>
          <w:rtl/>
        </w:rPr>
        <w:t>לאותה ערכאה</w:t>
      </w:r>
      <w:r w:rsidR="00F64C1E" w:rsidRPr="00F25744">
        <w:rPr>
          <w:rFonts w:ascii="David" w:hAnsi="David" w:cs="David" w:hint="cs"/>
          <w:sz w:val="24"/>
          <w:szCs w:val="24"/>
          <w:rtl/>
        </w:rPr>
        <w:t>/ בית משפט</w:t>
      </w:r>
      <w:r w:rsidR="00341018" w:rsidRPr="00F25744">
        <w:rPr>
          <w:rFonts w:ascii="David" w:hAnsi="David" w:cs="David" w:hint="cs"/>
          <w:sz w:val="24"/>
          <w:szCs w:val="24"/>
          <w:rtl/>
        </w:rPr>
        <w:t>. ביחס לבתי המשפט המחוזי והשלום נציג גם את ה</w:t>
      </w:r>
      <w:r w:rsidR="009762DB" w:rsidRPr="00F25744">
        <w:rPr>
          <w:rFonts w:ascii="David" w:hAnsi="David" w:cs="David" w:hint="cs"/>
          <w:sz w:val="24"/>
          <w:szCs w:val="24"/>
          <w:rtl/>
        </w:rPr>
        <w:t xml:space="preserve">חלוקה לתיקים אזרחיים, פליליים, סוגי העניין השונים בתיקי ת"א (תיקי אזרחיים) ותיקי עמ"ק (עניינים מקומיים) בשלום. </w:t>
      </w:r>
      <w:r w:rsidR="00F64C1E" w:rsidRPr="00F25744">
        <w:rPr>
          <w:rFonts w:ascii="David" w:hAnsi="David" w:cs="David" w:hint="cs"/>
          <w:sz w:val="24"/>
          <w:szCs w:val="24"/>
          <w:rtl/>
        </w:rPr>
        <w:t>בסיום כל פרק נציג את פילוח יום העבודה השיפוטי לאותה ערכאה/ בית משפט.</w:t>
      </w:r>
      <w:r w:rsidR="008665B0" w:rsidRPr="00F25744">
        <w:rPr>
          <w:rFonts w:ascii="David" w:hAnsi="David" w:cs="David" w:hint="cs"/>
          <w:sz w:val="24"/>
          <w:szCs w:val="24"/>
          <w:rtl/>
        </w:rPr>
        <w:t xml:space="preserve"> לאחר מכן נציג פרק כלל מערכתי, שבו יוצגו זמני הטיפול בתיקים של כל המערכת, </w:t>
      </w:r>
      <w:r w:rsidR="007F3A52" w:rsidRPr="00F25744">
        <w:rPr>
          <w:rFonts w:ascii="David" w:hAnsi="David" w:cs="David" w:hint="cs"/>
          <w:sz w:val="24"/>
          <w:szCs w:val="24"/>
          <w:rtl/>
        </w:rPr>
        <w:t>לרבות התיקים הנדונים בבתי הדין האזוריים לעבודה, ופילוח זמני העבודה השיפוטיים הכלל מערכתיים.</w:t>
      </w:r>
    </w:p>
    <w:p w14:paraId="6B30E797" w14:textId="77777777" w:rsidR="00594534" w:rsidRPr="00F25744" w:rsidRDefault="00E25AE7" w:rsidP="00BD23BB">
      <w:pPr>
        <w:pStyle w:val="a3"/>
        <w:widowControl w:val="0"/>
        <w:autoSpaceDE w:val="0"/>
        <w:autoSpaceDN w:val="0"/>
        <w:bidi/>
        <w:adjustRightInd w:val="0"/>
        <w:spacing w:after="0" w:line="240" w:lineRule="auto"/>
        <w:ind w:left="0"/>
        <w:rPr>
          <w:rFonts w:ascii="David" w:hAnsi="David" w:cs="David"/>
          <w:sz w:val="16"/>
          <w:szCs w:val="16"/>
          <w:rtl/>
        </w:rPr>
      </w:pPr>
      <w:r w:rsidRPr="00F25744">
        <w:rPr>
          <w:rFonts w:ascii="David" w:hAnsi="David" w:cs="David" w:hint="cs"/>
          <w:sz w:val="24"/>
          <w:szCs w:val="24"/>
          <w:rtl/>
        </w:rPr>
        <w:t xml:space="preserve"> </w:t>
      </w:r>
    </w:p>
    <w:p w14:paraId="4E316E63" w14:textId="77777777" w:rsidR="00594534" w:rsidRPr="00F25744" w:rsidRDefault="00E25AE7" w:rsidP="00594534">
      <w:pPr>
        <w:spacing w:after="0" w:line="360" w:lineRule="auto"/>
        <w:jc w:val="both"/>
        <w:rPr>
          <w:rFonts w:ascii="David" w:hAnsi="David" w:cs="David"/>
          <w:sz w:val="24"/>
          <w:szCs w:val="24"/>
          <w:rtl/>
        </w:rPr>
      </w:pPr>
      <w:r w:rsidRPr="00F25744">
        <w:rPr>
          <w:rFonts w:ascii="David" w:hAnsi="David" w:cs="David" w:hint="cs"/>
          <w:sz w:val="24"/>
          <w:szCs w:val="24"/>
          <w:rtl/>
        </w:rPr>
        <w:t xml:space="preserve">חישוב הזמן השיפוטי </w:t>
      </w:r>
      <w:r w:rsidRPr="00F25744">
        <w:rPr>
          <w:rFonts w:ascii="David" w:hAnsi="David" w:cs="David" w:hint="cs"/>
          <w:b/>
          <w:bCs/>
          <w:sz w:val="24"/>
          <w:szCs w:val="24"/>
          <w:rtl/>
        </w:rPr>
        <w:t>הממוצע</w:t>
      </w:r>
      <w:r w:rsidRPr="00F25744">
        <w:rPr>
          <w:rFonts w:ascii="David" w:hAnsi="David" w:cs="David" w:hint="cs"/>
          <w:sz w:val="24"/>
          <w:szCs w:val="24"/>
          <w:rtl/>
        </w:rPr>
        <w:t xml:space="preserve"> הדרוש לטיפול בכל סוג תיק נעשה לאחר בחינת השלבים הבאים:</w:t>
      </w:r>
    </w:p>
    <w:p w14:paraId="5964A068" w14:textId="77777777" w:rsidR="005975DC" w:rsidRPr="00F25744" w:rsidRDefault="00E25AE7" w:rsidP="001F37CE">
      <w:pPr>
        <w:numPr>
          <w:ilvl w:val="0"/>
          <w:numId w:val="11"/>
        </w:numPr>
        <w:spacing w:after="0" w:line="360" w:lineRule="auto"/>
        <w:ind w:left="425" w:hanging="425"/>
        <w:jc w:val="both"/>
        <w:rPr>
          <w:rFonts w:ascii="David" w:hAnsi="David" w:cs="David"/>
          <w:sz w:val="24"/>
          <w:szCs w:val="24"/>
        </w:rPr>
      </w:pPr>
      <w:r w:rsidRPr="00F25744">
        <w:rPr>
          <w:rFonts w:ascii="David" w:hAnsi="David" w:cs="David" w:hint="cs"/>
          <w:sz w:val="24"/>
          <w:szCs w:val="24"/>
          <w:rtl/>
        </w:rPr>
        <w:t xml:space="preserve"> </w:t>
      </w:r>
      <w:r w:rsidRPr="00F25744">
        <w:rPr>
          <w:rFonts w:ascii="David" w:hAnsi="David" w:cs="David" w:hint="cs"/>
          <w:b/>
          <w:bCs/>
          <w:sz w:val="24"/>
          <w:szCs w:val="24"/>
          <w:rtl/>
        </w:rPr>
        <w:t>זיהוי</w:t>
      </w:r>
      <w:r w:rsidRPr="00F25744">
        <w:rPr>
          <w:rFonts w:ascii="David" w:hAnsi="David" w:cs="David" w:hint="cs"/>
          <w:sz w:val="24"/>
          <w:szCs w:val="24"/>
          <w:rtl/>
        </w:rPr>
        <w:t xml:space="preserve"> </w:t>
      </w:r>
      <w:r w:rsidRPr="00F25744">
        <w:rPr>
          <w:rFonts w:ascii="David" w:hAnsi="David" w:cs="David" w:hint="cs"/>
          <w:b/>
          <w:bCs/>
          <w:sz w:val="24"/>
          <w:szCs w:val="24"/>
          <w:rtl/>
        </w:rPr>
        <w:t>אירועים מרכזיים</w:t>
      </w:r>
      <w:r w:rsidRPr="00F25744">
        <w:rPr>
          <w:rFonts w:ascii="David" w:hAnsi="David" w:cs="David" w:hint="cs"/>
          <w:sz w:val="24"/>
          <w:szCs w:val="24"/>
          <w:rtl/>
        </w:rPr>
        <w:t xml:space="preserve"> בתיקים - כלומר זיהוי המטלות אשר מחייבות זמן עבודה שיפוטי לצורך הטיפול בהן בכל תיק: הכנה לדיונים, שמיעת דיונים, כתיבת החלטות ביניים וכתיבת פסק דין</w:t>
      </w:r>
      <w:r w:rsidR="007F3A52" w:rsidRPr="00F25744">
        <w:rPr>
          <w:rFonts w:ascii="David" w:hAnsi="David" w:cs="David" w:hint="cs"/>
          <w:sz w:val="24"/>
          <w:szCs w:val="24"/>
          <w:rtl/>
        </w:rPr>
        <w:t>.</w:t>
      </w:r>
    </w:p>
    <w:p w14:paraId="046AAAD3" w14:textId="77777777" w:rsidR="00594534" w:rsidRPr="00F25744" w:rsidRDefault="00E25AE7" w:rsidP="001F37CE">
      <w:pPr>
        <w:numPr>
          <w:ilvl w:val="0"/>
          <w:numId w:val="11"/>
        </w:numPr>
        <w:spacing w:after="0" w:line="360" w:lineRule="auto"/>
        <w:ind w:left="425" w:hanging="425"/>
        <w:jc w:val="both"/>
        <w:rPr>
          <w:rFonts w:ascii="David" w:hAnsi="David" w:cs="David"/>
          <w:sz w:val="24"/>
          <w:szCs w:val="24"/>
        </w:rPr>
      </w:pPr>
      <w:r w:rsidRPr="00F25744">
        <w:rPr>
          <w:rFonts w:ascii="David" w:hAnsi="David" w:cs="David" w:hint="cs"/>
          <w:b/>
          <w:bCs/>
          <w:sz w:val="24"/>
          <w:szCs w:val="24"/>
          <w:rtl/>
        </w:rPr>
        <w:t>מדידת</w:t>
      </w:r>
      <w:r w:rsidRPr="00F25744">
        <w:rPr>
          <w:rFonts w:ascii="David" w:hAnsi="David" w:cs="David" w:hint="cs"/>
          <w:sz w:val="24"/>
          <w:szCs w:val="24"/>
          <w:rtl/>
        </w:rPr>
        <w:t xml:space="preserve"> </w:t>
      </w:r>
      <w:r w:rsidR="00767598" w:rsidRPr="00F25744">
        <w:rPr>
          <w:rFonts w:ascii="David" w:hAnsi="David" w:cs="David"/>
          <w:sz w:val="24"/>
          <w:szCs w:val="24"/>
          <w:rtl/>
        </w:rPr>
        <w:t>זמן הביצוע של</w:t>
      </w:r>
      <w:r w:rsidR="00767598" w:rsidRPr="00F25744">
        <w:rPr>
          <w:rFonts w:ascii="David" w:hAnsi="David" w:cs="David" w:hint="cs"/>
          <w:sz w:val="24"/>
          <w:szCs w:val="24"/>
          <w:rtl/>
        </w:rPr>
        <w:t xml:space="preserve"> </w:t>
      </w:r>
      <w:r w:rsidRPr="00F25744">
        <w:rPr>
          <w:rFonts w:ascii="David" w:hAnsi="David" w:cs="David" w:hint="cs"/>
          <w:sz w:val="24"/>
          <w:szCs w:val="24"/>
          <w:rtl/>
        </w:rPr>
        <w:t>כל אחת מפעולות אלו בסוגי התיקים השונים ו</w:t>
      </w:r>
      <w:r w:rsidRPr="00F25744">
        <w:rPr>
          <w:rFonts w:ascii="David" w:hAnsi="David" w:cs="David" w:hint="cs"/>
          <w:b/>
          <w:bCs/>
          <w:sz w:val="24"/>
          <w:szCs w:val="24"/>
          <w:rtl/>
        </w:rPr>
        <w:t>קביעת</w:t>
      </w:r>
      <w:r w:rsidRPr="00F25744">
        <w:rPr>
          <w:rFonts w:ascii="David" w:hAnsi="David" w:cs="David" w:hint="cs"/>
          <w:sz w:val="24"/>
          <w:szCs w:val="24"/>
          <w:rtl/>
        </w:rPr>
        <w:t xml:space="preserve"> </w:t>
      </w:r>
      <w:r w:rsidRPr="00F25744">
        <w:rPr>
          <w:rFonts w:ascii="David" w:hAnsi="David" w:cs="David" w:hint="cs"/>
          <w:b/>
          <w:bCs/>
          <w:sz w:val="24"/>
          <w:szCs w:val="24"/>
          <w:rtl/>
        </w:rPr>
        <w:t>זמן העבודה השיפוטי הממוצע</w:t>
      </w:r>
      <w:r w:rsidRPr="00F25744">
        <w:rPr>
          <w:rFonts w:ascii="David" w:hAnsi="David" w:cs="David" w:hint="cs"/>
          <w:sz w:val="24"/>
          <w:szCs w:val="24"/>
          <w:rtl/>
        </w:rPr>
        <w:t xml:space="preserve"> המוקדש לטיפול בכל אחד מהאירועים הללו.</w:t>
      </w:r>
    </w:p>
    <w:p w14:paraId="0B28097E" w14:textId="77777777" w:rsidR="00594534" w:rsidRPr="00F25744" w:rsidRDefault="00E25AE7" w:rsidP="001F37CE">
      <w:pPr>
        <w:numPr>
          <w:ilvl w:val="0"/>
          <w:numId w:val="11"/>
        </w:numPr>
        <w:spacing w:after="120" w:line="360" w:lineRule="auto"/>
        <w:ind w:left="425" w:hanging="425"/>
        <w:jc w:val="both"/>
        <w:rPr>
          <w:rFonts w:ascii="David" w:hAnsi="David" w:cs="David"/>
          <w:sz w:val="24"/>
          <w:szCs w:val="24"/>
        </w:rPr>
      </w:pPr>
      <w:r w:rsidRPr="00F25744">
        <w:rPr>
          <w:rFonts w:ascii="David" w:hAnsi="David" w:cs="David" w:hint="cs"/>
          <w:b/>
          <w:bCs/>
          <w:sz w:val="24"/>
          <w:szCs w:val="24"/>
          <w:rtl/>
        </w:rPr>
        <w:t>חישוב</w:t>
      </w:r>
      <w:r w:rsidRPr="00F25744">
        <w:rPr>
          <w:rFonts w:ascii="David" w:hAnsi="David" w:cs="David" w:hint="cs"/>
          <w:sz w:val="24"/>
          <w:szCs w:val="24"/>
          <w:rtl/>
        </w:rPr>
        <w:t xml:space="preserve"> ההישנות (השכיחות) של כל אירוע מרכזי לאורך חיי התיק, כגון מספר הדיונים בממוצע מסוג הוכחות שמתקיימים בתיק, מספר ההחלטות שניתנות בתיק, מספר עמודים ממוצע להחלטה ועוד.</w:t>
      </w:r>
    </w:p>
    <w:p w14:paraId="1A00DA07" w14:textId="2F36C6F0" w:rsidR="00B96FDC" w:rsidRPr="00F25744" w:rsidRDefault="00E25AE7" w:rsidP="00163D96">
      <w:pPr>
        <w:spacing w:line="360" w:lineRule="auto"/>
        <w:jc w:val="both"/>
        <w:rPr>
          <w:rtl/>
        </w:rPr>
      </w:pPr>
      <w:r w:rsidRPr="00F25744">
        <w:rPr>
          <w:rFonts w:ascii="David" w:hAnsi="David" w:cs="David"/>
          <w:sz w:val="28"/>
          <w:szCs w:val="24"/>
          <w:rtl/>
        </w:rPr>
        <w:t>על מנת לחשב את זמן הטיפול השיפוטי הממוצע בכל סוג תיק, הכפלנו את הזמנים הממוצעים המוקדשים לכל אחד מן האירועים המרכזיים בכל תיק</w:t>
      </w:r>
      <w:r w:rsidR="001F4867" w:rsidRPr="00F25744">
        <w:rPr>
          <w:rFonts w:ascii="David" w:hAnsi="David" w:cs="David"/>
          <w:sz w:val="28"/>
          <w:szCs w:val="24"/>
          <w:rtl/>
        </w:rPr>
        <w:t>,</w:t>
      </w:r>
      <w:r w:rsidRPr="00F25744">
        <w:rPr>
          <w:rStyle w:val="a6"/>
          <w:rFonts w:ascii="David" w:hAnsi="David" w:cs="David"/>
          <w:sz w:val="28"/>
          <w:szCs w:val="24"/>
          <w:rtl/>
        </w:rPr>
        <w:footnoteReference w:id="10"/>
      </w:r>
      <w:r w:rsidRPr="00F25744">
        <w:rPr>
          <w:rFonts w:ascii="David" w:hAnsi="David" w:cs="David"/>
          <w:sz w:val="28"/>
          <w:szCs w:val="24"/>
          <w:rtl/>
        </w:rPr>
        <w:t xml:space="preserve"> בתדירות התרחשותם של כל אחד מאירועים מרכזיים אלו, כפי שניתן לראות בתרשים הבא:</w:t>
      </w:r>
      <w:bookmarkStart w:id="14" w:name="_Toc46217806"/>
      <w:bookmarkStart w:id="15" w:name="_Toc46217868"/>
    </w:p>
    <w:p w14:paraId="77AC0E40" w14:textId="77777777" w:rsidR="006544C5" w:rsidRDefault="006544C5" w:rsidP="00BD23BB">
      <w:pPr>
        <w:pStyle w:val="af6"/>
        <w:spacing w:line="240" w:lineRule="auto"/>
        <w:rPr>
          <w:rtl/>
        </w:rPr>
      </w:pPr>
      <w:bookmarkStart w:id="16" w:name="_Toc76988522"/>
    </w:p>
    <w:p w14:paraId="2DB8FB50" w14:textId="21A9EA25" w:rsidR="00ED3B76" w:rsidRPr="00F25744" w:rsidRDefault="00E25AE7" w:rsidP="00BD23BB">
      <w:pPr>
        <w:pStyle w:val="af6"/>
        <w:spacing w:line="240" w:lineRule="auto"/>
        <w:rPr>
          <w:rtl/>
        </w:rPr>
      </w:pPr>
      <w:r w:rsidRPr="00F25744">
        <w:rPr>
          <w:rtl/>
        </w:rPr>
        <w:t xml:space="preserve">תרשים </w:t>
      </w:r>
      <w:r w:rsidRPr="00F25744">
        <w:rPr>
          <w:rtl/>
        </w:rPr>
        <w:fldChar w:fldCharType="begin"/>
      </w:r>
      <w:r w:rsidRPr="00F25744">
        <w:rPr>
          <w:rtl/>
        </w:rPr>
        <w:instrText xml:space="preserve"> </w:instrText>
      </w:r>
      <w:r w:rsidRPr="00F25744">
        <w:instrText>SEQ</w:instrText>
      </w:r>
      <w:r w:rsidRPr="00F25744">
        <w:rPr>
          <w:rtl/>
        </w:rPr>
        <w:instrText xml:space="preserve"> תרשים \* </w:instrText>
      </w:r>
      <w:r w:rsidRPr="00F25744">
        <w:instrText>ARABIC</w:instrText>
      </w:r>
      <w:r w:rsidRPr="00F25744">
        <w:rPr>
          <w:rtl/>
        </w:rPr>
        <w:instrText xml:space="preserve"> </w:instrText>
      </w:r>
      <w:r w:rsidRPr="00F25744">
        <w:rPr>
          <w:rtl/>
        </w:rPr>
        <w:fldChar w:fldCharType="separate"/>
      </w:r>
      <w:r w:rsidR="008F1BC3">
        <w:rPr>
          <w:noProof/>
          <w:rtl/>
        </w:rPr>
        <w:t>1</w:t>
      </w:r>
      <w:r w:rsidRPr="00F25744">
        <w:rPr>
          <w:rtl/>
        </w:rPr>
        <w:fldChar w:fldCharType="end"/>
      </w:r>
      <w:r w:rsidRPr="00F25744">
        <w:rPr>
          <w:rFonts w:hint="cs"/>
          <w:rtl/>
        </w:rPr>
        <w:t>:</w:t>
      </w:r>
      <w:r w:rsidR="007F3A52" w:rsidRPr="00F25744">
        <w:rPr>
          <w:rFonts w:ascii="David" w:hAnsi="David" w:hint="cs"/>
          <w:sz w:val="24"/>
          <w:rtl/>
        </w:rPr>
        <w:t xml:space="preserve"> חישוב זמן הטיפול השיפוטי הממוצע בתיק מסוג </w:t>
      </w:r>
      <w:r w:rsidR="007F3A52" w:rsidRPr="00F25744">
        <w:rPr>
          <w:rFonts w:ascii="David" w:hAnsi="David" w:hint="cs"/>
          <w:sz w:val="24"/>
        </w:rPr>
        <w:t>X</w:t>
      </w:r>
      <w:bookmarkEnd w:id="14"/>
      <w:bookmarkEnd w:id="15"/>
      <w:bookmarkEnd w:id="16"/>
    </w:p>
    <w:p w14:paraId="2C8DEB74" w14:textId="77777777" w:rsidR="00ED3B76" w:rsidRPr="00F25744" w:rsidRDefault="00E25AE7" w:rsidP="00AF750D">
      <w:pPr>
        <w:pStyle w:val="a3"/>
        <w:widowControl w:val="0"/>
        <w:autoSpaceDE w:val="0"/>
        <w:autoSpaceDN w:val="0"/>
        <w:bidi/>
        <w:adjustRightInd w:val="0"/>
        <w:spacing w:after="0" w:line="360" w:lineRule="auto"/>
        <w:ind w:left="225" w:hanging="625"/>
        <w:rPr>
          <w:rFonts w:ascii="David" w:hAnsi="David" w:cs="David"/>
          <w:sz w:val="24"/>
          <w:szCs w:val="24"/>
          <w:rtl/>
        </w:rPr>
      </w:pPr>
      <w:r w:rsidRPr="00F25744">
        <w:rPr>
          <w:noProof/>
          <w:lang w:val="en-US"/>
        </w:rPr>
        <w:drawing>
          <wp:inline distT="0" distB="0" distL="0" distR="0" wp14:anchorId="07E3105F" wp14:editId="2CF7B01B">
            <wp:extent cx="5927090" cy="1323975"/>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708499"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963347" cy="1332074"/>
                    </a:xfrm>
                    <a:prstGeom prst="rect">
                      <a:avLst/>
                    </a:prstGeom>
                    <a:noFill/>
                    <a:ln>
                      <a:noFill/>
                    </a:ln>
                  </pic:spPr>
                </pic:pic>
              </a:graphicData>
            </a:graphic>
          </wp:inline>
        </w:drawing>
      </w:r>
    </w:p>
    <w:p w14:paraId="5B8E8E3E" w14:textId="03C21083" w:rsidR="00594534" w:rsidRPr="00F25744" w:rsidRDefault="00E25AE7" w:rsidP="00EB33C8">
      <w:pPr>
        <w:pStyle w:val="a3"/>
        <w:widowControl w:val="0"/>
        <w:autoSpaceDE w:val="0"/>
        <w:autoSpaceDN w:val="0"/>
        <w:bidi/>
        <w:adjustRightInd w:val="0"/>
        <w:spacing w:after="0" w:line="360" w:lineRule="auto"/>
        <w:ind w:left="0"/>
        <w:rPr>
          <w:rFonts w:ascii="David" w:hAnsi="David" w:cs="David"/>
          <w:sz w:val="24"/>
          <w:szCs w:val="24"/>
          <w:rtl/>
        </w:rPr>
      </w:pPr>
      <w:r w:rsidRPr="00F25744">
        <w:rPr>
          <w:rFonts w:ascii="David" w:hAnsi="David" w:cs="David" w:hint="cs"/>
          <w:sz w:val="24"/>
          <w:szCs w:val="24"/>
          <w:rtl/>
        </w:rPr>
        <w:t xml:space="preserve">חשוב להדגיש כי הזמן השיפוטי הסופי שיוצג לכל סוג תיק, מייצג את משך הזמן </w:t>
      </w:r>
      <w:r w:rsidRPr="00F25744">
        <w:rPr>
          <w:rFonts w:ascii="David" w:hAnsi="David" w:cs="David" w:hint="cs"/>
          <w:b/>
          <w:bCs/>
          <w:sz w:val="24"/>
          <w:szCs w:val="24"/>
          <w:rtl/>
        </w:rPr>
        <w:t>הממוצע</w:t>
      </w:r>
      <w:r w:rsidRPr="00F25744">
        <w:rPr>
          <w:rFonts w:ascii="David" w:hAnsi="David" w:cs="David" w:hint="cs"/>
          <w:sz w:val="24"/>
          <w:szCs w:val="24"/>
          <w:rtl/>
        </w:rPr>
        <w:t xml:space="preserve"> הדרוש לשופט</w:t>
      </w:r>
      <w:r w:rsidR="00FB72BD" w:rsidRPr="00F25744">
        <w:rPr>
          <w:rFonts w:ascii="David" w:hAnsi="David" w:cs="David" w:hint="cs"/>
          <w:sz w:val="24"/>
          <w:szCs w:val="24"/>
          <w:rtl/>
        </w:rPr>
        <w:t xml:space="preserve"> או ל</w:t>
      </w:r>
      <w:r w:rsidRPr="00F25744">
        <w:rPr>
          <w:rFonts w:ascii="David" w:hAnsi="David" w:cs="David" w:hint="cs"/>
          <w:sz w:val="24"/>
          <w:szCs w:val="24"/>
          <w:rtl/>
        </w:rPr>
        <w:t xml:space="preserve">רשם לטפל בתיק </w:t>
      </w:r>
      <w:r w:rsidRPr="00F25744">
        <w:rPr>
          <w:rFonts w:ascii="David" w:hAnsi="David" w:cs="David" w:hint="cs"/>
          <w:b/>
          <w:bCs/>
          <w:sz w:val="24"/>
          <w:szCs w:val="24"/>
          <w:rtl/>
        </w:rPr>
        <w:t xml:space="preserve">הממוצע </w:t>
      </w:r>
      <w:r w:rsidRPr="00F25744">
        <w:rPr>
          <w:rFonts w:ascii="David" w:hAnsi="David" w:cs="David" w:hint="cs"/>
          <w:sz w:val="24"/>
          <w:szCs w:val="24"/>
          <w:rtl/>
        </w:rPr>
        <w:t xml:space="preserve">מאותו סוג. </w:t>
      </w:r>
      <w:r w:rsidRPr="00F25744">
        <w:rPr>
          <w:rFonts w:ascii="David" w:hAnsi="David" w:cs="David"/>
          <w:sz w:val="24"/>
          <w:szCs w:val="24"/>
          <w:rtl/>
        </w:rPr>
        <w:t>משמע, אין לצפות מן המחקר להקיף מכלול של נסיבות פרטניות או בלתי רגילות שעשויות לאפיין שופט בודד או תיק בודד</w:t>
      </w:r>
      <w:r w:rsidR="00471AED" w:rsidRPr="00F25744">
        <w:rPr>
          <w:rFonts w:ascii="David" w:hAnsi="David" w:cs="David" w:hint="cs"/>
          <w:sz w:val="24"/>
          <w:szCs w:val="24"/>
          <w:rtl/>
        </w:rPr>
        <w:t>. זאת</w:t>
      </w:r>
      <w:r w:rsidRPr="00F25744">
        <w:rPr>
          <w:rFonts w:ascii="David" w:hAnsi="David" w:cs="David" w:hint="cs"/>
          <w:sz w:val="24"/>
          <w:szCs w:val="24"/>
          <w:rtl/>
        </w:rPr>
        <w:t xml:space="preserve">, מתוך נקודת ההנחה כי אין תיק שזהה למשנהו, וברור כי בכל סוג של תיק עשויים להיות תיקים קלים ופשוטים יותר, </w:t>
      </w:r>
      <w:r w:rsidR="00FB72BD" w:rsidRPr="00F25744">
        <w:rPr>
          <w:rFonts w:ascii="David" w:hAnsi="David" w:cs="David" w:hint="cs"/>
          <w:sz w:val="24"/>
          <w:szCs w:val="24"/>
          <w:rtl/>
        </w:rPr>
        <w:t>כמו גם ת</w:t>
      </w:r>
      <w:r w:rsidRPr="00F25744">
        <w:rPr>
          <w:rFonts w:ascii="David" w:hAnsi="David" w:cs="David" w:hint="cs"/>
          <w:sz w:val="24"/>
          <w:szCs w:val="24"/>
          <w:rtl/>
        </w:rPr>
        <w:t>יקים מורכבים יותר.</w:t>
      </w:r>
      <w:r w:rsidR="00D92EE4" w:rsidRPr="00F25744">
        <w:rPr>
          <w:rFonts w:ascii="David" w:hAnsi="David" w:cs="David" w:hint="cs"/>
          <w:sz w:val="24"/>
          <w:szCs w:val="24"/>
          <w:rtl/>
        </w:rPr>
        <w:t xml:space="preserve"> </w:t>
      </w:r>
      <w:r w:rsidRPr="00F25744">
        <w:rPr>
          <w:rFonts w:ascii="David" w:hAnsi="David" w:cs="David" w:hint="cs"/>
          <w:sz w:val="24"/>
          <w:szCs w:val="24"/>
          <w:rtl/>
        </w:rPr>
        <w:t xml:space="preserve">עוד יודגש, כי הזמן השיפוטי של כל סוג תיק מייצג את הזמן </w:t>
      </w:r>
      <w:r w:rsidRPr="00F25744">
        <w:rPr>
          <w:rFonts w:ascii="David" w:hAnsi="David" w:cs="David" w:hint="cs"/>
          <w:b/>
          <w:bCs/>
          <w:sz w:val="24"/>
          <w:szCs w:val="24"/>
          <w:rtl/>
        </w:rPr>
        <w:t>המצוי</w:t>
      </w:r>
      <w:r w:rsidR="00EB33C8">
        <w:rPr>
          <w:rFonts w:ascii="David" w:hAnsi="David" w:cs="David" w:hint="cs"/>
          <w:b/>
          <w:bCs/>
          <w:sz w:val="24"/>
          <w:szCs w:val="24"/>
          <w:rtl/>
        </w:rPr>
        <w:t>,</w:t>
      </w:r>
      <w:r w:rsidRPr="00F25744">
        <w:rPr>
          <w:rFonts w:ascii="David" w:hAnsi="David" w:cs="David" w:hint="cs"/>
          <w:sz w:val="24"/>
          <w:szCs w:val="24"/>
          <w:rtl/>
        </w:rPr>
        <w:t xml:space="preserve"> כלומר את הזמנים שהוקדשו בפועל לטיפול בתיק ואשר נמדדו במהלך המחקר</w:t>
      </w:r>
      <w:r w:rsidR="00A506F0" w:rsidRPr="00F25744">
        <w:rPr>
          <w:rFonts w:ascii="David" w:hAnsi="David" w:cs="David" w:hint="cs"/>
          <w:sz w:val="24"/>
          <w:szCs w:val="24"/>
          <w:rtl/>
        </w:rPr>
        <w:t>. הזמנים שנמדדו</w:t>
      </w:r>
      <w:r w:rsidRPr="00F25744">
        <w:rPr>
          <w:rFonts w:ascii="David" w:hAnsi="David" w:cs="David" w:hint="cs"/>
          <w:sz w:val="24"/>
          <w:szCs w:val="24"/>
          <w:rtl/>
        </w:rPr>
        <w:t xml:space="preserve"> אינ</w:t>
      </w:r>
      <w:r w:rsidR="00A506F0" w:rsidRPr="00F25744">
        <w:rPr>
          <w:rFonts w:ascii="David" w:hAnsi="David" w:cs="David" w:hint="cs"/>
          <w:sz w:val="24"/>
          <w:szCs w:val="24"/>
          <w:rtl/>
        </w:rPr>
        <w:t>ם</w:t>
      </w:r>
      <w:r w:rsidRPr="00F25744">
        <w:rPr>
          <w:rFonts w:ascii="David" w:hAnsi="David" w:cs="David" w:hint="cs"/>
          <w:sz w:val="24"/>
          <w:szCs w:val="24"/>
          <w:rtl/>
        </w:rPr>
        <w:t xml:space="preserve"> מייצג</w:t>
      </w:r>
      <w:r w:rsidR="00A506F0" w:rsidRPr="00F25744">
        <w:rPr>
          <w:rFonts w:ascii="David" w:hAnsi="David" w:cs="David" w:hint="cs"/>
          <w:sz w:val="24"/>
          <w:szCs w:val="24"/>
          <w:rtl/>
        </w:rPr>
        <w:t>ים</w:t>
      </w:r>
      <w:r w:rsidRPr="00F25744">
        <w:rPr>
          <w:rFonts w:ascii="David" w:hAnsi="David" w:cs="David" w:hint="cs"/>
          <w:sz w:val="24"/>
          <w:szCs w:val="24"/>
          <w:rtl/>
        </w:rPr>
        <w:t xml:space="preserve"> את </w:t>
      </w:r>
      <w:r w:rsidRPr="00F25744">
        <w:rPr>
          <w:rFonts w:ascii="David" w:hAnsi="David" w:cs="David" w:hint="cs"/>
          <w:sz w:val="24"/>
          <w:szCs w:val="24"/>
          <w:rtl/>
        </w:rPr>
        <w:lastRenderedPageBreak/>
        <w:t xml:space="preserve">הזמן </w:t>
      </w:r>
      <w:r w:rsidRPr="00F25744">
        <w:rPr>
          <w:rFonts w:ascii="David" w:hAnsi="David" w:cs="David" w:hint="cs"/>
          <w:b/>
          <w:bCs/>
          <w:sz w:val="24"/>
          <w:szCs w:val="24"/>
          <w:rtl/>
        </w:rPr>
        <w:t>הרצוי</w:t>
      </w:r>
      <w:r w:rsidRPr="00F25744">
        <w:rPr>
          <w:rFonts w:ascii="David" w:hAnsi="David" w:cs="David" w:hint="cs"/>
          <w:sz w:val="24"/>
          <w:szCs w:val="24"/>
          <w:rtl/>
        </w:rPr>
        <w:t xml:space="preserve"> לטיפול בתיק, אשר עשוי להיות גבוה או נמוך יותר, בהתאם לשיקולים שונים שאינם מעניינו של מחקר נוכחי זה</w:t>
      </w:r>
      <w:r w:rsidR="004155B0" w:rsidRPr="00F25744">
        <w:rPr>
          <w:rFonts w:ascii="David" w:hAnsi="David" w:cs="David" w:hint="cs"/>
          <w:sz w:val="24"/>
          <w:szCs w:val="24"/>
          <w:rtl/>
        </w:rPr>
        <w:t xml:space="preserve">. </w:t>
      </w:r>
      <w:r w:rsidR="00A506F0" w:rsidRPr="00F25744">
        <w:rPr>
          <w:rFonts w:ascii="David" w:hAnsi="David" w:cs="David" w:hint="cs"/>
          <w:sz w:val="24"/>
          <w:szCs w:val="24"/>
          <w:rtl/>
        </w:rPr>
        <w:t>נושא זה עשוי להיות בסיס למחקר אחר, שכן שאלת הזמן הרצוי או היעיל לטיפול בתיק היא שאלה שחשוב לעסוק בה</w:t>
      </w:r>
      <w:r w:rsidR="00C14971" w:rsidRPr="00F25744">
        <w:rPr>
          <w:rFonts w:ascii="David" w:hAnsi="David" w:cs="David" w:hint="cs"/>
          <w:sz w:val="24"/>
          <w:szCs w:val="24"/>
          <w:rtl/>
        </w:rPr>
        <w:t xml:space="preserve"> במטרה להביא לידי ניהול יעיל של המערכת</w:t>
      </w:r>
      <w:r w:rsidRPr="00F25744">
        <w:rPr>
          <w:rFonts w:ascii="David" w:hAnsi="David" w:cs="David" w:hint="cs"/>
          <w:sz w:val="24"/>
          <w:szCs w:val="24"/>
          <w:rtl/>
        </w:rPr>
        <w:t>.</w:t>
      </w:r>
    </w:p>
    <w:p w14:paraId="06F3B6D8" w14:textId="77777777" w:rsidR="0017650A" w:rsidRPr="00F25744" w:rsidRDefault="0017650A" w:rsidP="00406FB4">
      <w:pPr>
        <w:pStyle w:val="a3"/>
        <w:widowControl w:val="0"/>
        <w:autoSpaceDE w:val="0"/>
        <w:autoSpaceDN w:val="0"/>
        <w:bidi/>
        <w:adjustRightInd w:val="0"/>
        <w:spacing w:after="0" w:line="240" w:lineRule="auto"/>
        <w:ind w:left="0"/>
        <w:rPr>
          <w:rFonts w:ascii="David" w:hAnsi="David" w:cs="David"/>
          <w:sz w:val="24"/>
          <w:szCs w:val="24"/>
          <w:u w:val="single"/>
          <w:rtl/>
        </w:rPr>
      </w:pPr>
    </w:p>
    <w:p w14:paraId="4EBA3989" w14:textId="77777777" w:rsidR="00594534" w:rsidRPr="00F25744" w:rsidRDefault="00E25AE7" w:rsidP="00EA6636">
      <w:pPr>
        <w:pStyle w:val="a3"/>
        <w:widowControl w:val="0"/>
        <w:autoSpaceDE w:val="0"/>
        <w:autoSpaceDN w:val="0"/>
        <w:bidi/>
        <w:adjustRightInd w:val="0"/>
        <w:spacing w:after="0" w:line="240" w:lineRule="auto"/>
        <w:ind w:left="0"/>
        <w:rPr>
          <w:rFonts w:ascii="David" w:hAnsi="David" w:cs="David"/>
          <w:b/>
          <w:bCs/>
          <w:sz w:val="24"/>
          <w:szCs w:val="24"/>
          <w:u w:val="single"/>
          <w:rtl/>
        </w:rPr>
      </w:pPr>
      <w:r w:rsidRPr="00F25744">
        <w:rPr>
          <w:rFonts w:ascii="David" w:hAnsi="David" w:cs="David" w:hint="cs"/>
          <w:b/>
          <w:bCs/>
          <w:sz w:val="24"/>
          <w:szCs w:val="24"/>
          <w:u w:val="single"/>
          <w:rtl/>
        </w:rPr>
        <w:t>מקורות המידע לחישוב מדד עומס העבודה השיפוטית</w:t>
      </w:r>
    </w:p>
    <w:p w14:paraId="593E1808" w14:textId="77777777" w:rsidR="002B6B73" w:rsidRPr="00F25744" w:rsidRDefault="002B6B73" w:rsidP="000257B7">
      <w:pPr>
        <w:pStyle w:val="a3"/>
        <w:widowControl w:val="0"/>
        <w:autoSpaceDE w:val="0"/>
        <w:autoSpaceDN w:val="0"/>
        <w:bidi/>
        <w:adjustRightInd w:val="0"/>
        <w:spacing w:after="0" w:line="240" w:lineRule="auto"/>
        <w:ind w:left="0"/>
        <w:rPr>
          <w:rFonts w:ascii="David" w:hAnsi="David" w:cs="David"/>
          <w:b/>
          <w:bCs/>
          <w:sz w:val="24"/>
          <w:szCs w:val="24"/>
          <w:u w:val="single"/>
          <w:rtl/>
        </w:rPr>
      </w:pPr>
    </w:p>
    <w:p w14:paraId="3E2CCDE3" w14:textId="77777777" w:rsidR="002B6B73" w:rsidRPr="00F25744" w:rsidRDefault="00E25AE7" w:rsidP="002B6B73">
      <w:pPr>
        <w:pStyle w:val="a3"/>
        <w:widowControl w:val="0"/>
        <w:autoSpaceDE w:val="0"/>
        <w:autoSpaceDN w:val="0"/>
        <w:bidi/>
        <w:adjustRightInd w:val="0"/>
        <w:spacing w:after="0" w:line="360" w:lineRule="auto"/>
        <w:ind w:left="0"/>
        <w:rPr>
          <w:rFonts w:ascii="David" w:hAnsi="David" w:cs="David"/>
          <w:sz w:val="24"/>
          <w:szCs w:val="24"/>
          <w:rtl/>
        </w:rPr>
      </w:pPr>
      <w:r w:rsidRPr="00F25744">
        <w:rPr>
          <w:rFonts w:ascii="David" w:hAnsi="David" w:cs="David"/>
          <w:sz w:val="24"/>
          <w:szCs w:val="24"/>
          <w:rtl/>
        </w:rPr>
        <w:t>על מנת ליצור את המדד המעודכן</w:t>
      </w:r>
      <w:r w:rsidRPr="00F25744">
        <w:rPr>
          <w:rFonts w:ascii="David" w:hAnsi="David" w:cs="David" w:hint="cs"/>
          <w:sz w:val="24"/>
          <w:szCs w:val="24"/>
          <w:rtl/>
        </w:rPr>
        <w:t>,</w:t>
      </w:r>
      <w:r w:rsidRPr="00F25744">
        <w:rPr>
          <w:rFonts w:ascii="David" w:hAnsi="David" w:cs="David"/>
          <w:sz w:val="24"/>
          <w:szCs w:val="24"/>
          <w:rtl/>
        </w:rPr>
        <w:t xml:space="preserve"> </w:t>
      </w:r>
      <w:r w:rsidRPr="00F25744">
        <w:rPr>
          <w:rFonts w:ascii="David" w:hAnsi="David" w:cs="David" w:hint="cs"/>
          <w:sz w:val="24"/>
          <w:szCs w:val="24"/>
          <w:rtl/>
        </w:rPr>
        <w:t>הנתונים נאספו מארבעה מקורות מידע שונים:</w:t>
      </w:r>
    </w:p>
    <w:p w14:paraId="57E35548" w14:textId="45E4AE89" w:rsidR="002B6B73" w:rsidRPr="00F25744" w:rsidRDefault="00E25AE7" w:rsidP="006739CD">
      <w:pPr>
        <w:pStyle w:val="a3"/>
        <w:widowControl w:val="0"/>
        <w:numPr>
          <w:ilvl w:val="0"/>
          <w:numId w:val="12"/>
        </w:numPr>
        <w:autoSpaceDE w:val="0"/>
        <w:autoSpaceDN w:val="0"/>
        <w:bidi/>
        <w:adjustRightInd w:val="0"/>
        <w:spacing w:after="0" w:line="360" w:lineRule="auto"/>
        <w:ind w:left="284" w:hanging="284"/>
        <w:rPr>
          <w:rFonts w:ascii="David" w:hAnsi="David" w:cs="David"/>
          <w:sz w:val="24"/>
          <w:szCs w:val="24"/>
        </w:rPr>
      </w:pPr>
      <w:r w:rsidRPr="00F25744">
        <w:rPr>
          <w:rFonts w:ascii="David" w:hAnsi="David" w:cs="David" w:hint="cs"/>
          <w:b/>
          <w:bCs/>
          <w:sz w:val="24"/>
          <w:szCs w:val="24"/>
          <w:rtl/>
        </w:rPr>
        <w:t>נתוני השופטים</w:t>
      </w:r>
      <w:r w:rsidR="0084239E" w:rsidRPr="00F25744">
        <w:rPr>
          <w:rFonts w:ascii="David" w:hAnsi="David" w:cs="David" w:hint="cs"/>
          <w:b/>
          <w:bCs/>
          <w:sz w:val="24"/>
          <w:szCs w:val="24"/>
          <w:rtl/>
        </w:rPr>
        <w:t xml:space="preserve"> והרשמים</w:t>
      </w:r>
      <w:r w:rsidR="0038557D">
        <w:rPr>
          <w:rFonts w:ascii="David" w:hAnsi="David" w:cs="David" w:hint="cs"/>
          <w:sz w:val="24"/>
          <w:szCs w:val="24"/>
          <w:rtl/>
        </w:rPr>
        <w:t xml:space="preserve"> </w:t>
      </w:r>
      <w:r w:rsidR="006739CD">
        <w:rPr>
          <w:rFonts w:ascii="David" w:hAnsi="David" w:cs="David"/>
          <w:sz w:val="24"/>
          <w:szCs w:val="24"/>
          <w:rtl/>
        </w:rPr>
        <w:t>–</w:t>
      </w:r>
      <w:r w:rsidR="0038557D">
        <w:rPr>
          <w:rFonts w:ascii="David" w:hAnsi="David" w:cs="David" w:hint="cs"/>
          <w:sz w:val="24"/>
          <w:szCs w:val="24"/>
          <w:rtl/>
        </w:rPr>
        <w:t xml:space="preserve"> </w:t>
      </w:r>
      <w:r w:rsidR="00C46C91">
        <w:rPr>
          <w:rFonts w:ascii="David" w:hAnsi="David" w:cs="David" w:hint="cs"/>
          <w:sz w:val="24"/>
          <w:szCs w:val="24"/>
          <w:rtl/>
        </w:rPr>
        <w:t>כלל</w:t>
      </w:r>
      <w:r w:rsidRPr="00F25744">
        <w:rPr>
          <w:rFonts w:ascii="David" w:hAnsi="David" w:cs="David" w:hint="cs"/>
          <w:sz w:val="24"/>
          <w:szCs w:val="24"/>
          <w:rtl/>
        </w:rPr>
        <w:t xml:space="preserve"> השופטים והרשמים</w:t>
      </w:r>
      <w:r w:rsidR="00C46C91">
        <w:rPr>
          <w:rFonts w:ascii="David" w:hAnsi="David" w:cs="David" w:hint="cs"/>
          <w:sz w:val="24"/>
          <w:szCs w:val="24"/>
          <w:rtl/>
        </w:rPr>
        <w:t xml:space="preserve"> התבקשו למלא</w:t>
      </w:r>
      <w:r w:rsidRPr="00F25744">
        <w:rPr>
          <w:rFonts w:ascii="David" w:hAnsi="David" w:cs="David" w:hint="cs"/>
          <w:sz w:val="24"/>
          <w:szCs w:val="24"/>
          <w:rtl/>
        </w:rPr>
        <w:t xml:space="preserve"> יומני</w:t>
      </w:r>
      <w:r w:rsidR="00D92EE4" w:rsidRPr="00F25744">
        <w:rPr>
          <w:rFonts w:ascii="David" w:hAnsi="David" w:cs="David" w:hint="cs"/>
          <w:sz w:val="24"/>
          <w:szCs w:val="24"/>
          <w:rtl/>
        </w:rPr>
        <w:t xml:space="preserve"> עבודה</w:t>
      </w:r>
      <w:r w:rsidRPr="00F25744">
        <w:rPr>
          <w:rFonts w:ascii="David" w:hAnsi="David" w:cs="David" w:hint="cs"/>
          <w:sz w:val="24"/>
          <w:szCs w:val="24"/>
          <w:rtl/>
        </w:rPr>
        <w:t xml:space="preserve"> במהלך חמישה שבועות, המתעדים את משכי הפעולות השיפוטיות השונות שאותן ביצעו. </w:t>
      </w:r>
    </w:p>
    <w:p w14:paraId="474B8080" w14:textId="170AF66F" w:rsidR="002B6B73" w:rsidRPr="00F25744" w:rsidRDefault="00E25AE7" w:rsidP="006739CD">
      <w:pPr>
        <w:pStyle w:val="a3"/>
        <w:widowControl w:val="0"/>
        <w:numPr>
          <w:ilvl w:val="0"/>
          <w:numId w:val="12"/>
        </w:numPr>
        <w:autoSpaceDE w:val="0"/>
        <w:autoSpaceDN w:val="0"/>
        <w:bidi/>
        <w:adjustRightInd w:val="0"/>
        <w:spacing w:after="0" w:line="360" w:lineRule="auto"/>
        <w:ind w:left="284" w:hanging="284"/>
        <w:rPr>
          <w:rFonts w:ascii="David" w:hAnsi="David" w:cs="David"/>
          <w:sz w:val="24"/>
          <w:szCs w:val="24"/>
        </w:rPr>
      </w:pPr>
      <w:r w:rsidRPr="00F25744">
        <w:rPr>
          <w:rFonts w:ascii="David" w:hAnsi="David" w:cs="David" w:hint="cs"/>
          <w:b/>
          <w:bCs/>
          <w:sz w:val="24"/>
          <w:szCs w:val="24"/>
          <w:rtl/>
        </w:rPr>
        <w:t xml:space="preserve">נתוני הקלדניות </w:t>
      </w:r>
      <w:r w:rsidR="006739CD">
        <w:rPr>
          <w:rFonts w:ascii="David" w:hAnsi="David" w:cs="David"/>
          <w:sz w:val="24"/>
          <w:szCs w:val="24"/>
          <w:rtl/>
        </w:rPr>
        <w:t>–</w:t>
      </w:r>
      <w:r w:rsidRPr="00F25744">
        <w:rPr>
          <w:rFonts w:ascii="David" w:hAnsi="David" w:cs="David" w:hint="cs"/>
          <w:sz w:val="24"/>
          <w:szCs w:val="24"/>
          <w:rtl/>
        </w:rPr>
        <w:t xml:space="preserve"> הקלדניות תיעדו את משכי הדיונים שהתנהלו במהלך אותם חמישה שבועות. </w:t>
      </w:r>
    </w:p>
    <w:p w14:paraId="368D8412" w14:textId="68E1D2A6" w:rsidR="002B6B73" w:rsidRPr="00F25744" w:rsidRDefault="00E25AE7" w:rsidP="006739CD">
      <w:pPr>
        <w:pStyle w:val="a3"/>
        <w:widowControl w:val="0"/>
        <w:numPr>
          <w:ilvl w:val="0"/>
          <w:numId w:val="12"/>
        </w:numPr>
        <w:autoSpaceDE w:val="0"/>
        <w:autoSpaceDN w:val="0"/>
        <w:bidi/>
        <w:adjustRightInd w:val="0"/>
        <w:spacing w:after="0" w:line="360" w:lineRule="auto"/>
        <w:ind w:left="284" w:hanging="284"/>
        <w:rPr>
          <w:rFonts w:ascii="David" w:hAnsi="David" w:cs="David"/>
          <w:sz w:val="24"/>
          <w:szCs w:val="24"/>
        </w:rPr>
      </w:pPr>
      <w:r w:rsidRPr="00F25744">
        <w:rPr>
          <w:rFonts w:ascii="David" w:hAnsi="David" w:cs="David" w:hint="cs"/>
          <w:b/>
          <w:bCs/>
          <w:sz w:val="24"/>
          <w:szCs w:val="24"/>
          <w:rtl/>
        </w:rPr>
        <w:t>נתונים כמותיים ממוחשבים שנאספו ממערכת נט המשפט</w:t>
      </w:r>
      <w:r w:rsidRPr="00F25744">
        <w:rPr>
          <w:rFonts w:ascii="David" w:hAnsi="David" w:cs="David" w:hint="cs"/>
          <w:sz w:val="24"/>
          <w:szCs w:val="24"/>
          <w:rtl/>
        </w:rPr>
        <w:t xml:space="preserve"> </w:t>
      </w:r>
      <w:r w:rsidR="006739CD">
        <w:rPr>
          <w:rFonts w:ascii="David" w:hAnsi="David" w:cs="David"/>
          <w:sz w:val="24"/>
          <w:szCs w:val="24"/>
          <w:rtl/>
        </w:rPr>
        <w:t>–</w:t>
      </w:r>
      <w:r w:rsidRPr="00F25744">
        <w:rPr>
          <w:rFonts w:ascii="David" w:hAnsi="David" w:cs="David" w:hint="cs"/>
          <w:sz w:val="24"/>
          <w:szCs w:val="24"/>
          <w:rtl/>
        </w:rPr>
        <w:t xml:space="preserve"> התבצע איסוף </w:t>
      </w:r>
      <w:r w:rsidR="00471AED" w:rsidRPr="00F25744">
        <w:rPr>
          <w:rFonts w:ascii="David" w:hAnsi="David" w:cs="David" w:hint="cs"/>
          <w:sz w:val="24"/>
          <w:szCs w:val="24"/>
          <w:rtl/>
        </w:rPr>
        <w:t xml:space="preserve">של </w:t>
      </w:r>
      <w:r w:rsidRPr="00F25744">
        <w:rPr>
          <w:rFonts w:ascii="David" w:hAnsi="David" w:cs="David" w:hint="cs"/>
          <w:sz w:val="24"/>
          <w:szCs w:val="24"/>
          <w:rtl/>
        </w:rPr>
        <w:t>נתונים ממוחשבים אשר כלל נתונים על כמות ההחלטות, פסקי הדין, דיונים מסוגים שונים ועוד</w:t>
      </w:r>
      <w:r w:rsidR="000257B7" w:rsidRPr="00F25744">
        <w:rPr>
          <w:rFonts w:ascii="David" w:hAnsi="David" w:cs="David" w:hint="cs"/>
          <w:sz w:val="24"/>
          <w:szCs w:val="24"/>
          <w:rtl/>
        </w:rPr>
        <w:t>,</w:t>
      </w:r>
      <w:r w:rsidRPr="00F25744">
        <w:rPr>
          <w:rFonts w:ascii="David" w:hAnsi="David" w:cs="David" w:hint="cs"/>
          <w:sz w:val="24"/>
          <w:szCs w:val="24"/>
          <w:rtl/>
        </w:rPr>
        <w:t xml:space="preserve"> בחלוקה לערכאות ולסוגי התיקים. </w:t>
      </w:r>
    </w:p>
    <w:p w14:paraId="6E106AA5" w14:textId="62825D0C" w:rsidR="002B6B73" w:rsidRPr="00F25744" w:rsidRDefault="00E25AE7" w:rsidP="006739CD">
      <w:pPr>
        <w:pStyle w:val="a3"/>
        <w:widowControl w:val="0"/>
        <w:numPr>
          <w:ilvl w:val="0"/>
          <w:numId w:val="12"/>
        </w:numPr>
        <w:autoSpaceDE w:val="0"/>
        <w:autoSpaceDN w:val="0"/>
        <w:bidi/>
        <w:adjustRightInd w:val="0"/>
        <w:spacing w:after="0" w:line="360" w:lineRule="auto"/>
        <w:ind w:left="284" w:hanging="284"/>
        <w:rPr>
          <w:rFonts w:ascii="David" w:hAnsi="David" w:cs="David"/>
          <w:sz w:val="24"/>
          <w:szCs w:val="24"/>
        </w:rPr>
      </w:pPr>
      <w:r w:rsidRPr="00F25744">
        <w:rPr>
          <w:rFonts w:ascii="David" w:hAnsi="David" w:cs="David" w:hint="cs"/>
          <w:b/>
          <w:bCs/>
          <w:sz w:val="24"/>
          <w:szCs w:val="24"/>
          <w:rtl/>
        </w:rPr>
        <w:t>נתונים איכותניים שאספה מחלקת המחקר מתוך מדגמי תיקים מנט המשפט</w:t>
      </w:r>
      <w:r w:rsidRPr="00F25744">
        <w:rPr>
          <w:rFonts w:ascii="David" w:hAnsi="David" w:cs="David" w:hint="cs"/>
          <w:sz w:val="24"/>
          <w:szCs w:val="24"/>
          <w:rtl/>
        </w:rPr>
        <w:t xml:space="preserve"> </w:t>
      </w:r>
      <w:r w:rsidR="006739CD">
        <w:rPr>
          <w:rFonts w:ascii="David" w:hAnsi="David" w:cs="David"/>
          <w:sz w:val="24"/>
          <w:szCs w:val="24"/>
          <w:rtl/>
        </w:rPr>
        <w:t>–</w:t>
      </w:r>
      <w:r w:rsidRPr="00F25744">
        <w:rPr>
          <w:rFonts w:ascii="David" w:hAnsi="David" w:cs="David" w:hint="cs"/>
          <w:sz w:val="24"/>
          <w:szCs w:val="24"/>
          <w:rtl/>
        </w:rPr>
        <w:t xml:space="preserve"> מחלקת המחקר בחנה את ההסתברויות למתן פסק דין על פי סיבות הסגירה השונות</w:t>
      </w:r>
      <w:r w:rsidR="000257B7" w:rsidRPr="00F25744">
        <w:rPr>
          <w:rFonts w:ascii="David" w:hAnsi="David" w:cs="David" w:hint="cs"/>
          <w:sz w:val="24"/>
          <w:szCs w:val="24"/>
          <w:rtl/>
        </w:rPr>
        <w:t>,</w:t>
      </w:r>
      <w:r w:rsidRPr="00F25744">
        <w:rPr>
          <w:rFonts w:ascii="David" w:hAnsi="David" w:cs="David" w:hint="cs"/>
          <w:sz w:val="24"/>
          <w:szCs w:val="24"/>
          <w:rtl/>
        </w:rPr>
        <w:t xml:space="preserve"> עבור כל אחד מסוגי התיקים שנמדדו במסגרת מחקר זה.</w:t>
      </w:r>
    </w:p>
    <w:p w14:paraId="3FA2880F" w14:textId="5FA56768" w:rsidR="006C5C74" w:rsidRPr="00F25744" w:rsidRDefault="006C5C74" w:rsidP="006C5C74">
      <w:pPr>
        <w:widowControl w:val="0"/>
        <w:autoSpaceDE w:val="0"/>
        <w:autoSpaceDN w:val="0"/>
        <w:adjustRightInd w:val="0"/>
        <w:spacing w:after="0" w:line="360" w:lineRule="auto"/>
        <w:rPr>
          <w:rFonts w:ascii="David" w:hAnsi="David" w:cs="David"/>
          <w:sz w:val="24"/>
          <w:szCs w:val="24"/>
          <w:rtl/>
        </w:rPr>
      </w:pPr>
    </w:p>
    <w:p w14:paraId="312C01BE" w14:textId="32B6D0F7" w:rsidR="000257B7" w:rsidRPr="00F25744" w:rsidRDefault="00E25AE7" w:rsidP="00D60C6C">
      <w:pPr>
        <w:pStyle w:val="af6"/>
        <w:spacing w:after="0" w:line="240" w:lineRule="auto"/>
        <w:rPr>
          <w:rFonts w:ascii="David" w:hAnsi="David"/>
          <w:sz w:val="24"/>
          <w:rtl/>
        </w:rPr>
      </w:pPr>
      <w:bookmarkStart w:id="17" w:name="_Toc76988523"/>
      <w:bookmarkStart w:id="18" w:name="_Toc46217807"/>
      <w:bookmarkStart w:id="19" w:name="_Toc46217869"/>
      <w:r w:rsidRPr="00F25744">
        <w:rPr>
          <w:rFonts w:hint="cs"/>
          <w:rtl/>
        </w:rPr>
        <w:t>תרשים</w:t>
      </w:r>
      <w:r w:rsidR="006304E3" w:rsidRPr="00F25744">
        <w:rPr>
          <w:rFonts w:ascii="David" w:hAnsi="David" w:hint="cs"/>
          <w:sz w:val="24"/>
          <w:rtl/>
        </w:rPr>
        <w:t xml:space="preserve"> </w:t>
      </w:r>
      <w:r w:rsidRPr="00F25744">
        <w:rPr>
          <w:rFonts w:ascii="David" w:hAnsi="David"/>
          <w:sz w:val="24"/>
          <w:rtl/>
        </w:rPr>
        <w:fldChar w:fldCharType="begin"/>
      </w:r>
      <w:r w:rsidRPr="00F25744">
        <w:rPr>
          <w:rFonts w:ascii="David" w:hAnsi="David"/>
          <w:sz w:val="24"/>
          <w:rtl/>
        </w:rPr>
        <w:instrText xml:space="preserve"> </w:instrText>
      </w:r>
      <w:r w:rsidRPr="00F25744">
        <w:rPr>
          <w:rFonts w:ascii="David" w:hAnsi="David" w:hint="cs"/>
          <w:sz w:val="24"/>
        </w:rPr>
        <w:instrText>SEQ</w:instrText>
      </w:r>
      <w:r w:rsidRPr="00F25744">
        <w:rPr>
          <w:rFonts w:ascii="David" w:hAnsi="David" w:hint="cs"/>
          <w:sz w:val="24"/>
          <w:rtl/>
        </w:rPr>
        <w:instrText xml:space="preserve"> תרשים \* </w:instrText>
      </w:r>
      <w:r w:rsidRPr="00F25744">
        <w:rPr>
          <w:rFonts w:ascii="David" w:hAnsi="David" w:hint="cs"/>
          <w:sz w:val="24"/>
        </w:rPr>
        <w:instrText>ARABIC</w:instrText>
      </w:r>
      <w:r w:rsidRPr="00F25744">
        <w:rPr>
          <w:rFonts w:ascii="David" w:hAnsi="David"/>
          <w:sz w:val="24"/>
          <w:rtl/>
        </w:rPr>
        <w:instrText xml:space="preserve"> </w:instrText>
      </w:r>
      <w:r w:rsidRPr="00F25744">
        <w:rPr>
          <w:rFonts w:ascii="David" w:hAnsi="David"/>
          <w:sz w:val="24"/>
          <w:rtl/>
        </w:rPr>
        <w:fldChar w:fldCharType="separate"/>
      </w:r>
      <w:r w:rsidR="008F1BC3">
        <w:rPr>
          <w:rFonts w:ascii="David" w:hAnsi="David"/>
          <w:noProof/>
          <w:sz w:val="24"/>
          <w:rtl/>
        </w:rPr>
        <w:t>2</w:t>
      </w:r>
      <w:r w:rsidRPr="00F25744">
        <w:rPr>
          <w:rFonts w:ascii="David" w:hAnsi="David"/>
          <w:sz w:val="24"/>
          <w:rtl/>
        </w:rPr>
        <w:fldChar w:fldCharType="end"/>
      </w:r>
      <w:r w:rsidR="002B6B73" w:rsidRPr="00F25744">
        <w:rPr>
          <w:rFonts w:ascii="David" w:hAnsi="David" w:hint="cs"/>
          <w:sz w:val="24"/>
          <w:rtl/>
        </w:rPr>
        <w:t xml:space="preserve">: </w:t>
      </w:r>
      <w:r w:rsidR="006304E3" w:rsidRPr="00F25744">
        <w:rPr>
          <w:rFonts w:ascii="David" w:hAnsi="David" w:hint="cs"/>
          <w:sz w:val="24"/>
          <w:rtl/>
        </w:rPr>
        <w:t xml:space="preserve">הנוסחה לחישוב </w:t>
      </w:r>
      <w:r w:rsidR="002B6B73" w:rsidRPr="00F25744">
        <w:rPr>
          <w:rFonts w:hint="cs"/>
          <w:rtl/>
        </w:rPr>
        <w:t>מרכיבי</w:t>
      </w:r>
      <w:r w:rsidR="002B6B73" w:rsidRPr="00F25744">
        <w:rPr>
          <w:rFonts w:ascii="David" w:hAnsi="David" w:hint="cs"/>
          <w:sz w:val="24"/>
          <w:rtl/>
        </w:rPr>
        <w:t xml:space="preserve"> מדד זמן העבודה השיפוטית ומקורות המידע </w:t>
      </w:r>
      <w:r w:rsidR="00DC1665" w:rsidRPr="00F25744">
        <w:rPr>
          <w:rFonts w:ascii="David" w:hAnsi="David" w:hint="cs"/>
          <w:sz w:val="24"/>
          <w:rtl/>
        </w:rPr>
        <w:t>של מרכיביה</w:t>
      </w:r>
      <w:bookmarkEnd w:id="17"/>
    </w:p>
    <w:p w14:paraId="004BAAB2" w14:textId="77777777" w:rsidR="00A715A8" w:rsidRPr="00F25744" w:rsidRDefault="00E25AE7" w:rsidP="00A715A8">
      <w:pPr>
        <w:ind w:hanging="484"/>
        <w:jc w:val="center"/>
        <w:rPr>
          <w:rtl/>
        </w:rPr>
      </w:pPr>
      <w:r w:rsidRPr="00F25744">
        <w:rPr>
          <w:noProof/>
        </w:rPr>
        <w:drawing>
          <wp:inline distT="0" distB="0" distL="0" distR="0" wp14:anchorId="352BBA00" wp14:editId="698B62B2">
            <wp:extent cx="5894070" cy="2076450"/>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047456"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894070" cy="2076450"/>
                    </a:xfrm>
                    <a:prstGeom prst="rect">
                      <a:avLst/>
                    </a:prstGeom>
                    <a:noFill/>
                    <a:ln>
                      <a:noFill/>
                    </a:ln>
                  </pic:spPr>
                </pic:pic>
              </a:graphicData>
            </a:graphic>
          </wp:inline>
        </w:drawing>
      </w:r>
    </w:p>
    <w:bookmarkEnd w:id="18"/>
    <w:bookmarkEnd w:id="19"/>
    <w:p w14:paraId="71E02BE1" w14:textId="77777777" w:rsidR="00594534" w:rsidRPr="00F25744" w:rsidRDefault="00E25AE7" w:rsidP="00594534">
      <w:pPr>
        <w:spacing w:after="0" w:line="360" w:lineRule="auto"/>
        <w:jc w:val="both"/>
        <w:rPr>
          <w:rFonts w:ascii="David" w:hAnsi="David" w:cs="David"/>
          <w:sz w:val="24"/>
          <w:szCs w:val="24"/>
          <w:rtl/>
        </w:rPr>
      </w:pPr>
      <w:r w:rsidRPr="00F25744">
        <w:rPr>
          <w:rFonts w:ascii="David" w:hAnsi="David" w:cs="David" w:hint="cs"/>
          <w:b/>
          <w:bCs/>
          <w:sz w:val="24"/>
          <w:szCs w:val="24"/>
          <w:rtl/>
        </w:rPr>
        <w:t>השימוש</w:t>
      </w:r>
      <w:r w:rsidRPr="00F25744">
        <w:rPr>
          <w:rFonts w:ascii="David" w:hAnsi="David" w:cs="David" w:hint="cs"/>
          <w:sz w:val="24"/>
          <w:szCs w:val="24"/>
          <w:rtl/>
        </w:rPr>
        <w:t xml:space="preserve"> שעשתה מחלקת המחקר במקורות המידע הללו נחלק לשניים:</w:t>
      </w:r>
    </w:p>
    <w:p w14:paraId="40003FF0" w14:textId="77777777" w:rsidR="00594534" w:rsidRPr="00F25744" w:rsidRDefault="00E25AE7" w:rsidP="00010B76">
      <w:pPr>
        <w:pStyle w:val="a3"/>
        <w:widowControl w:val="0"/>
        <w:numPr>
          <w:ilvl w:val="0"/>
          <w:numId w:val="6"/>
        </w:numPr>
        <w:autoSpaceDE w:val="0"/>
        <w:autoSpaceDN w:val="0"/>
        <w:bidi/>
        <w:adjustRightInd w:val="0"/>
        <w:spacing w:after="0" w:line="360" w:lineRule="auto"/>
        <w:ind w:left="509" w:hanging="425"/>
        <w:rPr>
          <w:rFonts w:ascii="David" w:hAnsi="David" w:cs="David"/>
          <w:sz w:val="24"/>
          <w:szCs w:val="24"/>
        </w:rPr>
      </w:pPr>
      <w:r w:rsidRPr="00F25744">
        <w:rPr>
          <w:rFonts w:ascii="David" w:hAnsi="David" w:cs="David" w:hint="cs"/>
          <w:sz w:val="24"/>
          <w:szCs w:val="24"/>
          <w:rtl/>
        </w:rPr>
        <w:t xml:space="preserve">חישוב </w:t>
      </w:r>
      <w:r w:rsidRPr="00F25744">
        <w:rPr>
          <w:rFonts w:ascii="David" w:hAnsi="David" w:cs="David" w:hint="cs"/>
          <w:b/>
          <w:bCs/>
          <w:sz w:val="24"/>
          <w:szCs w:val="24"/>
          <w:rtl/>
        </w:rPr>
        <w:t>זמני</w:t>
      </w:r>
      <w:r w:rsidRPr="00F25744">
        <w:rPr>
          <w:rFonts w:ascii="David" w:hAnsi="David" w:cs="David" w:hint="cs"/>
          <w:sz w:val="24"/>
          <w:szCs w:val="24"/>
          <w:rtl/>
        </w:rPr>
        <w:t xml:space="preserve"> האירועים המרכזיים בכל סוג תיק: זמני ההכנה לדיונים וכתיבת החלטות או פסקי דין, נלקחו מתוך </w:t>
      </w:r>
      <w:r w:rsidRPr="00F25744">
        <w:rPr>
          <w:rFonts w:ascii="David" w:hAnsi="David" w:cs="David" w:hint="cs"/>
          <w:b/>
          <w:bCs/>
          <w:sz w:val="24"/>
          <w:szCs w:val="24"/>
          <w:rtl/>
        </w:rPr>
        <w:t>יומני השופטים</w:t>
      </w:r>
      <w:r w:rsidRPr="00F25744">
        <w:rPr>
          <w:rFonts w:ascii="David" w:hAnsi="David" w:cs="David" w:hint="cs"/>
          <w:sz w:val="24"/>
          <w:szCs w:val="24"/>
          <w:rtl/>
        </w:rPr>
        <w:t xml:space="preserve"> שנאספו במהלך חמשת שבועות המחקר, החל מיום 1.1.2020 ועד ליום 5.2.2020 (להלן </w:t>
      </w:r>
      <w:r w:rsidRPr="00F25744">
        <w:rPr>
          <w:rFonts w:ascii="David" w:hAnsi="David" w:cs="David"/>
          <w:sz w:val="24"/>
          <w:szCs w:val="24"/>
          <w:rtl/>
        </w:rPr>
        <w:t>–</w:t>
      </w:r>
      <w:r w:rsidRPr="00F25744">
        <w:rPr>
          <w:rFonts w:ascii="David" w:hAnsi="David" w:cs="David" w:hint="cs"/>
          <w:sz w:val="24"/>
          <w:szCs w:val="24"/>
          <w:rtl/>
        </w:rPr>
        <w:t xml:space="preserve"> </w:t>
      </w:r>
      <w:r w:rsidRPr="00F25744">
        <w:rPr>
          <w:rFonts w:ascii="David" w:hAnsi="David" w:cs="David" w:hint="cs"/>
          <w:b/>
          <w:bCs/>
          <w:sz w:val="24"/>
          <w:szCs w:val="24"/>
          <w:rtl/>
        </w:rPr>
        <w:t>תקופת המחקר</w:t>
      </w:r>
      <w:r w:rsidRPr="00F25744">
        <w:rPr>
          <w:rFonts w:ascii="David" w:hAnsi="David" w:cs="David" w:hint="cs"/>
          <w:sz w:val="24"/>
          <w:szCs w:val="24"/>
          <w:rtl/>
        </w:rPr>
        <w:t>)</w:t>
      </w:r>
      <w:r w:rsidRPr="00F25744">
        <w:rPr>
          <w:rStyle w:val="a6"/>
          <w:rFonts w:ascii="David" w:hAnsi="David" w:cs="David"/>
          <w:sz w:val="24"/>
          <w:szCs w:val="24"/>
          <w:rtl/>
        </w:rPr>
        <w:footnoteReference w:id="11"/>
      </w:r>
      <w:r w:rsidRPr="00F25744">
        <w:rPr>
          <w:rFonts w:ascii="David" w:hAnsi="David" w:cs="David" w:hint="cs"/>
          <w:sz w:val="24"/>
          <w:szCs w:val="24"/>
          <w:rtl/>
        </w:rPr>
        <w:t xml:space="preserve">, בנוסף לנתונים שאספה מחלקת המחקר בנוגע </w:t>
      </w:r>
      <w:r w:rsidRPr="00F25744">
        <w:rPr>
          <w:rFonts w:ascii="David" w:hAnsi="David" w:cs="David" w:hint="cs"/>
          <w:b/>
          <w:bCs/>
          <w:sz w:val="24"/>
          <w:szCs w:val="24"/>
          <w:rtl/>
        </w:rPr>
        <w:t>לסיבות הסגירה</w:t>
      </w:r>
      <w:r w:rsidRPr="00F25744">
        <w:rPr>
          <w:rFonts w:ascii="David" w:hAnsi="David" w:cs="David" w:hint="cs"/>
          <w:sz w:val="24"/>
          <w:szCs w:val="24"/>
          <w:rtl/>
        </w:rPr>
        <w:t xml:space="preserve">. זמני שמיעת הדיונים נלקחו מתוך </w:t>
      </w:r>
      <w:r w:rsidRPr="00F25744">
        <w:rPr>
          <w:rFonts w:ascii="David" w:hAnsi="David" w:cs="David" w:hint="cs"/>
          <w:b/>
          <w:bCs/>
          <w:sz w:val="24"/>
          <w:szCs w:val="24"/>
          <w:rtl/>
        </w:rPr>
        <w:t>יומני הקלדניות</w:t>
      </w:r>
      <w:r w:rsidRPr="00F25744">
        <w:rPr>
          <w:rFonts w:ascii="David" w:hAnsi="David" w:cs="David" w:hint="cs"/>
          <w:sz w:val="24"/>
          <w:szCs w:val="24"/>
          <w:rtl/>
        </w:rPr>
        <w:t xml:space="preserve"> שנאספו אף הם במהלך תקופת המחקר, ונתונים שאספה מחלקת המחקר מתוך מערכת נט המשפט. </w:t>
      </w:r>
    </w:p>
    <w:p w14:paraId="64A1C34F" w14:textId="3609AF10" w:rsidR="00594534" w:rsidRPr="00F25744" w:rsidRDefault="00E25AE7" w:rsidP="00E711F1">
      <w:pPr>
        <w:pStyle w:val="a3"/>
        <w:widowControl w:val="0"/>
        <w:numPr>
          <w:ilvl w:val="0"/>
          <w:numId w:val="6"/>
        </w:numPr>
        <w:autoSpaceDE w:val="0"/>
        <w:autoSpaceDN w:val="0"/>
        <w:bidi/>
        <w:adjustRightInd w:val="0"/>
        <w:spacing w:after="0" w:line="360" w:lineRule="auto"/>
        <w:ind w:left="509" w:hanging="425"/>
        <w:rPr>
          <w:rFonts w:ascii="David" w:hAnsi="David" w:cs="David"/>
          <w:sz w:val="24"/>
          <w:szCs w:val="24"/>
          <w:rtl/>
        </w:rPr>
      </w:pPr>
      <w:r w:rsidRPr="00F25744">
        <w:rPr>
          <w:rFonts w:ascii="David" w:hAnsi="David" w:cs="David" w:hint="cs"/>
          <w:sz w:val="24"/>
          <w:szCs w:val="24"/>
          <w:rtl/>
        </w:rPr>
        <w:lastRenderedPageBreak/>
        <w:t xml:space="preserve">חישוב </w:t>
      </w:r>
      <w:r w:rsidRPr="00F25744">
        <w:rPr>
          <w:rFonts w:ascii="David" w:hAnsi="David" w:cs="David" w:hint="cs"/>
          <w:b/>
          <w:bCs/>
          <w:sz w:val="24"/>
          <w:szCs w:val="24"/>
          <w:rtl/>
        </w:rPr>
        <w:t>תדירות</w:t>
      </w:r>
      <w:r w:rsidRPr="00F25744">
        <w:rPr>
          <w:rFonts w:ascii="David" w:hAnsi="David" w:cs="David" w:hint="cs"/>
          <w:sz w:val="24"/>
          <w:szCs w:val="24"/>
          <w:rtl/>
        </w:rPr>
        <w:t xml:space="preserve"> התרחשותם של האירועים המרכזיים בחיי התיק: חישוב זה נעשה על בסיס נתוני מערכת נט המשפט, ביחס לכלל אוכלוסיית התיקים אשר נסגרו במערכת ב</w:t>
      </w:r>
      <w:r w:rsidR="00E711F1">
        <w:rPr>
          <w:rFonts w:ascii="David" w:hAnsi="David" w:cs="David" w:hint="cs"/>
          <w:sz w:val="24"/>
          <w:szCs w:val="24"/>
          <w:rtl/>
        </w:rPr>
        <w:t>שלוש השנים 2017- 2019</w:t>
      </w:r>
      <w:r w:rsidRPr="00F25744">
        <w:rPr>
          <w:rFonts w:ascii="David" w:hAnsi="David" w:cs="David" w:hint="cs"/>
          <w:sz w:val="24"/>
          <w:szCs w:val="24"/>
          <w:rtl/>
        </w:rPr>
        <w:t>.</w:t>
      </w:r>
    </w:p>
    <w:p w14:paraId="2CCEA7D5" w14:textId="77777777" w:rsidR="00EA6636" w:rsidRPr="00F25744" w:rsidRDefault="00EA6636" w:rsidP="00BD23BB">
      <w:pPr>
        <w:pStyle w:val="a3"/>
        <w:widowControl w:val="0"/>
        <w:autoSpaceDE w:val="0"/>
        <w:autoSpaceDN w:val="0"/>
        <w:bidi/>
        <w:adjustRightInd w:val="0"/>
        <w:spacing w:after="0" w:line="240" w:lineRule="auto"/>
        <w:ind w:left="0"/>
        <w:rPr>
          <w:rFonts w:ascii="David" w:hAnsi="David" w:cs="David"/>
          <w:b/>
          <w:bCs/>
          <w:sz w:val="24"/>
          <w:szCs w:val="24"/>
          <w:u w:val="single"/>
          <w:rtl/>
        </w:rPr>
      </w:pPr>
    </w:p>
    <w:p w14:paraId="0F097312" w14:textId="77777777" w:rsidR="00594534" w:rsidRPr="00F25744" w:rsidRDefault="00E25AE7" w:rsidP="00BD23BB">
      <w:pPr>
        <w:pStyle w:val="a3"/>
        <w:widowControl w:val="0"/>
        <w:autoSpaceDE w:val="0"/>
        <w:autoSpaceDN w:val="0"/>
        <w:bidi/>
        <w:adjustRightInd w:val="0"/>
        <w:spacing w:before="120" w:after="0" w:line="360" w:lineRule="auto"/>
        <w:ind w:left="0"/>
        <w:rPr>
          <w:rFonts w:ascii="David" w:hAnsi="David" w:cs="David"/>
          <w:b/>
          <w:bCs/>
          <w:sz w:val="24"/>
          <w:szCs w:val="24"/>
          <w:u w:val="single"/>
          <w:rtl/>
        </w:rPr>
      </w:pPr>
      <w:r w:rsidRPr="00F25744">
        <w:rPr>
          <w:rFonts w:ascii="David" w:hAnsi="David" w:cs="David" w:hint="cs"/>
          <w:b/>
          <w:bCs/>
          <w:sz w:val="24"/>
          <w:szCs w:val="24"/>
          <w:u w:val="single"/>
          <w:rtl/>
        </w:rPr>
        <w:t>תמהיל יום העבודה השיפוטי</w:t>
      </w:r>
    </w:p>
    <w:p w14:paraId="78902119" w14:textId="5B49F704" w:rsidR="00594534" w:rsidRPr="00F25744" w:rsidRDefault="00E25AE7" w:rsidP="0065768D">
      <w:pPr>
        <w:pStyle w:val="a3"/>
        <w:widowControl w:val="0"/>
        <w:autoSpaceDE w:val="0"/>
        <w:autoSpaceDN w:val="0"/>
        <w:bidi/>
        <w:adjustRightInd w:val="0"/>
        <w:spacing w:before="120" w:after="0" w:line="360" w:lineRule="auto"/>
        <w:ind w:left="0"/>
        <w:rPr>
          <w:rFonts w:ascii="David" w:hAnsi="David" w:cs="David"/>
          <w:b/>
          <w:bCs/>
          <w:sz w:val="24"/>
          <w:szCs w:val="24"/>
          <w:u w:val="single"/>
          <w:rtl/>
        </w:rPr>
      </w:pPr>
      <w:r w:rsidRPr="00F25744">
        <w:rPr>
          <w:rFonts w:ascii="David" w:hAnsi="David" w:cs="David" w:hint="cs"/>
          <w:sz w:val="24"/>
          <w:szCs w:val="24"/>
          <w:rtl/>
        </w:rPr>
        <w:t xml:space="preserve">על מנת לשקף את תמהיל יום העבודה השיפוטי הממוצע </w:t>
      </w:r>
      <w:r w:rsidR="00826E57" w:rsidRPr="00F25744">
        <w:rPr>
          <w:rFonts w:ascii="David" w:hAnsi="David" w:cs="David" w:hint="cs"/>
          <w:sz w:val="24"/>
          <w:szCs w:val="24"/>
          <w:rtl/>
        </w:rPr>
        <w:t>הכללי ו</w:t>
      </w:r>
      <w:r w:rsidRPr="00F25744">
        <w:rPr>
          <w:rFonts w:ascii="David" w:hAnsi="David" w:cs="David" w:hint="cs"/>
          <w:sz w:val="24"/>
          <w:szCs w:val="24"/>
          <w:rtl/>
        </w:rPr>
        <w:t>בחלוקה לערכאות, יוצג במחקר זה פילוח של סוגי הפעולות השיפוטיות המבוצעות ביום שיפוטי ממוצע: האחוז מהיום שמוקדש לעבודה שיפוטית שאינה קשורה בתיקים, האחוז מהיום שמוקדש לאדמיניסטרציה, האחוז מהיום שמוקדש לכתיבת החלטות ופס</w:t>
      </w:r>
      <w:r w:rsidR="00471AED" w:rsidRPr="00F25744">
        <w:rPr>
          <w:rFonts w:ascii="David" w:hAnsi="David" w:cs="David" w:hint="cs"/>
          <w:sz w:val="24"/>
          <w:szCs w:val="24"/>
          <w:rtl/>
        </w:rPr>
        <w:t>קי דין</w:t>
      </w:r>
      <w:r w:rsidRPr="00F25744">
        <w:rPr>
          <w:rFonts w:ascii="David" w:hAnsi="David" w:cs="David" w:hint="cs"/>
          <w:sz w:val="24"/>
          <w:szCs w:val="24"/>
          <w:rtl/>
        </w:rPr>
        <w:t>, לשמיעת דיונים ולהכנה לדיונים.</w:t>
      </w:r>
      <w:r w:rsidR="00010B76" w:rsidRPr="00F25744">
        <w:rPr>
          <w:rFonts w:ascii="David" w:hAnsi="David" w:cs="David" w:hint="cs"/>
          <w:sz w:val="24"/>
          <w:szCs w:val="24"/>
          <w:rtl/>
        </w:rPr>
        <w:t xml:space="preserve"> אחוזים אלו יתורגמו גם לשעות העבודה המוקדשות במהלך היום השיפוטי לכל אחת מהפעולות השיפוטיות.</w:t>
      </w:r>
      <w:r w:rsidRPr="00F25744">
        <w:rPr>
          <w:rFonts w:ascii="David" w:hAnsi="David" w:cs="David" w:hint="cs"/>
          <w:sz w:val="24"/>
          <w:szCs w:val="24"/>
          <w:rtl/>
        </w:rPr>
        <w:t xml:space="preserve"> נוסף על כך, פילוח יום העבודה </w:t>
      </w:r>
      <w:r w:rsidR="00471AED" w:rsidRPr="00F25744">
        <w:rPr>
          <w:rFonts w:ascii="David" w:hAnsi="David" w:cs="David" w:hint="cs"/>
          <w:sz w:val="24"/>
          <w:szCs w:val="24"/>
          <w:rtl/>
        </w:rPr>
        <w:t>ה</w:t>
      </w:r>
      <w:r w:rsidRPr="00F25744">
        <w:rPr>
          <w:rFonts w:ascii="David" w:hAnsi="David" w:cs="David" w:hint="cs"/>
          <w:sz w:val="24"/>
          <w:szCs w:val="24"/>
          <w:rtl/>
        </w:rPr>
        <w:t xml:space="preserve">שיפוטי נעשה בהתחשב במאפיינים השונים של השופטים והרשמים, למשל, בכל הנוגע להיקף מערך התמיכה בפעילות השיפוטית (קיומם של עוזרים משפטיים, מתמחים וסטודנטים) או בכל הנוגע לביצוע תפקיד נוסף לצד העבודה השיפוטית הרגילה (כגון, נשיא בית משפט/ סגן נשיא, </w:t>
      </w:r>
      <w:r w:rsidR="0062097F" w:rsidRPr="00F25744">
        <w:rPr>
          <w:rFonts w:ascii="David" w:hAnsi="David" w:cs="David" w:hint="cs"/>
          <w:sz w:val="24"/>
          <w:szCs w:val="24"/>
          <w:rtl/>
        </w:rPr>
        <w:t xml:space="preserve">מנהל </w:t>
      </w:r>
      <w:r w:rsidRPr="00F25744">
        <w:rPr>
          <w:rFonts w:ascii="David" w:hAnsi="David" w:cs="David" w:hint="cs"/>
          <w:sz w:val="24"/>
          <w:szCs w:val="24"/>
          <w:rtl/>
        </w:rPr>
        <w:t xml:space="preserve">השתלמויות, </w:t>
      </w:r>
      <w:r w:rsidR="0062097F" w:rsidRPr="00F25744">
        <w:rPr>
          <w:rFonts w:ascii="David" w:hAnsi="David" w:cs="David" w:hint="cs"/>
          <w:sz w:val="24"/>
          <w:szCs w:val="24"/>
          <w:rtl/>
        </w:rPr>
        <w:t xml:space="preserve">יו"ר </w:t>
      </w:r>
      <w:r w:rsidRPr="00F25744">
        <w:rPr>
          <w:rFonts w:ascii="David" w:hAnsi="David" w:cs="David" w:hint="cs"/>
          <w:sz w:val="24"/>
          <w:szCs w:val="24"/>
          <w:rtl/>
        </w:rPr>
        <w:t xml:space="preserve">ועדות שונות וכדומה). </w:t>
      </w:r>
      <w:r w:rsidR="00810D91" w:rsidRPr="00F25744">
        <w:rPr>
          <w:rFonts w:ascii="David" w:hAnsi="David" w:cs="David" w:hint="cs"/>
          <w:sz w:val="24"/>
          <w:szCs w:val="24"/>
          <w:rtl/>
        </w:rPr>
        <w:t xml:space="preserve">נציג את שעות העבודה היומיות הממוצעות, את שעות העבודה השבועיות ו"שנת שופט". </w:t>
      </w:r>
      <w:r w:rsidRPr="00F25744">
        <w:rPr>
          <w:rFonts w:ascii="David" w:hAnsi="David" w:cs="David" w:hint="cs"/>
          <w:sz w:val="24"/>
          <w:szCs w:val="24"/>
          <w:rtl/>
        </w:rPr>
        <w:t xml:space="preserve">כמו כן נראה את שעות העבודה שמקדישים השופטים לעבודה שיפוטית גם בימי שבתון, השתלמויות, חופשה או מחלה, וכן את העבודה המתבצעת בסופי השבוע. כל אלו הם תוצאה ישירה ומתבקשת של עומס העבודה השיפוטי הכבד המוטל על כתפי השופטים בישראל, אשר מאלץ אותם לעבוד שעות מרובות ביחס לשאר מדינות העולם המערבי, ולעבוד גם בימים שאינם מוגדרים </w:t>
      </w:r>
      <w:r w:rsidR="00E2621D" w:rsidRPr="00F25744">
        <w:rPr>
          <w:rFonts w:ascii="David" w:hAnsi="David" w:cs="David" w:hint="cs"/>
          <w:sz w:val="24"/>
          <w:szCs w:val="24"/>
          <w:rtl/>
        </w:rPr>
        <w:t>כ</w:t>
      </w:r>
      <w:r w:rsidRPr="00F25744">
        <w:rPr>
          <w:rFonts w:ascii="David" w:hAnsi="David" w:cs="David" w:hint="cs"/>
          <w:sz w:val="24"/>
          <w:szCs w:val="24"/>
          <w:rtl/>
        </w:rPr>
        <w:t xml:space="preserve">ימי עבודה. </w:t>
      </w:r>
      <w:r w:rsidR="00810D91" w:rsidRPr="00F25744">
        <w:rPr>
          <w:rFonts w:ascii="David" w:hAnsi="David" w:cs="David" w:hint="cs"/>
          <w:sz w:val="24"/>
          <w:szCs w:val="24"/>
          <w:rtl/>
        </w:rPr>
        <w:t xml:space="preserve">לבסוף נציג פרק יישומי, שבו נדגים את אופן השימוש בתוצרי המחקר: זמני הטיפול בתיקים וזמני העבודה השיפוטיים, לצרכים הניהוליים של המערכת ולאמצעים השונים להקלת העומס השיפוטי </w:t>
      </w:r>
      <w:r w:rsidR="00810D91" w:rsidRPr="00F25744">
        <w:rPr>
          <w:rFonts w:ascii="David" w:hAnsi="David" w:cs="David"/>
          <w:sz w:val="24"/>
          <w:szCs w:val="24"/>
          <w:rtl/>
        </w:rPr>
        <w:t>–</w:t>
      </w:r>
      <w:r w:rsidR="00810D91" w:rsidRPr="00F25744">
        <w:rPr>
          <w:rFonts w:ascii="David" w:hAnsi="David" w:cs="David" w:hint="cs"/>
          <w:sz w:val="24"/>
          <w:szCs w:val="24"/>
          <w:rtl/>
        </w:rPr>
        <w:t xml:space="preserve"> איזון עומסים ותוספת תקינה. </w:t>
      </w:r>
    </w:p>
    <w:p w14:paraId="4C52B8B0" w14:textId="77777777" w:rsidR="006B23F5" w:rsidRPr="00F25744" w:rsidRDefault="006B23F5" w:rsidP="00BD23BB">
      <w:pPr>
        <w:pStyle w:val="a3"/>
        <w:widowControl w:val="0"/>
        <w:autoSpaceDE w:val="0"/>
        <w:autoSpaceDN w:val="0"/>
        <w:bidi/>
        <w:adjustRightInd w:val="0"/>
        <w:spacing w:before="60" w:after="60" w:line="240" w:lineRule="auto"/>
        <w:ind w:left="0"/>
        <w:rPr>
          <w:rFonts w:ascii="David" w:hAnsi="David" w:cs="David"/>
          <w:b/>
          <w:bCs/>
          <w:sz w:val="24"/>
          <w:szCs w:val="24"/>
          <w:u w:val="single"/>
          <w:rtl/>
        </w:rPr>
      </w:pPr>
    </w:p>
    <w:p w14:paraId="1C84147A" w14:textId="77777777" w:rsidR="006B23F5" w:rsidRPr="00F25744" w:rsidRDefault="00E25AE7" w:rsidP="00BD23BB">
      <w:pPr>
        <w:pStyle w:val="a3"/>
        <w:widowControl w:val="0"/>
        <w:autoSpaceDE w:val="0"/>
        <w:autoSpaceDN w:val="0"/>
        <w:bidi/>
        <w:adjustRightInd w:val="0"/>
        <w:spacing w:before="120" w:after="0" w:line="360" w:lineRule="auto"/>
        <w:ind w:left="0"/>
        <w:rPr>
          <w:rFonts w:ascii="David" w:hAnsi="David" w:cs="David"/>
          <w:b/>
          <w:bCs/>
          <w:sz w:val="24"/>
          <w:szCs w:val="24"/>
          <w:u w:val="single"/>
          <w:rtl/>
        </w:rPr>
      </w:pPr>
      <w:r w:rsidRPr="00F25744">
        <w:rPr>
          <w:rFonts w:ascii="David" w:hAnsi="David" w:cs="David" w:hint="cs"/>
          <w:b/>
          <w:bCs/>
          <w:sz w:val="24"/>
          <w:szCs w:val="24"/>
          <w:u w:val="single"/>
          <w:rtl/>
        </w:rPr>
        <w:t>היבטים נוספים של עומס עבודה שיפוטי</w:t>
      </w:r>
      <w:r w:rsidR="00DC25D2" w:rsidRPr="00F25744">
        <w:rPr>
          <w:rFonts w:ascii="David" w:hAnsi="David" w:cs="David" w:hint="cs"/>
          <w:b/>
          <w:bCs/>
          <w:sz w:val="24"/>
          <w:szCs w:val="24"/>
          <w:u w:val="single"/>
          <w:rtl/>
        </w:rPr>
        <w:t>ת</w:t>
      </w:r>
    </w:p>
    <w:p w14:paraId="12124C50" w14:textId="3706BE9A" w:rsidR="00C902C0" w:rsidRPr="00F25744" w:rsidRDefault="00E25AE7" w:rsidP="00163D96">
      <w:pPr>
        <w:pStyle w:val="a3"/>
        <w:widowControl w:val="0"/>
        <w:autoSpaceDE w:val="0"/>
        <w:autoSpaceDN w:val="0"/>
        <w:bidi/>
        <w:adjustRightInd w:val="0"/>
        <w:spacing w:before="60" w:after="60" w:line="360" w:lineRule="auto"/>
        <w:ind w:left="0"/>
        <w:rPr>
          <w:rFonts w:ascii="David" w:hAnsi="David" w:cs="David"/>
          <w:sz w:val="24"/>
          <w:szCs w:val="24"/>
          <w:rtl/>
        </w:rPr>
      </w:pPr>
      <w:r w:rsidRPr="00F25744">
        <w:rPr>
          <w:rFonts w:ascii="David" w:hAnsi="David" w:cs="David" w:hint="cs"/>
          <w:sz w:val="24"/>
          <w:szCs w:val="24"/>
          <w:rtl/>
        </w:rPr>
        <w:t xml:space="preserve">לאחר הצגת שני תוצריו העיקריים של המחקר הנוכחי </w:t>
      </w:r>
      <w:r w:rsidRPr="00F25744">
        <w:rPr>
          <w:rFonts w:ascii="David" w:hAnsi="David" w:cs="David"/>
          <w:sz w:val="24"/>
          <w:szCs w:val="24"/>
          <w:rtl/>
        </w:rPr>
        <w:t>–</w:t>
      </w:r>
      <w:r w:rsidRPr="00F25744">
        <w:rPr>
          <w:rFonts w:ascii="David" w:hAnsi="David" w:cs="David" w:hint="cs"/>
          <w:sz w:val="24"/>
          <w:szCs w:val="24"/>
          <w:rtl/>
        </w:rPr>
        <w:t xml:space="preserve"> זמני הטיפול השיפוטי ב</w:t>
      </w:r>
      <w:r w:rsidR="000323BE">
        <w:rPr>
          <w:rFonts w:ascii="David" w:hAnsi="David" w:cs="David" w:hint="cs"/>
          <w:sz w:val="24"/>
          <w:szCs w:val="24"/>
          <w:rtl/>
        </w:rPr>
        <w:t>תיקים ופילוח יום העבודה השיפוטי</w:t>
      </w:r>
      <w:r w:rsidR="000323BE" w:rsidRPr="000323BE">
        <w:rPr>
          <w:rFonts w:ascii="David" w:hAnsi="David" w:cs="David"/>
          <w:sz w:val="24"/>
          <w:szCs w:val="24"/>
          <w:rtl/>
        </w:rPr>
        <w:t xml:space="preserve"> </w:t>
      </w:r>
      <w:r w:rsidR="000323BE" w:rsidRPr="00F25744">
        <w:rPr>
          <w:rFonts w:ascii="David" w:hAnsi="David" w:cs="David"/>
          <w:sz w:val="24"/>
          <w:szCs w:val="24"/>
          <w:rtl/>
        </w:rPr>
        <w:t>–</w:t>
      </w:r>
      <w:r w:rsidRPr="00F25744">
        <w:rPr>
          <w:rFonts w:ascii="David" w:hAnsi="David" w:cs="David" w:hint="cs"/>
          <w:sz w:val="24"/>
          <w:szCs w:val="24"/>
          <w:rtl/>
        </w:rPr>
        <w:t xml:space="preserve"> ניגע על קצה המזלג בהיבטים נוספים של עומס </w:t>
      </w:r>
      <w:r w:rsidR="007C41E5" w:rsidRPr="00F25744">
        <w:rPr>
          <w:rFonts w:ascii="David" w:hAnsi="David" w:cs="David" w:hint="cs"/>
          <w:sz w:val="24"/>
          <w:szCs w:val="24"/>
          <w:rtl/>
        </w:rPr>
        <w:t>ה</w:t>
      </w:r>
      <w:r w:rsidRPr="00F25744">
        <w:rPr>
          <w:rFonts w:ascii="David" w:hAnsi="David" w:cs="David" w:hint="cs"/>
          <w:sz w:val="24"/>
          <w:szCs w:val="24"/>
          <w:rtl/>
        </w:rPr>
        <w:t xml:space="preserve">עבודה </w:t>
      </w:r>
      <w:r w:rsidR="007C41E5" w:rsidRPr="00F25744">
        <w:rPr>
          <w:rFonts w:ascii="David" w:hAnsi="David" w:cs="David" w:hint="cs"/>
          <w:sz w:val="24"/>
          <w:szCs w:val="24"/>
          <w:rtl/>
        </w:rPr>
        <w:t>ה</w:t>
      </w:r>
      <w:r w:rsidRPr="00F25744">
        <w:rPr>
          <w:rFonts w:ascii="David" w:hAnsi="David" w:cs="David" w:hint="cs"/>
          <w:sz w:val="24"/>
          <w:szCs w:val="24"/>
          <w:rtl/>
        </w:rPr>
        <w:t>שיפוטי</w:t>
      </w:r>
      <w:r w:rsidR="007C41E5" w:rsidRPr="00F25744">
        <w:rPr>
          <w:rFonts w:ascii="David" w:hAnsi="David" w:cs="David" w:hint="cs"/>
          <w:sz w:val="24"/>
          <w:szCs w:val="24"/>
          <w:rtl/>
        </w:rPr>
        <w:t>ת</w:t>
      </w:r>
      <w:r w:rsidRPr="00F25744">
        <w:rPr>
          <w:rFonts w:ascii="David" w:hAnsi="David" w:cs="David" w:hint="cs"/>
          <w:sz w:val="24"/>
          <w:szCs w:val="24"/>
          <w:rtl/>
        </w:rPr>
        <w:t xml:space="preserve"> אשר אינם יכולים לבוא לידי ביטוי כמותי, על דרך של מדידת זמנים, אולם יש בהם כדי להשפיע על מידת העומס המוטל על כתפי השופטים בישראל. נייחד תת פרק שיעסוק בניתוח היגדים הנוגעים בעיקרו של דבר ללחץ ולעומס נפשי, ותת פרק נוסף שיעסוק בעומס רגשי הנלווה לטיפול בתיקים מסוג מסוים, כמו תיקי העוסקים בקטינים או בחסרי ישע, בעבירות אלימות ומין וכדומה.</w:t>
      </w:r>
    </w:p>
    <w:p w14:paraId="642EC51F" w14:textId="77777777" w:rsidR="006C5C74" w:rsidRPr="00F25744" w:rsidRDefault="006C5C74" w:rsidP="00BD23BB">
      <w:pPr>
        <w:pStyle w:val="a3"/>
        <w:widowControl w:val="0"/>
        <w:autoSpaceDE w:val="0"/>
        <w:autoSpaceDN w:val="0"/>
        <w:bidi/>
        <w:adjustRightInd w:val="0"/>
        <w:spacing w:before="120" w:after="0" w:line="360" w:lineRule="auto"/>
        <w:ind w:left="0"/>
        <w:rPr>
          <w:rFonts w:ascii="David" w:hAnsi="David" w:cs="David"/>
          <w:b/>
          <w:bCs/>
          <w:sz w:val="24"/>
          <w:szCs w:val="24"/>
          <w:u w:val="single"/>
          <w:rtl/>
        </w:rPr>
      </w:pPr>
    </w:p>
    <w:p w14:paraId="6306512F" w14:textId="4E2E603C" w:rsidR="00594534" w:rsidRPr="00F25744" w:rsidRDefault="00E25AE7" w:rsidP="006C5C74">
      <w:pPr>
        <w:pStyle w:val="a3"/>
        <w:widowControl w:val="0"/>
        <w:autoSpaceDE w:val="0"/>
        <w:autoSpaceDN w:val="0"/>
        <w:bidi/>
        <w:adjustRightInd w:val="0"/>
        <w:spacing w:before="120" w:after="0" w:line="360" w:lineRule="auto"/>
        <w:ind w:left="0"/>
        <w:rPr>
          <w:rFonts w:ascii="David" w:hAnsi="David" w:cs="David"/>
          <w:b/>
          <w:bCs/>
          <w:sz w:val="24"/>
          <w:szCs w:val="24"/>
          <w:u w:val="single"/>
          <w:rtl/>
        </w:rPr>
      </w:pPr>
      <w:r w:rsidRPr="00F25744">
        <w:rPr>
          <w:rFonts w:ascii="David" w:hAnsi="David" w:cs="David" w:hint="cs"/>
          <w:b/>
          <w:bCs/>
          <w:sz w:val="24"/>
          <w:szCs w:val="24"/>
          <w:u w:val="single"/>
          <w:rtl/>
        </w:rPr>
        <w:t>שלבי מחקר עומס העבודה השיפוטית</w:t>
      </w:r>
    </w:p>
    <w:p w14:paraId="046553CA" w14:textId="77777777" w:rsidR="009E7D8F" w:rsidRPr="00F25744" w:rsidRDefault="00E25AE7" w:rsidP="00BD23BB">
      <w:pPr>
        <w:pStyle w:val="a3"/>
        <w:widowControl w:val="0"/>
        <w:autoSpaceDE w:val="0"/>
        <w:autoSpaceDN w:val="0"/>
        <w:bidi/>
        <w:adjustRightInd w:val="0"/>
        <w:spacing w:before="120" w:after="0" w:line="360" w:lineRule="auto"/>
        <w:ind w:left="0"/>
        <w:rPr>
          <w:rFonts w:ascii="David" w:hAnsi="David" w:cs="David"/>
          <w:sz w:val="24"/>
          <w:szCs w:val="24"/>
          <w:rtl/>
        </w:rPr>
      </w:pPr>
      <w:r w:rsidRPr="00F25744">
        <w:rPr>
          <w:rFonts w:ascii="David" w:hAnsi="David" w:cs="David" w:hint="cs"/>
          <w:sz w:val="24"/>
          <w:szCs w:val="24"/>
          <w:rtl/>
        </w:rPr>
        <w:t xml:space="preserve">מחקר זה מהווה </w:t>
      </w:r>
      <w:r w:rsidR="0062097F" w:rsidRPr="00F25744">
        <w:rPr>
          <w:rFonts w:ascii="David" w:hAnsi="David" w:cs="David" w:hint="cs"/>
          <w:sz w:val="24"/>
          <w:szCs w:val="24"/>
          <w:rtl/>
        </w:rPr>
        <w:t xml:space="preserve">את </w:t>
      </w:r>
      <w:r w:rsidRPr="00F25744">
        <w:rPr>
          <w:rFonts w:ascii="David" w:hAnsi="David" w:cs="David" w:hint="cs"/>
          <w:sz w:val="24"/>
          <w:szCs w:val="24"/>
          <w:rtl/>
        </w:rPr>
        <w:t>השלב השני והעיקרי של מחקר עומס העבודה השיפוטית, והוא התקיים</w:t>
      </w:r>
      <w:r w:rsidR="00471AED" w:rsidRPr="00F25744">
        <w:rPr>
          <w:rFonts w:ascii="David" w:hAnsi="David" w:cs="David" w:hint="cs"/>
          <w:sz w:val="24"/>
          <w:szCs w:val="24"/>
          <w:rtl/>
        </w:rPr>
        <w:t>,</w:t>
      </w:r>
      <w:r w:rsidRPr="00F25744">
        <w:rPr>
          <w:rFonts w:ascii="David" w:hAnsi="David" w:cs="David" w:hint="cs"/>
          <w:sz w:val="24"/>
          <w:szCs w:val="24"/>
          <w:rtl/>
        </w:rPr>
        <w:t xml:space="preserve"> כאמור</w:t>
      </w:r>
      <w:r w:rsidR="00471AED" w:rsidRPr="00F25744">
        <w:rPr>
          <w:rFonts w:ascii="David" w:hAnsi="David" w:cs="David" w:hint="cs"/>
          <w:sz w:val="24"/>
          <w:szCs w:val="24"/>
          <w:rtl/>
        </w:rPr>
        <w:t>,</w:t>
      </w:r>
      <w:r w:rsidRPr="00F25744">
        <w:rPr>
          <w:rFonts w:ascii="David" w:hAnsi="David" w:cs="David" w:hint="cs"/>
          <w:sz w:val="24"/>
          <w:szCs w:val="24"/>
          <w:rtl/>
        </w:rPr>
        <w:t xml:space="preserve"> בערכאות המחוזי</w:t>
      </w:r>
      <w:r w:rsidR="0081420B" w:rsidRPr="00F25744">
        <w:rPr>
          <w:rFonts w:ascii="David" w:hAnsi="David" w:cs="David" w:hint="cs"/>
          <w:sz w:val="24"/>
          <w:szCs w:val="24"/>
          <w:rtl/>
        </w:rPr>
        <w:t xml:space="preserve"> ו</w:t>
      </w:r>
      <w:r w:rsidRPr="00F25744">
        <w:rPr>
          <w:rFonts w:ascii="David" w:hAnsi="David" w:cs="David" w:hint="cs"/>
          <w:sz w:val="24"/>
          <w:szCs w:val="24"/>
          <w:rtl/>
        </w:rPr>
        <w:t>השלום</w:t>
      </w:r>
      <w:r w:rsidR="0062097F" w:rsidRPr="00F25744">
        <w:rPr>
          <w:rFonts w:ascii="David" w:hAnsi="David" w:cs="David" w:hint="cs"/>
          <w:sz w:val="24"/>
          <w:szCs w:val="24"/>
          <w:rtl/>
        </w:rPr>
        <w:t>.</w:t>
      </w:r>
      <w:r w:rsidR="00471AED" w:rsidRPr="00F25744">
        <w:rPr>
          <w:rFonts w:ascii="David" w:hAnsi="David" w:cs="David" w:hint="cs"/>
          <w:sz w:val="24"/>
          <w:szCs w:val="24"/>
          <w:rtl/>
        </w:rPr>
        <w:t xml:space="preserve"> בגדרי ערכאת בתי משפט השלום ישנה </w:t>
      </w:r>
      <w:r w:rsidR="0081420B" w:rsidRPr="00F25744">
        <w:rPr>
          <w:rFonts w:ascii="David" w:hAnsi="David" w:cs="David" w:hint="cs"/>
          <w:sz w:val="24"/>
          <w:szCs w:val="24"/>
          <w:rtl/>
        </w:rPr>
        <w:t>התייחסות נפרדת לבתי המשפט ל</w:t>
      </w:r>
      <w:r w:rsidRPr="00F25744">
        <w:rPr>
          <w:rFonts w:ascii="David" w:hAnsi="David" w:cs="David" w:hint="cs"/>
          <w:sz w:val="24"/>
          <w:szCs w:val="24"/>
          <w:rtl/>
        </w:rPr>
        <w:t>תעבורה, משפחה ונוער</w:t>
      </w:r>
      <w:r w:rsidR="0081420B" w:rsidRPr="00F25744">
        <w:rPr>
          <w:rFonts w:ascii="David" w:hAnsi="David" w:cs="David" w:hint="cs"/>
          <w:sz w:val="24"/>
          <w:szCs w:val="24"/>
          <w:rtl/>
        </w:rPr>
        <w:t xml:space="preserve">. </w:t>
      </w:r>
      <w:r w:rsidR="007F3A52" w:rsidRPr="00F25744">
        <w:rPr>
          <w:rFonts w:ascii="David" w:hAnsi="David" w:cs="David" w:hint="cs"/>
          <w:sz w:val="24"/>
          <w:szCs w:val="24"/>
          <w:rtl/>
        </w:rPr>
        <w:t xml:space="preserve">על כן יובהר, כי במסגרת מחקר זה מעתה ואילך, כל אימת שתעשה התייחסות לבית משפט השלום/ ערכאת השלום, הכוונה </w:t>
      </w:r>
      <w:r w:rsidR="007F3A52" w:rsidRPr="00F25744">
        <w:rPr>
          <w:rFonts w:ascii="David" w:hAnsi="David" w:cs="David" w:hint="cs"/>
          <w:b/>
          <w:bCs/>
          <w:sz w:val="24"/>
          <w:szCs w:val="24"/>
          <w:rtl/>
        </w:rPr>
        <w:t>אינה</w:t>
      </w:r>
      <w:r w:rsidR="007F3A52" w:rsidRPr="00F25744">
        <w:rPr>
          <w:rFonts w:ascii="David" w:hAnsi="David" w:cs="David" w:hint="cs"/>
          <w:sz w:val="24"/>
          <w:szCs w:val="24"/>
          <w:rtl/>
        </w:rPr>
        <w:t xml:space="preserve"> לבתי המשפט לתעבורה, לנוער ולענייני משפחה, אשר אליהם ההתייחסות </w:t>
      </w:r>
      <w:r w:rsidR="00297F93" w:rsidRPr="00F25744">
        <w:rPr>
          <w:rFonts w:ascii="David" w:hAnsi="David" w:cs="David" w:hint="cs"/>
          <w:sz w:val="24"/>
          <w:szCs w:val="24"/>
          <w:rtl/>
        </w:rPr>
        <w:t>ל</w:t>
      </w:r>
      <w:r w:rsidR="007F3A52" w:rsidRPr="00F25744">
        <w:rPr>
          <w:rFonts w:ascii="David" w:hAnsi="David" w:cs="David" w:hint="cs"/>
          <w:sz w:val="24"/>
          <w:szCs w:val="24"/>
          <w:rtl/>
        </w:rPr>
        <w:t xml:space="preserve">כל </w:t>
      </w:r>
      <w:r w:rsidR="00297F93" w:rsidRPr="00F25744">
        <w:rPr>
          <w:rFonts w:ascii="David" w:hAnsi="David" w:cs="David" w:hint="cs"/>
          <w:sz w:val="24"/>
          <w:szCs w:val="24"/>
          <w:rtl/>
        </w:rPr>
        <w:t xml:space="preserve">אורך </w:t>
      </w:r>
      <w:r w:rsidR="007F3A52" w:rsidRPr="00F25744">
        <w:rPr>
          <w:rFonts w:ascii="David" w:hAnsi="David" w:cs="David" w:hint="cs"/>
          <w:sz w:val="24"/>
          <w:szCs w:val="24"/>
          <w:rtl/>
        </w:rPr>
        <w:t xml:space="preserve">מחקר זה ניתנת בנפרד. </w:t>
      </w:r>
    </w:p>
    <w:p w14:paraId="3E4C2C72" w14:textId="77777777" w:rsidR="00594534" w:rsidRPr="00F25744" w:rsidRDefault="00E25AE7" w:rsidP="00BD23BB">
      <w:pPr>
        <w:pStyle w:val="a3"/>
        <w:widowControl w:val="0"/>
        <w:autoSpaceDE w:val="0"/>
        <w:autoSpaceDN w:val="0"/>
        <w:bidi/>
        <w:adjustRightInd w:val="0"/>
        <w:spacing w:before="120" w:after="0" w:line="360" w:lineRule="auto"/>
        <w:ind w:left="0"/>
        <w:rPr>
          <w:rFonts w:ascii="David" w:hAnsi="David" w:cs="David"/>
          <w:sz w:val="24"/>
          <w:szCs w:val="24"/>
          <w:rtl/>
        </w:rPr>
      </w:pPr>
      <w:r w:rsidRPr="00F25744">
        <w:rPr>
          <w:rFonts w:ascii="David" w:hAnsi="David" w:cs="David" w:hint="cs"/>
          <w:sz w:val="24"/>
          <w:szCs w:val="24"/>
          <w:rtl/>
        </w:rPr>
        <w:t xml:space="preserve">חלקו הראשון של המחקר נערך כפיילוט לביצוע המחקר הנוכחי, בהצלחה מרובה, בשנת 2018, בבתי הדין האזוריים לעבודה בלבד, במטרה לבחון את תוקף השיטה הנוכחית לחישוב </w:t>
      </w:r>
      <w:r w:rsidR="006E39D6" w:rsidRPr="00F25744">
        <w:rPr>
          <w:rFonts w:ascii="David" w:hAnsi="David" w:cs="David" w:hint="cs"/>
          <w:sz w:val="24"/>
          <w:szCs w:val="24"/>
          <w:rtl/>
        </w:rPr>
        <w:t>זמן העבודה השיפוטית</w:t>
      </w:r>
      <w:r w:rsidRPr="00F25744">
        <w:rPr>
          <w:rFonts w:ascii="David" w:hAnsi="David" w:cs="David" w:hint="cs"/>
          <w:sz w:val="24"/>
          <w:szCs w:val="24"/>
          <w:rtl/>
        </w:rPr>
        <w:t xml:space="preserve"> </w:t>
      </w:r>
      <w:r w:rsidRPr="00F25744">
        <w:rPr>
          <w:rFonts w:ascii="David" w:hAnsi="David" w:cs="David" w:hint="cs"/>
          <w:sz w:val="24"/>
          <w:szCs w:val="24"/>
          <w:rtl/>
        </w:rPr>
        <w:lastRenderedPageBreak/>
        <w:t xml:space="preserve">ואת היכולת לביצוע המחקר הנוכחי. </w:t>
      </w:r>
    </w:p>
    <w:p w14:paraId="0B51F6DF" w14:textId="77777777" w:rsidR="00594534" w:rsidRPr="00F25744" w:rsidRDefault="00E25AE7" w:rsidP="00BD23BB">
      <w:pPr>
        <w:pStyle w:val="a3"/>
        <w:widowControl w:val="0"/>
        <w:autoSpaceDE w:val="0"/>
        <w:autoSpaceDN w:val="0"/>
        <w:bidi/>
        <w:adjustRightInd w:val="0"/>
        <w:spacing w:before="120" w:after="0" w:line="360" w:lineRule="auto"/>
        <w:ind w:left="0"/>
        <w:rPr>
          <w:rFonts w:ascii="David" w:hAnsi="David" w:cs="David"/>
          <w:sz w:val="24"/>
          <w:szCs w:val="24"/>
          <w:rtl/>
        </w:rPr>
      </w:pPr>
      <w:r w:rsidRPr="00F25744">
        <w:rPr>
          <w:rFonts w:ascii="David" w:hAnsi="David" w:cs="David" w:hint="cs"/>
          <w:sz w:val="24"/>
          <w:szCs w:val="24"/>
          <w:rtl/>
        </w:rPr>
        <w:t>המחקר</w:t>
      </w:r>
      <w:r w:rsidR="007F3A52" w:rsidRPr="00F25744">
        <w:rPr>
          <w:rFonts w:ascii="David" w:hAnsi="David" w:cs="David" w:hint="cs"/>
          <w:sz w:val="24"/>
          <w:szCs w:val="24"/>
          <w:rtl/>
        </w:rPr>
        <w:t xml:space="preserve"> בבתי הדין לעבודה הוכתר כאמור בהצלחה מרובה, הודות לשיתוף הפעולה המלא מצד השופטים והקלדניות, אשר הוביל לחישוב זמני הטיפול בתיקים באופן מדויק ומהימן, ו</w:t>
      </w:r>
      <w:r w:rsidR="00471AED" w:rsidRPr="00F25744">
        <w:rPr>
          <w:rFonts w:ascii="David" w:hAnsi="David" w:cs="David" w:hint="cs"/>
          <w:sz w:val="24"/>
          <w:szCs w:val="24"/>
          <w:rtl/>
        </w:rPr>
        <w:t>ל</w:t>
      </w:r>
      <w:r w:rsidR="007F3A52" w:rsidRPr="00F25744">
        <w:rPr>
          <w:rFonts w:ascii="David" w:hAnsi="David" w:cs="David" w:hint="cs"/>
          <w:sz w:val="24"/>
          <w:szCs w:val="24"/>
          <w:rtl/>
        </w:rPr>
        <w:t xml:space="preserve">פילוח יום העבודה השיפוטי באופן המשקף את המציאות במידה הרבה ביותר. בזכות הצלחת </w:t>
      </w:r>
      <w:r w:rsidRPr="00F25744">
        <w:rPr>
          <w:rFonts w:ascii="David" w:hAnsi="David" w:cs="David" w:hint="cs"/>
          <w:sz w:val="24"/>
          <w:szCs w:val="24"/>
          <w:rtl/>
        </w:rPr>
        <w:t>חלקו הראשון של המחקר</w:t>
      </w:r>
      <w:r w:rsidR="007F3A52" w:rsidRPr="00F25744">
        <w:rPr>
          <w:rFonts w:ascii="David" w:hAnsi="David" w:cs="David" w:hint="cs"/>
          <w:sz w:val="24"/>
          <w:szCs w:val="24"/>
          <w:rtl/>
        </w:rPr>
        <w:t>, הוחלט על הרחבת המחקר לשאר הערכאות, בשיטה דומה.</w:t>
      </w:r>
    </w:p>
    <w:p w14:paraId="62787A3D" w14:textId="77777777" w:rsidR="00594534" w:rsidRPr="00F25744" w:rsidRDefault="00E25AE7" w:rsidP="00BD23BB">
      <w:pPr>
        <w:pStyle w:val="a3"/>
        <w:widowControl w:val="0"/>
        <w:autoSpaceDE w:val="0"/>
        <w:autoSpaceDN w:val="0"/>
        <w:bidi/>
        <w:adjustRightInd w:val="0"/>
        <w:spacing w:before="120" w:after="0" w:line="360" w:lineRule="auto"/>
        <w:ind w:left="0"/>
        <w:rPr>
          <w:rFonts w:ascii="David" w:hAnsi="David" w:cs="David"/>
          <w:sz w:val="24"/>
          <w:szCs w:val="24"/>
          <w:rtl/>
        </w:rPr>
      </w:pPr>
      <w:r w:rsidRPr="00F25744">
        <w:rPr>
          <w:rFonts w:ascii="David" w:hAnsi="David" w:cs="David" w:hint="cs"/>
          <w:sz w:val="24"/>
          <w:szCs w:val="24"/>
          <w:rtl/>
        </w:rPr>
        <w:t>ממצאיו של חלק</w:t>
      </w:r>
      <w:r w:rsidR="00E2621D" w:rsidRPr="00F25744">
        <w:rPr>
          <w:rFonts w:ascii="David" w:hAnsi="David" w:cs="David" w:hint="cs"/>
          <w:sz w:val="24"/>
          <w:szCs w:val="24"/>
          <w:rtl/>
        </w:rPr>
        <w:t>ו</w:t>
      </w:r>
      <w:r w:rsidRPr="00F25744">
        <w:rPr>
          <w:rFonts w:ascii="David" w:hAnsi="David" w:cs="David" w:hint="cs"/>
          <w:sz w:val="24"/>
          <w:szCs w:val="24"/>
          <w:rtl/>
        </w:rPr>
        <w:t xml:space="preserve"> </w:t>
      </w:r>
      <w:r w:rsidR="00E2621D" w:rsidRPr="00F25744">
        <w:rPr>
          <w:rFonts w:ascii="David" w:hAnsi="David" w:cs="David" w:hint="cs"/>
          <w:sz w:val="24"/>
          <w:szCs w:val="24"/>
          <w:rtl/>
        </w:rPr>
        <w:t>הראשון</w:t>
      </w:r>
      <w:r w:rsidRPr="00F25744">
        <w:rPr>
          <w:rFonts w:ascii="David" w:hAnsi="David" w:cs="David" w:hint="cs"/>
          <w:sz w:val="24"/>
          <w:szCs w:val="24"/>
          <w:rtl/>
        </w:rPr>
        <w:t xml:space="preserve"> של המחקר בבתי הדין לעבודה, אשר נערך בהובלתה של עו"ד שני בנקין, חוקרת בכירה של מחלקת המחקר דאז, מפורסמים במחקר מדד</w:t>
      </w:r>
      <w:r w:rsidRPr="00F25744">
        <w:rPr>
          <w:rFonts w:ascii="David" w:hAnsi="David" w:cs="David"/>
          <w:sz w:val="24"/>
          <w:szCs w:val="24"/>
        </w:rPr>
        <w:t xml:space="preserve"> </w:t>
      </w:r>
      <w:r w:rsidRPr="00F25744">
        <w:rPr>
          <w:rFonts w:ascii="David" w:hAnsi="David" w:cs="David" w:hint="cs"/>
          <w:sz w:val="24"/>
          <w:szCs w:val="24"/>
          <w:rtl/>
        </w:rPr>
        <w:t>עומס</w:t>
      </w:r>
      <w:r w:rsidRPr="00F25744">
        <w:rPr>
          <w:rFonts w:ascii="David" w:hAnsi="David" w:cs="David"/>
          <w:sz w:val="24"/>
          <w:szCs w:val="24"/>
        </w:rPr>
        <w:t xml:space="preserve"> </w:t>
      </w:r>
      <w:r w:rsidRPr="00F25744">
        <w:rPr>
          <w:rFonts w:ascii="David" w:hAnsi="David" w:cs="David" w:hint="cs"/>
          <w:sz w:val="24"/>
          <w:szCs w:val="24"/>
          <w:rtl/>
        </w:rPr>
        <w:t>העבודה השיפוטית</w:t>
      </w:r>
      <w:r w:rsidRPr="00F25744">
        <w:rPr>
          <w:rFonts w:ascii="David" w:hAnsi="David" w:cs="David"/>
          <w:sz w:val="24"/>
          <w:szCs w:val="24"/>
        </w:rPr>
        <w:t xml:space="preserve"> </w:t>
      </w:r>
      <w:r w:rsidRPr="00F25744">
        <w:rPr>
          <w:rFonts w:ascii="David" w:hAnsi="David" w:cs="David" w:hint="cs"/>
          <w:sz w:val="24"/>
          <w:szCs w:val="24"/>
          <w:rtl/>
        </w:rPr>
        <w:t>בבתי</w:t>
      </w:r>
      <w:r w:rsidR="002D0CCF" w:rsidRPr="00F25744">
        <w:rPr>
          <w:rFonts w:ascii="David" w:hAnsi="David" w:cs="David" w:hint="cs"/>
          <w:sz w:val="24"/>
          <w:szCs w:val="24"/>
          <w:rtl/>
        </w:rPr>
        <w:t xml:space="preserve"> </w:t>
      </w:r>
      <w:r w:rsidRPr="00F25744">
        <w:rPr>
          <w:rFonts w:ascii="David" w:hAnsi="David" w:cs="David" w:hint="cs"/>
          <w:sz w:val="24"/>
          <w:szCs w:val="24"/>
          <w:rtl/>
        </w:rPr>
        <w:t>הדין האזוריים</w:t>
      </w:r>
      <w:r w:rsidR="005D5B46" w:rsidRPr="00F25744">
        <w:rPr>
          <w:rFonts w:ascii="David" w:hAnsi="David" w:cs="David" w:hint="cs"/>
          <w:sz w:val="24"/>
          <w:szCs w:val="24"/>
          <w:rtl/>
        </w:rPr>
        <w:t xml:space="preserve"> </w:t>
      </w:r>
      <w:r w:rsidRPr="00F25744">
        <w:rPr>
          <w:rFonts w:ascii="David" w:hAnsi="David" w:cs="David" w:hint="cs"/>
          <w:sz w:val="24"/>
          <w:szCs w:val="24"/>
          <w:rtl/>
        </w:rPr>
        <w:t>לעבודה (</w:t>
      </w:r>
      <w:r w:rsidR="002D2D06" w:rsidRPr="00F25744">
        <w:rPr>
          <w:rFonts w:ascii="David" w:hAnsi="David" w:cs="David" w:hint="cs"/>
          <w:sz w:val="24"/>
          <w:szCs w:val="24"/>
          <w:rtl/>
        </w:rPr>
        <w:t xml:space="preserve">להלן </w:t>
      </w:r>
      <w:r w:rsidR="005D5B46" w:rsidRPr="00F25744">
        <w:rPr>
          <w:rFonts w:ascii="David" w:hAnsi="David" w:cs="David" w:hint="cs"/>
          <w:sz w:val="24"/>
          <w:szCs w:val="24"/>
          <w:rtl/>
        </w:rPr>
        <w:t xml:space="preserve">גם </w:t>
      </w:r>
      <w:r w:rsidR="002D2D06" w:rsidRPr="00F25744">
        <w:rPr>
          <w:rFonts w:ascii="David" w:hAnsi="David" w:cs="David"/>
          <w:sz w:val="24"/>
          <w:szCs w:val="24"/>
          <w:rtl/>
        </w:rPr>
        <w:t>–</w:t>
      </w:r>
      <w:r w:rsidR="002D2D06" w:rsidRPr="00F25744">
        <w:rPr>
          <w:rFonts w:ascii="David" w:hAnsi="David" w:cs="David" w:hint="cs"/>
          <w:sz w:val="24"/>
          <w:szCs w:val="24"/>
          <w:rtl/>
        </w:rPr>
        <w:t xml:space="preserve"> </w:t>
      </w:r>
      <w:r w:rsidR="002D2D06" w:rsidRPr="00F25744">
        <w:rPr>
          <w:rFonts w:ascii="David" w:hAnsi="David" w:cs="David" w:hint="cs"/>
          <w:b/>
          <w:bCs/>
          <w:sz w:val="24"/>
          <w:szCs w:val="24"/>
          <w:rtl/>
        </w:rPr>
        <w:t>מחקר בתי הדין לעבודה</w:t>
      </w:r>
      <w:r w:rsidR="002D2D06" w:rsidRPr="00F25744">
        <w:rPr>
          <w:rFonts w:ascii="David" w:hAnsi="David" w:cs="David" w:hint="cs"/>
          <w:sz w:val="24"/>
          <w:szCs w:val="24"/>
          <w:rtl/>
        </w:rPr>
        <w:t>)</w:t>
      </w:r>
      <w:r w:rsidR="0060527D" w:rsidRPr="00F25744">
        <w:rPr>
          <w:rFonts w:ascii="David" w:hAnsi="David" w:cs="David" w:hint="cs"/>
          <w:sz w:val="24"/>
          <w:szCs w:val="24"/>
          <w:rtl/>
        </w:rPr>
        <w:t>.</w:t>
      </w:r>
      <w:r w:rsidRPr="00F25744">
        <w:rPr>
          <w:rStyle w:val="a6"/>
          <w:rFonts w:ascii="David" w:hAnsi="David" w:cs="David"/>
          <w:sz w:val="24"/>
          <w:szCs w:val="24"/>
          <w:rtl/>
        </w:rPr>
        <w:footnoteReference w:id="12"/>
      </w:r>
      <w:r w:rsidRPr="00F25744">
        <w:rPr>
          <w:rFonts w:ascii="David" w:hAnsi="David" w:cs="David" w:hint="cs"/>
          <w:sz w:val="24"/>
          <w:szCs w:val="24"/>
          <w:rtl/>
        </w:rPr>
        <w:t xml:space="preserve"> במסגרת הצגת ממצאי המחקר הכלל מערכתיים, </w:t>
      </w:r>
      <w:r w:rsidR="002D0CCF" w:rsidRPr="00F25744">
        <w:rPr>
          <w:rFonts w:ascii="David" w:hAnsi="David" w:cs="David" w:hint="cs"/>
          <w:sz w:val="24"/>
          <w:szCs w:val="24"/>
          <w:rtl/>
        </w:rPr>
        <w:t>נשלב</w:t>
      </w:r>
      <w:r w:rsidRPr="00F25744">
        <w:rPr>
          <w:rFonts w:ascii="David" w:hAnsi="David" w:cs="David" w:hint="cs"/>
          <w:sz w:val="24"/>
          <w:szCs w:val="24"/>
          <w:rtl/>
        </w:rPr>
        <w:t xml:space="preserve"> גם את ממצאי</w:t>
      </w:r>
      <w:r w:rsidR="002D0CCF" w:rsidRPr="00F25744">
        <w:rPr>
          <w:rFonts w:ascii="David" w:hAnsi="David" w:cs="David" w:hint="cs"/>
          <w:sz w:val="24"/>
          <w:szCs w:val="24"/>
          <w:rtl/>
        </w:rPr>
        <w:t xml:space="preserve"> מחקר בתי הדין לעבודה.</w:t>
      </w:r>
      <w:r w:rsidRPr="00F25744">
        <w:rPr>
          <w:rFonts w:ascii="David" w:hAnsi="David" w:cs="David" w:hint="cs"/>
          <w:sz w:val="24"/>
          <w:szCs w:val="24"/>
          <w:rtl/>
        </w:rPr>
        <w:t xml:space="preserve"> </w:t>
      </w:r>
    </w:p>
    <w:p w14:paraId="2F419F99" w14:textId="77777777" w:rsidR="00A54D82" w:rsidRDefault="00A54D82" w:rsidP="00BD23BB">
      <w:pPr>
        <w:pStyle w:val="a3"/>
        <w:widowControl w:val="0"/>
        <w:autoSpaceDE w:val="0"/>
        <w:autoSpaceDN w:val="0"/>
        <w:bidi/>
        <w:adjustRightInd w:val="0"/>
        <w:spacing w:before="120" w:after="0" w:line="360" w:lineRule="auto"/>
        <w:ind w:left="0"/>
        <w:rPr>
          <w:rFonts w:ascii="David" w:hAnsi="David" w:cs="David"/>
          <w:b/>
          <w:bCs/>
          <w:sz w:val="24"/>
          <w:szCs w:val="24"/>
          <w:u w:val="single"/>
          <w:rtl/>
        </w:rPr>
      </w:pPr>
    </w:p>
    <w:p w14:paraId="00592B4D" w14:textId="4ECD2642" w:rsidR="00594534" w:rsidRPr="00F25744" w:rsidRDefault="00E25AE7" w:rsidP="00A54D82">
      <w:pPr>
        <w:pStyle w:val="a3"/>
        <w:widowControl w:val="0"/>
        <w:autoSpaceDE w:val="0"/>
        <w:autoSpaceDN w:val="0"/>
        <w:bidi/>
        <w:adjustRightInd w:val="0"/>
        <w:spacing w:before="120" w:after="0" w:line="360" w:lineRule="auto"/>
        <w:ind w:left="0"/>
        <w:rPr>
          <w:rFonts w:ascii="David" w:hAnsi="David" w:cs="David"/>
          <w:b/>
          <w:bCs/>
          <w:sz w:val="24"/>
          <w:szCs w:val="24"/>
          <w:u w:val="single"/>
          <w:rtl/>
        </w:rPr>
      </w:pPr>
      <w:r w:rsidRPr="00F25744">
        <w:rPr>
          <w:rFonts w:ascii="David" w:hAnsi="David" w:cs="David" w:hint="cs"/>
          <w:b/>
          <w:bCs/>
          <w:sz w:val="24"/>
          <w:szCs w:val="24"/>
          <w:u w:val="single"/>
          <w:rtl/>
        </w:rPr>
        <w:t>חידוש</w:t>
      </w:r>
      <w:r w:rsidR="007F3A52" w:rsidRPr="00F25744">
        <w:rPr>
          <w:rFonts w:ascii="David" w:hAnsi="David" w:cs="David" w:hint="cs"/>
          <w:b/>
          <w:bCs/>
          <w:sz w:val="24"/>
          <w:szCs w:val="24"/>
          <w:u w:val="single"/>
          <w:rtl/>
        </w:rPr>
        <w:t xml:space="preserve"> וטיוב מדד משקלות התיקים </w:t>
      </w:r>
    </w:p>
    <w:p w14:paraId="77DEEBF5" w14:textId="77777777" w:rsidR="00594534" w:rsidRPr="00F25744" w:rsidRDefault="00E25AE7" w:rsidP="00BD23BB">
      <w:pPr>
        <w:pStyle w:val="a3"/>
        <w:widowControl w:val="0"/>
        <w:autoSpaceDE w:val="0"/>
        <w:autoSpaceDN w:val="0"/>
        <w:bidi/>
        <w:adjustRightInd w:val="0"/>
        <w:spacing w:before="120" w:after="0" w:line="360" w:lineRule="auto"/>
        <w:ind w:left="0"/>
        <w:rPr>
          <w:rFonts w:ascii="David" w:hAnsi="David" w:cs="David"/>
          <w:sz w:val="24"/>
          <w:szCs w:val="24"/>
          <w:rtl/>
        </w:rPr>
      </w:pPr>
      <w:r w:rsidRPr="00F25744">
        <w:rPr>
          <w:rFonts w:ascii="David" w:hAnsi="David" w:cs="David" w:hint="cs"/>
          <w:sz w:val="24"/>
          <w:szCs w:val="24"/>
          <w:rtl/>
        </w:rPr>
        <w:t>מדד משקלות התיקים נערך על ידי מחלקת המחקר בראשות ד"ר קרן וינשל</w:t>
      </w:r>
      <w:r w:rsidR="007C477F" w:rsidRPr="00F25744">
        <w:rPr>
          <w:rFonts w:ascii="David" w:hAnsi="David" w:cs="David" w:hint="cs"/>
          <w:sz w:val="24"/>
          <w:szCs w:val="24"/>
          <w:rtl/>
        </w:rPr>
        <w:t>-מרגל</w:t>
      </w:r>
      <w:r w:rsidR="00083EC6" w:rsidRPr="00F25744">
        <w:rPr>
          <w:rFonts w:ascii="David" w:hAnsi="David" w:cs="David" w:hint="cs"/>
          <w:sz w:val="24"/>
          <w:szCs w:val="24"/>
          <w:rtl/>
        </w:rPr>
        <w:t xml:space="preserve"> (מנהלת מחלקת המחקר דאז)</w:t>
      </w:r>
      <w:r w:rsidRPr="00F25744">
        <w:rPr>
          <w:rFonts w:ascii="David" w:hAnsi="David" w:cs="David" w:hint="cs"/>
          <w:sz w:val="24"/>
          <w:szCs w:val="24"/>
          <w:rtl/>
        </w:rPr>
        <w:t>, בשנת 2012 ופורסם בחודש ינואר 2013,</w:t>
      </w:r>
      <w:r w:rsidRPr="00F25744">
        <w:rPr>
          <w:rFonts w:ascii="David" w:hAnsi="David" w:cs="David"/>
          <w:sz w:val="24"/>
          <w:szCs w:val="24"/>
          <w:rtl/>
        </w:rPr>
        <w:t xml:space="preserve"> </w:t>
      </w:r>
      <w:r w:rsidRPr="00F25744">
        <w:rPr>
          <w:rFonts w:ascii="David" w:hAnsi="David" w:cs="David" w:hint="cs"/>
          <w:sz w:val="24"/>
          <w:szCs w:val="24"/>
          <w:rtl/>
        </w:rPr>
        <w:t>עם</w:t>
      </w:r>
      <w:r w:rsidRPr="00F25744">
        <w:rPr>
          <w:rFonts w:ascii="David" w:hAnsi="David" w:cs="David"/>
          <w:sz w:val="24"/>
          <w:szCs w:val="24"/>
          <w:rtl/>
        </w:rPr>
        <w:t xml:space="preserve"> </w:t>
      </w:r>
      <w:r w:rsidRPr="00F25744">
        <w:rPr>
          <w:rFonts w:ascii="David" w:hAnsi="David" w:cs="David" w:hint="cs"/>
          <w:sz w:val="24"/>
          <w:szCs w:val="24"/>
          <w:rtl/>
        </w:rPr>
        <w:t>המלצה</w:t>
      </w:r>
      <w:r w:rsidRPr="00F25744">
        <w:rPr>
          <w:rFonts w:ascii="David" w:hAnsi="David" w:cs="David"/>
          <w:sz w:val="24"/>
          <w:szCs w:val="24"/>
          <w:rtl/>
        </w:rPr>
        <w:t xml:space="preserve"> </w:t>
      </w:r>
      <w:r w:rsidRPr="00F25744">
        <w:rPr>
          <w:rFonts w:ascii="David" w:hAnsi="David" w:cs="David" w:hint="cs"/>
          <w:sz w:val="24"/>
          <w:szCs w:val="24"/>
          <w:rtl/>
        </w:rPr>
        <w:t>לבחון את הצורך בחידושו בבוא העת; אם כתוצאה משינויי חקיקה רלבנטיים, ואם בחלוף פרקי</w:t>
      </w:r>
      <w:r w:rsidRPr="00F25744">
        <w:rPr>
          <w:rFonts w:ascii="David" w:hAnsi="David" w:cs="David"/>
          <w:sz w:val="24"/>
          <w:szCs w:val="24"/>
          <w:rtl/>
        </w:rPr>
        <w:t xml:space="preserve"> </w:t>
      </w:r>
      <w:r w:rsidRPr="00F25744">
        <w:rPr>
          <w:rFonts w:ascii="David" w:hAnsi="David" w:cs="David" w:hint="cs"/>
          <w:sz w:val="24"/>
          <w:szCs w:val="24"/>
          <w:rtl/>
        </w:rPr>
        <w:t>זמן</w:t>
      </w:r>
      <w:r w:rsidRPr="00F25744">
        <w:rPr>
          <w:rFonts w:ascii="David" w:hAnsi="David" w:cs="David"/>
          <w:sz w:val="24"/>
          <w:szCs w:val="24"/>
          <w:rtl/>
        </w:rPr>
        <w:t xml:space="preserve"> </w:t>
      </w:r>
      <w:r w:rsidRPr="00F25744">
        <w:rPr>
          <w:rFonts w:ascii="David" w:hAnsi="David" w:cs="David" w:hint="cs"/>
          <w:sz w:val="24"/>
          <w:szCs w:val="24"/>
          <w:rtl/>
        </w:rPr>
        <w:t>קבועים</w:t>
      </w:r>
      <w:r w:rsidRPr="00F25744">
        <w:rPr>
          <w:rFonts w:ascii="David" w:hAnsi="David" w:cs="David"/>
          <w:sz w:val="24"/>
          <w:szCs w:val="24"/>
          <w:rtl/>
        </w:rPr>
        <w:t xml:space="preserve"> </w:t>
      </w:r>
      <w:r w:rsidRPr="00F25744">
        <w:rPr>
          <w:rFonts w:ascii="David" w:hAnsi="David" w:cs="David" w:hint="cs"/>
          <w:sz w:val="24"/>
          <w:szCs w:val="24"/>
          <w:rtl/>
        </w:rPr>
        <w:t>של</w:t>
      </w:r>
      <w:r w:rsidRPr="00F25744">
        <w:rPr>
          <w:rFonts w:ascii="David" w:hAnsi="David" w:cs="David"/>
          <w:sz w:val="24"/>
          <w:szCs w:val="24"/>
          <w:rtl/>
        </w:rPr>
        <w:t xml:space="preserve"> </w:t>
      </w:r>
      <w:r w:rsidRPr="00F25744">
        <w:rPr>
          <w:rFonts w:ascii="David" w:hAnsi="David" w:cs="David" w:hint="cs"/>
          <w:sz w:val="24"/>
          <w:szCs w:val="24"/>
          <w:rtl/>
        </w:rPr>
        <w:t>כחמש</w:t>
      </w:r>
      <w:r w:rsidRPr="00F25744">
        <w:rPr>
          <w:rFonts w:ascii="David" w:hAnsi="David" w:cs="David"/>
          <w:sz w:val="24"/>
          <w:szCs w:val="24"/>
          <w:rtl/>
        </w:rPr>
        <w:t xml:space="preserve"> </w:t>
      </w:r>
      <w:r w:rsidRPr="00F25744">
        <w:rPr>
          <w:rFonts w:ascii="David" w:hAnsi="David" w:cs="David" w:hint="cs"/>
          <w:sz w:val="24"/>
          <w:szCs w:val="24"/>
          <w:rtl/>
        </w:rPr>
        <w:t>שנים</w:t>
      </w:r>
      <w:r w:rsidRPr="00F25744">
        <w:rPr>
          <w:rFonts w:ascii="David" w:hAnsi="David" w:cs="David"/>
          <w:sz w:val="24"/>
          <w:szCs w:val="24"/>
          <w:rtl/>
        </w:rPr>
        <w:t xml:space="preserve"> </w:t>
      </w:r>
      <w:r w:rsidRPr="00F25744">
        <w:rPr>
          <w:rFonts w:ascii="David" w:hAnsi="David" w:cs="David" w:hint="cs"/>
          <w:sz w:val="24"/>
          <w:szCs w:val="24"/>
          <w:rtl/>
        </w:rPr>
        <w:t xml:space="preserve">ומעלה.  </w:t>
      </w:r>
    </w:p>
    <w:p w14:paraId="3E0EFEAE" w14:textId="77777777" w:rsidR="00594534" w:rsidRPr="00F25744" w:rsidRDefault="00E25AE7" w:rsidP="00BD23BB">
      <w:pPr>
        <w:pStyle w:val="a3"/>
        <w:widowControl w:val="0"/>
        <w:autoSpaceDE w:val="0"/>
        <w:autoSpaceDN w:val="0"/>
        <w:bidi/>
        <w:adjustRightInd w:val="0"/>
        <w:spacing w:before="120" w:after="0" w:line="360" w:lineRule="auto"/>
        <w:ind w:left="0"/>
        <w:rPr>
          <w:rFonts w:ascii="David" w:hAnsi="David" w:cs="David"/>
          <w:sz w:val="24"/>
          <w:szCs w:val="24"/>
          <w:rtl/>
        </w:rPr>
      </w:pPr>
      <w:r w:rsidRPr="00F25744">
        <w:rPr>
          <w:rFonts w:ascii="David" w:hAnsi="David" w:cs="David" w:hint="cs"/>
          <w:sz w:val="24"/>
          <w:szCs w:val="24"/>
          <w:rtl/>
        </w:rPr>
        <w:t>המחקר הקודם, שהיה חדשני ופורץ דרך בתחומו, העמיד, לראשונה בישראל, מדד הקובע את משך זמן העבודה הממוצע ששופט</w:t>
      </w:r>
      <w:r w:rsidR="00375EA7" w:rsidRPr="00F25744">
        <w:rPr>
          <w:rFonts w:ascii="David" w:hAnsi="David" w:cs="David" w:hint="cs"/>
          <w:sz w:val="24"/>
          <w:szCs w:val="24"/>
          <w:rtl/>
        </w:rPr>
        <w:t xml:space="preserve"> או </w:t>
      </w:r>
      <w:r w:rsidRPr="00F25744">
        <w:rPr>
          <w:rFonts w:ascii="David" w:hAnsi="David" w:cs="David" w:hint="cs"/>
          <w:sz w:val="24"/>
          <w:szCs w:val="24"/>
          <w:rtl/>
        </w:rPr>
        <w:t>רשם מקדישים לטיפול בתיק הממוצע ב</w:t>
      </w:r>
      <w:r w:rsidR="00375EA7" w:rsidRPr="00F25744">
        <w:rPr>
          <w:rFonts w:ascii="David" w:hAnsi="David" w:cs="David" w:hint="cs"/>
          <w:sz w:val="24"/>
          <w:szCs w:val="24"/>
          <w:rtl/>
        </w:rPr>
        <w:t>-101 סוגי תיקים הקיימים במערכת</w:t>
      </w:r>
      <w:r w:rsidRPr="00F25744">
        <w:rPr>
          <w:rFonts w:ascii="David" w:hAnsi="David" w:cs="David" w:hint="cs"/>
          <w:sz w:val="24"/>
          <w:szCs w:val="24"/>
          <w:rtl/>
        </w:rPr>
        <w:t>, מתחילת הטיפול באותו סוג תיק ועד לסגירתו בפסק דין או בהחלטה סוגרת אחרת. מדד זה שימש את ראשי המערכת עד כה לצרכי השוואת עומסים ברמת הערכאה, המחוז ובתי המשפט השונים, כמו גם לצורך קביעת דרישות התקינה והאיוש של גורמי השיפוט במערכת.</w:t>
      </w:r>
    </w:p>
    <w:p w14:paraId="604D37FE" w14:textId="77777777" w:rsidR="00594534" w:rsidRPr="00F25744" w:rsidRDefault="00E25AE7" w:rsidP="00BD23BB">
      <w:pPr>
        <w:pStyle w:val="a3"/>
        <w:widowControl w:val="0"/>
        <w:autoSpaceDE w:val="0"/>
        <w:autoSpaceDN w:val="0"/>
        <w:bidi/>
        <w:adjustRightInd w:val="0"/>
        <w:spacing w:before="120" w:after="0" w:line="360" w:lineRule="auto"/>
        <w:ind w:left="0"/>
        <w:rPr>
          <w:rFonts w:ascii="David" w:hAnsi="David" w:cs="David"/>
          <w:sz w:val="24"/>
          <w:szCs w:val="24"/>
          <w:rtl/>
        </w:rPr>
      </w:pPr>
      <w:r w:rsidRPr="00F25744">
        <w:rPr>
          <w:rFonts w:ascii="David" w:hAnsi="David" w:cs="David" w:hint="cs"/>
          <w:sz w:val="24"/>
          <w:szCs w:val="24"/>
          <w:rtl/>
        </w:rPr>
        <w:t>הצורך הממשי והדחוף בחידוש מדד משקלות התיקים עלה נוכח השיקולים הבאים: חלוף כ</w:t>
      </w:r>
      <w:r w:rsidR="00471AED" w:rsidRPr="00F25744">
        <w:rPr>
          <w:rFonts w:ascii="David" w:hAnsi="David" w:cs="David" w:hint="cs"/>
          <w:sz w:val="24"/>
          <w:szCs w:val="24"/>
          <w:rtl/>
        </w:rPr>
        <w:t xml:space="preserve">שבע </w:t>
      </w:r>
      <w:r w:rsidRPr="00F25744">
        <w:rPr>
          <w:rFonts w:ascii="David" w:hAnsi="David" w:cs="David" w:hint="cs"/>
          <w:sz w:val="24"/>
          <w:szCs w:val="24"/>
          <w:rtl/>
        </w:rPr>
        <w:t xml:space="preserve">שנים ממועד עריכת המחקר הקודם; חידושי חקיקה אשר הביאו לעולם סוגי תיקים חדשים אשר לא נבחנו במחקר הקודם; חידושים מהותיים שהתגבשו בספרות המחקרית שנצברה מאז </w:t>
      </w:r>
      <w:r w:rsidR="00CE44A4" w:rsidRPr="00F25744">
        <w:rPr>
          <w:rFonts w:ascii="David" w:hAnsi="David" w:cs="David" w:hint="cs"/>
          <w:sz w:val="24"/>
          <w:szCs w:val="24"/>
          <w:rtl/>
        </w:rPr>
        <w:t>ה</w:t>
      </w:r>
      <w:r w:rsidRPr="00F25744">
        <w:rPr>
          <w:rFonts w:ascii="David" w:hAnsi="David" w:cs="David" w:hint="cs"/>
          <w:sz w:val="24"/>
          <w:szCs w:val="24"/>
          <w:rtl/>
        </w:rPr>
        <w:t>מחקר הקודם, ואשר מצביעים על שינוי ברור בשיטת המחקר, בכלי המחקר, ובתוצרי המדד הסופיים של עומסי עבודה שיפוטית בעולם המערבי; קריאות מצד שופטי המערכת לחדש את המדד</w:t>
      </w:r>
      <w:r w:rsidR="00FD544B" w:rsidRPr="00F25744">
        <w:rPr>
          <w:rFonts w:ascii="David" w:hAnsi="David" w:cs="David" w:hint="cs"/>
          <w:sz w:val="24"/>
          <w:szCs w:val="24"/>
          <w:rtl/>
        </w:rPr>
        <w:t xml:space="preserve"> ולבחון במסגרתו עניינים נוספים</w:t>
      </w:r>
      <w:r w:rsidRPr="00F25744">
        <w:rPr>
          <w:rFonts w:ascii="David" w:hAnsi="David" w:cs="David" w:hint="cs"/>
          <w:sz w:val="24"/>
          <w:szCs w:val="24"/>
          <w:rtl/>
        </w:rPr>
        <w:t>; ניהול שונה של התיקים, בין היתר כתוצאה מן ההתקדמות הטכנולוגית בשנים האחרונות ועוד. כל אלו הובילו למסקנה כי הגיעה העת לחדש את המדד ולטייבו, על מנת שיוכל לענות על הצורך הדחוף של ראשי המערכת במדד מדויק ומעודכן לשם ניהול מערכת המשפט.</w:t>
      </w:r>
    </w:p>
    <w:p w14:paraId="0D6A02DD" w14:textId="77777777" w:rsidR="00594534" w:rsidRPr="00F25744" w:rsidRDefault="00594534" w:rsidP="00BD23BB">
      <w:pPr>
        <w:pStyle w:val="a3"/>
        <w:widowControl w:val="0"/>
        <w:autoSpaceDE w:val="0"/>
        <w:autoSpaceDN w:val="0"/>
        <w:bidi/>
        <w:adjustRightInd w:val="0"/>
        <w:spacing w:after="0" w:line="240" w:lineRule="auto"/>
        <w:ind w:left="0"/>
        <w:rPr>
          <w:rFonts w:ascii="David" w:hAnsi="David" w:cs="David"/>
          <w:sz w:val="24"/>
          <w:szCs w:val="24"/>
          <w:rtl/>
        </w:rPr>
      </w:pPr>
    </w:p>
    <w:p w14:paraId="36FC87DE" w14:textId="77777777" w:rsidR="00594534" w:rsidRPr="00F25744" w:rsidRDefault="00E25AE7" w:rsidP="00490D6F">
      <w:pPr>
        <w:pStyle w:val="a3"/>
        <w:widowControl w:val="0"/>
        <w:autoSpaceDE w:val="0"/>
        <w:autoSpaceDN w:val="0"/>
        <w:bidi/>
        <w:adjustRightInd w:val="0"/>
        <w:spacing w:after="0" w:line="360" w:lineRule="auto"/>
        <w:ind w:left="0"/>
        <w:rPr>
          <w:rFonts w:ascii="David" w:hAnsi="David" w:cs="David"/>
          <w:sz w:val="24"/>
          <w:szCs w:val="24"/>
          <w:lang w:val="en-US"/>
        </w:rPr>
      </w:pPr>
      <w:r w:rsidRPr="00F25744">
        <w:rPr>
          <w:rFonts w:ascii="David" w:hAnsi="David" w:cs="David" w:hint="cs"/>
          <w:sz w:val="24"/>
          <w:szCs w:val="24"/>
          <w:rtl/>
        </w:rPr>
        <w:t xml:space="preserve">בקליפת אגוז, אלו </w:t>
      </w:r>
      <w:r w:rsidRPr="00F25744">
        <w:rPr>
          <w:rFonts w:ascii="David" w:hAnsi="David" w:cs="David"/>
          <w:sz w:val="24"/>
          <w:szCs w:val="24"/>
          <w:rtl/>
        </w:rPr>
        <w:t>החידושים</w:t>
      </w:r>
      <w:r w:rsidRPr="00F25744">
        <w:rPr>
          <w:rFonts w:ascii="David" w:hAnsi="David" w:cs="David" w:hint="cs"/>
          <w:sz w:val="24"/>
          <w:szCs w:val="24"/>
          <w:rtl/>
        </w:rPr>
        <w:t xml:space="preserve"> והשיפורים</w:t>
      </w:r>
      <w:r w:rsidRPr="00F25744">
        <w:rPr>
          <w:rFonts w:ascii="David" w:hAnsi="David" w:cs="David"/>
          <w:sz w:val="24"/>
          <w:szCs w:val="24"/>
          <w:rtl/>
        </w:rPr>
        <w:t xml:space="preserve"> במחקר הנוכחי לעומת ה</w:t>
      </w:r>
      <w:r w:rsidRPr="00F25744">
        <w:rPr>
          <w:rFonts w:ascii="David" w:hAnsi="David" w:cs="David" w:hint="cs"/>
          <w:sz w:val="24"/>
          <w:szCs w:val="24"/>
          <w:rtl/>
        </w:rPr>
        <w:t>מחקר ה</w:t>
      </w:r>
      <w:r w:rsidRPr="00F25744">
        <w:rPr>
          <w:rFonts w:ascii="David" w:hAnsi="David" w:cs="David"/>
          <w:sz w:val="24"/>
          <w:szCs w:val="24"/>
          <w:rtl/>
        </w:rPr>
        <w:t>קודם:</w:t>
      </w:r>
    </w:p>
    <w:p w14:paraId="10F5103D" w14:textId="77777777" w:rsidR="00594534" w:rsidRPr="00F25744" w:rsidRDefault="00E25AE7" w:rsidP="00471AED">
      <w:pPr>
        <w:pStyle w:val="a3"/>
        <w:widowControl w:val="0"/>
        <w:numPr>
          <w:ilvl w:val="0"/>
          <w:numId w:val="2"/>
        </w:numPr>
        <w:autoSpaceDE w:val="0"/>
        <w:autoSpaceDN w:val="0"/>
        <w:bidi/>
        <w:adjustRightInd w:val="0"/>
        <w:spacing w:after="0" w:line="360" w:lineRule="auto"/>
        <w:rPr>
          <w:rFonts w:ascii="David" w:hAnsi="David" w:cs="David"/>
          <w:sz w:val="24"/>
          <w:szCs w:val="24"/>
          <w:rtl/>
        </w:rPr>
      </w:pPr>
      <w:r w:rsidRPr="00F25744">
        <w:rPr>
          <w:rFonts w:ascii="David" w:hAnsi="David" w:cs="David" w:hint="cs"/>
          <w:b/>
          <w:bCs/>
          <w:sz w:val="24"/>
          <w:szCs w:val="24"/>
          <w:rtl/>
        </w:rPr>
        <w:t xml:space="preserve">מחקר זמנים </w:t>
      </w:r>
      <w:r w:rsidR="0062097F" w:rsidRPr="00F25744">
        <w:rPr>
          <w:rFonts w:ascii="David" w:hAnsi="David" w:cs="David"/>
          <w:sz w:val="24"/>
          <w:szCs w:val="24"/>
          <w:rtl/>
        </w:rPr>
        <w:t>–</w:t>
      </w:r>
      <w:r w:rsidRPr="00F25744">
        <w:rPr>
          <w:rFonts w:ascii="David" w:hAnsi="David" w:cs="David" w:hint="cs"/>
          <w:b/>
          <w:bCs/>
          <w:sz w:val="24"/>
          <w:szCs w:val="24"/>
          <w:rtl/>
        </w:rPr>
        <w:t xml:space="preserve"> מדידת </w:t>
      </w:r>
      <w:r w:rsidRPr="00F25744">
        <w:rPr>
          <w:rFonts w:ascii="David" w:hAnsi="David" w:cs="David" w:hint="cs"/>
          <w:sz w:val="24"/>
          <w:szCs w:val="24"/>
          <w:rtl/>
        </w:rPr>
        <w:t>זמני הטיפול בתיקים</w:t>
      </w:r>
      <w:r w:rsidRPr="00F25744">
        <w:rPr>
          <w:rFonts w:ascii="David" w:hAnsi="David" w:cs="David" w:hint="cs"/>
          <w:b/>
          <w:bCs/>
          <w:sz w:val="24"/>
          <w:szCs w:val="24"/>
          <w:rtl/>
        </w:rPr>
        <w:t xml:space="preserve"> בזמן אמת, </w:t>
      </w:r>
      <w:r w:rsidRPr="00F25744">
        <w:rPr>
          <w:rFonts w:ascii="David" w:hAnsi="David" w:cs="David"/>
          <w:sz w:val="24"/>
          <w:szCs w:val="24"/>
          <w:rtl/>
        </w:rPr>
        <w:t>באמצעות היומנים שמ</w:t>
      </w:r>
      <w:r w:rsidRPr="00F25744">
        <w:rPr>
          <w:rFonts w:ascii="David" w:hAnsi="David" w:cs="David" w:hint="cs"/>
          <w:sz w:val="24"/>
          <w:szCs w:val="24"/>
          <w:rtl/>
        </w:rPr>
        <w:t xml:space="preserve">ילאו </w:t>
      </w:r>
      <w:r w:rsidRPr="00F25744">
        <w:rPr>
          <w:rFonts w:ascii="David" w:hAnsi="David" w:cs="David"/>
          <w:sz w:val="24"/>
          <w:szCs w:val="24"/>
          <w:rtl/>
        </w:rPr>
        <w:t>השופטים והקלדניות ב</w:t>
      </w:r>
      <w:r w:rsidRPr="00F25744">
        <w:rPr>
          <w:rFonts w:ascii="David" w:hAnsi="David" w:cs="David" w:hint="cs"/>
          <w:sz w:val="24"/>
          <w:szCs w:val="24"/>
          <w:rtl/>
        </w:rPr>
        <w:t>תקופת ה</w:t>
      </w:r>
      <w:r w:rsidRPr="00F25744">
        <w:rPr>
          <w:rFonts w:ascii="David" w:hAnsi="David" w:cs="David"/>
          <w:sz w:val="24"/>
          <w:szCs w:val="24"/>
          <w:rtl/>
        </w:rPr>
        <w:t>מחקר הנוכחי</w:t>
      </w:r>
      <w:r w:rsidRPr="00F25744">
        <w:rPr>
          <w:rFonts w:ascii="David" w:hAnsi="David" w:cs="David" w:hint="cs"/>
          <w:sz w:val="24"/>
          <w:szCs w:val="24"/>
          <w:rtl/>
        </w:rPr>
        <w:t>, לעומת</w:t>
      </w:r>
      <w:r w:rsidRPr="00F25744">
        <w:rPr>
          <w:rFonts w:ascii="David" w:hAnsi="David" w:cs="David" w:hint="cs"/>
          <w:b/>
          <w:bCs/>
          <w:sz w:val="24"/>
          <w:szCs w:val="24"/>
          <w:rtl/>
        </w:rPr>
        <w:t xml:space="preserve"> </w:t>
      </w:r>
      <w:r w:rsidRPr="00F25744">
        <w:rPr>
          <w:rFonts w:ascii="David" w:hAnsi="David" w:cs="David"/>
          <w:b/>
          <w:bCs/>
          <w:sz w:val="24"/>
          <w:szCs w:val="24"/>
          <w:rtl/>
        </w:rPr>
        <w:t>שיטת הדלפי</w:t>
      </w:r>
      <w:r w:rsidRPr="00F25744">
        <w:rPr>
          <w:rFonts w:ascii="David" w:hAnsi="David" w:cs="David"/>
          <w:sz w:val="24"/>
          <w:szCs w:val="24"/>
          <w:rtl/>
        </w:rPr>
        <w:t xml:space="preserve"> (</w:t>
      </w:r>
      <w:r w:rsidR="00471AED" w:rsidRPr="00F25744">
        <w:rPr>
          <w:rFonts w:ascii="David" w:hAnsi="David" w:cs="David" w:hint="cs"/>
          <w:sz w:val="24"/>
          <w:szCs w:val="24"/>
          <w:rtl/>
        </w:rPr>
        <w:t xml:space="preserve">המבוססת על </w:t>
      </w:r>
      <w:r w:rsidRPr="00F25744">
        <w:rPr>
          <w:rFonts w:ascii="David" w:hAnsi="David" w:cs="David"/>
          <w:b/>
          <w:bCs/>
          <w:sz w:val="24"/>
          <w:szCs w:val="24"/>
          <w:rtl/>
        </w:rPr>
        <w:t>הערכה</w:t>
      </w:r>
      <w:r w:rsidRPr="00F25744">
        <w:rPr>
          <w:rFonts w:ascii="David" w:hAnsi="David" w:cs="David"/>
          <w:sz w:val="24"/>
          <w:szCs w:val="24"/>
          <w:rtl/>
        </w:rPr>
        <w:t xml:space="preserve"> ע</w:t>
      </w:r>
      <w:r w:rsidR="00471AED" w:rsidRPr="00F25744">
        <w:rPr>
          <w:rFonts w:ascii="David" w:hAnsi="David" w:cs="David" w:hint="cs"/>
          <w:sz w:val="24"/>
          <w:szCs w:val="24"/>
          <w:rtl/>
        </w:rPr>
        <w:t xml:space="preserve">ל ידי </w:t>
      </w:r>
      <w:r w:rsidRPr="00F25744">
        <w:rPr>
          <w:rFonts w:ascii="David" w:hAnsi="David" w:cs="David"/>
          <w:sz w:val="24"/>
          <w:szCs w:val="24"/>
          <w:rtl/>
        </w:rPr>
        <w:t>מומחים) במחקר הקודם</w:t>
      </w:r>
      <w:r w:rsidRPr="00F25744">
        <w:rPr>
          <w:rFonts w:ascii="David" w:hAnsi="David" w:cs="David" w:hint="cs"/>
          <w:sz w:val="24"/>
          <w:szCs w:val="24"/>
          <w:rtl/>
        </w:rPr>
        <w:t xml:space="preserve"> (הרחבה על שיטת המחקר הקודם תינתן בפרק</w:t>
      </w:r>
      <w:r w:rsidR="00C01A9C" w:rsidRPr="00F25744">
        <w:rPr>
          <w:rFonts w:ascii="David" w:hAnsi="David" w:cs="David" w:hint="cs"/>
          <w:sz w:val="24"/>
          <w:szCs w:val="24"/>
          <w:rtl/>
        </w:rPr>
        <w:t xml:space="preserve"> 1).</w:t>
      </w:r>
    </w:p>
    <w:p w14:paraId="247CBDAB" w14:textId="77777777" w:rsidR="00594534" w:rsidRPr="00F25744" w:rsidRDefault="00E25AE7" w:rsidP="00FC61A8">
      <w:pPr>
        <w:pStyle w:val="a3"/>
        <w:widowControl w:val="0"/>
        <w:numPr>
          <w:ilvl w:val="0"/>
          <w:numId w:val="2"/>
        </w:numPr>
        <w:autoSpaceDE w:val="0"/>
        <w:autoSpaceDN w:val="0"/>
        <w:bidi/>
        <w:adjustRightInd w:val="0"/>
        <w:spacing w:after="0" w:line="360" w:lineRule="auto"/>
        <w:rPr>
          <w:rFonts w:ascii="David" w:hAnsi="David" w:cs="David"/>
          <w:sz w:val="24"/>
          <w:szCs w:val="24"/>
        </w:rPr>
      </w:pPr>
      <w:r w:rsidRPr="00F25744">
        <w:rPr>
          <w:rFonts w:ascii="David" w:hAnsi="David" w:cs="David" w:hint="cs"/>
          <w:b/>
          <w:bCs/>
          <w:sz w:val="24"/>
          <w:szCs w:val="24"/>
          <w:rtl/>
        </w:rPr>
        <w:t>גודל</w:t>
      </w:r>
      <w:r w:rsidR="00FC61A8" w:rsidRPr="00F25744">
        <w:rPr>
          <w:rFonts w:ascii="David" w:hAnsi="David" w:cs="David" w:hint="cs"/>
          <w:b/>
          <w:bCs/>
          <w:sz w:val="24"/>
          <w:szCs w:val="24"/>
          <w:rtl/>
        </w:rPr>
        <w:t xml:space="preserve"> ושונות</w:t>
      </w:r>
      <w:r w:rsidRPr="00F25744">
        <w:rPr>
          <w:rFonts w:ascii="David" w:hAnsi="David" w:cs="David" w:hint="cs"/>
          <w:b/>
          <w:bCs/>
          <w:sz w:val="24"/>
          <w:szCs w:val="24"/>
          <w:rtl/>
        </w:rPr>
        <w:t xml:space="preserve"> האוכלוסייה</w:t>
      </w:r>
      <w:r w:rsidRPr="00F25744">
        <w:rPr>
          <w:rFonts w:ascii="David" w:hAnsi="David" w:cs="David" w:hint="cs"/>
          <w:sz w:val="24"/>
          <w:szCs w:val="24"/>
          <w:rtl/>
        </w:rPr>
        <w:t xml:space="preserve"> </w:t>
      </w:r>
      <w:r w:rsidR="0062097F" w:rsidRPr="00F25744">
        <w:rPr>
          <w:rFonts w:ascii="David" w:hAnsi="David" w:cs="David"/>
          <w:sz w:val="24"/>
          <w:szCs w:val="24"/>
          <w:rtl/>
        </w:rPr>
        <w:t>–</w:t>
      </w:r>
      <w:r w:rsidRPr="00F25744">
        <w:rPr>
          <w:rFonts w:ascii="David" w:hAnsi="David" w:cs="David" w:hint="cs"/>
          <w:sz w:val="24"/>
          <w:szCs w:val="24"/>
          <w:rtl/>
        </w:rPr>
        <w:t xml:space="preserve"> </w:t>
      </w:r>
      <w:r w:rsidRPr="00F25744">
        <w:rPr>
          <w:rFonts w:ascii="David" w:hAnsi="David" w:cs="David"/>
          <w:sz w:val="24"/>
          <w:szCs w:val="24"/>
          <w:rtl/>
        </w:rPr>
        <w:t xml:space="preserve">השתתפות של </w:t>
      </w:r>
      <w:r w:rsidRPr="00F25744">
        <w:rPr>
          <w:rFonts w:ascii="David" w:hAnsi="David" w:cs="David" w:hint="cs"/>
          <w:b/>
          <w:bCs/>
          <w:sz w:val="24"/>
          <w:szCs w:val="24"/>
          <w:rtl/>
        </w:rPr>
        <w:t>רוב</w:t>
      </w:r>
      <w:r w:rsidRPr="00F25744">
        <w:rPr>
          <w:rFonts w:ascii="David" w:hAnsi="David" w:cs="David"/>
          <w:b/>
          <w:bCs/>
          <w:sz w:val="24"/>
          <w:szCs w:val="24"/>
          <w:rtl/>
        </w:rPr>
        <w:t xml:space="preserve"> שופטי המחוזי, השלום, הנוער, המשפחה</w:t>
      </w:r>
      <w:r w:rsidRPr="00F25744">
        <w:rPr>
          <w:rFonts w:ascii="David" w:hAnsi="David" w:cs="David" w:hint="cs"/>
          <w:b/>
          <w:bCs/>
          <w:sz w:val="24"/>
          <w:szCs w:val="24"/>
          <w:rtl/>
        </w:rPr>
        <w:t>,</w:t>
      </w:r>
      <w:r w:rsidRPr="00F25744">
        <w:rPr>
          <w:rFonts w:ascii="David" w:hAnsi="David" w:cs="David"/>
          <w:b/>
          <w:bCs/>
          <w:sz w:val="24"/>
          <w:szCs w:val="24"/>
          <w:rtl/>
        </w:rPr>
        <w:t xml:space="preserve"> התעבורה</w:t>
      </w:r>
      <w:r w:rsidRPr="00F25744">
        <w:rPr>
          <w:rFonts w:ascii="David" w:hAnsi="David" w:cs="David" w:hint="cs"/>
          <w:b/>
          <w:bCs/>
          <w:sz w:val="24"/>
          <w:szCs w:val="24"/>
          <w:rtl/>
        </w:rPr>
        <w:t xml:space="preserve"> והעבודה</w:t>
      </w:r>
      <w:r w:rsidRPr="00F25744">
        <w:rPr>
          <w:rFonts w:ascii="David" w:hAnsi="David" w:cs="David"/>
          <w:b/>
          <w:bCs/>
          <w:sz w:val="24"/>
          <w:szCs w:val="24"/>
          <w:rtl/>
        </w:rPr>
        <w:t xml:space="preserve"> </w:t>
      </w:r>
      <w:r w:rsidRPr="00F25744">
        <w:rPr>
          <w:rFonts w:ascii="David" w:hAnsi="David" w:cs="David"/>
          <w:sz w:val="24"/>
          <w:szCs w:val="24"/>
          <w:rtl/>
        </w:rPr>
        <w:t>במחקר הנוכחי</w:t>
      </w:r>
      <w:r w:rsidRPr="00F25744">
        <w:rPr>
          <w:rFonts w:ascii="David" w:hAnsi="David" w:cs="David" w:hint="cs"/>
          <w:sz w:val="24"/>
          <w:szCs w:val="24"/>
          <w:rtl/>
        </w:rPr>
        <w:t xml:space="preserve">, הן חדשים והן ותיקים, לרבות </w:t>
      </w:r>
      <w:r w:rsidRPr="00F25744">
        <w:rPr>
          <w:rFonts w:ascii="David" w:hAnsi="David" w:cs="David" w:hint="cs"/>
          <w:b/>
          <w:bCs/>
          <w:sz w:val="24"/>
          <w:szCs w:val="24"/>
          <w:rtl/>
        </w:rPr>
        <w:t>רשמים</w:t>
      </w:r>
      <w:r w:rsidRPr="00F25744">
        <w:rPr>
          <w:rFonts w:ascii="David" w:hAnsi="David" w:cs="David" w:hint="cs"/>
          <w:sz w:val="24"/>
          <w:szCs w:val="24"/>
          <w:rtl/>
        </w:rPr>
        <w:t>, לעומת השתתפות של</w:t>
      </w:r>
      <w:r w:rsidRPr="00F25744">
        <w:rPr>
          <w:rFonts w:ascii="David" w:hAnsi="David" w:cs="David"/>
          <w:sz w:val="24"/>
          <w:szCs w:val="24"/>
          <w:rtl/>
        </w:rPr>
        <w:t xml:space="preserve"> </w:t>
      </w:r>
      <w:r w:rsidRPr="00F25744">
        <w:rPr>
          <w:rFonts w:ascii="David" w:hAnsi="David" w:cs="David"/>
          <w:b/>
          <w:bCs/>
          <w:sz w:val="24"/>
          <w:szCs w:val="24"/>
          <w:rtl/>
        </w:rPr>
        <w:t>כ-50 שופטים בעלי ותק של מעל 5 שנים</w:t>
      </w:r>
      <w:r w:rsidRPr="00F25744">
        <w:rPr>
          <w:rFonts w:ascii="David" w:hAnsi="David" w:cs="David" w:hint="cs"/>
          <w:sz w:val="24"/>
          <w:szCs w:val="24"/>
          <w:rtl/>
        </w:rPr>
        <w:t xml:space="preserve"> במחקר הקודם.</w:t>
      </w:r>
      <w:r w:rsidRPr="00F25744">
        <w:rPr>
          <w:rFonts w:ascii="David" w:hAnsi="David" w:cs="David"/>
          <w:sz w:val="24"/>
          <w:szCs w:val="24"/>
          <w:rtl/>
        </w:rPr>
        <w:t xml:space="preserve"> </w:t>
      </w:r>
    </w:p>
    <w:p w14:paraId="608503DD" w14:textId="77777777" w:rsidR="00594534" w:rsidRPr="00F25744" w:rsidRDefault="00E25AE7" w:rsidP="00E762AE">
      <w:pPr>
        <w:pStyle w:val="a3"/>
        <w:widowControl w:val="0"/>
        <w:numPr>
          <w:ilvl w:val="0"/>
          <w:numId w:val="2"/>
        </w:numPr>
        <w:autoSpaceDE w:val="0"/>
        <w:autoSpaceDN w:val="0"/>
        <w:bidi/>
        <w:adjustRightInd w:val="0"/>
        <w:spacing w:after="0" w:line="360" w:lineRule="auto"/>
        <w:rPr>
          <w:rFonts w:ascii="David" w:hAnsi="David" w:cs="David"/>
          <w:sz w:val="24"/>
          <w:szCs w:val="24"/>
        </w:rPr>
      </w:pPr>
      <w:r w:rsidRPr="00F25744">
        <w:rPr>
          <w:rFonts w:ascii="David" w:hAnsi="David" w:cs="David" w:hint="cs"/>
          <w:b/>
          <w:bCs/>
          <w:sz w:val="24"/>
          <w:szCs w:val="24"/>
          <w:rtl/>
        </w:rPr>
        <w:lastRenderedPageBreak/>
        <w:t>מספר סוגי התיקים שנמדדו</w:t>
      </w:r>
      <w:r w:rsidR="007F3A52" w:rsidRPr="00F25744">
        <w:rPr>
          <w:rFonts w:ascii="David" w:hAnsi="David" w:cs="David" w:hint="cs"/>
          <w:sz w:val="24"/>
          <w:szCs w:val="24"/>
          <w:rtl/>
        </w:rPr>
        <w:t xml:space="preserve"> </w:t>
      </w:r>
      <w:r w:rsidRPr="00F25744">
        <w:rPr>
          <w:rFonts w:ascii="David" w:hAnsi="David" w:cs="David"/>
          <w:sz w:val="24"/>
          <w:szCs w:val="24"/>
          <w:rtl/>
        </w:rPr>
        <w:t>–</w:t>
      </w:r>
      <w:r w:rsidR="007F3A52" w:rsidRPr="00F25744">
        <w:rPr>
          <w:rFonts w:ascii="David" w:hAnsi="David" w:cs="David" w:hint="cs"/>
          <w:sz w:val="24"/>
          <w:szCs w:val="24"/>
          <w:rtl/>
        </w:rPr>
        <w:t xml:space="preserve"> מדידת זמני הטיפול</w:t>
      </w:r>
      <w:r w:rsidR="007F3A52" w:rsidRPr="00F25744">
        <w:rPr>
          <w:rFonts w:ascii="David" w:hAnsi="David" w:cs="David" w:hint="cs"/>
          <w:b/>
          <w:bCs/>
          <w:sz w:val="24"/>
          <w:szCs w:val="24"/>
          <w:rtl/>
        </w:rPr>
        <w:t xml:space="preserve"> </w:t>
      </w:r>
      <w:r w:rsidR="007F3A52" w:rsidRPr="00F25744">
        <w:rPr>
          <w:rFonts w:ascii="David" w:hAnsi="David" w:cs="David" w:hint="cs"/>
          <w:sz w:val="24"/>
          <w:szCs w:val="24"/>
          <w:rtl/>
        </w:rPr>
        <w:t>ב</w:t>
      </w:r>
      <w:r w:rsidR="008B0BEF" w:rsidRPr="00F25744">
        <w:rPr>
          <w:rFonts w:ascii="David" w:hAnsi="David" w:cs="David" w:hint="cs"/>
          <w:b/>
          <w:bCs/>
          <w:sz w:val="24"/>
          <w:szCs w:val="24"/>
          <w:rtl/>
        </w:rPr>
        <w:t xml:space="preserve">כל </w:t>
      </w:r>
      <w:r w:rsidR="001C1968" w:rsidRPr="00F25744">
        <w:rPr>
          <w:rFonts w:ascii="David" w:hAnsi="David" w:cs="David" w:hint="cs"/>
          <w:b/>
          <w:bCs/>
          <w:sz w:val="24"/>
          <w:szCs w:val="24"/>
          <w:rtl/>
        </w:rPr>
        <w:t xml:space="preserve">סוגי התיקים העיקריים </w:t>
      </w:r>
      <w:r w:rsidR="007F3A52" w:rsidRPr="00F25744">
        <w:rPr>
          <w:rFonts w:ascii="David" w:hAnsi="David" w:cs="David" w:hint="cs"/>
          <w:b/>
          <w:bCs/>
          <w:sz w:val="24"/>
          <w:szCs w:val="24"/>
          <w:rtl/>
        </w:rPr>
        <w:t>מכל ערכאה</w:t>
      </w:r>
      <w:r w:rsidR="001C1968" w:rsidRPr="00F25744">
        <w:rPr>
          <w:rFonts w:ascii="David" w:hAnsi="David" w:cs="David" w:hint="cs"/>
          <w:b/>
          <w:bCs/>
          <w:sz w:val="24"/>
          <w:szCs w:val="24"/>
          <w:rtl/>
        </w:rPr>
        <w:t xml:space="preserve"> </w:t>
      </w:r>
      <w:r w:rsidR="001C1968" w:rsidRPr="00F25744">
        <w:rPr>
          <w:rFonts w:ascii="David" w:hAnsi="David" w:cs="David"/>
          <w:sz w:val="24"/>
          <w:szCs w:val="24"/>
          <w:rtl/>
        </w:rPr>
        <w:t>–</w:t>
      </w:r>
      <w:r w:rsidR="001C1968" w:rsidRPr="00F25744">
        <w:rPr>
          <w:rFonts w:ascii="David" w:hAnsi="David" w:cs="David" w:hint="cs"/>
          <w:sz w:val="24"/>
          <w:szCs w:val="24"/>
          <w:rtl/>
        </w:rPr>
        <w:t xml:space="preserve"> </w:t>
      </w:r>
      <w:r w:rsidR="00E762AE" w:rsidRPr="00F25744">
        <w:rPr>
          <w:rFonts w:ascii="David" w:hAnsi="David" w:cs="David" w:hint="cs"/>
          <w:sz w:val="24"/>
          <w:szCs w:val="24"/>
          <w:rtl/>
        </w:rPr>
        <w:t>125</w:t>
      </w:r>
      <w:r w:rsidR="004030A3" w:rsidRPr="00F25744">
        <w:rPr>
          <w:rFonts w:ascii="David" w:hAnsi="David" w:cs="David" w:hint="cs"/>
          <w:sz w:val="24"/>
          <w:szCs w:val="24"/>
          <w:rtl/>
        </w:rPr>
        <w:t xml:space="preserve"> ס</w:t>
      </w:r>
      <w:r w:rsidR="001C1968" w:rsidRPr="00F25744">
        <w:rPr>
          <w:rFonts w:ascii="David" w:hAnsi="David" w:cs="David" w:hint="cs"/>
          <w:sz w:val="24"/>
          <w:szCs w:val="24"/>
          <w:rtl/>
        </w:rPr>
        <w:t>וגי תיקים ועוד</w:t>
      </w:r>
      <w:r w:rsidR="004030A3" w:rsidRPr="00F25744">
        <w:rPr>
          <w:rFonts w:ascii="David" w:hAnsi="David" w:cs="David" w:hint="cs"/>
          <w:sz w:val="24"/>
          <w:szCs w:val="24"/>
          <w:rtl/>
        </w:rPr>
        <w:t xml:space="preserve"> 24</w:t>
      </w:r>
      <w:r w:rsidR="001C1968" w:rsidRPr="00F25744">
        <w:rPr>
          <w:rFonts w:ascii="David" w:hAnsi="David" w:cs="David" w:hint="cs"/>
          <w:sz w:val="24"/>
          <w:szCs w:val="24"/>
          <w:rtl/>
        </w:rPr>
        <w:t xml:space="preserve"> סוגי עניין ייחודיים</w:t>
      </w:r>
      <w:r w:rsidR="007F3A52" w:rsidRPr="00F25744">
        <w:rPr>
          <w:rFonts w:ascii="David" w:hAnsi="David" w:cs="David" w:hint="cs"/>
          <w:sz w:val="24"/>
          <w:szCs w:val="24"/>
          <w:rtl/>
        </w:rPr>
        <w:t>,</w:t>
      </w:r>
      <w:r w:rsidR="001C1968" w:rsidRPr="00F25744">
        <w:rPr>
          <w:rFonts w:ascii="David" w:hAnsi="David" w:cs="David" w:hint="cs"/>
          <w:sz w:val="24"/>
          <w:szCs w:val="24"/>
          <w:rtl/>
        </w:rPr>
        <w:t xml:space="preserve"> המהווים </w:t>
      </w:r>
      <w:r w:rsidR="008B0BEF" w:rsidRPr="00F25744">
        <w:rPr>
          <w:rFonts w:ascii="David" w:hAnsi="David" w:cs="David" w:hint="cs"/>
          <w:sz w:val="24"/>
          <w:szCs w:val="24"/>
          <w:rtl/>
        </w:rPr>
        <w:t>כמעט 99</w:t>
      </w:r>
      <w:r w:rsidR="001C1968" w:rsidRPr="00F25744">
        <w:rPr>
          <w:rFonts w:ascii="David" w:hAnsi="David" w:cs="David" w:hint="cs"/>
          <w:sz w:val="24"/>
          <w:szCs w:val="24"/>
          <w:rtl/>
        </w:rPr>
        <w:t xml:space="preserve">% מכלל התיקים שנסגרו בשנת </w:t>
      </w:r>
      <w:r w:rsidR="00C902C0" w:rsidRPr="00F25744">
        <w:rPr>
          <w:rFonts w:ascii="David" w:hAnsi="David" w:cs="David" w:hint="cs"/>
          <w:sz w:val="24"/>
          <w:szCs w:val="24"/>
          <w:rtl/>
        </w:rPr>
        <w:t xml:space="preserve"> </w:t>
      </w:r>
      <w:r w:rsidR="001C1968" w:rsidRPr="00F25744">
        <w:rPr>
          <w:rFonts w:ascii="David" w:hAnsi="David" w:cs="David" w:hint="cs"/>
          <w:sz w:val="24"/>
          <w:szCs w:val="24"/>
          <w:rtl/>
        </w:rPr>
        <w:t>2019</w:t>
      </w:r>
      <w:r w:rsidR="00C902C0" w:rsidRPr="00F25744">
        <w:rPr>
          <w:rFonts w:ascii="David" w:hAnsi="David" w:cs="David" w:hint="cs"/>
          <w:sz w:val="24"/>
          <w:szCs w:val="24"/>
          <w:rtl/>
        </w:rPr>
        <w:t xml:space="preserve"> בערכאות המחוזי והשלום</w:t>
      </w:r>
      <w:r w:rsidR="001C1968" w:rsidRPr="00F25744">
        <w:rPr>
          <w:rFonts w:ascii="David" w:hAnsi="David" w:cs="David" w:hint="cs"/>
          <w:sz w:val="24"/>
          <w:szCs w:val="24"/>
          <w:rtl/>
        </w:rPr>
        <w:t>,</w:t>
      </w:r>
      <w:r w:rsidR="00C902C0" w:rsidRPr="00F25744">
        <w:rPr>
          <w:rFonts w:ascii="David" w:hAnsi="David" w:cs="David" w:hint="cs"/>
          <w:sz w:val="24"/>
          <w:szCs w:val="24"/>
          <w:rtl/>
        </w:rPr>
        <w:t xml:space="preserve"> וכן 18 סוגי תיקים נוספים שנמדדו במחקר בתי הדין לעבודה</w:t>
      </w:r>
      <w:r w:rsidR="002A5443" w:rsidRPr="00F25744">
        <w:rPr>
          <w:rFonts w:ascii="David" w:hAnsi="David" w:cs="David" w:hint="cs"/>
          <w:sz w:val="24"/>
          <w:szCs w:val="24"/>
          <w:rtl/>
        </w:rPr>
        <w:t>;</w:t>
      </w:r>
      <w:r w:rsidR="001C1968" w:rsidRPr="00F25744">
        <w:rPr>
          <w:rFonts w:ascii="David" w:hAnsi="David" w:cs="David" w:hint="cs"/>
          <w:sz w:val="24"/>
          <w:szCs w:val="24"/>
          <w:rtl/>
        </w:rPr>
        <w:t xml:space="preserve"> </w:t>
      </w:r>
      <w:r w:rsidR="002A5443" w:rsidRPr="00F25744">
        <w:rPr>
          <w:rFonts w:ascii="David" w:hAnsi="David" w:cs="David" w:hint="cs"/>
          <w:sz w:val="24"/>
          <w:szCs w:val="24"/>
          <w:rtl/>
        </w:rPr>
        <w:t xml:space="preserve">כלומר </w:t>
      </w:r>
      <w:r w:rsidR="002A5443" w:rsidRPr="00F25744">
        <w:rPr>
          <w:rFonts w:ascii="David" w:hAnsi="David" w:cs="David"/>
          <w:sz w:val="24"/>
          <w:szCs w:val="24"/>
          <w:rtl/>
        </w:rPr>
        <w:t>–</w:t>
      </w:r>
      <w:r w:rsidR="002A5443" w:rsidRPr="00F25744">
        <w:rPr>
          <w:rFonts w:ascii="David" w:hAnsi="David" w:cs="David" w:hint="cs"/>
          <w:sz w:val="24"/>
          <w:szCs w:val="24"/>
          <w:rtl/>
        </w:rPr>
        <w:t xml:space="preserve"> </w:t>
      </w:r>
      <w:r w:rsidR="00E762AE" w:rsidRPr="00F25744">
        <w:rPr>
          <w:rFonts w:ascii="David" w:hAnsi="David" w:cs="David" w:hint="cs"/>
          <w:sz w:val="24"/>
          <w:szCs w:val="24"/>
          <w:rtl/>
        </w:rPr>
        <w:t>167</w:t>
      </w:r>
      <w:r w:rsidR="002A5443" w:rsidRPr="00F25744">
        <w:rPr>
          <w:rFonts w:ascii="David" w:hAnsi="David" w:cs="David" w:hint="cs"/>
          <w:sz w:val="24"/>
          <w:szCs w:val="24"/>
          <w:rtl/>
        </w:rPr>
        <w:t xml:space="preserve"> סוגי תיקים ועניין שנמדדו במסגרת המחקר הנוכחי, </w:t>
      </w:r>
      <w:r w:rsidR="001C1968" w:rsidRPr="00F25744">
        <w:rPr>
          <w:rFonts w:ascii="David" w:hAnsi="David" w:cs="David" w:hint="cs"/>
          <w:sz w:val="24"/>
          <w:szCs w:val="24"/>
          <w:rtl/>
        </w:rPr>
        <w:t>לעומת 101 סוגי תיקים שלהם ניתן משקל במסגרת המחקר הקודם</w:t>
      </w:r>
      <w:r w:rsidR="007F3A52" w:rsidRPr="00F25744">
        <w:rPr>
          <w:rFonts w:ascii="David" w:hAnsi="David" w:cs="David" w:hint="cs"/>
          <w:sz w:val="24"/>
          <w:szCs w:val="24"/>
          <w:rtl/>
        </w:rPr>
        <w:t xml:space="preserve">, כאשר יתר סוגי התיקים קיבלו משקל יחסי בלבד. </w:t>
      </w:r>
    </w:p>
    <w:p w14:paraId="69F21EB5" w14:textId="77777777" w:rsidR="00594534" w:rsidRPr="00F25744" w:rsidRDefault="00E25AE7" w:rsidP="00B86542">
      <w:pPr>
        <w:pStyle w:val="a3"/>
        <w:widowControl w:val="0"/>
        <w:numPr>
          <w:ilvl w:val="0"/>
          <w:numId w:val="2"/>
        </w:numPr>
        <w:autoSpaceDE w:val="0"/>
        <w:autoSpaceDN w:val="0"/>
        <w:bidi/>
        <w:adjustRightInd w:val="0"/>
        <w:spacing w:after="0" w:line="360" w:lineRule="auto"/>
        <w:rPr>
          <w:rFonts w:ascii="David" w:hAnsi="David" w:cs="David"/>
          <w:sz w:val="24"/>
          <w:szCs w:val="24"/>
          <w:rtl/>
        </w:rPr>
      </w:pPr>
      <w:r w:rsidRPr="00F25744">
        <w:rPr>
          <w:rFonts w:ascii="David" w:hAnsi="David" w:cs="David"/>
          <w:b/>
          <w:bCs/>
          <w:sz w:val="24"/>
          <w:szCs w:val="24"/>
          <w:rtl/>
        </w:rPr>
        <w:t>התוצר הסופי</w:t>
      </w:r>
      <w:r w:rsidRPr="00F25744">
        <w:rPr>
          <w:rFonts w:ascii="David" w:hAnsi="David" w:cs="David"/>
          <w:sz w:val="24"/>
          <w:szCs w:val="24"/>
          <w:rtl/>
        </w:rPr>
        <w:t xml:space="preserve"> – </w:t>
      </w:r>
      <w:r w:rsidRPr="00F25744">
        <w:rPr>
          <w:rFonts w:ascii="David" w:hAnsi="David" w:cs="David" w:hint="cs"/>
          <w:sz w:val="24"/>
          <w:szCs w:val="24"/>
          <w:rtl/>
        </w:rPr>
        <w:t xml:space="preserve">מחקר זה מציג הן את </w:t>
      </w:r>
      <w:r w:rsidRPr="00F25744">
        <w:rPr>
          <w:rFonts w:ascii="David" w:hAnsi="David" w:cs="David" w:hint="cs"/>
          <w:b/>
          <w:bCs/>
          <w:sz w:val="24"/>
          <w:szCs w:val="24"/>
          <w:rtl/>
        </w:rPr>
        <w:t xml:space="preserve">זמני הטיפול בתיקים </w:t>
      </w:r>
      <w:r w:rsidRPr="00F25744">
        <w:rPr>
          <w:rFonts w:ascii="David" w:hAnsi="David" w:cs="David" w:hint="cs"/>
          <w:sz w:val="24"/>
          <w:szCs w:val="24"/>
          <w:rtl/>
        </w:rPr>
        <w:t>(ביחידות של שעות),</w:t>
      </w:r>
      <w:r w:rsidR="00B86542" w:rsidRPr="00F25744">
        <w:rPr>
          <w:rFonts w:ascii="David" w:hAnsi="David" w:cs="David" w:hint="cs"/>
          <w:sz w:val="24"/>
          <w:szCs w:val="24"/>
          <w:rtl/>
        </w:rPr>
        <w:t xml:space="preserve"> הן את תרגום זמני הטיפול בתיקים ל</w:t>
      </w:r>
      <w:r w:rsidR="00B86542" w:rsidRPr="00F25744">
        <w:rPr>
          <w:rFonts w:ascii="David" w:hAnsi="David" w:cs="David" w:hint="cs"/>
          <w:b/>
          <w:bCs/>
          <w:sz w:val="24"/>
          <w:szCs w:val="24"/>
          <w:rtl/>
        </w:rPr>
        <w:t>משקלות</w:t>
      </w:r>
      <w:r w:rsidR="00B86542" w:rsidRPr="00F25744">
        <w:rPr>
          <w:rFonts w:ascii="David" w:hAnsi="David" w:cs="David" w:hint="cs"/>
          <w:sz w:val="24"/>
          <w:szCs w:val="24"/>
          <w:rtl/>
        </w:rPr>
        <w:t xml:space="preserve"> תיקים,</w:t>
      </w:r>
      <w:r w:rsidRPr="00F25744">
        <w:rPr>
          <w:rFonts w:ascii="David" w:hAnsi="David" w:cs="David" w:hint="cs"/>
          <w:sz w:val="24"/>
          <w:szCs w:val="24"/>
          <w:rtl/>
        </w:rPr>
        <w:t xml:space="preserve"> והן את</w:t>
      </w:r>
      <w:r w:rsidRPr="00F25744">
        <w:rPr>
          <w:rFonts w:ascii="David" w:hAnsi="David" w:cs="David" w:hint="cs"/>
          <w:b/>
          <w:bCs/>
          <w:sz w:val="24"/>
          <w:szCs w:val="24"/>
          <w:rtl/>
        </w:rPr>
        <w:t xml:space="preserve"> תמהיל יום העבודה השיפוטי, </w:t>
      </w:r>
      <w:r w:rsidRPr="00F25744">
        <w:rPr>
          <w:rFonts w:ascii="David" w:hAnsi="David" w:cs="David" w:hint="cs"/>
          <w:sz w:val="24"/>
          <w:szCs w:val="24"/>
          <w:rtl/>
        </w:rPr>
        <w:t>לעומת</w:t>
      </w:r>
      <w:r w:rsidRPr="00F25744">
        <w:rPr>
          <w:rFonts w:ascii="David" w:hAnsi="David" w:cs="David" w:hint="cs"/>
          <w:b/>
          <w:bCs/>
          <w:sz w:val="24"/>
          <w:szCs w:val="24"/>
          <w:rtl/>
        </w:rPr>
        <w:t xml:space="preserve"> </w:t>
      </w:r>
      <w:r w:rsidRPr="00F25744">
        <w:rPr>
          <w:rFonts w:ascii="David" w:hAnsi="David" w:cs="David"/>
          <w:b/>
          <w:bCs/>
          <w:sz w:val="24"/>
          <w:szCs w:val="24"/>
          <w:rtl/>
        </w:rPr>
        <w:t xml:space="preserve">מדד משקלות </w:t>
      </w:r>
      <w:r w:rsidRPr="00F25744">
        <w:rPr>
          <w:rFonts w:ascii="David" w:hAnsi="David" w:cs="David" w:hint="cs"/>
          <w:b/>
          <w:bCs/>
          <w:sz w:val="24"/>
          <w:szCs w:val="24"/>
          <w:rtl/>
        </w:rPr>
        <w:t>ה</w:t>
      </w:r>
      <w:r w:rsidRPr="00F25744">
        <w:rPr>
          <w:rFonts w:ascii="David" w:hAnsi="David" w:cs="David"/>
          <w:b/>
          <w:bCs/>
          <w:sz w:val="24"/>
          <w:szCs w:val="24"/>
          <w:rtl/>
        </w:rPr>
        <w:t xml:space="preserve">תיקים </w:t>
      </w:r>
      <w:r w:rsidRPr="00F25744">
        <w:rPr>
          <w:rFonts w:ascii="David" w:hAnsi="David" w:cs="David"/>
          <w:sz w:val="24"/>
          <w:szCs w:val="24"/>
          <w:rtl/>
        </w:rPr>
        <w:t>בלבד במחקר הק</w:t>
      </w:r>
      <w:r w:rsidRPr="00F25744">
        <w:rPr>
          <w:rFonts w:ascii="David" w:hAnsi="David" w:cs="David" w:hint="cs"/>
          <w:sz w:val="24"/>
          <w:szCs w:val="24"/>
          <w:rtl/>
        </w:rPr>
        <w:t>ו</w:t>
      </w:r>
      <w:r w:rsidRPr="00F25744">
        <w:rPr>
          <w:rFonts w:ascii="David" w:hAnsi="David" w:cs="David"/>
          <w:sz w:val="24"/>
          <w:szCs w:val="24"/>
          <w:rtl/>
        </w:rPr>
        <w:t xml:space="preserve">דם. </w:t>
      </w:r>
    </w:p>
    <w:p w14:paraId="0890F567" w14:textId="77777777" w:rsidR="00DF2D3C" w:rsidRPr="00F25744" w:rsidRDefault="00DF2D3C" w:rsidP="00BD23BB">
      <w:pPr>
        <w:pStyle w:val="a3"/>
        <w:widowControl w:val="0"/>
        <w:autoSpaceDE w:val="0"/>
        <w:autoSpaceDN w:val="0"/>
        <w:bidi/>
        <w:adjustRightInd w:val="0"/>
        <w:spacing w:after="0" w:line="240" w:lineRule="auto"/>
        <w:ind w:left="0"/>
        <w:rPr>
          <w:rFonts w:ascii="David" w:hAnsi="David" w:cs="David"/>
          <w:sz w:val="24"/>
          <w:szCs w:val="24"/>
          <w:rtl/>
        </w:rPr>
      </w:pPr>
    </w:p>
    <w:p w14:paraId="3C231642" w14:textId="77777777" w:rsidR="00594534" w:rsidRPr="00F25744" w:rsidRDefault="00E25AE7" w:rsidP="00F7498F">
      <w:pPr>
        <w:pStyle w:val="a3"/>
        <w:widowControl w:val="0"/>
        <w:autoSpaceDE w:val="0"/>
        <w:autoSpaceDN w:val="0"/>
        <w:bidi/>
        <w:adjustRightInd w:val="0"/>
        <w:spacing w:after="0" w:line="240" w:lineRule="auto"/>
        <w:ind w:left="0"/>
        <w:rPr>
          <w:rFonts w:ascii="David" w:hAnsi="David" w:cs="David"/>
          <w:sz w:val="24"/>
          <w:szCs w:val="24"/>
          <w:rtl/>
        </w:rPr>
      </w:pPr>
      <w:r w:rsidRPr="00F25744">
        <w:rPr>
          <w:rFonts w:ascii="David" w:hAnsi="David" w:cs="David" w:hint="cs"/>
          <w:sz w:val="24"/>
          <w:szCs w:val="24"/>
          <w:rtl/>
        </w:rPr>
        <w:t xml:space="preserve">הרחבה על חידושים ושיפורים אלו תיעשה בפרק </w:t>
      </w:r>
      <w:r w:rsidR="00DF2D3C" w:rsidRPr="00F25744">
        <w:rPr>
          <w:rFonts w:ascii="David" w:hAnsi="David" w:cs="David" w:hint="cs"/>
          <w:sz w:val="24"/>
          <w:szCs w:val="24"/>
          <w:rtl/>
        </w:rPr>
        <w:t>1 להלן</w:t>
      </w:r>
      <w:r w:rsidRPr="00F25744">
        <w:rPr>
          <w:rFonts w:ascii="David" w:hAnsi="David" w:cs="David" w:hint="cs"/>
          <w:sz w:val="24"/>
          <w:szCs w:val="24"/>
          <w:rtl/>
        </w:rPr>
        <w:t>.</w:t>
      </w:r>
    </w:p>
    <w:p w14:paraId="2919B167" w14:textId="77777777" w:rsidR="00E762AE" w:rsidRPr="00F25744" w:rsidRDefault="00E762AE" w:rsidP="00BD23BB">
      <w:pPr>
        <w:pStyle w:val="a3"/>
        <w:widowControl w:val="0"/>
        <w:autoSpaceDE w:val="0"/>
        <w:autoSpaceDN w:val="0"/>
        <w:bidi/>
        <w:adjustRightInd w:val="0"/>
        <w:spacing w:after="0" w:line="240" w:lineRule="auto"/>
        <w:ind w:left="0"/>
        <w:rPr>
          <w:rFonts w:ascii="David" w:hAnsi="David" w:cs="David"/>
          <w:b/>
          <w:bCs/>
          <w:sz w:val="24"/>
          <w:szCs w:val="24"/>
          <w:u w:val="single"/>
          <w:rtl/>
        </w:rPr>
      </w:pPr>
    </w:p>
    <w:p w14:paraId="59B78493" w14:textId="77777777" w:rsidR="00594534" w:rsidRPr="00F25744" w:rsidRDefault="00E25AE7" w:rsidP="00E762AE">
      <w:pPr>
        <w:pStyle w:val="a3"/>
        <w:widowControl w:val="0"/>
        <w:autoSpaceDE w:val="0"/>
        <w:autoSpaceDN w:val="0"/>
        <w:bidi/>
        <w:adjustRightInd w:val="0"/>
        <w:spacing w:after="0" w:line="360" w:lineRule="auto"/>
        <w:ind w:left="0"/>
        <w:rPr>
          <w:rFonts w:ascii="David" w:hAnsi="David" w:cs="David"/>
          <w:b/>
          <w:bCs/>
          <w:sz w:val="24"/>
          <w:szCs w:val="24"/>
          <w:u w:val="single"/>
          <w:rtl/>
        </w:rPr>
      </w:pPr>
      <w:r w:rsidRPr="00F25744">
        <w:rPr>
          <w:rFonts w:ascii="David" w:hAnsi="David" w:cs="David" w:hint="cs"/>
          <w:b/>
          <w:bCs/>
          <w:sz w:val="24"/>
          <w:szCs w:val="24"/>
          <w:u w:val="single"/>
          <w:rtl/>
        </w:rPr>
        <w:t>שלבי המחקר הנוכחי</w:t>
      </w:r>
    </w:p>
    <w:p w14:paraId="7065D22B" w14:textId="77777777" w:rsidR="00D65E7F" w:rsidRPr="00F25744" w:rsidRDefault="00E25AE7" w:rsidP="00D65E7F">
      <w:pPr>
        <w:pStyle w:val="a3"/>
        <w:widowControl w:val="0"/>
        <w:autoSpaceDE w:val="0"/>
        <w:autoSpaceDN w:val="0"/>
        <w:bidi/>
        <w:adjustRightInd w:val="0"/>
        <w:spacing w:after="0" w:line="240" w:lineRule="auto"/>
        <w:ind w:left="0"/>
        <w:rPr>
          <w:rFonts w:ascii="David" w:hAnsi="David" w:cs="David"/>
          <w:sz w:val="24"/>
          <w:szCs w:val="24"/>
          <w:rtl/>
        </w:rPr>
      </w:pPr>
      <w:r w:rsidRPr="00F25744">
        <w:rPr>
          <w:rFonts w:ascii="David" w:hAnsi="David" w:cs="David" w:hint="cs"/>
          <w:sz w:val="24"/>
          <w:szCs w:val="24"/>
          <w:rtl/>
        </w:rPr>
        <w:t>בקליפת אגוז, נפרט כאן את שלביו של מחקר עומס העבודה השיפוטית הנוכחי:</w:t>
      </w:r>
    </w:p>
    <w:p w14:paraId="0D3CA280" w14:textId="77777777" w:rsidR="00BD23BB" w:rsidRPr="00F25744" w:rsidRDefault="00BD23BB" w:rsidP="00BD23BB">
      <w:pPr>
        <w:pStyle w:val="a3"/>
        <w:widowControl w:val="0"/>
        <w:autoSpaceDE w:val="0"/>
        <w:autoSpaceDN w:val="0"/>
        <w:bidi/>
        <w:adjustRightInd w:val="0"/>
        <w:spacing w:after="0" w:line="240" w:lineRule="auto"/>
        <w:ind w:left="0"/>
        <w:rPr>
          <w:rFonts w:ascii="David" w:hAnsi="David" w:cs="David"/>
          <w:b/>
          <w:bCs/>
          <w:sz w:val="24"/>
          <w:szCs w:val="24"/>
          <w:u w:val="single"/>
          <w:rtl/>
        </w:rPr>
      </w:pPr>
    </w:p>
    <w:p w14:paraId="6A32CB1C" w14:textId="77777777" w:rsidR="00594534" w:rsidRPr="00F25744" w:rsidRDefault="00E25AE7" w:rsidP="00BD23BB">
      <w:pPr>
        <w:pStyle w:val="a3"/>
        <w:widowControl w:val="0"/>
        <w:autoSpaceDE w:val="0"/>
        <w:autoSpaceDN w:val="0"/>
        <w:bidi/>
        <w:adjustRightInd w:val="0"/>
        <w:spacing w:after="0" w:line="360" w:lineRule="auto"/>
        <w:ind w:left="0"/>
        <w:rPr>
          <w:rFonts w:ascii="David" w:hAnsi="David" w:cs="David"/>
          <w:sz w:val="24"/>
          <w:szCs w:val="24"/>
          <w:rtl/>
          <w:lang w:val="en-US"/>
        </w:rPr>
      </w:pPr>
      <w:r w:rsidRPr="00F25744">
        <w:rPr>
          <w:rFonts w:ascii="David" w:hAnsi="David" w:cs="David" w:hint="cs"/>
          <w:sz w:val="24"/>
          <w:szCs w:val="24"/>
          <w:u w:val="single"/>
          <w:rtl/>
        </w:rPr>
        <w:t>לפני מועד תחילת המחקר (1.1.</w:t>
      </w:r>
      <w:r w:rsidR="002A1421" w:rsidRPr="00F25744">
        <w:rPr>
          <w:rFonts w:ascii="David" w:hAnsi="David" w:cs="David" w:hint="cs"/>
          <w:sz w:val="24"/>
          <w:szCs w:val="24"/>
          <w:u w:val="single"/>
          <w:rtl/>
        </w:rPr>
        <w:t>2020</w:t>
      </w:r>
      <w:r w:rsidRPr="00F25744">
        <w:rPr>
          <w:rFonts w:ascii="David" w:hAnsi="David" w:cs="David" w:hint="cs"/>
          <w:sz w:val="24"/>
          <w:szCs w:val="24"/>
          <w:u w:val="single"/>
          <w:rtl/>
        </w:rPr>
        <w:t>)</w:t>
      </w:r>
    </w:p>
    <w:p w14:paraId="39A6DD5E" w14:textId="77777777" w:rsidR="00594534" w:rsidRPr="00F25744" w:rsidRDefault="00E25AE7" w:rsidP="00471AED">
      <w:pPr>
        <w:pStyle w:val="a3"/>
        <w:widowControl w:val="0"/>
        <w:numPr>
          <w:ilvl w:val="0"/>
          <w:numId w:val="3"/>
        </w:numPr>
        <w:tabs>
          <w:tab w:val="clear" w:pos="720"/>
          <w:tab w:val="num" w:pos="509"/>
        </w:tabs>
        <w:autoSpaceDE w:val="0"/>
        <w:autoSpaceDN w:val="0"/>
        <w:bidi/>
        <w:adjustRightInd w:val="0"/>
        <w:spacing w:after="0" w:line="360" w:lineRule="auto"/>
        <w:ind w:left="509" w:hanging="425"/>
        <w:rPr>
          <w:rFonts w:ascii="David" w:hAnsi="David" w:cs="David"/>
          <w:sz w:val="24"/>
          <w:szCs w:val="24"/>
        </w:rPr>
      </w:pPr>
      <w:r w:rsidRPr="00F25744">
        <w:rPr>
          <w:rFonts w:ascii="David" w:hAnsi="David" w:cs="David"/>
          <w:sz w:val="24"/>
          <w:szCs w:val="24"/>
          <w:rtl/>
        </w:rPr>
        <w:t xml:space="preserve">הדרכות גורמי </w:t>
      </w:r>
      <w:r w:rsidRPr="00F25744">
        <w:rPr>
          <w:rFonts w:ascii="David" w:hAnsi="David" w:cs="David" w:hint="cs"/>
          <w:sz w:val="24"/>
          <w:szCs w:val="24"/>
          <w:rtl/>
        </w:rPr>
        <w:t>ה</w:t>
      </w:r>
      <w:r w:rsidRPr="00F25744">
        <w:rPr>
          <w:rFonts w:ascii="David" w:hAnsi="David" w:cs="David"/>
          <w:sz w:val="24"/>
          <w:szCs w:val="24"/>
          <w:rtl/>
        </w:rPr>
        <w:t>שיפוט/</w:t>
      </w:r>
      <w:r w:rsidRPr="00F25744">
        <w:rPr>
          <w:rFonts w:ascii="David" w:hAnsi="David" w:cs="David" w:hint="cs"/>
          <w:sz w:val="24"/>
          <w:szCs w:val="24"/>
          <w:rtl/>
        </w:rPr>
        <w:t xml:space="preserve"> </w:t>
      </w:r>
      <w:r w:rsidRPr="00F25744">
        <w:rPr>
          <w:rFonts w:ascii="David" w:hAnsi="David" w:cs="David"/>
          <w:sz w:val="24"/>
          <w:szCs w:val="24"/>
          <w:rtl/>
        </w:rPr>
        <w:t>עוז</w:t>
      </w:r>
      <w:r w:rsidR="00471AED" w:rsidRPr="00F25744">
        <w:rPr>
          <w:rFonts w:ascii="David" w:hAnsi="David" w:cs="David" w:hint="cs"/>
          <w:sz w:val="24"/>
          <w:szCs w:val="24"/>
          <w:rtl/>
        </w:rPr>
        <w:t>רים משפטיים</w:t>
      </w:r>
      <w:r w:rsidR="00471AED" w:rsidRPr="00F25744">
        <w:rPr>
          <w:rFonts w:ascii="David" w:hAnsi="David" w:cs="David"/>
          <w:sz w:val="24"/>
          <w:szCs w:val="24"/>
          <w:rtl/>
        </w:rPr>
        <w:t xml:space="preserve"> </w:t>
      </w:r>
      <w:r w:rsidRPr="00F25744">
        <w:rPr>
          <w:rFonts w:ascii="David" w:hAnsi="David" w:cs="David"/>
          <w:sz w:val="24"/>
          <w:szCs w:val="24"/>
          <w:rtl/>
        </w:rPr>
        <w:t>/</w:t>
      </w:r>
      <w:r w:rsidRPr="00F25744">
        <w:rPr>
          <w:rFonts w:ascii="David" w:hAnsi="David" w:cs="David" w:hint="cs"/>
          <w:sz w:val="24"/>
          <w:szCs w:val="24"/>
          <w:rtl/>
        </w:rPr>
        <w:t xml:space="preserve"> </w:t>
      </w:r>
      <w:r w:rsidRPr="00F25744">
        <w:rPr>
          <w:rFonts w:ascii="David" w:hAnsi="David" w:cs="David"/>
          <w:sz w:val="24"/>
          <w:szCs w:val="24"/>
          <w:rtl/>
        </w:rPr>
        <w:t>קלדניות</w:t>
      </w:r>
      <w:r w:rsidR="00C01A9C" w:rsidRPr="00F25744">
        <w:rPr>
          <w:rFonts w:ascii="David" w:hAnsi="David" w:cs="David" w:hint="cs"/>
          <w:sz w:val="24"/>
          <w:szCs w:val="24"/>
          <w:rtl/>
        </w:rPr>
        <w:t xml:space="preserve"> </w:t>
      </w:r>
      <w:r w:rsidRPr="00F25744">
        <w:rPr>
          <w:rFonts w:ascii="David" w:hAnsi="David" w:cs="David"/>
          <w:sz w:val="24"/>
          <w:szCs w:val="24"/>
          <w:rtl/>
        </w:rPr>
        <w:t>בכל בתי המשפט.</w:t>
      </w:r>
    </w:p>
    <w:p w14:paraId="51874413" w14:textId="77777777" w:rsidR="00594534" w:rsidRPr="00F25744" w:rsidRDefault="00E25AE7" w:rsidP="00594534">
      <w:pPr>
        <w:pStyle w:val="a3"/>
        <w:widowControl w:val="0"/>
        <w:numPr>
          <w:ilvl w:val="0"/>
          <w:numId w:val="3"/>
        </w:numPr>
        <w:tabs>
          <w:tab w:val="clear" w:pos="720"/>
          <w:tab w:val="num" w:pos="509"/>
        </w:tabs>
        <w:autoSpaceDE w:val="0"/>
        <w:autoSpaceDN w:val="0"/>
        <w:bidi/>
        <w:adjustRightInd w:val="0"/>
        <w:spacing w:after="0" w:line="360" w:lineRule="auto"/>
        <w:ind w:left="509" w:hanging="425"/>
        <w:rPr>
          <w:rFonts w:ascii="David" w:hAnsi="David" w:cs="David"/>
          <w:sz w:val="24"/>
          <w:szCs w:val="24"/>
          <w:rtl/>
        </w:rPr>
      </w:pPr>
      <w:r w:rsidRPr="00F25744">
        <w:rPr>
          <w:rFonts w:ascii="David" w:hAnsi="David" w:cs="David" w:hint="cs"/>
          <w:sz w:val="24"/>
          <w:szCs w:val="24"/>
          <w:rtl/>
        </w:rPr>
        <w:t xml:space="preserve">מענה על </w:t>
      </w:r>
      <w:r w:rsidRPr="00F25744">
        <w:rPr>
          <w:rFonts w:ascii="David" w:hAnsi="David" w:cs="David" w:hint="cs"/>
          <w:b/>
          <w:bCs/>
          <w:sz w:val="24"/>
          <w:szCs w:val="24"/>
          <w:rtl/>
        </w:rPr>
        <w:t>שאלון רקע</w:t>
      </w:r>
      <w:r w:rsidRPr="00F25744">
        <w:rPr>
          <w:rFonts w:ascii="David" w:hAnsi="David" w:cs="David" w:hint="cs"/>
          <w:sz w:val="24"/>
          <w:szCs w:val="24"/>
          <w:rtl/>
        </w:rPr>
        <w:t xml:space="preserve"> חד פעמי</w:t>
      </w:r>
      <w:r w:rsidR="00E8198B" w:rsidRPr="00F25744">
        <w:rPr>
          <w:rFonts w:ascii="David" w:hAnsi="David" w:cs="David" w:hint="cs"/>
          <w:sz w:val="24"/>
          <w:szCs w:val="24"/>
          <w:rtl/>
        </w:rPr>
        <w:t xml:space="preserve"> (על ידי השופטים והרשמים)</w:t>
      </w:r>
      <w:r w:rsidRPr="00F25744">
        <w:rPr>
          <w:rFonts w:ascii="David" w:hAnsi="David" w:cs="David" w:hint="cs"/>
          <w:sz w:val="24"/>
          <w:szCs w:val="24"/>
          <w:rtl/>
        </w:rPr>
        <w:t>.</w:t>
      </w:r>
    </w:p>
    <w:p w14:paraId="4D4B8071" w14:textId="77777777" w:rsidR="00594534" w:rsidRPr="00F25744" w:rsidRDefault="00E25AE7" w:rsidP="00594534">
      <w:pPr>
        <w:pStyle w:val="a3"/>
        <w:widowControl w:val="0"/>
        <w:numPr>
          <w:ilvl w:val="0"/>
          <w:numId w:val="3"/>
        </w:numPr>
        <w:tabs>
          <w:tab w:val="clear" w:pos="720"/>
          <w:tab w:val="num" w:pos="509"/>
        </w:tabs>
        <w:autoSpaceDE w:val="0"/>
        <w:autoSpaceDN w:val="0"/>
        <w:bidi/>
        <w:adjustRightInd w:val="0"/>
        <w:spacing w:after="0" w:line="360" w:lineRule="auto"/>
        <w:ind w:left="509" w:hanging="425"/>
        <w:rPr>
          <w:rFonts w:ascii="David" w:hAnsi="David" w:cs="David"/>
          <w:sz w:val="24"/>
          <w:szCs w:val="24"/>
          <w:rtl/>
        </w:rPr>
      </w:pPr>
      <w:r w:rsidRPr="00F25744">
        <w:rPr>
          <w:rFonts w:ascii="David" w:hAnsi="David" w:cs="David" w:hint="cs"/>
          <w:sz w:val="24"/>
          <w:szCs w:val="24"/>
          <w:rtl/>
        </w:rPr>
        <w:t>"</w:t>
      </w:r>
      <w:r w:rsidRPr="00F25744">
        <w:rPr>
          <w:rFonts w:ascii="David" w:hAnsi="David" w:cs="David" w:hint="cs"/>
          <w:b/>
          <w:bCs/>
          <w:sz w:val="24"/>
          <w:szCs w:val="24"/>
          <w:rtl/>
        </w:rPr>
        <w:t>ניסוי כלים</w:t>
      </w:r>
      <w:r w:rsidRPr="00F25744">
        <w:rPr>
          <w:rFonts w:ascii="David" w:hAnsi="David" w:cs="David" w:hint="cs"/>
          <w:sz w:val="24"/>
          <w:szCs w:val="24"/>
          <w:rtl/>
        </w:rPr>
        <w:t>" חד יומי: מילוי יומן פעילות לדוגמה ושליחתו למחלקת המחקר</w:t>
      </w:r>
      <w:r w:rsidR="00E8198B" w:rsidRPr="00F25744">
        <w:rPr>
          <w:rFonts w:ascii="David" w:hAnsi="David" w:cs="David" w:hint="cs"/>
          <w:sz w:val="24"/>
          <w:szCs w:val="24"/>
          <w:rtl/>
        </w:rPr>
        <w:t xml:space="preserve"> (על ידי השופטים והרשמים)</w:t>
      </w:r>
      <w:r w:rsidRPr="00F25744">
        <w:rPr>
          <w:rFonts w:ascii="David" w:hAnsi="David" w:cs="David" w:hint="cs"/>
          <w:sz w:val="24"/>
          <w:szCs w:val="24"/>
          <w:rtl/>
        </w:rPr>
        <w:t xml:space="preserve">.  </w:t>
      </w:r>
    </w:p>
    <w:p w14:paraId="648B4C56" w14:textId="77777777" w:rsidR="00594534" w:rsidRPr="00F25744" w:rsidRDefault="00E25AE7" w:rsidP="00594534">
      <w:pPr>
        <w:pStyle w:val="a3"/>
        <w:widowControl w:val="0"/>
        <w:autoSpaceDE w:val="0"/>
        <w:autoSpaceDN w:val="0"/>
        <w:bidi/>
        <w:adjustRightInd w:val="0"/>
        <w:spacing w:after="0" w:line="360" w:lineRule="auto"/>
        <w:ind w:hanging="636"/>
        <w:rPr>
          <w:rFonts w:ascii="David" w:hAnsi="David" w:cs="David"/>
          <w:sz w:val="24"/>
          <w:szCs w:val="24"/>
          <w:u w:val="single"/>
          <w:rtl/>
        </w:rPr>
      </w:pPr>
      <w:r w:rsidRPr="00F25744">
        <w:rPr>
          <w:rFonts w:ascii="David" w:hAnsi="David" w:cs="David" w:hint="cs"/>
          <w:sz w:val="24"/>
          <w:szCs w:val="24"/>
          <w:u w:val="single"/>
          <w:rtl/>
        </w:rPr>
        <w:t>תקופת המחקר</w:t>
      </w:r>
    </w:p>
    <w:p w14:paraId="4EFC5E8D" w14:textId="77777777" w:rsidR="00594534" w:rsidRPr="00F25744" w:rsidRDefault="00E25AE7" w:rsidP="00594534">
      <w:pPr>
        <w:pStyle w:val="a3"/>
        <w:widowControl w:val="0"/>
        <w:numPr>
          <w:ilvl w:val="0"/>
          <w:numId w:val="4"/>
        </w:numPr>
        <w:tabs>
          <w:tab w:val="clear" w:pos="720"/>
          <w:tab w:val="num" w:pos="509"/>
        </w:tabs>
        <w:autoSpaceDE w:val="0"/>
        <w:autoSpaceDN w:val="0"/>
        <w:bidi/>
        <w:adjustRightInd w:val="0"/>
        <w:spacing w:after="0" w:line="360" w:lineRule="auto"/>
        <w:ind w:left="509" w:hanging="283"/>
        <w:rPr>
          <w:rFonts w:ascii="David" w:hAnsi="David" w:cs="David"/>
          <w:sz w:val="24"/>
          <w:szCs w:val="24"/>
          <w:rtl/>
        </w:rPr>
      </w:pPr>
      <w:r w:rsidRPr="00F25744">
        <w:rPr>
          <w:rFonts w:ascii="David" w:hAnsi="David" w:cs="David" w:hint="cs"/>
          <w:sz w:val="24"/>
          <w:szCs w:val="24"/>
          <w:rtl/>
        </w:rPr>
        <w:t xml:space="preserve"> </w:t>
      </w:r>
      <w:r w:rsidRPr="00F25744">
        <w:rPr>
          <w:rFonts w:ascii="David" w:hAnsi="David" w:cs="David" w:hint="cs"/>
          <w:b/>
          <w:bCs/>
          <w:sz w:val="24"/>
          <w:szCs w:val="24"/>
          <w:rtl/>
        </w:rPr>
        <w:t>1.1.2020 – 5.2.2020</w:t>
      </w:r>
      <w:r w:rsidRPr="00F25744">
        <w:rPr>
          <w:rFonts w:ascii="David" w:hAnsi="David" w:cs="David" w:hint="cs"/>
          <w:sz w:val="24"/>
          <w:szCs w:val="24"/>
          <w:rtl/>
        </w:rPr>
        <w:t xml:space="preserve"> – חמישה שבועות של מילוי היומנים הידניים על ידי השופטים והרשמים, והזנתם מדי יום לאתר המקוון. </w:t>
      </w:r>
    </w:p>
    <w:p w14:paraId="42C422DC" w14:textId="77777777" w:rsidR="00594534" w:rsidRPr="00F25744" w:rsidRDefault="00E25AE7" w:rsidP="00594534">
      <w:pPr>
        <w:pStyle w:val="a3"/>
        <w:widowControl w:val="0"/>
        <w:numPr>
          <w:ilvl w:val="0"/>
          <w:numId w:val="4"/>
        </w:numPr>
        <w:tabs>
          <w:tab w:val="clear" w:pos="720"/>
          <w:tab w:val="num" w:pos="509"/>
        </w:tabs>
        <w:autoSpaceDE w:val="0"/>
        <w:autoSpaceDN w:val="0"/>
        <w:bidi/>
        <w:adjustRightInd w:val="0"/>
        <w:spacing w:after="0" w:line="360" w:lineRule="auto"/>
        <w:ind w:left="509" w:hanging="283"/>
        <w:rPr>
          <w:rFonts w:ascii="David" w:hAnsi="David" w:cs="David"/>
          <w:sz w:val="24"/>
          <w:szCs w:val="24"/>
          <w:rtl/>
        </w:rPr>
      </w:pPr>
      <w:r w:rsidRPr="00F25744">
        <w:rPr>
          <w:rFonts w:ascii="David" w:hAnsi="David" w:cs="David" w:hint="cs"/>
          <w:b/>
          <w:bCs/>
          <w:sz w:val="24"/>
          <w:szCs w:val="24"/>
          <w:rtl/>
        </w:rPr>
        <w:t>במקביל</w:t>
      </w:r>
      <w:r w:rsidRPr="00F25744">
        <w:rPr>
          <w:rFonts w:ascii="David" w:hAnsi="David" w:cs="David" w:hint="cs"/>
          <w:sz w:val="24"/>
          <w:szCs w:val="24"/>
          <w:rtl/>
        </w:rPr>
        <w:t xml:space="preserve"> - תיעוד זמני הדיונים בידי הקלדניות ודיווח יומיומי למחלקת המחקר. </w:t>
      </w:r>
    </w:p>
    <w:p w14:paraId="797A3161" w14:textId="77777777" w:rsidR="00594534" w:rsidRPr="00F25744" w:rsidRDefault="00E25AE7" w:rsidP="00594534">
      <w:pPr>
        <w:pStyle w:val="a3"/>
        <w:widowControl w:val="0"/>
        <w:autoSpaceDE w:val="0"/>
        <w:autoSpaceDN w:val="0"/>
        <w:bidi/>
        <w:adjustRightInd w:val="0"/>
        <w:spacing w:after="0" w:line="360" w:lineRule="auto"/>
        <w:ind w:hanging="636"/>
        <w:rPr>
          <w:rFonts w:ascii="David" w:hAnsi="David" w:cs="David"/>
          <w:sz w:val="24"/>
          <w:szCs w:val="24"/>
          <w:u w:val="single"/>
          <w:rtl/>
        </w:rPr>
      </w:pPr>
      <w:r w:rsidRPr="00F25744">
        <w:rPr>
          <w:rFonts w:ascii="David" w:hAnsi="David" w:cs="David" w:hint="cs"/>
          <w:sz w:val="24"/>
          <w:szCs w:val="24"/>
          <w:u w:val="single"/>
          <w:rtl/>
        </w:rPr>
        <w:t xml:space="preserve">לאחר סיום תקופת המחקר      </w:t>
      </w:r>
    </w:p>
    <w:p w14:paraId="5FC53FD0" w14:textId="77777777" w:rsidR="00594534" w:rsidRPr="00F25744" w:rsidRDefault="00E25AE7" w:rsidP="00594534">
      <w:pPr>
        <w:pStyle w:val="a3"/>
        <w:widowControl w:val="0"/>
        <w:numPr>
          <w:ilvl w:val="0"/>
          <w:numId w:val="5"/>
        </w:numPr>
        <w:tabs>
          <w:tab w:val="clear" w:pos="720"/>
          <w:tab w:val="num" w:pos="509"/>
        </w:tabs>
        <w:autoSpaceDE w:val="0"/>
        <w:autoSpaceDN w:val="0"/>
        <w:bidi/>
        <w:adjustRightInd w:val="0"/>
        <w:spacing w:after="0" w:line="360" w:lineRule="auto"/>
        <w:ind w:left="651" w:hanging="425"/>
        <w:rPr>
          <w:rFonts w:ascii="David" w:hAnsi="David" w:cs="David"/>
          <w:sz w:val="24"/>
          <w:szCs w:val="24"/>
          <w:rtl/>
        </w:rPr>
      </w:pPr>
      <w:r w:rsidRPr="00F25744">
        <w:rPr>
          <w:rFonts w:ascii="David" w:hAnsi="David" w:cs="David" w:hint="cs"/>
          <w:sz w:val="24"/>
          <w:szCs w:val="24"/>
          <w:rtl/>
        </w:rPr>
        <w:t xml:space="preserve">תיקוף הממצאים הראשוניים </w:t>
      </w:r>
      <w:r w:rsidR="00D92EE4" w:rsidRPr="00F25744">
        <w:rPr>
          <w:rFonts w:ascii="David" w:hAnsi="David" w:cs="David" w:hint="cs"/>
          <w:sz w:val="24"/>
          <w:szCs w:val="24"/>
          <w:rtl/>
        </w:rPr>
        <w:t xml:space="preserve">ושאלות הנוגעות להיבטים נוספים של עומס העבודה </w:t>
      </w:r>
      <w:r w:rsidRPr="00F25744">
        <w:rPr>
          <w:rFonts w:ascii="David" w:hAnsi="David" w:cs="David" w:hint="cs"/>
          <w:sz w:val="24"/>
          <w:szCs w:val="24"/>
          <w:rtl/>
        </w:rPr>
        <w:t xml:space="preserve">באמצעות </w:t>
      </w:r>
      <w:r w:rsidRPr="00F25744">
        <w:rPr>
          <w:rFonts w:ascii="David" w:hAnsi="David" w:cs="David" w:hint="cs"/>
          <w:b/>
          <w:bCs/>
          <w:sz w:val="24"/>
          <w:szCs w:val="24"/>
          <w:rtl/>
        </w:rPr>
        <w:t>שאלון מסכם</w:t>
      </w:r>
      <w:r w:rsidRPr="00F25744">
        <w:rPr>
          <w:rFonts w:ascii="David" w:hAnsi="David" w:cs="David" w:hint="cs"/>
          <w:sz w:val="24"/>
          <w:szCs w:val="24"/>
          <w:rtl/>
        </w:rPr>
        <w:t xml:space="preserve"> מקוון חד פעמי</w:t>
      </w:r>
      <w:r w:rsidR="00E8198B" w:rsidRPr="00F25744">
        <w:rPr>
          <w:rFonts w:ascii="David" w:hAnsi="David" w:cs="David" w:hint="cs"/>
          <w:sz w:val="24"/>
          <w:szCs w:val="24"/>
          <w:rtl/>
        </w:rPr>
        <w:t xml:space="preserve"> (על ידי השופטים והרשמים)</w:t>
      </w:r>
      <w:r w:rsidRPr="00F25744">
        <w:rPr>
          <w:rFonts w:ascii="David" w:hAnsi="David" w:cs="David" w:hint="cs"/>
          <w:sz w:val="24"/>
          <w:szCs w:val="24"/>
          <w:rtl/>
        </w:rPr>
        <w:t xml:space="preserve">. </w:t>
      </w:r>
    </w:p>
    <w:p w14:paraId="2D2DE5DB" w14:textId="77777777" w:rsidR="00594534" w:rsidRPr="00F25744" w:rsidRDefault="00E25AE7" w:rsidP="00341018">
      <w:pPr>
        <w:pStyle w:val="1"/>
        <w:numPr>
          <w:ilvl w:val="0"/>
          <w:numId w:val="24"/>
        </w:numPr>
        <w:rPr>
          <w:rtl/>
        </w:rPr>
      </w:pPr>
      <w:r w:rsidRPr="00F25744">
        <w:rPr>
          <w:rtl/>
        </w:rPr>
        <w:br w:type="page"/>
      </w:r>
      <w:bookmarkStart w:id="20" w:name="_Toc46226024"/>
      <w:bookmarkStart w:id="21" w:name="_Toc46226168"/>
      <w:bookmarkStart w:id="22" w:name="_Toc46228335"/>
      <w:bookmarkStart w:id="23" w:name="_Toc46228433"/>
      <w:bookmarkStart w:id="24" w:name="_Toc46230360"/>
      <w:bookmarkStart w:id="25" w:name="_Toc46230458"/>
      <w:bookmarkStart w:id="26" w:name="_Toc46310348"/>
      <w:bookmarkStart w:id="27" w:name="_Toc46413990"/>
      <w:bookmarkStart w:id="28" w:name="_Toc49352730"/>
      <w:bookmarkStart w:id="29" w:name="_Toc49429635"/>
      <w:bookmarkStart w:id="30" w:name="_Toc49435864"/>
      <w:bookmarkStart w:id="31" w:name="_Toc74750943"/>
      <w:r w:rsidR="00CA12D8" w:rsidRPr="00F25744">
        <w:rPr>
          <w:rFonts w:hint="cs"/>
          <w:rtl/>
        </w:rPr>
        <w:lastRenderedPageBreak/>
        <w:t>חידוש ו</w:t>
      </w:r>
      <w:r w:rsidRPr="00F25744">
        <w:rPr>
          <w:rFonts w:hint="cs"/>
          <w:rtl/>
        </w:rPr>
        <w:t>טיוב מדד משקלות התיקים הקודם</w:t>
      </w:r>
      <w:bookmarkEnd w:id="20"/>
      <w:bookmarkEnd w:id="21"/>
      <w:bookmarkEnd w:id="22"/>
      <w:bookmarkEnd w:id="23"/>
      <w:bookmarkEnd w:id="24"/>
      <w:bookmarkEnd w:id="25"/>
      <w:bookmarkEnd w:id="26"/>
      <w:bookmarkEnd w:id="27"/>
      <w:bookmarkEnd w:id="28"/>
      <w:bookmarkEnd w:id="29"/>
      <w:bookmarkEnd w:id="30"/>
      <w:bookmarkEnd w:id="31"/>
    </w:p>
    <w:p w14:paraId="54D7CD7C" w14:textId="77777777" w:rsidR="00594534" w:rsidRPr="00F25744" w:rsidRDefault="00594534" w:rsidP="002D5F55">
      <w:pPr>
        <w:spacing w:after="0" w:line="240" w:lineRule="auto"/>
        <w:jc w:val="both"/>
        <w:rPr>
          <w:rFonts w:cs="David"/>
          <w:b/>
          <w:bCs/>
          <w:sz w:val="24"/>
          <w:szCs w:val="24"/>
          <w:u w:val="single"/>
          <w:rtl/>
        </w:rPr>
      </w:pPr>
    </w:p>
    <w:p w14:paraId="75F30076" w14:textId="1E541696" w:rsidR="00594534" w:rsidRPr="00F25744" w:rsidRDefault="00A54D82" w:rsidP="002010D3">
      <w:pPr>
        <w:pStyle w:val="2"/>
        <w:rPr>
          <w:rtl/>
        </w:rPr>
      </w:pPr>
      <w:bookmarkStart w:id="32" w:name="_Toc46226025"/>
      <w:bookmarkStart w:id="33" w:name="_Toc46226169"/>
      <w:bookmarkStart w:id="34" w:name="_Toc46228336"/>
      <w:bookmarkStart w:id="35" w:name="_Toc46228434"/>
      <w:bookmarkStart w:id="36" w:name="_Toc46230361"/>
      <w:bookmarkStart w:id="37" w:name="_Toc46230459"/>
      <w:bookmarkStart w:id="38" w:name="_Toc46310349"/>
      <w:bookmarkStart w:id="39" w:name="_Toc46413991"/>
      <w:bookmarkStart w:id="40" w:name="_Toc49352731"/>
      <w:bookmarkStart w:id="41" w:name="_Toc49429636"/>
      <w:bookmarkStart w:id="42" w:name="_Toc49435865"/>
      <w:r w:rsidRPr="00A54D82">
        <w:rPr>
          <w:rFonts w:hint="cs"/>
          <w:u w:val="none"/>
          <w:rtl/>
        </w:rPr>
        <w:t xml:space="preserve"> </w:t>
      </w:r>
      <w:bookmarkStart w:id="43" w:name="_Toc74750944"/>
      <w:r w:rsidR="00E25AE7" w:rsidRPr="00F25744">
        <w:rPr>
          <w:rFonts w:hint="cs"/>
          <w:rtl/>
        </w:rPr>
        <w:t>שיטות המחקר בעולם בתחום משקלות התיקים</w:t>
      </w:r>
      <w:bookmarkEnd w:id="32"/>
      <w:bookmarkEnd w:id="33"/>
      <w:bookmarkEnd w:id="34"/>
      <w:bookmarkEnd w:id="35"/>
      <w:bookmarkEnd w:id="36"/>
      <w:bookmarkEnd w:id="37"/>
      <w:bookmarkEnd w:id="38"/>
      <w:bookmarkEnd w:id="39"/>
      <w:bookmarkEnd w:id="40"/>
      <w:bookmarkEnd w:id="41"/>
      <w:bookmarkEnd w:id="42"/>
      <w:bookmarkEnd w:id="43"/>
    </w:p>
    <w:p w14:paraId="066596B9" w14:textId="77777777" w:rsidR="00594534" w:rsidRPr="00F25744" w:rsidRDefault="00E25AE7" w:rsidP="00471AED">
      <w:pPr>
        <w:spacing w:after="0" w:line="360" w:lineRule="auto"/>
        <w:jc w:val="both"/>
        <w:rPr>
          <w:rFonts w:cs="David"/>
          <w:sz w:val="24"/>
          <w:szCs w:val="24"/>
          <w:rtl/>
        </w:rPr>
      </w:pPr>
      <w:r w:rsidRPr="00F25744">
        <w:rPr>
          <w:rFonts w:cs="David" w:hint="cs"/>
          <w:sz w:val="24"/>
          <w:szCs w:val="24"/>
          <w:rtl/>
        </w:rPr>
        <w:t xml:space="preserve">בבחינת הספרות המחקרית שנצברה מאז </w:t>
      </w:r>
      <w:r w:rsidR="00471AED" w:rsidRPr="00F25744">
        <w:rPr>
          <w:rFonts w:cs="David" w:hint="cs"/>
          <w:sz w:val="24"/>
          <w:szCs w:val="24"/>
          <w:rtl/>
        </w:rPr>
        <w:t xml:space="preserve">פורסם </w:t>
      </w:r>
      <w:r w:rsidRPr="00F25744">
        <w:rPr>
          <w:rFonts w:cs="David" w:hint="cs"/>
          <w:sz w:val="24"/>
          <w:szCs w:val="24"/>
          <w:rtl/>
        </w:rPr>
        <w:t xml:space="preserve">מדד המשקלות הקודם, ניתן ללמוד כי בתחום משקלות התיקים הוצעו ובוצעו שתי שיטות מחקריות עיקריות: </w:t>
      </w:r>
    </w:p>
    <w:p w14:paraId="0253E165" w14:textId="77777777" w:rsidR="00594534" w:rsidRPr="00F25744" w:rsidRDefault="00E25AE7" w:rsidP="00594534">
      <w:pPr>
        <w:numPr>
          <w:ilvl w:val="0"/>
          <w:numId w:val="10"/>
        </w:numPr>
        <w:spacing w:after="0" w:line="360" w:lineRule="auto"/>
        <w:ind w:left="368" w:hanging="284"/>
        <w:jc w:val="both"/>
        <w:rPr>
          <w:rFonts w:cs="David"/>
          <w:sz w:val="24"/>
          <w:szCs w:val="24"/>
        </w:rPr>
      </w:pPr>
      <w:r w:rsidRPr="00F25744">
        <w:rPr>
          <w:rFonts w:cs="David" w:hint="cs"/>
          <w:sz w:val="24"/>
          <w:szCs w:val="24"/>
          <w:rtl/>
        </w:rPr>
        <w:t xml:space="preserve">שיטה הנסמכת על </w:t>
      </w:r>
      <w:r w:rsidRPr="00F25744">
        <w:rPr>
          <w:rFonts w:cs="David" w:hint="cs"/>
          <w:b/>
          <w:bCs/>
          <w:sz w:val="24"/>
          <w:szCs w:val="24"/>
          <w:rtl/>
        </w:rPr>
        <w:t>הערכת</w:t>
      </w:r>
      <w:r w:rsidRPr="00F25744">
        <w:rPr>
          <w:rFonts w:cs="David" w:hint="cs"/>
          <w:sz w:val="24"/>
          <w:szCs w:val="24"/>
          <w:rtl/>
        </w:rPr>
        <w:t xml:space="preserve"> זמני העבודה השיפוטית בידי קבוצת שופטים מומחים </w:t>
      </w:r>
      <w:r w:rsidRPr="00F25744">
        <w:rPr>
          <w:rFonts w:cs="David"/>
          <w:sz w:val="24"/>
          <w:szCs w:val="24"/>
          <w:rtl/>
        </w:rPr>
        <w:t>(</w:t>
      </w:r>
      <w:r w:rsidRPr="00F25744">
        <w:rPr>
          <w:rFonts w:ascii="Times New Roman" w:hAnsi="Times New Roman" w:cs="Times New Roman"/>
          <w:sz w:val="24"/>
          <w:szCs w:val="24"/>
        </w:rPr>
        <w:t>Delphi</w:t>
      </w:r>
      <w:r w:rsidRPr="00F25744">
        <w:rPr>
          <w:rFonts w:cs="David"/>
          <w:sz w:val="24"/>
          <w:szCs w:val="24"/>
          <w:rtl/>
        </w:rPr>
        <w:t>).</w:t>
      </w:r>
      <w:r w:rsidRPr="00F25744">
        <w:rPr>
          <w:rFonts w:cs="David" w:hint="cs"/>
          <w:sz w:val="24"/>
          <w:szCs w:val="24"/>
          <w:rtl/>
        </w:rPr>
        <w:t xml:space="preserve"> </w:t>
      </w:r>
    </w:p>
    <w:p w14:paraId="66FA9D48" w14:textId="77777777" w:rsidR="00594534" w:rsidRPr="00F25744" w:rsidRDefault="00E25AE7" w:rsidP="00BD6258">
      <w:pPr>
        <w:numPr>
          <w:ilvl w:val="0"/>
          <w:numId w:val="10"/>
        </w:numPr>
        <w:spacing w:after="0" w:line="360" w:lineRule="auto"/>
        <w:ind w:left="368" w:hanging="284"/>
        <w:jc w:val="both"/>
        <w:rPr>
          <w:rFonts w:cs="David"/>
          <w:sz w:val="24"/>
          <w:szCs w:val="24"/>
        </w:rPr>
      </w:pPr>
      <w:r w:rsidRPr="00F25744">
        <w:rPr>
          <w:rFonts w:cs="David" w:hint="cs"/>
          <w:sz w:val="24"/>
          <w:szCs w:val="24"/>
          <w:rtl/>
        </w:rPr>
        <w:t xml:space="preserve">שיטה הנסמכת על </w:t>
      </w:r>
      <w:r w:rsidRPr="00F25744">
        <w:rPr>
          <w:rFonts w:cs="David" w:hint="cs"/>
          <w:b/>
          <w:bCs/>
          <w:sz w:val="24"/>
          <w:szCs w:val="24"/>
          <w:rtl/>
        </w:rPr>
        <w:t>מדידת</w:t>
      </w:r>
      <w:r w:rsidRPr="00F25744">
        <w:rPr>
          <w:rFonts w:cs="David" w:hint="cs"/>
          <w:sz w:val="24"/>
          <w:szCs w:val="24"/>
          <w:rtl/>
        </w:rPr>
        <w:t xml:space="preserve"> זמני העבודה השיפוטית בפועל בידי מרב</w:t>
      </w:r>
      <w:r w:rsidR="002D5F55" w:rsidRPr="00F25744">
        <w:rPr>
          <w:rFonts w:cs="David" w:hint="cs"/>
          <w:sz w:val="24"/>
          <w:szCs w:val="24"/>
          <w:rtl/>
        </w:rPr>
        <w:t>ית</w:t>
      </w:r>
      <w:r w:rsidRPr="00F25744">
        <w:rPr>
          <w:rFonts w:cs="David" w:hint="cs"/>
          <w:sz w:val="24"/>
          <w:szCs w:val="24"/>
          <w:rtl/>
        </w:rPr>
        <w:t xml:space="preserve"> השופטים </w:t>
      </w:r>
      <w:r w:rsidRPr="00F25744">
        <w:rPr>
          <w:rFonts w:ascii="Times New Roman" w:hAnsi="Times New Roman" w:cs="Times New Roman"/>
          <w:sz w:val="24"/>
          <w:szCs w:val="24"/>
        </w:rPr>
        <w:t>Time Study</w:t>
      </w:r>
      <w:r w:rsidRPr="00F25744">
        <w:rPr>
          <w:rFonts w:cs="David"/>
          <w:sz w:val="24"/>
          <w:szCs w:val="24"/>
        </w:rPr>
        <w:t>)</w:t>
      </w:r>
      <w:r w:rsidR="00BD6258" w:rsidRPr="00F25744">
        <w:rPr>
          <w:rFonts w:cs="David" w:hint="cs"/>
          <w:sz w:val="24"/>
          <w:szCs w:val="24"/>
          <w:rtl/>
        </w:rPr>
        <w:t>)</w:t>
      </w:r>
      <w:r w:rsidRPr="00F25744">
        <w:rPr>
          <w:rFonts w:cs="David" w:hint="cs"/>
          <w:sz w:val="24"/>
          <w:szCs w:val="24"/>
          <w:rtl/>
        </w:rPr>
        <w:t xml:space="preserve">.  </w:t>
      </w:r>
    </w:p>
    <w:p w14:paraId="3770B8D6" w14:textId="77777777" w:rsidR="00594534" w:rsidRPr="00F25744" w:rsidRDefault="00594534" w:rsidP="00BD23BB">
      <w:pPr>
        <w:spacing w:after="0" w:line="240" w:lineRule="auto"/>
        <w:jc w:val="both"/>
        <w:rPr>
          <w:rFonts w:cs="David"/>
          <w:sz w:val="24"/>
          <w:szCs w:val="24"/>
          <w:u w:val="single"/>
          <w:rtl/>
        </w:rPr>
      </w:pPr>
    </w:p>
    <w:p w14:paraId="7A6FC6E0" w14:textId="77777777" w:rsidR="00594534" w:rsidRPr="00F25744" w:rsidRDefault="00E25AE7" w:rsidP="00BD23BB">
      <w:pPr>
        <w:spacing w:before="120" w:after="0" w:line="360" w:lineRule="auto"/>
        <w:jc w:val="both"/>
        <w:rPr>
          <w:rFonts w:cs="David"/>
          <w:sz w:val="24"/>
          <w:szCs w:val="24"/>
          <w:u w:val="single"/>
          <w:rtl/>
        </w:rPr>
      </w:pPr>
      <w:r w:rsidRPr="00F25744">
        <w:rPr>
          <w:rFonts w:cs="David" w:hint="cs"/>
          <w:sz w:val="24"/>
          <w:szCs w:val="24"/>
          <w:u w:val="single"/>
          <w:rtl/>
        </w:rPr>
        <w:t>שיטת הדלפי</w:t>
      </w:r>
      <w:r w:rsidR="008B62A3" w:rsidRPr="00F25744">
        <w:rPr>
          <w:rFonts w:cs="David" w:hint="cs"/>
          <w:sz w:val="24"/>
          <w:szCs w:val="24"/>
          <w:u w:val="single"/>
          <w:rtl/>
        </w:rPr>
        <w:t xml:space="preserve"> </w:t>
      </w:r>
      <w:r w:rsidRPr="00F25744">
        <w:rPr>
          <w:rFonts w:cs="David" w:hint="cs"/>
          <w:sz w:val="24"/>
          <w:szCs w:val="24"/>
          <w:u w:val="single"/>
          <w:rtl/>
        </w:rPr>
        <w:t>- הערכת זמנים על פי תחושה מושכלת</w:t>
      </w:r>
    </w:p>
    <w:p w14:paraId="2D2D771D" w14:textId="77777777" w:rsidR="00594534" w:rsidRPr="00F25744" w:rsidRDefault="00E25AE7" w:rsidP="00BD23BB">
      <w:pPr>
        <w:spacing w:before="120" w:after="0" w:line="360" w:lineRule="auto"/>
        <w:jc w:val="both"/>
        <w:rPr>
          <w:rFonts w:cs="David"/>
          <w:sz w:val="24"/>
          <w:szCs w:val="24"/>
          <w:rtl/>
        </w:rPr>
      </w:pPr>
      <w:r w:rsidRPr="00F25744">
        <w:rPr>
          <w:rFonts w:cs="David" w:hint="cs"/>
          <w:sz w:val="24"/>
          <w:szCs w:val="24"/>
          <w:rtl/>
        </w:rPr>
        <w:t>שיטת הדלפי משמשת, בעיקרה, כטכניקה לקבלת החלטות ונסמכת על הערכה מצד מומחים מנוסים בתחום הנבדק. לצורך מדד משקלות התיקים המשמעות היא שקבוצת שופטים מומחים מתבקשת להעריך, על פי תחושה מושכלת, מהם זמני העבודה הדרושים להם, בממוצע, לשם השלמת הטיפול במשימות שיפוטיות מוגדרות. שיטה זו משמשת לצורך מדדי משקלות תיקים החל משנות ה-70'</w:t>
      </w:r>
      <w:r w:rsidR="00471AED" w:rsidRPr="00F25744">
        <w:rPr>
          <w:rFonts w:cs="David" w:hint="cs"/>
          <w:sz w:val="24"/>
          <w:szCs w:val="24"/>
          <w:rtl/>
        </w:rPr>
        <w:t xml:space="preserve"> של המאה הקודמת והייתה השיטה המקובלת </w:t>
      </w:r>
      <w:r w:rsidR="00BA0176" w:rsidRPr="00F25744">
        <w:rPr>
          <w:rFonts w:cs="David" w:hint="cs"/>
          <w:sz w:val="24"/>
          <w:szCs w:val="24"/>
          <w:rtl/>
        </w:rPr>
        <w:t>ב</w:t>
      </w:r>
      <w:r w:rsidR="00471AED" w:rsidRPr="00F25744">
        <w:rPr>
          <w:rFonts w:cs="David" w:hint="cs"/>
          <w:sz w:val="24"/>
          <w:szCs w:val="24"/>
          <w:rtl/>
        </w:rPr>
        <w:t>מרבית מחקרי משקלות התיקים שנעשו בעולם המערבי בעת שנערך מחקר מש</w:t>
      </w:r>
      <w:r w:rsidR="00C60022" w:rsidRPr="00F25744">
        <w:rPr>
          <w:rFonts w:cs="David" w:hint="cs"/>
          <w:sz w:val="24"/>
          <w:szCs w:val="24"/>
          <w:rtl/>
        </w:rPr>
        <w:t>ק</w:t>
      </w:r>
      <w:r w:rsidR="00471AED" w:rsidRPr="00F25744">
        <w:rPr>
          <w:rFonts w:cs="David" w:hint="cs"/>
          <w:sz w:val="24"/>
          <w:szCs w:val="24"/>
          <w:rtl/>
        </w:rPr>
        <w:t xml:space="preserve">לות התיקים הקודם. על כן, היא גם עמדה </w:t>
      </w:r>
      <w:r w:rsidRPr="00F25744">
        <w:rPr>
          <w:rFonts w:cs="David" w:hint="cs"/>
          <w:sz w:val="24"/>
          <w:szCs w:val="24"/>
          <w:rtl/>
        </w:rPr>
        <w:t xml:space="preserve">בבסיס מחקר משקלות התיקים הקודם. </w:t>
      </w:r>
    </w:p>
    <w:p w14:paraId="443F5134" w14:textId="77777777" w:rsidR="00594534" w:rsidRPr="00F25744" w:rsidRDefault="00E25AE7" w:rsidP="00BD23BB">
      <w:pPr>
        <w:spacing w:before="120" w:after="0" w:line="360" w:lineRule="auto"/>
        <w:jc w:val="both"/>
        <w:rPr>
          <w:rFonts w:cs="David"/>
          <w:sz w:val="24"/>
          <w:szCs w:val="24"/>
          <w:rtl/>
        </w:rPr>
      </w:pPr>
      <w:r w:rsidRPr="00F25744">
        <w:rPr>
          <w:rFonts w:cs="David" w:hint="cs"/>
          <w:sz w:val="24"/>
          <w:szCs w:val="24"/>
          <w:rtl/>
        </w:rPr>
        <w:t xml:space="preserve">בתמצית, </w:t>
      </w:r>
      <w:r w:rsidRPr="00F25744">
        <w:rPr>
          <w:rFonts w:cs="David" w:hint="cs"/>
          <w:b/>
          <w:bCs/>
          <w:sz w:val="24"/>
          <w:szCs w:val="24"/>
          <w:rtl/>
        </w:rPr>
        <w:t>יתרונות</w:t>
      </w:r>
      <w:r w:rsidRPr="00F25744">
        <w:rPr>
          <w:rFonts w:cs="David" w:hint="cs"/>
          <w:sz w:val="24"/>
          <w:szCs w:val="24"/>
          <w:rtl/>
        </w:rPr>
        <w:t xml:space="preserve"> שיטת הדלפי, בהקשר של מדד המשקלות, הם אלו:</w:t>
      </w:r>
    </w:p>
    <w:p w14:paraId="4C1AFE2C" w14:textId="77777777" w:rsidR="00594534" w:rsidRPr="00F25744" w:rsidRDefault="00E25AE7" w:rsidP="00594534">
      <w:pPr>
        <w:spacing w:after="0" w:line="360" w:lineRule="auto"/>
        <w:jc w:val="both"/>
        <w:rPr>
          <w:rFonts w:cs="David"/>
          <w:sz w:val="24"/>
          <w:szCs w:val="24"/>
          <w:rtl/>
        </w:rPr>
      </w:pPr>
      <w:r w:rsidRPr="00F25744">
        <w:rPr>
          <w:rFonts w:cs="David" w:hint="cs"/>
          <w:sz w:val="24"/>
          <w:szCs w:val="24"/>
          <w:rtl/>
        </w:rPr>
        <w:t>1) השימוש בקבוצת שופטים מנוסים (מומחים), והיכולת לגבש באמצעותם קונצנזוס על זמני העבודה השיפוטית;</w:t>
      </w:r>
    </w:p>
    <w:p w14:paraId="4295C65C" w14:textId="77777777" w:rsidR="00594534" w:rsidRPr="00F25744" w:rsidRDefault="00E25AE7" w:rsidP="0069290D">
      <w:pPr>
        <w:spacing w:after="0" w:line="360" w:lineRule="auto"/>
        <w:jc w:val="both"/>
        <w:rPr>
          <w:rFonts w:cs="David"/>
          <w:sz w:val="24"/>
          <w:szCs w:val="24"/>
          <w:rtl/>
        </w:rPr>
      </w:pPr>
      <w:r w:rsidRPr="00F25744">
        <w:rPr>
          <w:rFonts w:cs="David" w:hint="cs"/>
          <w:sz w:val="24"/>
          <w:szCs w:val="24"/>
          <w:rtl/>
        </w:rPr>
        <w:t xml:space="preserve">2) השיטה מצריכה פחות טרחה מצד </w:t>
      </w:r>
      <w:r w:rsidR="0069290D" w:rsidRPr="00F25744">
        <w:rPr>
          <w:rFonts w:cs="David" w:hint="cs"/>
          <w:sz w:val="24"/>
          <w:szCs w:val="24"/>
          <w:rtl/>
        </w:rPr>
        <w:t>ה</w:t>
      </w:r>
      <w:r w:rsidRPr="00F25744">
        <w:rPr>
          <w:rFonts w:cs="David" w:hint="cs"/>
          <w:sz w:val="24"/>
          <w:szCs w:val="24"/>
          <w:rtl/>
        </w:rPr>
        <w:t>שופטי</w:t>
      </w:r>
      <w:r w:rsidR="0069290D" w:rsidRPr="00F25744">
        <w:rPr>
          <w:rFonts w:cs="David" w:hint="cs"/>
          <w:sz w:val="24"/>
          <w:szCs w:val="24"/>
          <w:rtl/>
        </w:rPr>
        <w:t>ם</w:t>
      </w:r>
      <w:r w:rsidRPr="00F25744">
        <w:rPr>
          <w:rFonts w:cs="David" w:hint="cs"/>
          <w:sz w:val="24"/>
          <w:szCs w:val="24"/>
          <w:rtl/>
        </w:rPr>
        <w:t xml:space="preserve"> לעומת המאמץ הכרוך במחקר איסוף מידע בקנה מידה רחב;</w:t>
      </w:r>
    </w:p>
    <w:p w14:paraId="06E7923D" w14:textId="77777777" w:rsidR="00594534" w:rsidRPr="00F25744" w:rsidRDefault="00E25AE7" w:rsidP="00594534">
      <w:pPr>
        <w:spacing w:after="0" w:line="360" w:lineRule="auto"/>
        <w:jc w:val="both"/>
        <w:rPr>
          <w:rFonts w:cs="David"/>
          <w:sz w:val="24"/>
          <w:szCs w:val="24"/>
          <w:rtl/>
        </w:rPr>
      </w:pPr>
      <w:r w:rsidRPr="00F25744">
        <w:rPr>
          <w:rFonts w:cs="David" w:hint="cs"/>
          <w:sz w:val="24"/>
          <w:szCs w:val="24"/>
          <w:rtl/>
        </w:rPr>
        <w:t xml:space="preserve">3) השיטה מאפשרת השלמה של מדד המשקלות בזמן קצר באופן יחסי. </w:t>
      </w:r>
    </w:p>
    <w:p w14:paraId="7CE1E754" w14:textId="77777777" w:rsidR="00594534" w:rsidRPr="00F25744" w:rsidRDefault="00E25AE7" w:rsidP="00594534">
      <w:pPr>
        <w:spacing w:after="0" w:line="360" w:lineRule="auto"/>
        <w:jc w:val="both"/>
        <w:rPr>
          <w:rFonts w:cs="David"/>
          <w:sz w:val="24"/>
          <w:szCs w:val="24"/>
          <w:rtl/>
        </w:rPr>
      </w:pPr>
      <w:r w:rsidRPr="00F25744">
        <w:rPr>
          <w:rFonts w:cs="David" w:hint="cs"/>
          <w:sz w:val="24"/>
          <w:szCs w:val="24"/>
          <w:rtl/>
        </w:rPr>
        <w:t xml:space="preserve">מן העבר השני, </w:t>
      </w:r>
      <w:r w:rsidRPr="00F25744">
        <w:rPr>
          <w:rFonts w:cs="David" w:hint="cs"/>
          <w:b/>
          <w:bCs/>
          <w:sz w:val="24"/>
          <w:szCs w:val="24"/>
          <w:rtl/>
        </w:rPr>
        <w:t>חסרונות</w:t>
      </w:r>
      <w:r w:rsidRPr="00F25744">
        <w:rPr>
          <w:rFonts w:cs="David" w:hint="cs"/>
          <w:sz w:val="24"/>
          <w:szCs w:val="24"/>
          <w:rtl/>
        </w:rPr>
        <w:t xml:space="preserve"> שיטת הערכת הזמנים, הם אלו:</w:t>
      </w:r>
    </w:p>
    <w:p w14:paraId="01747210" w14:textId="77777777" w:rsidR="00594534" w:rsidRPr="00F25744" w:rsidRDefault="00E25AE7" w:rsidP="00594534">
      <w:pPr>
        <w:spacing w:after="0" w:line="360" w:lineRule="auto"/>
        <w:jc w:val="both"/>
        <w:rPr>
          <w:rFonts w:cs="David"/>
          <w:sz w:val="24"/>
          <w:szCs w:val="24"/>
          <w:rtl/>
        </w:rPr>
      </w:pPr>
      <w:r w:rsidRPr="00F25744">
        <w:rPr>
          <w:rFonts w:cs="David" w:hint="cs"/>
          <w:sz w:val="24"/>
          <w:szCs w:val="24"/>
          <w:rtl/>
        </w:rPr>
        <w:t xml:space="preserve">1) יצירת אשליה של דיוק, בעוד שלמעשה השיטה מבוססת על הערכות אישיות וסובייקטיביות; </w:t>
      </w:r>
    </w:p>
    <w:p w14:paraId="6B487CB1" w14:textId="77777777" w:rsidR="00594534" w:rsidRPr="00F25744" w:rsidRDefault="00E25AE7" w:rsidP="00594534">
      <w:pPr>
        <w:spacing w:after="0" w:line="360" w:lineRule="auto"/>
        <w:jc w:val="both"/>
        <w:rPr>
          <w:rFonts w:cs="David"/>
          <w:sz w:val="24"/>
          <w:szCs w:val="24"/>
          <w:rtl/>
        </w:rPr>
      </w:pPr>
      <w:r w:rsidRPr="00F25744">
        <w:rPr>
          <w:rFonts w:cs="David" w:hint="cs"/>
          <w:sz w:val="24"/>
          <w:szCs w:val="24"/>
          <w:rtl/>
        </w:rPr>
        <w:t>2) חשיפה להטיות בדיווח, כדוגמת אפקט רצייה חברתית/ אפקט ההילה/ התכנסות לטווח מסוים בסולם התשובות וכיו"ב;</w:t>
      </w:r>
    </w:p>
    <w:p w14:paraId="56E48AEF" w14:textId="77777777" w:rsidR="00594534" w:rsidRPr="00F25744" w:rsidRDefault="00E25AE7" w:rsidP="00594534">
      <w:pPr>
        <w:spacing w:after="0" w:line="360" w:lineRule="auto"/>
        <w:jc w:val="both"/>
        <w:rPr>
          <w:rFonts w:cs="David"/>
          <w:sz w:val="24"/>
          <w:szCs w:val="24"/>
          <w:rtl/>
        </w:rPr>
      </w:pPr>
      <w:r w:rsidRPr="00F25744">
        <w:rPr>
          <w:rFonts w:cs="David" w:hint="cs"/>
          <w:sz w:val="24"/>
          <w:szCs w:val="24"/>
          <w:rtl/>
        </w:rPr>
        <w:t xml:space="preserve">3) חשיפה לטעויות הנובעות מתכנון, מנוסח וממבנה השאלות, אם בשאלון הדיווח, ואם בע"פ במעמד הדיונים שבין סבבי המילוי של השאלונים. </w:t>
      </w:r>
    </w:p>
    <w:p w14:paraId="18B2E924" w14:textId="77777777" w:rsidR="00594534" w:rsidRPr="00F25744" w:rsidRDefault="00594534" w:rsidP="00BD23BB">
      <w:pPr>
        <w:spacing w:after="0" w:line="240" w:lineRule="auto"/>
        <w:jc w:val="both"/>
        <w:rPr>
          <w:rFonts w:cs="David"/>
          <w:sz w:val="24"/>
          <w:szCs w:val="24"/>
          <w:u w:val="single"/>
          <w:rtl/>
        </w:rPr>
      </w:pPr>
    </w:p>
    <w:p w14:paraId="22A6B64A" w14:textId="77777777" w:rsidR="00594534" w:rsidRPr="00F25744" w:rsidRDefault="00E25AE7" w:rsidP="00BD23BB">
      <w:pPr>
        <w:spacing w:before="120" w:after="0" w:line="360" w:lineRule="auto"/>
        <w:jc w:val="both"/>
        <w:rPr>
          <w:rFonts w:cs="David"/>
          <w:sz w:val="24"/>
          <w:szCs w:val="24"/>
          <w:u w:val="single"/>
          <w:rtl/>
        </w:rPr>
      </w:pPr>
      <w:r w:rsidRPr="00F25744">
        <w:rPr>
          <w:rFonts w:cs="David" w:hint="cs"/>
          <w:sz w:val="24"/>
          <w:szCs w:val="24"/>
          <w:u w:val="single"/>
          <w:rtl/>
        </w:rPr>
        <w:t>מחקר זמנים</w:t>
      </w:r>
      <w:r w:rsidR="00FC3128" w:rsidRPr="00F25744">
        <w:rPr>
          <w:rFonts w:cs="David" w:hint="cs"/>
          <w:sz w:val="24"/>
          <w:szCs w:val="24"/>
          <w:u w:val="single"/>
          <w:rtl/>
        </w:rPr>
        <w:t xml:space="preserve"> </w:t>
      </w:r>
      <w:r w:rsidRPr="00F25744">
        <w:rPr>
          <w:rFonts w:cs="David" w:hint="cs"/>
          <w:sz w:val="24"/>
          <w:szCs w:val="24"/>
          <w:u w:val="single"/>
          <w:rtl/>
        </w:rPr>
        <w:t>- מדידה של זמני העבודה בפועל</w:t>
      </w:r>
    </w:p>
    <w:p w14:paraId="70ABEECD" w14:textId="77777777" w:rsidR="00594534" w:rsidRPr="00F25744" w:rsidRDefault="00E25AE7" w:rsidP="00BD23BB">
      <w:pPr>
        <w:spacing w:before="120" w:after="0" w:line="360" w:lineRule="auto"/>
        <w:jc w:val="both"/>
        <w:rPr>
          <w:rFonts w:cs="David"/>
          <w:sz w:val="24"/>
          <w:szCs w:val="24"/>
          <w:rtl/>
        </w:rPr>
      </w:pPr>
      <w:r w:rsidRPr="00F25744">
        <w:rPr>
          <w:rFonts w:cs="David" w:hint="cs"/>
          <w:sz w:val="24"/>
          <w:szCs w:val="24"/>
          <w:rtl/>
        </w:rPr>
        <w:t xml:space="preserve">שיטת המחקר השנייה בתחום משקלות התיקים היא מחקר הזמנים. שיטה זו נסמכת על מעקב ותיעוד בזמן אמת של זמני העבודה השיפוטית, על כל רבדיה. </w:t>
      </w:r>
      <w:r w:rsidRPr="00F25744">
        <w:rPr>
          <w:rFonts w:cs="David" w:hint="cs"/>
          <w:b/>
          <w:bCs/>
          <w:sz w:val="24"/>
          <w:szCs w:val="24"/>
          <w:rtl/>
        </w:rPr>
        <w:t>יתרונות</w:t>
      </w:r>
      <w:r w:rsidRPr="00F25744">
        <w:rPr>
          <w:rFonts w:cs="David" w:hint="cs"/>
          <w:sz w:val="24"/>
          <w:szCs w:val="24"/>
          <w:rtl/>
        </w:rPr>
        <w:t xml:space="preserve"> מחקר הזמנים הם אלו:</w:t>
      </w:r>
    </w:p>
    <w:p w14:paraId="0EF517FA" w14:textId="77777777" w:rsidR="00594534" w:rsidRPr="00F25744" w:rsidRDefault="00E25AE7" w:rsidP="00BD23BB">
      <w:pPr>
        <w:spacing w:before="120" w:after="0" w:line="360" w:lineRule="auto"/>
        <w:jc w:val="both"/>
        <w:rPr>
          <w:rFonts w:cs="David"/>
          <w:sz w:val="24"/>
          <w:szCs w:val="24"/>
          <w:rtl/>
        </w:rPr>
      </w:pPr>
      <w:r w:rsidRPr="00F25744">
        <w:rPr>
          <w:rFonts w:cs="David" w:hint="cs"/>
          <w:sz w:val="24"/>
          <w:szCs w:val="24"/>
          <w:rtl/>
        </w:rPr>
        <w:t>1) מחקר הזמנים מספק ממצאים אמפיריים המבוססים על מדידת זמני אמת, בניגוד לשיטת הדלפי, המבוססת על הערכות סובייקטיביות שנמסרות בדיעבד;</w:t>
      </w:r>
    </w:p>
    <w:p w14:paraId="6BA57BB4" w14:textId="77777777" w:rsidR="00594534" w:rsidRPr="00F25744" w:rsidRDefault="00E25AE7" w:rsidP="00BD23BB">
      <w:pPr>
        <w:spacing w:before="120" w:after="0" w:line="360" w:lineRule="auto"/>
        <w:jc w:val="both"/>
        <w:rPr>
          <w:rFonts w:cs="David"/>
          <w:sz w:val="24"/>
          <w:szCs w:val="24"/>
          <w:rtl/>
        </w:rPr>
      </w:pPr>
      <w:r w:rsidRPr="00F25744">
        <w:rPr>
          <w:rFonts w:cs="David" w:hint="cs"/>
          <w:sz w:val="24"/>
          <w:szCs w:val="24"/>
          <w:rtl/>
        </w:rPr>
        <w:lastRenderedPageBreak/>
        <w:t>2) מחקר הזמנים מקיף את מירב גורמי השיפוט ועל כן תוצאותיו אמורות לשקף את מנעד התפקידים, תחומי העיסוק ודפוסי העבודה בדרג השפיטה והרשמות;</w:t>
      </w:r>
    </w:p>
    <w:p w14:paraId="468796D6" w14:textId="77777777" w:rsidR="00594534" w:rsidRPr="00F25744" w:rsidRDefault="00E25AE7" w:rsidP="00BD23BB">
      <w:pPr>
        <w:spacing w:before="120" w:after="0" w:line="360" w:lineRule="auto"/>
        <w:jc w:val="both"/>
        <w:rPr>
          <w:rFonts w:cs="David"/>
          <w:sz w:val="24"/>
          <w:szCs w:val="24"/>
          <w:rtl/>
        </w:rPr>
      </w:pPr>
      <w:r w:rsidRPr="00F25744">
        <w:rPr>
          <w:rFonts w:cs="David" w:hint="cs"/>
          <w:sz w:val="24"/>
          <w:szCs w:val="24"/>
          <w:rtl/>
        </w:rPr>
        <w:t>3) הדיווח העצמי מטפח בקרה ומודעות של השופט המדווח, באופן שממזער הטיות בדיווח, ומקל על איתור וניתוח פערי דיווח בשאלונים/יומני העבודה;</w:t>
      </w:r>
    </w:p>
    <w:p w14:paraId="5AB25FB0" w14:textId="77777777" w:rsidR="00594534" w:rsidRPr="00F25744" w:rsidRDefault="00E25AE7" w:rsidP="00BD23BB">
      <w:pPr>
        <w:spacing w:before="120" w:after="0" w:line="360" w:lineRule="auto"/>
        <w:jc w:val="both"/>
        <w:rPr>
          <w:rFonts w:cs="David"/>
          <w:sz w:val="24"/>
          <w:szCs w:val="24"/>
          <w:rtl/>
        </w:rPr>
      </w:pPr>
      <w:r w:rsidRPr="00F25744">
        <w:rPr>
          <w:rFonts w:cs="David" w:hint="cs"/>
          <w:sz w:val="24"/>
          <w:szCs w:val="24"/>
          <w:rtl/>
        </w:rPr>
        <w:t xml:space="preserve">4) מחקר הזמנים מאפשר לקבל תמונה של יום העבודה השיפוטי, תוך הבחנה בין </w:t>
      </w:r>
      <w:r w:rsidR="00471AED" w:rsidRPr="00F25744">
        <w:rPr>
          <w:rFonts w:cs="David" w:hint="cs"/>
          <w:sz w:val="24"/>
          <w:szCs w:val="24"/>
          <w:rtl/>
        </w:rPr>
        <w:t xml:space="preserve">ארבעה </w:t>
      </w:r>
      <w:r w:rsidRPr="00F25744">
        <w:rPr>
          <w:rFonts w:cs="David" w:hint="cs"/>
          <w:sz w:val="24"/>
          <w:szCs w:val="24"/>
          <w:rtl/>
        </w:rPr>
        <w:t>רכיבי</w:t>
      </w:r>
      <w:r w:rsidR="00471AED" w:rsidRPr="00F25744">
        <w:rPr>
          <w:rFonts w:cs="David" w:hint="cs"/>
          <w:sz w:val="24"/>
          <w:szCs w:val="24"/>
          <w:rtl/>
        </w:rPr>
        <w:t>ם של</w:t>
      </w:r>
      <w:r w:rsidRPr="00F25744">
        <w:rPr>
          <w:rFonts w:cs="David" w:hint="cs"/>
          <w:sz w:val="24"/>
          <w:szCs w:val="24"/>
          <w:rtl/>
        </w:rPr>
        <w:t xml:space="preserve"> עבודת </w:t>
      </w:r>
      <w:r w:rsidR="00471AED" w:rsidRPr="00F25744">
        <w:rPr>
          <w:rFonts w:cs="David" w:hint="cs"/>
          <w:sz w:val="24"/>
          <w:szCs w:val="24"/>
          <w:rtl/>
        </w:rPr>
        <w:t>השיפוט</w:t>
      </w:r>
      <w:r w:rsidRPr="00F25744">
        <w:rPr>
          <w:rFonts w:cs="David" w:hint="cs"/>
          <w:sz w:val="24"/>
          <w:szCs w:val="24"/>
          <w:rtl/>
        </w:rPr>
        <w:t>: עבודה שיפוטית הכרוכה בתיקים (כתיבה/הכנה/שמיעת דיונים), עבודה שיפוטית שאינה כרוכה בתיקים (פגישות</w:t>
      </w:r>
      <w:r w:rsidRPr="00F25744">
        <w:rPr>
          <w:rFonts w:cs="David"/>
          <w:sz w:val="24"/>
          <w:szCs w:val="24"/>
          <w:rtl/>
        </w:rPr>
        <w:t xml:space="preserve"> </w:t>
      </w:r>
      <w:r w:rsidRPr="00F25744">
        <w:rPr>
          <w:rFonts w:cs="David" w:hint="cs"/>
          <w:sz w:val="24"/>
          <w:szCs w:val="24"/>
          <w:rtl/>
        </w:rPr>
        <w:t>עבודה</w:t>
      </w:r>
      <w:r w:rsidRPr="00F25744">
        <w:rPr>
          <w:rFonts w:cs="David"/>
          <w:sz w:val="24"/>
          <w:szCs w:val="24"/>
          <w:rtl/>
        </w:rPr>
        <w:t>/</w:t>
      </w:r>
      <w:r w:rsidRPr="00F25744">
        <w:rPr>
          <w:rFonts w:cs="David" w:hint="cs"/>
          <w:sz w:val="24"/>
          <w:szCs w:val="24"/>
          <w:rtl/>
        </w:rPr>
        <w:t>ישיבות</w:t>
      </w:r>
      <w:r w:rsidRPr="00F25744">
        <w:rPr>
          <w:rFonts w:cs="David"/>
          <w:sz w:val="24"/>
          <w:szCs w:val="24"/>
          <w:rtl/>
        </w:rPr>
        <w:t xml:space="preserve"> </w:t>
      </w:r>
      <w:r w:rsidRPr="00F25744">
        <w:rPr>
          <w:rFonts w:cs="David" w:hint="cs"/>
          <w:sz w:val="24"/>
          <w:szCs w:val="24"/>
          <w:rtl/>
        </w:rPr>
        <w:t>שופטים/ניהול</w:t>
      </w:r>
      <w:r w:rsidRPr="00F25744">
        <w:rPr>
          <w:rFonts w:cs="David"/>
          <w:sz w:val="24"/>
          <w:szCs w:val="24"/>
          <w:rtl/>
        </w:rPr>
        <w:t xml:space="preserve"> </w:t>
      </w:r>
      <w:r w:rsidRPr="00F25744">
        <w:rPr>
          <w:rFonts w:cs="David" w:hint="cs"/>
          <w:sz w:val="24"/>
          <w:szCs w:val="24"/>
          <w:rtl/>
        </w:rPr>
        <w:t>צוות</w:t>
      </w:r>
      <w:r w:rsidRPr="00F25744">
        <w:rPr>
          <w:rFonts w:cs="David"/>
          <w:sz w:val="24"/>
          <w:szCs w:val="24"/>
          <w:rtl/>
        </w:rPr>
        <w:t xml:space="preserve"> </w:t>
      </w:r>
      <w:r w:rsidRPr="00F25744">
        <w:rPr>
          <w:rFonts w:cs="David" w:hint="cs"/>
          <w:sz w:val="24"/>
          <w:szCs w:val="24"/>
          <w:rtl/>
        </w:rPr>
        <w:t>הלשכה</w:t>
      </w:r>
      <w:r w:rsidRPr="00F25744">
        <w:rPr>
          <w:rFonts w:cs="David"/>
          <w:sz w:val="24"/>
          <w:szCs w:val="24"/>
          <w:rtl/>
        </w:rPr>
        <w:t xml:space="preserve"> </w:t>
      </w:r>
      <w:r w:rsidRPr="00F25744">
        <w:rPr>
          <w:rFonts w:cs="David" w:hint="cs"/>
          <w:sz w:val="24"/>
          <w:szCs w:val="24"/>
          <w:rtl/>
        </w:rPr>
        <w:t>והמזכירות</w:t>
      </w:r>
      <w:r w:rsidRPr="00F25744">
        <w:rPr>
          <w:rFonts w:cs="David"/>
          <w:sz w:val="24"/>
          <w:szCs w:val="24"/>
          <w:rtl/>
        </w:rPr>
        <w:t xml:space="preserve"> </w:t>
      </w:r>
      <w:r w:rsidR="006C3F15" w:rsidRPr="00F25744">
        <w:rPr>
          <w:rFonts w:cs="David" w:hint="cs"/>
          <w:sz w:val="24"/>
          <w:szCs w:val="24"/>
          <w:rtl/>
        </w:rPr>
        <w:t>ב</w:t>
      </w:r>
      <w:r w:rsidRPr="00F25744">
        <w:rPr>
          <w:rFonts w:cs="David" w:hint="cs"/>
          <w:sz w:val="24"/>
          <w:szCs w:val="24"/>
          <w:rtl/>
        </w:rPr>
        <w:t>בית</w:t>
      </w:r>
      <w:r w:rsidRPr="00F25744">
        <w:rPr>
          <w:rFonts w:cs="David"/>
          <w:sz w:val="24"/>
          <w:szCs w:val="24"/>
          <w:rtl/>
        </w:rPr>
        <w:t xml:space="preserve"> </w:t>
      </w:r>
      <w:r w:rsidRPr="00F25744">
        <w:rPr>
          <w:rFonts w:cs="David" w:hint="cs"/>
          <w:sz w:val="24"/>
          <w:szCs w:val="24"/>
          <w:rtl/>
        </w:rPr>
        <w:t>המשפט/השתתפות</w:t>
      </w:r>
      <w:r w:rsidRPr="00F25744">
        <w:rPr>
          <w:rFonts w:cs="David"/>
          <w:sz w:val="24"/>
          <w:szCs w:val="24"/>
          <w:rtl/>
        </w:rPr>
        <w:t xml:space="preserve"> </w:t>
      </w:r>
      <w:r w:rsidRPr="00F25744">
        <w:rPr>
          <w:rFonts w:cs="David" w:hint="cs"/>
          <w:sz w:val="24"/>
          <w:szCs w:val="24"/>
          <w:rtl/>
        </w:rPr>
        <w:t>בהשתלמויות</w:t>
      </w:r>
      <w:r w:rsidRPr="00F25744">
        <w:rPr>
          <w:rFonts w:cs="David"/>
          <w:sz w:val="24"/>
          <w:szCs w:val="24"/>
          <w:rtl/>
        </w:rPr>
        <w:t xml:space="preserve"> </w:t>
      </w:r>
      <w:r w:rsidRPr="00F25744">
        <w:rPr>
          <w:rFonts w:cs="David" w:hint="cs"/>
          <w:sz w:val="24"/>
          <w:szCs w:val="24"/>
          <w:rtl/>
        </w:rPr>
        <w:t>וימי</w:t>
      </w:r>
      <w:r w:rsidRPr="00F25744">
        <w:rPr>
          <w:rFonts w:cs="David"/>
          <w:sz w:val="24"/>
          <w:szCs w:val="24"/>
          <w:rtl/>
        </w:rPr>
        <w:t xml:space="preserve"> </w:t>
      </w:r>
      <w:r w:rsidRPr="00F25744">
        <w:rPr>
          <w:rFonts w:cs="David" w:hint="cs"/>
          <w:sz w:val="24"/>
          <w:szCs w:val="24"/>
          <w:rtl/>
        </w:rPr>
        <w:t>עיון</w:t>
      </w:r>
      <w:r w:rsidRPr="00F25744">
        <w:rPr>
          <w:rFonts w:cs="David"/>
          <w:sz w:val="24"/>
          <w:szCs w:val="24"/>
          <w:rtl/>
        </w:rPr>
        <w:t xml:space="preserve"> </w:t>
      </w:r>
      <w:r w:rsidRPr="00F25744">
        <w:rPr>
          <w:rFonts w:cs="David" w:hint="cs"/>
          <w:sz w:val="24"/>
          <w:szCs w:val="24"/>
          <w:rtl/>
        </w:rPr>
        <w:t>מקצועיים), זמן לבר שיפוטי (זמני נסיעות/ הפסקות) והיעדרויות (שבתון/מחלה/חופשה). כך, ניתן לקבוע את הצורך/הדרישה (</w:t>
      </w:r>
      <w:r w:rsidRPr="00F25744">
        <w:rPr>
          <w:rFonts w:ascii="Times New Roman" w:hAnsi="Times New Roman" w:cs="Times New Roman"/>
          <w:sz w:val="24"/>
          <w:szCs w:val="24"/>
        </w:rPr>
        <w:t>Need</w:t>
      </w:r>
      <w:r w:rsidRPr="00F25744">
        <w:rPr>
          <w:rFonts w:cs="David" w:hint="cs"/>
          <w:sz w:val="24"/>
          <w:szCs w:val="24"/>
          <w:rtl/>
        </w:rPr>
        <w:t xml:space="preserve">) לתקני שיפוט באמצעות בחינת מספר השעות </w:t>
      </w:r>
      <w:r w:rsidRPr="00F25744">
        <w:rPr>
          <w:rFonts w:cs="David" w:hint="eastAsia"/>
          <w:sz w:val="24"/>
          <w:szCs w:val="24"/>
          <w:rtl/>
        </w:rPr>
        <w:t>הדרושות</w:t>
      </w:r>
      <w:r w:rsidRPr="00F25744">
        <w:rPr>
          <w:rFonts w:cs="David"/>
          <w:sz w:val="24"/>
          <w:szCs w:val="24"/>
          <w:rtl/>
        </w:rPr>
        <w:t xml:space="preserve"> </w:t>
      </w:r>
      <w:r w:rsidRPr="00F25744">
        <w:rPr>
          <w:rFonts w:cs="David" w:hint="eastAsia"/>
          <w:sz w:val="24"/>
          <w:szCs w:val="24"/>
          <w:rtl/>
        </w:rPr>
        <w:t>לשם</w:t>
      </w:r>
      <w:r w:rsidRPr="00F25744">
        <w:rPr>
          <w:rFonts w:cs="David"/>
          <w:sz w:val="24"/>
          <w:szCs w:val="24"/>
          <w:rtl/>
        </w:rPr>
        <w:t xml:space="preserve"> </w:t>
      </w:r>
      <w:r w:rsidRPr="00F25744">
        <w:rPr>
          <w:rFonts w:cs="David" w:hint="eastAsia"/>
          <w:sz w:val="24"/>
          <w:szCs w:val="24"/>
          <w:rtl/>
        </w:rPr>
        <w:t>הטיפול</w:t>
      </w:r>
      <w:r w:rsidRPr="00F25744">
        <w:rPr>
          <w:rFonts w:cs="David"/>
          <w:sz w:val="24"/>
          <w:szCs w:val="24"/>
          <w:rtl/>
        </w:rPr>
        <w:t xml:space="preserve"> </w:t>
      </w:r>
      <w:r w:rsidRPr="00F25744">
        <w:rPr>
          <w:rFonts w:cs="David" w:hint="eastAsia"/>
          <w:sz w:val="24"/>
          <w:szCs w:val="24"/>
          <w:rtl/>
        </w:rPr>
        <w:t>בכל</w:t>
      </w:r>
      <w:r w:rsidRPr="00F25744">
        <w:rPr>
          <w:rFonts w:cs="David"/>
          <w:sz w:val="24"/>
          <w:szCs w:val="24"/>
          <w:rtl/>
        </w:rPr>
        <w:t xml:space="preserve"> </w:t>
      </w:r>
      <w:r w:rsidRPr="00F25744">
        <w:rPr>
          <w:rFonts w:cs="David" w:hint="eastAsia"/>
          <w:sz w:val="24"/>
          <w:szCs w:val="24"/>
          <w:rtl/>
        </w:rPr>
        <w:t>התיקים</w:t>
      </w:r>
      <w:r w:rsidRPr="00F25744">
        <w:rPr>
          <w:rFonts w:cs="David"/>
          <w:sz w:val="24"/>
          <w:szCs w:val="24"/>
          <w:rtl/>
        </w:rPr>
        <w:t xml:space="preserve"> </w:t>
      </w:r>
      <w:r w:rsidRPr="00F25744">
        <w:rPr>
          <w:rFonts w:cs="David" w:hint="eastAsia"/>
          <w:sz w:val="24"/>
          <w:szCs w:val="24"/>
          <w:rtl/>
        </w:rPr>
        <w:t>שנפתחו</w:t>
      </w:r>
      <w:r w:rsidRPr="00F25744">
        <w:rPr>
          <w:rFonts w:cs="David"/>
          <w:sz w:val="24"/>
          <w:szCs w:val="24"/>
          <w:rtl/>
        </w:rPr>
        <w:t xml:space="preserve"> </w:t>
      </w:r>
      <w:r w:rsidRPr="00F25744">
        <w:rPr>
          <w:rFonts w:cs="David" w:hint="eastAsia"/>
          <w:sz w:val="24"/>
          <w:szCs w:val="24"/>
          <w:rtl/>
        </w:rPr>
        <w:t>באותה</w:t>
      </w:r>
      <w:r w:rsidRPr="00F25744">
        <w:rPr>
          <w:rFonts w:cs="David"/>
          <w:sz w:val="24"/>
          <w:szCs w:val="24"/>
          <w:rtl/>
        </w:rPr>
        <w:t xml:space="preserve"> </w:t>
      </w:r>
      <w:r w:rsidRPr="00F25744">
        <w:rPr>
          <w:rFonts w:cs="David" w:hint="eastAsia"/>
          <w:sz w:val="24"/>
          <w:szCs w:val="24"/>
          <w:rtl/>
        </w:rPr>
        <w:t>שנה</w:t>
      </w:r>
      <w:r w:rsidRPr="00F25744">
        <w:rPr>
          <w:rFonts w:cs="David" w:hint="cs"/>
          <w:sz w:val="24"/>
          <w:szCs w:val="24"/>
          <w:rtl/>
        </w:rPr>
        <w:t>,</w:t>
      </w:r>
      <w:r w:rsidRPr="00F25744">
        <w:rPr>
          <w:rFonts w:cs="David"/>
          <w:sz w:val="24"/>
          <w:szCs w:val="24"/>
          <w:rtl/>
        </w:rPr>
        <w:t xml:space="preserve"> </w:t>
      </w:r>
      <w:r w:rsidRPr="00F25744">
        <w:rPr>
          <w:rFonts w:cs="David" w:hint="cs"/>
          <w:sz w:val="24"/>
          <w:szCs w:val="24"/>
          <w:rtl/>
        </w:rPr>
        <w:t xml:space="preserve">לעומת השעות הפנויות </w:t>
      </w:r>
      <w:r w:rsidRPr="00F25744">
        <w:rPr>
          <w:rFonts w:cs="David" w:hint="eastAsia"/>
          <w:sz w:val="24"/>
          <w:szCs w:val="24"/>
          <w:rtl/>
        </w:rPr>
        <w:t>לצורך</w:t>
      </w:r>
      <w:r w:rsidRPr="00F25744">
        <w:rPr>
          <w:rFonts w:cs="David"/>
          <w:sz w:val="24"/>
          <w:szCs w:val="24"/>
          <w:rtl/>
        </w:rPr>
        <w:t xml:space="preserve"> </w:t>
      </w:r>
      <w:r w:rsidRPr="00F25744">
        <w:rPr>
          <w:rFonts w:cs="David" w:hint="eastAsia"/>
          <w:sz w:val="24"/>
          <w:szCs w:val="24"/>
          <w:rtl/>
        </w:rPr>
        <w:t>עבודה</w:t>
      </w:r>
      <w:r w:rsidRPr="00F25744">
        <w:rPr>
          <w:rFonts w:cs="David"/>
          <w:sz w:val="24"/>
          <w:szCs w:val="24"/>
          <w:rtl/>
        </w:rPr>
        <w:t xml:space="preserve"> </w:t>
      </w:r>
      <w:r w:rsidRPr="00F25744">
        <w:rPr>
          <w:rFonts w:cs="David" w:hint="eastAsia"/>
          <w:sz w:val="24"/>
          <w:szCs w:val="24"/>
          <w:rtl/>
        </w:rPr>
        <w:t>הכרוכה</w:t>
      </w:r>
      <w:r w:rsidRPr="00F25744">
        <w:rPr>
          <w:rFonts w:cs="David"/>
          <w:sz w:val="24"/>
          <w:szCs w:val="24"/>
          <w:rtl/>
        </w:rPr>
        <w:t xml:space="preserve"> </w:t>
      </w:r>
      <w:r w:rsidRPr="00F25744">
        <w:rPr>
          <w:rFonts w:cs="David" w:hint="eastAsia"/>
          <w:sz w:val="24"/>
          <w:szCs w:val="24"/>
          <w:rtl/>
        </w:rPr>
        <w:t>בתיקים</w:t>
      </w:r>
      <w:r w:rsidRPr="00F25744">
        <w:rPr>
          <w:rFonts w:cs="David"/>
          <w:sz w:val="24"/>
          <w:szCs w:val="24"/>
          <w:rtl/>
        </w:rPr>
        <w:t xml:space="preserve">. </w:t>
      </w:r>
      <w:r w:rsidRPr="00F25744">
        <w:rPr>
          <w:rFonts w:cs="David" w:hint="cs"/>
          <w:sz w:val="24"/>
          <w:szCs w:val="24"/>
          <w:rtl/>
        </w:rPr>
        <w:t>כך גם ניתן לחשב את היחס שבין מספר התיקים הנפתחים מדי שנה ובין מספר הגורמים השיפוטיים הזמינים לטפל באותם תיקים (</w:t>
      </w:r>
      <w:r w:rsidRPr="00F25744">
        <w:rPr>
          <w:rFonts w:ascii="Times New Roman" w:hAnsi="Times New Roman" w:cs="Times New Roman"/>
          <w:sz w:val="24"/>
          <w:szCs w:val="24"/>
        </w:rPr>
        <w:t>Utilization</w:t>
      </w:r>
      <w:r w:rsidRPr="00F25744">
        <w:rPr>
          <w:rFonts w:cs="David" w:hint="cs"/>
          <w:sz w:val="24"/>
          <w:szCs w:val="24"/>
          <w:rtl/>
        </w:rPr>
        <w:t>).</w:t>
      </w:r>
    </w:p>
    <w:p w14:paraId="080DDBE0" w14:textId="77777777" w:rsidR="00594534" w:rsidRPr="00F25744" w:rsidRDefault="00E25AE7" w:rsidP="00BD23BB">
      <w:pPr>
        <w:spacing w:before="120" w:after="0" w:line="360" w:lineRule="auto"/>
        <w:jc w:val="both"/>
        <w:rPr>
          <w:rFonts w:cs="David"/>
          <w:sz w:val="24"/>
          <w:szCs w:val="24"/>
          <w:rtl/>
        </w:rPr>
      </w:pPr>
      <w:r w:rsidRPr="00F25744">
        <w:rPr>
          <w:rFonts w:cs="David" w:hint="cs"/>
          <w:b/>
          <w:bCs/>
          <w:sz w:val="24"/>
          <w:szCs w:val="24"/>
          <w:rtl/>
        </w:rPr>
        <w:t>החיסרון</w:t>
      </w:r>
      <w:r w:rsidRPr="00F25744">
        <w:rPr>
          <w:rFonts w:cs="David" w:hint="cs"/>
          <w:sz w:val="24"/>
          <w:szCs w:val="24"/>
          <w:rtl/>
        </w:rPr>
        <w:t xml:space="preserve"> המשמעותי של שיטה זו, והוא מוקד הביקורת העיקרי </w:t>
      </w:r>
      <w:r w:rsidR="0012409E" w:rsidRPr="00F25744">
        <w:rPr>
          <w:rFonts w:cs="David" w:hint="cs"/>
          <w:sz w:val="24"/>
          <w:szCs w:val="24"/>
          <w:rtl/>
        </w:rPr>
        <w:t>עליה</w:t>
      </w:r>
      <w:r w:rsidR="00EA1FB9" w:rsidRPr="00F25744">
        <w:rPr>
          <w:rFonts w:cs="David" w:hint="cs"/>
          <w:sz w:val="24"/>
          <w:szCs w:val="24"/>
          <w:rtl/>
        </w:rPr>
        <w:t xml:space="preserve">, נובע מהעובדה שהיא </w:t>
      </w:r>
      <w:r w:rsidRPr="00F25744">
        <w:rPr>
          <w:rFonts w:cs="David" w:hint="cs"/>
          <w:sz w:val="24"/>
          <w:szCs w:val="24"/>
          <w:rtl/>
        </w:rPr>
        <w:t xml:space="preserve">מצריכה מאמץ מיוחד מצד גורמי השיפוט לצורך תיעוד זמני העבודה שלהם, באופן שמוסיף על עומס העבודה הרב שבו הם נתונים ממילא. </w:t>
      </w:r>
      <w:r w:rsidR="00BA0176" w:rsidRPr="00F25744">
        <w:rPr>
          <w:rFonts w:cs="David" w:hint="cs"/>
          <w:sz w:val="24"/>
          <w:szCs w:val="24"/>
          <w:rtl/>
        </w:rPr>
        <w:t xml:space="preserve">חיסרון זה </w:t>
      </w:r>
      <w:r w:rsidR="0002319B" w:rsidRPr="00F25744">
        <w:rPr>
          <w:rFonts w:cs="David" w:hint="cs"/>
          <w:sz w:val="24"/>
          <w:szCs w:val="24"/>
          <w:rtl/>
        </w:rPr>
        <w:t xml:space="preserve">עלול </w:t>
      </w:r>
      <w:r w:rsidR="00D672D1" w:rsidRPr="00F25744">
        <w:rPr>
          <w:rFonts w:cs="David" w:hint="cs"/>
          <w:sz w:val="24"/>
          <w:szCs w:val="24"/>
          <w:rtl/>
        </w:rPr>
        <w:t>לה</w:t>
      </w:r>
      <w:r w:rsidR="00BA0176" w:rsidRPr="00F25744">
        <w:rPr>
          <w:rFonts w:cs="David" w:hint="cs"/>
          <w:sz w:val="24"/>
          <w:szCs w:val="24"/>
          <w:rtl/>
        </w:rPr>
        <w:t xml:space="preserve">וביל לקשיים ניכרים בגיוס שיתוף פעולה מלא מצד גורמי השיפוט, באופן שעלול לפגום גם במהימנות הנתונים. </w:t>
      </w:r>
      <w:r w:rsidRPr="00F25744">
        <w:rPr>
          <w:rFonts w:cs="David" w:hint="cs"/>
          <w:sz w:val="24"/>
          <w:szCs w:val="24"/>
          <w:rtl/>
        </w:rPr>
        <w:t xml:space="preserve">אולם, חיסרון זה מתגמד כאשר גורמי השיפוט נרתמים למאמץ ממוקד וקצר טווח, על מנת להניב מדד שתוצאותיו ישקפו מהימנה את עומסי העבודה וישמשו את מערכת המשפט למשך שנים. </w:t>
      </w:r>
      <w:r w:rsidR="008D1680" w:rsidRPr="00F25744">
        <w:rPr>
          <w:rFonts w:cs="David" w:hint="cs"/>
          <w:sz w:val="24"/>
          <w:szCs w:val="24"/>
          <w:rtl/>
        </w:rPr>
        <w:t xml:space="preserve">כמו כן, ומעבר לעומס הנוסף שמטיל מחקר זמנים מסוג זה על השופטים והרשמים העמוסים ממילא, תיעוד זמני הפעילות </w:t>
      </w:r>
      <w:r w:rsidR="0002319B" w:rsidRPr="00F25744">
        <w:rPr>
          <w:rFonts w:cs="David" w:hint="cs"/>
          <w:sz w:val="24"/>
          <w:szCs w:val="24"/>
          <w:rtl/>
        </w:rPr>
        <w:t xml:space="preserve">המדויקים </w:t>
      </w:r>
      <w:r w:rsidR="008D1680" w:rsidRPr="00F25744">
        <w:rPr>
          <w:rFonts w:cs="David" w:hint="cs"/>
          <w:sz w:val="24"/>
          <w:szCs w:val="24"/>
          <w:rtl/>
        </w:rPr>
        <w:t>במהלך תקופת המחקר גרם לשופטים לתחושה של פגיעה בפרטיות ובאנונימיות שלהם, כמו גם חששות מפני העברת החומר לגורמים אחרים בתוך ומחוץ למערכת, ולשימוש בנתונים כמחקר ביצועים. על ההתמודדות של מחלקת המחקר עם תחושה זו של השופטים נעמוד בהמשך בפרק המתודולוגיה, אולם ייאמר כבר עתה, כי בבוא העת לחדש מחקר זה, יש להקדיש מחשבה מעמיקה לחסרונות ולקשיים שמציב מחקר זמנים מסוג זה, והכל במטרה להקל על השופטים והרשמים מחד גיסא, ולהבטיח שיתוף פעולה רחב וקבלת נתונים מהימנים מאידך גיסא.</w:t>
      </w:r>
    </w:p>
    <w:p w14:paraId="16B8DA4C" w14:textId="77777777" w:rsidR="006C4924" w:rsidRPr="00F25744" w:rsidRDefault="00E25AE7" w:rsidP="00BD23BB">
      <w:pPr>
        <w:spacing w:before="120" w:after="0" w:line="360" w:lineRule="auto"/>
        <w:jc w:val="both"/>
        <w:rPr>
          <w:rFonts w:ascii="David" w:hAnsi="David" w:cs="David"/>
          <w:sz w:val="24"/>
          <w:szCs w:val="24"/>
          <w:rtl/>
          <w:lang w:val="en-GB"/>
        </w:rPr>
      </w:pPr>
      <w:r w:rsidRPr="00F25744">
        <w:rPr>
          <w:rFonts w:cs="David" w:hint="cs"/>
          <w:sz w:val="24"/>
          <w:szCs w:val="24"/>
          <w:rtl/>
        </w:rPr>
        <w:t xml:space="preserve">מסקירת הספרות המחקרית הבינלאומית שנצברה מאז </w:t>
      </w:r>
      <w:r w:rsidR="00076964" w:rsidRPr="00F25744">
        <w:rPr>
          <w:rFonts w:cs="David" w:hint="cs"/>
          <w:sz w:val="24"/>
          <w:szCs w:val="24"/>
          <w:rtl/>
        </w:rPr>
        <w:t>שנערך מדד</w:t>
      </w:r>
      <w:r w:rsidR="00EA1FB9" w:rsidRPr="00F25744">
        <w:rPr>
          <w:rFonts w:cs="David" w:hint="cs"/>
          <w:sz w:val="24"/>
          <w:szCs w:val="24"/>
          <w:rtl/>
        </w:rPr>
        <w:t xml:space="preserve"> </w:t>
      </w:r>
      <w:r w:rsidRPr="00F25744">
        <w:rPr>
          <w:rFonts w:cs="David" w:hint="cs"/>
          <w:sz w:val="24"/>
          <w:szCs w:val="24"/>
          <w:rtl/>
        </w:rPr>
        <w:t>משקלות התיקים הקודם, עולה בבירור כי שיטת מחקר הזמנים הפכה לדרך המלך בתחום משקלות התיקים, וכי שיטת הדלפי משמשת כיום</w:t>
      </w:r>
      <w:r w:rsidR="00EA1FB9" w:rsidRPr="00F25744">
        <w:rPr>
          <w:rFonts w:cs="David" w:hint="cs"/>
          <w:sz w:val="24"/>
          <w:szCs w:val="24"/>
          <w:rtl/>
        </w:rPr>
        <w:t xml:space="preserve"> בחלק מהמדינות בלבד, ולכל היותר </w:t>
      </w:r>
      <w:r w:rsidRPr="00F25744">
        <w:rPr>
          <w:rFonts w:cs="David" w:hint="cs"/>
          <w:sz w:val="24"/>
          <w:szCs w:val="24"/>
          <w:rtl/>
        </w:rPr>
        <w:t xml:space="preserve">ככלי מתקף בלבד לממצאי מחקר הזמנים. </w:t>
      </w:r>
      <w:r w:rsidRPr="00F25744">
        <w:rPr>
          <w:rFonts w:ascii="Times New Roman" w:eastAsia="Times New Roman" w:hAnsi="Times New Roman" w:cs="David" w:hint="cs"/>
          <w:sz w:val="24"/>
          <w:szCs w:val="24"/>
          <w:rtl/>
        </w:rPr>
        <w:t xml:space="preserve">כך, למשל, עולה כי ב-34 מדינות ארה"ב מדדי משקלות התיקים </w:t>
      </w:r>
      <w:r w:rsidR="00EF20BE" w:rsidRPr="00F25744">
        <w:rPr>
          <w:rFonts w:ascii="Times New Roman" w:eastAsia="Times New Roman" w:hAnsi="Times New Roman" w:cs="David" w:hint="cs"/>
          <w:sz w:val="24"/>
          <w:szCs w:val="24"/>
          <w:rtl/>
        </w:rPr>
        <w:t xml:space="preserve">שנערכו </w:t>
      </w:r>
      <w:r w:rsidR="007F3A52" w:rsidRPr="00F25744">
        <w:rPr>
          <w:rFonts w:ascii="Times New Roman" w:eastAsia="Times New Roman" w:hAnsi="Times New Roman" w:cs="David" w:hint="cs"/>
          <w:sz w:val="24"/>
          <w:szCs w:val="24"/>
          <w:rtl/>
        </w:rPr>
        <w:t xml:space="preserve">בבתי המשפט המדינתיים </w:t>
      </w:r>
      <w:r w:rsidRPr="00F25744">
        <w:rPr>
          <w:rFonts w:ascii="Times New Roman" w:eastAsia="Times New Roman" w:hAnsi="Times New Roman" w:cs="David" w:hint="cs"/>
          <w:sz w:val="24"/>
          <w:szCs w:val="24"/>
          <w:rtl/>
        </w:rPr>
        <w:t>נסמכ</w:t>
      </w:r>
      <w:r w:rsidR="00EF20BE" w:rsidRPr="00F25744">
        <w:rPr>
          <w:rFonts w:ascii="Times New Roman" w:eastAsia="Times New Roman" w:hAnsi="Times New Roman" w:cs="David" w:hint="cs"/>
          <w:sz w:val="24"/>
          <w:szCs w:val="24"/>
          <w:rtl/>
        </w:rPr>
        <w:t>ו</w:t>
      </w:r>
      <w:r w:rsidRPr="00F25744">
        <w:rPr>
          <w:rFonts w:ascii="Times New Roman" w:eastAsia="Times New Roman" w:hAnsi="Times New Roman" w:cs="David" w:hint="cs"/>
          <w:sz w:val="24"/>
          <w:szCs w:val="24"/>
          <w:rtl/>
        </w:rPr>
        <w:t xml:space="preserve"> על מחקר זמנים. להמחשה, מדינת מערב וירג'יניה חידשה בשנת 2014 את מדד משקלות התיקים, וציינה במחקר המחודש כי שיטת הדלפי אשר שימשה אותה במחקר קודם משנת 2006 לא יכולה עוד לעמוד באופן עצמאי, אלא ככלי מתקף בלבד. על כן, במחקר המחודש שנערך במערב וירג'יניה, 100% מן השופטים </w:t>
      </w:r>
      <w:r w:rsidR="00590F0A" w:rsidRPr="00F25744">
        <w:rPr>
          <w:rFonts w:ascii="Times New Roman" w:eastAsia="Times New Roman" w:hAnsi="Times New Roman" w:cs="David" w:hint="cs"/>
          <w:sz w:val="24"/>
          <w:szCs w:val="24"/>
          <w:rtl/>
        </w:rPr>
        <w:t>בערכאה השנייה (</w:t>
      </w:r>
      <w:r w:rsidR="00590F0A" w:rsidRPr="00F25744">
        <w:rPr>
          <w:rFonts w:ascii="Times New Roman" w:eastAsia="Times New Roman" w:hAnsi="Times New Roman" w:cs="David"/>
          <w:sz w:val="24"/>
          <w:szCs w:val="24"/>
        </w:rPr>
        <w:t>Circuit courts</w:t>
      </w:r>
      <w:r w:rsidR="00590F0A" w:rsidRPr="00F25744">
        <w:rPr>
          <w:rFonts w:ascii="Times New Roman" w:eastAsia="Times New Roman" w:hAnsi="Times New Roman" w:cs="David" w:hint="cs"/>
          <w:sz w:val="24"/>
          <w:szCs w:val="24"/>
          <w:rtl/>
        </w:rPr>
        <w:t xml:space="preserve">) </w:t>
      </w:r>
      <w:r w:rsidRPr="00F25744">
        <w:rPr>
          <w:rFonts w:ascii="Times New Roman" w:eastAsia="Times New Roman" w:hAnsi="Times New Roman" w:cs="David" w:hint="cs"/>
          <w:sz w:val="24"/>
          <w:szCs w:val="24"/>
          <w:rtl/>
        </w:rPr>
        <w:t xml:space="preserve">מדדו את זמני עבודתם במשך </w:t>
      </w:r>
      <w:r w:rsidRPr="00F25744">
        <w:rPr>
          <w:rFonts w:ascii="Times New Roman" w:eastAsia="Times New Roman" w:hAnsi="Times New Roman" w:cs="David" w:hint="cs"/>
          <w:b/>
          <w:bCs/>
          <w:sz w:val="24"/>
          <w:szCs w:val="24"/>
          <w:rtl/>
        </w:rPr>
        <w:t>תשעה שבועות</w:t>
      </w:r>
      <w:r w:rsidR="002D5F55" w:rsidRPr="00F25744">
        <w:rPr>
          <w:rFonts w:ascii="Times New Roman" w:eastAsia="Times New Roman" w:hAnsi="Times New Roman" w:cs="David" w:hint="cs"/>
          <w:sz w:val="24"/>
          <w:szCs w:val="24"/>
          <w:rtl/>
        </w:rPr>
        <w:t>. אחוז היענות דומה נמצא</w:t>
      </w:r>
      <w:r w:rsidRPr="00F25744">
        <w:rPr>
          <w:rFonts w:ascii="Times New Roman" w:eastAsia="Times New Roman" w:hAnsi="Times New Roman" w:cs="David" w:hint="cs"/>
          <w:sz w:val="24"/>
          <w:szCs w:val="24"/>
          <w:rtl/>
        </w:rPr>
        <w:t xml:space="preserve"> במחקר משקלות תיקים שנערך במדינת אינדיאנה ופורסם בחודש אפריל 2016. במחקר זה</w:t>
      </w:r>
      <w:r w:rsidR="00BD23BB" w:rsidRPr="00F25744">
        <w:rPr>
          <w:rFonts w:ascii="Times New Roman" w:eastAsia="Times New Roman" w:hAnsi="Times New Roman" w:cs="David" w:hint="cs"/>
          <w:sz w:val="24"/>
          <w:szCs w:val="24"/>
          <w:rtl/>
        </w:rPr>
        <w:t xml:space="preserve"> </w:t>
      </w:r>
      <w:r w:rsidRPr="00F25744">
        <w:rPr>
          <w:rFonts w:ascii="Times New Roman" w:eastAsia="Times New Roman" w:hAnsi="Times New Roman" w:cs="David" w:hint="cs"/>
          <w:sz w:val="24"/>
          <w:szCs w:val="24"/>
          <w:rtl/>
        </w:rPr>
        <w:t xml:space="preserve"> 99.3% </w:t>
      </w:r>
      <w:r w:rsidR="00590F0A" w:rsidRPr="00F25744">
        <w:rPr>
          <w:rFonts w:ascii="Times New Roman" w:eastAsia="Times New Roman" w:hAnsi="Times New Roman" w:cs="David" w:hint="cs"/>
          <w:sz w:val="24"/>
          <w:szCs w:val="24"/>
          <w:rtl/>
        </w:rPr>
        <w:t xml:space="preserve">(472 מתוך 475 שופטים) </w:t>
      </w:r>
      <w:r w:rsidRPr="00F25744">
        <w:rPr>
          <w:rFonts w:ascii="Times New Roman" w:eastAsia="Times New Roman" w:hAnsi="Times New Roman" w:cs="David" w:hint="cs"/>
          <w:sz w:val="24"/>
          <w:szCs w:val="24"/>
          <w:rtl/>
        </w:rPr>
        <w:t>מכלל שופט</w:t>
      </w:r>
      <w:r w:rsidR="00590F0A" w:rsidRPr="00F25744">
        <w:rPr>
          <w:rFonts w:ascii="Times New Roman" w:eastAsia="Times New Roman" w:hAnsi="Times New Roman" w:cs="David" w:hint="cs"/>
          <w:sz w:val="24"/>
          <w:szCs w:val="24"/>
          <w:rtl/>
        </w:rPr>
        <w:t>י הערכאה הראשונה (</w:t>
      </w:r>
      <w:r w:rsidR="00590F0A" w:rsidRPr="00F25744">
        <w:rPr>
          <w:rFonts w:ascii="Times New Roman" w:eastAsia="Times New Roman" w:hAnsi="Times New Roman" w:cs="David" w:hint="cs"/>
          <w:sz w:val="24"/>
          <w:szCs w:val="24"/>
        </w:rPr>
        <w:t>T</w:t>
      </w:r>
      <w:r w:rsidR="00590F0A" w:rsidRPr="00F25744">
        <w:rPr>
          <w:rFonts w:ascii="Times New Roman" w:eastAsia="Times New Roman" w:hAnsi="Times New Roman" w:cs="David"/>
          <w:sz w:val="24"/>
          <w:szCs w:val="24"/>
        </w:rPr>
        <w:t>rial courts</w:t>
      </w:r>
      <w:r w:rsidR="00590F0A" w:rsidRPr="00F25744">
        <w:rPr>
          <w:rFonts w:ascii="Times New Roman" w:eastAsia="Times New Roman" w:hAnsi="Times New Roman" w:cs="David" w:hint="cs"/>
          <w:sz w:val="24"/>
          <w:szCs w:val="24"/>
          <w:rtl/>
        </w:rPr>
        <w:t>)</w:t>
      </w:r>
      <w:r w:rsidRPr="00F25744">
        <w:rPr>
          <w:rFonts w:ascii="Times New Roman" w:eastAsia="Times New Roman" w:hAnsi="Times New Roman" w:cs="David" w:hint="cs"/>
          <w:sz w:val="24"/>
          <w:szCs w:val="24"/>
          <w:rtl/>
        </w:rPr>
        <w:t xml:space="preserve"> מדדו את זמני עבודתם </w:t>
      </w:r>
      <w:r w:rsidRPr="00F25744">
        <w:rPr>
          <w:rFonts w:ascii="Times New Roman" w:eastAsia="Times New Roman" w:hAnsi="Times New Roman" w:cs="David" w:hint="cs"/>
          <w:sz w:val="24"/>
          <w:szCs w:val="24"/>
          <w:rtl/>
        </w:rPr>
        <w:lastRenderedPageBreak/>
        <w:t xml:space="preserve">במשך תקופה של </w:t>
      </w:r>
      <w:r w:rsidRPr="00F25744">
        <w:rPr>
          <w:rFonts w:ascii="Times New Roman" w:eastAsia="Times New Roman" w:hAnsi="Times New Roman" w:cs="David" w:hint="cs"/>
          <w:b/>
          <w:bCs/>
          <w:sz w:val="24"/>
          <w:szCs w:val="24"/>
          <w:rtl/>
        </w:rPr>
        <w:t>ארבעה שבועות</w:t>
      </w:r>
      <w:r w:rsidRPr="00F25744">
        <w:rPr>
          <w:rFonts w:ascii="Times New Roman" w:eastAsia="Times New Roman" w:hAnsi="Times New Roman" w:cs="David" w:hint="cs"/>
          <w:sz w:val="24"/>
          <w:szCs w:val="24"/>
          <w:rtl/>
        </w:rPr>
        <w:t>, וגם כאן, השימוש בשיטת הדלפי נעשה אך ורק לצורך תיקוף מחקר הזמנים.</w:t>
      </w:r>
      <w:r w:rsidRPr="00F25744">
        <w:rPr>
          <w:rFonts w:ascii="David" w:hAnsi="David" w:cs="David" w:hint="cs"/>
          <w:sz w:val="24"/>
          <w:szCs w:val="24"/>
          <w:rtl/>
          <w:lang w:val="en-GB"/>
        </w:rPr>
        <w:t xml:space="preserve"> שיטה זהה הושלמה במדינות טנסי, מונטנה, ורמונט, קנטקי, אורגון, פלורידה, אריזונה ועוד.</w:t>
      </w:r>
      <w:r w:rsidR="00C96099" w:rsidRPr="00F25744">
        <w:rPr>
          <w:rFonts w:ascii="David" w:hAnsi="David" w:cs="David" w:hint="cs"/>
          <w:sz w:val="24"/>
          <w:szCs w:val="24"/>
          <w:rtl/>
          <w:lang w:val="en-GB"/>
        </w:rPr>
        <w:t xml:space="preserve"> טבלה הסוקרת את מחקרי משקלות התיקים שנעשו במדינות שונות בארה"ב מצורפת למסמך זה כ</w:t>
      </w:r>
      <w:r w:rsidR="00C96099" w:rsidRPr="00F25744">
        <w:rPr>
          <w:rFonts w:ascii="David" w:hAnsi="David" w:cs="David" w:hint="cs"/>
          <w:b/>
          <w:bCs/>
          <w:sz w:val="24"/>
          <w:szCs w:val="24"/>
          <w:rtl/>
          <w:lang w:val="en-GB"/>
        </w:rPr>
        <w:t>נספח א'</w:t>
      </w:r>
      <w:r w:rsidR="00C96099" w:rsidRPr="00F25744">
        <w:rPr>
          <w:rFonts w:ascii="David" w:hAnsi="David" w:cs="David" w:hint="cs"/>
          <w:sz w:val="24"/>
          <w:szCs w:val="24"/>
          <w:rtl/>
          <w:lang w:val="en-GB"/>
        </w:rPr>
        <w:t>.</w:t>
      </w:r>
    </w:p>
    <w:p w14:paraId="4C9B58BF" w14:textId="77777777" w:rsidR="0069290D" w:rsidRPr="00F25744" w:rsidRDefault="00E25AE7" w:rsidP="00BD23BB">
      <w:pPr>
        <w:spacing w:before="120" w:after="0" w:line="360" w:lineRule="auto"/>
        <w:jc w:val="both"/>
        <w:rPr>
          <w:rFonts w:ascii="David" w:hAnsi="David" w:cs="David"/>
          <w:sz w:val="24"/>
          <w:szCs w:val="24"/>
          <w:u w:val="single"/>
          <w:rtl/>
          <w:lang w:val="en-GB"/>
        </w:rPr>
      </w:pPr>
      <w:r w:rsidRPr="00F25744">
        <w:rPr>
          <w:rFonts w:ascii="David" w:hAnsi="David" w:cs="David" w:hint="cs"/>
          <w:sz w:val="24"/>
          <w:szCs w:val="24"/>
          <w:rtl/>
          <w:lang w:val="en-GB"/>
        </w:rPr>
        <w:t>יוער, כי מערכת בתי המשפט בארה"ב מתנהלת באופן שונה ממערכת המשפט בישראל, ועל כן לא ניתן לערוך השוואה מדויקת לצורך העניין. עם זאת, למדנו מהשיטה שהופעלה במדינות ארה"ב והצלחנו ליישם אותה במסגרת מחקר זה על כלל מערכת המשפט בישראל (למעט בית המשפט העליון ובית הדין הארצי לעבודה) לעומת המחקרים שבוצעו במדינות ארה"ב השונות, שכפי שניתן ללמוד מנספח א', בוצעו רק בערכאות או בבתי משפט מסוימים.</w:t>
      </w:r>
    </w:p>
    <w:p w14:paraId="7EA867A2" w14:textId="77777777" w:rsidR="00594534" w:rsidRPr="00F25744" w:rsidRDefault="00E25AE7" w:rsidP="00BD23BB">
      <w:pPr>
        <w:widowControl w:val="0"/>
        <w:autoSpaceDE w:val="0"/>
        <w:autoSpaceDN w:val="0"/>
        <w:adjustRightInd w:val="0"/>
        <w:spacing w:before="120" w:after="0" w:line="360" w:lineRule="auto"/>
        <w:contextualSpacing/>
        <w:jc w:val="both"/>
        <w:rPr>
          <w:rFonts w:ascii="David" w:hAnsi="David" w:cs="David"/>
          <w:sz w:val="24"/>
          <w:szCs w:val="24"/>
          <w:u w:val="single"/>
          <w:rtl/>
          <w:lang w:val="en-GB"/>
        </w:rPr>
      </w:pPr>
      <w:r w:rsidRPr="00F25744">
        <w:rPr>
          <w:rFonts w:ascii="Times New Roman" w:eastAsia="Times New Roman" w:hAnsi="Times New Roman" w:cs="David" w:hint="cs"/>
          <w:sz w:val="24"/>
          <w:szCs w:val="24"/>
          <w:rtl/>
        </w:rPr>
        <w:t>ל-34 מדינות ארה"ב, מצטרפות בין היתר גם שווייץ וגרמניה, אשר אף הן נסמכו על מחקר</w:t>
      </w:r>
      <w:r w:rsidR="006C4924" w:rsidRPr="00F25744">
        <w:rPr>
          <w:rFonts w:ascii="Times New Roman" w:eastAsia="Times New Roman" w:hAnsi="Times New Roman" w:cs="David" w:hint="cs"/>
          <w:sz w:val="24"/>
          <w:szCs w:val="24"/>
          <w:rtl/>
        </w:rPr>
        <w:t xml:space="preserve"> </w:t>
      </w:r>
      <w:r w:rsidRPr="00F25744">
        <w:rPr>
          <w:rFonts w:ascii="Times New Roman" w:eastAsia="Times New Roman" w:hAnsi="Times New Roman" w:cs="David" w:hint="cs"/>
          <w:sz w:val="24"/>
          <w:szCs w:val="24"/>
          <w:rtl/>
        </w:rPr>
        <w:t>זמנים לצורך מדד משקלות התיקים, וגם בהן שיעור ההשתתפות של השופטים במדידת הזמנים נושק ל- 100%.</w:t>
      </w:r>
      <w:r w:rsidRPr="00F25744">
        <w:rPr>
          <w:rStyle w:val="a6"/>
          <w:rFonts w:ascii="Times New Roman" w:eastAsia="Times New Roman" w:hAnsi="Times New Roman" w:cs="David"/>
          <w:sz w:val="24"/>
          <w:szCs w:val="24"/>
          <w:rtl/>
        </w:rPr>
        <w:footnoteReference w:id="13"/>
      </w:r>
    </w:p>
    <w:p w14:paraId="1D9CA04C" w14:textId="77777777" w:rsidR="00594534" w:rsidRPr="00F25744" w:rsidRDefault="00E25AE7" w:rsidP="00BD23BB">
      <w:pPr>
        <w:widowControl w:val="0"/>
        <w:autoSpaceDE w:val="0"/>
        <w:autoSpaceDN w:val="0"/>
        <w:adjustRightInd w:val="0"/>
        <w:spacing w:before="120" w:after="0" w:line="360" w:lineRule="auto"/>
        <w:contextualSpacing/>
        <w:jc w:val="both"/>
        <w:rPr>
          <w:rFonts w:ascii="David" w:hAnsi="David" w:cs="David"/>
          <w:sz w:val="24"/>
          <w:szCs w:val="24"/>
          <w:u w:val="single"/>
          <w:rtl/>
          <w:lang w:val="en-GB"/>
        </w:rPr>
      </w:pPr>
      <w:r w:rsidRPr="00F25744">
        <w:rPr>
          <w:rFonts w:ascii="David" w:hAnsi="David" w:cs="David" w:hint="cs"/>
          <w:sz w:val="24"/>
          <w:szCs w:val="24"/>
          <w:rtl/>
          <w:lang w:val="en-GB"/>
        </w:rPr>
        <w:t xml:space="preserve">בהקשר זה, ראוי לציין עוד, כי גם הנציבות האירופאית לבחינת יעילות מערכות הצדק </w:t>
      </w:r>
      <w:r w:rsidRPr="00F25744">
        <w:rPr>
          <w:rFonts w:ascii="David" w:hAnsi="David" w:cs="David" w:hint="cs"/>
          <w:sz w:val="24"/>
          <w:szCs w:val="24"/>
          <w:lang w:val="en-GB"/>
        </w:rPr>
        <w:t>(CEPEJ)</w:t>
      </w:r>
      <w:r w:rsidRPr="00F25744">
        <w:rPr>
          <w:rFonts w:ascii="David" w:hAnsi="David" w:cs="David" w:hint="cs"/>
          <w:sz w:val="24"/>
          <w:szCs w:val="24"/>
          <w:rtl/>
          <w:lang w:val="en-GB"/>
        </w:rPr>
        <w:t xml:space="preserve"> מבקשת ללמוד מהניסיון המחקרי העשיר שנצבר </w:t>
      </w:r>
      <w:r w:rsidR="00087EBC" w:rsidRPr="00F25744">
        <w:rPr>
          <w:rFonts w:ascii="David" w:hAnsi="David" w:cs="David" w:hint="cs"/>
          <w:sz w:val="24"/>
          <w:szCs w:val="24"/>
          <w:rtl/>
          <w:lang w:val="en-GB"/>
        </w:rPr>
        <w:t>בארה"ב</w:t>
      </w:r>
      <w:r w:rsidRPr="00F25744">
        <w:rPr>
          <w:rFonts w:ascii="David" w:hAnsi="David" w:cs="David" w:hint="cs"/>
          <w:sz w:val="24"/>
          <w:szCs w:val="24"/>
          <w:rtl/>
          <w:lang w:val="en-GB"/>
        </w:rPr>
        <w:t xml:space="preserve">, ועתה גם בישראל, על מנת ליישמו במדינות אירופה </w:t>
      </w:r>
      <w:r w:rsidR="00C96099" w:rsidRPr="00F25744">
        <w:rPr>
          <w:rFonts w:ascii="David" w:hAnsi="David" w:cs="David" w:hint="cs"/>
          <w:sz w:val="24"/>
          <w:szCs w:val="24"/>
          <w:rtl/>
          <w:lang w:val="en-GB"/>
        </w:rPr>
        <w:t>ה</w:t>
      </w:r>
      <w:r w:rsidRPr="00F25744">
        <w:rPr>
          <w:rFonts w:ascii="David" w:hAnsi="David" w:cs="David" w:hint="cs"/>
          <w:sz w:val="24"/>
          <w:szCs w:val="24"/>
          <w:rtl/>
          <w:lang w:val="en-GB"/>
        </w:rPr>
        <w:t xml:space="preserve">שונות. </w:t>
      </w:r>
    </w:p>
    <w:p w14:paraId="1CBE538F" w14:textId="77777777" w:rsidR="00594534" w:rsidRPr="00F25744" w:rsidRDefault="00E25AE7" w:rsidP="00BD23BB">
      <w:pPr>
        <w:pStyle w:val="a3"/>
        <w:widowControl w:val="0"/>
        <w:autoSpaceDE w:val="0"/>
        <w:autoSpaceDN w:val="0"/>
        <w:bidi/>
        <w:adjustRightInd w:val="0"/>
        <w:spacing w:before="120" w:after="0" w:line="360" w:lineRule="auto"/>
        <w:ind w:left="0"/>
        <w:rPr>
          <w:rFonts w:ascii="David" w:hAnsi="David" w:cs="David"/>
          <w:sz w:val="24"/>
          <w:szCs w:val="24"/>
        </w:rPr>
      </w:pPr>
      <w:r w:rsidRPr="00F25744">
        <w:rPr>
          <w:rFonts w:ascii="David" w:hAnsi="David" w:cs="David" w:hint="cs"/>
          <w:sz w:val="24"/>
          <w:szCs w:val="24"/>
          <w:rtl/>
        </w:rPr>
        <w:t xml:space="preserve">לשם השוואה, תקופת המחקר הנוכחי עמדה על </w:t>
      </w:r>
      <w:r w:rsidRPr="00F25744">
        <w:rPr>
          <w:rFonts w:ascii="David" w:hAnsi="David" w:cs="David" w:hint="cs"/>
          <w:b/>
          <w:bCs/>
          <w:sz w:val="24"/>
          <w:szCs w:val="24"/>
          <w:rtl/>
        </w:rPr>
        <w:t>חמישה שבועות</w:t>
      </w:r>
      <w:r w:rsidRPr="00F25744">
        <w:rPr>
          <w:rFonts w:ascii="David" w:hAnsi="David" w:cs="David" w:hint="cs"/>
          <w:sz w:val="24"/>
          <w:szCs w:val="24"/>
          <w:rtl/>
        </w:rPr>
        <w:t xml:space="preserve"> בלבד, כאשר תקופת מחקרי הזמנים שנערכו בארצות הברית עמד</w:t>
      </w:r>
      <w:r w:rsidRPr="00F25744">
        <w:rPr>
          <w:rFonts w:cs="David" w:hint="cs"/>
          <w:sz w:val="24"/>
          <w:szCs w:val="24"/>
          <w:rtl/>
          <w:lang w:val="en-US"/>
        </w:rPr>
        <w:t>ה</w:t>
      </w:r>
      <w:r w:rsidRPr="00F25744">
        <w:rPr>
          <w:rFonts w:ascii="David" w:hAnsi="David" w:cs="David" w:hint="cs"/>
          <w:sz w:val="24"/>
          <w:szCs w:val="24"/>
          <w:rtl/>
        </w:rPr>
        <w:t xml:space="preserve"> על </w:t>
      </w:r>
      <w:r w:rsidRPr="00F25744">
        <w:rPr>
          <w:rFonts w:ascii="David" w:hAnsi="David" w:cs="David" w:hint="cs"/>
          <w:b/>
          <w:bCs/>
          <w:sz w:val="24"/>
          <w:szCs w:val="24"/>
          <w:rtl/>
        </w:rPr>
        <w:t xml:space="preserve">ארבעה עד </w:t>
      </w:r>
      <w:r w:rsidR="00B777F3" w:rsidRPr="00F25744">
        <w:rPr>
          <w:rFonts w:ascii="David" w:hAnsi="David" w:cs="David" w:hint="cs"/>
          <w:b/>
          <w:bCs/>
          <w:sz w:val="24"/>
          <w:szCs w:val="24"/>
          <w:rtl/>
        </w:rPr>
        <w:t>שנים-</w:t>
      </w:r>
      <w:r w:rsidRPr="00F25744">
        <w:rPr>
          <w:rFonts w:ascii="David" w:hAnsi="David" w:cs="David" w:hint="cs"/>
          <w:b/>
          <w:bCs/>
          <w:sz w:val="24"/>
          <w:szCs w:val="24"/>
          <w:rtl/>
        </w:rPr>
        <w:t>עשר שבועות</w:t>
      </w:r>
      <w:r w:rsidRPr="00F25744">
        <w:rPr>
          <w:rFonts w:ascii="David" w:hAnsi="David" w:cs="David" w:hint="cs"/>
          <w:sz w:val="24"/>
          <w:szCs w:val="24"/>
          <w:rtl/>
        </w:rPr>
        <w:t xml:space="preserve">. כלומר, מסגרת הזמנים שהוקצבה למחקר הנוכחי הייתה </w:t>
      </w:r>
      <w:r w:rsidRPr="00F25744">
        <w:rPr>
          <w:rFonts w:ascii="David" w:hAnsi="David" w:cs="David" w:hint="cs"/>
          <w:b/>
          <w:bCs/>
          <w:sz w:val="24"/>
          <w:szCs w:val="24"/>
          <w:rtl/>
        </w:rPr>
        <w:t>בתחתית מנעד תקופות המחקר</w:t>
      </w:r>
      <w:r w:rsidRPr="00F25744">
        <w:rPr>
          <w:rFonts w:ascii="David" w:hAnsi="David" w:cs="David" w:hint="cs"/>
          <w:sz w:val="24"/>
          <w:szCs w:val="24"/>
          <w:rtl/>
        </w:rPr>
        <w:t xml:space="preserve"> המקובלות בתחום זה במחקרים שבחנו מערכות שיפוטיות שונות בעולם</w:t>
      </w:r>
      <w:r w:rsidR="00087EBC" w:rsidRPr="00F25744">
        <w:rPr>
          <w:rFonts w:ascii="David" w:hAnsi="David" w:cs="David" w:hint="cs"/>
          <w:sz w:val="24"/>
          <w:szCs w:val="24"/>
          <w:rtl/>
        </w:rPr>
        <w:t>, מתוך מטרה שלא להכביד יתר על המידה על השופטים העמוסים ממילא, ובכך להבטיח שיתוף פעולה רחב</w:t>
      </w:r>
      <w:r w:rsidRPr="00F25744">
        <w:rPr>
          <w:rFonts w:ascii="David" w:hAnsi="David" w:cs="David" w:hint="cs"/>
          <w:sz w:val="24"/>
          <w:szCs w:val="24"/>
          <w:rtl/>
        </w:rPr>
        <w:t>.</w:t>
      </w:r>
    </w:p>
    <w:p w14:paraId="4C986785" w14:textId="77777777" w:rsidR="00594534" w:rsidRPr="00F25744" w:rsidRDefault="00E25AE7" w:rsidP="00BD23BB">
      <w:pPr>
        <w:pStyle w:val="a3"/>
        <w:widowControl w:val="0"/>
        <w:autoSpaceDE w:val="0"/>
        <w:autoSpaceDN w:val="0"/>
        <w:bidi/>
        <w:adjustRightInd w:val="0"/>
        <w:spacing w:before="120" w:after="0" w:line="360" w:lineRule="auto"/>
        <w:ind w:left="0"/>
        <w:rPr>
          <w:rFonts w:ascii="David" w:hAnsi="David" w:cs="David"/>
          <w:sz w:val="24"/>
          <w:szCs w:val="24"/>
        </w:rPr>
      </w:pPr>
      <w:r w:rsidRPr="00F25744">
        <w:rPr>
          <w:rFonts w:ascii="David" w:hAnsi="David" w:cs="David" w:hint="cs"/>
          <w:sz w:val="24"/>
          <w:szCs w:val="24"/>
          <w:rtl/>
        </w:rPr>
        <w:t xml:space="preserve">כאן המקום להדגיש שוב, כי מדד עומס העבודה השיפוטית </w:t>
      </w:r>
      <w:r w:rsidRPr="00F25744">
        <w:rPr>
          <w:rFonts w:ascii="David" w:hAnsi="David" w:cs="David" w:hint="cs"/>
          <w:sz w:val="24"/>
          <w:szCs w:val="24"/>
          <w:u w:val="single"/>
          <w:rtl/>
        </w:rPr>
        <w:t>אינו מדד ביצועים</w:t>
      </w:r>
      <w:r w:rsidRPr="00F25744">
        <w:rPr>
          <w:rFonts w:ascii="David" w:hAnsi="David" w:cs="David" w:hint="cs"/>
          <w:sz w:val="24"/>
          <w:szCs w:val="24"/>
          <w:rtl/>
        </w:rPr>
        <w:t xml:space="preserve">, ואינו מתיימר לחוות דעה כלשהי בשאלה האם פרק הזמן ששופט פלוני הקדיש למטלה מסוימת הוא זמן ראוי או הולם. </w:t>
      </w:r>
      <w:r w:rsidR="00EA1FB9" w:rsidRPr="00F25744">
        <w:rPr>
          <w:rFonts w:ascii="David" w:hAnsi="David" w:cs="David" w:hint="cs"/>
          <w:sz w:val="24"/>
          <w:szCs w:val="24"/>
          <w:rtl/>
        </w:rPr>
        <w:t xml:space="preserve">המדד הוא תיאורי, כלומר, </w:t>
      </w:r>
      <w:r w:rsidRPr="00F25744">
        <w:rPr>
          <w:rFonts w:ascii="David" w:hAnsi="David" w:cs="David" w:hint="cs"/>
          <w:sz w:val="24"/>
          <w:szCs w:val="24"/>
          <w:rtl/>
        </w:rPr>
        <w:t xml:space="preserve">תכליתו </w:t>
      </w:r>
      <w:r w:rsidR="00EA1FB9" w:rsidRPr="00F25744">
        <w:rPr>
          <w:rFonts w:ascii="David" w:hAnsi="David" w:cs="David" w:hint="cs"/>
          <w:sz w:val="24"/>
          <w:szCs w:val="24"/>
          <w:rtl/>
        </w:rPr>
        <w:t xml:space="preserve">היא </w:t>
      </w:r>
      <w:r w:rsidRPr="00F25744">
        <w:rPr>
          <w:rFonts w:ascii="David" w:hAnsi="David" w:cs="David" w:hint="cs"/>
          <w:sz w:val="24"/>
          <w:szCs w:val="24"/>
          <w:rtl/>
        </w:rPr>
        <w:t xml:space="preserve">אך ורק לתאר את פרק הזמן </w:t>
      </w:r>
      <w:r w:rsidR="006A393B" w:rsidRPr="00F25744">
        <w:rPr>
          <w:rFonts w:ascii="David" w:hAnsi="David" w:cs="David" w:hint="cs"/>
          <w:sz w:val="24"/>
          <w:szCs w:val="24"/>
          <w:rtl/>
        </w:rPr>
        <w:t xml:space="preserve">הממוצע </w:t>
      </w:r>
      <w:r w:rsidRPr="00F25744">
        <w:rPr>
          <w:rFonts w:ascii="David" w:hAnsi="David" w:cs="David" w:hint="cs"/>
          <w:sz w:val="24"/>
          <w:szCs w:val="24"/>
          <w:rtl/>
        </w:rPr>
        <w:t xml:space="preserve">שהושקע </w:t>
      </w:r>
      <w:r w:rsidRPr="00F25744">
        <w:rPr>
          <w:rFonts w:ascii="David" w:hAnsi="David" w:cs="David" w:hint="cs"/>
          <w:b/>
          <w:bCs/>
          <w:sz w:val="24"/>
          <w:szCs w:val="24"/>
          <w:rtl/>
        </w:rPr>
        <w:t>בפועל</w:t>
      </w:r>
      <w:r w:rsidRPr="00F25744">
        <w:rPr>
          <w:rFonts w:ascii="David" w:hAnsi="David" w:cs="David" w:hint="cs"/>
          <w:sz w:val="24"/>
          <w:szCs w:val="24"/>
          <w:rtl/>
        </w:rPr>
        <w:t xml:space="preserve"> במטלה שיפוטית מסוימת.</w:t>
      </w:r>
    </w:p>
    <w:p w14:paraId="0DC8399A" w14:textId="77777777" w:rsidR="00594534" w:rsidRPr="00F25744" w:rsidRDefault="00E25AE7" w:rsidP="00BD23BB">
      <w:pPr>
        <w:spacing w:before="120" w:after="0" w:line="360" w:lineRule="auto"/>
        <w:jc w:val="both"/>
        <w:rPr>
          <w:rFonts w:cs="David"/>
          <w:sz w:val="24"/>
          <w:szCs w:val="24"/>
          <w:rtl/>
        </w:rPr>
      </w:pPr>
      <w:r w:rsidRPr="00F25744">
        <w:rPr>
          <w:rFonts w:ascii="Times New Roman" w:eastAsia="Times New Roman" w:hAnsi="Times New Roman" w:cs="David" w:hint="cs"/>
          <w:sz w:val="24"/>
          <w:szCs w:val="24"/>
          <w:rtl/>
        </w:rPr>
        <w:t xml:space="preserve">משאמרנו כל זאת, נפנה לסקור את מחקר </w:t>
      </w:r>
      <w:r w:rsidR="00FC3128" w:rsidRPr="00F25744">
        <w:rPr>
          <w:rFonts w:ascii="Times New Roman" w:eastAsia="Times New Roman" w:hAnsi="Times New Roman" w:cs="David" w:hint="cs"/>
          <w:sz w:val="24"/>
          <w:szCs w:val="24"/>
          <w:rtl/>
        </w:rPr>
        <w:t>עומס העבודה השיפוטית</w:t>
      </w:r>
      <w:r w:rsidRPr="00F25744">
        <w:rPr>
          <w:rFonts w:ascii="Times New Roman" w:eastAsia="Times New Roman" w:hAnsi="Times New Roman" w:cs="David" w:hint="cs"/>
          <w:sz w:val="24"/>
          <w:szCs w:val="24"/>
          <w:rtl/>
        </w:rPr>
        <w:t xml:space="preserve"> בישראל, על שלבי העבודה שלו וכלי המחקר ששימשו אותו. אך טרם זאת, נסקור בקצרה את </w:t>
      </w:r>
      <w:r w:rsidRPr="00F25744">
        <w:rPr>
          <w:rFonts w:cs="David" w:hint="cs"/>
          <w:sz w:val="24"/>
          <w:szCs w:val="24"/>
          <w:rtl/>
        </w:rPr>
        <w:t>שלבי העבודה במחקר הקודם, ואת כלי המחקר ששימשו אותו, על מנת שחידושיו ושיטתו של המחקר הנוכחי יהיו מובנים היטב.</w:t>
      </w:r>
    </w:p>
    <w:p w14:paraId="55568C15" w14:textId="77777777" w:rsidR="00594534" w:rsidRPr="00F25744" w:rsidRDefault="00594534" w:rsidP="009B2BD7">
      <w:pPr>
        <w:spacing w:after="0" w:line="240" w:lineRule="auto"/>
        <w:jc w:val="both"/>
        <w:rPr>
          <w:rFonts w:cs="David"/>
          <w:b/>
          <w:bCs/>
          <w:sz w:val="24"/>
          <w:szCs w:val="24"/>
          <w:u w:val="single"/>
          <w:rtl/>
        </w:rPr>
      </w:pPr>
    </w:p>
    <w:p w14:paraId="7448D1E0" w14:textId="3E3B4221" w:rsidR="00594534" w:rsidRPr="00F25744" w:rsidRDefault="00A54D82" w:rsidP="002010D3">
      <w:pPr>
        <w:pStyle w:val="2"/>
        <w:rPr>
          <w:rtl/>
        </w:rPr>
      </w:pPr>
      <w:bookmarkStart w:id="44" w:name="_Toc46226026"/>
      <w:bookmarkStart w:id="45" w:name="_Toc46226170"/>
      <w:bookmarkStart w:id="46" w:name="_Toc46228337"/>
      <w:bookmarkStart w:id="47" w:name="_Toc46228435"/>
      <w:bookmarkStart w:id="48" w:name="_Toc46230362"/>
      <w:bookmarkStart w:id="49" w:name="_Toc46230460"/>
      <w:bookmarkStart w:id="50" w:name="_Toc46310350"/>
      <w:bookmarkStart w:id="51" w:name="_Toc46413992"/>
      <w:bookmarkStart w:id="52" w:name="_Toc49352732"/>
      <w:bookmarkStart w:id="53" w:name="_Toc49429637"/>
      <w:bookmarkStart w:id="54" w:name="_Toc49435866"/>
      <w:r>
        <w:rPr>
          <w:rFonts w:hint="cs"/>
          <w:u w:val="none"/>
          <w:rtl/>
        </w:rPr>
        <w:t xml:space="preserve"> </w:t>
      </w:r>
      <w:bookmarkStart w:id="55" w:name="_Toc74750945"/>
      <w:r w:rsidR="00E25AE7" w:rsidRPr="00F25744">
        <w:rPr>
          <w:rFonts w:hint="cs"/>
          <w:rtl/>
        </w:rPr>
        <w:t>שלבי העבודה במחקר הקודם</w:t>
      </w:r>
      <w:bookmarkEnd w:id="44"/>
      <w:bookmarkEnd w:id="45"/>
      <w:bookmarkEnd w:id="46"/>
      <w:bookmarkEnd w:id="47"/>
      <w:bookmarkEnd w:id="48"/>
      <w:bookmarkEnd w:id="49"/>
      <w:bookmarkEnd w:id="50"/>
      <w:bookmarkEnd w:id="51"/>
      <w:bookmarkEnd w:id="52"/>
      <w:bookmarkEnd w:id="53"/>
      <w:bookmarkEnd w:id="54"/>
      <w:bookmarkEnd w:id="55"/>
    </w:p>
    <w:p w14:paraId="28A86CD2" w14:textId="77777777" w:rsidR="00594534" w:rsidRPr="00F25744" w:rsidRDefault="00E25AE7" w:rsidP="00EA1FB9">
      <w:pPr>
        <w:spacing w:after="0" w:line="360" w:lineRule="auto"/>
        <w:jc w:val="both"/>
        <w:rPr>
          <w:rFonts w:cs="David"/>
          <w:sz w:val="24"/>
          <w:szCs w:val="24"/>
          <w:rtl/>
        </w:rPr>
      </w:pPr>
      <w:r w:rsidRPr="00F25744">
        <w:rPr>
          <w:rFonts w:cs="David" w:hint="cs"/>
          <w:sz w:val="24"/>
          <w:szCs w:val="24"/>
          <w:rtl/>
        </w:rPr>
        <w:t>לצורך קביעת זמני העבודה השיפוטית הכרוכה בתיקים נסמך המחקר הקודם על ארבעה שלבים:</w:t>
      </w:r>
    </w:p>
    <w:p w14:paraId="6063843C" w14:textId="77777777" w:rsidR="00594534" w:rsidRPr="00F25744" w:rsidRDefault="00E25AE7" w:rsidP="00594534">
      <w:pPr>
        <w:numPr>
          <w:ilvl w:val="0"/>
          <w:numId w:val="7"/>
        </w:numPr>
        <w:spacing w:after="0" w:line="360" w:lineRule="auto"/>
        <w:ind w:left="509" w:hanging="425"/>
        <w:jc w:val="both"/>
        <w:rPr>
          <w:rFonts w:cs="David"/>
          <w:sz w:val="24"/>
          <w:szCs w:val="24"/>
        </w:rPr>
      </w:pPr>
      <w:r w:rsidRPr="00F25744">
        <w:rPr>
          <w:rFonts w:cs="David" w:hint="cs"/>
          <w:b/>
          <w:bCs/>
          <w:sz w:val="24"/>
          <w:szCs w:val="24"/>
          <w:rtl/>
        </w:rPr>
        <w:t>זיהוי האירועים</w:t>
      </w:r>
      <w:r w:rsidRPr="00F25744">
        <w:rPr>
          <w:rFonts w:cs="David" w:hint="cs"/>
          <w:sz w:val="24"/>
          <w:szCs w:val="24"/>
          <w:rtl/>
        </w:rPr>
        <w:t xml:space="preserve"> במהלך חיי התיק אשר מצריכים זמן עבודה שיפוטי. בעניין זה המחקר הקודם מצא שלושה סוגי אירועים חוזרים, המתרחשים במהלך חיי כל תיק:</w:t>
      </w:r>
    </w:p>
    <w:p w14:paraId="64D4EABB" w14:textId="77777777" w:rsidR="00594534" w:rsidRPr="00F25744" w:rsidRDefault="00E25AE7" w:rsidP="005A5474">
      <w:pPr>
        <w:numPr>
          <w:ilvl w:val="1"/>
          <w:numId w:val="8"/>
        </w:numPr>
        <w:spacing w:after="0" w:line="360" w:lineRule="auto"/>
        <w:ind w:left="852" w:hanging="283"/>
        <w:jc w:val="both"/>
        <w:rPr>
          <w:rFonts w:cs="David"/>
          <w:sz w:val="24"/>
          <w:szCs w:val="24"/>
        </w:rPr>
      </w:pPr>
      <w:r w:rsidRPr="00F25744">
        <w:rPr>
          <w:rFonts w:cs="David" w:hint="cs"/>
          <w:sz w:val="24"/>
          <w:szCs w:val="24"/>
          <w:rtl/>
        </w:rPr>
        <w:t xml:space="preserve">אירועים של </w:t>
      </w:r>
      <w:r w:rsidRPr="00F25744">
        <w:rPr>
          <w:rFonts w:cs="David" w:hint="cs"/>
          <w:b/>
          <w:bCs/>
          <w:sz w:val="24"/>
          <w:szCs w:val="24"/>
          <w:rtl/>
        </w:rPr>
        <w:t>כתיבת החלטות שיפוטיות</w:t>
      </w:r>
      <w:r w:rsidRPr="00F25744">
        <w:rPr>
          <w:rFonts w:cs="David" w:hint="cs"/>
          <w:sz w:val="24"/>
          <w:szCs w:val="24"/>
          <w:rtl/>
        </w:rPr>
        <w:t xml:space="preserve"> (בהבחנה בין החלטות ביניים להחלטות סוגרות). </w:t>
      </w:r>
    </w:p>
    <w:p w14:paraId="573DE837" w14:textId="77777777" w:rsidR="00594534" w:rsidRPr="00F25744" w:rsidRDefault="00E25AE7" w:rsidP="005A5474">
      <w:pPr>
        <w:numPr>
          <w:ilvl w:val="1"/>
          <w:numId w:val="8"/>
        </w:numPr>
        <w:spacing w:after="0" w:line="360" w:lineRule="auto"/>
        <w:ind w:left="852" w:hanging="283"/>
        <w:jc w:val="both"/>
        <w:rPr>
          <w:rFonts w:cs="David"/>
          <w:sz w:val="24"/>
          <w:szCs w:val="24"/>
          <w:rtl/>
        </w:rPr>
      </w:pPr>
      <w:r w:rsidRPr="00F25744">
        <w:rPr>
          <w:rFonts w:cs="David" w:hint="cs"/>
          <w:sz w:val="24"/>
          <w:szCs w:val="24"/>
          <w:rtl/>
        </w:rPr>
        <w:t xml:space="preserve">אירועים של </w:t>
      </w:r>
      <w:r w:rsidRPr="00F25744">
        <w:rPr>
          <w:rFonts w:cs="David" w:hint="cs"/>
          <w:b/>
          <w:bCs/>
          <w:sz w:val="24"/>
          <w:szCs w:val="24"/>
          <w:rtl/>
        </w:rPr>
        <w:t>הכנה לקראת דיונים</w:t>
      </w:r>
      <w:r w:rsidRPr="00F25744">
        <w:rPr>
          <w:rFonts w:cs="David" w:hint="cs"/>
          <w:sz w:val="24"/>
          <w:szCs w:val="24"/>
          <w:rtl/>
        </w:rPr>
        <w:t xml:space="preserve">.  </w:t>
      </w:r>
    </w:p>
    <w:p w14:paraId="7D026F7A" w14:textId="77777777" w:rsidR="00594534" w:rsidRPr="00F25744" w:rsidRDefault="00E25AE7" w:rsidP="005A5474">
      <w:pPr>
        <w:numPr>
          <w:ilvl w:val="1"/>
          <w:numId w:val="8"/>
        </w:numPr>
        <w:spacing w:after="0" w:line="360" w:lineRule="auto"/>
        <w:ind w:left="852" w:hanging="283"/>
        <w:jc w:val="both"/>
        <w:rPr>
          <w:rFonts w:cs="David"/>
          <w:sz w:val="24"/>
          <w:szCs w:val="24"/>
        </w:rPr>
      </w:pPr>
      <w:r w:rsidRPr="00F25744">
        <w:rPr>
          <w:rFonts w:cs="David" w:hint="cs"/>
          <w:sz w:val="24"/>
          <w:szCs w:val="24"/>
          <w:rtl/>
        </w:rPr>
        <w:lastRenderedPageBreak/>
        <w:t xml:space="preserve">אירועים של </w:t>
      </w:r>
      <w:r w:rsidRPr="00F25744">
        <w:rPr>
          <w:rFonts w:cs="David" w:hint="cs"/>
          <w:b/>
          <w:bCs/>
          <w:sz w:val="24"/>
          <w:szCs w:val="24"/>
          <w:rtl/>
        </w:rPr>
        <w:t>שמיעת דיונים</w:t>
      </w:r>
      <w:r w:rsidRPr="00F25744">
        <w:rPr>
          <w:rFonts w:cs="David" w:hint="cs"/>
          <w:sz w:val="24"/>
          <w:szCs w:val="24"/>
          <w:rtl/>
        </w:rPr>
        <w:t>.</w:t>
      </w:r>
    </w:p>
    <w:p w14:paraId="617B91EE" w14:textId="77777777" w:rsidR="00594534" w:rsidRPr="00F25744" w:rsidRDefault="00E25AE7" w:rsidP="00594534">
      <w:pPr>
        <w:numPr>
          <w:ilvl w:val="0"/>
          <w:numId w:val="7"/>
        </w:numPr>
        <w:spacing w:after="0" w:line="360" w:lineRule="auto"/>
        <w:ind w:left="509" w:hanging="425"/>
        <w:jc w:val="both"/>
        <w:rPr>
          <w:rFonts w:cs="David"/>
          <w:sz w:val="24"/>
          <w:szCs w:val="24"/>
          <w:rtl/>
        </w:rPr>
      </w:pPr>
      <w:r w:rsidRPr="00F25744">
        <w:rPr>
          <w:rFonts w:cs="David" w:hint="cs"/>
          <w:b/>
          <w:bCs/>
          <w:sz w:val="24"/>
          <w:szCs w:val="24"/>
          <w:rtl/>
        </w:rPr>
        <w:t>כימות</w:t>
      </w:r>
      <w:r w:rsidRPr="00F25744">
        <w:rPr>
          <w:rFonts w:cs="David" w:hint="cs"/>
          <w:sz w:val="24"/>
          <w:szCs w:val="24"/>
          <w:rtl/>
        </w:rPr>
        <w:t xml:space="preserve"> זמן העבודה השיפוטית, בממוצע, שאורך טיפול בכל אחד מסוגי האירועים בתיק</w:t>
      </w:r>
      <w:r w:rsidR="001C1916" w:rsidRPr="00F25744">
        <w:rPr>
          <w:rFonts w:cs="David" w:hint="cs"/>
          <w:sz w:val="24"/>
          <w:szCs w:val="24"/>
          <w:rtl/>
        </w:rPr>
        <w:t xml:space="preserve"> </w:t>
      </w:r>
      <w:r w:rsidRPr="00F25744">
        <w:rPr>
          <w:rFonts w:cs="David" w:hint="cs"/>
          <w:sz w:val="24"/>
          <w:szCs w:val="24"/>
          <w:rtl/>
        </w:rPr>
        <w:t>- בדרך של הערכת זמנים.</w:t>
      </w:r>
    </w:p>
    <w:p w14:paraId="5C9A45FB" w14:textId="77777777" w:rsidR="00594534" w:rsidRPr="00F25744" w:rsidRDefault="00E25AE7" w:rsidP="00594534">
      <w:pPr>
        <w:numPr>
          <w:ilvl w:val="0"/>
          <w:numId w:val="7"/>
        </w:numPr>
        <w:spacing w:after="0" w:line="360" w:lineRule="auto"/>
        <w:ind w:left="509" w:hanging="425"/>
        <w:jc w:val="both"/>
        <w:rPr>
          <w:rFonts w:cs="David"/>
          <w:sz w:val="24"/>
          <w:szCs w:val="24"/>
        </w:rPr>
      </w:pPr>
      <w:r w:rsidRPr="00F25744">
        <w:rPr>
          <w:rFonts w:cs="David" w:hint="cs"/>
          <w:b/>
          <w:bCs/>
          <w:sz w:val="24"/>
          <w:szCs w:val="24"/>
          <w:rtl/>
        </w:rPr>
        <w:t>קביעת</w:t>
      </w:r>
      <w:r w:rsidRPr="00F25744">
        <w:rPr>
          <w:rFonts w:cs="David" w:hint="cs"/>
          <w:sz w:val="24"/>
          <w:szCs w:val="24"/>
          <w:rtl/>
        </w:rPr>
        <w:t xml:space="preserve"> מספר הפעמים הממוצע שכל אירוע מתרחש או חוזר על עצמו במהלך חיי התיק, מתחילתו ועד סופו.</w:t>
      </w:r>
    </w:p>
    <w:p w14:paraId="257B84F4" w14:textId="77777777" w:rsidR="00594534" w:rsidRPr="00F25744" w:rsidRDefault="00E25AE7" w:rsidP="00644473">
      <w:pPr>
        <w:numPr>
          <w:ilvl w:val="0"/>
          <w:numId w:val="7"/>
        </w:numPr>
        <w:spacing w:after="0" w:line="360" w:lineRule="auto"/>
        <w:ind w:left="509" w:hanging="425"/>
        <w:jc w:val="both"/>
        <w:rPr>
          <w:rFonts w:cs="David"/>
          <w:sz w:val="24"/>
          <w:szCs w:val="24"/>
        </w:rPr>
      </w:pPr>
      <w:r w:rsidRPr="00F25744">
        <w:rPr>
          <w:rFonts w:cs="David" w:hint="cs"/>
          <w:b/>
          <w:bCs/>
          <w:sz w:val="24"/>
          <w:szCs w:val="24"/>
          <w:rtl/>
        </w:rPr>
        <w:t>הכפלת</w:t>
      </w:r>
      <w:r w:rsidRPr="00F25744">
        <w:rPr>
          <w:rFonts w:cs="David"/>
          <w:sz w:val="24"/>
          <w:szCs w:val="24"/>
          <w:rtl/>
        </w:rPr>
        <w:t xml:space="preserve"> </w:t>
      </w:r>
      <w:r w:rsidRPr="00F25744">
        <w:rPr>
          <w:rFonts w:cs="David" w:hint="cs"/>
          <w:sz w:val="24"/>
          <w:szCs w:val="24"/>
          <w:rtl/>
        </w:rPr>
        <w:t>זמן</w:t>
      </w:r>
      <w:r w:rsidRPr="00F25744">
        <w:rPr>
          <w:rFonts w:cs="David"/>
          <w:sz w:val="24"/>
          <w:szCs w:val="24"/>
          <w:rtl/>
        </w:rPr>
        <w:t xml:space="preserve"> </w:t>
      </w:r>
      <w:r w:rsidRPr="00F25744">
        <w:rPr>
          <w:rFonts w:cs="David" w:hint="cs"/>
          <w:sz w:val="24"/>
          <w:szCs w:val="24"/>
          <w:rtl/>
        </w:rPr>
        <w:t>העבודה</w:t>
      </w:r>
      <w:r w:rsidRPr="00F25744">
        <w:rPr>
          <w:rFonts w:cs="David"/>
          <w:sz w:val="24"/>
          <w:szCs w:val="24"/>
          <w:rtl/>
        </w:rPr>
        <w:t xml:space="preserve"> </w:t>
      </w:r>
      <w:r w:rsidRPr="00F25744">
        <w:rPr>
          <w:rFonts w:cs="David" w:hint="cs"/>
          <w:sz w:val="24"/>
          <w:szCs w:val="24"/>
          <w:rtl/>
        </w:rPr>
        <w:t>השיפוטית</w:t>
      </w:r>
      <w:r w:rsidRPr="00F25744">
        <w:rPr>
          <w:rFonts w:cs="David"/>
          <w:sz w:val="24"/>
          <w:szCs w:val="24"/>
          <w:rtl/>
        </w:rPr>
        <w:t xml:space="preserve"> </w:t>
      </w:r>
      <w:r w:rsidRPr="00F25744">
        <w:rPr>
          <w:rFonts w:cs="David" w:hint="cs"/>
          <w:sz w:val="24"/>
          <w:szCs w:val="24"/>
          <w:rtl/>
        </w:rPr>
        <w:t>שצורך</w:t>
      </w:r>
      <w:r w:rsidRPr="00F25744">
        <w:rPr>
          <w:rFonts w:cs="David"/>
          <w:sz w:val="24"/>
          <w:szCs w:val="24"/>
          <w:rtl/>
        </w:rPr>
        <w:t xml:space="preserve"> </w:t>
      </w:r>
      <w:r w:rsidRPr="00F25744">
        <w:rPr>
          <w:rFonts w:cs="David" w:hint="cs"/>
          <w:sz w:val="24"/>
          <w:szCs w:val="24"/>
          <w:rtl/>
        </w:rPr>
        <w:t>אירוע</w:t>
      </w:r>
      <w:r w:rsidRPr="00F25744">
        <w:rPr>
          <w:rFonts w:cs="David"/>
          <w:sz w:val="24"/>
          <w:szCs w:val="24"/>
          <w:rtl/>
        </w:rPr>
        <w:t xml:space="preserve"> </w:t>
      </w:r>
      <w:r w:rsidRPr="00F25744">
        <w:rPr>
          <w:rFonts w:cs="David" w:hint="cs"/>
          <w:sz w:val="24"/>
          <w:szCs w:val="24"/>
          <w:rtl/>
        </w:rPr>
        <w:t>מסוים</w:t>
      </w:r>
      <w:r w:rsidRPr="00F25744">
        <w:rPr>
          <w:rFonts w:cs="David"/>
          <w:sz w:val="24"/>
          <w:szCs w:val="24"/>
          <w:rtl/>
        </w:rPr>
        <w:t xml:space="preserve"> </w:t>
      </w:r>
      <w:r w:rsidRPr="00F25744">
        <w:rPr>
          <w:rFonts w:cs="David" w:hint="cs"/>
          <w:sz w:val="24"/>
          <w:szCs w:val="24"/>
          <w:rtl/>
        </w:rPr>
        <w:t>בתיק</w:t>
      </w:r>
      <w:r w:rsidRPr="00F25744">
        <w:rPr>
          <w:rFonts w:cs="David"/>
          <w:sz w:val="24"/>
          <w:szCs w:val="24"/>
          <w:rtl/>
        </w:rPr>
        <w:t xml:space="preserve"> </w:t>
      </w:r>
      <w:r w:rsidRPr="00F25744">
        <w:rPr>
          <w:rFonts w:cs="David" w:hint="cs"/>
          <w:sz w:val="24"/>
          <w:szCs w:val="24"/>
          <w:rtl/>
        </w:rPr>
        <w:t>מסוג</w:t>
      </w:r>
      <w:r w:rsidRPr="00F25744">
        <w:rPr>
          <w:rFonts w:cs="David"/>
          <w:sz w:val="24"/>
          <w:szCs w:val="24"/>
          <w:rtl/>
        </w:rPr>
        <w:t xml:space="preserve"> </w:t>
      </w:r>
      <w:r w:rsidRPr="00F25744">
        <w:rPr>
          <w:rFonts w:cs="David" w:hint="cs"/>
          <w:sz w:val="24"/>
          <w:szCs w:val="24"/>
          <w:rtl/>
        </w:rPr>
        <w:t>מסוים</w:t>
      </w:r>
      <w:r w:rsidRPr="00F25744">
        <w:rPr>
          <w:rFonts w:cs="David"/>
          <w:sz w:val="24"/>
          <w:szCs w:val="24"/>
          <w:rtl/>
        </w:rPr>
        <w:t xml:space="preserve">, </w:t>
      </w:r>
      <w:r w:rsidRPr="00F25744">
        <w:rPr>
          <w:rFonts w:cs="David" w:hint="cs"/>
          <w:sz w:val="24"/>
          <w:szCs w:val="24"/>
          <w:rtl/>
        </w:rPr>
        <w:t>במספר</w:t>
      </w:r>
      <w:r w:rsidRPr="00F25744">
        <w:rPr>
          <w:rFonts w:cs="David"/>
          <w:sz w:val="24"/>
          <w:szCs w:val="24"/>
          <w:rtl/>
        </w:rPr>
        <w:t xml:space="preserve"> </w:t>
      </w:r>
      <w:r w:rsidRPr="00F25744">
        <w:rPr>
          <w:rFonts w:cs="David" w:hint="cs"/>
          <w:sz w:val="24"/>
          <w:szCs w:val="24"/>
          <w:rtl/>
        </w:rPr>
        <w:t>הפעמים</w:t>
      </w:r>
      <w:r w:rsidRPr="00F25744">
        <w:rPr>
          <w:rFonts w:cs="David"/>
          <w:sz w:val="24"/>
          <w:szCs w:val="24"/>
          <w:rtl/>
        </w:rPr>
        <w:t xml:space="preserve"> </w:t>
      </w:r>
      <w:r w:rsidRPr="00F25744">
        <w:rPr>
          <w:rFonts w:cs="David" w:hint="cs"/>
          <w:sz w:val="24"/>
          <w:szCs w:val="24"/>
          <w:rtl/>
        </w:rPr>
        <w:t>הממוצע</w:t>
      </w:r>
      <w:r w:rsidRPr="00F25744">
        <w:rPr>
          <w:rFonts w:cs="David"/>
          <w:sz w:val="24"/>
          <w:szCs w:val="24"/>
          <w:rtl/>
        </w:rPr>
        <w:t xml:space="preserve"> </w:t>
      </w:r>
      <w:r w:rsidRPr="00F25744">
        <w:rPr>
          <w:rFonts w:cs="David" w:hint="cs"/>
          <w:sz w:val="24"/>
          <w:szCs w:val="24"/>
          <w:rtl/>
        </w:rPr>
        <w:t>שאותו</w:t>
      </w:r>
      <w:r w:rsidRPr="00F25744">
        <w:rPr>
          <w:rFonts w:cs="David"/>
          <w:sz w:val="24"/>
          <w:szCs w:val="24"/>
          <w:rtl/>
        </w:rPr>
        <w:t xml:space="preserve"> </w:t>
      </w:r>
      <w:r w:rsidRPr="00F25744">
        <w:rPr>
          <w:rFonts w:cs="David" w:hint="cs"/>
          <w:sz w:val="24"/>
          <w:szCs w:val="24"/>
          <w:rtl/>
        </w:rPr>
        <w:t>אירוע</w:t>
      </w:r>
      <w:r w:rsidRPr="00F25744">
        <w:rPr>
          <w:rFonts w:cs="David"/>
          <w:sz w:val="24"/>
          <w:szCs w:val="24"/>
          <w:rtl/>
        </w:rPr>
        <w:t xml:space="preserve"> </w:t>
      </w:r>
      <w:r w:rsidRPr="00F25744">
        <w:rPr>
          <w:rFonts w:cs="David" w:hint="cs"/>
          <w:sz w:val="24"/>
          <w:szCs w:val="24"/>
          <w:rtl/>
        </w:rPr>
        <w:t>מתרחש</w:t>
      </w:r>
      <w:r w:rsidRPr="00F25744">
        <w:rPr>
          <w:rFonts w:cs="David"/>
          <w:sz w:val="24"/>
          <w:szCs w:val="24"/>
          <w:rtl/>
        </w:rPr>
        <w:t xml:space="preserve"> </w:t>
      </w:r>
      <w:r w:rsidRPr="00F25744">
        <w:rPr>
          <w:rFonts w:cs="David" w:hint="cs"/>
          <w:sz w:val="24"/>
          <w:szCs w:val="24"/>
          <w:rtl/>
        </w:rPr>
        <w:t>בתיק</w:t>
      </w:r>
      <w:r w:rsidRPr="00F25744">
        <w:rPr>
          <w:rFonts w:cs="David"/>
          <w:sz w:val="24"/>
          <w:szCs w:val="24"/>
          <w:rtl/>
        </w:rPr>
        <w:t xml:space="preserve"> </w:t>
      </w:r>
      <w:r w:rsidRPr="00F25744">
        <w:rPr>
          <w:rFonts w:cs="David" w:hint="cs"/>
          <w:sz w:val="24"/>
          <w:szCs w:val="24"/>
          <w:rtl/>
        </w:rPr>
        <w:t>מסוג</w:t>
      </w:r>
      <w:r w:rsidRPr="00F25744">
        <w:rPr>
          <w:rFonts w:cs="David"/>
          <w:sz w:val="24"/>
          <w:szCs w:val="24"/>
          <w:rtl/>
        </w:rPr>
        <w:t xml:space="preserve"> </w:t>
      </w:r>
      <w:r w:rsidRPr="00F25744">
        <w:rPr>
          <w:rFonts w:cs="David" w:hint="cs"/>
          <w:sz w:val="24"/>
          <w:szCs w:val="24"/>
          <w:rtl/>
        </w:rPr>
        <w:t>זה,</w:t>
      </w:r>
      <w:r w:rsidRPr="00F25744">
        <w:rPr>
          <w:rFonts w:cs="David"/>
          <w:sz w:val="24"/>
          <w:szCs w:val="24"/>
          <w:rtl/>
        </w:rPr>
        <w:t xml:space="preserve"> </w:t>
      </w:r>
      <w:r w:rsidRPr="00F25744">
        <w:rPr>
          <w:rFonts w:cs="David" w:hint="cs"/>
          <w:sz w:val="24"/>
          <w:szCs w:val="24"/>
          <w:rtl/>
        </w:rPr>
        <w:t>ו</w:t>
      </w:r>
      <w:r w:rsidR="00644473" w:rsidRPr="00F25744">
        <w:rPr>
          <w:rFonts w:cs="David" w:hint="cs"/>
          <w:sz w:val="24"/>
          <w:szCs w:val="24"/>
          <w:rtl/>
        </w:rPr>
        <w:t xml:space="preserve">סיכום </w:t>
      </w:r>
      <w:r w:rsidRPr="00F25744">
        <w:rPr>
          <w:rFonts w:cs="David" w:hint="cs"/>
          <w:sz w:val="24"/>
          <w:szCs w:val="24"/>
          <w:rtl/>
        </w:rPr>
        <w:t>זמני</w:t>
      </w:r>
      <w:r w:rsidRPr="00F25744">
        <w:rPr>
          <w:rFonts w:cs="David"/>
          <w:sz w:val="24"/>
          <w:szCs w:val="24"/>
          <w:rtl/>
        </w:rPr>
        <w:t xml:space="preserve"> </w:t>
      </w:r>
      <w:r w:rsidRPr="00F25744">
        <w:rPr>
          <w:rFonts w:cs="David" w:hint="cs"/>
          <w:sz w:val="24"/>
          <w:szCs w:val="24"/>
          <w:rtl/>
        </w:rPr>
        <w:t>העבודה</w:t>
      </w:r>
      <w:r w:rsidRPr="00F25744">
        <w:rPr>
          <w:rFonts w:cs="David"/>
          <w:sz w:val="24"/>
          <w:szCs w:val="24"/>
          <w:rtl/>
        </w:rPr>
        <w:t xml:space="preserve"> </w:t>
      </w:r>
      <w:r w:rsidRPr="00F25744">
        <w:rPr>
          <w:rFonts w:cs="David" w:hint="cs"/>
          <w:sz w:val="24"/>
          <w:szCs w:val="24"/>
          <w:rtl/>
        </w:rPr>
        <w:t>המצטברים</w:t>
      </w:r>
      <w:r w:rsidRPr="00F25744">
        <w:rPr>
          <w:rFonts w:cs="David"/>
          <w:sz w:val="24"/>
          <w:szCs w:val="24"/>
          <w:rtl/>
        </w:rPr>
        <w:t xml:space="preserve"> </w:t>
      </w:r>
      <w:r w:rsidRPr="00F25744">
        <w:rPr>
          <w:rFonts w:cs="David" w:hint="cs"/>
          <w:sz w:val="24"/>
          <w:szCs w:val="24"/>
          <w:rtl/>
        </w:rPr>
        <w:t>שהוקדשו</w:t>
      </w:r>
      <w:r w:rsidRPr="00F25744">
        <w:rPr>
          <w:rFonts w:cs="David"/>
          <w:sz w:val="24"/>
          <w:szCs w:val="24"/>
          <w:rtl/>
        </w:rPr>
        <w:t xml:space="preserve"> </w:t>
      </w:r>
      <w:r w:rsidRPr="00F25744">
        <w:rPr>
          <w:rFonts w:cs="David" w:hint="cs"/>
          <w:sz w:val="24"/>
          <w:szCs w:val="24"/>
          <w:rtl/>
        </w:rPr>
        <w:t>לסך</w:t>
      </w:r>
      <w:r w:rsidRPr="00F25744">
        <w:rPr>
          <w:rFonts w:cs="David"/>
          <w:sz w:val="24"/>
          <w:szCs w:val="24"/>
          <w:rtl/>
        </w:rPr>
        <w:t xml:space="preserve"> </w:t>
      </w:r>
      <w:r w:rsidRPr="00F25744">
        <w:rPr>
          <w:rFonts w:cs="David" w:hint="cs"/>
          <w:sz w:val="24"/>
          <w:szCs w:val="24"/>
          <w:rtl/>
        </w:rPr>
        <w:t>האירועים</w:t>
      </w:r>
      <w:r w:rsidRPr="00F25744">
        <w:rPr>
          <w:rFonts w:cs="David"/>
          <w:sz w:val="24"/>
          <w:szCs w:val="24"/>
          <w:rtl/>
        </w:rPr>
        <w:t xml:space="preserve"> </w:t>
      </w:r>
      <w:r w:rsidRPr="00F25744">
        <w:rPr>
          <w:rFonts w:cs="David" w:hint="cs"/>
          <w:sz w:val="24"/>
          <w:szCs w:val="24"/>
          <w:rtl/>
        </w:rPr>
        <w:t>בסוג</w:t>
      </w:r>
      <w:r w:rsidRPr="00F25744">
        <w:rPr>
          <w:rFonts w:cs="David"/>
          <w:sz w:val="24"/>
          <w:szCs w:val="24"/>
          <w:rtl/>
        </w:rPr>
        <w:t xml:space="preserve"> </w:t>
      </w:r>
      <w:r w:rsidRPr="00F25744">
        <w:rPr>
          <w:rFonts w:cs="David" w:hint="cs"/>
          <w:sz w:val="24"/>
          <w:szCs w:val="24"/>
          <w:rtl/>
        </w:rPr>
        <w:t>התיק</w:t>
      </w:r>
      <w:r w:rsidRPr="00F25744">
        <w:rPr>
          <w:rFonts w:cs="David"/>
          <w:sz w:val="24"/>
          <w:szCs w:val="24"/>
          <w:rtl/>
        </w:rPr>
        <w:t xml:space="preserve"> </w:t>
      </w:r>
      <w:r w:rsidRPr="00F25744">
        <w:rPr>
          <w:rFonts w:cs="David" w:hint="cs"/>
          <w:sz w:val="24"/>
          <w:szCs w:val="24"/>
          <w:rtl/>
        </w:rPr>
        <w:t>המסוים. כל אלה מובילים</w:t>
      </w:r>
      <w:r w:rsidRPr="00F25744">
        <w:rPr>
          <w:rFonts w:cs="David"/>
          <w:sz w:val="24"/>
          <w:szCs w:val="24"/>
          <w:rtl/>
        </w:rPr>
        <w:t xml:space="preserve"> </w:t>
      </w:r>
      <w:r w:rsidRPr="00F25744">
        <w:rPr>
          <w:rFonts w:cs="David" w:hint="cs"/>
          <w:b/>
          <w:bCs/>
          <w:sz w:val="24"/>
          <w:szCs w:val="24"/>
          <w:rtl/>
        </w:rPr>
        <w:t>לתוצאה</w:t>
      </w:r>
      <w:r w:rsidRPr="00F25744">
        <w:rPr>
          <w:rFonts w:cs="David"/>
          <w:b/>
          <w:bCs/>
          <w:sz w:val="24"/>
          <w:szCs w:val="24"/>
          <w:rtl/>
        </w:rPr>
        <w:t xml:space="preserve"> </w:t>
      </w:r>
      <w:r w:rsidRPr="00F25744">
        <w:rPr>
          <w:rFonts w:cs="David" w:hint="cs"/>
          <w:b/>
          <w:bCs/>
          <w:sz w:val="24"/>
          <w:szCs w:val="24"/>
          <w:rtl/>
        </w:rPr>
        <w:t>הסופית</w:t>
      </w:r>
      <w:r w:rsidRPr="00F25744">
        <w:rPr>
          <w:rFonts w:cs="David"/>
          <w:b/>
          <w:bCs/>
          <w:sz w:val="24"/>
          <w:szCs w:val="24"/>
          <w:rtl/>
        </w:rPr>
        <w:t xml:space="preserve"> </w:t>
      </w:r>
      <w:r w:rsidRPr="00F25744">
        <w:rPr>
          <w:rFonts w:cs="David" w:hint="cs"/>
          <w:b/>
          <w:bCs/>
          <w:sz w:val="24"/>
          <w:szCs w:val="24"/>
          <w:rtl/>
        </w:rPr>
        <w:t>של</w:t>
      </w:r>
      <w:r w:rsidRPr="00F25744">
        <w:rPr>
          <w:rFonts w:cs="David"/>
          <w:b/>
          <w:bCs/>
          <w:sz w:val="24"/>
          <w:szCs w:val="24"/>
          <w:rtl/>
        </w:rPr>
        <w:t xml:space="preserve"> </w:t>
      </w:r>
      <w:r w:rsidRPr="00F25744">
        <w:rPr>
          <w:rFonts w:cs="David" w:hint="cs"/>
          <w:b/>
          <w:bCs/>
          <w:sz w:val="24"/>
          <w:szCs w:val="24"/>
          <w:rtl/>
        </w:rPr>
        <w:t>זמן</w:t>
      </w:r>
      <w:r w:rsidRPr="00F25744">
        <w:rPr>
          <w:rFonts w:cs="David"/>
          <w:b/>
          <w:bCs/>
          <w:sz w:val="24"/>
          <w:szCs w:val="24"/>
          <w:rtl/>
        </w:rPr>
        <w:t xml:space="preserve"> </w:t>
      </w:r>
      <w:r w:rsidRPr="00F25744">
        <w:rPr>
          <w:rFonts w:cs="David" w:hint="cs"/>
          <w:b/>
          <w:bCs/>
          <w:sz w:val="24"/>
          <w:szCs w:val="24"/>
          <w:rtl/>
        </w:rPr>
        <w:t>העבודה</w:t>
      </w:r>
      <w:r w:rsidRPr="00F25744">
        <w:rPr>
          <w:rFonts w:cs="David"/>
          <w:b/>
          <w:bCs/>
          <w:sz w:val="24"/>
          <w:szCs w:val="24"/>
          <w:rtl/>
        </w:rPr>
        <w:t xml:space="preserve"> </w:t>
      </w:r>
      <w:r w:rsidRPr="00F25744">
        <w:rPr>
          <w:rFonts w:cs="David" w:hint="cs"/>
          <w:b/>
          <w:bCs/>
          <w:sz w:val="24"/>
          <w:szCs w:val="24"/>
          <w:rtl/>
        </w:rPr>
        <w:t>השיפוטית המושקע</w:t>
      </w:r>
      <w:r w:rsidRPr="00F25744">
        <w:rPr>
          <w:rFonts w:cs="David"/>
          <w:b/>
          <w:bCs/>
          <w:sz w:val="24"/>
          <w:szCs w:val="24"/>
          <w:rtl/>
        </w:rPr>
        <w:t xml:space="preserve"> </w:t>
      </w:r>
      <w:r w:rsidRPr="00F25744">
        <w:rPr>
          <w:rFonts w:cs="David" w:hint="cs"/>
          <w:b/>
          <w:bCs/>
          <w:sz w:val="24"/>
          <w:szCs w:val="24"/>
          <w:rtl/>
        </w:rPr>
        <w:t>בכל</w:t>
      </w:r>
      <w:r w:rsidRPr="00F25744">
        <w:rPr>
          <w:rFonts w:cs="David"/>
          <w:b/>
          <w:bCs/>
          <w:sz w:val="24"/>
          <w:szCs w:val="24"/>
          <w:rtl/>
        </w:rPr>
        <w:t xml:space="preserve"> </w:t>
      </w:r>
      <w:r w:rsidRPr="00F25744">
        <w:rPr>
          <w:rFonts w:cs="David" w:hint="cs"/>
          <w:b/>
          <w:bCs/>
          <w:sz w:val="24"/>
          <w:szCs w:val="24"/>
          <w:rtl/>
        </w:rPr>
        <w:t>סוג</w:t>
      </w:r>
      <w:r w:rsidRPr="00F25744">
        <w:rPr>
          <w:rFonts w:cs="David"/>
          <w:b/>
          <w:bCs/>
          <w:sz w:val="24"/>
          <w:szCs w:val="24"/>
          <w:rtl/>
        </w:rPr>
        <w:t xml:space="preserve"> </w:t>
      </w:r>
      <w:r w:rsidRPr="00F25744">
        <w:rPr>
          <w:rFonts w:cs="David" w:hint="cs"/>
          <w:b/>
          <w:bCs/>
          <w:sz w:val="24"/>
          <w:szCs w:val="24"/>
          <w:rtl/>
        </w:rPr>
        <w:t>תיק</w:t>
      </w:r>
      <w:r w:rsidRPr="00F25744">
        <w:rPr>
          <w:rFonts w:cs="David"/>
          <w:sz w:val="24"/>
          <w:szCs w:val="24"/>
          <w:rtl/>
        </w:rPr>
        <w:t>.</w:t>
      </w:r>
      <w:r w:rsidRPr="00F25744">
        <w:rPr>
          <w:rFonts w:cs="David" w:hint="cs"/>
          <w:sz w:val="24"/>
          <w:szCs w:val="24"/>
          <w:rtl/>
        </w:rPr>
        <w:t xml:space="preserve"> זמן העבודה השיפוטית שנמצא, הומר ליחידות יחס על פי סוג התיק שזמן העבודה השיפוטית הדרוש ל</w:t>
      </w:r>
      <w:r w:rsidR="00EA1FB9" w:rsidRPr="00F25744">
        <w:rPr>
          <w:rFonts w:cs="David" w:hint="cs"/>
          <w:sz w:val="24"/>
          <w:szCs w:val="24"/>
          <w:rtl/>
        </w:rPr>
        <w:t xml:space="preserve">טיפול בו </w:t>
      </w:r>
      <w:r w:rsidRPr="00F25744">
        <w:rPr>
          <w:rFonts w:cs="David" w:hint="cs"/>
          <w:sz w:val="24"/>
          <w:szCs w:val="24"/>
          <w:rtl/>
        </w:rPr>
        <w:t xml:space="preserve">הוא הקצר ביותר. </w:t>
      </w:r>
    </w:p>
    <w:p w14:paraId="0EA84528" w14:textId="77777777" w:rsidR="00594534" w:rsidRPr="00F25744" w:rsidRDefault="00594534" w:rsidP="00BD23BB">
      <w:pPr>
        <w:spacing w:after="0" w:line="240" w:lineRule="auto"/>
        <w:jc w:val="both"/>
        <w:rPr>
          <w:rFonts w:cs="David"/>
          <w:b/>
          <w:bCs/>
          <w:sz w:val="24"/>
          <w:szCs w:val="24"/>
          <w:u w:val="single"/>
          <w:rtl/>
        </w:rPr>
      </w:pPr>
    </w:p>
    <w:p w14:paraId="6871D211" w14:textId="77777777" w:rsidR="00594534" w:rsidRPr="00F25744" w:rsidRDefault="00E25AE7" w:rsidP="002010D3">
      <w:pPr>
        <w:pStyle w:val="2"/>
        <w:rPr>
          <w:rtl/>
        </w:rPr>
      </w:pPr>
      <w:bookmarkStart w:id="56" w:name="_Toc46226027"/>
      <w:bookmarkStart w:id="57" w:name="_Toc46226171"/>
      <w:bookmarkStart w:id="58" w:name="_Toc46228338"/>
      <w:bookmarkStart w:id="59" w:name="_Toc46228436"/>
      <w:bookmarkStart w:id="60" w:name="_Toc46230363"/>
      <w:bookmarkStart w:id="61" w:name="_Toc46230461"/>
      <w:bookmarkStart w:id="62" w:name="_Toc46310351"/>
      <w:bookmarkStart w:id="63" w:name="_Toc46413993"/>
      <w:bookmarkStart w:id="64" w:name="_Toc49352733"/>
      <w:bookmarkStart w:id="65" w:name="_Toc49429638"/>
      <w:bookmarkStart w:id="66" w:name="_Toc49435867"/>
      <w:r w:rsidRPr="00A54D82">
        <w:rPr>
          <w:rFonts w:hint="cs"/>
          <w:u w:val="none"/>
          <w:rtl/>
        </w:rPr>
        <w:t xml:space="preserve"> </w:t>
      </w:r>
      <w:bookmarkStart w:id="67" w:name="_Toc74750946"/>
      <w:r w:rsidR="007F3A52" w:rsidRPr="00F25744">
        <w:rPr>
          <w:rFonts w:hint="cs"/>
          <w:rtl/>
        </w:rPr>
        <w:t>כלי המחקר ששימשו במחקר הקודם</w:t>
      </w:r>
      <w:bookmarkEnd w:id="56"/>
      <w:bookmarkEnd w:id="57"/>
      <w:bookmarkEnd w:id="58"/>
      <w:bookmarkEnd w:id="59"/>
      <w:bookmarkEnd w:id="60"/>
      <w:bookmarkEnd w:id="61"/>
      <w:bookmarkEnd w:id="62"/>
      <w:bookmarkEnd w:id="63"/>
      <w:bookmarkEnd w:id="64"/>
      <w:bookmarkEnd w:id="65"/>
      <w:bookmarkEnd w:id="66"/>
      <w:bookmarkEnd w:id="67"/>
      <w:r w:rsidR="007F3A52" w:rsidRPr="00F25744">
        <w:rPr>
          <w:rFonts w:hint="cs"/>
          <w:rtl/>
        </w:rPr>
        <w:t xml:space="preserve"> </w:t>
      </w:r>
    </w:p>
    <w:p w14:paraId="7194BB67" w14:textId="77777777" w:rsidR="00594534" w:rsidRPr="00F25744" w:rsidRDefault="00E25AE7" w:rsidP="00594534">
      <w:pPr>
        <w:spacing w:after="0" w:line="360" w:lineRule="auto"/>
        <w:jc w:val="both"/>
        <w:rPr>
          <w:rFonts w:cs="David"/>
          <w:sz w:val="24"/>
          <w:szCs w:val="24"/>
          <w:rtl/>
        </w:rPr>
      </w:pPr>
      <w:r w:rsidRPr="00F25744">
        <w:rPr>
          <w:rFonts w:cs="David" w:hint="cs"/>
          <w:sz w:val="24"/>
          <w:szCs w:val="24"/>
          <w:rtl/>
        </w:rPr>
        <w:t xml:space="preserve">כאמור, על מנת לכמת את זמן העבודה השיפוטית, המחקר התבקש להעמיד ארבעה תוצרים: "זמן כתיבת החלטות", "זמן הכנה לקראת דיונים", "זמן שמיעת דיונים באולם" ו"ההסתברות להתרחשות/להישנות כל אחד מן האירועים בחיי התיק". לשם כך, המחקר הקודם עשה שימוש בארבעה כלי מחקר. למען הסדר, אנו נייחד דיון נפרד לכל אחד מכלי המחקר, על יתרונותיו ומגבלותיו. </w:t>
      </w:r>
    </w:p>
    <w:p w14:paraId="71E64777" w14:textId="77777777" w:rsidR="004777F5" w:rsidRPr="00F25744" w:rsidRDefault="004777F5" w:rsidP="00BD23BB">
      <w:pPr>
        <w:spacing w:after="0" w:line="240" w:lineRule="auto"/>
        <w:jc w:val="both"/>
        <w:rPr>
          <w:rFonts w:cs="David"/>
          <w:sz w:val="24"/>
          <w:szCs w:val="24"/>
          <w:rtl/>
        </w:rPr>
      </w:pPr>
    </w:p>
    <w:p w14:paraId="2A50938C" w14:textId="77777777" w:rsidR="00594534" w:rsidRPr="00F25744" w:rsidRDefault="00E25AE7" w:rsidP="00A54D82">
      <w:pPr>
        <w:pStyle w:val="3"/>
        <w:ind w:left="852"/>
        <w:rPr>
          <w:rtl/>
        </w:rPr>
      </w:pPr>
      <w:bookmarkStart w:id="68" w:name="_Toc74750947"/>
      <w:r w:rsidRPr="00F25744">
        <w:rPr>
          <w:rFonts w:hint="cs"/>
          <w:rtl/>
        </w:rPr>
        <w:t>שאלוני הערכת זמן עבודה (בשיטת דלפי), ומילוי מקדים של יומן עבודה</w:t>
      </w:r>
      <w:bookmarkEnd w:id="68"/>
    </w:p>
    <w:p w14:paraId="70392A50" w14:textId="77777777" w:rsidR="00594534" w:rsidRPr="00F25744" w:rsidRDefault="00E25AE7" w:rsidP="00BD23BB">
      <w:pPr>
        <w:spacing w:before="120" w:after="0" w:line="360" w:lineRule="auto"/>
        <w:jc w:val="both"/>
        <w:rPr>
          <w:rFonts w:cs="David"/>
          <w:sz w:val="24"/>
          <w:szCs w:val="24"/>
          <w:rtl/>
        </w:rPr>
      </w:pPr>
      <w:r w:rsidRPr="00F25744">
        <w:rPr>
          <w:rFonts w:cs="David" w:hint="cs"/>
          <w:sz w:val="24"/>
          <w:szCs w:val="24"/>
          <w:rtl/>
        </w:rPr>
        <w:t>כלי המחקר שעל פיו בלבד נקבעו זמני כתיבת ההחלטות וההכנה לקראת דיונים של כלל שופטי המערכת, היה שאלוני הערכה אישיים אשר מולאו על ידי 51 שופטים. אותם שופטים היוו כ</w:t>
      </w:r>
      <w:r w:rsidR="00CB78EF" w:rsidRPr="00F25744">
        <w:rPr>
          <w:rFonts w:cs="David" w:hint="cs"/>
          <w:sz w:val="24"/>
          <w:szCs w:val="24"/>
          <w:rtl/>
        </w:rPr>
        <w:t>-</w:t>
      </w:r>
      <w:r w:rsidRPr="00F25744">
        <w:rPr>
          <w:rFonts w:cs="David" w:hint="cs"/>
          <w:sz w:val="24"/>
          <w:szCs w:val="24"/>
          <w:rtl/>
        </w:rPr>
        <w:t xml:space="preserve">8% מכלל שופטי המערכת באותה עת, ונחלקו בין </w:t>
      </w:r>
      <w:r w:rsidR="00EA1FB9" w:rsidRPr="00F25744">
        <w:rPr>
          <w:rFonts w:cs="David" w:hint="cs"/>
          <w:sz w:val="24"/>
          <w:szCs w:val="24"/>
          <w:rtl/>
        </w:rPr>
        <w:t xml:space="preserve">חמש </w:t>
      </w:r>
      <w:r w:rsidRPr="00F25744">
        <w:rPr>
          <w:rFonts w:cs="David" w:hint="cs"/>
          <w:sz w:val="24"/>
          <w:szCs w:val="24"/>
          <w:rtl/>
        </w:rPr>
        <w:t>קבוצות דלפי (קבוצות מומחים) בנות</w:t>
      </w:r>
      <w:r w:rsidR="00EA1FB9" w:rsidRPr="00F25744">
        <w:rPr>
          <w:rFonts w:cs="David" w:hint="cs"/>
          <w:sz w:val="24"/>
          <w:szCs w:val="24"/>
          <w:rtl/>
        </w:rPr>
        <w:t xml:space="preserve"> 12-9 </w:t>
      </w:r>
      <w:r w:rsidRPr="00F25744">
        <w:rPr>
          <w:rFonts w:cs="David" w:hint="cs"/>
          <w:sz w:val="24"/>
          <w:szCs w:val="24"/>
          <w:rtl/>
        </w:rPr>
        <w:t xml:space="preserve">משתתפים בכל קבוצה. </w:t>
      </w:r>
    </w:p>
    <w:p w14:paraId="5C1931B4" w14:textId="77777777" w:rsidR="00594534" w:rsidRPr="00F25744" w:rsidRDefault="00E25AE7" w:rsidP="00BD23BB">
      <w:pPr>
        <w:spacing w:before="120" w:after="0" w:line="360" w:lineRule="auto"/>
        <w:jc w:val="both"/>
        <w:rPr>
          <w:rFonts w:cs="David"/>
          <w:sz w:val="24"/>
          <w:szCs w:val="24"/>
          <w:rtl/>
        </w:rPr>
      </w:pPr>
      <w:r w:rsidRPr="00F25744">
        <w:rPr>
          <w:rFonts w:cs="David" w:hint="cs"/>
          <w:sz w:val="24"/>
          <w:szCs w:val="24"/>
          <w:rtl/>
        </w:rPr>
        <w:t>הרכב השופטים שהשתתפו ב</w:t>
      </w:r>
      <w:r w:rsidR="00EA1FB9" w:rsidRPr="00F25744">
        <w:rPr>
          <w:rFonts w:cs="David" w:hint="cs"/>
          <w:sz w:val="24"/>
          <w:szCs w:val="24"/>
          <w:rtl/>
        </w:rPr>
        <w:t xml:space="preserve">חמש </w:t>
      </w:r>
      <w:r w:rsidRPr="00F25744">
        <w:rPr>
          <w:rFonts w:cs="David" w:hint="cs"/>
          <w:sz w:val="24"/>
          <w:szCs w:val="24"/>
          <w:rtl/>
        </w:rPr>
        <w:t xml:space="preserve">קבוצות המומחים נקבע באופן הבא: שליש מן השופטים נבחרו על ידי נשיאי בתי המשפט, אשר התבקשו לבחור שופטים רב תחומיים או כאלה שכיהנו בערכאות שונות. שליש שני נבחר על ידי מחלקת המחקר באופן אקראי מקרב שופטים בעלי ותק שפיטה העולה על </w:t>
      </w:r>
      <w:r w:rsidR="00EA1FB9" w:rsidRPr="00F25744">
        <w:rPr>
          <w:rFonts w:cs="David" w:hint="cs"/>
          <w:sz w:val="24"/>
          <w:szCs w:val="24"/>
          <w:rtl/>
        </w:rPr>
        <w:t xml:space="preserve">חמש </w:t>
      </w:r>
      <w:r w:rsidRPr="00F25744">
        <w:rPr>
          <w:rFonts w:cs="David" w:hint="cs"/>
          <w:sz w:val="24"/>
          <w:szCs w:val="24"/>
          <w:rtl/>
        </w:rPr>
        <w:t xml:space="preserve">שנים, ושליש אחרון הורכב משופטים שהתנדבו להשתתף במחקר. </w:t>
      </w:r>
    </w:p>
    <w:p w14:paraId="4D949CEF" w14:textId="77777777" w:rsidR="00594534" w:rsidRPr="00F25744" w:rsidRDefault="00E25AE7" w:rsidP="00BD23BB">
      <w:pPr>
        <w:spacing w:before="120" w:after="0" w:line="360" w:lineRule="auto"/>
        <w:jc w:val="both"/>
        <w:rPr>
          <w:rFonts w:cs="David"/>
          <w:sz w:val="24"/>
          <w:szCs w:val="24"/>
          <w:rtl/>
        </w:rPr>
      </w:pPr>
      <w:r w:rsidRPr="00F25744">
        <w:rPr>
          <w:rFonts w:cs="David" w:hint="cs"/>
          <w:sz w:val="24"/>
          <w:szCs w:val="24"/>
          <w:rtl/>
        </w:rPr>
        <w:t>כל קבוצת מומחים התכנסה פעם אחת בלבד, ועיקר הזמן בכינוס החד</w:t>
      </w:r>
      <w:r w:rsidR="00EA1FB9" w:rsidRPr="00F25744">
        <w:rPr>
          <w:rFonts w:cs="David" w:hint="cs"/>
          <w:sz w:val="24"/>
          <w:szCs w:val="24"/>
          <w:rtl/>
        </w:rPr>
        <w:t>-</w:t>
      </w:r>
      <w:r w:rsidRPr="00F25744">
        <w:rPr>
          <w:rFonts w:cs="David" w:hint="cs"/>
          <w:sz w:val="24"/>
          <w:szCs w:val="24"/>
          <w:rtl/>
        </w:rPr>
        <w:t xml:space="preserve">יומי של כל קבוצה הוקדש למילוי שאלוני הערכה בשני סבבים. באותם שאלונים התבקשו השופטים להעריך על פי תחושתם את הזמן הממוצע שהם מקדישים לעבודה על אירועי כתיבה והכנה בסוגי התיקים השונים. בין סבב השאלונים הראשון שמילאו השופטים ובין הסבב השני התנהל דיון קבוצתי שנסב בין היתר על ערכי קיצון וסטיות תקן שאובחנו בחיוויים שנמסרו מפי השופטים. </w:t>
      </w:r>
    </w:p>
    <w:p w14:paraId="59554ECB" w14:textId="77777777" w:rsidR="00594534" w:rsidRPr="00F25744" w:rsidRDefault="00E25AE7" w:rsidP="00BD23BB">
      <w:pPr>
        <w:spacing w:before="120" w:after="0" w:line="360" w:lineRule="auto"/>
        <w:jc w:val="both"/>
        <w:rPr>
          <w:rFonts w:cs="David"/>
          <w:sz w:val="24"/>
          <w:szCs w:val="24"/>
          <w:rtl/>
        </w:rPr>
      </w:pPr>
      <w:r w:rsidRPr="00F25744">
        <w:rPr>
          <w:rFonts w:cs="David" w:hint="cs"/>
          <w:sz w:val="24"/>
          <w:szCs w:val="24"/>
          <w:rtl/>
        </w:rPr>
        <w:t>על רקע הדברים האמורים המחקר הקודם התייחס לקושי להעריך מספרית את טווח הטעות בהערכות הזמנים שנמסרו על ידי המשתתפים בו.</w:t>
      </w:r>
      <w:r w:rsidRPr="00F25744">
        <w:rPr>
          <w:rStyle w:val="a6"/>
          <w:rFonts w:cs="David"/>
          <w:sz w:val="24"/>
          <w:szCs w:val="24"/>
          <w:rtl/>
        </w:rPr>
        <w:footnoteReference w:id="14"/>
      </w:r>
      <w:r w:rsidRPr="00F25744">
        <w:rPr>
          <w:rFonts w:cs="David" w:hint="cs"/>
          <w:sz w:val="24"/>
          <w:szCs w:val="24"/>
          <w:rtl/>
        </w:rPr>
        <w:t xml:space="preserve"> קושי זה נבע בין היתר ממספר השופטים המשתתפים שהיווה, כאמור, 8% בלבד מכלל שופטי המערכת; כך צוין גם כי קבוצות השופטים המומחים לא ייצגו בהכרח </w:t>
      </w:r>
      <w:r w:rsidRPr="00F25744">
        <w:rPr>
          <w:rFonts w:cs="David" w:hint="cs"/>
          <w:sz w:val="24"/>
          <w:szCs w:val="24"/>
          <w:rtl/>
        </w:rPr>
        <w:lastRenderedPageBreak/>
        <w:t xml:space="preserve">את דפוסי העבודה של כלל שופטי המערכת, לרבות ובפרט לגבי שופטים שטרם צברו </w:t>
      </w:r>
      <w:r w:rsidR="00EA1FB9" w:rsidRPr="00F25744">
        <w:rPr>
          <w:rFonts w:cs="David" w:hint="cs"/>
          <w:sz w:val="24"/>
          <w:szCs w:val="24"/>
          <w:rtl/>
        </w:rPr>
        <w:t xml:space="preserve">חמש </w:t>
      </w:r>
      <w:r w:rsidRPr="00F25744">
        <w:rPr>
          <w:rFonts w:cs="David" w:hint="cs"/>
          <w:sz w:val="24"/>
          <w:szCs w:val="24"/>
          <w:rtl/>
        </w:rPr>
        <w:t xml:space="preserve">שנות ותק, או לגבי רשמים </w:t>
      </w:r>
      <w:r w:rsidR="00EA1FB9" w:rsidRPr="00F25744">
        <w:rPr>
          <w:rFonts w:cs="David"/>
          <w:sz w:val="24"/>
          <w:szCs w:val="24"/>
          <w:rtl/>
        </w:rPr>
        <w:t>–</w:t>
      </w:r>
      <w:r w:rsidRPr="00F25744">
        <w:rPr>
          <w:rFonts w:cs="David" w:hint="cs"/>
          <w:sz w:val="24"/>
          <w:szCs w:val="24"/>
          <w:rtl/>
        </w:rPr>
        <w:t xml:space="preserve"> </w:t>
      </w:r>
      <w:r w:rsidR="00EA1FB9" w:rsidRPr="00F25744">
        <w:rPr>
          <w:rFonts w:cs="David" w:hint="cs"/>
          <w:sz w:val="24"/>
          <w:szCs w:val="24"/>
          <w:rtl/>
        </w:rPr>
        <w:t xml:space="preserve">שתי </w:t>
      </w:r>
      <w:r w:rsidRPr="00F25744">
        <w:rPr>
          <w:rFonts w:cs="David" w:hint="cs"/>
          <w:sz w:val="24"/>
          <w:szCs w:val="24"/>
          <w:rtl/>
        </w:rPr>
        <w:t>קבוצות אשר לא נכללו בקבוצות המומחים</w:t>
      </w:r>
      <w:r w:rsidR="00EA1FB9" w:rsidRPr="00F25744">
        <w:rPr>
          <w:rFonts w:cs="David" w:hint="cs"/>
          <w:sz w:val="24"/>
          <w:szCs w:val="24"/>
          <w:rtl/>
        </w:rPr>
        <w:t>.</w:t>
      </w:r>
      <w:r w:rsidRPr="00F25744">
        <w:rPr>
          <w:rFonts w:cs="David" w:hint="cs"/>
          <w:sz w:val="24"/>
          <w:szCs w:val="24"/>
          <w:rtl/>
        </w:rPr>
        <w:t xml:space="preserve"> בנוסף, בשל אילוצי יומן שונים, לא התאפשרה יחסיות מלאה בייצוג של ששת מחוזות השיפוט בכל קבוצת מומחים בהתאם לגודלם של המחוזות. כך, אותם אילוצי יומן גם הקשו על פיזורם המיטבי של השופטים בין חמש קבוצות המומחים בהתחשב בתחום עיסוקם (משפחה/ נוער/ עבודה/ מנהלי/ תעבורה/ אזרחי/ פלילי/ מעצרים ועוד). כמו כן צוין כי ככל שסוג תיק מסוים מאופיין בשונות רבה בין השופטים השונים שהעריכו אותו, או שתדירותו של התיק במערכת נדירה יותר, אזי טווח הטעות בהערכת הזמנים לגביו צפוי להיות גבוה אף יותר.</w:t>
      </w:r>
      <w:r w:rsidRPr="00F25744">
        <w:rPr>
          <w:rStyle w:val="a6"/>
          <w:rFonts w:cs="David"/>
          <w:sz w:val="24"/>
          <w:szCs w:val="24"/>
          <w:rtl/>
        </w:rPr>
        <w:footnoteReference w:id="15"/>
      </w:r>
      <w:r w:rsidRPr="00F25744">
        <w:rPr>
          <w:rFonts w:cs="David" w:hint="cs"/>
          <w:sz w:val="24"/>
          <w:szCs w:val="24"/>
          <w:rtl/>
        </w:rPr>
        <w:t xml:space="preserve"> מכאן שהניסיון הרציני של המחקר הקודם להתמקד בהפקה </w:t>
      </w:r>
      <w:r w:rsidR="007B1613" w:rsidRPr="00F25744">
        <w:rPr>
          <w:rFonts w:cs="David" w:hint="cs"/>
          <w:sz w:val="24"/>
          <w:szCs w:val="24"/>
          <w:rtl/>
        </w:rPr>
        <w:t xml:space="preserve">מיטבית </w:t>
      </w:r>
      <w:r w:rsidRPr="00F25744">
        <w:rPr>
          <w:rFonts w:cs="David" w:hint="cs"/>
          <w:sz w:val="24"/>
          <w:szCs w:val="24"/>
          <w:rtl/>
        </w:rPr>
        <w:t xml:space="preserve">של תוצאות זמן העבודה המצוי של כלל שופטי המערכת נעשה מתוך מודעות למגבלות כלי המחקר במתכונתם דאז. </w:t>
      </w:r>
    </w:p>
    <w:p w14:paraId="38BCB702" w14:textId="77777777" w:rsidR="00594534" w:rsidRPr="00F25744" w:rsidRDefault="00E25AE7" w:rsidP="00BD23BB">
      <w:pPr>
        <w:spacing w:before="120" w:after="0" w:line="360" w:lineRule="auto"/>
        <w:jc w:val="both"/>
        <w:rPr>
          <w:rFonts w:cs="David"/>
          <w:sz w:val="24"/>
          <w:szCs w:val="24"/>
          <w:rtl/>
        </w:rPr>
      </w:pPr>
      <w:r w:rsidRPr="00F25744">
        <w:rPr>
          <w:rFonts w:cs="David" w:hint="cs"/>
          <w:sz w:val="24"/>
          <w:szCs w:val="24"/>
          <w:rtl/>
        </w:rPr>
        <w:t xml:space="preserve">בסיכומו של דבר תוצאת המחקר הקודם הייתה שהערכת זמני הכתיבה וההכנה של </w:t>
      </w:r>
      <w:r w:rsidR="00EA1FB9" w:rsidRPr="00F25744">
        <w:rPr>
          <w:rFonts w:cs="David" w:hint="cs"/>
          <w:sz w:val="24"/>
          <w:szCs w:val="24"/>
          <w:rtl/>
        </w:rPr>
        <w:t xml:space="preserve">חמישה </w:t>
      </w:r>
      <w:r w:rsidRPr="00F25744">
        <w:rPr>
          <w:rFonts w:cs="David" w:hint="cs"/>
          <w:sz w:val="24"/>
          <w:szCs w:val="24"/>
          <w:rtl/>
        </w:rPr>
        <w:t xml:space="preserve">שופטי משפחה נקבעה כהערכה המייצגת את זמני העבודה של כלל שופטי המשפחה במערכת. וכך הם הדברים גם לגבי הערכת </w:t>
      </w:r>
      <w:r w:rsidR="00EA1FB9" w:rsidRPr="00F25744">
        <w:rPr>
          <w:rFonts w:cs="David" w:hint="cs"/>
          <w:sz w:val="24"/>
          <w:szCs w:val="24"/>
          <w:rtl/>
        </w:rPr>
        <w:t xml:space="preserve">הזמנים </w:t>
      </w:r>
      <w:r w:rsidRPr="00F25744">
        <w:rPr>
          <w:rFonts w:cs="David" w:hint="cs"/>
          <w:sz w:val="24"/>
          <w:szCs w:val="24"/>
          <w:rtl/>
        </w:rPr>
        <w:t xml:space="preserve">שנמסרה מפיהם של </w:t>
      </w:r>
      <w:r w:rsidR="00EA1FB9" w:rsidRPr="00F25744">
        <w:rPr>
          <w:rFonts w:cs="David" w:hint="cs"/>
          <w:sz w:val="24"/>
          <w:szCs w:val="24"/>
          <w:rtl/>
        </w:rPr>
        <w:t xml:space="preserve">שישה </w:t>
      </w:r>
      <w:r w:rsidRPr="00F25744">
        <w:rPr>
          <w:rFonts w:cs="David" w:hint="cs"/>
          <w:sz w:val="24"/>
          <w:szCs w:val="24"/>
          <w:rtl/>
        </w:rPr>
        <w:t xml:space="preserve">שופטי עבודה, </w:t>
      </w:r>
      <w:r w:rsidR="00EA1FB9" w:rsidRPr="00F25744">
        <w:rPr>
          <w:rFonts w:cs="David" w:hint="cs"/>
          <w:sz w:val="24"/>
          <w:szCs w:val="24"/>
          <w:rtl/>
        </w:rPr>
        <w:t xml:space="preserve">ארבעה </w:t>
      </w:r>
      <w:r w:rsidRPr="00F25744">
        <w:rPr>
          <w:rFonts w:cs="David" w:hint="cs"/>
          <w:sz w:val="24"/>
          <w:szCs w:val="24"/>
          <w:rtl/>
        </w:rPr>
        <w:t xml:space="preserve">שופטי תעבורה, 11 שופטי מחוזי ו- 25 שופטי שלום שהשתתפו במחקר. </w:t>
      </w:r>
    </w:p>
    <w:p w14:paraId="3AC5ABD5" w14:textId="77777777" w:rsidR="00594534" w:rsidRPr="00F25744" w:rsidRDefault="00E25AE7" w:rsidP="00BD23BB">
      <w:pPr>
        <w:spacing w:before="120" w:after="0" w:line="360" w:lineRule="auto"/>
        <w:jc w:val="both"/>
        <w:rPr>
          <w:rFonts w:cs="David"/>
          <w:sz w:val="24"/>
          <w:szCs w:val="24"/>
          <w:rtl/>
        </w:rPr>
      </w:pPr>
      <w:r w:rsidRPr="00F25744">
        <w:rPr>
          <w:rFonts w:cs="David" w:hint="cs"/>
          <w:sz w:val="24"/>
          <w:szCs w:val="24"/>
          <w:rtl/>
        </w:rPr>
        <w:t>הכלי המחקרי השני שבו נעשה שימוש במחקר הקודם היה "יומן עבודה לשופט" (</w:t>
      </w:r>
      <w:r w:rsidRPr="00F25744">
        <w:rPr>
          <w:rFonts w:ascii="Times New Roman" w:hAnsi="Times New Roman" w:cs="Times New Roman"/>
          <w:sz w:val="24"/>
          <w:szCs w:val="24"/>
        </w:rPr>
        <w:t>Log</w:t>
      </w:r>
      <w:r w:rsidRPr="00F25744">
        <w:rPr>
          <w:rFonts w:cs="David" w:hint="cs"/>
          <w:sz w:val="24"/>
          <w:szCs w:val="24"/>
          <w:rtl/>
        </w:rPr>
        <w:t>). הנחת העבודה ששימשה במחקר הקודם הגדירה את יומן העבודה ככלי עזר בלבד, שתכליתו לפתח מודעות בקרב השופטים המשתתפים במחקר לקראת המפגש בקבוצות המומחים. מכאן שהמחקר הקודם לא השתמש ביומן העבודה ככלי מחקרי עצמאי שיכול להוות ראיה מהימנה ומדויקת, בפני עצמה, למדידה של זמני העבודה בפועל.</w:t>
      </w:r>
      <w:r w:rsidR="00215EC2" w:rsidRPr="00F25744">
        <w:rPr>
          <w:rFonts w:cs="David" w:hint="cs"/>
          <w:sz w:val="24"/>
          <w:szCs w:val="24"/>
          <w:rtl/>
        </w:rPr>
        <w:t xml:space="preserve"> </w:t>
      </w:r>
      <w:r w:rsidRPr="00F25744">
        <w:rPr>
          <w:rFonts w:cs="David" w:hint="cs"/>
          <w:sz w:val="24"/>
          <w:szCs w:val="24"/>
          <w:rtl/>
        </w:rPr>
        <w:t>יומן העבודה לשופט הוא למעשה שאלון דיווח עצמי אשר בו התבקשו השופטים למדוד ולתעד את משך זמן העבודה המוקדש ל</w:t>
      </w:r>
      <w:r w:rsidR="00215EC2" w:rsidRPr="00F25744">
        <w:rPr>
          <w:rFonts w:cs="David" w:hint="cs"/>
          <w:sz w:val="24"/>
          <w:szCs w:val="24"/>
          <w:rtl/>
        </w:rPr>
        <w:t xml:space="preserve">פעילויות השיפוטיות השונות (לרבות </w:t>
      </w:r>
      <w:r w:rsidRPr="00F25744">
        <w:rPr>
          <w:rFonts w:cs="David" w:hint="cs"/>
          <w:sz w:val="24"/>
          <w:szCs w:val="24"/>
          <w:rtl/>
        </w:rPr>
        <w:t>כתיבה</w:t>
      </w:r>
      <w:r w:rsidR="00215EC2" w:rsidRPr="00F25744">
        <w:rPr>
          <w:rFonts w:cs="David" w:hint="cs"/>
          <w:sz w:val="24"/>
          <w:szCs w:val="24"/>
          <w:rtl/>
        </w:rPr>
        <w:t xml:space="preserve">, </w:t>
      </w:r>
      <w:r w:rsidRPr="00F25744">
        <w:rPr>
          <w:rFonts w:cs="David" w:hint="cs"/>
          <w:sz w:val="24"/>
          <w:szCs w:val="24"/>
          <w:rtl/>
        </w:rPr>
        <w:t>הכנה לדיונים</w:t>
      </w:r>
      <w:r w:rsidR="00215EC2" w:rsidRPr="00F25744">
        <w:rPr>
          <w:rFonts w:cs="David" w:hint="cs"/>
          <w:sz w:val="24"/>
          <w:szCs w:val="24"/>
          <w:rtl/>
        </w:rPr>
        <w:t>,</w:t>
      </w:r>
      <w:r w:rsidRPr="00F25744">
        <w:rPr>
          <w:rFonts w:cs="David" w:hint="cs"/>
          <w:sz w:val="24"/>
          <w:szCs w:val="24"/>
          <w:rtl/>
        </w:rPr>
        <w:t xml:space="preserve"> שמיעת דיונים</w:t>
      </w:r>
      <w:r w:rsidR="00215EC2" w:rsidRPr="00F25744">
        <w:rPr>
          <w:rFonts w:cs="David" w:hint="cs"/>
          <w:sz w:val="24"/>
          <w:szCs w:val="24"/>
          <w:rtl/>
        </w:rPr>
        <w:t xml:space="preserve">, </w:t>
      </w:r>
      <w:r w:rsidRPr="00F25744">
        <w:rPr>
          <w:rFonts w:cs="David" w:hint="cs"/>
          <w:sz w:val="24"/>
          <w:szCs w:val="24"/>
          <w:rtl/>
        </w:rPr>
        <w:t>פגישות</w:t>
      </w:r>
      <w:r w:rsidRPr="00F25744">
        <w:rPr>
          <w:rFonts w:cs="David"/>
          <w:sz w:val="24"/>
          <w:szCs w:val="24"/>
          <w:rtl/>
        </w:rPr>
        <w:t xml:space="preserve"> </w:t>
      </w:r>
      <w:r w:rsidRPr="00F25744">
        <w:rPr>
          <w:rFonts w:cs="David" w:hint="cs"/>
          <w:sz w:val="24"/>
          <w:szCs w:val="24"/>
          <w:rtl/>
        </w:rPr>
        <w:t>עבודה</w:t>
      </w:r>
      <w:r w:rsidR="00215EC2" w:rsidRPr="00F25744">
        <w:rPr>
          <w:rFonts w:cs="David" w:hint="cs"/>
          <w:sz w:val="24"/>
          <w:szCs w:val="24"/>
          <w:rtl/>
        </w:rPr>
        <w:t xml:space="preserve">, </w:t>
      </w:r>
      <w:r w:rsidRPr="00F25744">
        <w:rPr>
          <w:rFonts w:cs="David" w:hint="cs"/>
          <w:sz w:val="24"/>
          <w:szCs w:val="24"/>
          <w:rtl/>
        </w:rPr>
        <w:t>ישיבות</w:t>
      </w:r>
      <w:r w:rsidRPr="00F25744">
        <w:rPr>
          <w:rFonts w:cs="David"/>
          <w:sz w:val="24"/>
          <w:szCs w:val="24"/>
          <w:rtl/>
        </w:rPr>
        <w:t xml:space="preserve"> </w:t>
      </w:r>
      <w:r w:rsidRPr="00F25744">
        <w:rPr>
          <w:rFonts w:cs="David" w:hint="cs"/>
          <w:sz w:val="24"/>
          <w:szCs w:val="24"/>
          <w:rtl/>
        </w:rPr>
        <w:t>שופטים</w:t>
      </w:r>
      <w:r w:rsidR="00215EC2" w:rsidRPr="00F25744">
        <w:rPr>
          <w:rFonts w:cs="David" w:hint="cs"/>
          <w:sz w:val="24"/>
          <w:szCs w:val="24"/>
          <w:rtl/>
        </w:rPr>
        <w:t xml:space="preserve">, </w:t>
      </w:r>
      <w:r w:rsidRPr="00F25744">
        <w:rPr>
          <w:rFonts w:cs="David" w:hint="cs"/>
          <w:sz w:val="24"/>
          <w:szCs w:val="24"/>
          <w:rtl/>
        </w:rPr>
        <w:t>השתתפות</w:t>
      </w:r>
      <w:r w:rsidRPr="00F25744">
        <w:rPr>
          <w:rFonts w:cs="David"/>
          <w:sz w:val="24"/>
          <w:szCs w:val="24"/>
          <w:rtl/>
        </w:rPr>
        <w:t xml:space="preserve"> </w:t>
      </w:r>
      <w:r w:rsidRPr="00F25744">
        <w:rPr>
          <w:rFonts w:cs="David" w:hint="cs"/>
          <w:sz w:val="24"/>
          <w:szCs w:val="24"/>
          <w:rtl/>
        </w:rPr>
        <w:t>בהשתלמויות</w:t>
      </w:r>
      <w:r w:rsidRPr="00F25744">
        <w:rPr>
          <w:rFonts w:cs="David"/>
          <w:sz w:val="24"/>
          <w:szCs w:val="24"/>
          <w:rtl/>
        </w:rPr>
        <w:t xml:space="preserve"> </w:t>
      </w:r>
      <w:r w:rsidRPr="00F25744">
        <w:rPr>
          <w:rFonts w:cs="David" w:hint="cs"/>
          <w:sz w:val="24"/>
          <w:szCs w:val="24"/>
          <w:rtl/>
        </w:rPr>
        <w:t>וימי</w:t>
      </w:r>
      <w:r w:rsidRPr="00F25744">
        <w:rPr>
          <w:rFonts w:cs="David"/>
          <w:sz w:val="24"/>
          <w:szCs w:val="24"/>
          <w:rtl/>
        </w:rPr>
        <w:t xml:space="preserve"> </w:t>
      </w:r>
      <w:r w:rsidRPr="00F25744">
        <w:rPr>
          <w:rFonts w:cs="David" w:hint="cs"/>
          <w:sz w:val="24"/>
          <w:szCs w:val="24"/>
          <w:rtl/>
        </w:rPr>
        <w:t>עיון</w:t>
      </w:r>
      <w:r w:rsidRPr="00F25744">
        <w:rPr>
          <w:rFonts w:cs="David"/>
          <w:sz w:val="24"/>
          <w:szCs w:val="24"/>
          <w:rtl/>
        </w:rPr>
        <w:t xml:space="preserve"> </w:t>
      </w:r>
      <w:r w:rsidRPr="00F25744">
        <w:rPr>
          <w:rFonts w:cs="David" w:hint="cs"/>
          <w:sz w:val="24"/>
          <w:szCs w:val="24"/>
          <w:rtl/>
        </w:rPr>
        <w:t>מקצועיים</w:t>
      </w:r>
      <w:r w:rsidR="00215EC2" w:rsidRPr="00F25744">
        <w:rPr>
          <w:rFonts w:cs="David" w:hint="cs"/>
          <w:sz w:val="24"/>
          <w:szCs w:val="24"/>
          <w:rtl/>
        </w:rPr>
        <w:t xml:space="preserve">, </w:t>
      </w:r>
      <w:r w:rsidRPr="00F25744">
        <w:rPr>
          <w:rFonts w:cs="David" w:hint="cs"/>
          <w:sz w:val="24"/>
          <w:szCs w:val="24"/>
          <w:rtl/>
        </w:rPr>
        <w:t xml:space="preserve">הרצאות וכיו"ב). </w:t>
      </w:r>
    </w:p>
    <w:p w14:paraId="4C5DD7A1" w14:textId="7DCFDA4C" w:rsidR="00AD414D" w:rsidRPr="00F25744" w:rsidRDefault="00E25AE7" w:rsidP="000323BE">
      <w:pPr>
        <w:spacing w:after="0" w:line="360" w:lineRule="auto"/>
        <w:jc w:val="both"/>
        <w:rPr>
          <w:rFonts w:cs="David"/>
          <w:sz w:val="24"/>
          <w:szCs w:val="24"/>
          <w:rtl/>
        </w:rPr>
      </w:pPr>
      <w:r w:rsidRPr="00F25744">
        <w:rPr>
          <w:rFonts w:cs="David" w:hint="cs"/>
          <w:sz w:val="24"/>
          <w:szCs w:val="24"/>
          <w:rtl/>
        </w:rPr>
        <w:t>במחקר הקודם ניתנה לשופטים המשתתפים הבחירה אם למלא את היומן או לא, במשך שבוע עד שבועיים שקדמו להתכנסות החד</w:t>
      </w:r>
      <w:r w:rsidR="00EA1FB9" w:rsidRPr="00F25744">
        <w:rPr>
          <w:rFonts w:cs="David" w:hint="cs"/>
          <w:sz w:val="24"/>
          <w:szCs w:val="24"/>
          <w:rtl/>
        </w:rPr>
        <w:t>-</w:t>
      </w:r>
      <w:r w:rsidRPr="00F25744">
        <w:rPr>
          <w:rFonts w:cs="David" w:hint="cs"/>
          <w:sz w:val="24"/>
          <w:szCs w:val="24"/>
          <w:rtl/>
        </w:rPr>
        <w:t xml:space="preserve">יומית של כל קבוצה. בסופו של יום רק שליש מן השופטים בחרו להעביר את יומני </w:t>
      </w:r>
      <w:r w:rsidR="000323BE">
        <w:rPr>
          <w:rFonts w:cs="David" w:hint="cs"/>
          <w:sz w:val="24"/>
          <w:szCs w:val="24"/>
          <w:rtl/>
        </w:rPr>
        <w:t>העבודה שמילאו לעיון מחלקת המחקר</w:t>
      </w:r>
      <w:r w:rsidRPr="00F25744">
        <w:rPr>
          <w:rFonts w:cs="David" w:hint="cs"/>
          <w:sz w:val="24"/>
          <w:szCs w:val="24"/>
          <w:rtl/>
        </w:rPr>
        <w:t>.</w:t>
      </w:r>
    </w:p>
    <w:p w14:paraId="47261FBE" w14:textId="77777777" w:rsidR="001F1A0E" w:rsidRPr="00F25744" w:rsidRDefault="001F1A0E" w:rsidP="00936067">
      <w:pPr>
        <w:spacing w:after="0" w:line="240" w:lineRule="auto"/>
        <w:jc w:val="both"/>
        <w:rPr>
          <w:rFonts w:cs="David"/>
          <w:sz w:val="24"/>
          <w:szCs w:val="24"/>
          <w:rtl/>
        </w:rPr>
      </w:pPr>
    </w:p>
    <w:p w14:paraId="1C9C9737" w14:textId="77777777" w:rsidR="00594534" w:rsidRPr="00F25744" w:rsidRDefault="00E25AE7" w:rsidP="00A54D82">
      <w:pPr>
        <w:pStyle w:val="3"/>
        <w:ind w:left="852"/>
        <w:rPr>
          <w:rtl/>
        </w:rPr>
      </w:pPr>
      <w:bookmarkStart w:id="69" w:name="_Toc74750948"/>
      <w:r w:rsidRPr="00F25744">
        <w:rPr>
          <w:rFonts w:hint="cs"/>
          <w:rtl/>
        </w:rPr>
        <w:t>נתוני מחשב ממערכת ניהול התיקים "נט המשפט"</w:t>
      </w:r>
      <w:bookmarkEnd w:id="69"/>
      <w:r w:rsidRPr="00F25744">
        <w:rPr>
          <w:rFonts w:hint="cs"/>
          <w:rtl/>
        </w:rPr>
        <w:t xml:space="preserve"> </w:t>
      </w:r>
    </w:p>
    <w:p w14:paraId="3E61CEA1" w14:textId="77777777" w:rsidR="00594534" w:rsidRPr="00F25744" w:rsidRDefault="00E25AE7" w:rsidP="00594534">
      <w:pPr>
        <w:spacing w:after="0" w:line="360" w:lineRule="auto"/>
        <w:ind w:left="84"/>
        <w:jc w:val="both"/>
        <w:rPr>
          <w:rFonts w:cs="David"/>
          <w:sz w:val="24"/>
          <w:szCs w:val="24"/>
          <w:rtl/>
        </w:rPr>
      </w:pPr>
      <w:r w:rsidRPr="00F25744">
        <w:rPr>
          <w:rFonts w:cs="David" w:hint="cs"/>
          <w:sz w:val="24"/>
          <w:szCs w:val="24"/>
          <w:rtl/>
        </w:rPr>
        <w:t>כלי המחקר השני ששימש את המחקר הקודם היה נתונים שנשלפו ממערכת נט המשפט על אודות שלושה רכיבים:</w:t>
      </w:r>
    </w:p>
    <w:p w14:paraId="4940D26D" w14:textId="77777777" w:rsidR="00594534" w:rsidRPr="00F25744" w:rsidRDefault="00E25AE7" w:rsidP="004271F8">
      <w:pPr>
        <w:numPr>
          <w:ilvl w:val="0"/>
          <w:numId w:val="9"/>
        </w:numPr>
        <w:spacing w:after="0" w:line="360" w:lineRule="auto"/>
        <w:ind w:left="509" w:hanging="283"/>
        <w:jc w:val="both"/>
        <w:rPr>
          <w:rFonts w:cs="David"/>
          <w:sz w:val="24"/>
          <w:szCs w:val="24"/>
          <w:rtl/>
        </w:rPr>
      </w:pPr>
      <w:r w:rsidRPr="00F25744">
        <w:rPr>
          <w:rFonts w:cs="David" w:hint="cs"/>
          <w:sz w:val="24"/>
          <w:szCs w:val="24"/>
          <w:rtl/>
        </w:rPr>
        <w:t>מספרן הממוצע של הבקשות המוגשות בכתב בכל סוג תיק</w:t>
      </w:r>
      <w:r w:rsidR="001F1A0E" w:rsidRPr="00F25744">
        <w:rPr>
          <w:rFonts w:cs="David" w:hint="cs"/>
          <w:sz w:val="24"/>
          <w:szCs w:val="24"/>
          <w:rtl/>
        </w:rPr>
        <w:t xml:space="preserve"> </w:t>
      </w:r>
      <w:r w:rsidRPr="00F25744">
        <w:rPr>
          <w:rFonts w:cs="David" w:hint="cs"/>
          <w:sz w:val="24"/>
          <w:szCs w:val="24"/>
          <w:rtl/>
        </w:rPr>
        <w:t xml:space="preserve">- כאינדיקציה למספר הפעמים שבהן שופט נדרש לתת החלטות בתיק. </w:t>
      </w:r>
    </w:p>
    <w:p w14:paraId="56D57491" w14:textId="77777777" w:rsidR="00594534" w:rsidRPr="00F25744" w:rsidRDefault="00E25AE7" w:rsidP="004271F8">
      <w:pPr>
        <w:numPr>
          <w:ilvl w:val="0"/>
          <w:numId w:val="9"/>
        </w:numPr>
        <w:spacing w:after="0" w:line="360" w:lineRule="auto"/>
        <w:ind w:left="509" w:hanging="283"/>
        <w:jc w:val="both"/>
        <w:rPr>
          <w:rFonts w:cs="David"/>
          <w:sz w:val="24"/>
          <w:szCs w:val="24"/>
          <w:rtl/>
        </w:rPr>
      </w:pPr>
      <w:r w:rsidRPr="00F25744">
        <w:rPr>
          <w:rFonts w:cs="David" w:hint="cs"/>
          <w:sz w:val="24"/>
          <w:szCs w:val="24"/>
          <w:rtl/>
        </w:rPr>
        <w:t xml:space="preserve">מספר הדיונים הממוצע בכל סוג תיק - כאינדיקציה למספר הפעמים שבהן שופט נדרש להתכונן לדיונים. </w:t>
      </w:r>
    </w:p>
    <w:p w14:paraId="55E5B7C4" w14:textId="77777777" w:rsidR="00594534" w:rsidRPr="00F25744" w:rsidRDefault="00E25AE7" w:rsidP="004271F8">
      <w:pPr>
        <w:numPr>
          <w:ilvl w:val="0"/>
          <w:numId w:val="9"/>
        </w:numPr>
        <w:spacing w:after="0" w:line="360" w:lineRule="auto"/>
        <w:ind w:left="509" w:hanging="283"/>
        <w:jc w:val="both"/>
        <w:rPr>
          <w:rFonts w:cs="David"/>
          <w:sz w:val="24"/>
          <w:szCs w:val="24"/>
          <w:rtl/>
        </w:rPr>
      </w:pPr>
      <w:r w:rsidRPr="00F25744">
        <w:rPr>
          <w:rFonts w:cs="David" w:hint="cs"/>
          <w:sz w:val="24"/>
          <w:szCs w:val="24"/>
          <w:rtl/>
        </w:rPr>
        <w:lastRenderedPageBreak/>
        <w:t xml:space="preserve">חילוץ שעת התחילה והסיום של ימי הדיונים של כלל השופטים במערכת - כאינדיקציה לזמן הדיונים בפועל בסוגי התיקים השונים, בשילוב עם הכלי המחקרי של משוואת רגרסיה (יידון בנפרד). </w:t>
      </w:r>
    </w:p>
    <w:p w14:paraId="68C7B2EB" w14:textId="77777777" w:rsidR="00594534" w:rsidRPr="00F25744" w:rsidRDefault="00E25AE7" w:rsidP="00EA1FB9">
      <w:pPr>
        <w:spacing w:after="0" w:line="360" w:lineRule="auto"/>
        <w:ind w:left="84"/>
        <w:jc w:val="both"/>
        <w:rPr>
          <w:rFonts w:cs="David"/>
          <w:sz w:val="24"/>
          <w:szCs w:val="24"/>
          <w:rtl/>
        </w:rPr>
      </w:pPr>
      <w:r w:rsidRPr="00F25744">
        <w:rPr>
          <w:rFonts w:cs="David" w:hint="cs"/>
          <w:sz w:val="24"/>
          <w:szCs w:val="24"/>
          <w:rtl/>
        </w:rPr>
        <w:t xml:space="preserve">בחינת רכיבים אלו העלתה בעיית מהימנות מובנית בנתונים המוזנים למערכת נט המשפט, על ידי המזכירות או הצדדים עצמם ובאי כוחם. </w:t>
      </w:r>
      <w:r w:rsidR="00EA1FB9" w:rsidRPr="00F25744">
        <w:rPr>
          <w:rFonts w:cs="David" w:hint="cs"/>
          <w:sz w:val="24"/>
          <w:szCs w:val="24"/>
          <w:rtl/>
        </w:rPr>
        <w:t xml:space="preserve">על </w:t>
      </w:r>
      <w:r w:rsidRPr="00F25744">
        <w:rPr>
          <w:rFonts w:cs="David" w:hint="cs"/>
          <w:sz w:val="24"/>
          <w:szCs w:val="24"/>
          <w:rtl/>
        </w:rPr>
        <w:t xml:space="preserve">כן, בעוד ששיטת המחקר הקודם העמידה בסופו של יום תוצר מחקרי, הרי שבעיית מהימנות הנתונים הייתה ונותרה עקב האכילס של כל ניסיון ניהולי או מחקרי להפיק מידע רוחבי כלל מערכתי. </w:t>
      </w:r>
    </w:p>
    <w:p w14:paraId="5027BD9B" w14:textId="77777777" w:rsidR="00594534" w:rsidRPr="00F25744" w:rsidRDefault="00594534" w:rsidP="00594534">
      <w:pPr>
        <w:spacing w:after="0" w:line="360" w:lineRule="auto"/>
        <w:ind w:left="84"/>
        <w:jc w:val="both"/>
        <w:rPr>
          <w:rFonts w:cs="David"/>
          <w:sz w:val="24"/>
          <w:szCs w:val="24"/>
          <w:rtl/>
        </w:rPr>
      </w:pPr>
    </w:p>
    <w:p w14:paraId="1FA1D427" w14:textId="77777777" w:rsidR="00594534" w:rsidRPr="00F25744" w:rsidRDefault="00E25AE7" w:rsidP="00A54D82">
      <w:pPr>
        <w:pStyle w:val="3"/>
        <w:ind w:left="852"/>
      </w:pPr>
      <w:bookmarkStart w:id="70" w:name="_Toc74750949"/>
      <w:r w:rsidRPr="00F25744">
        <w:rPr>
          <w:rFonts w:hint="cs"/>
          <w:rtl/>
        </w:rPr>
        <w:t>מדגמים מייצגים לצורך קביעת ההסתברות לסגירת התיקים בכל אחת מסיבות הסגירה</w:t>
      </w:r>
      <w:bookmarkEnd w:id="70"/>
    </w:p>
    <w:p w14:paraId="1E54A4C7" w14:textId="77777777" w:rsidR="00594534" w:rsidRPr="00F25744" w:rsidRDefault="00E25AE7" w:rsidP="00BD23BB">
      <w:pPr>
        <w:spacing w:before="120" w:after="0" w:line="360" w:lineRule="auto"/>
        <w:ind w:firstLine="6"/>
        <w:jc w:val="both"/>
        <w:rPr>
          <w:rFonts w:cs="David"/>
          <w:sz w:val="24"/>
          <w:szCs w:val="24"/>
          <w:rtl/>
        </w:rPr>
      </w:pPr>
      <w:r w:rsidRPr="00F25744">
        <w:rPr>
          <w:rFonts w:cs="David" w:hint="cs"/>
          <w:sz w:val="24"/>
          <w:szCs w:val="24"/>
          <w:rtl/>
        </w:rPr>
        <w:t>גם כאן, בשל בעיית מהימנות הנתונים, הוחלט במחקר הקודם לבחון את הסתברויות סיבות הסגירה בכל סוג תי</w:t>
      </w:r>
      <w:r w:rsidR="00EA1FB9" w:rsidRPr="00F25744">
        <w:rPr>
          <w:rFonts w:cs="David" w:hint="cs"/>
          <w:sz w:val="24"/>
          <w:szCs w:val="24"/>
          <w:rtl/>
        </w:rPr>
        <w:t>ק</w:t>
      </w:r>
      <w:r w:rsidRPr="00F25744">
        <w:rPr>
          <w:rFonts w:cs="David" w:hint="cs"/>
          <w:sz w:val="24"/>
          <w:szCs w:val="24"/>
          <w:rtl/>
        </w:rPr>
        <w:t xml:space="preserve"> על פי מדגמים נבחרים מתוך אוכלוסיית התיקים הסגורים במערכת. בעניין זה עמדו לרשות צוות המחקר הקודם מדגמי תיקים שקודדו במסגרת מחקרי העבר שבוצעו במחלקה (כדוגמת מחקר "מהימנות נתוני פתיחת וסגירת תיקים מערכת נט המשפט" ומחקר "שיעורי זיכוי והרשעה"), ומהם ניתן היה להיבנות לעניין סיבות הסגירה. כך, הדגימה שנגעה לסוגי תיקים מסוימים בהליכים אזרחיים בערכאת השלום (ת"א פלת"ד, ת"א לא כולל פלת"ד, תא"מ, ת"ק, תא"ק) נלקחה ממדגם של 3,307 תיקים שנסגרו בין אוקטובר 2007 לחודש מאי 2011. בנוסף, הנתונים לעניין ת"פ בערכאת השלום נסמכו על מדגם של 1,417 תיקים, ועל 244 תיקים בבתי המשפט המחוזיים, שנסגרו בין מאי 2010 למאי 2011. כמו כן עולה כי יתר סוגי התיקים נסמכו על מדגמים מאוכלוסיית התיקים שנסגרו מיולי 2011 עד יוני 2012. </w:t>
      </w:r>
    </w:p>
    <w:p w14:paraId="30421A25" w14:textId="77777777" w:rsidR="004D6966" w:rsidRPr="00F25744" w:rsidRDefault="00E25AE7" w:rsidP="00BD23BB">
      <w:pPr>
        <w:spacing w:before="120" w:after="0" w:line="360" w:lineRule="auto"/>
        <w:ind w:firstLine="6"/>
        <w:jc w:val="both"/>
        <w:rPr>
          <w:rFonts w:cs="David"/>
          <w:sz w:val="24"/>
          <w:szCs w:val="24"/>
          <w:rtl/>
        </w:rPr>
      </w:pPr>
      <w:r w:rsidRPr="00F25744">
        <w:rPr>
          <w:rFonts w:cs="David" w:hint="cs"/>
          <w:sz w:val="24"/>
          <w:szCs w:val="24"/>
          <w:rtl/>
        </w:rPr>
        <w:t xml:space="preserve">בנקודה זו יוער, בזהירות הראויה והמתבקשת, שלהחלטה לקבוע את הסתברויות הסגירה, על סמך מדגמי תיקים שנבדקו במקטעי תקופות שונות, במהלך קרוב לחמש שנים (מחודש אוקטובר 2007 ועד לחודש יוני 2012) </w:t>
      </w:r>
      <w:r w:rsidR="00EA1FB9" w:rsidRPr="00F25744">
        <w:rPr>
          <w:rFonts w:cs="David" w:hint="cs"/>
          <w:sz w:val="24"/>
          <w:szCs w:val="24"/>
          <w:rtl/>
        </w:rPr>
        <w:t>י</w:t>
      </w:r>
      <w:r w:rsidRPr="00F25744">
        <w:rPr>
          <w:rFonts w:cs="David" w:hint="cs"/>
          <w:sz w:val="24"/>
          <w:szCs w:val="24"/>
          <w:rtl/>
        </w:rPr>
        <w:t xml:space="preserve">יתכנו השלכות שאולי לא נבחנו עד תום. בכך כוונתנו לעובדה שבין מקטע זמן אחד למשנהו עשויים להתחולל במערכת בתי המשפט שינויים בדפוסי העבודה וניהול התיקים אשר עלולים להשליך על סיבות הסגירה של התיקים. שינוי כזה </w:t>
      </w:r>
      <w:r w:rsidR="005C583D" w:rsidRPr="00F25744">
        <w:rPr>
          <w:rFonts w:cs="David" w:hint="cs"/>
          <w:sz w:val="24"/>
          <w:szCs w:val="24"/>
          <w:rtl/>
        </w:rPr>
        <w:t xml:space="preserve">עשוי להיות, </w:t>
      </w:r>
      <w:r w:rsidRPr="00F25744">
        <w:rPr>
          <w:rFonts w:cs="David" w:hint="cs"/>
          <w:sz w:val="24"/>
          <w:szCs w:val="24"/>
          <w:rtl/>
        </w:rPr>
        <w:t>לדוגמה, שילוב של מנגנוני יישוב סכסוכים אלטרנטיביים במערכת בתי המשפט (הליכי מהו"ת</w:t>
      </w:r>
      <w:r w:rsidR="005C583D" w:rsidRPr="00F25744">
        <w:rPr>
          <w:rFonts w:cs="David" w:hint="cs"/>
          <w:sz w:val="24"/>
          <w:szCs w:val="24"/>
          <w:rtl/>
        </w:rPr>
        <w:t xml:space="preserve"> והליכי </w:t>
      </w:r>
      <w:r w:rsidRPr="00F25744">
        <w:rPr>
          <w:rFonts w:cs="David" w:hint="cs"/>
          <w:sz w:val="24"/>
          <w:szCs w:val="24"/>
          <w:rtl/>
        </w:rPr>
        <w:t>יישוב סכסוכים</w:t>
      </w:r>
      <w:r w:rsidR="005C583D" w:rsidRPr="00F25744">
        <w:rPr>
          <w:rFonts w:cs="David" w:hint="cs"/>
          <w:sz w:val="24"/>
          <w:szCs w:val="24"/>
          <w:rtl/>
        </w:rPr>
        <w:t xml:space="preserve"> אחרים</w:t>
      </w:r>
      <w:r w:rsidRPr="00F25744">
        <w:rPr>
          <w:rFonts w:cs="David" w:hint="cs"/>
          <w:sz w:val="24"/>
          <w:szCs w:val="24"/>
          <w:rtl/>
        </w:rPr>
        <w:t>) החל מנקודת זמן מסוימת. מטבע הדברים, שינוי</w:t>
      </w:r>
      <w:r w:rsidR="005C583D" w:rsidRPr="00F25744">
        <w:rPr>
          <w:rFonts w:cs="David" w:hint="cs"/>
          <w:sz w:val="24"/>
          <w:szCs w:val="24"/>
          <w:rtl/>
        </w:rPr>
        <w:t>ים כאלה ואחרים עשויים</w:t>
      </w:r>
      <w:r w:rsidRPr="00F25744">
        <w:rPr>
          <w:rFonts w:cs="David" w:hint="cs"/>
          <w:sz w:val="24"/>
          <w:szCs w:val="24"/>
          <w:rtl/>
        </w:rPr>
        <w:t xml:space="preserve"> להניב עליה במספר התיקים שנסגרו מסיבה של "מתן תוקף של פסק דין להסכם גישור/פשרה". על כן, עריכת ממוצע של הסתברויות הסגירה שהתקבלו במהלך תקופה הכוללת גם את פרק הזמן שקדם לשינוי החקיקתי עשויה לחטוא למטרה של שיקוף המצב המצוי בנקודת זמן נתונה. </w:t>
      </w:r>
    </w:p>
    <w:p w14:paraId="72F1CB97" w14:textId="77777777" w:rsidR="00594534" w:rsidRPr="00F25744" w:rsidRDefault="00E25AE7" w:rsidP="004D6966">
      <w:pPr>
        <w:spacing w:after="0" w:line="240" w:lineRule="auto"/>
        <w:ind w:left="84" w:firstLine="8"/>
        <w:jc w:val="both"/>
        <w:rPr>
          <w:rFonts w:cs="David"/>
          <w:sz w:val="24"/>
          <w:szCs w:val="24"/>
          <w:rtl/>
        </w:rPr>
      </w:pPr>
      <w:r w:rsidRPr="00F25744">
        <w:rPr>
          <w:rFonts w:cs="David" w:hint="cs"/>
          <w:sz w:val="24"/>
          <w:szCs w:val="24"/>
          <w:rtl/>
        </w:rPr>
        <w:t xml:space="preserve">    </w:t>
      </w:r>
    </w:p>
    <w:p w14:paraId="411C4B01" w14:textId="77777777" w:rsidR="00594534" w:rsidRPr="00F25744" w:rsidRDefault="00E25AE7" w:rsidP="00A54D82">
      <w:pPr>
        <w:pStyle w:val="3"/>
        <w:ind w:left="852"/>
      </w:pPr>
      <w:bookmarkStart w:id="71" w:name="_Toc74750950"/>
      <w:r w:rsidRPr="00F25744">
        <w:rPr>
          <w:rFonts w:hint="cs"/>
          <w:rtl/>
        </w:rPr>
        <w:t>משוואת רגרסיה לחישוב משכי דיון באופן סטטיסטי</w:t>
      </w:r>
      <w:bookmarkEnd w:id="71"/>
    </w:p>
    <w:p w14:paraId="7576359C" w14:textId="77777777" w:rsidR="00594534" w:rsidRPr="00F25744" w:rsidRDefault="00E25AE7" w:rsidP="00BD23BB">
      <w:pPr>
        <w:spacing w:after="0" w:line="360" w:lineRule="auto"/>
        <w:ind w:left="2"/>
        <w:jc w:val="both"/>
        <w:rPr>
          <w:rFonts w:cs="David"/>
          <w:sz w:val="24"/>
          <w:szCs w:val="24"/>
          <w:rtl/>
        </w:rPr>
      </w:pPr>
      <w:r w:rsidRPr="00F25744">
        <w:rPr>
          <w:rFonts w:cs="David" w:hint="cs"/>
          <w:sz w:val="24"/>
          <w:szCs w:val="24"/>
          <w:rtl/>
        </w:rPr>
        <w:t>לנוכח בעיית המהימנות של זמני הדיונים וסיווגי הדיונים המוזנים במערכת נט המשפט, מחלקת המחקר נאלצה</w:t>
      </w:r>
      <w:r w:rsidR="009F4A13" w:rsidRPr="00F25744">
        <w:rPr>
          <w:rFonts w:cs="David" w:hint="cs"/>
          <w:sz w:val="24"/>
          <w:szCs w:val="24"/>
          <w:rtl/>
        </w:rPr>
        <w:t>, במחקר הקודם,</w:t>
      </w:r>
      <w:r w:rsidRPr="00F25744">
        <w:rPr>
          <w:rFonts w:cs="David" w:hint="cs"/>
          <w:sz w:val="24"/>
          <w:szCs w:val="24"/>
          <w:rtl/>
        </w:rPr>
        <w:t xml:space="preserve"> לעשות שימוש במשוואת הרגרסיה על מנת לאמוד את משכי הדיונים. משוואת הרגרסיה הי</w:t>
      </w:r>
      <w:r w:rsidR="00EA1FB9" w:rsidRPr="00F25744">
        <w:rPr>
          <w:rFonts w:cs="David" w:hint="cs"/>
          <w:sz w:val="24"/>
          <w:szCs w:val="24"/>
          <w:rtl/>
        </w:rPr>
        <w:t>א</w:t>
      </w:r>
      <w:r w:rsidRPr="00F25744">
        <w:rPr>
          <w:rFonts w:cs="David" w:hint="cs"/>
          <w:sz w:val="24"/>
          <w:szCs w:val="24"/>
          <w:rtl/>
        </w:rPr>
        <w:t xml:space="preserve"> משוואה מתמטית שמבטאת את הקשר בין שניים או יותר פרמטרים </w:t>
      </w:r>
      <w:r w:rsidRPr="00F25744">
        <w:rPr>
          <w:rFonts w:cs="David"/>
          <w:sz w:val="24"/>
          <w:szCs w:val="24"/>
          <w:rtl/>
        </w:rPr>
        <w:t>–</w:t>
      </w:r>
      <w:r w:rsidRPr="00F25744">
        <w:rPr>
          <w:rFonts w:cs="David" w:hint="cs"/>
          <w:sz w:val="24"/>
          <w:szCs w:val="24"/>
          <w:rtl/>
        </w:rPr>
        <w:t xml:space="preserve"> לענייננו, המשוואה בדקה את הקשר בין סוגי התיקים השונים ומשכי הדיונים. על מנת לאמוד את הקשר בין שני המשתנים האמורים, מחלקת המחקר הסתמכה על נתוני סך ימי הדיונים של כלל השופטים בשנת 2010 (117,817 ימי דיון) כפי שהוזנו במערכת נט המשפט. כך, עבור כל יום דיונים התקבלו שעת פתיחת הדיון </w:t>
      </w:r>
      <w:r w:rsidRPr="00F25744">
        <w:rPr>
          <w:rFonts w:cs="David" w:hint="cs"/>
          <w:sz w:val="24"/>
          <w:szCs w:val="24"/>
          <w:rtl/>
        </w:rPr>
        <w:lastRenderedPageBreak/>
        <w:t>הראשון ושעת סגירת הדיון האחרון המעודכנים במערכת הנט המשפט (ומאפשרים חישוב של משך הזמן הכולל לכאורה שהשופט היה באולם הדיונים). כמו כן נגזרה כמות הדיונים שנשמעו באותו היום בחלוקה לסוגי התיקים. על בסיס נתונים אלו, משוואת הרגרסיה ניבאה את זמן הדיון הממוצע עבור כל סוג תיק.</w:t>
      </w:r>
    </w:p>
    <w:p w14:paraId="52F3901E" w14:textId="77777777" w:rsidR="00594534" w:rsidRPr="00F25744" w:rsidRDefault="00594534" w:rsidP="005650D8">
      <w:pPr>
        <w:spacing w:after="0" w:line="240" w:lineRule="auto"/>
        <w:jc w:val="both"/>
        <w:rPr>
          <w:rFonts w:cs="David"/>
          <w:sz w:val="24"/>
          <w:szCs w:val="24"/>
          <w:rtl/>
        </w:rPr>
      </w:pPr>
    </w:p>
    <w:p w14:paraId="64EC9ED8" w14:textId="77777777" w:rsidR="00594534" w:rsidRPr="00F25744" w:rsidRDefault="00BD23BB" w:rsidP="002010D3">
      <w:pPr>
        <w:pStyle w:val="2"/>
        <w:rPr>
          <w:rtl/>
        </w:rPr>
      </w:pPr>
      <w:bookmarkStart w:id="72" w:name="_Toc46226028"/>
      <w:bookmarkStart w:id="73" w:name="_Toc46226172"/>
      <w:bookmarkStart w:id="74" w:name="_Toc46228339"/>
      <w:bookmarkStart w:id="75" w:name="_Toc46228437"/>
      <w:bookmarkStart w:id="76" w:name="_Toc46230364"/>
      <w:bookmarkStart w:id="77" w:name="_Toc46230462"/>
      <w:bookmarkStart w:id="78" w:name="_Toc46310352"/>
      <w:bookmarkStart w:id="79" w:name="_Toc46413994"/>
      <w:bookmarkStart w:id="80" w:name="_Toc49352734"/>
      <w:bookmarkStart w:id="81" w:name="_Toc49429639"/>
      <w:bookmarkStart w:id="82" w:name="_Toc49435868"/>
      <w:r w:rsidRPr="00F25744">
        <w:rPr>
          <w:rFonts w:hint="cs"/>
          <w:u w:val="none"/>
          <w:rtl/>
        </w:rPr>
        <w:t xml:space="preserve"> </w:t>
      </w:r>
      <w:bookmarkStart w:id="83" w:name="_Toc74750951"/>
      <w:r w:rsidR="00E25AE7" w:rsidRPr="00F25744">
        <w:rPr>
          <w:rFonts w:hint="cs"/>
          <w:rtl/>
        </w:rPr>
        <w:t>תוצאות המחקר הקודם</w:t>
      </w:r>
      <w:bookmarkEnd w:id="72"/>
      <w:bookmarkEnd w:id="73"/>
      <w:bookmarkEnd w:id="74"/>
      <w:bookmarkEnd w:id="75"/>
      <w:bookmarkEnd w:id="76"/>
      <w:bookmarkEnd w:id="77"/>
      <w:bookmarkEnd w:id="78"/>
      <w:bookmarkEnd w:id="79"/>
      <w:bookmarkEnd w:id="80"/>
      <w:bookmarkEnd w:id="81"/>
      <w:bookmarkEnd w:id="82"/>
      <w:bookmarkEnd w:id="83"/>
    </w:p>
    <w:p w14:paraId="6496BD67" w14:textId="47885BB0" w:rsidR="00594534" w:rsidRPr="00F25744" w:rsidRDefault="00E25AE7" w:rsidP="00146CCB">
      <w:pPr>
        <w:spacing w:after="0" w:line="360" w:lineRule="auto"/>
        <w:jc w:val="both"/>
        <w:rPr>
          <w:rFonts w:cs="David"/>
          <w:sz w:val="24"/>
          <w:szCs w:val="24"/>
          <w:rtl/>
        </w:rPr>
      </w:pPr>
      <w:r w:rsidRPr="00F25744">
        <w:rPr>
          <w:rFonts w:cs="David" w:hint="cs"/>
          <w:sz w:val="24"/>
          <w:szCs w:val="24"/>
          <w:rtl/>
        </w:rPr>
        <w:t xml:space="preserve">בתום כל האמור, הפיק המחקר הקודם מדד משקלות תיקים אשר הומר כאמור </w:t>
      </w:r>
      <w:r w:rsidRPr="00F25744">
        <w:rPr>
          <w:rFonts w:cs="David" w:hint="cs"/>
          <w:b/>
          <w:bCs/>
          <w:sz w:val="24"/>
          <w:szCs w:val="24"/>
          <w:rtl/>
        </w:rPr>
        <w:t>ליחידות יחס</w:t>
      </w:r>
      <w:r w:rsidR="00C03E0F" w:rsidRPr="00F25744">
        <w:rPr>
          <w:rFonts w:cs="David" w:hint="cs"/>
          <w:b/>
          <w:bCs/>
          <w:sz w:val="24"/>
          <w:szCs w:val="24"/>
          <w:rtl/>
        </w:rPr>
        <w:t>/ משקלות</w:t>
      </w:r>
      <w:r w:rsidRPr="00F25744">
        <w:rPr>
          <w:rFonts w:cs="David" w:hint="cs"/>
          <w:sz w:val="24"/>
          <w:szCs w:val="24"/>
          <w:rtl/>
        </w:rPr>
        <w:t>. סוג התיק שקיבל את מדד הזמנים הקצר ביותר לצורך הטיפול השיפוטי בו קיבל את המשקל 1, ושאר התיקים קיבלו משקל יחסי לסוג תיק זה. כך, לדוגמה, בערכאת השלום סוג</w:t>
      </w:r>
      <w:r w:rsidR="004B25DB" w:rsidRPr="00F25744">
        <w:rPr>
          <w:rFonts w:cs="David" w:hint="cs"/>
          <w:sz w:val="24"/>
          <w:szCs w:val="24"/>
          <w:rtl/>
        </w:rPr>
        <w:t>י</w:t>
      </w:r>
      <w:r w:rsidRPr="00F25744">
        <w:rPr>
          <w:rFonts w:cs="David" w:hint="cs"/>
          <w:sz w:val="24"/>
          <w:szCs w:val="24"/>
          <w:rtl/>
        </w:rPr>
        <w:t xml:space="preserve"> התיק</w:t>
      </w:r>
      <w:r w:rsidR="004B25DB" w:rsidRPr="00F25744">
        <w:rPr>
          <w:rFonts w:cs="David" w:hint="cs"/>
          <w:sz w:val="24"/>
          <w:szCs w:val="24"/>
          <w:rtl/>
        </w:rPr>
        <w:t>ים</w:t>
      </w:r>
      <w:r w:rsidRPr="00F25744">
        <w:rPr>
          <w:rFonts w:cs="David" w:hint="cs"/>
          <w:sz w:val="24"/>
          <w:szCs w:val="24"/>
          <w:rtl/>
        </w:rPr>
        <w:t xml:space="preserve"> שקיבל</w:t>
      </w:r>
      <w:r w:rsidR="004B25DB" w:rsidRPr="00F25744">
        <w:rPr>
          <w:rFonts w:cs="David" w:hint="cs"/>
          <w:sz w:val="24"/>
          <w:szCs w:val="24"/>
          <w:rtl/>
        </w:rPr>
        <w:t>ו</w:t>
      </w:r>
      <w:r w:rsidRPr="00F25744">
        <w:rPr>
          <w:rFonts w:cs="David" w:hint="cs"/>
          <w:sz w:val="24"/>
          <w:szCs w:val="24"/>
          <w:rtl/>
        </w:rPr>
        <w:t xml:space="preserve"> את המדד הקצר ביו</w:t>
      </w:r>
      <w:r w:rsidR="004B25DB" w:rsidRPr="00F25744">
        <w:rPr>
          <w:rFonts w:cs="David" w:hint="cs"/>
          <w:sz w:val="24"/>
          <w:szCs w:val="24"/>
          <w:rtl/>
        </w:rPr>
        <w:t>ת</w:t>
      </w:r>
      <w:r w:rsidRPr="00F25744">
        <w:rPr>
          <w:rFonts w:cs="David" w:hint="cs"/>
          <w:sz w:val="24"/>
          <w:szCs w:val="24"/>
          <w:rtl/>
        </w:rPr>
        <w:t>ר הי</w:t>
      </w:r>
      <w:r w:rsidR="004B25DB" w:rsidRPr="00F25744">
        <w:rPr>
          <w:rFonts w:cs="David" w:hint="cs"/>
          <w:sz w:val="24"/>
          <w:szCs w:val="24"/>
          <w:rtl/>
        </w:rPr>
        <w:t>ו</w:t>
      </w:r>
      <w:r w:rsidRPr="00F25744">
        <w:rPr>
          <w:rFonts w:cs="David" w:hint="cs"/>
          <w:sz w:val="24"/>
          <w:szCs w:val="24"/>
          <w:rtl/>
        </w:rPr>
        <w:t xml:space="preserve"> צ"ח (צו חיפוש)</w:t>
      </w:r>
      <w:r w:rsidR="004B25DB" w:rsidRPr="00F25744">
        <w:rPr>
          <w:rFonts w:cs="David" w:hint="cs"/>
          <w:sz w:val="24"/>
          <w:szCs w:val="24"/>
          <w:rtl/>
        </w:rPr>
        <w:t xml:space="preserve"> וצ"א (צו אחר)</w:t>
      </w:r>
      <w:r w:rsidRPr="00F25744">
        <w:rPr>
          <w:rFonts w:cs="David" w:hint="cs"/>
          <w:sz w:val="24"/>
          <w:szCs w:val="24"/>
          <w:rtl/>
        </w:rPr>
        <w:t xml:space="preserve">, </w:t>
      </w:r>
      <w:r w:rsidR="004B25DB" w:rsidRPr="00F25744">
        <w:rPr>
          <w:rFonts w:cs="David" w:hint="cs"/>
          <w:sz w:val="24"/>
          <w:szCs w:val="24"/>
          <w:rtl/>
        </w:rPr>
        <w:t>א</w:t>
      </w:r>
      <w:r w:rsidRPr="00F25744">
        <w:rPr>
          <w:rFonts w:cs="David" w:hint="cs"/>
          <w:sz w:val="24"/>
          <w:szCs w:val="24"/>
          <w:rtl/>
        </w:rPr>
        <w:t>ש</w:t>
      </w:r>
      <w:r w:rsidR="004B25DB" w:rsidRPr="00F25744">
        <w:rPr>
          <w:rFonts w:cs="David" w:hint="cs"/>
          <w:sz w:val="24"/>
          <w:szCs w:val="24"/>
          <w:rtl/>
        </w:rPr>
        <w:t xml:space="preserve">ר </w:t>
      </w:r>
      <w:r w:rsidRPr="00F25744">
        <w:rPr>
          <w:rFonts w:cs="David" w:hint="cs"/>
          <w:sz w:val="24"/>
          <w:szCs w:val="24"/>
          <w:rtl/>
        </w:rPr>
        <w:t>קיבל</w:t>
      </w:r>
      <w:r w:rsidR="004B25DB" w:rsidRPr="00F25744">
        <w:rPr>
          <w:rFonts w:cs="David" w:hint="cs"/>
          <w:sz w:val="24"/>
          <w:szCs w:val="24"/>
          <w:rtl/>
        </w:rPr>
        <w:t>ו</w:t>
      </w:r>
      <w:r w:rsidRPr="00F25744">
        <w:rPr>
          <w:rFonts w:cs="David" w:hint="cs"/>
          <w:sz w:val="24"/>
          <w:szCs w:val="24"/>
          <w:rtl/>
        </w:rPr>
        <w:t xml:space="preserve"> את המשקל 1, וביחס אלי</w:t>
      </w:r>
      <w:r w:rsidR="004B25DB" w:rsidRPr="00F25744">
        <w:rPr>
          <w:rFonts w:cs="David" w:hint="cs"/>
          <w:sz w:val="24"/>
          <w:szCs w:val="24"/>
          <w:rtl/>
        </w:rPr>
        <w:t>הם</w:t>
      </w:r>
      <w:r w:rsidRPr="00F25744">
        <w:rPr>
          <w:rFonts w:cs="David" w:hint="cs"/>
          <w:sz w:val="24"/>
          <w:szCs w:val="24"/>
          <w:rtl/>
        </w:rPr>
        <w:t xml:space="preserve"> קיבל למשל תיק ת"א (תיק אזרחי) </w:t>
      </w:r>
      <w:r w:rsidR="004B25DB" w:rsidRPr="00F25744">
        <w:rPr>
          <w:rFonts w:cs="David"/>
          <w:sz w:val="24"/>
          <w:szCs w:val="24"/>
          <w:rtl/>
        </w:rPr>
        <w:t>–</w:t>
      </w:r>
      <w:r w:rsidR="004B25DB" w:rsidRPr="00F25744">
        <w:rPr>
          <w:rFonts w:cs="David" w:hint="cs"/>
          <w:sz w:val="24"/>
          <w:szCs w:val="24"/>
          <w:rtl/>
        </w:rPr>
        <w:t xml:space="preserve"> </w:t>
      </w:r>
      <w:r w:rsidR="00146CCB">
        <w:rPr>
          <w:rFonts w:cs="David" w:hint="cs"/>
          <w:sz w:val="24"/>
          <w:szCs w:val="24"/>
          <w:rtl/>
        </w:rPr>
        <w:t>שאינו</w:t>
      </w:r>
      <w:r w:rsidR="004B25DB" w:rsidRPr="00F25744">
        <w:rPr>
          <w:rFonts w:cs="David" w:hint="cs"/>
          <w:sz w:val="24"/>
          <w:szCs w:val="24"/>
          <w:rtl/>
        </w:rPr>
        <w:t xml:space="preserve"> פלת"ד, </w:t>
      </w:r>
      <w:r w:rsidRPr="00F25744">
        <w:rPr>
          <w:rFonts w:cs="David" w:hint="cs"/>
          <w:sz w:val="24"/>
          <w:szCs w:val="24"/>
          <w:rtl/>
        </w:rPr>
        <w:t xml:space="preserve">את המשקל 122 (כלומר, זמן הטיפול השיפוטי בתיק מסוג ת"א שווה לזמן הטיפול השיפוטי ב-122 תיקים מסוג צ"ח). </w:t>
      </w:r>
    </w:p>
    <w:p w14:paraId="05ECF8B4" w14:textId="236CCB1E" w:rsidR="00CF6BBC" w:rsidRPr="00F25744" w:rsidRDefault="00E25AE7" w:rsidP="0072393E">
      <w:pPr>
        <w:spacing w:after="0" w:line="360" w:lineRule="auto"/>
        <w:jc w:val="both"/>
        <w:rPr>
          <w:rFonts w:cs="David"/>
          <w:b/>
          <w:bCs/>
          <w:sz w:val="24"/>
          <w:szCs w:val="24"/>
          <w:rtl/>
        </w:rPr>
      </w:pPr>
      <w:r w:rsidRPr="00F25744">
        <w:rPr>
          <w:rFonts w:cs="David" w:hint="cs"/>
          <w:sz w:val="24"/>
          <w:szCs w:val="24"/>
          <w:rtl/>
        </w:rPr>
        <w:t>יוער, כי במסגרת המחקר הנוכחי, יוצגו זמני הטיפול השיפוטי בסוגי התיקים השונים, אשר אותם נתרגם גם למשקלות תיקים מערכתיים וערכאתיים, כפי שיפורט בפרק הממצאים. ניתן לראות את תרגום זמני הטיפול בתיקים למשקלות ב</w:t>
      </w:r>
      <w:r w:rsidRPr="00F25744">
        <w:rPr>
          <w:rFonts w:cs="David" w:hint="cs"/>
          <w:b/>
          <w:bCs/>
          <w:sz w:val="24"/>
          <w:szCs w:val="24"/>
          <w:rtl/>
        </w:rPr>
        <w:t xml:space="preserve">נספח </w:t>
      </w:r>
      <w:r w:rsidR="00DA2E83" w:rsidRPr="00F25744">
        <w:rPr>
          <w:rFonts w:cs="David" w:hint="cs"/>
          <w:b/>
          <w:bCs/>
          <w:sz w:val="24"/>
          <w:szCs w:val="24"/>
          <w:rtl/>
        </w:rPr>
        <w:t>ה'</w:t>
      </w:r>
      <w:r w:rsidR="00DA2E83" w:rsidRPr="00F25744">
        <w:rPr>
          <w:rFonts w:cs="David" w:hint="cs"/>
          <w:sz w:val="24"/>
          <w:szCs w:val="24"/>
          <w:rtl/>
        </w:rPr>
        <w:t>.</w:t>
      </w:r>
    </w:p>
    <w:p w14:paraId="6F0DD486" w14:textId="77777777" w:rsidR="00594534" w:rsidRPr="00F25744" w:rsidRDefault="00594534" w:rsidP="005650D8">
      <w:pPr>
        <w:pStyle w:val="a3"/>
        <w:widowControl w:val="0"/>
        <w:autoSpaceDE w:val="0"/>
        <w:autoSpaceDN w:val="0"/>
        <w:bidi/>
        <w:adjustRightInd w:val="0"/>
        <w:spacing w:after="0" w:line="240" w:lineRule="auto"/>
        <w:ind w:left="0"/>
        <w:jc w:val="center"/>
        <w:rPr>
          <w:rFonts w:ascii="David" w:hAnsi="David" w:cs="David"/>
          <w:b/>
          <w:bCs/>
          <w:sz w:val="28"/>
          <w:szCs w:val="28"/>
          <w:u w:val="single"/>
          <w:rtl/>
        </w:rPr>
      </w:pPr>
    </w:p>
    <w:p w14:paraId="009F0F4C" w14:textId="6B4920A1" w:rsidR="00594534" w:rsidRPr="00F25744" w:rsidRDefault="00A54D82" w:rsidP="002010D3">
      <w:pPr>
        <w:pStyle w:val="2"/>
        <w:rPr>
          <w:rtl/>
        </w:rPr>
      </w:pPr>
      <w:bookmarkStart w:id="84" w:name="_Toc46226029"/>
      <w:bookmarkStart w:id="85" w:name="_Toc46226173"/>
      <w:bookmarkStart w:id="86" w:name="_Toc46228340"/>
      <w:bookmarkStart w:id="87" w:name="_Toc46228438"/>
      <w:bookmarkStart w:id="88" w:name="_Toc46230365"/>
      <w:bookmarkStart w:id="89" w:name="_Toc46230463"/>
      <w:bookmarkStart w:id="90" w:name="_Toc46310353"/>
      <w:bookmarkStart w:id="91" w:name="_Toc46413995"/>
      <w:bookmarkStart w:id="92" w:name="_Toc49352735"/>
      <w:bookmarkStart w:id="93" w:name="_Toc49429640"/>
      <w:bookmarkStart w:id="94" w:name="_Toc49435869"/>
      <w:r>
        <w:rPr>
          <w:rFonts w:hint="cs"/>
          <w:u w:val="none"/>
          <w:rtl/>
        </w:rPr>
        <w:t xml:space="preserve"> </w:t>
      </w:r>
      <w:bookmarkStart w:id="95" w:name="_Toc74750952"/>
      <w:r w:rsidR="00E25AE7" w:rsidRPr="00F25744">
        <w:rPr>
          <w:rFonts w:hint="cs"/>
          <w:rtl/>
        </w:rPr>
        <w:t>שיטת המחקר הנוכחי</w:t>
      </w:r>
      <w:bookmarkEnd w:id="84"/>
      <w:bookmarkEnd w:id="85"/>
      <w:bookmarkEnd w:id="86"/>
      <w:bookmarkEnd w:id="87"/>
      <w:bookmarkEnd w:id="88"/>
      <w:bookmarkEnd w:id="89"/>
      <w:bookmarkEnd w:id="90"/>
      <w:bookmarkEnd w:id="91"/>
      <w:bookmarkEnd w:id="92"/>
      <w:bookmarkEnd w:id="93"/>
      <w:bookmarkEnd w:id="94"/>
      <w:bookmarkEnd w:id="95"/>
    </w:p>
    <w:p w14:paraId="711A7866" w14:textId="77777777" w:rsidR="00F17F5F" w:rsidRPr="00F25744" w:rsidRDefault="00E25AE7" w:rsidP="00EA1FB9">
      <w:pPr>
        <w:spacing w:after="0" w:line="360" w:lineRule="auto"/>
        <w:jc w:val="both"/>
        <w:rPr>
          <w:rFonts w:cs="David"/>
          <w:sz w:val="24"/>
          <w:szCs w:val="24"/>
          <w:rtl/>
        </w:rPr>
      </w:pPr>
      <w:r w:rsidRPr="00F25744">
        <w:rPr>
          <w:rFonts w:cs="David" w:hint="cs"/>
          <w:sz w:val="24"/>
          <w:szCs w:val="24"/>
          <w:rtl/>
        </w:rPr>
        <w:t xml:space="preserve">במסגרת המחקר הנוכחי, ערכה מחלקת המחקר </w:t>
      </w:r>
      <w:r w:rsidRPr="00F25744">
        <w:rPr>
          <w:rFonts w:cs="David" w:hint="cs"/>
          <w:b/>
          <w:bCs/>
          <w:sz w:val="24"/>
          <w:szCs w:val="24"/>
          <w:rtl/>
        </w:rPr>
        <w:t xml:space="preserve">לראשונה בישראל </w:t>
      </w:r>
      <w:r w:rsidRPr="00F25744">
        <w:rPr>
          <w:rFonts w:cs="David" w:hint="cs"/>
          <w:sz w:val="24"/>
          <w:szCs w:val="24"/>
          <w:rtl/>
        </w:rPr>
        <w:t xml:space="preserve">מחקר זמנים אשר מדד בזמן אמת, במהלך חמישה שבועות רצופים, את זמני הפעולות השיפוטיות שביצעו כלל השופטים בישראל, </w:t>
      </w:r>
      <w:r w:rsidR="00EA1FB9" w:rsidRPr="00F25744">
        <w:rPr>
          <w:rFonts w:cs="David" w:hint="cs"/>
          <w:sz w:val="24"/>
          <w:szCs w:val="24"/>
          <w:rtl/>
        </w:rPr>
        <w:t>בבתי המשפט המחוזיים</w:t>
      </w:r>
      <w:r w:rsidRPr="00F25744">
        <w:rPr>
          <w:rFonts w:cs="David" w:hint="cs"/>
          <w:sz w:val="24"/>
          <w:szCs w:val="24"/>
          <w:rtl/>
        </w:rPr>
        <w:t xml:space="preserve">, השלום, </w:t>
      </w:r>
      <w:r w:rsidR="004D6966" w:rsidRPr="00F25744">
        <w:rPr>
          <w:rFonts w:cs="David" w:hint="cs"/>
          <w:sz w:val="24"/>
          <w:szCs w:val="24"/>
          <w:rtl/>
        </w:rPr>
        <w:t>ה</w:t>
      </w:r>
      <w:r w:rsidRPr="00F25744">
        <w:rPr>
          <w:rFonts w:cs="David" w:hint="cs"/>
          <w:sz w:val="24"/>
          <w:szCs w:val="24"/>
          <w:rtl/>
        </w:rPr>
        <w:t xml:space="preserve">תעבורה, </w:t>
      </w:r>
      <w:r w:rsidR="004D6966" w:rsidRPr="00F25744">
        <w:rPr>
          <w:rFonts w:cs="David" w:hint="cs"/>
          <w:sz w:val="24"/>
          <w:szCs w:val="24"/>
          <w:rtl/>
        </w:rPr>
        <w:t>ה</w:t>
      </w:r>
      <w:r w:rsidRPr="00F25744">
        <w:rPr>
          <w:rFonts w:cs="David" w:hint="cs"/>
          <w:sz w:val="24"/>
          <w:szCs w:val="24"/>
          <w:rtl/>
        </w:rPr>
        <w:t xml:space="preserve">משפחה, </w:t>
      </w:r>
      <w:r w:rsidR="004D6966" w:rsidRPr="00F25744">
        <w:rPr>
          <w:rFonts w:cs="David" w:hint="cs"/>
          <w:sz w:val="24"/>
          <w:szCs w:val="24"/>
          <w:rtl/>
        </w:rPr>
        <w:t>ה</w:t>
      </w:r>
      <w:r w:rsidRPr="00F25744">
        <w:rPr>
          <w:rFonts w:cs="David" w:hint="cs"/>
          <w:sz w:val="24"/>
          <w:szCs w:val="24"/>
          <w:rtl/>
        </w:rPr>
        <w:t>נוער ו</w:t>
      </w:r>
      <w:r w:rsidR="00EA1FB9" w:rsidRPr="00F25744">
        <w:rPr>
          <w:rFonts w:cs="David" w:hint="cs"/>
          <w:sz w:val="24"/>
          <w:szCs w:val="24"/>
          <w:rtl/>
        </w:rPr>
        <w:t>בתי הדין ל</w:t>
      </w:r>
      <w:r w:rsidRPr="00F25744">
        <w:rPr>
          <w:rFonts w:cs="David" w:hint="cs"/>
          <w:sz w:val="24"/>
          <w:szCs w:val="24"/>
          <w:rtl/>
        </w:rPr>
        <w:t xml:space="preserve">עבודה. מחקר מקיף ומעמיק זה הצריך ארגון לוגיסטי ומקצועי נרחב וחשיבה רבה ומאומצת, תוך היוועצות שוטפת בשופטים ובסטטיסטיקאים לצורך דיוק ושיפור הנתונים שייאספו וינותחו במהלכו, ובסיוע גורמים רבים במערכת לשם השגת שיתוף הפעולה הנדרש מצד השופטים, העוזרים המשפטיים והקלדניות. </w:t>
      </w:r>
    </w:p>
    <w:p w14:paraId="1F89DE30" w14:textId="77777777" w:rsidR="00ED5CA3" w:rsidRPr="00F25744" w:rsidRDefault="00E25AE7" w:rsidP="00EA1FB9">
      <w:pPr>
        <w:spacing w:after="0" w:line="360" w:lineRule="auto"/>
        <w:jc w:val="both"/>
        <w:rPr>
          <w:rFonts w:cs="David"/>
          <w:sz w:val="24"/>
          <w:szCs w:val="24"/>
          <w:rtl/>
        </w:rPr>
      </w:pPr>
      <w:r w:rsidRPr="00F25744">
        <w:rPr>
          <w:rFonts w:cs="David" w:hint="cs"/>
          <w:sz w:val="24"/>
          <w:szCs w:val="24"/>
          <w:rtl/>
        </w:rPr>
        <w:t xml:space="preserve">ואכן, </w:t>
      </w:r>
      <w:r w:rsidRPr="00F25744">
        <w:rPr>
          <w:rFonts w:cs="David" w:hint="cs"/>
          <w:b/>
          <w:bCs/>
          <w:sz w:val="24"/>
          <w:szCs w:val="24"/>
          <w:rtl/>
        </w:rPr>
        <w:t>כמות הנתונים</w:t>
      </w:r>
      <w:r w:rsidRPr="00F25744">
        <w:rPr>
          <w:rFonts w:cs="David" w:hint="cs"/>
          <w:sz w:val="24"/>
          <w:szCs w:val="24"/>
          <w:rtl/>
        </w:rPr>
        <w:t xml:space="preserve"> שנאספה במהלך חמשת שבועות המחקר היא </w:t>
      </w:r>
      <w:r w:rsidRPr="00F25744">
        <w:rPr>
          <w:rFonts w:cs="David" w:hint="cs"/>
          <w:b/>
          <w:bCs/>
          <w:sz w:val="24"/>
          <w:szCs w:val="24"/>
          <w:rtl/>
        </w:rPr>
        <w:t xml:space="preserve">עצומה וחסרת תקדים </w:t>
      </w:r>
      <w:r w:rsidR="00EA1FB9" w:rsidRPr="00F25744">
        <w:rPr>
          <w:rFonts w:cs="David" w:hint="cs"/>
          <w:b/>
          <w:bCs/>
          <w:sz w:val="24"/>
          <w:szCs w:val="24"/>
          <w:rtl/>
        </w:rPr>
        <w:t>בהיקפה</w:t>
      </w:r>
      <w:r w:rsidRPr="00F25744">
        <w:rPr>
          <w:rFonts w:cs="David" w:hint="cs"/>
          <w:sz w:val="24"/>
          <w:szCs w:val="24"/>
          <w:rtl/>
        </w:rPr>
        <w:t>, ובכך אפשרה להציג ממצאים מדויקים ומהימנים על אודות משכי הזמן הנדרש</w:t>
      </w:r>
      <w:r w:rsidR="00F17F5F" w:rsidRPr="00F25744">
        <w:rPr>
          <w:rFonts w:cs="David" w:hint="cs"/>
          <w:sz w:val="24"/>
          <w:szCs w:val="24"/>
          <w:rtl/>
        </w:rPr>
        <w:t>ים לטיפול באירועים השונים, ב</w:t>
      </w:r>
      <w:r w:rsidRPr="00F25744">
        <w:rPr>
          <w:rFonts w:cs="David" w:hint="cs"/>
          <w:sz w:val="24"/>
          <w:szCs w:val="24"/>
          <w:rtl/>
        </w:rPr>
        <w:t>כל סוגי התיקים</w:t>
      </w:r>
      <w:r w:rsidR="00F17F5F" w:rsidRPr="00F25744">
        <w:rPr>
          <w:rFonts w:cs="David" w:hint="cs"/>
          <w:sz w:val="24"/>
          <w:szCs w:val="24"/>
          <w:rtl/>
        </w:rPr>
        <w:t xml:space="preserve"> העיקריים</w:t>
      </w:r>
      <w:r w:rsidRPr="00F25744">
        <w:rPr>
          <w:rFonts w:cs="David" w:hint="cs"/>
          <w:sz w:val="24"/>
          <w:szCs w:val="24"/>
          <w:rtl/>
        </w:rPr>
        <w:t xml:space="preserve"> הקיימים כיום במערכת המשפט בישראל.</w:t>
      </w:r>
    </w:p>
    <w:p w14:paraId="071DA37E" w14:textId="77777777" w:rsidR="00ED5CA3" w:rsidRPr="00F25744" w:rsidRDefault="00E25AE7" w:rsidP="00F75977">
      <w:pPr>
        <w:spacing w:after="0" w:line="360" w:lineRule="auto"/>
        <w:jc w:val="both"/>
        <w:rPr>
          <w:rFonts w:cs="David"/>
          <w:sz w:val="24"/>
          <w:szCs w:val="24"/>
          <w:rtl/>
        </w:rPr>
      </w:pPr>
      <w:r w:rsidRPr="00F25744">
        <w:rPr>
          <w:rFonts w:cs="David" w:hint="cs"/>
          <w:sz w:val="24"/>
          <w:szCs w:val="24"/>
          <w:rtl/>
        </w:rPr>
        <w:t>בפרק הבא</w:t>
      </w:r>
      <w:r w:rsidR="00F75977" w:rsidRPr="00F25744">
        <w:rPr>
          <w:rFonts w:cs="David" w:hint="cs"/>
          <w:sz w:val="24"/>
          <w:szCs w:val="24"/>
          <w:rtl/>
        </w:rPr>
        <w:t xml:space="preserve">, פרק המתודולוגיה, </w:t>
      </w:r>
      <w:r w:rsidRPr="00F25744">
        <w:rPr>
          <w:rFonts w:cs="David" w:hint="cs"/>
          <w:sz w:val="24"/>
          <w:szCs w:val="24"/>
          <w:rtl/>
        </w:rPr>
        <w:t>נפרט את שלביו השונים של מחקר רחב ממדים זה, החל מההיערכות למחקר, תקופת המחקר עצמה ושלבי ניתוח הנתונים, ועד לכתיבתו של מחקר זה.</w:t>
      </w:r>
    </w:p>
    <w:p w14:paraId="1715DA43" w14:textId="77777777" w:rsidR="00594534" w:rsidRPr="00F25744" w:rsidRDefault="00594534" w:rsidP="004D6966">
      <w:pPr>
        <w:pStyle w:val="a3"/>
        <w:widowControl w:val="0"/>
        <w:autoSpaceDE w:val="0"/>
        <w:autoSpaceDN w:val="0"/>
        <w:bidi/>
        <w:adjustRightInd w:val="0"/>
        <w:spacing w:before="60" w:after="60" w:line="240" w:lineRule="auto"/>
        <w:ind w:left="0"/>
        <w:rPr>
          <w:rFonts w:ascii="David" w:hAnsi="David" w:cs="David"/>
          <w:b/>
          <w:bCs/>
          <w:sz w:val="24"/>
          <w:szCs w:val="24"/>
          <w:rtl/>
        </w:rPr>
      </w:pPr>
    </w:p>
    <w:p w14:paraId="3C630CBD" w14:textId="77777777" w:rsidR="004B0DBC" w:rsidRPr="00F25744" w:rsidRDefault="00E25AE7" w:rsidP="000E1579">
      <w:pPr>
        <w:pStyle w:val="a3"/>
        <w:widowControl w:val="0"/>
        <w:autoSpaceDE w:val="0"/>
        <w:autoSpaceDN w:val="0"/>
        <w:bidi/>
        <w:adjustRightInd w:val="0"/>
        <w:spacing w:before="60" w:after="60" w:line="360" w:lineRule="auto"/>
        <w:ind w:left="0"/>
        <w:rPr>
          <w:rtl/>
        </w:rPr>
      </w:pPr>
      <w:r w:rsidRPr="00F25744">
        <w:rPr>
          <w:rFonts w:ascii="David" w:hAnsi="David" w:cs="David" w:hint="cs"/>
          <w:b/>
          <w:bCs/>
          <w:sz w:val="24"/>
          <w:szCs w:val="24"/>
          <w:rtl/>
        </w:rPr>
        <w:t>הטבלה הבאה</w:t>
      </w:r>
      <w:r w:rsidRPr="00F25744">
        <w:rPr>
          <w:rFonts w:ascii="David" w:hAnsi="David" w:cs="David" w:hint="cs"/>
          <w:sz w:val="24"/>
          <w:szCs w:val="24"/>
          <w:rtl/>
        </w:rPr>
        <w:t xml:space="preserve"> מסכמת את תמצית החידושים במחקר הנוכחי בהשוואה למחקר משקלות התיקים הקודם:</w:t>
      </w:r>
    </w:p>
    <w:p w14:paraId="4C71A02A" w14:textId="77777777" w:rsidR="006544C5" w:rsidRDefault="006544C5" w:rsidP="00706796">
      <w:pPr>
        <w:pStyle w:val="af6"/>
        <w:rPr>
          <w:rtl/>
        </w:rPr>
      </w:pPr>
      <w:bookmarkStart w:id="96" w:name="_Toc76988896"/>
    </w:p>
    <w:p w14:paraId="2F3A8DC1" w14:textId="77777777" w:rsidR="006544C5" w:rsidRDefault="006544C5" w:rsidP="00706796">
      <w:pPr>
        <w:pStyle w:val="af6"/>
        <w:rPr>
          <w:rtl/>
        </w:rPr>
      </w:pPr>
    </w:p>
    <w:p w14:paraId="0DDFE0F2" w14:textId="77777777" w:rsidR="006544C5" w:rsidRDefault="006544C5" w:rsidP="00706796">
      <w:pPr>
        <w:pStyle w:val="af6"/>
        <w:rPr>
          <w:rtl/>
        </w:rPr>
      </w:pPr>
    </w:p>
    <w:p w14:paraId="1ECCCBB4" w14:textId="77777777" w:rsidR="006544C5" w:rsidRDefault="006544C5" w:rsidP="00706796">
      <w:pPr>
        <w:pStyle w:val="af6"/>
        <w:rPr>
          <w:rtl/>
        </w:rPr>
      </w:pPr>
    </w:p>
    <w:p w14:paraId="2DE058F3" w14:textId="77777777" w:rsidR="006544C5" w:rsidRDefault="006544C5" w:rsidP="00706796">
      <w:pPr>
        <w:pStyle w:val="af6"/>
        <w:rPr>
          <w:rtl/>
        </w:rPr>
      </w:pPr>
    </w:p>
    <w:p w14:paraId="797F1338" w14:textId="77777777" w:rsidR="006544C5" w:rsidRDefault="006544C5" w:rsidP="00706796">
      <w:pPr>
        <w:pStyle w:val="af6"/>
        <w:rPr>
          <w:rtl/>
        </w:rPr>
      </w:pPr>
    </w:p>
    <w:p w14:paraId="3EEC84AE" w14:textId="48CB2827" w:rsidR="00594534" w:rsidRPr="00F25744" w:rsidRDefault="00E25AE7" w:rsidP="00706796">
      <w:pPr>
        <w:pStyle w:val="af6"/>
        <w:rPr>
          <w:rFonts w:ascii="David" w:hAnsi="David"/>
          <w:sz w:val="24"/>
        </w:rPr>
      </w:pPr>
      <w:r w:rsidRPr="00F25744">
        <w:rPr>
          <w:rtl/>
        </w:rPr>
        <w:lastRenderedPageBreak/>
        <w:t xml:space="preserve">טבלה </w:t>
      </w:r>
      <w:r w:rsidRPr="00F25744">
        <w:rPr>
          <w:rFonts w:ascii="David" w:hAnsi="David"/>
          <w:sz w:val="24"/>
          <w:rtl/>
        </w:rPr>
        <w:fldChar w:fldCharType="begin"/>
      </w:r>
      <w:r w:rsidRPr="00F25744">
        <w:rPr>
          <w:rFonts w:ascii="David" w:hAnsi="David"/>
          <w:sz w:val="24"/>
          <w:rtl/>
        </w:rPr>
        <w:instrText xml:space="preserve"> </w:instrText>
      </w:r>
      <w:r w:rsidRPr="00F25744">
        <w:rPr>
          <w:rFonts w:ascii="David" w:hAnsi="David" w:hint="cs"/>
          <w:sz w:val="24"/>
        </w:rPr>
        <w:instrText>SEQ</w:instrText>
      </w:r>
      <w:r w:rsidRPr="00F25744">
        <w:rPr>
          <w:rFonts w:ascii="David" w:hAnsi="David" w:hint="cs"/>
          <w:sz w:val="24"/>
          <w:rtl/>
        </w:rPr>
        <w:instrText xml:space="preserve"> טבלה \* </w:instrText>
      </w:r>
      <w:r w:rsidRPr="00F25744">
        <w:rPr>
          <w:rFonts w:ascii="David" w:hAnsi="David" w:hint="cs"/>
          <w:sz w:val="24"/>
        </w:rPr>
        <w:instrText>ARABIC</w:instrText>
      </w:r>
      <w:r w:rsidRPr="00F25744">
        <w:rPr>
          <w:rFonts w:ascii="David" w:hAnsi="David"/>
          <w:sz w:val="24"/>
          <w:rtl/>
        </w:rPr>
        <w:instrText xml:space="preserve"> </w:instrText>
      </w:r>
      <w:r w:rsidRPr="00F25744">
        <w:rPr>
          <w:rFonts w:ascii="David" w:hAnsi="David"/>
          <w:sz w:val="24"/>
          <w:rtl/>
        </w:rPr>
        <w:fldChar w:fldCharType="separate"/>
      </w:r>
      <w:r w:rsidR="008F1BC3">
        <w:rPr>
          <w:rFonts w:ascii="David" w:hAnsi="David"/>
          <w:noProof/>
          <w:sz w:val="24"/>
          <w:rtl/>
        </w:rPr>
        <w:t>1</w:t>
      </w:r>
      <w:r w:rsidRPr="00F25744">
        <w:rPr>
          <w:rFonts w:ascii="David" w:hAnsi="David"/>
          <w:sz w:val="24"/>
          <w:rtl/>
        </w:rPr>
        <w:fldChar w:fldCharType="end"/>
      </w:r>
      <w:r w:rsidR="00AA5D31" w:rsidRPr="00F25744">
        <w:rPr>
          <w:rFonts w:ascii="David" w:hAnsi="David" w:hint="cs"/>
          <w:sz w:val="24"/>
          <w:rtl/>
        </w:rPr>
        <w:t>: תמצית החידושים במחקר הנוכחי</w:t>
      </w:r>
      <w:bookmarkEnd w:id="96"/>
    </w:p>
    <w:tbl>
      <w:tblPr>
        <w:tblpPr w:rightFromText="85" w:vertAnchor="text" w:tblpX="-498" w:tblpY="1"/>
        <w:bidiVisual/>
        <w:tblW w:w="9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3119"/>
        <w:gridCol w:w="3742"/>
      </w:tblGrid>
      <w:tr w:rsidR="00E0162E" w:rsidRPr="00F25744" w14:paraId="28505761" w14:textId="77777777" w:rsidTr="005B5363">
        <w:tc>
          <w:tcPr>
            <w:tcW w:w="2280" w:type="dxa"/>
            <w:shd w:val="clear" w:color="auto" w:fill="E7E6E6"/>
            <w:vAlign w:val="center"/>
          </w:tcPr>
          <w:p w14:paraId="12AACEC5" w14:textId="77777777" w:rsidR="00594534" w:rsidRPr="00F25744" w:rsidRDefault="00594534" w:rsidP="005B5363">
            <w:pPr>
              <w:widowControl w:val="0"/>
              <w:autoSpaceDE w:val="0"/>
              <w:autoSpaceDN w:val="0"/>
              <w:adjustRightInd w:val="0"/>
              <w:spacing w:line="240" w:lineRule="auto"/>
              <w:rPr>
                <w:rFonts w:ascii="David" w:hAnsi="David" w:cs="David"/>
                <w:rtl/>
              </w:rPr>
            </w:pPr>
          </w:p>
        </w:tc>
        <w:tc>
          <w:tcPr>
            <w:tcW w:w="3119" w:type="dxa"/>
            <w:shd w:val="clear" w:color="auto" w:fill="E7E6E6"/>
            <w:vAlign w:val="center"/>
          </w:tcPr>
          <w:p w14:paraId="3DCB20F3"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b/>
                <w:bCs/>
                <w:rtl/>
              </w:rPr>
              <w:t>מחקר משקלות התיקים הקודם</w:t>
            </w:r>
          </w:p>
        </w:tc>
        <w:tc>
          <w:tcPr>
            <w:tcW w:w="3742" w:type="dxa"/>
            <w:shd w:val="clear" w:color="auto" w:fill="E7E6E6"/>
            <w:vAlign w:val="center"/>
          </w:tcPr>
          <w:p w14:paraId="34BBEBC3"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b/>
                <w:bCs/>
                <w:rtl/>
              </w:rPr>
              <w:t xml:space="preserve">מחקר </w:t>
            </w:r>
            <w:r w:rsidR="002D0682" w:rsidRPr="00F25744">
              <w:rPr>
                <w:rFonts w:ascii="David" w:hAnsi="David" w:cs="David" w:hint="cs"/>
                <w:b/>
                <w:bCs/>
                <w:rtl/>
              </w:rPr>
              <w:t xml:space="preserve">מדידת זמני הטיפול השיפוטי בתיקים </w:t>
            </w:r>
            <w:r w:rsidR="002D0682" w:rsidRPr="00F25744">
              <w:rPr>
                <w:rFonts w:ascii="David" w:hAnsi="David" w:cs="David"/>
                <w:b/>
                <w:bCs/>
                <w:rtl/>
              </w:rPr>
              <w:t>–</w:t>
            </w:r>
            <w:r w:rsidR="002D0682" w:rsidRPr="00F25744">
              <w:rPr>
                <w:rFonts w:ascii="David" w:hAnsi="David" w:cs="David" w:hint="cs"/>
                <w:b/>
                <w:bCs/>
                <w:rtl/>
              </w:rPr>
              <w:t xml:space="preserve"> המחקר </w:t>
            </w:r>
            <w:r w:rsidRPr="00F25744">
              <w:rPr>
                <w:rFonts w:ascii="David" w:hAnsi="David" w:cs="David" w:hint="cs"/>
                <w:b/>
                <w:bCs/>
                <w:rtl/>
              </w:rPr>
              <w:t>הנוכחי</w:t>
            </w:r>
          </w:p>
        </w:tc>
      </w:tr>
      <w:tr w:rsidR="00E0162E" w:rsidRPr="00F25744" w14:paraId="2DF6D53D" w14:textId="77777777" w:rsidTr="005B5363">
        <w:trPr>
          <w:trHeight w:val="733"/>
        </w:trPr>
        <w:tc>
          <w:tcPr>
            <w:tcW w:w="2280" w:type="dxa"/>
            <w:shd w:val="clear" w:color="auto" w:fill="D9E2F3"/>
            <w:vAlign w:val="center"/>
          </w:tcPr>
          <w:p w14:paraId="2D34FF47"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שיטת איסוף נתוני זמן כתיבה והכנה ל</w:t>
            </w:r>
            <w:r w:rsidR="007F3A52" w:rsidRPr="00F25744">
              <w:rPr>
                <w:rFonts w:ascii="David" w:hAnsi="David" w:cs="David" w:hint="cs"/>
                <w:rtl/>
              </w:rPr>
              <w:t>דיונים</w:t>
            </w:r>
          </w:p>
        </w:tc>
        <w:tc>
          <w:tcPr>
            <w:tcW w:w="3119" w:type="dxa"/>
            <w:shd w:val="clear" w:color="auto" w:fill="auto"/>
            <w:vAlign w:val="center"/>
          </w:tcPr>
          <w:p w14:paraId="653214DE"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הערכת זמני עבודה שנ</w:t>
            </w:r>
            <w:r w:rsidR="008A177F" w:rsidRPr="00F25744">
              <w:rPr>
                <w:rFonts w:ascii="David" w:hAnsi="David" w:cs="David" w:hint="cs"/>
                <w:rtl/>
              </w:rPr>
              <w:t>עשת</w:t>
            </w:r>
            <w:r w:rsidRPr="00F25744">
              <w:rPr>
                <w:rFonts w:ascii="David" w:hAnsi="David" w:cs="David" w:hint="cs"/>
                <w:rtl/>
              </w:rPr>
              <w:t>ה בדיעבד ובתנאי מעבדה</w:t>
            </w:r>
          </w:p>
        </w:tc>
        <w:tc>
          <w:tcPr>
            <w:tcW w:w="3742" w:type="dxa"/>
            <w:shd w:val="clear" w:color="auto" w:fill="auto"/>
            <w:vAlign w:val="center"/>
          </w:tcPr>
          <w:p w14:paraId="4D576CD4"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מדידת זמני העבודה שהוקדשו בפועל, בידי ה</w:t>
            </w:r>
            <w:r w:rsidR="00850136" w:rsidRPr="00F25744">
              <w:rPr>
                <w:rFonts w:ascii="David" w:hAnsi="David" w:cs="David" w:hint="cs"/>
                <w:rtl/>
              </w:rPr>
              <w:t>שופטים והרשמים</w:t>
            </w:r>
          </w:p>
        </w:tc>
      </w:tr>
      <w:tr w:rsidR="00E0162E" w:rsidRPr="00F25744" w14:paraId="58B1BFA2" w14:textId="77777777" w:rsidTr="005B5363">
        <w:tc>
          <w:tcPr>
            <w:tcW w:w="2280" w:type="dxa"/>
            <w:shd w:val="clear" w:color="auto" w:fill="D9E2F3"/>
            <w:vAlign w:val="center"/>
          </w:tcPr>
          <w:p w14:paraId="715F3EED"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תקופת איסוף נתוני הזמן</w:t>
            </w:r>
          </w:p>
        </w:tc>
        <w:tc>
          <w:tcPr>
            <w:tcW w:w="3119" w:type="dxa"/>
            <w:shd w:val="clear" w:color="auto" w:fill="auto"/>
            <w:vAlign w:val="center"/>
          </w:tcPr>
          <w:p w14:paraId="6DFE0C05"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5 מפגשים חד יומיים</w:t>
            </w:r>
          </w:p>
        </w:tc>
        <w:tc>
          <w:tcPr>
            <w:tcW w:w="3742" w:type="dxa"/>
            <w:shd w:val="clear" w:color="auto" w:fill="auto"/>
            <w:vAlign w:val="center"/>
          </w:tcPr>
          <w:p w14:paraId="46201AD2"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חמישה שבועות עבודה רצופים</w:t>
            </w:r>
          </w:p>
        </w:tc>
      </w:tr>
      <w:tr w:rsidR="00E0162E" w:rsidRPr="00F25744" w14:paraId="73DC05B2" w14:textId="77777777" w:rsidTr="005B5363">
        <w:tc>
          <w:tcPr>
            <w:tcW w:w="2280" w:type="dxa"/>
            <w:vMerge w:val="restart"/>
            <w:shd w:val="clear" w:color="auto" w:fill="D9E2F3"/>
            <w:vAlign w:val="center"/>
          </w:tcPr>
          <w:p w14:paraId="36117F6C" w14:textId="77777777" w:rsidR="00594534" w:rsidRPr="00F25744" w:rsidRDefault="00E25AE7" w:rsidP="005B5363">
            <w:pPr>
              <w:widowControl w:val="0"/>
              <w:autoSpaceDE w:val="0"/>
              <w:autoSpaceDN w:val="0"/>
              <w:adjustRightInd w:val="0"/>
              <w:spacing w:line="240" w:lineRule="auto"/>
              <w:ind w:left="5"/>
              <w:rPr>
                <w:rFonts w:ascii="David" w:hAnsi="David" w:cs="David"/>
                <w:rtl/>
              </w:rPr>
            </w:pPr>
            <w:r w:rsidRPr="00F25744">
              <w:rPr>
                <w:rFonts w:ascii="David" w:hAnsi="David" w:cs="David" w:hint="cs"/>
                <w:rtl/>
              </w:rPr>
              <w:t>מספר משתתפי המחקר</w:t>
            </w:r>
          </w:p>
        </w:tc>
        <w:tc>
          <w:tcPr>
            <w:tcW w:w="3119" w:type="dxa"/>
            <w:shd w:val="clear" w:color="auto" w:fill="auto"/>
            <w:vAlign w:val="center"/>
          </w:tcPr>
          <w:p w14:paraId="58521658" w14:textId="77777777" w:rsidR="00CB3E1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מחוזי – 11 שופטים</w:t>
            </w:r>
          </w:p>
          <w:p w14:paraId="60300C14"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שלום – 25 שופטים</w:t>
            </w:r>
          </w:p>
          <w:p w14:paraId="2E4C3A80"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תעבורה – 4 שופטים</w:t>
            </w:r>
          </w:p>
          <w:p w14:paraId="3D6D152B"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משפחה – 5 שופטים</w:t>
            </w:r>
          </w:p>
          <w:p w14:paraId="1CD1F634"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נוער – 2 שופטים</w:t>
            </w:r>
          </w:p>
          <w:p w14:paraId="3DDEEBBA"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עבודה – 6 שופטים</w:t>
            </w:r>
          </w:p>
        </w:tc>
        <w:tc>
          <w:tcPr>
            <w:tcW w:w="3742" w:type="dxa"/>
            <w:shd w:val="clear" w:color="auto" w:fill="auto"/>
            <w:vAlign w:val="center"/>
          </w:tcPr>
          <w:p w14:paraId="2C06194F" w14:textId="77777777" w:rsidR="00594534" w:rsidRPr="00F25744" w:rsidRDefault="00E25AE7" w:rsidP="005B5363">
            <w:pPr>
              <w:widowControl w:val="0"/>
              <w:autoSpaceDE w:val="0"/>
              <w:autoSpaceDN w:val="0"/>
              <w:adjustRightInd w:val="0"/>
              <w:spacing w:line="240" w:lineRule="auto"/>
              <w:rPr>
                <w:rFonts w:ascii="David" w:hAnsi="David" w:cs="David"/>
              </w:rPr>
            </w:pPr>
            <w:r w:rsidRPr="00F25744">
              <w:rPr>
                <w:rFonts w:ascii="David" w:hAnsi="David" w:cs="David" w:hint="cs"/>
                <w:rtl/>
              </w:rPr>
              <w:t xml:space="preserve">מחוזי – </w:t>
            </w:r>
            <w:r w:rsidR="00BA306F" w:rsidRPr="00F25744">
              <w:rPr>
                <w:rFonts w:ascii="David" w:hAnsi="David" w:cs="David" w:hint="cs"/>
                <w:rtl/>
              </w:rPr>
              <w:t>174</w:t>
            </w:r>
            <w:r w:rsidRPr="00F25744">
              <w:rPr>
                <w:rFonts w:ascii="David" w:hAnsi="David" w:cs="David" w:hint="cs"/>
                <w:rtl/>
              </w:rPr>
              <w:t xml:space="preserve"> שופטים</w:t>
            </w:r>
          </w:p>
          <w:p w14:paraId="0105C445"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 xml:space="preserve">שלום – </w:t>
            </w:r>
            <w:r w:rsidR="00BA306F" w:rsidRPr="00F25744">
              <w:rPr>
                <w:rFonts w:ascii="David" w:hAnsi="David" w:cs="David" w:hint="cs"/>
                <w:rtl/>
              </w:rPr>
              <w:t>328</w:t>
            </w:r>
            <w:r w:rsidRPr="00F25744">
              <w:rPr>
                <w:rFonts w:ascii="David" w:hAnsi="David" w:cs="David" w:hint="cs"/>
                <w:rtl/>
              </w:rPr>
              <w:t xml:space="preserve"> שופטים ורשמים</w:t>
            </w:r>
          </w:p>
          <w:p w14:paraId="55473301"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 xml:space="preserve">תעבורה – </w:t>
            </w:r>
            <w:r w:rsidR="00BA306F" w:rsidRPr="00F25744">
              <w:rPr>
                <w:rFonts w:ascii="David" w:hAnsi="David" w:cs="David" w:hint="cs"/>
                <w:rtl/>
              </w:rPr>
              <w:t>36</w:t>
            </w:r>
            <w:r w:rsidRPr="00F25744">
              <w:rPr>
                <w:rFonts w:ascii="David" w:hAnsi="David" w:cs="David" w:hint="cs"/>
                <w:rtl/>
              </w:rPr>
              <w:t xml:space="preserve"> שופטים</w:t>
            </w:r>
          </w:p>
          <w:p w14:paraId="277C8016"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 xml:space="preserve">משפחה – </w:t>
            </w:r>
            <w:r w:rsidR="00BA306F" w:rsidRPr="00F25744">
              <w:rPr>
                <w:rFonts w:ascii="David" w:hAnsi="David" w:cs="David" w:hint="cs"/>
                <w:rtl/>
              </w:rPr>
              <w:t>61</w:t>
            </w:r>
            <w:r w:rsidRPr="00F25744">
              <w:rPr>
                <w:rFonts w:ascii="David" w:hAnsi="David" w:cs="David" w:hint="cs"/>
                <w:rtl/>
              </w:rPr>
              <w:t xml:space="preserve"> שופטים ורשמים</w:t>
            </w:r>
          </w:p>
          <w:p w14:paraId="6E4A9F4F"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 xml:space="preserve">נוער – </w:t>
            </w:r>
            <w:r w:rsidR="00BA306F" w:rsidRPr="00F25744">
              <w:rPr>
                <w:rFonts w:ascii="David" w:hAnsi="David" w:cs="David" w:hint="cs"/>
                <w:rtl/>
              </w:rPr>
              <w:t>16</w:t>
            </w:r>
            <w:r w:rsidRPr="00F25744">
              <w:rPr>
                <w:rFonts w:ascii="David" w:hAnsi="David" w:cs="David" w:hint="cs"/>
                <w:rtl/>
              </w:rPr>
              <w:t xml:space="preserve"> שופטים</w:t>
            </w:r>
          </w:p>
          <w:p w14:paraId="3FCE994D"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 xml:space="preserve">עבודה – </w:t>
            </w:r>
            <w:r w:rsidR="00601BF6" w:rsidRPr="00F25744">
              <w:rPr>
                <w:rFonts w:ascii="David" w:hAnsi="David" w:cs="David" w:hint="cs"/>
                <w:rtl/>
              </w:rPr>
              <w:t>61</w:t>
            </w:r>
            <w:r w:rsidRPr="00F25744">
              <w:rPr>
                <w:rFonts w:ascii="David" w:hAnsi="David" w:cs="David" w:hint="cs"/>
                <w:rtl/>
              </w:rPr>
              <w:t xml:space="preserve"> שופטים</w:t>
            </w:r>
          </w:p>
        </w:tc>
      </w:tr>
      <w:tr w:rsidR="00E0162E" w:rsidRPr="00F25744" w14:paraId="0AA3A7EA" w14:textId="77777777" w:rsidTr="005B5363">
        <w:tc>
          <w:tcPr>
            <w:tcW w:w="2280" w:type="dxa"/>
            <w:vMerge/>
            <w:shd w:val="clear" w:color="auto" w:fill="D9E2F3"/>
            <w:vAlign w:val="center"/>
          </w:tcPr>
          <w:p w14:paraId="5AD37EFD" w14:textId="77777777" w:rsidR="00594534" w:rsidRPr="00F25744" w:rsidRDefault="00594534" w:rsidP="005B5363">
            <w:pPr>
              <w:widowControl w:val="0"/>
              <w:autoSpaceDE w:val="0"/>
              <w:autoSpaceDN w:val="0"/>
              <w:adjustRightInd w:val="0"/>
              <w:spacing w:line="240" w:lineRule="auto"/>
              <w:rPr>
                <w:rFonts w:ascii="David" w:hAnsi="David" w:cs="David"/>
                <w:rtl/>
              </w:rPr>
            </w:pPr>
          </w:p>
        </w:tc>
        <w:tc>
          <w:tcPr>
            <w:tcW w:w="3119" w:type="dxa"/>
            <w:shd w:val="clear" w:color="auto" w:fill="auto"/>
            <w:vAlign w:val="center"/>
          </w:tcPr>
          <w:p w14:paraId="7EBB9D87" w14:textId="77777777" w:rsidR="00594534" w:rsidRPr="00F25744" w:rsidRDefault="00E25AE7" w:rsidP="005B5363">
            <w:pPr>
              <w:widowControl w:val="0"/>
              <w:autoSpaceDE w:val="0"/>
              <w:autoSpaceDN w:val="0"/>
              <w:adjustRightInd w:val="0"/>
              <w:spacing w:line="240" w:lineRule="auto"/>
              <w:rPr>
                <w:rFonts w:ascii="David" w:hAnsi="David" w:cs="David"/>
              </w:rPr>
            </w:pPr>
            <w:r w:rsidRPr="00F25744">
              <w:rPr>
                <w:rFonts w:ascii="David" w:hAnsi="David" w:cs="David" w:hint="cs"/>
                <w:rtl/>
              </w:rPr>
              <w:t xml:space="preserve">סה"כ </w:t>
            </w:r>
            <w:r w:rsidRPr="00F25744">
              <w:rPr>
                <w:rFonts w:ascii="David" w:hAnsi="David" w:cs="David"/>
                <w:rtl/>
              </w:rPr>
              <w:t>–</w:t>
            </w:r>
            <w:r w:rsidRPr="00F25744">
              <w:rPr>
                <w:rFonts w:ascii="David" w:hAnsi="David" w:cs="David" w:hint="cs"/>
                <w:rtl/>
              </w:rPr>
              <w:t xml:space="preserve"> 53 שופטים </w:t>
            </w:r>
          </w:p>
        </w:tc>
        <w:tc>
          <w:tcPr>
            <w:tcW w:w="3742" w:type="dxa"/>
            <w:shd w:val="clear" w:color="auto" w:fill="auto"/>
            <w:vAlign w:val="center"/>
          </w:tcPr>
          <w:p w14:paraId="7E973A47"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 xml:space="preserve">סה"כ </w:t>
            </w:r>
            <w:r w:rsidRPr="00F25744">
              <w:rPr>
                <w:rFonts w:ascii="David" w:hAnsi="David" w:cs="David"/>
                <w:rtl/>
              </w:rPr>
              <w:t>–</w:t>
            </w:r>
            <w:r w:rsidRPr="00F25744">
              <w:rPr>
                <w:rFonts w:ascii="David" w:hAnsi="David" w:cs="David" w:hint="cs"/>
                <w:rtl/>
              </w:rPr>
              <w:t xml:space="preserve"> </w:t>
            </w:r>
            <w:r w:rsidR="0038347C" w:rsidRPr="00F25744">
              <w:rPr>
                <w:rFonts w:ascii="David" w:hAnsi="David" w:cs="David" w:hint="cs"/>
                <w:rtl/>
              </w:rPr>
              <w:t>676</w:t>
            </w:r>
            <w:r w:rsidRPr="00F25744">
              <w:rPr>
                <w:rFonts w:ascii="David" w:hAnsi="David" w:cs="David" w:hint="cs"/>
                <w:rtl/>
              </w:rPr>
              <w:t xml:space="preserve"> שופטים ורשמים</w:t>
            </w:r>
            <w:r w:rsidR="00721393" w:rsidRPr="00F25744">
              <w:rPr>
                <w:rFonts w:ascii="David" w:hAnsi="David" w:cs="David" w:hint="cs"/>
                <w:rtl/>
              </w:rPr>
              <w:t>, המהווים כ-87% מכלל שופטי</w:t>
            </w:r>
            <w:r w:rsidR="00341018" w:rsidRPr="00F25744">
              <w:rPr>
                <w:rFonts w:ascii="David" w:hAnsi="David" w:cs="David" w:hint="cs"/>
                <w:rtl/>
              </w:rPr>
              <w:t xml:space="preserve"> ורשמי</w:t>
            </w:r>
            <w:r w:rsidR="00721393" w:rsidRPr="00F25744">
              <w:rPr>
                <w:rFonts w:ascii="David" w:hAnsi="David" w:cs="David" w:hint="cs"/>
                <w:rtl/>
              </w:rPr>
              <w:t xml:space="preserve"> ערכאות המחוזי, השלום</w:t>
            </w:r>
            <w:r w:rsidR="0002319B" w:rsidRPr="00F25744">
              <w:rPr>
                <w:rFonts w:ascii="David" w:hAnsi="David" w:cs="David" w:hint="cs"/>
                <w:rtl/>
              </w:rPr>
              <w:t xml:space="preserve">, </w:t>
            </w:r>
            <w:r w:rsidR="002125CB" w:rsidRPr="00F25744">
              <w:rPr>
                <w:rFonts w:ascii="David" w:hAnsi="David" w:cs="David" w:hint="cs"/>
                <w:rtl/>
              </w:rPr>
              <w:t xml:space="preserve">המשפחה, </w:t>
            </w:r>
            <w:r w:rsidR="0002319B" w:rsidRPr="00F25744">
              <w:rPr>
                <w:rFonts w:ascii="David" w:hAnsi="David" w:cs="David" w:hint="cs"/>
                <w:rtl/>
              </w:rPr>
              <w:t>התעבורה, הנוער</w:t>
            </w:r>
            <w:r w:rsidR="00721393" w:rsidRPr="00F25744">
              <w:rPr>
                <w:rFonts w:ascii="David" w:hAnsi="David" w:cs="David" w:hint="cs"/>
                <w:rtl/>
              </w:rPr>
              <w:t xml:space="preserve"> והעבודה</w:t>
            </w:r>
          </w:p>
        </w:tc>
      </w:tr>
      <w:tr w:rsidR="00E0162E" w:rsidRPr="00F25744" w14:paraId="7AC3A3B6" w14:textId="77777777" w:rsidTr="005B5363">
        <w:tc>
          <w:tcPr>
            <w:tcW w:w="2280" w:type="dxa"/>
            <w:shd w:val="clear" w:color="auto" w:fill="D9E2F3"/>
            <w:vAlign w:val="center"/>
          </w:tcPr>
          <w:p w14:paraId="436D61B2"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טכניקת איסוף נתוני זמן שמיעת הדיונים</w:t>
            </w:r>
          </w:p>
        </w:tc>
        <w:tc>
          <w:tcPr>
            <w:tcW w:w="3119" w:type="dxa"/>
            <w:shd w:val="clear" w:color="auto" w:fill="auto"/>
            <w:vAlign w:val="center"/>
          </w:tcPr>
          <w:p w14:paraId="5649D183"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 xml:space="preserve">טכניקה היסקית-משוואת רגרסיה הנסמכת על שעת התחילה של </w:t>
            </w:r>
            <w:r w:rsidR="00850136" w:rsidRPr="00F25744">
              <w:rPr>
                <w:rFonts w:ascii="David" w:hAnsi="David" w:cs="David" w:hint="cs"/>
                <w:rtl/>
              </w:rPr>
              <w:t>ה</w:t>
            </w:r>
            <w:r w:rsidRPr="00F25744">
              <w:rPr>
                <w:rFonts w:ascii="David" w:hAnsi="David" w:cs="David" w:hint="cs"/>
                <w:rtl/>
              </w:rPr>
              <w:t>דיון הראשון ושעת הסיום של הדיון האחרון ביום הדיונים</w:t>
            </w:r>
          </w:p>
        </w:tc>
        <w:tc>
          <w:tcPr>
            <w:tcW w:w="3742" w:type="dxa"/>
            <w:shd w:val="clear" w:color="auto" w:fill="auto"/>
            <w:vAlign w:val="center"/>
          </w:tcPr>
          <w:p w14:paraId="68F78559"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מדידת זמני אמת לאורך חמשת שבועות המדידה, באמצעות יומני פעילות שמולאו על ידי קלדניות האולם</w:t>
            </w:r>
          </w:p>
        </w:tc>
      </w:tr>
      <w:tr w:rsidR="00E0162E" w:rsidRPr="00F25744" w14:paraId="3C53B69E" w14:textId="77777777" w:rsidTr="005B5363">
        <w:trPr>
          <w:trHeight w:val="489"/>
        </w:trPr>
        <w:tc>
          <w:tcPr>
            <w:tcW w:w="2280" w:type="dxa"/>
            <w:shd w:val="clear" w:color="auto" w:fill="D9E2F3"/>
            <w:vAlign w:val="center"/>
          </w:tcPr>
          <w:p w14:paraId="3E6C6B0A"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כמות התיקים ששימשה לחילוץ הסתברויות סגירה</w:t>
            </w:r>
          </w:p>
        </w:tc>
        <w:tc>
          <w:tcPr>
            <w:tcW w:w="3119" w:type="dxa"/>
            <w:shd w:val="clear" w:color="auto" w:fill="auto"/>
            <w:vAlign w:val="center"/>
          </w:tcPr>
          <w:p w14:paraId="60532417"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 xml:space="preserve">כ-5,000 תיקים </w:t>
            </w:r>
          </w:p>
        </w:tc>
        <w:tc>
          <w:tcPr>
            <w:tcW w:w="3742" w:type="dxa"/>
            <w:shd w:val="clear" w:color="auto" w:fill="auto"/>
            <w:vAlign w:val="center"/>
          </w:tcPr>
          <w:p w14:paraId="709C6ECE"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14,813</w:t>
            </w:r>
            <w:r w:rsidR="007F3A52" w:rsidRPr="00F25744">
              <w:rPr>
                <w:rFonts w:ascii="David" w:hAnsi="David" w:cs="David" w:hint="cs"/>
                <w:rtl/>
              </w:rPr>
              <w:t xml:space="preserve"> תיקים </w:t>
            </w:r>
          </w:p>
        </w:tc>
      </w:tr>
      <w:tr w:rsidR="00E0162E" w:rsidRPr="00F25744" w14:paraId="31F30241" w14:textId="77777777" w:rsidTr="005B5363">
        <w:tc>
          <w:tcPr>
            <w:tcW w:w="2280" w:type="dxa"/>
            <w:shd w:val="clear" w:color="auto" w:fill="D9E2F3"/>
            <w:vAlign w:val="center"/>
          </w:tcPr>
          <w:p w14:paraId="7291A6E2"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 xml:space="preserve">חישוב ההישנות לאירועי כתיבת החלטות ביניים </w:t>
            </w:r>
          </w:p>
        </w:tc>
        <w:tc>
          <w:tcPr>
            <w:tcW w:w="3119" w:type="dxa"/>
            <w:shd w:val="clear" w:color="auto" w:fill="auto"/>
            <w:vAlign w:val="center"/>
          </w:tcPr>
          <w:p w14:paraId="58BC23FC"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על פי מספר הבקשות האלקטרוניות שהוגשו לתיק</w:t>
            </w:r>
          </w:p>
        </w:tc>
        <w:tc>
          <w:tcPr>
            <w:tcW w:w="3742" w:type="dxa"/>
            <w:shd w:val="clear" w:color="auto" w:fill="auto"/>
            <w:vAlign w:val="center"/>
          </w:tcPr>
          <w:p w14:paraId="44BD6C5D"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על פי מספר ההחלטות השיפוטיות שנחתמו בפועל לאורך חיי התיק, בהבחנה בין החלטות בפתקית להחלטות במסמך עצמאי</w:t>
            </w:r>
          </w:p>
        </w:tc>
      </w:tr>
      <w:tr w:rsidR="00E0162E" w:rsidRPr="00F25744" w14:paraId="08B96AB9" w14:textId="77777777" w:rsidTr="005B5363">
        <w:trPr>
          <w:trHeight w:val="1008"/>
        </w:trPr>
        <w:tc>
          <w:tcPr>
            <w:tcW w:w="2280" w:type="dxa"/>
            <w:shd w:val="clear" w:color="auto" w:fill="D9E2F3"/>
            <w:vAlign w:val="center"/>
          </w:tcPr>
          <w:p w14:paraId="52AA429E"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כמות</w:t>
            </w:r>
            <w:r w:rsidR="007F3A52" w:rsidRPr="00F25744">
              <w:rPr>
                <w:rFonts w:ascii="David" w:hAnsi="David" w:cs="David" w:hint="cs"/>
                <w:rtl/>
              </w:rPr>
              <w:t xml:space="preserve"> התיקים שנ</w:t>
            </w:r>
            <w:r w:rsidRPr="00F25744">
              <w:rPr>
                <w:rFonts w:ascii="David" w:hAnsi="David" w:cs="David" w:hint="cs"/>
                <w:rtl/>
              </w:rPr>
              <w:t>מדדו</w:t>
            </w:r>
          </w:p>
        </w:tc>
        <w:tc>
          <w:tcPr>
            <w:tcW w:w="3119" w:type="dxa"/>
            <w:shd w:val="clear" w:color="auto" w:fill="auto"/>
            <w:vAlign w:val="center"/>
          </w:tcPr>
          <w:p w14:paraId="68CA7A6B"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 xml:space="preserve">101 סוגי תיקים, </w:t>
            </w:r>
            <w:r w:rsidR="00460E86" w:rsidRPr="00F25744">
              <w:rPr>
                <w:rFonts w:ascii="David" w:hAnsi="David" w:cs="David" w:hint="cs"/>
                <w:rtl/>
              </w:rPr>
              <w:t xml:space="preserve">אשר היוו </w:t>
            </w:r>
            <w:r w:rsidR="007E536A" w:rsidRPr="00F25744">
              <w:rPr>
                <w:rFonts w:ascii="David" w:hAnsi="David" w:cs="David" w:hint="cs"/>
                <w:rtl/>
              </w:rPr>
              <w:t xml:space="preserve">מעל 95% </w:t>
            </w:r>
            <w:r w:rsidR="007F3A52" w:rsidRPr="00F25744">
              <w:rPr>
                <w:rFonts w:ascii="David" w:hAnsi="David" w:cs="David" w:hint="cs"/>
                <w:rtl/>
              </w:rPr>
              <w:t>מ</w:t>
            </w:r>
            <w:r w:rsidRPr="00F25744">
              <w:rPr>
                <w:rFonts w:ascii="David" w:hAnsi="David" w:cs="David" w:hint="cs"/>
                <w:rtl/>
              </w:rPr>
              <w:t xml:space="preserve">תמהיל </w:t>
            </w:r>
            <w:r w:rsidR="007F3A52" w:rsidRPr="00F25744">
              <w:rPr>
                <w:rFonts w:ascii="David" w:hAnsi="David" w:cs="David" w:hint="cs"/>
                <w:rtl/>
              </w:rPr>
              <w:t>התיקים</w:t>
            </w:r>
            <w:r w:rsidRPr="00F25744">
              <w:rPr>
                <w:rFonts w:ascii="David" w:hAnsi="David" w:cs="David" w:hint="cs"/>
                <w:rtl/>
              </w:rPr>
              <w:t xml:space="preserve"> </w:t>
            </w:r>
            <w:r w:rsidR="00305699" w:rsidRPr="00F25744">
              <w:rPr>
                <w:rFonts w:ascii="David" w:hAnsi="David" w:cs="David" w:hint="cs"/>
                <w:rtl/>
              </w:rPr>
              <w:t>שנדונו</w:t>
            </w:r>
            <w:r w:rsidR="007F3A52" w:rsidRPr="00F25744">
              <w:rPr>
                <w:rFonts w:ascii="David" w:hAnsi="David" w:cs="David" w:hint="cs"/>
                <w:rtl/>
              </w:rPr>
              <w:t xml:space="preserve"> בערכאות השונות</w:t>
            </w:r>
          </w:p>
        </w:tc>
        <w:tc>
          <w:tcPr>
            <w:tcW w:w="3742" w:type="dxa"/>
            <w:shd w:val="clear" w:color="auto" w:fill="auto"/>
            <w:vAlign w:val="center"/>
          </w:tcPr>
          <w:p w14:paraId="3AC73E9A" w14:textId="77777777" w:rsidR="00594534" w:rsidRPr="00F25744" w:rsidRDefault="00E762AE"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125</w:t>
            </w:r>
            <w:r w:rsidR="00850136" w:rsidRPr="00F25744">
              <w:rPr>
                <w:rFonts w:ascii="David" w:hAnsi="David" w:cs="David" w:hint="cs"/>
                <w:rtl/>
              </w:rPr>
              <w:t xml:space="preserve"> סוגי תיקים ועוד </w:t>
            </w:r>
            <w:r w:rsidR="00EF4E3F" w:rsidRPr="00F25744">
              <w:rPr>
                <w:rFonts w:ascii="David" w:hAnsi="David" w:cs="David" w:hint="cs"/>
                <w:rtl/>
              </w:rPr>
              <w:t>24</w:t>
            </w:r>
            <w:r w:rsidR="00850136" w:rsidRPr="00F25744">
              <w:rPr>
                <w:rFonts w:ascii="David" w:hAnsi="David" w:cs="David" w:hint="cs"/>
                <w:rtl/>
              </w:rPr>
              <w:t xml:space="preserve"> סוגי עניין ייחודיים, המהווים כמעט 99% מתמהיל התיקים הנדונים בערכאות השונות </w:t>
            </w:r>
            <w:r w:rsidR="00E35233" w:rsidRPr="00F25744">
              <w:rPr>
                <w:rFonts w:ascii="David" w:hAnsi="David" w:cs="David" w:hint="cs"/>
                <w:rtl/>
              </w:rPr>
              <w:t>(ועוד 18 סוגי תיקים הנדונים בבתי</w:t>
            </w:r>
            <w:r w:rsidRPr="00F25744">
              <w:rPr>
                <w:rFonts w:ascii="David" w:hAnsi="David" w:cs="David" w:hint="cs"/>
                <w:rtl/>
              </w:rPr>
              <w:t xml:space="preserve"> </w:t>
            </w:r>
            <w:r w:rsidR="00E35233" w:rsidRPr="00F25744">
              <w:rPr>
                <w:rFonts w:ascii="David" w:hAnsi="David" w:cs="David" w:hint="cs"/>
                <w:rtl/>
              </w:rPr>
              <w:t>הד</w:t>
            </w:r>
            <w:r w:rsidRPr="00F25744">
              <w:rPr>
                <w:rFonts w:ascii="David" w:hAnsi="David" w:cs="David" w:hint="cs"/>
                <w:rtl/>
              </w:rPr>
              <w:t>ין</w:t>
            </w:r>
            <w:r w:rsidR="00AB641A" w:rsidRPr="00F25744">
              <w:rPr>
                <w:rFonts w:ascii="David" w:hAnsi="David" w:cs="David" w:hint="cs"/>
                <w:rtl/>
              </w:rPr>
              <w:t xml:space="preserve"> האזוריים</w:t>
            </w:r>
            <w:r w:rsidR="00E35233" w:rsidRPr="00F25744">
              <w:rPr>
                <w:rFonts w:ascii="David" w:hAnsi="David" w:cs="David" w:hint="cs"/>
                <w:rtl/>
              </w:rPr>
              <w:t xml:space="preserve"> לעבודה)</w:t>
            </w:r>
          </w:p>
        </w:tc>
      </w:tr>
      <w:tr w:rsidR="00E0162E" w:rsidRPr="00F25744" w14:paraId="70EBE925" w14:textId="77777777" w:rsidTr="005B5363">
        <w:tc>
          <w:tcPr>
            <w:tcW w:w="2280" w:type="dxa"/>
            <w:shd w:val="clear" w:color="auto" w:fill="D9E2F3"/>
            <w:vAlign w:val="center"/>
          </w:tcPr>
          <w:p w14:paraId="4C3FE757"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ה</w:t>
            </w:r>
            <w:r w:rsidR="007F3A52" w:rsidRPr="00F25744">
              <w:rPr>
                <w:rFonts w:ascii="David" w:hAnsi="David" w:cs="David" w:hint="cs"/>
                <w:rtl/>
              </w:rPr>
              <w:t xml:space="preserve">תוצר </w:t>
            </w:r>
            <w:r w:rsidRPr="00F25744">
              <w:rPr>
                <w:rFonts w:ascii="David" w:hAnsi="David" w:cs="David" w:hint="cs"/>
                <w:rtl/>
              </w:rPr>
              <w:t>ה</w:t>
            </w:r>
            <w:r w:rsidR="007F3A52" w:rsidRPr="00F25744">
              <w:rPr>
                <w:rFonts w:ascii="David" w:hAnsi="David" w:cs="David" w:hint="cs"/>
                <w:rtl/>
              </w:rPr>
              <w:t>סופי</w:t>
            </w:r>
          </w:p>
        </w:tc>
        <w:tc>
          <w:tcPr>
            <w:tcW w:w="3119" w:type="dxa"/>
            <w:shd w:val="clear" w:color="auto" w:fill="auto"/>
            <w:vAlign w:val="center"/>
          </w:tcPr>
          <w:p w14:paraId="4A9ACDEB"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מדד משקל תיק</w:t>
            </w:r>
          </w:p>
        </w:tc>
        <w:tc>
          <w:tcPr>
            <w:tcW w:w="3742" w:type="dxa"/>
            <w:shd w:val="clear" w:color="auto" w:fill="auto"/>
            <w:vAlign w:val="center"/>
          </w:tcPr>
          <w:p w14:paraId="2FDA9DFE" w14:textId="77777777" w:rsidR="00594534" w:rsidRPr="00F25744" w:rsidRDefault="00E25AE7" w:rsidP="005B5363">
            <w:pPr>
              <w:widowControl w:val="0"/>
              <w:autoSpaceDE w:val="0"/>
              <w:autoSpaceDN w:val="0"/>
              <w:adjustRightInd w:val="0"/>
              <w:spacing w:line="240" w:lineRule="auto"/>
              <w:rPr>
                <w:rFonts w:ascii="David" w:hAnsi="David" w:cs="David"/>
                <w:rtl/>
              </w:rPr>
            </w:pPr>
            <w:r w:rsidRPr="00F25744">
              <w:rPr>
                <w:rFonts w:ascii="David" w:hAnsi="David" w:cs="David" w:hint="cs"/>
                <w:rtl/>
              </w:rPr>
              <w:t>זמני הטיפול השיפוטי בסוגי התיקים השונים</w:t>
            </w:r>
            <w:r w:rsidR="00CB3E14" w:rsidRPr="00F25744">
              <w:rPr>
                <w:rFonts w:ascii="David" w:hAnsi="David" w:cs="David" w:hint="cs"/>
                <w:rtl/>
              </w:rPr>
              <w:t xml:space="preserve">; </w:t>
            </w:r>
            <w:r w:rsidRPr="00F25744">
              <w:rPr>
                <w:rFonts w:ascii="David" w:hAnsi="David" w:cs="David" w:hint="cs"/>
                <w:rtl/>
              </w:rPr>
              <w:t>תמהיל יום העבודה השיפוטי</w:t>
            </w:r>
          </w:p>
        </w:tc>
      </w:tr>
    </w:tbl>
    <w:p w14:paraId="255C2269" w14:textId="77777777" w:rsidR="006227EC" w:rsidRPr="00F25744" w:rsidRDefault="00E25AE7" w:rsidP="00BD23BB">
      <w:pPr>
        <w:pStyle w:val="1"/>
        <w:numPr>
          <w:ilvl w:val="0"/>
          <w:numId w:val="27"/>
        </w:numPr>
        <w:spacing w:line="240" w:lineRule="auto"/>
        <w:rPr>
          <w:rtl/>
        </w:rPr>
      </w:pPr>
      <w:r w:rsidRPr="00F25744">
        <w:rPr>
          <w:rtl/>
        </w:rPr>
        <w:br w:type="page"/>
      </w:r>
      <w:bookmarkStart w:id="97" w:name="_Toc46226030"/>
      <w:bookmarkStart w:id="98" w:name="_Toc46226174"/>
      <w:bookmarkStart w:id="99" w:name="_Toc46228341"/>
      <w:bookmarkStart w:id="100" w:name="_Toc46228439"/>
      <w:bookmarkStart w:id="101" w:name="_Toc46230366"/>
      <w:bookmarkStart w:id="102" w:name="_Toc46230464"/>
      <w:bookmarkStart w:id="103" w:name="_Toc46310354"/>
      <w:bookmarkStart w:id="104" w:name="_Toc46413996"/>
      <w:bookmarkStart w:id="105" w:name="_Toc49352736"/>
      <w:bookmarkStart w:id="106" w:name="_Toc49429641"/>
      <w:bookmarkStart w:id="107" w:name="_Toc49435870"/>
      <w:bookmarkStart w:id="108" w:name="_Toc74750953"/>
      <w:r w:rsidRPr="00F25744">
        <w:rPr>
          <w:rFonts w:hint="cs"/>
          <w:rtl/>
        </w:rPr>
        <w:lastRenderedPageBreak/>
        <w:t>מתודולוגי</w:t>
      </w:r>
      <w:bookmarkEnd w:id="97"/>
      <w:bookmarkEnd w:id="98"/>
      <w:r w:rsidR="004F7719" w:rsidRPr="00F25744">
        <w:rPr>
          <w:rFonts w:hint="cs"/>
          <w:rtl/>
        </w:rPr>
        <w:t>ה</w:t>
      </w:r>
      <w:bookmarkEnd w:id="99"/>
      <w:bookmarkEnd w:id="100"/>
      <w:bookmarkEnd w:id="101"/>
      <w:bookmarkEnd w:id="102"/>
      <w:bookmarkEnd w:id="103"/>
      <w:bookmarkEnd w:id="104"/>
      <w:bookmarkEnd w:id="105"/>
      <w:bookmarkEnd w:id="106"/>
      <w:bookmarkEnd w:id="107"/>
      <w:bookmarkEnd w:id="108"/>
    </w:p>
    <w:p w14:paraId="5AA0D442" w14:textId="77777777" w:rsidR="00EA1FB9" w:rsidRPr="00F25744" w:rsidRDefault="00EA1FB9" w:rsidP="00BD23BB">
      <w:pPr>
        <w:spacing w:after="0" w:line="240" w:lineRule="auto"/>
        <w:jc w:val="both"/>
        <w:rPr>
          <w:rFonts w:cs="David"/>
          <w:sz w:val="16"/>
          <w:szCs w:val="16"/>
          <w:rtl/>
        </w:rPr>
      </w:pPr>
    </w:p>
    <w:p w14:paraId="66FBD811" w14:textId="77777777" w:rsidR="006227EC" w:rsidRPr="00F25744" w:rsidRDefault="00E25AE7" w:rsidP="00BD23BB">
      <w:pPr>
        <w:spacing w:before="120" w:after="0" w:line="360" w:lineRule="auto"/>
        <w:jc w:val="both"/>
        <w:rPr>
          <w:rFonts w:cs="David"/>
          <w:sz w:val="24"/>
          <w:szCs w:val="24"/>
          <w:rtl/>
        </w:rPr>
      </w:pPr>
      <w:r w:rsidRPr="00F25744">
        <w:rPr>
          <w:rFonts w:cs="David" w:hint="cs"/>
          <w:sz w:val="24"/>
          <w:szCs w:val="24"/>
          <w:rtl/>
        </w:rPr>
        <w:t xml:space="preserve">מחקר עומס העבודה השיפוטית נבנה מארבעה מערכי מחקר שונים, אשר יחד הניבו </w:t>
      </w:r>
      <w:r w:rsidRPr="00F25744">
        <w:rPr>
          <w:rFonts w:ascii="David" w:hAnsi="David" w:cs="David" w:hint="cs"/>
          <w:sz w:val="24"/>
          <w:szCs w:val="24"/>
          <w:rtl/>
        </w:rPr>
        <w:t xml:space="preserve">שני סוגי נתונים: נתונים על זמני האירועים המרכזיים בחיי התיק (נתוני השופטים/רשמים ונתוני קלדניות) ונתונים על תדירות התרחשותם של אירועים אלו (הסתברויות סגירה ונתונים ממערכת נט המשפט). </w:t>
      </w:r>
      <w:r w:rsidRPr="00F25744">
        <w:rPr>
          <w:rFonts w:cs="David" w:hint="cs"/>
          <w:sz w:val="24"/>
          <w:szCs w:val="24"/>
          <w:rtl/>
        </w:rPr>
        <w:t xml:space="preserve">נתונים אלו שימשו לחישוב תוצרי המחקר - זמני הטיפול השיפוטי בסוגי התיקים השונים ופילוח יום העבודה השיפוטי. בפרק זה נפרט בהרחבה על כל אחד מארבעת מערכי המחקר, </w:t>
      </w:r>
      <w:r w:rsidR="004D6966" w:rsidRPr="00F25744">
        <w:rPr>
          <w:rFonts w:cs="David" w:hint="cs"/>
          <w:sz w:val="24"/>
          <w:szCs w:val="24"/>
          <w:rtl/>
        </w:rPr>
        <w:t xml:space="preserve">אולם קודם לזאת נפרט מעט על נושא </w:t>
      </w:r>
      <w:r w:rsidR="004D6966" w:rsidRPr="00F25744">
        <w:rPr>
          <w:rFonts w:cs="David" w:hint="cs"/>
          <w:b/>
          <w:bCs/>
          <w:sz w:val="24"/>
          <w:szCs w:val="24"/>
          <w:rtl/>
        </w:rPr>
        <w:t>השמירה על אנונימיות השופטים ואבטחת המידע</w:t>
      </w:r>
      <w:r w:rsidR="004D6966" w:rsidRPr="00F25744">
        <w:rPr>
          <w:rFonts w:cs="David" w:hint="cs"/>
          <w:sz w:val="24"/>
          <w:szCs w:val="24"/>
          <w:rtl/>
        </w:rPr>
        <w:t xml:space="preserve"> אשר השפיע על אופן בניית המחקר הנוכחי.  </w:t>
      </w:r>
      <w:r w:rsidRPr="00F25744">
        <w:rPr>
          <w:rFonts w:cs="David" w:hint="cs"/>
          <w:sz w:val="24"/>
          <w:szCs w:val="24"/>
          <w:rtl/>
        </w:rPr>
        <w:t xml:space="preserve"> </w:t>
      </w:r>
    </w:p>
    <w:p w14:paraId="669CFA30" w14:textId="77777777" w:rsidR="006B41B5" w:rsidRPr="00F25744" w:rsidRDefault="00E25AE7" w:rsidP="00BD23BB">
      <w:pPr>
        <w:pStyle w:val="a3"/>
        <w:widowControl w:val="0"/>
        <w:autoSpaceDE w:val="0"/>
        <w:autoSpaceDN w:val="0"/>
        <w:bidi/>
        <w:adjustRightInd w:val="0"/>
        <w:spacing w:before="120" w:after="0" w:line="360" w:lineRule="auto"/>
        <w:ind w:left="0"/>
        <w:rPr>
          <w:rFonts w:ascii="David" w:hAnsi="David" w:cs="David"/>
          <w:sz w:val="24"/>
          <w:szCs w:val="24"/>
        </w:rPr>
      </w:pPr>
      <w:r w:rsidRPr="00F25744">
        <w:rPr>
          <w:rFonts w:cs="David" w:hint="cs"/>
          <w:sz w:val="24"/>
          <w:szCs w:val="24"/>
          <w:rtl/>
        </w:rPr>
        <w:t xml:space="preserve">אחד הנושאים החשובים </w:t>
      </w:r>
      <w:r w:rsidR="00404641" w:rsidRPr="00F25744">
        <w:rPr>
          <w:rFonts w:cs="David" w:hint="cs"/>
          <w:sz w:val="24"/>
          <w:szCs w:val="24"/>
          <w:rtl/>
        </w:rPr>
        <w:t xml:space="preserve">שיש להידרש אליהם </w:t>
      </w:r>
      <w:r w:rsidRPr="00F25744">
        <w:rPr>
          <w:rFonts w:cs="David" w:hint="cs"/>
          <w:sz w:val="24"/>
          <w:szCs w:val="24"/>
          <w:rtl/>
        </w:rPr>
        <w:t xml:space="preserve">בעת ביצוע מחקר </w:t>
      </w:r>
      <w:r w:rsidR="00817CC7" w:rsidRPr="00F25744">
        <w:rPr>
          <w:rFonts w:cs="David" w:hint="cs"/>
          <w:sz w:val="24"/>
          <w:szCs w:val="24"/>
          <w:rtl/>
        </w:rPr>
        <w:t>בשיטה כזו ו</w:t>
      </w:r>
      <w:r w:rsidRPr="00F25744">
        <w:rPr>
          <w:rFonts w:cs="David" w:hint="cs"/>
          <w:sz w:val="24"/>
          <w:szCs w:val="24"/>
          <w:rtl/>
        </w:rPr>
        <w:t>בסדר גודל כזה</w:t>
      </w:r>
      <w:r w:rsidR="00404641" w:rsidRPr="00F25744">
        <w:rPr>
          <w:rFonts w:cs="David" w:hint="cs"/>
          <w:sz w:val="24"/>
          <w:szCs w:val="24"/>
          <w:rtl/>
        </w:rPr>
        <w:t>, הכולל איסוף נתונים</w:t>
      </w:r>
      <w:r w:rsidRPr="00F25744">
        <w:rPr>
          <w:rFonts w:cs="David" w:hint="cs"/>
          <w:sz w:val="24"/>
          <w:szCs w:val="24"/>
          <w:rtl/>
        </w:rPr>
        <w:t xml:space="preserve"> רגישים </w:t>
      </w:r>
      <w:r w:rsidR="00404641" w:rsidRPr="00F25744">
        <w:rPr>
          <w:rFonts w:cs="David" w:hint="cs"/>
          <w:sz w:val="24"/>
          <w:szCs w:val="24"/>
          <w:rtl/>
        </w:rPr>
        <w:t>ועבודה עם גורם חיצוני למערכת (חברת הסקרים "שריד")</w:t>
      </w:r>
      <w:r w:rsidR="00817CC7" w:rsidRPr="00F25744">
        <w:rPr>
          <w:rFonts w:cs="David" w:hint="cs"/>
          <w:sz w:val="24"/>
          <w:szCs w:val="24"/>
          <w:rtl/>
        </w:rPr>
        <w:t>,</w:t>
      </w:r>
      <w:r w:rsidR="00404641" w:rsidRPr="00F25744">
        <w:rPr>
          <w:rFonts w:cs="David" w:hint="cs"/>
          <w:sz w:val="24"/>
          <w:szCs w:val="24"/>
          <w:rtl/>
        </w:rPr>
        <w:t xml:space="preserve"> הוא</w:t>
      </w:r>
      <w:r w:rsidRPr="00F25744">
        <w:rPr>
          <w:rFonts w:cs="David" w:hint="cs"/>
          <w:sz w:val="24"/>
          <w:szCs w:val="24"/>
          <w:rtl/>
        </w:rPr>
        <w:t xml:space="preserve"> נושא ה</w:t>
      </w:r>
      <w:r w:rsidR="00404641" w:rsidRPr="00F25744">
        <w:rPr>
          <w:rFonts w:cs="David" w:hint="cs"/>
          <w:sz w:val="24"/>
          <w:szCs w:val="24"/>
          <w:rtl/>
        </w:rPr>
        <w:t>שמירה על ה</w:t>
      </w:r>
      <w:r w:rsidRPr="00F25744">
        <w:rPr>
          <w:rFonts w:cs="David" w:hint="cs"/>
          <w:sz w:val="24"/>
          <w:szCs w:val="24"/>
          <w:rtl/>
        </w:rPr>
        <w:t>אנונימיות ואבטחת המידע</w:t>
      </w:r>
      <w:r w:rsidR="00404641" w:rsidRPr="00F25744">
        <w:rPr>
          <w:rFonts w:cs="David" w:hint="cs"/>
          <w:sz w:val="24"/>
          <w:szCs w:val="24"/>
          <w:rtl/>
        </w:rPr>
        <w:t>. על כן, מחלקת המחקר נקטה בהליכי אישור מקדמיים עובר למחקר בתי הדין לעבודה ועובר למחקר הנוכחי</w:t>
      </w:r>
      <w:r w:rsidR="006221EF" w:rsidRPr="00F25744">
        <w:rPr>
          <w:rFonts w:cs="David" w:hint="cs"/>
          <w:sz w:val="24"/>
          <w:szCs w:val="24"/>
          <w:rtl/>
        </w:rPr>
        <w:t xml:space="preserve">. </w:t>
      </w:r>
      <w:r w:rsidR="00404641" w:rsidRPr="00F25744">
        <w:rPr>
          <w:rFonts w:ascii="David" w:hAnsi="David" w:cs="David" w:hint="cs"/>
          <w:sz w:val="24"/>
          <w:szCs w:val="24"/>
          <w:rtl/>
        </w:rPr>
        <w:t>לקראת</w:t>
      </w:r>
      <w:r w:rsidRPr="00F25744">
        <w:rPr>
          <w:rFonts w:ascii="David" w:hAnsi="David" w:cs="David" w:hint="cs"/>
          <w:sz w:val="24"/>
          <w:szCs w:val="24"/>
          <w:rtl/>
        </w:rPr>
        <w:t xml:space="preserve"> עריכתו של מחקר בתי הדין לעבודה, הגישה מחלקת המחקר בקשה לוועדת הסייבר (הוועדה המייעצת</w:t>
      </w:r>
      <w:r w:rsidRPr="00F25744">
        <w:rPr>
          <w:rFonts w:ascii="David" w:hAnsi="David" w:cs="David"/>
          <w:sz w:val="24"/>
          <w:szCs w:val="24"/>
        </w:rPr>
        <w:t xml:space="preserve"> </w:t>
      </w:r>
      <w:r w:rsidRPr="00F25744">
        <w:rPr>
          <w:rFonts w:ascii="David" w:hAnsi="David" w:cs="David" w:hint="cs"/>
          <w:sz w:val="24"/>
          <w:szCs w:val="24"/>
          <w:rtl/>
        </w:rPr>
        <w:t>להגנת</w:t>
      </w:r>
      <w:r w:rsidRPr="00F25744">
        <w:rPr>
          <w:rFonts w:ascii="David" w:hAnsi="David" w:cs="David"/>
          <w:sz w:val="24"/>
          <w:szCs w:val="24"/>
        </w:rPr>
        <w:t xml:space="preserve"> </w:t>
      </w:r>
      <w:r w:rsidRPr="00F25744">
        <w:rPr>
          <w:rFonts w:ascii="David" w:hAnsi="David" w:cs="David" w:hint="cs"/>
          <w:sz w:val="24"/>
          <w:szCs w:val="24"/>
          <w:rtl/>
        </w:rPr>
        <w:t>הסייבר</w:t>
      </w:r>
      <w:r w:rsidRPr="00F25744">
        <w:rPr>
          <w:rFonts w:ascii="David" w:hAnsi="David" w:cs="David"/>
          <w:sz w:val="24"/>
          <w:szCs w:val="24"/>
        </w:rPr>
        <w:t xml:space="preserve"> </w:t>
      </w:r>
      <w:r w:rsidRPr="00F25744">
        <w:rPr>
          <w:rFonts w:ascii="David" w:hAnsi="David" w:cs="David" w:hint="cs"/>
          <w:sz w:val="24"/>
          <w:szCs w:val="24"/>
          <w:rtl/>
        </w:rPr>
        <w:t>במעבר</w:t>
      </w:r>
      <w:r w:rsidRPr="00F25744">
        <w:rPr>
          <w:rFonts w:ascii="David" w:hAnsi="David" w:cs="David"/>
          <w:sz w:val="24"/>
          <w:szCs w:val="24"/>
        </w:rPr>
        <w:t xml:space="preserve"> </w:t>
      </w:r>
      <w:r w:rsidRPr="00F25744">
        <w:rPr>
          <w:rFonts w:ascii="David" w:hAnsi="David" w:cs="David" w:hint="cs"/>
          <w:sz w:val="24"/>
          <w:szCs w:val="24"/>
          <w:rtl/>
        </w:rPr>
        <w:t>לענן</w:t>
      </w:r>
      <w:r w:rsidRPr="00F25744">
        <w:rPr>
          <w:rFonts w:ascii="David" w:hAnsi="David" w:cs="David"/>
          <w:sz w:val="24"/>
          <w:szCs w:val="24"/>
        </w:rPr>
        <w:t xml:space="preserve"> </w:t>
      </w:r>
      <w:r w:rsidRPr="00F25744">
        <w:rPr>
          <w:rFonts w:ascii="David" w:hAnsi="David" w:cs="David" w:hint="cs"/>
          <w:sz w:val="24"/>
          <w:szCs w:val="24"/>
          <w:rtl/>
        </w:rPr>
        <w:t>ציבורי, של היחידה</w:t>
      </w:r>
      <w:r w:rsidR="00D15C08" w:rsidRPr="00F25744">
        <w:rPr>
          <w:rFonts w:ascii="David" w:hAnsi="David" w:cs="David" w:hint="cs"/>
          <w:sz w:val="24"/>
          <w:szCs w:val="24"/>
          <w:rtl/>
        </w:rPr>
        <w:t xml:space="preserve"> </w:t>
      </w:r>
      <w:r w:rsidRPr="00F25744">
        <w:rPr>
          <w:rFonts w:ascii="David" w:hAnsi="David" w:cs="David" w:hint="cs"/>
          <w:sz w:val="24"/>
          <w:szCs w:val="24"/>
          <w:rtl/>
        </w:rPr>
        <w:t>להגנת הסייבר</w:t>
      </w:r>
      <w:r w:rsidRPr="00F25744">
        <w:rPr>
          <w:rFonts w:ascii="David" w:hAnsi="David" w:cs="David"/>
          <w:sz w:val="24"/>
          <w:szCs w:val="24"/>
        </w:rPr>
        <w:t xml:space="preserve"> </w:t>
      </w:r>
      <w:r w:rsidRPr="00F25744">
        <w:rPr>
          <w:rFonts w:ascii="David" w:hAnsi="David" w:cs="David" w:hint="cs"/>
          <w:sz w:val="24"/>
          <w:szCs w:val="24"/>
          <w:rtl/>
        </w:rPr>
        <w:t>בממשלה</w:t>
      </w:r>
      <w:r w:rsidRPr="00F25744">
        <w:rPr>
          <w:rFonts w:ascii="David" w:hAnsi="David" w:cs="David"/>
          <w:sz w:val="24"/>
          <w:szCs w:val="24"/>
        </w:rPr>
        <w:t xml:space="preserve"> - </w:t>
      </w:r>
      <w:r w:rsidRPr="00F25744">
        <w:rPr>
          <w:rFonts w:ascii="David" w:hAnsi="David" w:cs="David" w:hint="cs"/>
          <w:sz w:val="24"/>
          <w:szCs w:val="24"/>
          <w:rtl/>
        </w:rPr>
        <w:t>יה</w:t>
      </w:r>
      <w:r w:rsidRPr="00F25744">
        <w:rPr>
          <w:rFonts w:ascii="David" w:hAnsi="David" w:cs="David"/>
          <w:sz w:val="24"/>
          <w:szCs w:val="24"/>
        </w:rPr>
        <w:t>"</w:t>
      </w:r>
      <w:r w:rsidRPr="00F25744">
        <w:rPr>
          <w:rFonts w:ascii="David" w:hAnsi="David" w:cs="David" w:hint="cs"/>
          <w:sz w:val="24"/>
          <w:szCs w:val="24"/>
          <w:rtl/>
        </w:rPr>
        <w:t>ב</w:t>
      </w:r>
      <w:r w:rsidR="00404641" w:rsidRPr="00F25744">
        <w:rPr>
          <w:rFonts w:ascii="David" w:hAnsi="David" w:cs="David" w:hint="cs"/>
          <w:sz w:val="24"/>
          <w:szCs w:val="24"/>
          <w:rtl/>
        </w:rPr>
        <w:t xml:space="preserve"> במשרד ראש הממשלה</w:t>
      </w:r>
      <w:r w:rsidRPr="00F25744">
        <w:rPr>
          <w:rFonts w:ascii="David" w:hAnsi="David" w:cs="David" w:hint="cs"/>
          <w:sz w:val="24"/>
          <w:szCs w:val="24"/>
          <w:rtl/>
        </w:rPr>
        <w:t xml:space="preserve">) שמטרתה הערכת הסיכון במתן </w:t>
      </w:r>
      <w:r w:rsidR="00404641" w:rsidRPr="00F25744">
        <w:rPr>
          <w:rFonts w:ascii="David" w:hAnsi="David" w:cs="David" w:hint="cs"/>
          <w:sz w:val="24"/>
          <w:szCs w:val="24"/>
          <w:rtl/>
        </w:rPr>
        <w:t>גישה</w:t>
      </w:r>
      <w:r w:rsidRPr="00F25744">
        <w:rPr>
          <w:rFonts w:ascii="David" w:hAnsi="David" w:cs="David" w:hint="cs"/>
          <w:sz w:val="24"/>
          <w:szCs w:val="24"/>
          <w:rtl/>
        </w:rPr>
        <w:t xml:space="preserve"> לנתונים מתוך המערכת לספק שירותים חיצוני, וקביעת המנגנונים הטכנולוגיים אשר יבטיחו הגנה על פרטיות השופטים במחקר. ועדת הסייבר </w:t>
      </w:r>
      <w:r w:rsidR="00404641" w:rsidRPr="00F25744">
        <w:rPr>
          <w:rFonts w:ascii="David" w:hAnsi="David" w:cs="David" w:hint="cs"/>
          <w:sz w:val="24"/>
          <w:szCs w:val="24"/>
          <w:rtl/>
        </w:rPr>
        <w:t>אישרה את עריכת המחקר</w:t>
      </w:r>
      <w:r w:rsidRPr="00F25744">
        <w:rPr>
          <w:rFonts w:ascii="David" w:hAnsi="David" w:cs="David" w:hint="cs"/>
          <w:sz w:val="24"/>
          <w:szCs w:val="24"/>
          <w:rtl/>
        </w:rPr>
        <w:t xml:space="preserve">, לאחר שנקבעו מנגנוני אבטחת מידע ייחודיים שתכליתם מזעור החשש מפני פגיעה כלשהי בפרטיות השופטים. </w:t>
      </w:r>
      <w:r w:rsidR="006221EF" w:rsidRPr="00F25744">
        <w:rPr>
          <w:rFonts w:ascii="David" w:hAnsi="David" w:cs="David" w:hint="cs"/>
          <w:sz w:val="24"/>
          <w:szCs w:val="24"/>
          <w:rtl/>
        </w:rPr>
        <w:t xml:space="preserve">כך גם עשתה מחלקת המחקר </w:t>
      </w:r>
      <w:r w:rsidR="00404641" w:rsidRPr="00F25744">
        <w:rPr>
          <w:rFonts w:ascii="David" w:hAnsi="David" w:cs="David" w:hint="cs"/>
          <w:sz w:val="24"/>
          <w:szCs w:val="24"/>
          <w:rtl/>
        </w:rPr>
        <w:t>לקראת עריכתו של המחקר הנוכחי</w:t>
      </w:r>
      <w:r w:rsidR="006221EF" w:rsidRPr="00F25744">
        <w:rPr>
          <w:rFonts w:ascii="David" w:hAnsi="David" w:cs="David" w:hint="cs"/>
          <w:sz w:val="24"/>
          <w:szCs w:val="24"/>
          <w:rtl/>
        </w:rPr>
        <w:t>.</w:t>
      </w:r>
      <w:r w:rsidRPr="00F25744">
        <w:rPr>
          <w:rFonts w:ascii="David" w:hAnsi="David" w:cs="David" w:hint="cs"/>
          <w:sz w:val="24"/>
          <w:szCs w:val="24"/>
          <w:rtl/>
        </w:rPr>
        <w:t xml:space="preserve"> ועדת הסייבר </w:t>
      </w:r>
      <w:r w:rsidR="00404641" w:rsidRPr="00F25744">
        <w:rPr>
          <w:rFonts w:ascii="David" w:hAnsi="David" w:cs="David" w:hint="cs"/>
          <w:sz w:val="24"/>
          <w:szCs w:val="24"/>
          <w:rtl/>
        </w:rPr>
        <w:t xml:space="preserve">בדקה ואישרה </w:t>
      </w:r>
      <w:r w:rsidRPr="00F25744">
        <w:rPr>
          <w:rFonts w:ascii="David" w:hAnsi="David" w:cs="David" w:hint="cs"/>
          <w:sz w:val="24"/>
          <w:szCs w:val="24"/>
          <w:rtl/>
        </w:rPr>
        <w:t xml:space="preserve">את ההתקשרות עם הספק החיצוני (מכון שריד) לצורך עריכת המחקר הנוכחי, תוך שהדגישה כי רמת הסיכון הנשקפת לפרטיותם של השופטים במחקר נמוכה. </w:t>
      </w:r>
    </w:p>
    <w:p w14:paraId="2F36E080" w14:textId="36800647" w:rsidR="006B41B5" w:rsidRPr="00F25744" w:rsidRDefault="00E25AE7" w:rsidP="00C21D40">
      <w:pPr>
        <w:spacing w:before="120" w:after="0" w:line="360" w:lineRule="auto"/>
        <w:jc w:val="both"/>
        <w:rPr>
          <w:rFonts w:cs="David"/>
          <w:sz w:val="24"/>
          <w:szCs w:val="24"/>
          <w:rtl/>
        </w:rPr>
      </w:pPr>
      <w:r w:rsidRPr="00F25744">
        <w:rPr>
          <w:rFonts w:cs="David" w:hint="cs"/>
          <w:sz w:val="24"/>
          <w:szCs w:val="24"/>
          <w:rtl/>
          <w:lang w:val="en-GB"/>
        </w:rPr>
        <w:t xml:space="preserve">עם זאת, </w:t>
      </w:r>
      <w:r w:rsidR="00404641" w:rsidRPr="00F25744">
        <w:rPr>
          <w:rFonts w:cs="David" w:hint="cs"/>
          <w:sz w:val="24"/>
          <w:szCs w:val="24"/>
          <w:rtl/>
        </w:rPr>
        <w:t>במהלך תקופת המחקר הנוכחי</w:t>
      </w:r>
      <w:r w:rsidRPr="00F25744">
        <w:rPr>
          <w:rFonts w:cs="David" w:hint="cs"/>
          <w:sz w:val="24"/>
          <w:szCs w:val="24"/>
          <w:rtl/>
        </w:rPr>
        <w:t xml:space="preserve">, אחד </w:t>
      </w:r>
      <w:r w:rsidR="00C21D40">
        <w:rPr>
          <w:rFonts w:cs="David" w:hint="cs"/>
          <w:sz w:val="24"/>
          <w:szCs w:val="24"/>
          <w:rtl/>
        </w:rPr>
        <w:t>האתגרים</w:t>
      </w:r>
      <w:r w:rsidRPr="00F25744">
        <w:rPr>
          <w:rFonts w:cs="David" w:hint="cs"/>
          <w:sz w:val="24"/>
          <w:szCs w:val="24"/>
          <w:rtl/>
        </w:rPr>
        <w:t xml:space="preserve"> שבהם נתקלנו היה השגת שיתוף הפעולה הרחב מצד השופטים והרשמים, בעיקר לנוכח תחושות השופטים והרשמים של פגיעה בפרטיותם ובאנונימיות, כמו גם חששות הנוגעים לאבטחת המידע שייאסף במהלך תקופת המחקר. לנוכח החששות שהועלו, ביצעה מחלקת המחקר פגישות בבתי משפט שונים ברחבי הארץ, הן עם השופטים והן עם הקלדניות, </w:t>
      </w:r>
      <w:r w:rsidR="00320323" w:rsidRPr="00F25744">
        <w:rPr>
          <w:rFonts w:cs="David" w:hint="cs"/>
          <w:sz w:val="24"/>
          <w:szCs w:val="24"/>
          <w:rtl/>
        </w:rPr>
        <w:t xml:space="preserve">לצורך הסברה על האמצעים השונים שננקטו לשמירה על אנונימיות משתתפי המחקר. </w:t>
      </w:r>
      <w:r w:rsidR="0060615E" w:rsidRPr="00F25744">
        <w:rPr>
          <w:rFonts w:cs="David" w:hint="cs"/>
          <w:sz w:val="24"/>
          <w:szCs w:val="24"/>
          <w:rtl/>
        </w:rPr>
        <w:t xml:space="preserve">נערכו אף מפגשים בנושא זה </w:t>
      </w:r>
      <w:r w:rsidR="006841BB" w:rsidRPr="00F25744">
        <w:rPr>
          <w:rFonts w:cs="David" w:hint="cs"/>
          <w:sz w:val="24"/>
          <w:szCs w:val="24"/>
          <w:rtl/>
        </w:rPr>
        <w:t xml:space="preserve">עם </w:t>
      </w:r>
      <w:r w:rsidR="0060615E" w:rsidRPr="00F25744">
        <w:rPr>
          <w:rFonts w:cs="David" w:hint="cs"/>
          <w:sz w:val="24"/>
          <w:szCs w:val="24"/>
          <w:rtl/>
        </w:rPr>
        <w:t>נציגות השופטים הארצית שבהם לובנה סוגיית השמירה על האנונימיות במחקר</w:t>
      </w:r>
      <w:r w:rsidR="006841BB" w:rsidRPr="00F25744">
        <w:rPr>
          <w:rFonts w:cs="David" w:hint="cs"/>
          <w:sz w:val="24"/>
          <w:szCs w:val="24"/>
          <w:rtl/>
        </w:rPr>
        <w:t>, נשמעו הערות השופטים, ונעשו התאמות במחקר</w:t>
      </w:r>
      <w:r w:rsidR="0060615E" w:rsidRPr="00F25744">
        <w:rPr>
          <w:rFonts w:cs="David" w:hint="cs"/>
          <w:sz w:val="24"/>
          <w:szCs w:val="24"/>
          <w:rtl/>
        </w:rPr>
        <w:t xml:space="preserve">. </w:t>
      </w:r>
      <w:r w:rsidR="00320323" w:rsidRPr="00F25744">
        <w:rPr>
          <w:rFonts w:cs="David" w:hint="cs"/>
          <w:sz w:val="24"/>
          <w:szCs w:val="24"/>
          <w:rtl/>
        </w:rPr>
        <w:t xml:space="preserve">כמו כן, מחלקת המחקר </w:t>
      </w:r>
      <w:r w:rsidR="00404641" w:rsidRPr="00F25744">
        <w:rPr>
          <w:rFonts w:cs="David" w:hint="cs"/>
          <w:sz w:val="24"/>
          <w:szCs w:val="24"/>
          <w:rtl/>
        </w:rPr>
        <w:t>גיבשה מנגנונים מתודולוגיים נוספים לצורך שמירה מוגברת על אנונימיות השופטים, וביצעה התאמות במנגנונים המתודולוגיים שבהם נעשה שימוש במחקר בתי הדין לעבודה</w:t>
      </w:r>
      <w:r w:rsidR="008C286C" w:rsidRPr="00F25744">
        <w:rPr>
          <w:rFonts w:cs="David" w:hint="cs"/>
          <w:sz w:val="24"/>
          <w:szCs w:val="24"/>
          <w:rtl/>
        </w:rPr>
        <w:t>.</w:t>
      </w:r>
      <w:r w:rsidR="00404641" w:rsidRPr="00F25744">
        <w:rPr>
          <w:rFonts w:cs="David" w:hint="cs"/>
          <w:sz w:val="24"/>
          <w:szCs w:val="24"/>
          <w:rtl/>
        </w:rPr>
        <w:t xml:space="preserve"> כל זאת במטרה להבטיח, מ</w:t>
      </w:r>
      <w:r w:rsidR="007F3A52" w:rsidRPr="00F25744">
        <w:rPr>
          <w:rFonts w:cs="David" w:hint="cs"/>
          <w:sz w:val="24"/>
          <w:szCs w:val="24"/>
          <w:rtl/>
        </w:rPr>
        <w:t>חד גיסא</w:t>
      </w:r>
      <w:r w:rsidR="00404641" w:rsidRPr="00F25744">
        <w:rPr>
          <w:rFonts w:cs="David" w:hint="cs"/>
          <w:sz w:val="24"/>
          <w:szCs w:val="24"/>
          <w:rtl/>
        </w:rPr>
        <w:t>,</w:t>
      </w:r>
      <w:r w:rsidR="007F3A52" w:rsidRPr="00F25744">
        <w:rPr>
          <w:rFonts w:cs="David" w:hint="cs"/>
          <w:sz w:val="24"/>
          <w:szCs w:val="24"/>
          <w:rtl/>
        </w:rPr>
        <w:t xml:space="preserve"> אנונימיות מלאה של משתתפי המחקר, ומאידך גיסא כי מטרות המחקר יוגשמו באופן מלא, קרי: מדידה מהימנה ומדויקת של עומס העבודה השיפוטית.</w:t>
      </w:r>
      <w:r w:rsidR="00320323" w:rsidRPr="00F25744">
        <w:rPr>
          <w:rFonts w:cs="David" w:hint="cs"/>
          <w:sz w:val="24"/>
          <w:szCs w:val="24"/>
          <w:rtl/>
        </w:rPr>
        <w:t xml:space="preserve"> למרות </w:t>
      </w:r>
      <w:r w:rsidR="008C286C" w:rsidRPr="00F25744">
        <w:rPr>
          <w:rFonts w:cs="David" w:hint="cs"/>
          <w:sz w:val="24"/>
          <w:szCs w:val="24"/>
          <w:rtl/>
        </w:rPr>
        <w:t>כל זאת, קיימים נתונים מסוימים שמחלקת המחקר ויתרה על איסופם לצורך השמירה על האנונימיות, כפי שיפורט בהמשך, ועל כן לא כל הפילוחים שניתן היה לבצע בנתונים הקיימים - אכן בוצעו.</w:t>
      </w:r>
    </w:p>
    <w:p w14:paraId="674F58E7" w14:textId="77777777" w:rsidR="00077D94" w:rsidRPr="00F25744" w:rsidRDefault="00E25AE7" w:rsidP="00BD23BB">
      <w:pPr>
        <w:pStyle w:val="a3"/>
        <w:widowControl w:val="0"/>
        <w:autoSpaceDE w:val="0"/>
        <w:autoSpaceDN w:val="0"/>
        <w:bidi/>
        <w:adjustRightInd w:val="0"/>
        <w:spacing w:before="120" w:after="0" w:line="360" w:lineRule="auto"/>
        <w:ind w:left="0"/>
        <w:rPr>
          <w:rFonts w:ascii="David" w:hAnsi="David" w:cs="David"/>
          <w:sz w:val="24"/>
          <w:szCs w:val="24"/>
          <w:rtl/>
        </w:rPr>
      </w:pPr>
      <w:r w:rsidRPr="00F25744">
        <w:rPr>
          <w:rFonts w:ascii="David" w:hAnsi="David" w:cs="David" w:hint="cs"/>
          <w:sz w:val="24"/>
          <w:szCs w:val="24"/>
          <w:rtl/>
        </w:rPr>
        <w:t xml:space="preserve">לצורך כך </w:t>
      </w:r>
      <w:r w:rsidR="007F3A52" w:rsidRPr="00F25744">
        <w:rPr>
          <w:rFonts w:ascii="David" w:hAnsi="David" w:cs="David" w:hint="cs"/>
          <w:sz w:val="24"/>
          <w:szCs w:val="24"/>
          <w:rtl/>
        </w:rPr>
        <w:t>נבנה במשותף עם המחלקה המשפטית של הנהלת בתי המשפט</w:t>
      </w:r>
      <w:r w:rsidR="0060615E" w:rsidRPr="00F25744">
        <w:rPr>
          <w:rFonts w:ascii="David" w:hAnsi="David" w:cs="David" w:hint="cs"/>
          <w:sz w:val="24"/>
          <w:szCs w:val="24"/>
          <w:rtl/>
        </w:rPr>
        <w:t xml:space="preserve"> ונציגות השופטים</w:t>
      </w:r>
      <w:r w:rsidR="007F3A52" w:rsidRPr="00F25744">
        <w:rPr>
          <w:rFonts w:ascii="David" w:hAnsi="David" w:cs="David" w:hint="cs"/>
          <w:sz w:val="24"/>
          <w:szCs w:val="24"/>
          <w:rtl/>
        </w:rPr>
        <w:t xml:space="preserve">, </w:t>
      </w:r>
      <w:r w:rsidR="007F3A52" w:rsidRPr="00F25744">
        <w:rPr>
          <w:rFonts w:ascii="David" w:hAnsi="David" w:cs="David" w:hint="cs"/>
          <w:b/>
          <w:bCs/>
          <w:sz w:val="24"/>
          <w:szCs w:val="24"/>
          <w:rtl/>
        </w:rPr>
        <w:t>טופס הסכמה אישי</w:t>
      </w:r>
      <w:r w:rsidR="007F3A52" w:rsidRPr="00F25744">
        <w:rPr>
          <w:rFonts w:ascii="David" w:hAnsi="David" w:cs="David" w:hint="cs"/>
          <w:sz w:val="24"/>
          <w:szCs w:val="24"/>
          <w:rtl/>
        </w:rPr>
        <w:t xml:space="preserve"> להשתתפות במחקר, שעליו התאפשר לשופטים לחתום טרם ביצוע ניסוי הכלים ותחילת תקופת המחקר. טופס ההסכמה נועד להגביר את ההגנה על אנונימיות השופטים והשמירה על פרטיותם וקבע כי תנאי להסכמת השופטים להשתתפות במחקר הוא אי גילוי המידע הפרטי שייאסף לגביהם לאף </w:t>
      </w:r>
      <w:r w:rsidR="007F3A52" w:rsidRPr="00F25744">
        <w:rPr>
          <w:rFonts w:ascii="David" w:hAnsi="David" w:cs="David" w:hint="cs"/>
          <w:sz w:val="24"/>
          <w:szCs w:val="24"/>
          <w:rtl/>
        </w:rPr>
        <w:lastRenderedPageBreak/>
        <w:t>גורם שאינו נמנה על צוות המחקר, וכי לא יעשה שימוש במידע אלא לצרכי המחקר בלבד. מרביתם המכרעת של השופטים מכל הערכאות שלחה למחלקת המחקר את טופס ההסכמה חתום. טופס הסכמה לדוגמה מצורף כ</w:t>
      </w:r>
      <w:r w:rsidR="007F3A52" w:rsidRPr="00F25744">
        <w:rPr>
          <w:rFonts w:ascii="David" w:hAnsi="David" w:cs="David" w:hint="cs"/>
          <w:b/>
          <w:bCs/>
          <w:sz w:val="24"/>
          <w:szCs w:val="24"/>
          <w:rtl/>
        </w:rPr>
        <w:t xml:space="preserve">נספח ג'. </w:t>
      </w:r>
    </w:p>
    <w:p w14:paraId="6A127DEB" w14:textId="62E9AE09" w:rsidR="00CF5949" w:rsidRPr="00F25744" w:rsidRDefault="00E25AE7" w:rsidP="000A3CA0">
      <w:pPr>
        <w:pStyle w:val="a3"/>
        <w:widowControl w:val="0"/>
        <w:autoSpaceDE w:val="0"/>
        <w:autoSpaceDN w:val="0"/>
        <w:bidi/>
        <w:adjustRightInd w:val="0"/>
        <w:spacing w:before="120" w:after="0" w:line="360" w:lineRule="auto"/>
        <w:ind w:left="0"/>
        <w:rPr>
          <w:rFonts w:ascii="David" w:hAnsi="David" w:cs="David"/>
          <w:sz w:val="24"/>
          <w:szCs w:val="24"/>
          <w:rtl/>
        </w:rPr>
      </w:pPr>
      <w:r w:rsidRPr="00F25744">
        <w:rPr>
          <w:rFonts w:ascii="David" w:hAnsi="David" w:cs="David" w:hint="cs"/>
          <w:sz w:val="24"/>
          <w:szCs w:val="24"/>
          <w:rtl/>
        </w:rPr>
        <w:t>חשוב לציין</w:t>
      </w:r>
      <w:r w:rsidR="00404641" w:rsidRPr="00F25744">
        <w:rPr>
          <w:rFonts w:ascii="David" w:hAnsi="David" w:cs="David" w:hint="cs"/>
          <w:sz w:val="24"/>
          <w:szCs w:val="24"/>
          <w:rtl/>
        </w:rPr>
        <w:t xml:space="preserve"> כאן</w:t>
      </w:r>
      <w:r w:rsidRPr="00F25744">
        <w:rPr>
          <w:rFonts w:ascii="David" w:hAnsi="David" w:cs="David" w:hint="cs"/>
          <w:sz w:val="24"/>
          <w:szCs w:val="24"/>
          <w:rtl/>
        </w:rPr>
        <w:t>, כי במחקר בתי הדין לעבודה, בשל מספרם המצומצם של השופטים (כ-60 שופטים) ובשל כך שנושא האנונימיות לא עלה אז (הנתונים האישיים על השופטים נשמרו אצל מחלקת המחקר במהלך תקופת מחקר בתי הדין לעבודה, ונגרסו לאחר תום המחקר), ניתן היה לעמוד עם השופטים בקשר יומיומי, להדריך אותם על אופן מילוי היומנים ולוודא שאין טעויות או חסרים בהזנת הנתונים. לעומת זאת בחלקו הנוכחי של המחקר, אשר נערך ב</w:t>
      </w:r>
      <w:r w:rsidR="003775F2" w:rsidRPr="00F25744">
        <w:rPr>
          <w:rFonts w:ascii="David" w:hAnsi="David" w:cs="David" w:hint="cs"/>
          <w:sz w:val="24"/>
          <w:szCs w:val="24"/>
          <w:rtl/>
        </w:rPr>
        <w:t>כל בתי המשפט המחוזיים והשלום, לרבות בתי המשפט לתעבורה</w:t>
      </w:r>
      <w:r w:rsidR="006221EF" w:rsidRPr="00F25744">
        <w:rPr>
          <w:rFonts w:ascii="David" w:hAnsi="David" w:cs="David" w:hint="cs"/>
          <w:sz w:val="24"/>
          <w:szCs w:val="24"/>
          <w:rtl/>
        </w:rPr>
        <w:t>,</w:t>
      </w:r>
      <w:r w:rsidR="003775F2" w:rsidRPr="00F25744">
        <w:rPr>
          <w:rFonts w:ascii="David" w:hAnsi="David" w:cs="David" w:hint="cs"/>
          <w:sz w:val="24"/>
          <w:szCs w:val="24"/>
          <w:rtl/>
        </w:rPr>
        <w:t xml:space="preserve"> נוער ומשפחה, בכל רחבי הא</w:t>
      </w:r>
      <w:r w:rsidRPr="00F25744">
        <w:rPr>
          <w:rFonts w:ascii="David" w:hAnsi="David" w:cs="David" w:hint="cs"/>
          <w:sz w:val="24"/>
          <w:szCs w:val="24"/>
          <w:rtl/>
        </w:rPr>
        <w:t xml:space="preserve">רץ, וכלל </w:t>
      </w:r>
      <w:r w:rsidR="00FF20B2" w:rsidRPr="00F25744">
        <w:rPr>
          <w:rFonts w:ascii="David" w:hAnsi="David" w:cs="David" w:hint="cs"/>
          <w:sz w:val="24"/>
          <w:szCs w:val="24"/>
          <w:rtl/>
        </w:rPr>
        <w:t>מעל 600</w:t>
      </w:r>
      <w:r w:rsidRPr="00F25744">
        <w:rPr>
          <w:rFonts w:ascii="David" w:hAnsi="David" w:cs="David" w:hint="cs"/>
          <w:sz w:val="24"/>
          <w:szCs w:val="24"/>
          <w:rtl/>
        </w:rPr>
        <w:t xml:space="preserve"> שופטות ושופטים, רשמות ורשמים, אשר מחלקת המחקר הופקדה על שמירת האנונימיות שלהם ושל הנתונים שהוזנו, לא ניתן היה לוודא באופן יומיומי ושוטף כי הנתונים מדווחים במלואם ובצורה מדויקת. כמו כן</w:t>
      </w:r>
      <w:r w:rsidR="00DB3B85" w:rsidRPr="00F25744">
        <w:rPr>
          <w:rFonts w:ascii="David" w:hAnsi="David" w:cs="David" w:hint="cs"/>
          <w:sz w:val="24"/>
          <w:szCs w:val="24"/>
          <w:rtl/>
        </w:rPr>
        <w:t>, כאמור,</w:t>
      </w:r>
      <w:r w:rsidRPr="00F25744">
        <w:rPr>
          <w:rFonts w:ascii="David" w:hAnsi="David" w:cs="David" w:hint="cs"/>
          <w:sz w:val="24"/>
          <w:szCs w:val="24"/>
          <w:rtl/>
        </w:rPr>
        <w:t xml:space="preserve"> </w:t>
      </w:r>
      <w:r w:rsidR="000A3CA0">
        <w:rPr>
          <w:rFonts w:ascii="David" w:hAnsi="David" w:cs="David" w:hint="cs"/>
          <w:sz w:val="24"/>
          <w:szCs w:val="24"/>
          <w:rtl/>
        </w:rPr>
        <w:t>הסרנו</w:t>
      </w:r>
      <w:r w:rsidRPr="00F25744">
        <w:rPr>
          <w:rFonts w:ascii="David" w:hAnsi="David" w:cs="David" w:hint="cs"/>
          <w:sz w:val="24"/>
          <w:szCs w:val="24"/>
          <w:rtl/>
        </w:rPr>
        <w:t xml:space="preserve"> שאלות מסוימות שהיו עשויות לסייע לנו בתיקוף ובפילוח הנתונים ברמות נוספות, כדי שלא ליצור פרצה שדרכה ניתן יהיה באופן כלשהו לזהות את השופט המדווח. </w:t>
      </w:r>
    </w:p>
    <w:p w14:paraId="62757EB4" w14:textId="77777777" w:rsidR="006227EC" w:rsidRPr="00F25744" w:rsidRDefault="006227EC" w:rsidP="003B7AD5">
      <w:pPr>
        <w:spacing w:after="0" w:line="240" w:lineRule="auto"/>
        <w:jc w:val="both"/>
        <w:rPr>
          <w:rFonts w:cs="David"/>
          <w:sz w:val="24"/>
          <w:szCs w:val="24"/>
          <w:rtl/>
        </w:rPr>
      </w:pPr>
    </w:p>
    <w:p w14:paraId="508AB387" w14:textId="77777777" w:rsidR="006227EC" w:rsidRPr="00F25744" w:rsidRDefault="00584142" w:rsidP="007C68BB">
      <w:pPr>
        <w:pStyle w:val="2"/>
      </w:pPr>
      <w:bookmarkStart w:id="109" w:name="_Toc49352737"/>
      <w:bookmarkStart w:id="110" w:name="_Toc49429642"/>
      <w:bookmarkStart w:id="111" w:name="_Toc49435871"/>
      <w:bookmarkStart w:id="112" w:name="_Toc46226031"/>
      <w:bookmarkStart w:id="113" w:name="_Toc46226175"/>
      <w:bookmarkStart w:id="114" w:name="_Toc46228342"/>
      <w:bookmarkStart w:id="115" w:name="_Toc46228440"/>
      <w:bookmarkStart w:id="116" w:name="_Toc46230367"/>
      <w:bookmarkStart w:id="117" w:name="_Toc46230465"/>
      <w:bookmarkStart w:id="118" w:name="_Toc46310355"/>
      <w:bookmarkStart w:id="119" w:name="_Toc46413997"/>
      <w:r w:rsidRPr="00A54D82">
        <w:rPr>
          <w:rFonts w:hint="cs"/>
          <w:u w:val="none"/>
          <w:rtl/>
        </w:rPr>
        <w:t xml:space="preserve"> </w:t>
      </w:r>
      <w:bookmarkStart w:id="120" w:name="_Toc74750954"/>
      <w:r w:rsidR="00E25AE7" w:rsidRPr="00F25744">
        <w:rPr>
          <w:rFonts w:hint="cs"/>
          <w:rtl/>
        </w:rPr>
        <w:t>נתונים ומידע שהופקו על ידי השופטים, השופטות, הרשמים והרשמות</w:t>
      </w:r>
      <w:bookmarkEnd w:id="109"/>
      <w:bookmarkEnd w:id="110"/>
      <w:bookmarkEnd w:id="111"/>
      <w:bookmarkEnd w:id="120"/>
      <w:r w:rsidR="00E25AE7" w:rsidRPr="00F25744">
        <w:rPr>
          <w:rFonts w:hint="cs"/>
          <w:rtl/>
        </w:rPr>
        <w:t xml:space="preserve"> </w:t>
      </w:r>
      <w:bookmarkEnd w:id="112"/>
      <w:bookmarkEnd w:id="113"/>
      <w:bookmarkEnd w:id="114"/>
      <w:bookmarkEnd w:id="115"/>
      <w:bookmarkEnd w:id="116"/>
      <w:bookmarkEnd w:id="117"/>
      <w:bookmarkEnd w:id="118"/>
      <w:bookmarkEnd w:id="119"/>
    </w:p>
    <w:p w14:paraId="741630B6" w14:textId="77777777" w:rsidR="006227EC" w:rsidRPr="00F25744" w:rsidRDefault="00E25AE7" w:rsidP="00EA1FB9">
      <w:pPr>
        <w:autoSpaceDE w:val="0"/>
        <w:autoSpaceDN w:val="0"/>
        <w:adjustRightInd w:val="0"/>
        <w:spacing w:after="0" w:line="360" w:lineRule="auto"/>
        <w:ind w:left="-58"/>
        <w:jc w:val="both"/>
        <w:rPr>
          <w:rFonts w:cs="David"/>
          <w:sz w:val="24"/>
          <w:szCs w:val="24"/>
          <w:rtl/>
        </w:rPr>
      </w:pPr>
      <w:r w:rsidRPr="00F25744">
        <w:rPr>
          <w:rFonts w:cs="David" w:hint="cs"/>
          <w:sz w:val="24"/>
          <w:szCs w:val="24"/>
          <w:rtl/>
        </w:rPr>
        <w:t xml:space="preserve">מערך מחקר זה נועד למדוד את הזמן השיפוטי הממוצע הדרוש לשופטים לצורך הכנה לדיונים (הן דיוני הוכחות והן דיונים שאינם הוכחות) וכתיבת החלטות ביניים ופסקי דין. </w:t>
      </w:r>
      <w:r w:rsidR="00D14BE9" w:rsidRPr="00F25744">
        <w:rPr>
          <w:rFonts w:cs="David" w:hint="cs"/>
          <w:sz w:val="24"/>
          <w:szCs w:val="24"/>
          <w:rtl/>
        </w:rPr>
        <w:t xml:space="preserve">לולא הדיווחים המדויקים והיומיומיים של השופטים במהלך תקופת המחקר, לא ניתן </w:t>
      </w:r>
      <w:r w:rsidR="00EA1FB9" w:rsidRPr="00F25744">
        <w:rPr>
          <w:rFonts w:cs="David" w:hint="cs"/>
          <w:sz w:val="24"/>
          <w:szCs w:val="24"/>
          <w:rtl/>
        </w:rPr>
        <w:t xml:space="preserve">היה </w:t>
      </w:r>
      <w:r w:rsidR="00D14BE9" w:rsidRPr="00F25744">
        <w:rPr>
          <w:rFonts w:cs="David" w:hint="cs"/>
          <w:sz w:val="24"/>
          <w:szCs w:val="24"/>
          <w:rtl/>
        </w:rPr>
        <w:t xml:space="preserve">להשיג </w:t>
      </w:r>
      <w:r w:rsidRPr="00F25744">
        <w:rPr>
          <w:rFonts w:cs="David" w:hint="cs"/>
          <w:sz w:val="24"/>
          <w:szCs w:val="24"/>
          <w:rtl/>
        </w:rPr>
        <w:t>נתונים אלו וכך גם לא ניתן היה להראות את פילוח יום העבודה השיפוטי בחלוקה ל</w:t>
      </w:r>
      <w:r w:rsidR="00DC5873" w:rsidRPr="00F25744">
        <w:rPr>
          <w:rFonts w:cs="David" w:hint="cs"/>
          <w:sz w:val="24"/>
          <w:szCs w:val="24"/>
          <w:rtl/>
        </w:rPr>
        <w:t xml:space="preserve">רזולוציות </w:t>
      </w:r>
      <w:r w:rsidR="008925B9" w:rsidRPr="00F25744">
        <w:rPr>
          <w:rFonts w:cs="David" w:hint="cs"/>
          <w:sz w:val="24"/>
          <w:szCs w:val="24"/>
          <w:rtl/>
        </w:rPr>
        <w:t>ה</w:t>
      </w:r>
      <w:r w:rsidR="00DC5873" w:rsidRPr="00F25744">
        <w:rPr>
          <w:rFonts w:cs="David" w:hint="cs"/>
          <w:sz w:val="24"/>
          <w:szCs w:val="24"/>
          <w:rtl/>
        </w:rPr>
        <w:t>שונות</w:t>
      </w:r>
      <w:r w:rsidRPr="00F25744">
        <w:rPr>
          <w:rFonts w:cs="David" w:hint="cs"/>
          <w:sz w:val="24"/>
          <w:szCs w:val="24"/>
          <w:rtl/>
        </w:rPr>
        <w:t>.</w:t>
      </w:r>
    </w:p>
    <w:p w14:paraId="12579AD3" w14:textId="77777777" w:rsidR="006227EC" w:rsidRPr="00F25744" w:rsidRDefault="006227EC" w:rsidP="003B7AD5">
      <w:pPr>
        <w:autoSpaceDE w:val="0"/>
        <w:autoSpaceDN w:val="0"/>
        <w:adjustRightInd w:val="0"/>
        <w:spacing w:after="0" w:line="240" w:lineRule="auto"/>
        <w:ind w:left="-58"/>
        <w:jc w:val="both"/>
        <w:rPr>
          <w:rFonts w:cs="David"/>
          <w:sz w:val="24"/>
          <w:szCs w:val="24"/>
        </w:rPr>
      </w:pPr>
    </w:p>
    <w:p w14:paraId="45DB48EC" w14:textId="77777777" w:rsidR="006227EC" w:rsidRPr="00F25744" w:rsidRDefault="00E25AE7" w:rsidP="00A54D82">
      <w:pPr>
        <w:pStyle w:val="3"/>
        <w:ind w:left="852"/>
      </w:pPr>
      <w:bookmarkStart w:id="121" w:name="_Toc46226032"/>
      <w:bookmarkStart w:id="122" w:name="_Toc46226176"/>
      <w:bookmarkStart w:id="123" w:name="_Toc46228343"/>
      <w:bookmarkStart w:id="124" w:name="_Toc46228441"/>
      <w:bookmarkStart w:id="125" w:name="_Toc46230368"/>
      <w:bookmarkStart w:id="126" w:name="_Toc46230466"/>
      <w:bookmarkStart w:id="127" w:name="_Toc46310356"/>
      <w:bookmarkStart w:id="128" w:name="_Toc46413998"/>
      <w:bookmarkStart w:id="129" w:name="_Toc49352738"/>
      <w:bookmarkStart w:id="130" w:name="_Toc49429643"/>
      <w:bookmarkStart w:id="131" w:name="_Toc49435872"/>
      <w:bookmarkStart w:id="132" w:name="_Toc74750955"/>
      <w:r w:rsidRPr="00F25744">
        <w:rPr>
          <w:rFonts w:hint="cs"/>
          <w:rtl/>
        </w:rPr>
        <w:t>בניית שאלונים ויומנים למילוי על ידי השופטים</w:t>
      </w:r>
      <w:bookmarkEnd w:id="121"/>
      <w:bookmarkEnd w:id="122"/>
      <w:bookmarkEnd w:id="123"/>
      <w:bookmarkEnd w:id="124"/>
      <w:bookmarkEnd w:id="125"/>
      <w:bookmarkEnd w:id="126"/>
      <w:bookmarkEnd w:id="127"/>
      <w:bookmarkEnd w:id="128"/>
      <w:bookmarkEnd w:id="129"/>
      <w:bookmarkEnd w:id="130"/>
      <w:bookmarkEnd w:id="131"/>
      <w:bookmarkEnd w:id="132"/>
    </w:p>
    <w:p w14:paraId="08896F63" w14:textId="77777777" w:rsidR="005E129F" w:rsidRPr="00F25744" w:rsidRDefault="00E25AE7" w:rsidP="006227EC">
      <w:pPr>
        <w:autoSpaceDE w:val="0"/>
        <w:autoSpaceDN w:val="0"/>
        <w:adjustRightInd w:val="0"/>
        <w:spacing w:after="0" w:line="360" w:lineRule="auto"/>
        <w:jc w:val="both"/>
        <w:rPr>
          <w:rFonts w:cs="David"/>
          <w:sz w:val="24"/>
          <w:szCs w:val="24"/>
          <w:rtl/>
        </w:rPr>
      </w:pPr>
      <w:r w:rsidRPr="00F25744">
        <w:rPr>
          <w:rFonts w:cs="David" w:hint="cs"/>
          <w:sz w:val="24"/>
          <w:szCs w:val="24"/>
          <w:rtl/>
        </w:rPr>
        <w:t xml:space="preserve">לצורך מערך מחקרי זה, בנתה מחלקת המחקר שלושה שאלונים/יומנים עבור השופטים והרשמים: </w:t>
      </w:r>
    </w:p>
    <w:p w14:paraId="1B82E0CA" w14:textId="77777777" w:rsidR="006227EC" w:rsidRPr="00F25744" w:rsidRDefault="00E25AE7" w:rsidP="00EA1FB9">
      <w:pPr>
        <w:autoSpaceDE w:val="0"/>
        <w:autoSpaceDN w:val="0"/>
        <w:adjustRightInd w:val="0"/>
        <w:spacing w:after="0" w:line="360" w:lineRule="auto"/>
        <w:jc w:val="both"/>
        <w:rPr>
          <w:rFonts w:cs="David"/>
          <w:sz w:val="24"/>
          <w:szCs w:val="24"/>
          <w:rtl/>
        </w:rPr>
      </w:pPr>
      <w:r w:rsidRPr="00F25744">
        <w:rPr>
          <w:rFonts w:cs="David" w:hint="cs"/>
          <w:sz w:val="24"/>
          <w:szCs w:val="24"/>
          <w:rtl/>
        </w:rPr>
        <w:t xml:space="preserve">(1) </w:t>
      </w:r>
      <w:r w:rsidRPr="00F25744">
        <w:rPr>
          <w:rFonts w:cs="David" w:hint="cs"/>
          <w:b/>
          <w:bCs/>
          <w:sz w:val="24"/>
          <w:szCs w:val="24"/>
          <w:rtl/>
        </w:rPr>
        <w:t>יומן פעילות שיפוטית</w:t>
      </w:r>
      <w:r w:rsidRPr="00F25744">
        <w:rPr>
          <w:rFonts w:cs="David" w:hint="cs"/>
          <w:sz w:val="24"/>
          <w:szCs w:val="24"/>
          <w:rtl/>
        </w:rPr>
        <w:t xml:space="preserve"> שבו תיעדו השופטים את זמני הפעולות השיפוטיות </w:t>
      </w:r>
      <w:r w:rsidR="005E129F" w:rsidRPr="00F25744">
        <w:rPr>
          <w:rFonts w:cs="David" w:hint="cs"/>
          <w:sz w:val="24"/>
          <w:szCs w:val="24"/>
          <w:rtl/>
        </w:rPr>
        <w:t xml:space="preserve">שביצעו </w:t>
      </w:r>
      <w:r w:rsidRPr="00F25744">
        <w:rPr>
          <w:rFonts w:cs="David" w:hint="cs"/>
          <w:sz w:val="24"/>
          <w:szCs w:val="24"/>
          <w:rtl/>
        </w:rPr>
        <w:t xml:space="preserve">בכל יום במהלך תקופת המחקר; (2) </w:t>
      </w:r>
      <w:r w:rsidRPr="00F25744">
        <w:rPr>
          <w:rFonts w:cs="David" w:hint="cs"/>
          <w:b/>
          <w:bCs/>
          <w:sz w:val="24"/>
          <w:szCs w:val="24"/>
          <w:rtl/>
        </w:rPr>
        <w:t>שאלון רקע</w:t>
      </w:r>
      <w:r w:rsidRPr="00F25744">
        <w:rPr>
          <w:rFonts w:cs="David" w:hint="cs"/>
          <w:sz w:val="24"/>
          <w:szCs w:val="24"/>
          <w:rtl/>
        </w:rPr>
        <w:t xml:space="preserve"> שבו נשאלו השופטים שאלות כלליות אשר שימשו לפילוחים שונים, </w:t>
      </w:r>
      <w:r w:rsidR="00EA1FB9" w:rsidRPr="00F25744">
        <w:rPr>
          <w:rFonts w:cs="David" w:hint="cs"/>
          <w:sz w:val="24"/>
          <w:szCs w:val="24"/>
          <w:rtl/>
        </w:rPr>
        <w:t xml:space="preserve">כדוגמת </w:t>
      </w:r>
      <w:r w:rsidRPr="00F25744">
        <w:rPr>
          <w:rFonts w:cs="David" w:hint="cs"/>
          <w:sz w:val="24"/>
          <w:szCs w:val="24"/>
          <w:rtl/>
        </w:rPr>
        <w:t xml:space="preserve">מחוז </w:t>
      </w:r>
      <w:r w:rsidR="00EA1FB9" w:rsidRPr="00F25744">
        <w:rPr>
          <w:rFonts w:cs="David" w:hint="cs"/>
          <w:sz w:val="24"/>
          <w:szCs w:val="24"/>
          <w:rtl/>
        </w:rPr>
        <w:t>השיפוט</w:t>
      </w:r>
      <w:r w:rsidRPr="00F25744">
        <w:rPr>
          <w:rFonts w:cs="David" w:hint="cs"/>
          <w:sz w:val="24"/>
          <w:szCs w:val="24"/>
          <w:rtl/>
        </w:rPr>
        <w:t xml:space="preserve">, האם הם עוסקים בתחום האזרחי או הפלילי, האם הם בעלי תפקיד נוסף ועוד; (3) </w:t>
      </w:r>
      <w:r w:rsidRPr="00F25744">
        <w:rPr>
          <w:rFonts w:cs="David" w:hint="cs"/>
          <w:b/>
          <w:bCs/>
          <w:sz w:val="24"/>
          <w:szCs w:val="24"/>
          <w:rtl/>
        </w:rPr>
        <w:t>שאלון מסכם</w:t>
      </w:r>
      <w:r w:rsidRPr="00F25744">
        <w:rPr>
          <w:rFonts w:cs="David" w:hint="cs"/>
          <w:sz w:val="24"/>
          <w:szCs w:val="24"/>
          <w:rtl/>
        </w:rPr>
        <w:t xml:space="preserve"> שהותאם לשופטי כל ערכאה בנפרד, ונועד לתקף את ממצאי המחקר ולהשלים נתונים חסרים, על מנת שנוכל לאמוד את הזמן השיפוטי של כמה שיותר סוגי תיקים.</w:t>
      </w:r>
    </w:p>
    <w:p w14:paraId="06F6653A" w14:textId="77777777" w:rsidR="00BD760A" w:rsidRPr="00F25744" w:rsidRDefault="00E25AE7" w:rsidP="00341018">
      <w:pPr>
        <w:autoSpaceDE w:val="0"/>
        <w:autoSpaceDN w:val="0"/>
        <w:adjustRightInd w:val="0"/>
        <w:spacing w:after="0" w:line="360" w:lineRule="auto"/>
        <w:jc w:val="both"/>
        <w:rPr>
          <w:rFonts w:cs="David"/>
          <w:sz w:val="24"/>
          <w:szCs w:val="24"/>
          <w:rtl/>
        </w:rPr>
      </w:pPr>
      <w:r w:rsidRPr="00F25744">
        <w:rPr>
          <w:rFonts w:cs="David" w:hint="cs"/>
          <w:sz w:val="24"/>
          <w:szCs w:val="24"/>
          <w:rtl/>
        </w:rPr>
        <w:t>יומנים אלו הומרו ליומנים מקוונים בעזרת חברת הסקרים "שריד" אשר הי</w:t>
      </w:r>
      <w:r w:rsidR="00341018" w:rsidRPr="00F25744">
        <w:rPr>
          <w:rFonts w:cs="David" w:hint="cs"/>
          <w:sz w:val="24"/>
          <w:szCs w:val="24"/>
          <w:rtl/>
        </w:rPr>
        <w:t>יתה אמונה</w:t>
      </w:r>
      <w:r w:rsidRPr="00F25744">
        <w:rPr>
          <w:rFonts w:cs="David" w:hint="cs"/>
          <w:sz w:val="24"/>
          <w:szCs w:val="24"/>
          <w:rtl/>
        </w:rPr>
        <w:t xml:space="preserve"> על בניית היומנים המקוונים בהתאם לתבנית שבנתה מחלקת המחקר, מעקב אחר מילוי היומנים במהלך תקופת המחקר, כולל העמדת מוקד טכני עבור השופטים והרשמים במהלך חמשת שבועות המחקר ולבסוף, עיבוד וניתוח הנתונים הרבים שנאספו במהלך תקופת המחקר והעברתם למחלקת המחקר בתום המחקר. </w:t>
      </w:r>
    </w:p>
    <w:p w14:paraId="1BEC895B" w14:textId="77777777" w:rsidR="006227EC" w:rsidRPr="00F25744" w:rsidRDefault="00E25AE7" w:rsidP="00A54D82">
      <w:pPr>
        <w:pStyle w:val="3"/>
        <w:ind w:left="852"/>
        <w:rPr>
          <w:rtl/>
        </w:rPr>
      </w:pPr>
      <w:bookmarkStart w:id="133" w:name="_Toc46226033"/>
      <w:bookmarkStart w:id="134" w:name="_Toc46226177"/>
      <w:bookmarkStart w:id="135" w:name="_Toc46228344"/>
      <w:bookmarkStart w:id="136" w:name="_Toc46228442"/>
      <w:bookmarkStart w:id="137" w:name="_Toc46230369"/>
      <w:bookmarkStart w:id="138" w:name="_Toc46230467"/>
      <w:bookmarkStart w:id="139" w:name="_Toc46310357"/>
      <w:bookmarkStart w:id="140" w:name="_Toc46413999"/>
      <w:bookmarkStart w:id="141" w:name="_Toc49352739"/>
      <w:bookmarkStart w:id="142" w:name="_Toc49429644"/>
      <w:bookmarkStart w:id="143" w:name="_Toc49435873"/>
      <w:bookmarkStart w:id="144" w:name="_Toc74750956"/>
      <w:r w:rsidRPr="00F25744">
        <w:rPr>
          <w:rFonts w:hint="cs"/>
          <w:rtl/>
        </w:rPr>
        <w:t>יומן פעילות שיפוטית</w:t>
      </w:r>
      <w:bookmarkEnd w:id="133"/>
      <w:bookmarkEnd w:id="134"/>
      <w:bookmarkEnd w:id="135"/>
      <w:bookmarkEnd w:id="136"/>
      <w:bookmarkEnd w:id="137"/>
      <w:bookmarkEnd w:id="138"/>
      <w:bookmarkEnd w:id="139"/>
      <w:bookmarkEnd w:id="140"/>
      <w:bookmarkEnd w:id="141"/>
      <w:bookmarkEnd w:id="142"/>
      <w:bookmarkEnd w:id="143"/>
      <w:bookmarkEnd w:id="144"/>
    </w:p>
    <w:p w14:paraId="5C5E2E31" w14:textId="77777777" w:rsidR="006227EC" w:rsidRPr="00F25744" w:rsidRDefault="00E25AE7" w:rsidP="003B7AD5">
      <w:pPr>
        <w:spacing w:after="0" w:line="360" w:lineRule="auto"/>
        <w:jc w:val="both"/>
        <w:rPr>
          <w:rFonts w:cs="David"/>
          <w:sz w:val="24"/>
          <w:szCs w:val="24"/>
          <w:rtl/>
        </w:rPr>
      </w:pPr>
      <w:r w:rsidRPr="00F25744">
        <w:rPr>
          <w:rFonts w:cs="David" w:hint="cs"/>
          <w:sz w:val="24"/>
          <w:szCs w:val="24"/>
          <w:rtl/>
        </w:rPr>
        <w:t xml:space="preserve">בתת פרק זה נסביר את מבנה יומני השופטים שבנתה מחלקת המחקר לצורך המחקר הנוכחי, על מנת להבין את תוצאות המחקר הנוכחי ותהליך העבודה עליו במחלקת המחקר. לשם כך, נראה כאן דוגמה ליומן הידני שנבנה עבור שופטי ערכאת השלום, ונסביר מעט על החלוקה לעמודות השונות ומטרתן: </w:t>
      </w:r>
    </w:p>
    <w:p w14:paraId="241EE83E" w14:textId="77777777" w:rsidR="006227EC" w:rsidRPr="00F25744" w:rsidRDefault="006227EC" w:rsidP="006227EC">
      <w:pPr>
        <w:spacing w:after="0" w:line="360" w:lineRule="auto"/>
        <w:ind w:hanging="425"/>
        <w:jc w:val="both"/>
        <w:rPr>
          <w:rFonts w:cs="David"/>
          <w:sz w:val="24"/>
          <w:szCs w:val="24"/>
          <w:rtl/>
        </w:rPr>
      </w:pPr>
    </w:p>
    <w:p w14:paraId="50C04F37" w14:textId="77777777" w:rsidR="00783B1E" w:rsidRPr="00F25744" w:rsidRDefault="007C4E97" w:rsidP="007C4E97">
      <w:pPr>
        <w:spacing w:after="0" w:line="360" w:lineRule="auto"/>
        <w:ind w:left="994" w:hanging="425"/>
        <w:jc w:val="both"/>
        <w:rPr>
          <w:rFonts w:cs="David"/>
          <w:sz w:val="24"/>
          <w:szCs w:val="24"/>
          <w:rtl/>
        </w:rPr>
      </w:pPr>
      <w:r w:rsidRPr="00F25744">
        <w:rPr>
          <w:rFonts w:cs="David"/>
          <w:noProof/>
          <w:sz w:val="24"/>
          <w:szCs w:val="24"/>
        </w:rPr>
        <w:lastRenderedPageBreak/>
        <w:drawing>
          <wp:inline distT="0" distB="0" distL="0" distR="0" wp14:anchorId="2356388F" wp14:editId="3DC47D06">
            <wp:extent cx="6733796" cy="5187004"/>
            <wp:effectExtent l="0" t="7620" r="40640" b="4064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220779" name="Picture 3"/>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rot="5400000">
                      <a:off x="0" y="0"/>
                      <a:ext cx="6745571" cy="5196075"/>
                    </a:xfrm>
                    <a:prstGeom prst="rect">
                      <a:avLst/>
                    </a:prstGeom>
                    <a:noFill/>
                    <a:ln>
                      <a:noFill/>
                    </a:ln>
                    <a:effectLst>
                      <a:outerShdw dist="53882" dir="2700000" algn="ctr" rotWithShape="0">
                        <a:srgbClr val="808080"/>
                      </a:outerShdw>
                    </a:effectLst>
                  </pic:spPr>
                </pic:pic>
              </a:graphicData>
            </a:graphic>
          </wp:inline>
        </w:drawing>
      </w:r>
    </w:p>
    <w:p w14:paraId="7CABCFC3" w14:textId="77777777" w:rsidR="00305699" w:rsidRPr="00F25744" w:rsidRDefault="00E25AE7" w:rsidP="00BD23BB">
      <w:pPr>
        <w:spacing w:before="120" w:after="0" w:line="360" w:lineRule="auto"/>
        <w:jc w:val="both"/>
        <w:rPr>
          <w:rFonts w:cs="David"/>
          <w:sz w:val="24"/>
          <w:szCs w:val="24"/>
          <w:rtl/>
        </w:rPr>
      </w:pPr>
      <w:r w:rsidRPr="00F25744">
        <w:rPr>
          <w:rFonts w:cs="David" w:hint="cs"/>
          <w:sz w:val="24"/>
          <w:szCs w:val="24"/>
          <w:rtl/>
        </w:rPr>
        <w:t xml:space="preserve">כפי שניתן להתרשם, היומן הידני נבנה תוך התחשבות מרבית בנוחות מילויו על ידי השופטים. מסיבה זו, רוב העמודות נועדו לסימון </w:t>
      </w:r>
      <w:r w:rsidRPr="00F25744">
        <w:rPr>
          <w:rFonts w:cs="David" w:hint="cs"/>
          <w:sz w:val="24"/>
          <w:szCs w:val="24"/>
        </w:rPr>
        <w:t>X</w:t>
      </w:r>
      <w:r w:rsidR="007F3A52" w:rsidRPr="00F25744">
        <w:rPr>
          <w:rFonts w:cs="David" w:hint="cs"/>
          <w:sz w:val="24"/>
          <w:szCs w:val="24"/>
          <w:rtl/>
        </w:rPr>
        <w:t xml:space="preserve"> בלבד במקום המתאים.</w:t>
      </w:r>
    </w:p>
    <w:p w14:paraId="664E636C" w14:textId="77777777" w:rsidR="006227EC" w:rsidRPr="00F25744" w:rsidRDefault="00E25AE7" w:rsidP="00BD23BB">
      <w:pPr>
        <w:spacing w:before="120" w:after="0" w:line="360" w:lineRule="auto"/>
        <w:jc w:val="both"/>
        <w:rPr>
          <w:rFonts w:cs="David"/>
          <w:b/>
          <w:bCs/>
          <w:sz w:val="24"/>
          <w:szCs w:val="24"/>
          <w:rtl/>
        </w:rPr>
      </w:pPr>
      <w:r w:rsidRPr="00F25744">
        <w:rPr>
          <w:rFonts w:cs="David" w:hint="cs"/>
          <w:sz w:val="24"/>
          <w:szCs w:val="24"/>
          <w:rtl/>
        </w:rPr>
        <w:t xml:space="preserve">שתי </w:t>
      </w:r>
      <w:r w:rsidR="00A11BCC" w:rsidRPr="00F25744">
        <w:rPr>
          <w:rFonts w:cs="David" w:hint="cs"/>
          <w:sz w:val="24"/>
          <w:szCs w:val="24"/>
          <w:rtl/>
        </w:rPr>
        <w:t xml:space="preserve">העמודות הראשונות מצד ימין הוקדשו למילוי </w:t>
      </w:r>
      <w:r w:rsidR="00A11BCC" w:rsidRPr="00F25744">
        <w:rPr>
          <w:rFonts w:cs="David" w:hint="cs"/>
          <w:b/>
          <w:bCs/>
          <w:sz w:val="24"/>
          <w:szCs w:val="24"/>
          <w:rtl/>
        </w:rPr>
        <w:t>שעת התחילה</w:t>
      </w:r>
      <w:r w:rsidR="00A11BCC" w:rsidRPr="00F25744">
        <w:rPr>
          <w:rFonts w:cs="David" w:hint="cs"/>
          <w:sz w:val="24"/>
          <w:szCs w:val="24"/>
          <w:rtl/>
        </w:rPr>
        <w:t xml:space="preserve"> ו</w:t>
      </w:r>
      <w:r w:rsidR="00A11BCC" w:rsidRPr="00F25744">
        <w:rPr>
          <w:rFonts w:cs="David" w:hint="cs"/>
          <w:b/>
          <w:bCs/>
          <w:sz w:val="24"/>
          <w:szCs w:val="24"/>
          <w:rtl/>
        </w:rPr>
        <w:t>שעת הסיום</w:t>
      </w:r>
      <w:r w:rsidR="00A11BCC" w:rsidRPr="00F25744">
        <w:rPr>
          <w:rFonts w:cs="David" w:hint="cs"/>
          <w:sz w:val="24"/>
          <w:szCs w:val="24"/>
          <w:rtl/>
        </w:rPr>
        <w:t xml:space="preserve"> של כל פעילות. כלומר, השופטים התבקשו להתחיל את היומן מהפעילות השיפוטית הראשונה לאותו יום עבודה, ולמלא לגביה את שעת תחילתה ושעת סיומה, ואת שאר הפעילויות התבקשו למלא בסדר רציף עד לסיום יום העבודה. כלומר, השופטים לא התבקשו לכתוב, למשל, כתיבת פסק דין = שעתיים, אלא היומן מולא באופן שבו </w:t>
      </w:r>
      <w:r w:rsidR="00A11BCC" w:rsidRPr="00F25744">
        <w:rPr>
          <w:rFonts w:cs="David" w:hint="cs"/>
          <w:sz w:val="24"/>
          <w:szCs w:val="24"/>
          <w:rtl/>
        </w:rPr>
        <w:lastRenderedPageBreak/>
        <w:t xml:space="preserve">נכתבה שעת התחלה (למשל </w:t>
      </w:r>
      <w:r w:rsidR="00694B6F" w:rsidRPr="00F25744">
        <w:rPr>
          <w:rFonts w:cs="David" w:hint="cs"/>
          <w:sz w:val="24"/>
          <w:szCs w:val="24"/>
          <w:rtl/>
        </w:rPr>
        <w:t>7:50</w:t>
      </w:r>
      <w:r w:rsidR="00A11BCC" w:rsidRPr="00F25744">
        <w:rPr>
          <w:rFonts w:cs="David" w:hint="cs"/>
          <w:sz w:val="24"/>
          <w:szCs w:val="24"/>
          <w:rtl/>
        </w:rPr>
        <w:t xml:space="preserve">) </w:t>
      </w:r>
      <w:r w:rsidR="00694B6F" w:rsidRPr="00F25744">
        <w:rPr>
          <w:rFonts w:cs="David" w:hint="cs"/>
          <w:sz w:val="24"/>
          <w:szCs w:val="24"/>
          <w:rtl/>
        </w:rPr>
        <w:t xml:space="preserve">ושעת סיום (למשל 8:09) </w:t>
      </w:r>
      <w:r w:rsidR="00A11BCC" w:rsidRPr="00F25744">
        <w:rPr>
          <w:rFonts w:cs="David" w:hint="cs"/>
          <w:sz w:val="24"/>
          <w:szCs w:val="24"/>
          <w:rtl/>
        </w:rPr>
        <w:t>ומנקודה זו ואילך התבקשו השופטים למלא פעילויות עוקבות (למשל 8:10 עד 8:42 = דיון; 8:42 עד 9:03 = משימות בסל; 9:03 עד 9:25 = זמן לבר-שיפוטי).</w:t>
      </w:r>
      <w:r w:rsidR="00A11BCC" w:rsidRPr="00F25744">
        <w:rPr>
          <w:rFonts w:hint="cs"/>
          <w:rtl/>
        </w:rPr>
        <w:t xml:space="preserve"> </w:t>
      </w:r>
      <w:r w:rsidR="00CD5A55" w:rsidRPr="00F25744">
        <w:rPr>
          <w:rFonts w:cs="David" w:hint="cs"/>
          <w:sz w:val="24"/>
          <w:szCs w:val="24"/>
          <w:rtl/>
        </w:rPr>
        <w:t xml:space="preserve">אופן זה של דיווח נועד להבטיח כי כלל הפעולות השיפוטיות ידווחו באופן רציף, מדויק ומלא. </w:t>
      </w:r>
    </w:p>
    <w:p w14:paraId="6849228A" w14:textId="77777777" w:rsidR="009822A6" w:rsidRPr="00F25744" w:rsidRDefault="00E25AE7" w:rsidP="00BD23BB">
      <w:pPr>
        <w:spacing w:before="120" w:after="0" w:line="360" w:lineRule="auto"/>
        <w:jc w:val="both"/>
        <w:rPr>
          <w:rFonts w:cs="David"/>
          <w:b/>
          <w:bCs/>
          <w:sz w:val="24"/>
          <w:szCs w:val="24"/>
          <w:rtl/>
        </w:rPr>
      </w:pPr>
      <w:r w:rsidRPr="00F25744">
        <w:rPr>
          <w:rFonts w:cs="David" w:hint="cs"/>
          <w:sz w:val="24"/>
          <w:szCs w:val="24"/>
          <w:rtl/>
        </w:rPr>
        <w:t xml:space="preserve">העמודה הבאה הוקדשה לזמן שהוקדש למילוי היומן השיפוטי עצמו. את הזמן שדווח בעמודה זו הורדנו מזמני יום העבודה השיפוטי. </w:t>
      </w:r>
    </w:p>
    <w:p w14:paraId="58BEEF15" w14:textId="77777777" w:rsidR="009822A6" w:rsidRPr="00F25744" w:rsidRDefault="00E25AE7" w:rsidP="00BD23BB">
      <w:pPr>
        <w:spacing w:before="120" w:after="0" w:line="360" w:lineRule="auto"/>
        <w:jc w:val="both"/>
        <w:rPr>
          <w:rFonts w:cs="David"/>
          <w:b/>
          <w:bCs/>
          <w:sz w:val="24"/>
          <w:szCs w:val="24"/>
          <w:rtl/>
        </w:rPr>
      </w:pPr>
      <w:r w:rsidRPr="00F25744">
        <w:rPr>
          <w:rFonts w:cs="David" w:hint="cs"/>
          <w:b/>
          <w:bCs/>
          <w:sz w:val="24"/>
          <w:szCs w:val="24"/>
          <w:rtl/>
        </w:rPr>
        <w:t xml:space="preserve">העמודה הרביעית </w:t>
      </w:r>
      <w:r w:rsidRPr="00F25744">
        <w:rPr>
          <w:rFonts w:cs="David" w:hint="cs"/>
          <w:sz w:val="24"/>
          <w:szCs w:val="24"/>
          <w:rtl/>
        </w:rPr>
        <w:t>הוקדשה לדיווח על הזמן הלבר</w:t>
      </w:r>
      <w:r w:rsidR="0050708B" w:rsidRPr="00F25744">
        <w:rPr>
          <w:rFonts w:cs="David" w:hint="cs"/>
          <w:sz w:val="24"/>
          <w:szCs w:val="24"/>
          <w:rtl/>
        </w:rPr>
        <w:t xml:space="preserve"> </w:t>
      </w:r>
      <w:r w:rsidRPr="00F25744">
        <w:rPr>
          <w:rFonts w:cs="David" w:hint="cs"/>
          <w:sz w:val="24"/>
          <w:szCs w:val="24"/>
          <w:rtl/>
        </w:rPr>
        <w:t xml:space="preserve">שיפוטי </w:t>
      </w:r>
      <w:r w:rsidRPr="00F25744">
        <w:rPr>
          <w:rFonts w:cs="David"/>
          <w:sz w:val="24"/>
          <w:szCs w:val="24"/>
          <w:rtl/>
        </w:rPr>
        <w:t>–</w:t>
      </w:r>
      <w:r w:rsidRPr="00F25744">
        <w:rPr>
          <w:rFonts w:cs="David" w:hint="cs"/>
          <w:sz w:val="24"/>
          <w:szCs w:val="24"/>
          <w:rtl/>
        </w:rPr>
        <w:t xml:space="preserve"> השופטים התבקשו לציין את הזמן הלבר שיפוטי, קרי </w:t>
      </w:r>
      <w:r w:rsidRPr="00F25744">
        <w:rPr>
          <w:rFonts w:cs="David"/>
          <w:sz w:val="24"/>
          <w:szCs w:val="24"/>
          <w:rtl/>
        </w:rPr>
        <w:t>–</w:t>
      </w:r>
      <w:r w:rsidRPr="00F25744">
        <w:rPr>
          <w:rFonts w:cs="David" w:hint="cs"/>
          <w:sz w:val="24"/>
          <w:szCs w:val="24"/>
          <w:rtl/>
        </w:rPr>
        <w:t xml:space="preserve"> הזמן שבו לא עבדו, רק כאשר מדובר היה בהפסקות בין פעולה שיפוטית אחת לאחרת, ולא כאשר מדובר היה בזמן שלאחר סיום יום העבודה</w:t>
      </w:r>
      <w:r w:rsidR="00D15C08" w:rsidRPr="00F25744">
        <w:rPr>
          <w:rFonts w:cs="David" w:hint="cs"/>
          <w:sz w:val="24"/>
          <w:szCs w:val="24"/>
          <w:rtl/>
        </w:rPr>
        <w:t>,</w:t>
      </w:r>
      <w:r w:rsidRPr="00F25744">
        <w:rPr>
          <w:rFonts w:cs="David" w:hint="cs"/>
          <w:sz w:val="24"/>
          <w:szCs w:val="24"/>
          <w:rtl/>
        </w:rPr>
        <w:t xml:space="preserve"> מנוחת הלילה או הזמן שטרם תחילת יום העבודה שלהם, בין אם בביתם או בהגעתם ללשכה. סימון הזמן הלבר שיפוטי נועד לחלוקת יום העבודה השיפוטי, ולצורך הדיוק בתיעוד זמני הפעולות השיפוטיות ומניעת טעויות במילוי היומן.</w:t>
      </w:r>
    </w:p>
    <w:p w14:paraId="2FE6E880" w14:textId="59B39616" w:rsidR="006227EC" w:rsidRPr="00F25744" w:rsidRDefault="00E25AE7" w:rsidP="00D0389E">
      <w:pPr>
        <w:spacing w:before="120" w:after="0" w:line="360" w:lineRule="auto"/>
        <w:jc w:val="both"/>
        <w:rPr>
          <w:rFonts w:cs="David"/>
          <w:sz w:val="24"/>
          <w:szCs w:val="24"/>
          <w:rtl/>
        </w:rPr>
      </w:pPr>
      <w:r w:rsidRPr="00F25744">
        <w:rPr>
          <w:rFonts w:cs="David" w:hint="cs"/>
          <w:b/>
          <w:bCs/>
          <w:sz w:val="24"/>
          <w:szCs w:val="24"/>
          <w:rtl/>
        </w:rPr>
        <w:t xml:space="preserve">מכאן ואילך, </w:t>
      </w:r>
      <w:r w:rsidR="007F3A52" w:rsidRPr="00F25744">
        <w:rPr>
          <w:rFonts w:cs="David" w:hint="cs"/>
          <w:b/>
          <w:bCs/>
          <w:sz w:val="24"/>
          <w:szCs w:val="24"/>
          <w:rtl/>
        </w:rPr>
        <w:t>היומן חולק לשני חלקים עיקריים: חלקו הימני</w:t>
      </w:r>
      <w:r w:rsidR="007F3A52" w:rsidRPr="00F25744">
        <w:rPr>
          <w:rFonts w:cs="David" w:hint="cs"/>
          <w:sz w:val="24"/>
          <w:szCs w:val="24"/>
          <w:rtl/>
        </w:rPr>
        <w:t xml:space="preserve"> </w:t>
      </w:r>
      <w:r w:rsidR="007F3A52" w:rsidRPr="00F25744">
        <w:rPr>
          <w:rFonts w:cs="David" w:hint="cs"/>
          <w:b/>
          <w:bCs/>
          <w:sz w:val="24"/>
          <w:szCs w:val="24"/>
          <w:rtl/>
        </w:rPr>
        <w:t>של היומן</w:t>
      </w:r>
      <w:r w:rsidR="007F3A52" w:rsidRPr="00F25744">
        <w:rPr>
          <w:rFonts w:cs="David" w:hint="cs"/>
          <w:sz w:val="24"/>
          <w:szCs w:val="24"/>
          <w:rtl/>
        </w:rPr>
        <w:t xml:space="preserve"> הוקדש לפעולות השיפוטיות שאינן מקושרות לתיק מסוים, ונועד בעיקר </w:t>
      </w:r>
      <w:r w:rsidR="007F3A52" w:rsidRPr="00F25744">
        <w:rPr>
          <w:rFonts w:cs="David" w:hint="cs"/>
          <w:b/>
          <w:bCs/>
          <w:sz w:val="24"/>
          <w:szCs w:val="24"/>
          <w:rtl/>
        </w:rPr>
        <w:t>לפילוח יום העבודה השיפוטי</w:t>
      </w:r>
      <w:r w:rsidR="007F3A52" w:rsidRPr="00F25744">
        <w:rPr>
          <w:rFonts w:cs="David" w:hint="cs"/>
          <w:sz w:val="24"/>
          <w:szCs w:val="24"/>
          <w:rtl/>
        </w:rPr>
        <w:t xml:space="preserve">, בחלוקה בין פעילות אדמיניסטרטיבית, פעילות שאינה קשורה בתיקים (הכוונה לפעילות שלא קשורה בתיקים הספציפיים שנתונים לטיפולו של השופט) כמו השתלמויות, ישיבות שופטים וכו', וכן טיפול גורף במשימות בסל העבודה בנט המשפט. אשר </w:t>
      </w:r>
      <w:r w:rsidR="007F3A52" w:rsidRPr="00F25744">
        <w:rPr>
          <w:rFonts w:cs="David" w:hint="cs"/>
          <w:b/>
          <w:bCs/>
          <w:sz w:val="24"/>
          <w:szCs w:val="24"/>
          <w:rtl/>
        </w:rPr>
        <w:t>לטיפול גורף במשימות</w:t>
      </w:r>
      <w:r w:rsidR="007F3A52" w:rsidRPr="00F25744">
        <w:rPr>
          <w:rFonts w:cs="David" w:hint="cs"/>
          <w:sz w:val="24"/>
          <w:szCs w:val="24"/>
          <w:rtl/>
        </w:rPr>
        <w:t xml:space="preserve"> </w:t>
      </w:r>
      <w:r w:rsidR="007F3A52" w:rsidRPr="00F25744">
        <w:rPr>
          <w:rFonts w:cs="David" w:hint="cs"/>
          <w:b/>
          <w:bCs/>
          <w:sz w:val="24"/>
          <w:szCs w:val="24"/>
          <w:rtl/>
        </w:rPr>
        <w:t>בסל</w:t>
      </w:r>
      <w:r w:rsidR="007F3A52" w:rsidRPr="00F25744">
        <w:rPr>
          <w:rFonts w:cs="David" w:hint="cs"/>
          <w:sz w:val="24"/>
          <w:szCs w:val="24"/>
          <w:rtl/>
        </w:rPr>
        <w:t xml:space="preserve"> יוער, כי בעת הכנת מערכי המחקר השונים, עמדו לנגד עינינו שני שיקולים </w:t>
      </w:r>
      <w:r w:rsidR="002A782E" w:rsidRPr="00F25744">
        <w:rPr>
          <w:rFonts w:cs="David" w:hint="cs"/>
          <w:sz w:val="24"/>
          <w:szCs w:val="24"/>
          <w:rtl/>
        </w:rPr>
        <w:t>מתחרים שביקשנו לערוך ביניהם איזון מתמיד</w:t>
      </w:r>
      <w:r w:rsidR="007F3A52" w:rsidRPr="00F25744">
        <w:rPr>
          <w:rFonts w:cs="David" w:hint="cs"/>
          <w:sz w:val="24"/>
          <w:szCs w:val="24"/>
          <w:rtl/>
        </w:rPr>
        <w:t>: מחד</w:t>
      </w:r>
      <w:r w:rsidR="00EA1FB9" w:rsidRPr="00F25744">
        <w:rPr>
          <w:rFonts w:cs="David" w:hint="cs"/>
          <w:sz w:val="24"/>
          <w:szCs w:val="24"/>
          <w:rtl/>
        </w:rPr>
        <w:t xml:space="preserve"> גיסא</w:t>
      </w:r>
      <w:r w:rsidR="007F3A52" w:rsidRPr="00F25744">
        <w:rPr>
          <w:rFonts w:cs="David" w:hint="cs"/>
          <w:sz w:val="24"/>
          <w:szCs w:val="24"/>
          <w:rtl/>
        </w:rPr>
        <w:t>, הרצון לדייק בנתונים ובמדידת הזמנים ככל הניתן, ומאידך</w:t>
      </w:r>
      <w:r w:rsidR="00EA1FB9" w:rsidRPr="00F25744">
        <w:rPr>
          <w:rFonts w:cs="David" w:hint="cs"/>
          <w:sz w:val="24"/>
          <w:szCs w:val="24"/>
          <w:rtl/>
        </w:rPr>
        <w:t xml:space="preserve"> גיסא</w:t>
      </w:r>
      <w:r w:rsidR="007F3A52" w:rsidRPr="00F25744">
        <w:rPr>
          <w:rFonts w:cs="David" w:hint="cs"/>
          <w:sz w:val="24"/>
          <w:szCs w:val="24"/>
          <w:rtl/>
        </w:rPr>
        <w:t>, הימנעות מהטלת נטל כבד מדי על כתפי השופטים באופן ש</w:t>
      </w:r>
      <w:r w:rsidR="00EA1FB9" w:rsidRPr="00F25744">
        <w:rPr>
          <w:rFonts w:cs="David" w:hint="cs"/>
          <w:sz w:val="24"/>
          <w:szCs w:val="24"/>
          <w:rtl/>
        </w:rPr>
        <w:t xml:space="preserve">עשוי להקשות על </w:t>
      </w:r>
      <w:r w:rsidR="007F3A52" w:rsidRPr="00F25744">
        <w:rPr>
          <w:rFonts w:cs="David" w:hint="cs"/>
          <w:sz w:val="24"/>
          <w:szCs w:val="24"/>
          <w:rtl/>
        </w:rPr>
        <w:t>שיתוף פעולה מרבי במהלך המחקר. האיזון המתמיד בין שני השיקולים הללו הצריך לעתים ויתור מסוים על השגת מלוא הנתונים, וסוגית הטיפול הגורף בסל מהווה דוגמה מצוינת לכך. בהתחשב בכמות הרבה של משימות בכל תיק, לא ניתן היה לבקש מהשופטים שייחדו שורה נפרדת לכל כתיבת</w:t>
      </w:r>
      <w:r w:rsidR="00D82D7D">
        <w:rPr>
          <w:rFonts w:cs="David" w:hint="cs"/>
          <w:sz w:val="24"/>
          <w:szCs w:val="24"/>
          <w:rtl/>
        </w:rPr>
        <w:t xml:space="preserve"> החלטה ב</w:t>
      </w:r>
      <w:r w:rsidR="007F3A52" w:rsidRPr="00F25744">
        <w:rPr>
          <w:rFonts w:cs="David" w:hint="cs"/>
          <w:sz w:val="24"/>
          <w:szCs w:val="24"/>
          <w:rtl/>
        </w:rPr>
        <w:t xml:space="preserve">פתקית ויציינו באיזה סוג תיק היא נכתבה וכמה זמן ארך הטיפול בה. האיזון בין השיקולים כאמור דרש פתרון מיוחד לסוגית הטיפול הגורף בסל, ולכן הוקדשה לה עמודה נפרדת שבה התאפשר לשופטים לציין את משך הטיפול בסל באופן גורף ולא באופן פרטני לכל תיק בנפרד. על מנת לפצות על החוסר המסוים בנתונים בשל איזון זה, בדקנו את נתוני נט המשפט לגבי כמות </w:t>
      </w:r>
      <w:r w:rsidR="0071289B">
        <w:rPr>
          <w:rFonts w:cs="David" w:hint="cs"/>
          <w:sz w:val="24"/>
          <w:szCs w:val="24"/>
          <w:rtl/>
        </w:rPr>
        <w:t>ההחלטות ב</w:t>
      </w:r>
      <w:r w:rsidR="007F3A52" w:rsidRPr="00F25744">
        <w:rPr>
          <w:rFonts w:cs="David" w:hint="cs"/>
          <w:sz w:val="24"/>
          <w:szCs w:val="24"/>
          <w:rtl/>
        </w:rPr>
        <w:t>פתקית שנחתמ</w:t>
      </w:r>
      <w:r w:rsidR="0071289B">
        <w:rPr>
          <w:rFonts w:cs="David" w:hint="cs"/>
          <w:sz w:val="24"/>
          <w:szCs w:val="24"/>
          <w:rtl/>
        </w:rPr>
        <w:t>ו</w:t>
      </w:r>
      <w:r w:rsidR="007F3A52" w:rsidRPr="00F25744">
        <w:rPr>
          <w:rFonts w:cs="David" w:hint="cs"/>
          <w:sz w:val="24"/>
          <w:szCs w:val="24"/>
          <w:rtl/>
        </w:rPr>
        <w:t xml:space="preserve"> בש</w:t>
      </w:r>
      <w:r w:rsidR="00D0389E">
        <w:rPr>
          <w:rFonts w:cs="David" w:hint="cs"/>
          <w:sz w:val="24"/>
          <w:szCs w:val="24"/>
          <w:rtl/>
        </w:rPr>
        <w:t>לוש השנים 2017 - 2019</w:t>
      </w:r>
      <w:r w:rsidR="007F3A52" w:rsidRPr="00F25744">
        <w:rPr>
          <w:rFonts w:cs="David" w:hint="cs"/>
          <w:sz w:val="24"/>
          <w:szCs w:val="24"/>
          <w:rtl/>
        </w:rPr>
        <w:t xml:space="preserve">, וכן ביקשנו מהשופטים לאמוד במסגרת השאלון המסכם את זמן כתיבת </w:t>
      </w:r>
      <w:r w:rsidR="001D3D15">
        <w:rPr>
          <w:rFonts w:cs="David" w:hint="cs"/>
          <w:sz w:val="24"/>
          <w:szCs w:val="24"/>
          <w:rtl/>
        </w:rPr>
        <w:t>החלטה ב</w:t>
      </w:r>
      <w:r w:rsidR="007F3A52" w:rsidRPr="00F25744">
        <w:rPr>
          <w:rFonts w:cs="David" w:hint="cs"/>
          <w:sz w:val="24"/>
          <w:szCs w:val="24"/>
          <w:rtl/>
        </w:rPr>
        <w:t xml:space="preserve">פתקית ממוצעת בכל סוג של תיק שבו הם מטפלים. הרחבה על כך תינתן </w:t>
      </w:r>
      <w:r w:rsidR="00EA1FB9" w:rsidRPr="00F25744">
        <w:rPr>
          <w:rFonts w:cs="David" w:hint="cs"/>
          <w:sz w:val="24"/>
          <w:szCs w:val="24"/>
          <w:rtl/>
        </w:rPr>
        <w:t xml:space="preserve">בהמשך, </w:t>
      </w:r>
      <w:r w:rsidR="007F3A52" w:rsidRPr="00F25744">
        <w:rPr>
          <w:rFonts w:cs="David" w:hint="cs"/>
          <w:sz w:val="24"/>
          <w:szCs w:val="24"/>
          <w:rtl/>
        </w:rPr>
        <w:t xml:space="preserve">במסגרת תת הפרק שיעסוק בשאלון המסכם. </w:t>
      </w:r>
    </w:p>
    <w:p w14:paraId="4872313E" w14:textId="77777777" w:rsidR="006227EC" w:rsidRPr="00F25744" w:rsidRDefault="00E25AE7" w:rsidP="00BD23BB">
      <w:pPr>
        <w:spacing w:before="120" w:after="0" w:line="360" w:lineRule="auto"/>
        <w:jc w:val="both"/>
        <w:rPr>
          <w:rFonts w:cs="David"/>
          <w:sz w:val="24"/>
          <w:szCs w:val="24"/>
          <w:rtl/>
        </w:rPr>
      </w:pPr>
      <w:r w:rsidRPr="00F25744">
        <w:rPr>
          <w:rFonts w:cs="David" w:hint="cs"/>
          <w:sz w:val="24"/>
          <w:szCs w:val="24"/>
          <w:rtl/>
        </w:rPr>
        <w:t xml:space="preserve">אשר לעמודת שמיעת הדיונים </w:t>
      </w:r>
      <w:r w:rsidRPr="00F25744">
        <w:rPr>
          <w:rFonts w:cs="David"/>
          <w:sz w:val="24"/>
          <w:szCs w:val="24"/>
          <w:rtl/>
        </w:rPr>
        <w:t>–</w:t>
      </w:r>
      <w:r w:rsidRPr="00F25744">
        <w:rPr>
          <w:rFonts w:cs="David" w:hint="cs"/>
          <w:sz w:val="24"/>
          <w:szCs w:val="24"/>
          <w:rtl/>
        </w:rPr>
        <w:t xml:space="preserve"> בעמודה זו התבקשו השופטים לציין את זמני שמיעת הדיונים בלבד, לא בחלוקה לכל דיון אלא הזמן הכולל שבו שהו באולם. עמודה זו נועדה בעיקרה לצורך פילוח היום השיפוטי שכן זמני הדיונים המדויקים בחלוקה לסוגי התיקים ולסוגי הדיונים נעשתה ביומני הקלדניות. </w:t>
      </w:r>
    </w:p>
    <w:p w14:paraId="5FD800F2" w14:textId="77777777" w:rsidR="006227EC" w:rsidRPr="00F25744" w:rsidRDefault="00E25AE7" w:rsidP="00BD23BB">
      <w:pPr>
        <w:spacing w:before="120" w:after="0" w:line="360" w:lineRule="auto"/>
        <w:jc w:val="both"/>
        <w:rPr>
          <w:rFonts w:cs="David"/>
          <w:sz w:val="24"/>
          <w:szCs w:val="24"/>
          <w:rtl/>
        </w:rPr>
      </w:pPr>
      <w:r w:rsidRPr="00F25744">
        <w:rPr>
          <w:rFonts w:cs="David" w:hint="cs"/>
          <w:b/>
          <w:bCs/>
          <w:sz w:val="24"/>
          <w:szCs w:val="24"/>
          <w:rtl/>
        </w:rPr>
        <w:t>חלקו השמאלי של היומן</w:t>
      </w:r>
      <w:r w:rsidRPr="00F25744">
        <w:rPr>
          <w:rFonts w:cs="David" w:hint="cs"/>
          <w:sz w:val="24"/>
          <w:szCs w:val="24"/>
          <w:rtl/>
        </w:rPr>
        <w:t xml:space="preserve"> הוקדש </w:t>
      </w:r>
      <w:r w:rsidRPr="00F25744">
        <w:rPr>
          <w:rFonts w:cs="David" w:hint="cs"/>
          <w:b/>
          <w:bCs/>
          <w:sz w:val="24"/>
          <w:szCs w:val="24"/>
          <w:rtl/>
        </w:rPr>
        <w:t>לפעילות השיפוטית הנעשית בתיק ספציפי</w:t>
      </w:r>
      <w:r w:rsidRPr="00F25744">
        <w:rPr>
          <w:rFonts w:cs="David" w:hint="cs"/>
          <w:sz w:val="24"/>
          <w:szCs w:val="24"/>
          <w:rtl/>
        </w:rPr>
        <w:t xml:space="preserve"> שבטיפולו של השופט, ואלו הנתונים ששימשו (יחד עם נתוני הקלדניות) למדידת זמני הטיפול באירועים המרכזיים בכל סוג תיק. חלקו השמאלי של היומן כלל את עמודות ההכנה לדיונים, בחלוקה בין דיוני הוכחות לדיונים </w:t>
      </w:r>
      <w:r w:rsidRPr="00F25744">
        <w:rPr>
          <w:rFonts w:cs="David" w:hint="cs"/>
          <w:sz w:val="24"/>
          <w:szCs w:val="24"/>
          <w:rtl/>
        </w:rPr>
        <w:lastRenderedPageBreak/>
        <w:t xml:space="preserve">אחרים. במסגרת דיוני ההוכחות נכללו גם דיונים שבהם נשמעו סיכומים בעל פה, טיעונים לעונש וכו', ובערכאת המחוזי נכללה בעמודה זו גם הכנה לדיון בערעור. כמו כן נכללו בחלקו השמאלי של היומן עמודות זמני הכתיבה, בחלוקה בין כתיבת החלטות ביניים לכתיבת פסקי דין. במסגרת החלטות ביניים נכללה כתיבת כל החלטה </w:t>
      </w:r>
      <w:r w:rsidR="002A0C06" w:rsidRPr="00F25744">
        <w:rPr>
          <w:rFonts w:cs="David" w:hint="cs"/>
          <w:sz w:val="24"/>
          <w:szCs w:val="24"/>
          <w:rtl/>
        </w:rPr>
        <w:t xml:space="preserve">במסמך עצמאי, </w:t>
      </w:r>
      <w:r w:rsidRPr="00F25744">
        <w:rPr>
          <w:rFonts w:cs="David" w:hint="cs"/>
          <w:sz w:val="24"/>
          <w:szCs w:val="24"/>
          <w:rtl/>
        </w:rPr>
        <w:t xml:space="preserve">שלא נכללה במסגרת עמודת "טיפול גורף בסל", ולרבות החלטות לאחר סגירת התיק. במסגרת כתיבת פסק דין נכללה גם החלטה בבקשה לאישור תובענה ייצוגית, הכרעת דין, גזר דין וכל החלטה הסוגרת את התיק. </w:t>
      </w:r>
    </w:p>
    <w:p w14:paraId="7CA9338E" w14:textId="77777777" w:rsidR="006227EC" w:rsidRPr="00F25744" w:rsidRDefault="00E25AE7" w:rsidP="00BD23BB">
      <w:pPr>
        <w:spacing w:before="120" w:after="0" w:line="360" w:lineRule="auto"/>
        <w:jc w:val="both"/>
        <w:rPr>
          <w:rFonts w:cs="David"/>
          <w:sz w:val="24"/>
          <w:szCs w:val="24"/>
          <w:rtl/>
        </w:rPr>
      </w:pPr>
      <w:r w:rsidRPr="00F25744">
        <w:rPr>
          <w:rFonts w:cs="David" w:hint="cs"/>
          <w:sz w:val="24"/>
          <w:szCs w:val="24"/>
          <w:rtl/>
        </w:rPr>
        <w:t xml:space="preserve">ביחס לעמודות ההכנה והכתיבה התבקשו השופטים לציין את </w:t>
      </w:r>
      <w:r w:rsidRPr="00F25744">
        <w:rPr>
          <w:rFonts w:cs="David" w:hint="cs"/>
          <w:b/>
          <w:bCs/>
          <w:sz w:val="24"/>
          <w:szCs w:val="24"/>
          <w:rtl/>
        </w:rPr>
        <w:t>סוג התיק</w:t>
      </w:r>
      <w:r w:rsidRPr="00F25744">
        <w:rPr>
          <w:rFonts w:cs="David" w:hint="cs"/>
          <w:sz w:val="24"/>
          <w:szCs w:val="24"/>
          <w:rtl/>
        </w:rPr>
        <w:t xml:space="preserve"> לגבי כל פעולה שיפוטית, על מנת שנוכל לייחס את זמני הפעילות השיפוטית לסוגי התיקים השונים </w:t>
      </w:r>
      <w:r w:rsidR="00CD3CD7" w:rsidRPr="00F25744">
        <w:rPr>
          <w:rFonts w:cs="David" w:hint="cs"/>
          <w:sz w:val="24"/>
          <w:szCs w:val="24"/>
          <w:rtl/>
        </w:rPr>
        <w:t>(למשל תיק מסוג ת"פ, ת"א, תא"מ, מ"ת ועוד)</w:t>
      </w:r>
      <w:r w:rsidRPr="00F25744">
        <w:rPr>
          <w:rFonts w:cs="David" w:hint="cs"/>
          <w:sz w:val="24"/>
          <w:szCs w:val="24"/>
          <w:rtl/>
        </w:rPr>
        <w:t xml:space="preserve">. שופטי המחוזי והשלום בלבד, </w:t>
      </w:r>
      <w:r w:rsidR="00CD3CD7" w:rsidRPr="00F25744">
        <w:rPr>
          <w:rFonts w:cs="David" w:hint="cs"/>
          <w:sz w:val="24"/>
          <w:szCs w:val="24"/>
          <w:rtl/>
        </w:rPr>
        <w:t xml:space="preserve">התבקשו בנוסף </w:t>
      </w:r>
      <w:r w:rsidRPr="00F25744">
        <w:rPr>
          <w:rFonts w:cs="David" w:hint="cs"/>
          <w:sz w:val="24"/>
          <w:szCs w:val="24"/>
          <w:rtl/>
        </w:rPr>
        <w:t xml:space="preserve">לציין את </w:t>
      </w:r>
      <w:r w:rsidRPr="00F25744">
        <w:rPr>
          <w:rFonts w:cs="David" w:hint="cs"/>
          <w:b/>
          <w:bCs/>
          <w:sz w:val="24"/>
          <w:szCs w:val="24"/>
          <w:rtl/>
        </w:rPr>
        <w:t>סוג העניין</w:t>
      </w:r>
      <w:r w:rsidRPr="00F25744">
        <w:rPr>
          <w:rFonts w:cs="David" w:hint="cs"/>
          <w:sz w:val="24"/>
          <w:szCs w:val="24"/>
          <w:rtl/>
        </w:rPr>
        <w:t xml:space="preserve"> במקרים הבאים: </w:t>
      </w:r>
      <w:r w:rsidR="00CD3CD7" w:rsidRPr="00F25744">
        <w:rPr>
          <w:rFonts w:cs="David" w:hint="cs"/>
          <w:sz w:val="24"/>
          <w:szCs w:val="24"/>
          <w:rtl/>
        </w:rPr>
        <w:t xml:space="preserve">שופטי </w:t>
      </w:r>
      <w:r w:rsidRPr="00F25744">
        <w:rPr>
          <w:rFonts w:cs="David" w:hint="cs"/>
          <w:b/>
          <w:bCs/>
          <w:sz w:val="24"/>
          <w:szCs w:val="24"/>
          <w:rtl/>
        </w:rPr>
        <w:t>המחוזי</w:t>
      </w:r>
      <w:r w:rsidRPr="00F25744">
        <w:rPr>
          <w:rFonts w:cs="David" w:hint="cs"/>
          <w:sz w:val="24"/>
          <w:szCs w:val="24"/>
          <w:rtl/>
        </w:rPr>
        <w:t xml:space="preserve"> נדרשו לציין את סוג העניין רק לגבי תיקי</w:t>
      </w:r>
      <w:r w:rsidR="00CD3CD7" w:rsidRPr="00F25744">
        <w:rPr>
          <w:rFonts w:cs="David" w:hint="cs"/>
          <w:sz w:val="24"/>
          <w:szCs w:val="24"/>
          <w:rtl/>
        </w:rPr>
        <w:t>ם מסוג</w:t>
      </w:r>
      <w:r w:rsidRPr="00F25744">
        <w:rPr>
          <w:rFonts w:cs="David" w:hint="cs"/>
          <w:sz w:val="24"/>
          <w:szCs w:val="24"/>
          <w:rtl/>
        </w:rPr>
        <w:t xml:space="preserve"> </w:t>
      </w:r>
      <w:r w:rsidRPr="00F25744">
        <w:rPr>
          <w:rFonts w:cs="David" w:hint="cs"/>
          <w:b/>
          <w:bCs/>
          <w:sz w:val="24"/>
          <w:szCs w:val="24"/>
          <w:rtl/>
        </w:rPr>
        <w:t>ת"א</w:t>
      </w:r>
      <w:r w:rsidRPr="00F25744">
        <w:rPr>
          <w:rFonts w:cs="David" w:hint="cs"/>
          <w:sz w:val="24"/>
          <w:szCs w:val="24"/>
          <w:rtl/>
        </w:rPr>
        <w:t>, לפי רשימת סוגי העניין שמופיעה בנט המשפט</w:t>
      </w:r>
      <w:r w:rsidR="00CD3CD7" w:rsidRPr="00F25744">
        <w:rPr>
          <w:rFonts w:cs="David" w:hint="cs"/>
          <w:sz w:val="24"/>
          <w:szCs w:val="24"/>
          <w:rtl/>
        </w:rPr>
        <w:t xml:space="preserve"> (למשל תיק מסוג ת"א, סוג העניין רשלנות רפואית)</w:t>
      </w:r>
      <w:r w:rsidRPr="00F25744">
        <w:rPr>
          <w:rFonts w:cs="David" w:hint="cs"/>
          <w:sz w:val="24"/>
          <w:szCs w:val="24"/>
          <w:rtl/>
        </w:rPr>
        <w:t xml:space="preserve">, </w:t>
      </w:r>
      <w:r w:rsidR="00CD3CD7" w:rsidRPr="00F25744">
        <w:rPr>
          <w:rFonts w:cs="David" w:hint="cs"/>
          <w:sz w:val="24"/>
          <w:szCs w:val="24"/>
          <w:rtl/>
        </w:rPr>
        <w:t>ושופטי</w:t>
      </w:r>
      <w:r w:rsidRPr="00F25744">
        <w:rPr>
          <w:rFonts w:cs="David" w:hint="cs"/>
          <w:sz w:val="24"/>
          <w:szCs w:val="24"/>
          <w:rtl/>
        </w:rPr>
        <w:t xml:space="preserve"> </w:t>
      </w:r>
      <w:r w:rsidRPr="00F25744">
        <w:rPr>
          <w:rFonts w:cs="David" w:hint="cs"/>
          <w:b/>
          <w:bCs/>
          <w:sz w:val="24"/>
          <w:szCs w:val="24"/>
          <w:rtl/>
        </w:rPr>
        <w:t>השלום</w:t>
      </w:r>
      <w:r w:rsidRPr="00F25744">
        <w:rPr>
          <w:rFonts w:cs="David" w:hint="cs"/>
          <w:sz w:val="24"/>
          <w:szCs w:val="24"/>
          <w:rtl/>
        </w:rPr>
        <w:t xml:space="preserve"> התבקשו לציין את סוג העניין בתיקי </w:t>
      </w:r>
      <w:r w:rsidRPr="00F25744">
        <w:rPr>
          <w:rFonts w:cs="David" w:hint="cs"/>
          <w:b/>
          <w:bCs/>
          <w:sz w:val="24"/>
          <w:szCs w:val="24"/>
          <w:rtl/>
        </w:rPr>
        <w:t>ת"א</w:t>
      </w:r>
      <w:r w:rsidRPr="00F25744">
        <w:rPr>
          <w:rFonts w:cs="David" w:hint="cs"/>
          <w:sz w:val="24"/>
          <w:szCs w:val="24"/>
          <w:rtl/>
        </w:rPr>
        <w:t xml:space="preserve">, גם כן לפי רשימת סוגי העניין שמופיעה בנט המשפט, ובתיקי </w:t>
      </w:r>
      <w:r w:rsidRPr="00F25744">
        <w:rPr>
          <w:rFonts w:cs="David" w:hint="cs"/>
          <w:b/>
          <w:bCs/>
          <w:sz w:val="24"/>
          <w:szCs w:val="24"/>
          <w:rtl/>
        </w:rPr>
        <w:t>תא"מ</w:t>
      </w:r>
      <w:r w:rsidRPr="00F25744">
        <w:rPr>
          <w:rFonts w:cs="David" w:hint="cs"/>
          <w:sz w:val="24"/>
          <w:szCs w:val="24"/>
          <w:rtl/>
        </w:rPr>
        <w:t xml:space="preserve"> התבקשו השופטים להבחין בין סוג העניין "נזקי רכוש </w:t>
      </w:r>
      <w:r w:rsidRPr="00F25744">
        <w:rPr>
          <w:rFonts w:cs="David"/>
          <w:sz w:val="24"/>
          <w:szCs w:val="24"/>
          <w:rtl/>
        </w:rPr>
        <w:t>–</w:t>
      </w:r>
      <w:r w:rsidRPr="00F25744">
        <w:rPr>
          <w:rFonts w:cs="David" w:hint="cs"/>
          <w:sz w:val="24"/>
          <w:szCs w:val="24"/>
          <w:rtl/>
        </w:rPr>
        <w:t xml:space="preserve"> רכב" לסוגי העניין האחרים. </w:t>
      </w:r>
    </w:p>
    <w:p w14:paraId="022BC128" w14:textId="0D0B3946" w:rsidR="009822A6" w:rsidRPr="00F25744" w:rsidRDefault="00E25AE7" w:rsidP="00164736">
      <w:pPr>
        <w:spacing w:before="120" w:after="0" w:line="360" w:lineRule="auto"/>
        <w:jc w:val="both"/>
        <w:rPr>
          <w:rFonts w:cs="David"/>
          <w:sz w:val="24"/>
          <w:szCs w:val="24"/>
          <w:rtl/>
        </w:rPr>
      </w:pPr>
      <w:r w:rsidRPr="00F25744">
        <w:rPr>
          <w:rFonts w:cs="David" w:hint="cs"/>
          <w:sz w:val="24"/>
          <w:szCs w:val="24"/>
          <w:rtl/>
        </w:rPr>
        <w:t xml:space="preserve">המטרה בעמודת הסוג העניין הייתה לתת </w:t>
      </w:r>
      <w:r w:rsidR="00324151" w:rsidRPr="00F25744">
        <w:rPr>
          <w:rFonts w:cs="David" w:hint="cs"/>
          <w:sz w:val="24"/>
          <w:szCs w:val="24"/>
          <w:rtl/>
        </w:rPr>
        <w:t xml:space="preserve">זמנים מדויקים </w:t>
      </w:r>
      <w:r w:rsidRPr="00F25744">
        <w:rPr>
          <w:rFonts w:cs="David" w:hint="cs"/>
          <w:sz w:val="24"/>
          <w:szCs w:val="24"/>
          <w:rtl/>
        </w:rPr>
        <w:t xml:space="preserve">לתיקים מסוג ת"א ותא"מ, בחלוקה לסוגי העניין המרכזיים. זאת, כמענה לבקשה ששבה ועלתה מצד </w:t>
      </w:r>
      <w:r w:rsidR="002A4B9D" w:rsidRPr="00F25744">
        <w:rPr>
          <w:rFonts w:cs="David" w:hint="cs"/>
          <w:sz w:val="24"/>
          <w:szCs w:val="24"/>
          <w:rtl/>
        </w:rPr>
        <w:t xml:space="preserve">נשיאים </w:t>
      </w:r>
      <w:r w:rsidR="002A4B9D">
        <w:rPr>
          <w:rFonts w:cs="David" w:hint="cs"/>
          <w:sz w:val="24"/>
          <w:szCs w:val="24"/>
          <w:rtl/>
        </w:rPr>
        <w:t>ו</w:t>
      </w:r>
      <w:r w:rsidRPr="00F25744">
        <w:rPr>
          <w:rFonts w:cs="David" w:hint="cs"/>
          <w:sz w:val="24"/>
          <w:szCs w:val="24"/>
          <w:rtl/>
        </w:rPr>
        <w:t xml:space="preserve">שופטים רבים במערכת, בעיקר ביחס לתיקי הת"א. השופטים טענו, ובצדק רב, כי מתן </w:t>
      </w:r>
      <w:r w:rsidR="00324151" w:rsidRPr="00F25744">
        <w:rPr>
          <w:rFonts w:cs="David" w:hint="cs"/>
          <w:sz w:val="24"/>
          <w:szCs w:val="24"/>
          <w:rtl/>
        </w:rPr>
        <w:t xml:space="preserve">זמן ממוצע </w:t>
      </w:r>
      <w:r w:rsidRPr="00F25744">
        <w:rPr>
          <w:rFonts w:cs="David" w:hint="cs"/>
          <w:sz w:val="24"/>
          <w:szCs w:val="24"/>
          <w:rtl/>
        </w:rPr>
        <w:t>כולל אחד לתיק מסוג ת"א, כפי שנעשה במחקר הקודם</w:t>
      </w:r>
      <w:r w:rsidR="00B51026" w:rsidRPr="00F25744">
        <w:rPr>
          <w:rFonts w:cs="David" w:hint="cs"/>
          <w:sz w:val="24"/>
          <w:szCs w:val="24"/>
          <w:rtl/>
        </w:rPr>
        <w:t xml:space="preserve"> (למעט ההבחנה בין תיקי ת"א </w:t>
      </w:r>
      <w:r w:rsidR="00B51026" w:rsidRPr="00F25744">
        <w:rPr>
          <w:rFonts w:cs="David"/>
          <w:sz w:val="24"/>
          <w:szCs w:val="24"/>
          <w:rtl/>
        </w:rPr>
        <w:t>–</w:t>
      </w:r>
      <w:r w:rsidR="00B51026" w:rsidRPr="00F25744">
        <w:rPr>
          <w:rFonts w:cs="David" w:hint="cs"/>
          <w:sz w:val="24"/>
          <w:szCs w:val="24"/>
          <w:rtl/>
        </w:rPr>
        <w:t xml:space="preserve"> פלת"ד לתיקי ת"א אחרים בערכאת השלום)</w:t>
      </w:r>
      <w:r w:rsidRPr="00F25744">
        <w:rPr>
          <w:rFonts w:cs="David" w:hint="cs"/>
          <w:sz w:val="24"/>
          <w:szCs w:val="24"/>
          <w:rtl/>
        </w:rPr>
        <w:t>, חוטא למציאות ואינו משקף את ההבדלים המשמעותיים שבין סוגי העניין השונים בתיקי הת"א. על נושא זה נרחיב בפרקי הממצאים שיוקדשו לערכא</w:t>
      </w:r>
      <w:r w:rsidR="002A0C06" w:rsidRPr="00F25744">
        <w:rPr>
          <w:rFonts w:cs="David" w:hint="cs"/>
          <w:sz w:val="24"/>
          <w:szCs w:val="24"/>
          <w:rtl/>
        </w:rPr>
        <w:t>ו</w:t>
      </w:r>
      <w:r w:rsidRPr="00F25744">
        <w:rPr>
          <w:rFonts w:cs="David" w:hint="cs"/>
          <w:sz w:val="24"/>
          <w:szCs w:val="24"/>
          <w:rtl/>
        </w:rPr>
        <w:t>ת המחוזי והשלום.</w:t>
      </w:r>
      <w:r w:rsidR="006221EF" w:rsidRPr="00F25744">
        <w:rPr>
          <w:rFonts w:cs="David" w:hint="cs"/>
          <w:sz w:val="24"/>
          <w:szCs w:val="24"/>
          <w:rtl/>
        </w:rPr>
        <w:t xml:space="preserve"> </w:t>
      </w:r>
      <w:r w:rsidR="00D672D1" w:rsidRPr="00F25744">
        <w:rPr>
          <w:rFonts w:cs="David" w:hint="cs"/>
          <w:sz w:val="24"/>
          <w:szCs w:val="24"/>
          <w:rtl/>
        </w:rPr>
        <w:t>באופן דומה</w:t>
      </w:r>
      <w:r w:rsidR="006221EF" w:rsidRPr="00F25744">
        <w:rPr>
          <w:rFonts w:cs="David" w:hint="cs"/>
          <w:sz w:val="24"/>
          <w:szCs w:val="24"/>
          <w:rtl/>
        </w:rPr>
        <w:t xml:space="preserve"> עלתה בקשה להבחין בין </w:t>
      </w:r>
      <w:r w:rsidR="007F3A52" w:rsidRPr="00F25744">
        <w:rPr>
          <w:rFonts w:cs="David" w:hint="cs"/>
          <w:sz w:val="24"/>
          <w:szCs w:val="24"/>
          <w:rtl/>
        </w:rPr>
        <w:t xml:space="preserve">תיק מסוג תא"מ מסוג עניין "נזקי רכוש </w:t>
      </w:r>
      <w:r w:rsidR="007F3A52" w:rsidRPr="00F25744">
        <w:rPr>
          <w:rFonts w:cs="David"/>
          <w:sz w:val="24"/>
          <w:szCs w:val="24"/>
          <w:rtl/>
        </w:rPr>
        <w:t>–</w:t>
      </w:r>
      <w:r w:rsidR="007F3A52" w:rsidRPr="00F25744">
        <w:rPr>
          <w:rFonts w:cs="David" w:hint="cs"/>
          <w:sz w:val="24"/>
          <w:szCs w:val="24"/>
          <w:rtl/>
        </w:rPr>
        <w:t xml:space="preserve"> רכב" ובין תיק תא"מ אחר</w:t>
      </w:r>
      <w:r w:rsidR="00D672D1" w:rsidRPr="00F25744">
        <w:rPr>
          <w:rFonts w:cs="David" w:hint="cs"/>
          <w:sz w:val="24"/>
          <w:szCs w:val="24"/>
          <w:rtl/>
        </w:rPr>
        <w:t>, הבחנה שלה</w:t>
      </w:r>
      <w:r w:rsidR="007F3A52" w:rsidRPr="00F25744">
        <w:rPr>
          <w:rFonts w:cs="David" w:hint="cs"/>
          <w:sz w:val="24"/>
          <w:szCs w:val="24"/>
          <w:rtl/>
        </w:rPr>
        <w:t xml:space="preserve"> עשויה להיות משמעות מבחינת </w:t>
      </w:r>
      <w:r w:rsidR="00324151" w:rsidRPr="00F25744">
        <w:rPr>
          <w:rFonts w:cs="David" w:hint="cs"/>
          <w:sz w:val="24"/>
          <w:szCs w:val="24"/>
          <w:rtl/>
        </w:rPr>
        <w:t xml:space="preserve">הזמן הנדרש לטיפול בתיק. </w:t>
      </w:r>
    </w:p>
    <w:p w14:paraId="639DC4AA" w14:textId="77777777" w:rsidR="006227EC" w:rsidRPr="00F25744" w:rsidRDefault="00E25AE7" w:rsidP="00BD23BB">
      <w:pPr>
        <w:spacing w:before="120" w:after="0" w:line="360" w:lineRule="auto"/>
        <w:jc w:val="both"/>
        <w:rPr>
          <w:rFonts w:cs="David"/>
          <w:sz w:val="24"/>
          <w:szCs w:val="24"/>
          <w:rtl/>
        </w:rPr>
      </w:pPr>
      <w:r w:rsidRPr="00F25744">
        <w:rPr>
          <w:rFonts w:cs="David" w:hint="cs"/>
          <w:sz w:val="24"/>
          <w:szCs w:val="24"/>
          <w:rtl/>
        </w:rPr>
        <w:t xml:space="preserve">לגבי </w:t>
      </w:r>
      <w:r w:rsidR="00741011" w:rsidRPr="00F25744">
        <w:rPr>
          <w:rFonts w:cs="David" w:hint="cs"/>
          <w:sz w:val="24"/>
          <w:szCs w:val="24"/>
          <w:rtl/>
        </w:rPr>
        <w:t>העמודות שנוגעות לכתיבת החלטות ופסקי דין</w:t>
      </w:r>
      <w:r w:rsidR="009822A6" w:rsidRPr="00F25744">
        <w:rPr>
          <w:rFonts w:cs="David" w:hint="cs"/>
          <w:sz w:val="24"/>
          <w:szCs w:val="24"/>
          <w:rtl/>
        </w:rPr>
        <w:t xml:space="preserve">, </w:t>
      </w:r>
      <w:r w:rsidRPr="00F25744">
        <w:rPr>
          <w:rFonts w:cs="David" w:hint="cs"/>
          <w:sz w:val="24"/>
          <w:szCs w:val="24"/>
          <w:rtl/>
        </w:rPr>
        <w:t>הנחינו את השופטים לציין את מספר העמודים אשר נכתבו בפרק הזמן שצוין. כאשר מדובר היה בפעילות של קריאת חומר לקראת כתיבה (חומר התיק או פסיקה וספרות</w:t>
      </w:r>
      <w:r w:rsidR="00741011" w:rsidRPr="00F25744">
        <w:rPr>
          <w:rFonts w:cs="David" w:hint="cs"/>
          <w:sz w:val="24"/>
          <w:szCs w:val="24"/>
          <w:rtl/>
        </w:rPr>
        <w:t xml:space="preserve"> משפטית</w:t>
      </w:r>
      <w:r w:rsidRPr="00F25744">
        <w:rPr>
          <w:rFonts w:cs="David" w:hint="cs"/>
          <w:sz w:val="24"/>
          <w:szCs w:val="24"/>
          <w:rtl/>
        </w:rPr>
        <w:t>), או הגהת טיוטה קיימת (בין אם נכתבה על ידי העוזר המשפטי או על ידי השופט) ועריכה, התבקשו השופטים לציין את הספרה 1. בכך לקחנו בחשבון שלצורך כתיבת כל החלטה או פסק דין נדרש לימוד של החומר, עריכת הכתוב והגהתו, ובאמצעות ציון הספרה 1 התווספו למעשה זמנים אלו לזמנים הממוצעים לכתיבת כל עמוד בכל סוג תיק.</w:t>
      </w:r>
    </w:p>
    <w:p w14:paraId="368EA340" w14:textId="77777777" w:rsidR="006227EC" w:rsidRPr="00F25744" w:rsidRDefault="00E25AE7" w:rsidP="00BD23BB">
      <w:pPr>
        <w:spacing w:before="120" w:after="0" w:line="360" w:lineRule="auto"/>
        <w:jc w:val="both"/>
        <w:rPr>
          <w:rFonts w:cs="David"/>
          <w:sz w:val="24"/>
          <w:szCs w:val="24"/>
          <w:rtl/>
        </w:rPr>
      </w:pPr>
      <w:r w:rsidRPr="00F25744">
        <w:rPr>
          <w:rFonts w:cs="David" w:hint="cs"/>
          <w:sz w:val="24"/>
          <w:szCs w:val="24"/>
          <w:rtl/>
        </w:rPr>
        <w:t xml:space="preserve">עד שלב זה, לכל הערכאות נבנו יומנים זהים. מכאן ואילך, התווספו מספר עמודות לכל ערכאה בהתאם לאופי הדיון הייחודי לה. על </w:t>
      </w:r>
      <w:r w:rsidR="002A581D" w:rsidRPr="00F25744">
        <w:rPr>
          <w:rFonts w:cs="David" w:hint="cs"/>
          <w:sz w:val="24"/>
          <w:szCs w:val="24"/>
          <w:rtl/>
        </w:rPr>
        <w:t>ההתאמות והשינויים שערכנו ביומני הערכאות השונות,</w:t>
      </w:r>
      <w:r w:rsidRPr="00F25744">
        <w:rPr>
          <w:rFonts w:cs="David" w:hint="cs"/>
          <w:sz w:val="24"/>
          <w:szCs w:val="24"/>
          <w:rtl/>
        </w:rPr>
        <w:t xml:space="preserve"> נרחיב בפרקי הממצאים הייחודיים לכל ערכאה. </w:t>
      </w:r>
    </w:p>
    <w:p w14:paraId="1919918A" w14:textId="77777777" w:rsidR="00BF10F2" w:rsidRPr="00F25744" w:rsidRDefault="00E25AE7" w:rsidP="00BD23BB">
      <w:pPr>
        <w:spacing w:before="120" w:after="0" w:line="360" w:lineRule="auto"/>
        <w:jc w:val="both"/>
        <w:rPr>
          <w:rFonts w:ascii="David" w:hAnsi="David" w:cs="David"/>
          <w:sz w:val="24"/>
          <w:szCs w:val="24"/>
          <w:rtl/>
        </w:rPr>
      </w:pPr>
      <w:r w:rsidRPr="00F25744">
        <w:rPr>
          <w:rFonts w:cs="David" w:hint="cs"/>
          <w:sz w:val="24"/>
          <w:szCs w:val="24"/>
          <w:rtl/>
        </w:rPr>
        <w:t xml:space="preserve">טרם סיום תת פרק זה המוקדש ליומני השופטים, נסביר כאן </w:t>
      </w:r>
      <w:r w:rsidR="00845D83" w:rsidRPr="00F25744">
        <w:rPr>
          <w:rFonts w:cs="David" w:hint="cs"/>
          <w:sz w:val="24"/>
          <w:szCs w:val="24"/>
          <w:rtl/>
        </w:rPr>
        <w:t>בקצרה</w:t>
      </w:r>
      <w:r w:rsidRPr="00F25744">
        <w:rPr>
          <w:rFonts w:cs="David" w:hint="cs"/>
          <w:sz w:val="24"/>
          <w:szCs w:val="24"/>
          <w:rtl/>
        </w:rPr>
        <w:t xml:space="preserve"> על </w:t>
      </w:r>
      <w:r w:rsidR="00845D83" w:rsidRPr="00F25744">
        <w:rPr>
          <w:rFonts w:cs="David" w:hint="cs"/>
          <w:sz w:val="24"/>
          <w:szCs w:val="24"/>
          <w:rtl/>
        </w:rPr>
        <w:t xml:space="preserve">ההתאמות שבוצעו ביומני השופטים לצורך שמירה מוגברת על אנונימיות השופטים במהלך המחקר. </w:t>
      </w:r>
      <w:r w:rsidR="00845D83" w:rsidRPr="00F25744">
        <w:rPr>
          <w:rFonts w:ascii="David" w:hAnsi="David" w:cs="David" w:hint="cs"/>
          <w:sz w:val="24"/>
          <w:szCs w:val="24"/>
          <w:rtl/>
        </w:rPr>
        <w:t xml:space="preserve">במסגרת מחקר בתי הדין לעבודה, שמרה מחלקת המחקר אצלה רשימה אשר קישרה בין שמות השופטים לשמות המשתמש ביומנים המקוונים, לצורך בקרה ומעקב אחר טעויות בלבד. לאחר תום תקופת המחקר רשימה זו הושמדה, ולא שימשה לכל שימוש אחר. מחלקת המחקר התכוונה לשמור על אותה מתכונת עבודה גם </w:t>
      </w:r>
      <w:r w:rsidR="00845D83" w:rsidRPr="00F25744">
        <w:rPr>
          <w:rFonts w:ascii="David" w:hAnsi="David" w:cs="David" w:hint="cs"/>
          <w:sz w:val="24"/>
          <w:szCs w:val="24"/>
          <w:rtl/>
        </w:rPr>
        <w:lastRenderedPageBreak/>
        <w:t>במחקר הנוכחי, וזאת במיוחד לנוכח מספר השופטים הרב וכמות הנתונים העצומה, אשר העלו חשש לטעויות מסוגים שונים. עם זאת, חברי נציגות השופטים הביעו חשש כי הקישור בין שמות השופטים לשמות המשתמש ביומני השופטים המקוונים עלול להגיע לגורם כלשהו מחוץ למערכת, או לגורם שאינו מורשה מתוך המערכת.</w:t>
      </w:r>
      <w:r w:rsidR="002A53BE" w:rsidRPr="00F25744">
        <w:rPr>
          <w:rFonts w:ascii="David" w:hAnsi="David" w:cs="David" w:hint="cs"/>
          <w:sz w:val="24"/>
          <w:szCs w:val="24"/>
          <w:rtl/>
        </w:rPr>
        <w:t xml:space="preserve"> על כן הוחלט לחלק לשופטים ולרשמים שהשתתפו במחקר שמות משתמש אקראיים, אשר </w:t>
      </w:r>
      <w:r w:rsidR="002A53BE" w:rsidRPr="00F25744">
        <w:rPr>
          <w:rFonts w:cs="David" w:hint="cs"/>
          <w:sz w:val="24"/>
          <w:szCs w:val="24"/>
          <w:rtl/>
        </w:rPr>
        <w:t xml:space="preserve">שימשו לצורך כניסה </w:t>
      </w:r>
      <w:r w:rsidR="002A53BE" w:rsidRPr="00F25744">
        <w:rPr>
          <w:rFonts w:cs="David"/>
          <w:sz w:val="24"/>
          <w:szCs w:val="24"/>
          <w:rtl/>
        </w:rPr>
        <w:t>לאתר האינטרנט הייעודי שהוקם לצורכי המחקר</w:t>
      </w:r>
      <w:r w:rsidR="002A53BE" w:rsidRPr="00F25744">
        <w:rPr>
          <w:rFonts w:cs="David" w:hint="cs"/>
          <w:sz w:val="24"/>
          <w:szCs w:val="24"/>
          <w:rtl/>
        </w:rPr>
        <w:t xml:space="preserve"> על ידי חברת הסקרים אשר נבחרה לעבד את נתוני יומני השופטים </w:t>
      </w:r>
      <w:r w:rsidR="002A53BE" w:rsidRPr="00F25744">
        <w:rPr>
          <w:rFonts w:cs="David"/>
          <w:sz w:val="24"/>
          <w:szCs w:val="24"/>
          <w:rtl/>
        </w:rPr>
        <w:t>–</w:t>
      </w:r>
      <w:r w:rsidR="002A53BE" w:rsidRPr="00F25744">
        <w:rPr>
          <w:rFonts w:cs="David" w:hint="cs"/>
          <w:sz w:val="24"/>
          <w:szCs w:val="24"/>
          <w:rtl/>
        </w:rPr>
        <w:t xml:space="preserve"> חברת "שריד". שמות משתמש אלו </w:t>
      </w:r>
      <w:r w:rsidR="002A53BE" w:rsidRPr="00F25744">
        <w:rPr>
          <w:rFonts w:ascii="David" w:hAnsi="David" w:cs="David" w:hint="cs"/>
          <w:sz w:val="24"/>
          <w:szCs w:val="24"/>
          <w:rtl/>
        </w:rPr>
        <w:t xml:space="preserve">לא קושרו בשום צורה לשמות השופטים והרשמים. </w:t>
      </w:r>
      <w:bookmarkStart w:id="145" w:name="_Toc46228345"/>
      <w:bookmarkStart w:id="146" w:name="_Toc46228443"/>
      <w:bookmarkStart w:id="147" w:name="_Toc46230370"/>
      <w:bookmarkStart w:id="148" w:name="_Toc46230468"/>
      <w:bookmarkStart w:id="149" w:name="_Toc46310358"/>
      <w:bookmarkStart w:id="150" w:name="_Toc46414000"/>
    </w:p>
    <w:p w14:paraId="04F112F5" w14:textId="77777777" w:rsidR="007468D0" w:rsidRPr="00F25744" w:rsidRDefault="007468D0" w:rsidP="007468D0">
      <w:pPr>
        <w:pStyle w:val="4"/>
        <w:numPr>
          <w:ilvl w:val="0"/>
          <w:numId w:val="0"/>
        </w:numPr>
        <w:ind w:left="720" w:hanging="720"/>
        <w:rPr>
          <w:rtl/>
        </w:rPr>
      </w:pPr>
    </w:p>
    <w:p w14:paraId="2F7100D8" w14:textId="72728E57" w:rsidR="007468D0" w:rsidRPr="00F25744" w:rsidRDefault="00A54D82" w:rsidP="00BD23BB">
      <w:pPr>
        <w:pStyle w:val="4"/>
        <w:spacing w:before="120"/>
        <w:rPr>
          <w:rtl/>
        </w:rPr>
      </w:pPr>
      <w:r>
        <w:rPr>
          <w:rFonts w:hint="cs"/>
          <w:rtl/>
        </w:rPr>
        <w:t xml:space="preserve"> </w:t>
      </w:r>
      <w:bookmarkStart w:id="151" w:name="_Toc74750957"/>
      <w:r w:rsidR="00E25AE7" w:rsidRPr="00F25744">
        <w:rPr>
          <w:rFonts w:hint="cs"/>
          <w:rtl/>
        </w:rPr>
        <w:t>שיעורי ההשתתפות של השופטים והרשמים במהלך תקופת המחקר</w:t>
      </w:r>
      <w:bookmarkEnd w:id="151"/>
      <w:r w:rsidR="00E25AE7" w:rsidRPr="00F25744">
        <w:rPr>
          <w:rFonts w:hint="cs"/>
          <w:rtl/>
        </w:rPr>
        <w:t xml:space="preserve"> </w:t>
      </w:r>
    </w:p>
    <w:p w14:paraId="1D3A2F05" w14:textId="77777777" w:rsidR="007468D0" w:rsidRPr="00F25744" w:rsidRDefault="00E25AE7" w:rsidP="00BD23BB">
      <w:pPr>
        <w:spacing w:before="120" w:after="0" w:line="360" w:lineRule="auto"/>
        <w:jc w:val="both"/>
        <w:rPr>
          <w:rFonts w:cs="David"/>
          <w:sz w:val="24"/>
          <w:szCs w:val="24"/>
          <w:rtl/>
        </w:rPr>
      </w:pPr>
      <w:r w:rsidRPr="00F25744">
        <w:rPr>
          <w:rFonts w:ascii="David" w:hAnsi="David" w:cs="David" w:hint="cs"/>
          <w:sz w:val="24"/>
          <w:szCs w:val="24"/>
          <w:rtl/>
        </w:rPr>
        <w:t>במהלך חמשת שבועות</w:t>
      </w:r>
      <w:r w:rsidRPr="00F25744">
        <w:rPr>
          <w:rFonts w:cs="David" w:hint="cs"/>
          <w:sz w:val="24"/>
          <w:szCs w:val="24"/>
          <w:rtl/>
        </w:rPr>
        <w:t xml:space="preserve"> המחקר, 615 שופטים ורשמים מילאו לפחות יומן שיפוטי אחד. ב</w:t>
      </w:r>
      <w:r w:rsidRPr="00F25744">
        <w:rPr>
          <w:rFonts w:cs="David" w:hint="cs"/>
          <w:b/>
          <w:bCs/>
          <w:sz w:val="24"/>
          <w:szCs w:val="24"/>
          <w:rtl/>
        </w:rPr>
        <w:t xml:space="preserve">טבלה 2 </w:t>
      </w:r>
      <w:r w:rsidRPr="00F25744">
        <w:rPr>
          <w:rFonts w:cs="David" w:hint="cs"/>
          <w:sz w:val="24"/>
          <w:szCs w:val="24"/>
          <w:rtl/>
        </w:rPr>
        <w:t>שלהלן נפרט את אחוז ההשתתפות במחקר בחלוקה לערכאות ולבתי המשפט השונים.</w:t>
      </w:r>
    </w:p>
    <w:p w14:paraId="67F2CB75" w14:textId="09ABE728" w:rsidR="00C818DB" w:rsidRDefault="00E25AE7" w:rsidP="00706796">
      <w:pPr>
        <w:pStyle w:val="af6"/>
        <w:rPr>
          <w:rFonts w:ascii="David" w:hAnsi="David"/>
          <w:sz w:val="24"/>
          <w:rtl/>
        </w:rPr>
      </w:pPr>
      <w:bookmarkStart w:id="152" w:name="_Toc76988897"/>
      <w:r w:rsidRPr="00F25744">
        <w:rPr>
          <w:rtl/>
        </w:rPr>
        <w:t xml:space="preserve">טבלה </w:t>
      </w:r>
      <w:r w:rsidRPr="00F25744">
        <w:rPr>
          <w:rFonts w:ascii="David" w:hAnsi="David"/>
          <w:sz w:val="24"/>
          <w:rtl/>
        </w:rPr>
        <w:fldChar w:fldCharType="begin"/>
      </w:r>
      <w:r w:rsidRPr="00F25744">
        <w:rPr>
          <w:rFonts w:ascii="David" w:hAnsi="David"/>
          <w:sz w:val="24"/>
          <w:rtl/>
        </w:rPr>
        <w:instrText xml:space="preserve"> </w:instrText>
      </w:r>
      <w:r w:rsidRPr="00F25744">
        <w:rPr>
          <w:rFonts w:ascii="David" w:hAnsi="David" w:hint="cs"/>
          <w:sz w:val="24"/>
        </w:rPr>
        <w:instrText>SEQ</w:instrText>
      </w:r>
      <w:r w:rsidRPr="00F25744">
        <w:rPr>
          <w:rFonts w:ascii="David" w:hAnsi="David" w:hint="cs"/>
          <w:sz w:val="24"/>
          <w:rtl/>
        </w:rPr>
        <w:instrText xml:space="preserve"> טבלה \* </w:instrText>
      </w:r>
      <w:r w:rsidRPr="00F25744">
        <w:rPr>
          <w:rFonts w:ascii="David" w:hAnsi="David" w:hint="cs"/>
          <w:sz w:val="24"/>
        </w:rPr>
        <w:instrText>ARABIC</w:instrText>
      </w:r>
      <w:r w:rsidRPr="00F25744">
        <w:rPr>
          <w:rFonts w:ascii="David" w:hAnsi="David"/>
          <w:sz w:val="24"/>
          <w:rtl/>
        </w:rPr>
        <w:instrText xml:space="preserve"> </w:instrText>
      </w:r>
      <w:r w:rsidRPr="00F25744">
        <w:rPr>
          <w:rFonts w:ascii="David" w:hAnsi="David"/>
          <w:sz w:val="24"/>
          <w:rtl/>
        </w:rPr>
        <w:fldChar w:fldCharType="separate"/>
      </w:r>
      <w:r w:rsidR="008F1BC3">
        <w:rPr>
          <w:rFonts w:ascii="David" w:hAnsi="David"/>
          <w:noProof/>
          <w:sz w:val="24"/>
          <w:rtl/>
        </w:rPr>
        <w:t>2</w:t>
      </w:r>
      <w:r w:rsidRPr="00F25744">
        <w:rPr>
          <w:rFonts w:ascii="David" w:hAnsi="David"/>
          <w:sz w:val="24"/>
          <w:rtl/>
        </w:rPr>
        <w:fldChar w:fldCharType="end"/>
      </w:r>
      <w:r w:rsidR="007F3A52" w:rsidRPr="00F25744">
        <w:rPr>
          <w:rFonts w:ascii="David" w:hAnsi="David" w:hint="cs"/>
          <w:sz w:val="24"/>
          <w:rtl/>
        </w:rPr>
        <w:t>: שיעור ההשתתפות של השופטים במחקר עומס העבודה השיפוטית</w:t>
      </w:r>
      <w:bookmarkEnd w:id="152"/>
    </w:p>
    <w:tbl>
      <w:tblPr>
        <w:bidiVisual/>
        <w:tblW w:w="8594" w:type="dxa"/>
        <w:tblInd w:w="108" w:type="dxa"/>
        <w:tblLook w:val="04A0" w:firstRow="1" w:lastRow="0" w:firstColumn="1" w:lastColumn="0" w:noHBand="0" w:noVBand="1"/>
      </w:tblPr>
      <w:tblGrid>
        <w:gridCol w:w="1081"/>
        <w:gridCol w:w="2835"/>
        <w:gridCol w:w="2268"/>
        <w:gridCol w:w="2410"/>
      </w:tblGrid>
      <w:tr w:rsidR="00E0162E" w:rsidRPr="00F25744" w14:paraId="46A5671F" w14:textId="77777777" w:rsidTr="006221EF">
        <w:tc>
          <w:tcPr>
            <w:tcW w:w="1081" w:type="dxa"/>
            <w:tcBorders>
              <w:bottom w:val="single" w:sz="4" w:space="0" w:color="auto"/>
            </w:tcBorders>
            <w:shd w:val="clear" w:color="auto" w:fill="auto"/>
          </w:tcPr>
          <w:p w14:paraId="4CFBBE70" w14:textId="77777777" w:rsidR="00C818DB" w:rsidRPr="00F25744" w:rsidRDefault="00E25AE7" w:rsidP="00D7530C">
            <w:pPr>
              <w:spacing w:after="0" w:line="240" w:lineRule="auto"/>
              <w:jc w:val="both"/>
              <w:rPr>
                <w:rFonts w:ascii="David" w:hAnsi="David" w:cs="David"/>
                <w:b/>
                <w:bCs/>
                <w:sz w:val="24"/>
                <w:szCs w:val="24"/>
                <w:rtl/>
              </w:rPr>
            </w:pPr>
            <w:r w:rsidRPr="00F25744">
              <w:rPr>
                <w:rFonts w:ascii="David" w:hAnsi="David" w:cs="David" w:hint="cs"/>
                <w:b/>
                <w:bCs/>
                <w:sz w:val="24"/>
                <w:szCs w:val="24"/>
                <w:rtl/>
              </w:rPr>
              <w:t>ערכאה</w:t>
            </w:r>
          </w:p>
        </w:tc>
        <w:tc>
          <w:tcPr>
            <w:tcW w:w="2835" w:type="dxa"/>
            <w:tcBorders>
              <w:bottom w:val="single" w:sz="4" w:space="0" w:color="auto"/>
            </w:tcBorders>
            <w:shd w:val="clear" w:color="auto" w:fill="auto"/>
          </w:tcPr>
          <w:p w14:paraId="70C5B1BD" w14:textId="77777777" w:rsidR="00C818DB" w:rsidRPr="00F25744" w:rsidRDefault="00E25AE7" w:rsidP="00D7530C">
            <w:pPr>
              <w:spacing w:after="0" w:line="240" w:lineRule="auto"/>
              <w:jc w:val="center"/>
              <w:rPr>
                <w:rFonts w:ascii="David" w:hAnsi="David" w:cs="David"/>
                <w:b/>
                <w:bCs/>
                <w:sz w:val="24"/>
                <w:szCs w:val="24"/>
                <w:rtl/>
              </w:rPr>
            </w:pPr>
            <w:r w:rsidRPr="00F25744">
              <w:rPr>
                <w:rFonts w:ascii="David" w:hAnsi="David" w:cs="David" w:hint="cs"/>
                <w:b/>
                <w:bCs/>
                <w:sz w:val="24"/>
                <w:szCs w:val="24"/>
                <w:rtl/>
              </w:rPr>
              <w:t>סך השופטים שמילאו יומן עבודה שיפוטי</w:t>
            </w:r>
          </w:p>
        </w:tc>
        <w:tc>
          <w:tcPr>
            <w:tcW w:w="2268" w:type="dxa"/>
            <w:tcBorders>
              <w:bottom w:val="single" w:sz="4" w:space="0" w:color="auto"/>
            </w:tcBorders>
            <w:shd w:val="clear" w:color="auto" w:fill="auto"/>
          </w:tcPr>
          <w:p w14:paraId="6B40A4CE" w14:textId="77777777" w:rsidR="00C818DB" w:rsidRPr="00F25744" w:rsidRDefault="00E25AE7" w:rsidP="00D7530C">
            <w:pPr>
              <w:spacing w:after="0" w:line="240" w:lineRule="auto"/>
              <w:jc w:val="center"/>
              <w:rPr>
                <w:rFonts w:ascii="David" w:hAnsi="David" w:cs="David"/>
                <w:b/>
                <w:bCs/>
                <w:sz w:val="24"/>
                <w:szCs w:val="24"/>
                <w:rtl/>
              </w:rPr>
            </w:pPr>
            <w:r w:rsidRPr="00F25744">
              <w:rPr>
                <w:rFonts w:ascii="David" w:hAnsi="David" w:cs="David" w:hint="cs"/>
                <w:b/>
                <w:bCs/>
                <w:sz w:val="24"/>
                <w:szCs w:val="24"/>
                <w:rtl/>
              </w:rPr>
              <w:t>סך השופטים בערכאה</w:t>
            </w:r>
          </w:p>
        </w:tc>
        <w:tc>
          <w:tcPr>
            <w:tcW w:w="2410" w:type="dxa"/>
            <w:tcBorders>
              <w:bottom w:val="single" w:sz="4" w:space="0" w:color="auto"/>
            </w:tcBorders>
            <w:shd w:val="clear" w:color="auto" w:fill="auto"/>
          </w:tcPr>
          <w:p w14:paraId="29FF6A80" w14:textId="77777777" w:rsidR="00C818DB" w:rsidRPr="00F25744" w:rsidRDefault="00E25AE7" w:rsidP="00D7530C">
            <w:pPr>
              <w:spacing w:after="0" w:line="240" w:lineRule="auto"/>
              <w:jc w:val="center"/>
              <w:rPr>
                <w:rFonts w:ascii="David" w:hAnsi="David" w:cs="David"/>
                <w:b/>
                <w:bCs/>
                <w:sz w:val="24"/>
                <w:szCs w:val="24"/>
                <w:rtl/>
              </w:rPr>
            </w:pPr>
            <w:r w:rsidRPr="00F25744">
              <w:rPr>
                <w:rFonts w:ascii="David" w:hAnsi="David" w:cs="David" w:hint="cs"/>
                <w:b/>
                <w:bCs/>
                <w:sz w:val="24"/>
                <w:szCs w:val="24"/>
                <w:rtl/>
              </w:rPr>
              <w:t>אחוז ההשתתפות</w:t>
            </w:r>
          </w:p>
        </w:tc>
      </w:tr>
      <w:tr w:rsidR="00E0162E" w:rsidRPr="00F25744" w14:paraId="089DD544" w14:textId="77777777" w:rsidTr="006221EF">
        <w:tc>
          <w:tcPr>
            <w:tcW w:w="1081" w:type="dxa"/>
            <w:tcBorders>
              <w:top w:val="single" w:sz="4" w:space="0" w:color="auto"/>
            </w:tcBorders>
            <w:shd w:val="clear" w:color="auto" w:fill="auto"/>
          </w:tcPr>
          <w:p w14:paraId="5271FA0F" w14:textId="77777777" w:rsidR="00C818DB" w:rsidRPr="00F25744" w:rsidRDefault="00E25AE7" w:rsidP="006544C5">
            <w:pPr>
              <w:spacing w:after="0" w:line="276" w:lineRule="auto"/>
              <w:jc w:val="both"/>
              <w:rPr>
                <w:rFonts w:ascii="David" w:hAnsi="David" w:cs="David"/>
                <w:sz w:val="24"/>
                <w:szCs w:val="24"/>
                <w:rtl/>
              </w:rPr>
            </w:pPr>
            <w:r w:rsidRPr="00F25744">
              <w:rPr>
                <w:rFonts w:ascii="David" w:hAnsi="David" w:cs="David" w:hint="cs"/>
                <w:sz w:val="24"/>
                <w:szCs w:val="24"/>
                <w:rtl/>
              </w:rPr>
              <w:t>מחוזי</w:t>
            </w:r>
          </w:p>
        </w:tc>
        <w:tc>
          <w:tcPr>
            <w:tcW w:w="2835" w:type="dxa"/>
            <w:tcBorders>
              <w:top w:val="single" w:sz="4" w:space="0" w:color="auto"/>
            </w:tcBorders>
            <w:shd w:val="clear" w:color="auto" w:fill="auto"/>
          </w:tcPr>
          <w:p w14:paraId="7992FD91" w14:textId="77777777" w:rsidR="00C818DB" w:rsidRPr="00F25744" w:rsidRDefault="00E25AE7" w:rsidP="006544C5">
            <w:pPr>
              <w:spacing w:after="0" w:line="276" w:lineRule="auto"/>
              <w:jc w:val="center"/>
              <w:rPr>
                <w:rFonts w:ascii="David" w:hAnsi="David" w:cs="David"/>
                <w:sz w:val="24"/>
                <w:szCs w:val="24"/>
                <w:rtl/>
              </w:rPr>
            </w:pPr>
            <w:r w:rsidRPr="00F25744">
              <w:rPr>
                <w:rFonts w:ascii="David" w:hAnsi="David" w:cs="David" w:hint="cs"/>
                <w:sz w:val="24"/>
                <w:szCs w:val="24"/>
                <w:rtl/>
              </w:rPr>
              <w:t>174</w:t>
            </w:r>
          </w:p>
        </w:tc>
        <w:tc>
          <w:tcPr>
            <w:tcW w:w="2268" w:type="dxa"/>
            <w:tcBorders>
              <w:top w:val="single" w:sz="4" w:space="0" w:color="auto"/>
            </w:tcBorders>
            <w:shd w:val="clear" w:color="auto" w:fill="auto"/>
          </w:tcPr>
          <w:p w14:paraId="1716A801" w14:textId="77777777" w:rsidR="00C818DB" w:rsidRPr="00F25744" w:rsidRDefault="00E25AE7" w:rsidP="006544C5">
            <w:pPr>
              <w:spacing w:after="0" w:line="276" w:lineRule="auto"/>
              <w:jc w:val="center"/>
              <w:rPr>
                <w:rFonts w:ascii="David" w:hAnsi="David" w:cs="David"/>
                <w:sz w:val="24"/>
                <w:szCs w:val="24"/>
                <w:rtl/>
              </w:rPr>
            </w:pPr>
            <w:r w:rsidRPr="00F25744">
              <w:rPr>
                <w:rFonts w:ascii="David" w:hAnsi="David" w:cs="David" w:hint="cs"/>
                <w:sz w:val="24"/>
                <w:szCs w:val="24"/>
                <w:rtl/>
              </w:rPr>
              <w:t>199</w:t>
            </w:r>
          </w:p>
        </w:tc>
        <w:tc>
          <w:tcPr>
            <w:tcW w:w="2410" w:type="dxa"/>
            <w:tcBorders>
              <w:top w:val="single" w:sz="4" w:space="0" w:color="auto"/>
            </w:tcBorders>
            <w:shd w:val="clear" w:color="auto" w:fill="auto"/>
          </w:tcPr>
          <w:p w14:paraId="5B37D972" w14:textId="77777777" w:rsidR="00C818DB" w:rsidRPr="00F25744" w:rsidRDefault="00E25AE7" w:rsidP="006544C5">
            <w:pPr>
              <w:spacing w:after="0" w:line="276" w:lineRule="auto"/>
              <w:jc w:val="center"/>
              <w:rPr>
                <w:rFonts w:ascii="David" w:hAnsi="David" w:cs="David"/>
                <w:sz w:val="24"/>
                <w:szCs w:val="24"/>
                <w:rtl/>
              </w:rPr>
            </w:pPr>
            <w:r w:rsidRPr="00F25744">
              <w:rPr>
                <w:rFonts w:ascii="David" w:hAnsi="David" w:cs="David" w:hint="cs"/>
                <w:sz w:val="24"/>
                <w:szCs w:val="24"/>
                <w:rtl/>
              </w:rPr>
              <w:t>87.4%</w:t>
            </w:r>
          </w:p>
        </w:tc>
      </w:tr>
      <w:tr w:rsidR="00E0162E" w:rsidRPr="00F25744" w14:paraId="4B65B518" w14:textId="77777777" w:rsidTr="006221EF">
        <w:tc>
          <w:tcPr>
            <w:tcW w:w="1081" w:type="dxa"/>
            <w:shd w:val="clear" w:color="auto" w:fill="auto"/>
          </w:tcPr>
          <w:p w14:paraId="2A0B45EE" w14:textId="77777777" w:rsidR="00C818DB" w:rsidRPr="00F25744" w:rsidRDefault="00E25AE7" w:rsidP="006544C5">
            <w:pPr>
              <w:spacing w:after="0" w:line="276" w:lineRule="auto"/>
              <w:jc w:val="both"/>
              <w:rPr>
                <w:rFonts w:ascii="David" w:hAnsi="David" w:cs="David"/>
                <w:sz w:val="24"/>
                <w:szCs w:val="24"/>
                <w:rtl/>
              </w:rPr>
            </w:pPr>
            <w:r w:rsidRPr="00F25744">
              <w:rPr>
                <w:rFonts w:ascii="David" w:hAnsi="David" w:cs="David" w:hint="cs"/>
                <w:sz w:val="24"/>
                <w:szCs w:val="24"/>
                <w:rtl/>
              </w:rPr>
              <w:t>שלום</w:t>
            </w:r>
          </w:p>
        </w:tc>
        <w:tc>
          <w:tcPr>
            <w:tcW w:w="2835" w:type="dxa"/>
            <w:shd w:val="clear" w:color="auto" w:fill="auto"/>
          </w:tcPr>
          <w:p w14:paraId="0D868618" w14:textId="77777777" w:rsidR="00C818DB" w:rsidRPr="00F25744" w:rsidRDefault="00E25AE7" w:rsidP="006544C5">
            <w:pPr>
              <w:spacing w:after="0" w:line="276" w:lineRule="auto"/>
              <w:jc w:val="center"/>
              <w:rPr>
                <w:rFonts w:ascii="David" w:hAnsi="David" w:cs="David"/>
                <w:sz w:val="24"/>
                <w:szCs w:val="24"/>
                <w:rtl/>
              </w:rPr>
            </w:pPr>
            <w:r w:rsidRPr="00F25744">
              <w:rPr>
                <w:rFonts w:ascii="David" w:hAnsi="David" w:cs="David" w:hint="cs"/>
                <w:sz w:val="24"/>
                <w:szCs w:val="24"/>
                <w:rtl/>
              </w:rPr>
              <w:t>328</w:t>
            </w:r>
          </w:p>
        </w:tc>
        <w:tc>
          <w:tcPr>
            <w:tcW w:w="2268" w:type="dxa"/>
            <w:shd w:val="clear" w:color="auto" w:fill="auto"/>
          </w:tcPr>
          <w:p w14:paraId="7CD2F6E5" w14:textId="77777777" w:rsidR="00C818DB" w:rsidRPr="00F25744" w:rsidRDefault="00E25AE7" w:rsidP="006544C5">
            <w:pPr>
              <w:spacing w:after="0" w:line="276" w:lineRule="auto"/>
              <w:jc w:val="center"/>
              <w:rPr>
                <w:rFonts w:ascii="David" w:hAnsi="David" w:cs="David"/>
                <w:sz w:val="24"/>
                <w:szCs w:val="24"/>
                <w:rtl/>
              </w:rPr>
            </w:pPr>
            <w:r w:rsidRPr="00F25744">
              <w:rPr>
                <w:rFonts w:ascii="David" w:hAnsi="David" w:cs="David" w:hint="cs"/>
                <w:sz w:val="24"/>
                <w:szCs w:val="24"/>
                <w:rtl/>
              </w:rPr>
              <w:t>372</w:t>
            </w:r>
          </w:p>
        </w:tc>
        <w:tc>
          <w:tcPr>
            <w:tcW w:w="2410" w:type="dxa"/>
            <w:shd w:val="clear" w:color="auto" w:fill="auto"/>
          </w:tcPr>
          <w:p w14:paraId="4456A787" w14:textId="77777777" w:rsidR="00C818DB" w:rsidRPr="00F25744" w:rsidRDefault="00E25AE7" w:rsidP="006544C5">
            <w:pPr>
              <w:spacing w:after="0" w:line="276" w:lineRule="auto"/>
              <w:jc w:val="center"/>
              <w:rPr>
                <w:rFonts w:ascii="David" w:hAnsi="David" w:cs="David"/>
                <w:sz w:val="24"/>
                <w:szCs w:val="24"/>
                <w:rtl/>
              </w:rPr>
            </w:pPr>
            <w:r w:rsidRPr="00F25744">
              <w:rPr>
                <w:rFonts w:ascii="David" w:hAnsi="David" w:cs="David" w:hint="cs"/>
                <w:sz w:val="24"/>
                <w:szCs w:val="24"/>
                <w:rtl/>
              </w:rPr>
              <w:t>88.1%</w:t>
            </w:r>
          </w:p>
        </w:tc>
      </w:tr>
      <w:tr w:rsidR="00E0162E" w:rsidRPr="00F25744" w14:paraId="778EEEB3" w14:textId="77777777" w:rsidTr="006221EF">
        <w:tc>
          <w:tcPr>
            <w:tcW w:w="1081" w:type="dxa"/>
            <w:shd w:val="clear" w:color="auto" w:fill="auto"/>
          </w:tcPr>
          <w:p w14:paraId="17E12566" w14:textId="77777777" w:rsidR="00C818DB" w:rsidRPr="00F25744" w:rsidRDefault="00E25AE7" w:rsidP="006544C5">
            <w:pPr>
              <w:spacing w:after="0" w:line="276" w:lineRule="auto"/>
              <w:jc w:val="both"/>
              <w:rPr>
                <w:rFonts w:ascii="David" w:hAnsi="David" w:cs="David"/>
                <w:sz w:val="24"/>
                <w:szCs w:val="24"/>
                <w:rtl/>
              </w:rPr>
            </w:pPr>
            <w:r w:rsidRPr="00F25744">
              <w:rPr>
                <w:rFonts w:ascii="David" w:hAnsi="David" w:cs="David" w:hint="cs"/>
                <w:sz w:val="24"/>
                <w:szCs w:val="24"/>
                <w:rtl/>
              </w:rPr>
              <w:t>משפחה</w:t>
            </w:r>
          </w:p>
        </w:tc>
        <w:tc>
          <w:tcPr>
            <w:tcW w:w="2835" w:type="dxa"/>
            <w:shd w:val="clear" w:color="auto" w:fill="auto"/>
          </w:tcPr>
          <w:p w14:paraId="33647F11" w14:textId="77777777" w:rsidR="00C818DB" w:rsidRPr="00F25744" w:rsidRDefault="00E25AE7" w:rsidP="006544C5">
            <w:pPr>
              <w:spacing w:after="0" w:line="276" w:lineRule="auto"/>
              <w:jc w:val="center"/>
              <w:rPr>
                <w:rFonts w:ascii="David" w:hAnsi="David" w:cs="David"/>
                <w:sz w:val="24"/>
                <w:szCs w:val="24"/>
                <w:rtl/>
              </w:rPr>
            </w:pPr>
            <w:r w:rsidRPr="00F25744">
              <w:rPr>
                <w:rFonts w:ascii="David" w:hAnsi="David" w:cs="David" w:hint="cs"/>
                <w:sz w:val="24"/>
                <w:szCs w:val="24"/>
                <w:rtl/>
              </w:rPr>
              <w:t>61</w:t>
            </w:r>
          </w:p>
        </w:tc>
        <w:tc>
          <w:tcPr>
            <w:tcW w:w="2268" w:type="dxa"/>
            <w:shd w:val="clear" w:color="auto" w:fill="auto"/>
          </w:tcPr>
          <w:p w14:paraId="316B6DD1" w14:textId="77777777" w:rsidR="00C818DB" w:rsidRPr="00F25744" w:rsidRDefault="00E25AE7" w:rsidP="006544C5">
            <w:pPr>
              <w:spacing w:after="0" w:line="276" w:lineRule="auto"/>
              <w:jc w:val="center"/>
              <w:rPr>
                <w:rFonts w:ascii="David" w:hAnsi="David" w:cs="David"/>
                <w:sz w:val="24"/>
                <w:szCs w:val="24"/>
                <w:rtl/>
              </w:rPr>
            </w:pPr>
            <w:r w:rsidRPr="00F25744">
              <w:rPr>
                <w:rFonts w:ascii="David" w:hAnsi="David" w:cs="David" w:hint="cs"/>
                <w:sz w:val="24"/>
                <w:szCs w:val="24"/>
                <w:rtl/>
              </w:rPr>
              <w:t>71</w:t>
            </w:r>
          </w:p>
        </w:tc>
        <w:tc>
          <w:tcPr>
            <w:tcW w:w="2410" w:type="dxa"/>
            <w:shd w:val="clear" w:color="auto" w:fill="auto"/>
          </w:tcPr>
          <w:p w14:paraId="0160BF13" w14:textId="77777777" w:rsidR="00C818DB" w:rsidRPr="00F25744" w:rsidRDefault="00E25AE7" w:rsidP="006544C5">
            <w:pPr>
              <w:spacing w:after="0" w:line="276" w:lineRule="auto"/>
              <w:jc w:val="center"/>
              <w:rPr>
                <w:rFonts w:ascii="David" w:hAnsi="David" w:cs="David"/>
                <w:sz w:val="24"/>
                <w:szCs w:val="24"/>
                <w:rtl/>
              </w:rPr>
            </w:pPr>
            <w:r w:rsidRPr="00F25744">
              <w:rPr>
                <w:rFonts w:ascii="David" w:hAnsi="David" w:cs="David" w:hint="cs"/>
                <w:sz w:val="24"/>
                <w:szCs w:val="24"/>
                <w:rtl/>
              </w:rPr>
              <w:t>85.9%</w:t>
            </w:r>
          </w:p>
        </w:tc>
      </w:tr>
      <w:tr w:rsidR="00E0162E" w:rsidRPr="00F25744" w14:paraId="4D050313" w14:textId="77777777" w:rsidTr="006221EF">
        <w:tc>
          <w:tcPr>
            <w:tcW w:w="1081" w:type="dxa"/>
            <w:shd w:val="clear" w:color="auto" w:fill="auto"/>
          </w:tcPr>
          <w:p w14:paraId="41684F13" w14:textId="77777777" w:rsidR="00C818DB" w:rsidRPr="00F25744" w:rsidRDefault="00E25AE7" w:rsidP="006544C5">
            <w:pPr>
              <w:spacing w:after="0" w:line="276" w:lineRule="auto"/>
              <w:jc w:val="both"/>
              <w:rPr>
                <w:rFonts w:ascii="David" w:hAnsi="David" w:cs="David"/>
                <w:sz w:val="24"/>
                <w:szCs w:val="24"/>
                <w:rtl/>
              </w:rPr>
            </w:pPr>
            <w:r w:rsidRPr="00F25744">
              <w:rPr>
                <w:rFonts w:ascii="David" w:hAnsi="David" w:cs="David" w:hint="cs"/>
                <w:sz w:val="24"/>
                <w:szCs w:val="24"/>
                <w:rtl/>
              </w:rPr>
              <w:t>תעבורה</w:t>
            </w:r>
          </w:p>
        </w:tc>
        <w:tc>
          <w:tcPr>
            <w:tcW w:w="2835" w:type="dxa"/>
            <w:shd w:val="clear" w:color="auto" w:fill="auto"/>
          </w:tcPr>
          <w:p w14:paraId="59AE6FA1" w14:textId="77777777" w:rsidR="00C818DB" w:rsidRPr="00F25744" w:rsidRDefault="00E25AE7" w:rsidP="006544C5">
            <w:pPr>
              <w:spacing w:after="0" w:line="276" w:lineRule="auto"/>
              <w:jc w:val="center"/>
              <w:rPr>
                <w:rFonts w:ascii="David" w:hAnsi="David" w:cs="David"/>
                <w:sz w:val="24"/>
                <w:szCs w:val="24"/>
                <w:rtl/>
              </w:rPr>
            </w:pPr>
            <w:r w:rsidRPr="00F25744">
              <w:rPr>
                <w:rFonts w:ascii="David" w:hAnsi="David" w:cs="David" w:hint="cs"/>
                <w:sz w:val="24"/>
                <w:szCs w:val="24"/>
                <w:rtl/>
              </w:rPr>
              <w:t>36</w:t>
            </w:r>
          </w:p>
        </w:tc>
        <w:tc>
          <w:tcPr>
            <w:tcW w:w="2268" w:type="dxa"/>
            <w:shd w:val="clear" w:color="auto" w:fill="auto"/>
          </w:tcPr>
          <w:p w14:paraId="13FD6AA1" w14:textId="77777777" w:rsidR="00C818DB" w:rsidRPr="00F25744" w:rsidRDefault="00E25AE7" w:rsidP="006544C5">
            <w:pPr>
              <w:spacing w:after="0" w:line="276" w:lineRule="auto"/>
              <w:jc w:val="center"/>
              <w:rPr>
                <w:rFonts w:ascii="David" w:hAnsi="David" w:cs="David"/>
                <w:sz w:val="24"/>
                <w:szCs w:val="24"/>
                <w:rtl/>
              </w:rPr>
            </w:pPr>
            <w:r w:rsidRPr="00F25744">
              <w:rPr>
                <w:rFonts w:ascii="David" w:hAnsi="David" w:cs="David" w:hint="cs"/>
                <w:sz w:val="24"/>
                <w:szCs w:val="24"/>
                <w:rtl/>
              </w:rPr>
              <w:t>38</w:t>
            </w:r>
          </w:p>
        </w:tc>
        <w:tc>
          <w:tcPr>
            <w:tcW w:w="2410" w:type="dxa"/>
            <w:shd w:val="clear" w:color="auto" w:fill="auto"/>
          </w:tcPr>
          <w:p w14:paraId="7BF04E9E" w14:textId="77777777" w:rsidR="00C818DB" w:rsidRPr="00F25744" w:rsidRDefault="00E25AE7" w:rsidP="006544C5">
            <w:pPr>
              <w:spacing w:after="0" w:line="276" w:lineRule="auto"/>
              <w:jc w:val="center"/>
              <w:rPr>
                <w:rFonts w:ascii="David" w:hAnsi="David" w:cs="David"/>
                <w:sz w:val="24"/>
                <w:szCs w:val="24"/>
                <w:rtl/>
              </w:rPr>
            </w:pPr>
            <w:r w:rsidRPr="00F25744">
              <w:rPr>
                <w:rFonts w:ascii="David" w:hAnsi="David" w:cs="David" w:hint="cs"/>
                <w:sz w:val="24"/>
                <w:szCs w:val="24"/>
                <w:rtl/>
              </w:rPr>
              <w:t>94.7%</w:t>
            </w:r>
          </w:p>
        </w:tc>
      </w:tr>
      <w:tr w:rsidR="00E0162E" w:rsidRPr="00F25744" w14:paraId="6B858E3A" w14:textId="77777777" w:rsidTr="006221EF">
        <w:tc>
          <w:tcPr>
            <w:tcW w:w="1081" w:type="dxa"/>
            <w:tcBorders>
              <w:bottom w:val="single" w:sz="4" w:space="0" w:color="auto"/>
            </w:tcBorders>
            <w:shd w:val="clear" w:color="auto" w:fill="auto"/>
          </w:tcPr>
          <w:p w14:paraId="5453DD86" w14:textId="77777777" w:rsidR="00C818DB" w:rsidRPr="00F25744" w:rsidRDefault="00E25AE7" w:rsidP="006544C5">
            <w:pPr>
              <w:spacing w:after="0" w:line="276" w:lineRule="auto"/>
              <w:jc w:val="both"/>
              <w:rPr>
                <w:rFonts w:ascii="David" w:hAnsi="David" w:cs="David"/>
                <w:sz w:val="24"/>
                <w:szCs w:val="24"/>
                <w:rtl/>
              </w:rPr>
            </w:pPr>
            <w:r w:rsidRPr="00F25744">
              <w:rPr>
                <w:rFonts w:ascii="David" w:hAnsi="David" w:cs="David" w:hint="cs"/>
                <w:sz w:val="24"/>
                <w:szCs w:val="24"/>
                <w:rtl/>
              </w:rPr>
              <w:t>נוער</w:t>
            </w:r>
          </w:p>
        </w:tc>
        <w:tc>
          <w:tcPr>
            <w:tcW w:w="2835" w:type="dxa"/>
            <w:tcBorders>
              <w:bottom w:val="single" w:sz="4" w:space="0" w:color="auto"/>
            </w:tcBorders>
            <w:shd w:val="clear" w:color="auto" w:fill="auto"/>
          </w:tcPr>
          <w:p w14:paraId="30662D8E" w14:textId="77777777" w:rsidR="00C818DB" w:rsidRPr="00F25744" w:rsidRDefault="00E25AE7" w:rsidP="006544C5">
            <w:pPr>
              <w:spacing w:after="0" w:line="276" w:lineRule="auto"/>
              <w:jc w:val="center"/>
              <w:rPr>
                <w:rFonts w:ascii="David" w:hAnsi="David" w:cs="David"/>
                <w:sz w:val="24"/>
                <w:szCs w:val="24"/>
                <w:rtl/>
              </w:rPr>
            </w:pPr>
            <w:r w:rsidRPr="00F25744">
              <w:rPr>
                <w:rFonts w:ascii="David" w:hAnsi="David" w:cs="David" w:hint="cs"/>
                <w:sz w:val="24"/>
                <w:szCs w:val="24"/>
                <w:rtl/>
              </w:rPr>
              <w:t>16</w:t>
            </w:r>
          </w:p>
        </w:tc>
        <w:tc>
          <w:tcPr>
            <w:tcW w:w="2268" w:type="dxa"/>
            <w:tcBorders>
              <w:bottom w:val="single" w:sz="4" w:space="0" w:color="auto"/>
            </w:tcBorders>
            <w:shd w:val="clear" w:color="auto" w:fill="auto"/>
          </w:tcPr>
          <w:p w14:paraId="5AEE6C30" w14:textId="77777777" w:rsidR="00C818DB" w:rsidRPr="00F25744" w:rsidRDefault="00E25AE7" w:rsidP="006544C5">
            <w:pPr>
              <w:spacing w:after="0" w:line="276" w:lineRule="auto"/>
              <w:jc w:val="center"/>
              <w:rPr>
                <w:rFonts w:ascii="David" w:hAnsi="David" w:cs="David"/>
                <w:sz w:val="24"/>
                <w:szCs w:val="24"/>
                <w:rtl/>
              </w:rPr>
            </w:pPr>
            <w:r w:rsidRPr="00F25744">
              <w:rPr>
                <w:rFonts w:ascii="David" w:hAnsi="David" w:cs="David" w:hint="cs"/>
                <w:sz w:val="24"/>
                <w:szCs w:val="24"/>
                <w:rtl/>
              </w:rPr>
              <w:t>16</w:t>
            </w:r>
          </w:p>
        </w:tc>
        <w:tc>
          <w:tcPr>
            <w:tcW w:w="2410" w:type="dxa"/>
            <w:tcBorders>
              <w:bottom w:val="single" w:sz="4" w:space="0" w:color="auto"/>
            </w:tcBorders>
            <w:shd w:val="clear" w:color="auto" w:fill="auto"/>
          </w:tcPr>
          <w:p w14:paraId="07B951D8" w14:textId="77777777" w:rsidR="00C818DB" w:rsidRPr="00F25744" w:rsidRDefault="00E25AE7" w:rsidP="006544C5">
            <w:pPr>
              <w:spacing w:after="0" w:line="276" w:lineRule="auto"/>
              <w:jc w:val="center"/>
              <w:rPr>
                <w:rFonts w:ascii="David" w:hAnsi="David" w:cs="David"/>
                <w:sz w:val="24"/>
                <w:szCs w:val="24"/>
                <w:rtl/>
              </w:rPr>
            </w:pPr>
            <w:r w:rsidRPr="00F25744">
              <w:rPr>
                <w:rFonts w:ascii="David" w:hAnsi="David" w:cs="David" w:hint="cs"/>
                <w:sz w:val="24"/>
                <w:szCs w:val="24"/>
                <w:rtl/>
              </w:rPr>
              <w:t>100%</w:t>
            </w:r>
          </w:p>
        </w:tc>
      </w:tr>
      <w:tr w:rsidR="00E0162E" w:rsidRPr="00F25744" w14:paraId="52048E41" w14:textId="77777777" w:rsidTr="006221EF">
        <w:tc>
          <w:tcPr>
            <w:tcW w:w="1081" w:type="dxa"/>
            <w:tcBorders>
              <w:top w:val="single" w:sz="4" w:space="0" w:color="auto"/>
              <w:bottom w:val="single" w:sz="4" w:space="0" w:color="auto"/>
            </w:tcBorders>
            <w:shd w:val="clear" w:color="auto" w:fill="auto"/>
          </w:tcPr>
          <w:p w14:paraId="7DAE4133" w14:textId="77777777" w:rsidR="00C818DB" w:rsidRPr="00F25744" w:rsidRDefault="00E25AE7" w:rsidP="006544C5">
            <w:pPr>
              <w:spacing w:after="0" w:line="276" w:lineRule="auto"/>
              <w:jc w:val="both"/>
              <w:rPr>
                <w:rFonts w:ascii="David" w:hAnsi="David" w:cs="David"/>
                <w:sz w:val="24"/>
                <w:szCs w:val="24"/>
                <w:rtl/>
              </w:rPr>
            </w:pPr>
            <w:r w:rsidRPr="00F25744">
              <w:rPr>
                <w:rFonts w:ascii="David" w:hAnsi="David" w:cs="David" w:hint="cs"/>
                <w:sz w:val="24"/>
                <w:szCs w:val="24"/>
                <w:rtl/>
              </w:rPr>
              <w:t>סה"כ</w:t>
            </w:r>
          </w:p>
        </w:tc>
        <w:tc>
          <w:tcPr>
            <w:tcW w:w="2835" w:type="dxa"/>
            <w:tcBorders>
              <w:top w:val="single" w:sz="4" w:space="0" w:color="auto"/>
              <w:bottom w:val="single" w:sz="4" w:space="0" w:color="auto"/>
            </w:tcBorders>
            <w:shd w:val="clear" w:color="auto" w:fill="auto"/>
          </w:tcPr>
          <w:p w14:paraId="210844BB" w14:textId="77777777" w:rsidR="00C818DB" w:rsidRPr="00F25744" w:rsidRDefault="00E25AE7" w:rsidP="006544C5">
            <w:pPr>
              <w:spacing w:after="0" w:line="276" w:lineRule="auto"/>
              <w:jc w:val="center"/>
              <w:rPr>
                <w:rFonts w:ascii="David" w:hAnsi="David" w:cs="David"/>
                <w:sz w:val="24"/>
                <w:szCs w:val="24"/>
                <w:rtl/>
              </w:rPr>
            </w:pPr>
            <w:r w:rsidRPr="00F25744">
              <w:rPr>
                <w:rFonts w:ascii="David" w:hAnsi="David" w:cs="David" w:hint="cs"/>
                <w:sz w:val="24"/>
                <w:szCs w:val="24"/>
                <w:rtl/>
              </w:rPr>
              <w:t>615</w:t>
            </w:r>
          </w:p>
        </w:tc>
        <w:tc>
          <w:tcPr>
            <w:tcW w:w="2268" w:type="dxa"/>
            <w:tcBorders>
              <w:top w:val="single" w:sz="4" w:space="0" w:color="auto"/>
              <w:bottom w:val="single" w:sz="4" w:space="0" w:color="auto"/>
            </w:tcBorders>
            <w:shd w:val="clear" w:color="auto" w:fill="auto"/>
          </w:tcPr>
          <w:p w14:paraId="55416F82" w14:textId="77777777" w:rsidR="00C818DB" w:rsidRPr="00F25744" w:rsidRDefault="00E25AE7" w:rsidP="006544C5">
            <w:pPr>
              <w:spacing w:after="0" w:line="276" w:lineRule="auto"/>
              <w:jc w:val="center"/>
              <w:rPr>
                <w:rFonts w:ascii="David" w:hAnsi="David" w:cs="David"/>
                <w:sz w:val="24"/>
                <w:szCs w:val="24"/>
                <w:rtl/>
              </w:rPr>
            </w:pPr>
            <w:r w:rsidRPr="00F25744">
              <w:rPr>
                <w:rFonts w:ascii="David" w:hAnsi="David" w:cs="David" w:hint="cs"/>
                <w:sz w:val="24"/>
                <w:szCs w:val="24"/>
                <w:rtl/>
              </w:rPr>
              <w:t>696</w:t>
            </w:r>
          </w:p>
        </w:tc>
        <w:tc>
          <w:tcPr>
            <w:tcW w:w="2410" w:type="dxa"/>
            <w:tcBorders>
              <w:top w:val="single" w:sz="4" w:space="0" w:color="auto"/>
              <w:bottom w:val="single" w:sz="4" w:space="0" w:color="auto"/>
            </w:tcBorders>
            <w:shd w:val="clear" w:color="auto" w:fill="auto"/>
          </w:tcPr>
          <w:p w14:paraId="4A5FA332" w14:textId="77777777" w:rsidR="00C818DB" w:rsidRPr="00F25744" w:rsidRDefault="00E25AE7" w:rsidP="006544C5">
            <w:pPr>
              <w:spacing w:after="0" w:line="276" w:lineRule="auto"/>
              <w:jc w:val="center"/>
              <w:rPr>
                <w:rFonts w:ascii="David" w:hAnsi="David" w:cs="David"/>
                <w:sz w:val="24"/>
                <w:szCs w:val="24"/>
                <w:rtl/>
              </w:rPr>
            </w:pPr>
            <w:r w:rsidRPr="00F25744">
              <w:rPr>
                <w:rFonts w:ascii="David" w:hAnsi="David" w:cs="David" w:hint="cs"/>
                <w:sz w:val="24"/>
                <w:szCs w:val="24"/>
                <w:rtl/>
              </w:rPr>
              <w:t>88.3%</w:t>
            </w:r>
          </w:p>
        </w:tc>
      </w:tr>
    </w:tbl>
    <w:p w14:paraId="13D22C55" w14:textId="77777777" w:rsidR="00C818DB" w:rsidRPr="00F25744" w:rsidRDefault="00C818DB" w:rsidP="00C818DB">
      <w:pPr>
        <w:spacing w:after="0" w:line="360" w:lineRule="auto"/>
        <w:ind w:left="-1"/>
        <w:jc w:val="both"/>
        <w:rPr>
          <w:rFonts w:ascii="David" w:hAnsi="David" w:cs="David"/>
          <w:sz w:val="24"/>
          <w:szCs w:val="24"/>
          <w:rtl/>
        </w:rPr>
      </w:pPr>
    </w:p>
    <w:p w14:paraId="00FB6EC2" w14:textId="77777777" w:rsidR="00C818DB" w:rsidRPr="00F25744" w:rsidRDefault="00E25AE7" w:rsidP="0050708B">
      <w:pPr>
        <w:spacing w:after="0" w:line="360" w:lineRule="auto"/>
        <w:ind w:left="-1"/>
        <w:jc w:val="both"/>
        <w:rPr>
          <w:rFonts w:cs="David"/>
          <w:sz w:val="24"/>
          <w:szCs w:val="24"/>
          <w:rtl/>
        </w:rPr>
      </w:pPr>
      <w:r w:rsidRPr="00F25744">
        <w:rPr>
          <w:rFonts w:cs="David" w:hint="cs"/>
          <w:sz w:val="24"/>
          <w:szCs w:val="24"/>
          <w:rtl/>
        </w:rPr>
        <w:t xml:space="preserve">כפי שניתן לראות, שיעורי ההשתתפות במחקר היו גבוהים מאוד, ונעו בין 86% ל-100% מן השופטים והרשמים בערכאות </w:t>
      </w:r>
      <w:r w:rsidR="0050708B" w:rsidRPr="00F25744">
        <w:rPr>
          <w:rFonts w:cs="David" w:hint="cs"/>
          <w:sz w:val="24"/>
          <w:szCs w:val="24"/>
          <w:rtl/>
        </w:rPr>
        <w:t xml:space="preserve">ובבתי המשפט </w:t>
      </w:r>
      <w:r w:rsidRPr="00F25744">
        <w:rPr>
          <w:rFonts w:cs="David" w:hint="cs"/>
          <w:sz w:val="24"/>
          <w:szCs w:val="24"/>
          <w:rtl/>
        </w:rPr>
        <w:t>השונ</w:t>
      </w:r>
      <w:r w:rsidR="0050708B" w:rsidRPr="00F25744">
        <w:rPr>
          <w:rFonts w:cs="David" w:hint="cs"/>
          <w:sz w:val="24"/>
          <w:szCs w:val="24"/>
          <w:rtl/>
        </w:rPr>
        <w:t>ים</w:t>
      </w:r>
      <w:r w:rsidRPr="00F25744">
        <w:rPr>
          <w:rFonts w:cs="David" w:hint="cs"/>
          <w:sz w:val="24"/>
          <w:szCs w:val="24"/>
          <w:rtl/>
        </w:rPr>
        <w:t>. שיעור ההשתתפות הכלל מערכתי עמד על 88.3%.</w:t>
      </w:r>
    </w:p>
    <w:p w14:paraId="48D4AC97" w14:textId="77777777" w:rsidR="00C818DB" w:rsidRPr="00F25744" w:rsidRDefault="00E25AE7" w:rsidP="007806F8">
      <w:pPr>
        <w:spacing w:after="0" w:line="360" w:lineRule="auto"/>
        <w:ind w:left="-1"/>
        <w:jc w:val="both"/>
        <w:rPr>
          <w:rFonts w:cs="David"/>
          <w:sz w:val="24"/>
          <w:szCs w:val="24"/>
          <w:rtl/>
        </w:rPr>
      </w:pPr>
      <w:r w:rsidRPr="00F25744">
        <w:rPr>
          <w:rFonts w:cs="David" w:hint="cs"/>
          <w:sz w:val="24"/>
          <w:szCs w:val="24"/>
          <w:rtl/>
        </w:rPr>
        <w:t xml:space="preserve">שיעור ואחוז היומנים שמולאו מדי יום ברמה המערכתית יוצגו בטבלה שלהלן בחלוקה לימי </w:t>
      </w:r>
      <w:r w:rsidR="0050708B" w:rsidRPr="00F25744">
        <w:rPr>
          <w:rFonts w:cs="David" w:hint="cs"/>
          <w:sz w:val="24"/>
          <w:szCs w:val="24"/>
          <w:rtl/>
        </w:rPr>
        <w:t>ה</w:t>
      </w:r>
      <w:r w:rsidRPr="00F25744">
        <w:rPr>
          <w:rFonts w:cs="David" w:hint="cs"/>
          <w:sz w:val="24"/>
          <w:szCs w:val="24"/>
          <w:rtl/>
        </w:rPr>
        <w:t xml:space="preserve">דיווח מדי שבוע מתוך שבועות המחקר. מהטבלה עולה, כי שיעור ההיענות היומית נע בין 54% ל-81% ברמה היומית בימים א'-ה', ובין 29% ל-42% בימי שישי-שבת.  </w:t>
      </w:r>
    </w:p>
    <w:p w14:paraId="21EE0BD4" w14:textId="61F5F007" w:rsidR="00C818DB" w:rsidRPr="00F25744" w:rsidRDefault="00E25AE7" w:rsidP="00BD23BB">
      <w:pPr>
        <w:pStyle w:val="af6"/>
        <w:spacing w:before="120"/>
        <w:rPr>
          <w:sz w:val="24"/>
          <w:rtl/>
        </w:rPr>
      </w:pPr>
      <w:bookmarkStart w:id="153" w:name="_Toc76988898"/>
      <w:r w:rsidRPr="00F25744">
        <w:rPr>
          <w:rtl/>
        </w:rPr>
        <w:t xml:space="preserve">טבלה </w:t>
      </w:r>
      <w:r w:rsidRPr="00F25744">
        <w:rPr>
          <w:sz w:val="24"/>
          <w:rtl/>
        </w:rPr>
        <w:fldChar w:fldCharType="begin"/>
      </w:r>
      <w:r w:rsidRPr="00F25744">
        <w:rPr>
          <w:sz w:val="24"/>
          <w:rtl/>
        </w:rPr>
        <w:instrText xml:space="preserve"> </w:instrText>
      </w:r>
      <w:r w:rsidRPr="00F25744">
        <w:rPr>
          <w:rFonts w:hint="cs"/>
          <w:sz w:val="24"/>
        </w:rPr>
        <w:instrText>SEQ</w:instrText>
      </w:r>
      <w:r w:rsidRPr="00F25744">
        <w:rPr>
          <w:rFonts w:hint="cs"/>
          <w:sz w:val="24"/>
          <w:rtl/>
        </w:rPr>
        <w:instrText xml:space="preserve"> טבלה \* </w:instrText>
      </w:r>
      <w:r w:rsidRPr="00F25744">
        <w:rPr>
          <w:rFonts w:hint="cs"/>
          <w:sz w:val="24"/>
        </w:rPr>
        <w:instrText>ARABIC</w:instrText>
      </w:r>
      <w:r w:rsidRPr="00F25744">
        <w:rPr>
          <w:sz w:val="24"/>
          <w:rtl/>
        </w:rPr>
        <w:instrText xml:space="preserve"> </w:instrText>
      </w:r>
      <w:r w:rsidRPr="00F25744">
        <w:rPr>
          <w:sz w:val="24"/>
          <w:rtl/>
        </w:rPr>
        <w:fldChar w:fldCharType="separate"/>
      </w:r>
      <w:r w:rsidR="008F1BC3">
        <w:rPr>
          <w:noProof/>
          <w:sz w:val="24"/>
          <w:rtl/>
        </w:rPr>
        <w:t>3</w:t>
      </w:r>
      <w:r w:rsidRPr="00F25744">
        <w:rPr>
          <w:sz w:val="24"/>
          <w:rtl/>
        </w:rPr>
        <w:fldChar w:fldCharType="end"/>
      </w:r>
      <w:r w:rsidR="007F3A52" w:rsidRPr="00F25744">
        <w:rPr>
          <w:rFonts w:hint="cs"/>
          <w:sz w:val="24"/>
          <w:rtl/>
        </w:rPr>
        <w:t>:שיעור היומנים שמולאו בכל אחד מימות המחקר</w:t>
      </w:r>
      <w:bookmarkEnd w:id="153"/>
      <w:r w:rsidR="007F3A52" w:rsidRPr="00F25744">
        <w:rPr>
          <w:rFonts w:hint="cs"/>
          <w:sz w:val="24"/>
          <w:rtl/>
        </w:rPr>
        <w:t xml:space="preserve"> </w:t>
      </w:r>
    </w:p>
    <w:tbl>
      <w:tblPr>
        <w:bidiVisual/>
        <w:tblW w:w="0" w:type="auto"/>
        <w:tblInd w:w="-1" w:type="dxa"/>
        <w:tblLook w:val="04A0" w:firstRow="1" w:lastRow="0" w:firstColumn="1" w:lastColumn="0" w:noHBand="0" w:noVBand="1"/>
      </w:tblPr>
      <w:tblGrid>
        <w:gridCol w:w="1368"/>
        <w:gridCol w:w="1039"/>
        <w:gridCol w:w="1040"/>
        <w:gridCol w:w="1040"/>
        <w:gridCol w:w="1040"/>
        <w:gridCol w:w="1040"/>
        <w:gridCol w:w="1040"/>
        <w:gridCol w:w="1043"/>
      </w:tblGrid>
      <w:tr w:rsidR="00E0162E" w:rsidRPr="00F25744" w14:paraId="5A940EB9" w14:textId="77777777" w:rsidTr="00D7530C">
        <w:tc>
          <w:tcPr>
            <w:tcW w:w="1522" w:type="dxa"/>
            <w:tcBorders>
              <w:bottom w:val="single" w:sz="4" w:space="0" w:color="auto"/>
            </w:tcBorders>
            <w:shd w:val="clear" w:color="auto" w:fill="auto"/>
          </w:tcPr>
          <w:p w14:paraId="44488355"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שבוע המחקר</w:t>
            </w:r>
          </w:p>
        </w:tc>
        <w:tc>
          <w:tcPr>
            <w:tcW w:w="1134" w:type="dxa"/>
            <w:tcBorders>
              <w:bottom w:val="single" w:sz="4" w:space="0" w:color="auto"/>
            </w:tcBorders>
            <w:shd w:val="clear" w:color="auto" w:fill="auto"/>
          </w:tcPr>
          <w:p w14:paraId="2CE31A03"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יום א'</w:t>
            </w:r>
          </w:p>
        </w:tc>
        <w:tc>
          <w:tcPr>
            <w:tcW w:w="1134" w:type="dxa"/>
            <w:tcBorders>
              <w:bottom w:val="single" w:sz="4" w:space="0" w:color="auto"/>
            </w:tcBorders>
            <w:shd w:val="clear" w:color="auto" w:fill="auto"/>
          </w:tcPr>
          <w:p w14:paraId="1F69BF88"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יום ב'</w:t>
            </w:r>
          </w:p>
        </w:tc>
        <w:tc>
          <w:tcPr>
            <w:tcW w:w="1134" w:type="dxa"/>
            <w:tcBorders>
              <w:bottom w:val="single" w:sz="4" w:space="0" w:color="auto"/>
            </w:tcBorders>
            <w:shd w:val="clear" w:color="auto" w:fill="auto"/>
          </w:tcPr>
          <w:p w14:paraId="36E58119"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יום ג'</w:t>
            </w:r>
          </w:p>
        </w:tc>
        <w:tc>
          <w:tcPr>
            <w:tcW w:w="1134" w:type="dxa"/>
            <w:tcBorders>
              <w:bottom w:val="single" w:sz="4" w:space="0" w:color="auto"/>
            </w:tcBorders>
            <w:shd w:val="clear" w:color="auto" w:fill="auto"/>
          </w:tcPr>
          <w:p w14:paraId="1D967ADE"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יום ד'</w:t>
            </w:r>
          </w:p>
        </w:tc>
        <w:tc>
          <w:tcPr>
            <w:tcW w:w="1134" w:type="dxa"/>
            <w:tcBorders>
              <w:bottom w:val="single" w:sz="4" w:space="0" w:color="auto"/>
            </w:tcBorders>
            <w:shd w:val="clear" w:color="auto" w:fill="auto"/>
          </w:tcPr>
          <w:p w14:paraId="30F467DF"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יום ה'</w:t>
            </w:r>
          </w:p>
        </w:tc>
        <w:tc>
          <w:tcPr>
            <w:tcW w:w="1134" w:type="dxa"/>
            <w:tcBorders>
              <w:bottom w:val="single" w:sz="4" w:space="0" w:color="auto"/>
            </w:tcBorders>
            <w:shd w:val="clear" w:color="auto" w:fill="auto"/>
          </w:tcPr>
          <w:p w14:paraId="2B41ABF5"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יום ו'</w:t>
            </w:r>
          </w:p>
        </w:tc>
        <w:tc>
          <w:tcPr>
            <w:tcW w:w="1139" w:type="dxa"/>
            <w:tcBorders>
              <w:bottom w:val="single" w:sz="4" w:space="0" w:color="auto"/>
            </w:tcBorders>
            <w:shd w:val="clear" w:color="auto" w:fill="auto"/>
          </w:tcPr>
          <w:p w14:paraId="116E9698"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יום ש'</w:t>
            </w:r>
          </w:p>
        </w:tc>
      </w:tr>
      <w:tr w:rsidR="00E0162E" w:rsidRPr="00F25744" w14:paraId="44B00784" w14:textId="77777777" w:rsidTr="00D7530C">
        <w:tc>
          <w:tcPr>
            <w:tcW w:w="1522" w:type="dxa"/>
            <w:tcBorders>
              <w:top w:val="single" w:sz="4" w:space="0" w:color="auto"/>
            </w:tcBorders>
            <w:shd w:val="clear" w:color="auto" w:fill="auto"/>
          </w:tcPr>
          <w:p w14:paraId="7D05B050"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שבוע ראשון</w:t>
            </w:r>
          </w:p>
        </w:tc>
        <w:tc>
          <w:tcPr>
            <w:tcW w:w="1134" w:type="dxa"/>
            <w:tcBorders>
              <w:top w:val="single" w:sz="4" w:space="0" w:color="auto"/>
            </w:tcBorders>
            <w:shd w:val="clear" w:color="auto" w:fill="auto"/>
          </w:tcPr>
          <w:p w14:paraId="5E49D67C" w14:textId="77777777" w:rsidR="00C818DB" w:rsidRPr="00F25744" w:rsidRDefault="00C818DB" w:rsidP="00341018">
            <w:pPr>
              <w:spacing w:after="0" w:line="276" w:lineRule="auto"/>
              <w:jc w:val="center"/>
              <w:rPr>
                <w:rFonts w:cs="David"/>
                <w:sz w:val="24"/>
                <w:szCs w:val="24"/>
                <w:rtl/>
              </w:rPr>
            </w:pPr>
          </w:p>
        </w:tc>
        <w:tc>
          <w:tcPr>
            <w:tcW w:w="1134" w:type="dxa"/>
            <w:tcBorders>
              <w:top w:val="single" w:sz="4" w:space="0" w:color="auto"/>
            </w:tcBorders>
            <w:shd w:val="clear" w:color="auto" w:fill="auto"/>
          </w:tcPr>
          <w:p w14:paraId="51B642C4" w14:textId="77777777" w:rsidR="00C818DB" w:rsidRPr="00F25744" w:rsidRDefault="00C818DB" w:rsidP="00341018">
            <w:pPr>
              <w:spacing w:after="0" w:line="276" w:lineRule="auto"/>
              <w:jc w:val="center"/>
              <w:rPr>
                <w:rFonts w:cs="David"/>
                <w:sz w:val="24"/>
                <w:szCs w:val="24"/>
                <w:rtl/>
              </w:rPr>
            </w:pPr>
          </w:p>
        </w:tc>
        <w:tc>
          <w:tcPr>
            <w:tcW w:w="1134" w:type="dxa"/>
            <w:tcBorders>
              <w:top w:val="single" w:sz="4" w:space="0" w:color="auto"/>
            </w:tcBorders>
            <w:shd w:val="clear" w:color="auto" w:fill="auto"/>
          </w:tcPr>
          <w:p w14:paraId="582C2C5F" w14:textId="77777777" w:rsidR="00C818DB" w:rsidRPr="00F25744" w:rsidRDefault="00C818DB" w:rsidP="00341018">
            <w:pPr>
              <w:spacing w:after="0" w:line="276" w:lineRule="auto"/>
              <w:jc w:val="center"/>
              <w:rPr>
                <w:rFonts w:cs="David"/>
                <w:sz w:val="24"/>
                <w:szCs w:val="24"/>
                <w:rtl/>
              </w:rPr>
            </w:pPr>
          </w:p>
        </w:tc>
        <w:tc>
          <w:tcPr>
            <w:tcW w:w="1134" w:type="dxa"/>
            <w:tcBorders>
              <w:top w:val="single" w:sz="4" w:space="0" w:color="auto"/>
            </w:tcBorders>
            <w:shd w:val="clear" w:color="auto" w:fill="auto"/>
          </w:tcPr>
          <w:p w14:paraId="31AF2A2E"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543 (78%)</w:t>
            </w:r>
          </w:p>
        </w:tc>
        <w:tc>
          <w:tcPr>
            <w:tcW w:w="1134" w:type="dxa"/>
            <w:tcBorders>
              <w:top w:val="single" w:sz="4" w:space="0" w:color="auto"/>
            </w:tcBorders>
            <w:shd w:val="clear" w:color="auto" w:fill="auto"/>
          </w:tcPr>
          <w:p w14:paraId="27F1EF3E"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551 (79%)</w:t>
            </w:r>
          </w:p>
        </w:tc>
        <w:tc>
          <w:tcPr>
            <w:tcW w:w="1134" w:type="dxa"/>
            <w:tcBorders>
              <w:top w:val="single" w:sz="4" w:space="0" w:color="auto"/>
            </w:tcBorders>
            <w:shd w:val="clear" w:color="auto" w:fill="auto"/>
          </w:tcPr>
          <w:p w14:paraId="0773F0C6"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272 (39%)</w:t>
            </w:r>
          </w:p>
        </w:tc>
        <w:tc>
          <w:tcPr>
            <w:tcW w:w="1139" w:type="dxa"/>
            <w:tcBorders>
              <w:top w:val="single" w:sz="4" w:space="0" w:color="auto"/>
            </w:tcBorders>
            <w:shd w:val="clear" w:color="auto" w:fill="auto"/>
          </w:tcPr>
          <w:p w14:paraId="05E887D7"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293 (42%)</w:t>
            </w:r>
          </w:p>
        </w:tc>
      </w:tr>
      <w:tr w:rsidR="00E0162E" w:rsidRPr="00F25744" w14:paraId="0FA3B6E0" w14:textId="77777777" w:rsidTr="00D7530C">
        <w:tc>
          <w:tcPr>
            <w:tcW w:w="1522" w:type="dxa"/>
            <w:shd w:val="clear" w:color="auto" w:fill="auto"/>
          </w:tcPr>
          <w:p w14:paraId="301D2693"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שבוע שני</w:t>
            </w:r>
          </w:p>
        </w:tc>
        <w:tc>
          <w:tcPr>
            <w:tcW w:w="1134" w:type="dxa"/>
            <w:shd w:val="clear" w:color="auto" w:fill="auto"/>
          </w:tcPr>
          <w:p w14:paraId="695DA426"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558 (80%)</w:t>
            </w:r>
          </w:p>
        </w:tc>
        <w:tc>
          <w:tcPr>
            <w:tcW w:w="1134" w:type="dxa"/>
            <w:shd w:val="clear" w:color="auto" w:fill="auto"/>
          </w:tcPr>
          <w:p w14:paraId="486F4256"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562 (81%)</w:t>
            </w:r>
          </w:p>
        </w:tc>
        <w:tc>
          <w:tcPr>
            <w:tcW w:w="1134" w:type="dxa"/>
            <w:shd w:val="clear" w:color="auto" w:fill="auto"/>
          </w:tcPr>
          <w:p w14:paraId="6F50B2BC"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563 (81%)</w:t>
            </w:r>
          </w:p>
        </w:tc>
        <w:tc>
          <w:tcPr>
            <w:tcW w:w="1134" w:type="dxa"/>
            <w:shd w:val="clear" w:color="auto" w:fill="auto"/>
          </w:tcPr>
          <w:p w14:paraId="05E5B9CE"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553 (79%)</w:t>
            </w:r>
          </w:p>
        </w:tc>
        <w:tc>
          <w:tcPr>
            <w:tcW w:w="1134" w:type="dxa"/>
            <w:shd w:val="clear" w:color="auto" w:fill="auto"/>
          </w:tcPr>
          <w:p w14:paraId="5915CFB4"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534 (77%)</w:t>
            </w:r>
          </w:p>
        </w:tc>
        <w:tc>
          <w:tcPr>
            <w:tcW w:w="1134" w:type="dxa"/>
            <w:shd w:val="clear" w:color="auto" w:fill="auto"/>
          </w:tcPr>
          <w:p w14:paraId="34CE0B40"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265 (38%)</w:t>
            </w:r>
          </w:p>
        </w:tc>
        <w:tc>
          <w:tcPr>
            <w:tcW w:w="1139" w:type="dxa"/>
            <w:shd w:val="clear" w:color="auto" w:fill="auto"/>
          </w:tcPr>
          <w:p w14:paraId="5F926E70"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261 (38%)</w:t>
            </w:r>
          </w:p>
        </w:tc>
      </w:tr>
      <w:tr w:rsidR="00E0162E" w:rsidRPr="00F25744" w14:paraId="0CE446EB" w14:textId="77777777" w:rsidTr="00D7530C">
        <w:tc>
          <w:tcPr>
            <w:tcW w:w="1522" w:type="dxa"/>
            <w:shd w:val="clear" w:color="auto" w:fill="auto"/>
          </w:tcPr>
          <w:p w14:paraId="16AB7057"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שבוע שלישי</w:t>
            </w:r>
          </w:p>
        </w:tc>
        <w:tc>
          <w:tcPr>
            <w:tcW w:w="1134" w:type="dxa"/>
            <w:shd w:val="clear" w:color="auto" w:fill="auto"/>
          </w:tcPr>
          <w:p w14:paraId="4A017F97"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539 (77%)</w:t>
            </w:r>
          </w:p>
        </w:tc>
        <w:tc>
          <w:tcPr>
            <w:tcW w:w="1134" w:type="dxa"/>
            <w:shd w:val="clear" w:color="auto" w:fill="auto"/>
          </w:tcPr>
          <w:p w14:paraId="3688905C"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537 (77%)</w:t>
            </w:r>
          </w:p>
        </w:tc>
        <w:tc>
          <w:tcPr>
            <w:tcW w:w="1134" w:type="dxa"/>
            <w:shd w:val="clear" w:color="auto" w:fill="auto"/>
          </w:tcPr>
          <w:p w14:paraId="3016DE5B"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540 (78%)</w:t>
            </w:r>
          </w:p>
        </w:tc>
        <w:tc>
          <w:tcPr>
            <w:tcW w:w="1134" w:type="dxa"/>
            <w:shd w:val="clear" w:color="auto" w:fill="auto"/>
          </w:tcPr>
          <w:p w14:paraId="785D2717"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538 (77%)</w:t>
            </w:r>
          </w:p>
        </w:tc>
        <w:tc>
          <w:tcPr>
            <w:tcW w:w="1134" w:type="dxa"/>
            <w:shd w:val="clear" w:color="auto" w:fill="auto"/>
          </w:tcPr>
          <w:p w14:paraId="28B19BFC"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525 (75%)</w:t>
            </w:r>
          </w:p>
        </w:tc>
        <w:tc>
          <w:tcPr>
            <w:tcW w:w="1134" w:type="dxa"/>
            <w:shd w:val="clear" w:color="auto" w:fill="auto"/>
          </w:tcPr>
          <w:p w14:paraId="40B9EB7D"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236 (34%)</w:t>
            </w:r>
          </w:p>
        </w:tc>
        <w:tc>
          <w:tcPr>
            <w:tcW w:w="1139" w:type="dxa"/>
            <w:shd w:val="clear" w:color="auto" w:fill="auto"/>
          </w:tcPr>
          <w:p w14:paraId="378BE530"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262 (38%)</w:t>
            </w:r>
          </w:p>
        </w:tc>
      </w:tr>
      <w:tr w:rsidR="00E0162E" w:rsidRPr="00F25744" w14:paraId="13F77D13" w14:textId="77777777" w:rsidTr="00D7530C">
        <w:tc>
          <w:tcPr>
            <w:tcW w:w="1522" w:type="dxa"/>
            <w:shd w:val="clear" w:color="auto" w:fill="auto"/>
          </w:tcPr>
          <w:p w14:paraId="2C816F1A"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שבוע רביעי</w:t>
            </w:r>
          </w:p>
        </w:tc>
        <w:tc>
          <w:tcPr>
            <w:tcW w:w="1134" w:type="dxa"/>
            <w:shd w:val="clear" w:color="auto" w:fill="auto"/>
          </w:tcPr>
          <w:p w14:paraId="7C900817"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524 (75%)</w:t>
            </w:r>
          </w:p>
        </w:tc>
        <w:tc>
          <w:tcPr>
            <w:tcW w:w="1134" w:type="dxa"/>
            <w:shd w:val="clear" w:color="auto" w:fill="auto"/>
          </w:tcPr>
          <w:p w14:paraId="3C935DC8"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536 (77%)</w:t>
            </w:r>
          </w:p>
        </w:tc>
        <w:tc>
          <w:tcPr>
            <w:tcW w:w="1134" w:type="dxa"/>
            <w:shd w:val="clear" w:color="auto" w:fill="auto"/>
          </w:tcPr>
          <w:p w14:paraId="7C818C35"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510 (73%)</w:t>
            </w:r>
          </w:p>
        </w:tc>
        <w:tc>
          <w:tcPr>
            <w:tcW w:w="1134" w:type="dxa"/>
            <w:shd w:val="clear" w:color="auto" w:fill="auto"/>
          </w:tcPr>
          <w:p w14:paraId="10ECC332"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530 (76%)</w:t>
            </w:r>
          </w:p>
        </w:tc>
        <w:tc>
          <w:tcPr>
            <w:tcW w:w="1134" w:type="dxa"/>
            <w:shd w:val="clear" w:color="auto" w:fill="auto"/>
          </w:tcPr>
          <w:p w14:paraId="6609050B"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489 (70%)</w:t>
            </w:r>
          </w:p>
        </w:tc>
        <w:tc>
          <w:tcPr>
            <w:tcW w:w="1134" w:type="dxa"/>
            <w:shd w:val="clear" w:color="auto" w:fill="auto"/>
          </w:tcPr>
          <w:p w14:paraId="03135376"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239 (34%)</w:t>
            </w:r>
          </w:p>
        </w:tc>
        <w:tc>
          <w:tcPr>
            <w:tcW w:w="1139" w:type="dxa"/>
            <w:shd w:val="clear" w:color="auto" w:fill="auto"/>
          </w:tcPr>
          <w:p w14:paraId="17758EE4"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243 (35%)</w:t>
            </w:r>
          </w:p>
        </w:tc>
      </w:tr>
      <w:tr w:rsidR="00E0162E" w:rsidRPr="00F25744" w14:paraId="0295809E" w14:textId="77777777" w:rsidTr="00D7530C">
        <w:tc>
          <w:tcPr>
            <w:tcW w:w="1522" w:type="dxa"/>
            <w:shd w:val="clear" w:color="auto" w:fill="auto"/>
          </w:tcPr>
          <w:p w14:paraId="18860DE2"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שבוע חמישי</w:t>
            </w:r>
          </w:p>
        </w:tc>
        <w:tc>
          <w:tcPr>
            <w:tcW w:w="1134" w:type="dxa"/>
            <w:shd w:val="clear" w:color="auto" w:fill="auto"/>
          </w:tcPr>
          <w:p w14:paraId="69CF519E"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510 (73%)</w:t>
            </w:r>
          </w:p>
        </w:tc>
        <w:tc>
          <w:tcPr>
            <w:tcW w:w="1134" w:type="dxa"/>
            <w:shd w:val="clear" w:color="auto" w:fill="auto"/>
          </w:tcPr>
          <w:p w14:paraId="517B1548"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512 (74%)</w:t>
            </w:r>
          </w:p>
        </w:tc>
        <w:tc>
          <w:tcPr>
            <w:tcW w:w="1134" w:type="dxa"/>
            <w:shd w:val="clear" w:color="auto" w:fill="auto"/>
          </w:tcPr>
          <w:p w14:paraId="79EC40CC"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491 (71%)</w:t>
            </w:r>
          </w:p>
        </w:tc>
        <w:tc>
          <w:tcPr>
            <w:tcW w:w="1134" w:type="dxa"/>
            <w:shd w:val="clear" w:color="auto" w:fill="auto"/>
          </w:tcPr>
          <w:p w14:paraId="777EC38C"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477 (69%)</w:t>
            </w:r>
          </w:p>
        </w:tc>
        <w:tc>
          <w:tcPr>
            <w:tcW w:w="1134" w:type="dxa"/>
            <w:shd w:val="clear" w:color="auto" w:fill="auto"/>
          </w:tcPr>
          <w:p w14:paraId="5520D25C"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439 (63%)</w:t>
            </w:r>
          </w:p>
        </w:tc>
        <w:tc>
          <w:tcPr>
            <w:tcW w:w="1134" w:type="dxa"/>
            <w:shd w:val="clear" w:color="auto" w:fill="auto"/>
          </w:tcPr>
          <w:p w14:paraId="6733010A"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203 (29%)</w:t>
            </w:r>
          </w:p>
        </w:tc>
        <w:tc>
          <w:tcPr>
            <w:tcW w:w="1139" w:type="dxa"/>
            <w:shd w:val="clear" w:color="auto" w:fill="auto"/>
          </w:tcPr>
          <w:p w14:paraId="2ABBD2DF"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219 (31%)</w:t>
            </w:r>
          </w:p>
        </w:tc>
      </w:tr>
      <w:tr w:rsidR="00E0162E" w:rsidRPr="00F25744" w14:paraId="0B981216" w14:textId="77777777" w:rsidTr="00D7530C">
        <w:tc>
          <w:tcPr>
            <w:tcW w:w="1522" w:type="dxa"/>
            <w:tcBorders>
              <w:bottom w:val="single" w:sz="4" w:space="0" w:color="auto"/>
            </w:tcBorders>
            <w:shd w:val="clear" w:color="auto" w:fill="auto"/>
          </w:tcPr>
          <w:p w14:paraId="3C73EB71"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שבוע שישי</w:t>
            </w:r>
          </w:p>
        </w:tc>
        <w:tc>
          <w:tcPr>
            <w:tcW w:w="1134" w:type="dxa"/>
            <w:tcBorders>
              <w:bottom w:val="single" w:sz="4" w:space="0" w:color="auto"/>
            </w:tcBorders>
            <w:shd w:val="clear" w:color="auto" w:fill="auto"/>
          </w:tcPr>
          <w:p w14:paraId="461C10D0"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440 (63%)</w:t>
            </w:r>
          </w:p>
        </w:tc>
        <w:tc>
          <w:tcPr>
            <w:tcW w:w="1134" w:type="dxa"/>
            <w:tcBorders>
              <w:bottom w:val="single" w:sz="4" w:space="0" w:color="auto"/>
            </w:tcBorders>
            <w:shd w:val="clear" w:color="auto" w:fill="auto"/>
          </w:tcPr>
          <w:p w14:paraId="3DBDE656"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444 (64%)</w:t>
            </w:r>
          </w:p>
        </w:tc>
        <w:tc>
          <w:tcPr>
            <w:tcW w:w="1134" w:type="dxa"/>
            <w:tcBorders>
              <w:bottom w:val="single" w:sz="4" w:space="0" w:color="auto"/>
            </w:tcBorders>
            <w:shd w:val="clear" w:color="auto" w:fill="auto"/>
          </w:tcPr>
          <w:p w14:paraId="393A44DD"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424 (61%)</w:t>
            </w:r>
          </w:p>
        </w:tc>
        <w:tc>
          <w:tcPr>
            <w:tcW w:w="1134" w:type="dxa"/>
            <w:tcBorders>
              <w:bottom w:val="single" w:sz="4" w:space="0" w:color="auto"/>
            </w:tcBorders>
            <w:shd w:val="clear" w:color="auto" w:fill="auto"/>
          </w:tcPr>
          <w:p w14:paraId="0B70A10A" w14:textId="77777777" w:rsidR="00C818DB" w:rsidRPr="00F25744" w:rsidRDefault="00E25AE7" w:rsidP="00341018">
            <w:pPr>
              <w:spacing w:after="0" w:line="276" w:lineRule="auto"/>
              <w:jc w:val="center"/>
              <w:rPr>
                <w:rFonts w:cs="David"/>
                <w:sz w:val="24"/>
                <w:szCs w:val="24"/>
                <w:rtl/>
              </w:rPr>
            </w:pPr>
            <w:r w:rsidRPr="00F25744">
              <w:rPr>
                <w:rFonts w:cs="David" w:hint="cs"/>
                <w:sz w:val="24"/>
                <w:szCs w:val="24"/>
                <w:rtl/>
              </w:rPr>
              <w:t>379 (54%)</w:t>
            </w:r>
          </w:p>
        </w:tc>
        <w:tc>
          <w:tcPr>
            <w:tcW w:w="1134" w:type="dxa"/>
            <w:tcBorders>
              <w:bottom w:val="single" w:sz="4" w:space="0" w:color="auto"/>
            </w:tcBorders>
            <w:shd w:val="clear" w:color="auto" w:fill="auto"/>
          </w:tcPr>
          <w:p w14:paraId="7ADEAC6F" w14:textId="77777777" w:rsidR="00C818DB" w:rsidRPr="00F25744" w:rsidRDefault="00C818DB" w:rsidP="00341018">
            <w:pPr>
              <w:spacing w:after="0" w:line="276" w:lineRule="auto"/>
              <w:jc w:val="center"/>
              <w:rPr>
                <w:rFonts w:cs="David"/>
                <w:sz w:val="24"/>
                <w:szCs w:val="24"/>
                <w:rtl/>
              </w:rPr>
            </w:pPr>
          </w:p>
        </w:tc>
        <w:tc>
          <w:tcPr>
            <w:tcW w:w="1134" w:type="dxa"/>
            <w:tcBorders>
              <w:bottom w:val="single" w:sz="4" w:space="0" w:color="auto"/>
            </w:tcBorders>
            <w:shd w:val="clear" w:color="auto" w:fill="auto"/>
          </w:tcPr>
          <w:p w14:paraId="4B8A1A2E" w14:textId="77777777" w:rsidR="00C818DB" w:rsidRPr="00F25744" w:rsidRDefault="00C818DB" w:rsidP="00341018">
            <w:pPr>
              <w:spacing w:after="0" w:line="276" w:lineRule="auto"/>
              <w:jc w:val="center"/>
              <w:rPr>
                <w:rFonts w:cs="David"/>
                <w:sz w:val="24"/>
                <w:szCs w:val="24"/>
                <w:rtl/>
              </w:rPr>
            </w:pPr>
          </w:p>
        </w:tc>
        <w:tc>
          <w:tcPr>
            <w:tcW w:w="1139" w:type="dxa"/>
            <w:tcBorders>
              <w:bottom w:val="single" w:sz="4" w:space="0" w:color="auto"/>
            </w:tcBorders>
            <w:shd w:val="clear" w:color="auto" w:fill="auto"/>
          </w:tcPr>
          <w:p w14:paraId="0C1B3A4B" w14:textId="77777777" w:rsidR="00C818DB" w:rsidRPr="00F25744" w:rsidRDefault="00C818DB" w:rsidP="00341018">
            <w:pPr>
              <w:spacing w:after="0" w:line="276" w:lineRule="auto"/>
              <w:jc w:val="center"/>
              <w:rPr>
                <w:rFonts w:cs="David"/>
                <w:sz w:val="24"/>
                <w:szCs w:val="24"/>
                <w:rtl/>
              </w:rPr>
            </w:pPr>
          </w:p>
        </w:tc>
      </w:tr>
    </w:tbl>
    <w:p w14:paraId="63FA8A5D" w14:textId="77777777" w:rsidR="00C818DB" w:rsidRPr="00F25744" w:rsidRDefault="00C818DB" w:rsidP="00C818DB">
      <w:pPr>
        <w:spacing w:after="0" w:line="360" w:lineRule="auto"/>
        <w:ind w:left="-1"/>
        <w:jc w:val="center"/>
        <w:rPr>
          <w:rFonts w:cs="David"/>
          <w:sz w:val="24"/>
          <w:szCs w:val="24"/>
          <w:rtl/>
        </w:rPr>
      </w:pPr>
    </w:p>
    <w:p w14:paraId="1D9B10B7" w14:textId="77777777" w:rsidR="00C818DB" w:rsidRPr="00F25744" w:rsidRDefault="00E25AE7" w:rsidP="00BD23BB">
      <w:pPr>
        <w:spacing w:before="120" w:after="0" w:line="360" w:lineRule="auto"/>
        <w:jc w:val="both"/>
        <w:rPr>
          <w:rFonts w:cs="David"/>
          <w:sz w:val="24"/>
          <w:szCs w:val="24"/>
          <w:rtl/>
        </w:rPr>
      </w:pPr>
      <w:r w:rsidRPr="00F25744">
        <w:rPr>
          <w:rFonts w:cs="David" w:hint="cs"/>
          <w:sz w:val="24"/>
          <w:szCs w:val="24"/>
          <w:rtl/>
        </w:rPr>
        <w:lastRenderedPageBreak/>
        <w:t>כפי שניתן לראות, אחוז ההיענות ירד במידת מה לאורך שבועות המחקר. מבדיקת שיעורי ההיענות עולה שבשבועיים הראשונים, ממוצע אחוז ההיענות עמד על 79% מהשופטים והרשמים, ואילו בשלושת השבועות האחרונים הממוצע עמד על 70%. יש לציין, כי ערכנו בדיקת רגישות לבחון האם קיימים הבדלים בין הנתונים שנאספו בשבועיים הראשונים אל מול שלושת האחרונים, ולא נמצאו הבדלים מובהקים.</w:t>
      </w:r>
    </w:p>
    <w:p w14:paraId="60DD0AC7" w14:textId="77777777" w:rsidR="00C818DB" w:rsidRPr="00F25744" w:rsidRDefault="00E25AE7" w:rsidP="00BD23BB">
      <w:pPr>
        <w:spacing w:before="120" w:after="0" w:line="360" w:lineRule="auto"/>
        <w:jc w:val="both"/>
        <w:rPr>
          <w:rFonts w:cs="David"/>
          <w:sz w:val="24"/>
          <w:szCs w:val="24"/>
          <w:rtl/>
        </w:rPr>
      </w:pPr>
      <w:r w:rsidRPr="00F25744">
        <w:rPr>
          <w:rFonts w:cs="David" w:hint="cs"/>
          <w:sz w:val="24"/>
          <w:szCs w:val="24"/>
          <w:rtl/>
        </w:rPr>
        <w:t>שיעור היומנים שהשופטים והרשמים מילאו במהלך חמשת שבועות המחקר נע בין יום מילוי אחד ל-36 ימים, כאשר הממוצע עומד על 25.7 יומנים לשופט/רשם. בטבלה שלהלן ניתן לראות נתונים אלו בפילוח לערכאות השיפוט.</w:t>
      </w:r>
    </w:p>
    <w:p w14:paraId="1AF36D61" w14:textId="17F3117D" w:rsidR="00C818DB" w:rsidRPr="00F25744" w:rsidRDefault="00E25AE7" w:rsidP="00BD23BB">
      <w:pPr>
        <w:pStyle w:val="af6"/>
        <w:spacing w:before="120"/>
        <w:rPr>
          <w:rFonts w:ascii="David" w:hAnsi="David"/>
          <w:sz w:val="24"/>
          <w:rtl/>
        </w:rPr>
      </w:pPr>
      <w:bookmarkStart w:id="154" w:name="_Toc76988899"/>
      <w:r w:rsidRPr="00F25744">
        <w:rPr>
          <w:rtl/>
        </w:rPr>
        <w:t xml:space="preserve">טבלה </w:t>
      </w:r>
      <w:r w:rsidRPr="00F25744">
        <w:rPr>
          <w:rFonts w:ascii="David" w:hAnsi="David"/>
          <w:sz w:val="24"/>
          <w:rtl/>
        </w:rPr>
        <w:fldChar w:fldCharType="begin"/>
      </w:r>
      <w:r w:rsidRPr="00F25744">
        <w:rPr>
          <w:rFonts w:ascii="David" w:hAnsi="David"/>
          <w:sz w:val="24"/>
          <w:rtl/>
        </w:rPr>
        <w:instrText xml:space="preserve"> </w:instrText>
      </w:r>
      <w:r w:rsidRPr="00F25744">
        <w:rPr>
          <w:rFonts w:ascii="David" w:hAnsi="David" w:hint="cs"/>
          <w:sz w:val="24"/>
        </w:rPr>
        <w:instrText>SEQ</w:instrText>
      </w:r>
      <w:r w:rsidRPr="00F25744">
        <w:rPr>
          <w:rFonts w:ascii="David" w:hAnsi="David" w:hint="cs"/>
          <w:sz w:val="24"/>
          <w:rtl/>
        </w:rPr>
        <w:instrText xml:space="preserve"> טבלה \* </w:instrText>
      </w:r>
      <w:r w:rsidRPr="00F25744">
        <w:rPr>
          <w:rFonts w:ascii="David" w:hAnsi="David" w:hint="cs"/>
          <w:sz w:val="24"/>
        </w:rPr>
        <w:instrText>ARABIC</w:instrText>
      </w:r>
      <w:r w:rsidRPr="00F25744">
        <w:rPr>
          <w:rFonts w:ascii="David" w:hAnsi="David"/>
          <w:sz w:val="24"/>
          <w:rtl/>
        </w:rPr>
        <w:instrText xml:space="preserve"> </w:instrText>
      </w:r>
      <w:r w:rsidRPr="00F25744">
        <w:rPr>
          <w:rFonts w:ascii="David" w:hAnsi="David"/>
          <w:sz w:val="24"/>
          <w:rtl/>
        </w:rPr>
        <w:fldChar w:fldCharType="separate"/>
      </w:r>
      <w:r w:rsidR="008F1BC3">
        <w:rPr>
          <w:rFonts w:ascii="David" w:hAnsi="David"/>
          <w:noProof/>
          <w:sz w:val="24"/>
          <w:rtl/>
        </w:rPr>
        <w:t>4</w:t>
      </w:r>
      <w:r w:rsidRPr="00F25744">
        <w:rPr>
          <w:rFonts w:ascii="David" w:hAnsi="David"/>
          <w:sz w:val="24"/>
          <w:rtl/>
        </w:rPr>
        <w:fldChar w:fldCharType="end"/>
      </w:r>
      <w:r w:rsidR="007F3A52" w:rsidRPr="00F25744">
        <w:rPr>
          <w:rFonts w:ascii="David" w:hAnsi="David" w:hint="cs"/>
          <w:sz w:val="24"/>
          <w:rtl/>
        </w:rPr>
        <w:t>: נתונים על שיעור מילוי היומנים על ידי השופטים והרשמים בחלוקה לערכאות</w:t>
      </w:r>
      <w:bookmarkEnd w:id="154"/>
    </w:p>
    <w:tbl>
      <w:tblPr>
        <w:bidiVisual/>
        <w:tblW w:w="0" w:type="auto"/>
        <w:tblInd w:w="-1" w:type="dxa"/>
        <w:tblLook w:val="04A0" w:firstRow="1" w:lastRow="0" w:firstColumn="1" w:lastColumn="0" w:noHBand="0" w:noVBand="1"/>
      </w:tblPr>
      <w:tblGrid>
        <w:gridCol w:w="1901"/>
        <w:gridCol w:w="2417"/>
        <w:gridCol w:w="1960"/>
        <w:gridCol w:w="2372"/>
      </w:tblGrid>
      <w:tr w:rsidR="00E0162E" w:rsidRPr="00F25744" w14:paraId="29AB3E78" w14:textId="77777777" w:rsidTr="00D7530C">
        <w:tc>
          <w:tcPr>
            <w:tcW w:w="2089" w:type="dxa"/>
            <w:tcBorders>
              <w:bottom w:val="single" w:sz="4" w:space="0" w:color="auto"/>
            </w:tcBorders>
            <w:shd w:val="clear" w:color="auto" w:fill="auto"/>
          </w:tcPr>
          <w:p w14:paraId="07B7EA19" w14:textId="77777777" w:rsidR="00C818DB" w:rsidRPr="00F25744" w:rsidRDefault="00E25AE7" w:rsidP="00D7530C">
            <w:pPr>
              <w:spacing w:after="0" w:line="360" w:lineRule="auto"/>
              <w:jc w:val="both"/>
              <w:rPr>
                <w:rFonts w:ascii="David" w:hAnsi="David" w:cs="David"/>
                <w:sz w:val="24"/>
                <w:szCs w:val="24"/>
                <w:rtl/>
              </w:rPr>
            </w:pPr>
            <w:r w:rsidRPr="00F25744">
              <w:rPr>
                <w:rFonts w:ascii="David" w:hAnsi="David" w:cs="David" w:hint="cs"/>
                <w:sz w:val="24"/>
                <w:szCs w:val="24"/>
                <w:rtl/>
              </w:rPr>
              <w:t>ערכאה</w:t>
            </w:r>
          </w:p>
        </w:tc>
        <w:tc>
          <w:tcPr>
            <w:tcW w:w="2693" w:type="dxa"/>
            <w:tcBorders>
              <w:bottom w:val="single" w:sz="4" w:space="0" w:color="auto"/>
            </w:tcBorders>
            <w:shd w:val="clear" w:color="auto" w:fill="auto"/>
          </w:tcPr>
          <w:p w14:paraId="359C7BFA" w14:textId="77777777" w:rsidR="00C818DB" w:rsidRPr="00F25744" w:rsidRDefault="00E25AE7" w:rsidP="00D7530C">
            <w:pPr>
              <w:spacing w:after="0" w:line="360" w:lineRule="auto"/>
              <w:jc w:val="center"/>
              <w:rPr>
                <w:rFonts w:ascii="David" w:hAnsi="David" w:cs="David"/>
                <w:sz w:val="24"/>
                <w:szCs w:val="24"/>
                <w:rtl/>
              </w:rPr>
            </w:pPr>
            <w:r w:rsidRPr="00F25744">
              <w:rPr>
                <w:rFonts w:ascii="David" w:hAnsi="David" w:cs="David" w:hint="cs"/>
                <w:sz w:val="24"/>
                <w:szCs w:val="24"/>
                <w:rtl/>
              </w:rPr>
              <w:t>מינימום ימי מילוי</w:t>
            </w:r>
          </w:p>
        </w:tc>
        <w:tc>
          <w:tcPr>
            <w:tcW w:w="2126" w:type="dxa"/>
            <w:tcBorders>
              <w:bottom w:val="single" w:sz="4" w:space="0" w:color="auto"/>
            </w:tcBorders>
            <w:shd w:val="clear" w:color="auto" w:fill="auto"/>
          </w:tcPr>
          <w:p w14:paraId="4F4CF6D1" w14:textId="77777777" w:rsidR="00C818DB" w:rsidRPr="00F25744" w:rsidRDefault="00E25AE7" w:rsidP="00D7530C">
            <w:pPr>
              <w:spacing w:after="0" w:line="360" w:lineRule="auto"/>
              <w:jc w:val="center"/>
              <w:rPr>
                <w:rFonts w:ascii="David" w:hAnsi="David" w:cs="David"/>
                <w:sz w:val="24"/>
                <w:szCs w:val="24"/>
                <w:rtl/>
              </w:rPr>
            </w:pPr>
            <w:r w:rsidRPr="00F25744">
              <w:rPr>
                <w:rFonts w:ascii="David" w:hAnsi="David" w:cs="David" w:hint="cs"/>
                <w:sz w:val="24"/>
                <w:szCs w:val="24"/>
                <w:rtl/>
              </w:rPr>
              <w:t>מקסימום ימי מילוי</w:t>
            </w:r>
          </w:p>
        </w:tc>
        <w:tc>
          <w:tcPr>
            <w:tcW w:w="2665" w:type="dxa"/>
            <w:tcBorders>
              <w:bottom w:val="single" w:sz="4" w:space="0" w:color="auto"/>
            </w:tcBorders>
            <w:shd w:val="clear" w:color="auto" w:fill="auto"/>
          </w:tcPr>
          <w:p w14:paraId="56A59753" w14:textId="77777777" w:rsidR="00C818DB" w:rsidRPr="00F25744" w:rsidRDefault="00E25AE7" w:rsidP="00D7530C">
            <w:pPr>
              <w:spacing w:after="0" w:line="360" w:lineRule="auto"/>
              <w:jc w:val="center"/>
              <w:rPr>
                <w:rFonts w:ascii="David" w:hAnsi="David" w:cs="David"/>
                <w:sz w:val="24"/>
                <w:szCs w:val="24"/>
                <w:rtl/>
              </w:rPr>
            </w:pPr>
            <w:r w:rsidRPr="00F25744">
              <w:rPr>
                <w:rFonts w:ascii="David" w:hAnsi="David" w:cs="David" w:hint="cs"/>
                <w:sz w:val="24"/>
                <w:szCs w:val="24"/>
                <w:rtl/>
              </w:rPr>
              <w:t>ממוצע ימי מילוי</w:t>
            </w:r>
          </w:p>
        </w:tc>
      </w:tr>
      <w:tr w:rsidR="00E0162E" w:rsidRPr="00F25744" w14:paraId="6A6C9857" w14:textId="77777777" w:rsidTr="00D7530C">
        <w:tc>
          <w:tcPr>
            <w:tcW w:w="2089" w:type="dxa"/>
            <w:tcBorders>
              <w:top w:val="single" w:sz="4" w:space="0" w:color="auto"/>
            </w:tcBorders>
            <w:shd w:val="clear" w:color="auto" w:fill="auto"/>
          </w:tcPr>
          <w:p w14:paraId="298849FA" w14:textId="77777777" w:rsidR="00C818DB" w:rsidRPr="00F25744" w:rsidRDefault="00E25AE7" w:rsidP="00D7530C">
            <w:pPr>
              <w:spacing w:after="0" w:line="360" w:lineRule="auto"/>
              <w:jc w:val="both"/>
              <w:rPr>
                <w:rFonts w:ascii="David" w:hAnsi="David" w:cs="David"/>
                <w:sz w:val="24"/>
                <w:szCs w:val="24"/>
                <w:rtl/>
              </w:rPr>
            </w:pPr>
            <w:r w:rsidRPr="00F25744">
              <w:rPr>
                <w:rFonts w:ascii="David" w:hAnsi="David" w:cs="David" w:hint="cs"/>
                <w:sz w:val="24"/>
                <w:szCs w:val="24"/>
                <w:rtl/>
              </w:rPr>
              <w:t>מחוזי</w:t>
            </w:r>
          </w:p>
        </w:tc>
        <w:tc>
          <w:tcPr>
            <w:tcW w:w="2693" w:type="dxa"/>
            <w:tcBorders>
              <w:top w:val="single" w:sz="4" w:space="0" w:color="auto"/>
            </w:tcBorders>
            <w:shd w:val="clear" w:color="auto" w:fill="auto"/>
          </w:tcPr>
          <w:p w14:paraId="6C8AC120" w14:textId="77777777" w:rsidR="00C818DB" w:rsidRPr="00F25744" w:rsidRDefault="00E25AE7" w:rsidP="00D7530C">
            <w:pPr>
              <w:spacing w:after="0" w:line="360" w:lineRule="auto"/>
              <w:jc w:val="center"/>
              <w:rPr>
                <w:rFonts w:ascii="David" w:hAnsi="David" w:cs="David"/>
                <w:sz w:val="24"/>
                <w:szCs w:val="24"/>
                <w:rtl/>
              </w:rPr>
            </w:pPr>
            <w:r w:rsidRPr="00F25744">
              <w:rPr>
                <w:rFonts w:ascii="David" w:hAnsi="David" w:cs="David" w:hint="cs"/>
                <w:sz w:val="24"/>
                <w:szCs w:val="24"/>
                <w:rtl/>
              </w:rPr>
              <w:t>1</w:t>
            </w:r>
          </w:p>
        </w:tc>
        <w:tc>
          <w:tcPr>
            <w:tcW w:w="2126" w:type="dxa"/>
            <w:tcBorders>
              <w:top w:val="single" w:sz="4" w:space="0" w:color="auto"/>
            </w:tcBorders>
            <w:shd w:val="clear" w:color="auto" w:fill="auto"/>
          </w:tcPr>
          <w:p w14:paraId="221FE981" w14:textId="77777777" w:rsidR="00C818DB" w:rsidRPr="00F25744" w:rsidRDefault="00E25AE7" w:rsidP="00D7530C">
            <w:pPr>
              <w:spacing w:after="0" w:line="360" w:lineRule="auto"/>
              <w:jc w:val="center"/>
              <w:rPr>
                <w:rFonts w:ascii="David" w:hAnsi="David" w:cs="David"/>
                <w:sz w:val="24"/>
                <w:szCs w:val="24"/>
                <w:rtl/>
              </w:rPr>
            </w:pPr>
            <w:r w:rsidRPr="00F25744">
              <w:rPr>
                <w:rFonts w:ascii="David" w:hAnsi="David" w:cs="David" w:hint="cs"/>
                <w:sz w:val="24"/>
                <w:szCs w:val="24"/>
                <w:rtl/>
              </w:rPr>
              <w:t>36</w:t>
            </w:r>
          </w:p>
        </w:tc>
        <w:tc>
          <w:tcPr>
            <w:tcW w:w="2665" w:type="dxa"/>
            <w:tcBorders>
              <w:top w:val="single" w:sz="4" w:space="0" w:color="auto"/>
            </w:tcBorders>
            <w:shd w:val="clear" w:color="auto" w:fill="auto"/>
          </w:tcPr>
          <w:p w14:paraId="3D4DBD86" w14:textId="77777777" w:rsidR="00C818DB" w:rsidRPr="00F25744" w:rsidRDefault="00E25AE7" w:rsidP="00D7530C">
            <w:pPr>
              <w:spacing w:after="0" w:line="360" w:lineRule="auto"/>
              <w:jc w:val="center"/>
              <w:rPr>
                <w:rFonts w:ascii="David" w:hAnsi="David" w:cs="David"/>
                <w:sz w:val="24"/>
                <w:szCs w:val="24"/>
                <w:rtl/>
              </w:rPr>
            </w:pPr>
            <w:r w:rsidRPr="00F25744">
              <w:rPr>
                <w:rFonts w:ascii="David" w:hAnsi="David" w:cs="David" w:hint="cs"/>
                <w:sz w:val="24"/>
                <w:szCs w:val="24"/>
                <w:rtl/>
              </w:rPr>
              <w:t>26.5</w:t>
            </w:r>
          </w:p>
        </w:tc>
      </w:tr>
      <w:tr w:rsidR="00E0162E" w:rsidRPr="00F25744" w14:paraId="00F7A6FB" w14:textId="77777777" w:rsidTr="00D7530C">
        <w:tc>
          <w:tcPr>
            <w:tcW w:w="2089" w:type="dxa"/>
            <w:shd w:val="clear" w:color="auto" w:fill="auto"/>
          </w:tcPr>
          <w:p w14:paraId="631D3990" w14:textId="77777777" w:rsidR="00C818DB" w:rsidRPr="00F25744" w:rsidRDefault="00E25AE7" w:rsidP="00D7530C">
            <w:pPr>
              <w:spacing w:after="0" w:line="360" w:lineRule="auto"/>
              <w:jc w:val="both"/>
              <w:rPr>
                <w:rFonts w:ascii="David" w:hAnsi="David" w:cs="David"/>
                <w:sz w:val="24"/>
                <w:szCs w:val="24"/>
                <w:rtl/>
              </w:rPr>
            </w:pPr>
            <w:r w:rsidRPr="00F25744">
              <w:rPr>
                <w:rFonts w:ascii="David" w:hAnsi="David" w:cs="David" w:hint="cs"/>
                <w:sz w:val="24"/>
                <w:szCs w:val="24"/>
                <w:rtl/>
              </w:rPr>
              <w:t>שלום</w:t>
            </w:r>
          </w:p>
        </w:tc>
        <w:tc>
          <w:tcPr>
            <w:tcW w:w="2693" w:type="dxa"/>
            <w:shd w:val="clear" w:color="auto" w:fill="auto"/>
          </w:tcPr>
          <w:p w14:paraId="73364218" w14:textId="77777777" w:rsidR="00C818DB" w:rsidRPr="00F25744" w:rsidRDefault="00E25AE7" w:rsidP="00D7530C">
            <w:pPr>
              <w:spacing w:after="0" w:line="360" w:lineRule="auto"/>
              <w:jc w:val="center"/>
              <w:rPr>
                <w:rFonts w:ascii="David" w:hAnsi="David" w:cs="David"/>
                <w:sz w:val="24"/>
                <w:szCs w:val="24"/>
                <w:rtl/>
              </w:rPr>
            </w:pPr>
            <w:r w:rsidRPr="00F25744">
              <w:rPr>
                <w:rFonts w:ascii="David" w:hAnsi="David" w:cs="David" w:hint="cs"/>
                <w:sz w:val="24"/>
                <w:szCs w:val="24"/>
                <w:rtl/>
              </w:rPr>
              <w:t>1</w:t>
            </w:r>
          </w:p>
        </w:tc>
        <w:tc>
          <w:tcPr>
            <w:tcW w:w="2126" w:type="dxa"/>
            <w:shd w:val="clear" w:color="auto" w:fill="auto"/>
          </w:tcPr>
          <w:p w14:paraId="03928B6F" w14:textId="77777777" w:rsidR="00C818DB" w:rsidRPr="00F25744" w:rsidRDefault="00E25AE7" w:rsidP="00D7530C">
            <w:pPr>
              <w:spacing w:after="0" w:line="360" w:lineRule="auto"/>
              <w:jc w:val="center"/>
              <w:rPr>
                <w:rFonts w:ascii="David" w:hAnsi="David" w:cs="David"/>
                <w:sz w:val="24"/>
                <w:szCs w:val="24"/>
                <w:rtl/>
              </w:rPr>
            </w:pPr>
            <w:r w:rsidRPr="00F25744">
              <w:rPr>
                <w:rFonts w:ascii="David" w:hAnsi="David" w:cs="David" w:hint="cs"/>
                <w:sz w:val="24"/>
                <w:szCs w:val="24"/>
                <w:rtl/>
              </w:rPr>
              <w:t>36</w:t>
            </w:r>
          </w:p>
        </w:tc>
        <w:tc>
          <w:tcPr>
            <w:tcW w:w="2665" w:type="dxa"/>
            <w:shd w:val="clear" w:color="auto" w:fill="auto"/>
          </w:tcPr>
          <w:p w14:paraId="27FBC66A" w14:textId="77777777" w:rsidR="00C818DB" w:rsidRPr="00F25744" w:rsidRDefault="00E25AE7" w:rsidP="00D7530C">
            <w:pPr>
              <w:spacing w:after="0" w:line="360" w:lineRule="auto"/>
              <w:jc w:val="center"/>
              <w:rPr>
                <w:rFonts w:ascii="David" w:hAnsi="David" w:cs="David"/>
                <w:sz w:val="24"/>
                <w:szCs w:val="24"/>
                <w:rtl/>
              </w:rPr>
            </w:pPr>
            <w:r w:rsidRPr="00F25744">
              <w:rPr>
                <w:rFonts w:ascii="David" w:hAnsi="David" w:cs="David" w:hint="cs"/>
                <w:sz w:val="24"/>
                <w:szCs w:val="24"/>
                <w:rtl/>
              </w:rPr>
              <w:t>25.6</w:t>
            </w:r>
          </w:p>
        </w:tc>
      </w:tr>
      <w:tr w:rsidR="00E0162E" w:rsidRPr="00F25744" w14:paraId="33578BE2" w14:textId="77777777" w:rsidTr="00D7530C">
        <w:tc>
          <w:tcPr>
            <w:tcW w:w="2089" w:type="dxa"/>
            <w:shd w:val="clear" w:color="auto" w:fill="auto"/>
          </w:tcPr>
          <w:p w14:paraId="37CD8FD3" w14:textId="77777777" w:rsidR="00C818DB" w:rsidRPr="00F25744" w:rsidRDefault="00E25AE7" w:rsidP="00D7530C">
            <w:pPr>
              <w:spacing w:after="0" w:line="360" w:lineRule="auto"/>
              <w:jc w:val="both"/>
              <w:rPr>
                <w:rFonts w:ascii="David" w:hAnsi="David" w:cs="David"/>
                <w:sz w:val="24"/>
                <w:szCs w:val="24"/>
                <w:rtl/>
              </w:rPr>
            </w:pPr>
            <w:r w:rsidRPr="00F25744">
              <w:rPr>
                <w:rFonts w:ascii="David" w:hAnsi="David" w:cs="David" w:hint="cs"/>
                <w:sz w:val="24"/>
                <w:szCs w:val="24"/>
                <w:rtl/>
              </w:rPr>
              <w:t>משפחה</w:t>
            </w:r>
          </w:p>
        </w:tc>
        <w:tc>
          <w:tcPr>
            <w:tcW w:w="2693" w:type="dxa"/>
            <w:shd w:val="clear" w:color="auto" w:fill="auto"/>
          </w:tcPr>
          <w:p w14:paraId="641364AC" w14:textId="77777777" w:rsidR="00C818DB" w:rsidRPr="00F25744" w:rsidRDefault="00E25AE7" w:rsidP="00D7530C">
            <w:pPr>
              <w:spacing w:after="0" w:line="360" w:lineRule="auto"/>
              <w:jc w:val="center"/>
              <w:rPr>
                <w:rFonts w:ascii="David" w:hAnsi="David" w:cs="David"/>
                <w:sz w:val="24"/>
                <w:szCs w:val="24"/>
                <w:rtl/>
              </w:rPr>
            </w:pPr>
            <w:r w:rsidRPr="00F25744">
              <w:rPr>
                <w:rFonts w:ascii="David" w:hAnsi="David" w:cs="David" w:hint="cs"/>
                <w:sz w:val="24"/>
                <w:szCs w:val="24"/>
                <w:rtl/>
              </w:rPr>
              <w:t>1</w:t>
            </w:r>
          </w:p>
        </w:tc>
        <w:tc>
          <w:tcPr>
            <w:tcW w:w="2126" w:type="dxa"/>
            <w:shd w:val="clear" w:color="auto" w:fill="auto"/>
          </w:tcPr>
          <w:p w14:paraId="570A09AD" w14:textId="77777777" w:rsidR="00C818DB" w:rsidRPr="00F25744" w:rsidRDefault="00E25AE7" w:rsidP="00D7530C">
            <w:pPr>
              <w:spacing w:after="0" w:line="360" w:lineRule="auto"/>
              <w:jc w:val="center"/>
              <w:rPr>
                <w:rFonts w:ascii="David" w:hAnsi="David" w:cs="David"/>
                <w:sz w:val="24"/>
                <w:szCs w:val="24"/>
                <w:rtl/>
              </w:rPr>
            </w:pPr>
            <w:r w:rsidRPr="00F25744">
              <w:rPr>
                <w:rFonts w:ascii="David" w:hAnsi="David" w:cs="David" w:hint="cs"/>
                <w:sz w:val="24"/>
                <w:szCs w:val="24"/>
                <w:rtl/>
              </w:rPr>
              <w:t>36</w:t>
            </w:r>
          </w:p>
        </w:tc>
        <w:tc>
          <w:tcPr>
            <w:tcW w:w="2665" w:type="dxa"/>
            <w:shd w:val="clear" w:color="auto" w:fill="auto"/>
          </w:tcPr>
          <w:p w14:paraId="372220F8" w14:textId="77777777" w:rsidR="00C818DB" w:rsidRPr="00F25744" w:rsidRDefault="00E25AE7" w:rsidP="00D7530C">
            <w:pPr>
              <w:spacing w:after="0" w:line="360" w:lineRule="auto"/>
              <w:jc w:val="center"/>
              <w:rPr>
                <w:rFonts w:ascii="David" w:hAnsi="David" w:cs="David"/>
                <w:sz w:val="24"/>
                <w:szCs w:val="24"/>
                <w:rtl/>
              </w:rPr>
            </w:pPr>
            <w:r w:rsidRPr="00F25744">
              <w:rPr>
                <w:rFonts w:ascii="David" w:hAnsi="David" w:cs="David" w:hint="cs"/>
                <w:sz w:val="24"/>
                <w:szCs w:val="24"/>
                <w:rtl/>
              </w:rPr>
              <w:t>25.1</w:t>
            </w:r>
          </w:p>
        </w:tc>
      </w:tr>
      <w:tr w:rsidR="00E0162E" w:rsidRPr="00F25744" w14:paraId="151A5874" w14:textId="77777777" w:rsidTr="00D7530C">
        <w:tc>
          <w:tcPr>
            <w:tcW w:w="2089" w:type="dxa"/>
            <w:shd w:val="clear" w:color="auto" w:fill="auto"/>
          </w:tcPr>
          <w:p w14:paraId="409E2303" w14:textId="77777777" w:rsidR="00C818DB" w:rsidRPr="00F25744" w:rsidRDefault="00E25AE7" w:rsidP="00D7530C">
            <w:pPr>
              <w:spacing w:after="0" w:line="360" w:lineRule="auto"/>
              <w:jc w:val="both"/>
              <w:rPr>
                <w:rFonts w:ascii="David" w:hAnsi="David" w:cs="David"/>
                <w:sz w:val="24"/>
                <w:szCs w:val="24"/>
                <w:rtl/>
              </w:rPr>
            </w:pPr>
            <w:r w:rsidRPr="00F25744">
              <w:rPr>
                <w:rFonts w:ascii="David" w:hAnsi="David" w:cs="David" w:hint="cs"/>
                <w:sz w:val="24"/>
                <w:szCs w:val="24"/>
                <w:rtl/>
              </w:rPr>
              <w:t>תעבורה</w:t>
            </w:r>
          </w:p>
        </w:tc>
        <w:tc>
          <w:tcPr>
            <w:tcW w:w="2693" w:type="dxa"/>
            <w:shd w:val="clear" w:color="auto" w:fill="auto"/>
          </w:tcPr>
          <w:p w14:paraId="0DB1EFA0" w14:textId="77777777" w:rsidR="00C818DB" w:rsidRPr="00F25744" w:rsidRDefault="00E25AE7" w:rsidP="00D7530C">
            <w:pPr>
              <w:spacing w:after="0" w:line="360" w:lineRule="auto"/>
              <w:jc w:val="center"/>
              <w:rPr>
                <w:rFonts w:ascii="David" w:hAnsi="David" w:cs="David"/>
                <w:sz w:val="24"/>
                <w:szCs w:val="24"/>
                <w:rtl/>
              </w:rPr>
            </w:pPr>
            <w:r w:rsidRPr="00F25744">
              <w:rPr>
                <w:rFonts w:ascii="David" w:hAnsi="David" w:cs="David" w:hint="cs"/>
                <w:sz w:val="24"/>
                <w:szCs w:val="24"/>
                <w:rtl/>
              </w:rPr>
              <w:t>5</w:t>
            </w:r>
          </w:p>
        </w:tc>
        <w:tc>
          <w:tcPr>
            <w:tcW w:w="2126" w:type="dxa"/>
            <w:shd w:val="clear" w:color="auto" w:fill="auto"/>
          </w:tcPr>
          <w:p w14:paraId="7E42962D" w14:textId="77777777" w:rsidR="00C818DB" w:rsidRPr="00F25744" w:rsidRDefault="00E25AE7" w:rsidP="00D7530C">
            <w:pPr>
              <w:spacing w:after="0" w:line="360" w:lineRule="auto"/>
              <w:jc w:val="center"/>
              <w:rPr>
                <w:rFonts w:ascii="David" w:hAnsi="David" w:cs="David"/>
                <w:sz w:val="24"/>
                <w:szCs w:val="24"/>
                <w:rtl/>
              </w:rPr>
            </w:pPr>
            <w:r w:rsidRPr="00F25744">
              <w:rPr>
                <w:rFonts w:ascii="David" w:hAnsi="David" w:cs="David" w:hint="cs"/>
                <w:sz w:val="24"/>
                <w:szCs w:val="24"/>
                <w:rtl/>
              </w:rPr>
              <w:t>34</w:t>
            </w:r>
          </w:p>
        </w:tc>
        <w:tc>
          <w:tcPr>
            <w:tcW w:w="2665" w:type="dxa"/>
            <w:shd w:val="clear" w:color="auto" w:fill="auto"/>
          </w:tcPr>
          <w:p w14:paraId="5B88405F" w14:textId="77777777" w:rsidR="00C818DB" w:rsidRPr="00F25744" w:rsidRDefault="00E25AE7" w:rsidP="00D7530C">
            <w:pPr>
              <w:spacing w:after="0" w:line="360" w:lineRule="auto"/>
              <w:jc w:val="center"/>
              <w:rPr>
                <w:rFonts w:ascii="David" w:hAnsi="David" w:cs="David"/>
                <w:sz w:val="24"/>
                <w:szCs w:val="24"/>
                <w:rtl/>
              </w:rPr>
            </w:pPr>
            <w:r w:rsidRPr="00F25744">
              <w:rPr>
                <w:rFonts w:ascii="David" w:hAnsi="David" w:cs="David" w:hint="cs"/>
                <w:sz w:val="24"/>
                <w:szCs w:val="24"/>
                <w:rtl/>
              </w:rPr>
              <w:t>24.8</w:t>
            </w:r>
          </w:p>
        </w:tc>
      </w:tr>
      <w:tr w:rsidR="00E0162E" w:rsidRPr="00F25744" w14:paraId="34834FB5" w14:textId="77777777" w:rsidTr="0057767F">
        <w:tc>
          <w:tcPr>
            <w:tcW w:w="2089" w:type="dxa"/>
            <w:tcBorders>
              <w:bottom w:val="single" w:sz="4" w:space="0" w:color="auto"/>
            </w:tcBorders>
            <w:shd w:val="clear" w:color="auto" w:fill="auto"/>
          </w:tcPr>
          <w:p w14:paraId="2EC008BF" w14:textId="77777777" w:rsidR="00C818DB" w:rsidRPr="00F25744" w:rsidRDefault="00E25AE7" w:rsidP="00D7530C">
            <w:pPr>
              <w:spacing w:after="0" w:line="360" w:lineRule="auto"/>
              <w:jc w:val="both"/>
              <w:rPr>
                <w:rFonts w:ascii="David" w:hAnsi="David" w:cs="David"/>
                <w:sz w:val="24"/>
                <w:szCs w:val="24"/>
                <w:rtl/>
              </w:rPr>
            </w:pPr>
            <w:r w:rsidRPr="00F25744">
              <w:rPr>
                <w:rFonts w:ascii="David" w:hAnsi="David" w:cs="David" w:hint="cs"/>
                <w:sz w:val="24"/>
                <w:szCs w:val="24"/>
                <w:rtl/>
              </w:rPr>
              <w:t>נוער</w:t>
            </w:r>
          </w:p>
        </w:tc>
        <w:tc>
          <w:tcPr>
            <w:tcW w:w="2693" w:type="dxa"/>
            <w:tcBorders>
              <w:bottom w:val="single" w:sz="4" w:space="0" w:color="auto"/>
            </w:tcBorders>
            <w:shd w:val="clear" w:color="auto" w:fill="auto"/>
          </w:tcPr>
          <w:p w14:paraId="181C607B" w14:textId="77777777" w:rsidR="00C818DB" w:rsidRPr="00F25744" w:rsidRDefault="00E25AE7" w:rsidP="00D7530C">
            <w:pPr>
              <w:spacing w:after="0" w:line="360" w:lineRule="auto"/>
              <w:jc w:val="center"/>
              <w:rPr>
                <w:rFonts w:ascii="David" w:hAnsi="David" w:cs="David"/>
                <w:sz w:val="24"/>
                <w:szCs w:val="24"/>
                <w:rtl/>
              </w:rPr>
            </w:pPr>
            <w:r w:rsidRPr="00F25744">
              <w:rPr>
                <w:rFonts w:ascii="David" w:hAnsi="David" w:cs="David" w:hint="cs"/>
                <w:sz w:val="24"/>
                <w:szCs w:val="24"/>
                <w:rtl/>
              </w:rPr>
              <w:t>1</w:t>
            </w:r>
          </w:p>
        </w:tc>
        <w:tc>
          <w:tcPr>
            <w:tcW w:w="2126" w:type="dxa"/>
            <w:tcBorders>
              <w:bottom w:val="single" w:sz="4" w:space="0" w:color="auto"/>
            </w:tcBorders>
            <w:shd w:val="clear" w:color="auto" w:fill="auto"/>
          </w:tcPr>
          <w:p w14:paraId="13AE010A" w14:textId="77777777" w:rsidR="00C818DB" w:rsidRPr="00F25744" w:rsidRDefault="00E25AE7" w:rsidP="00D7530C">
            <w:pPr>
              <w:spacing w:after="0" w:line="360" w:lineRule="auto"/>
              <w:jc w:val="center"/>
              <w:rPr>
                <w:rFonts w:ascii="David" w:hAnsi="David" w:cs="David"/>
                <w:sz w:val="24"/>
                <w:szCs w:val="24"/>
                <w:rtl/>
              </w:rPr>
            </w:pPr>
            <w:r w:rsidRPr="00F25744">
              <w:rPr>
                <w:rFonts w:ascii="David" w:hAnsi="David" w:cs="David" w:hint="cs"/>
                <w:sz w:val="24"/>
                <w:szCs w:val="24"/>
                <w:rtl/>
              </w:rPr>
              <w:t>34</w:t>
            </w:r>
          </w:p>
        </w:tc>
        <w:tc>
          <w:tcPr>
            <w:tcW w:w="2665" w:type="dxa"/>
            <w:tcBorders>
              <w:bottom w:val="single" w:sz="4" w:space="0" w:color="auto"/>
            </w:tcBorders>
            <w:shd w:val="clear" w:color="auto" w:fill="auto"/>
          </w:tcPr>
          <w:p w14:paraId="156A9282" w14:textId="77777777" w:rsidR="00C818DB" w:rsidRPr="00F25744" w:rsidRDefault="00E25AE7" w:rsidP="00D7530C">
            <w:pPr>
              <w:spacing w:after="0" w:line="360" w:lineRule="auto"/>
              <w:jc w:val="center"/>
              <w:rPr>
                <w:rFonts w:ascii="David" w:hAnsi="David" w:cs="David"/>
                <w:sz w:val="24"/>
                <w:szCs w:val="24"/>
                <w:rtl/>
              </w:rPr>
            </w:pPr>
            <w:r w:rsidRPr="00F25744">
              <w:rPr>
                <w:rFonts w:ascii="David" w:hAnsi="David" w:cs="David" w:hint="cs"/>
                <w:sz w:val="24"/>
                <w:szCs w:val="24"/>
                <w:rtl/>
              </w:rPr>
              <w:t>21.4</w:t>
            </w:r>
          </w:p>
        </w:tc>
      </w:tr>
      <w:tr w:rsidR="00E0162E" w:rsidRPr="00F25744" w14:paraId="6975F6EB" w14:textId="77777777" w:rsidTr="0057767F">
        <w:tc>
          <w:tcPr>
            <w:tcW w:w="2089" w:type="dxa"/>
            <w:tcBorders>
              <w:top w:val="single" w:sz="4" w:space="0" w:color="auto"/>
              <w:bottom w:val="single" w:sz="4" w:space="0" w:color="auto"/>
            </w:tcBorders>
            <w:shd w:val="clear" w:color="auto" w:fill="auto"/>
          </w:tcPr>
          <w:p w14:paraId="2C959B5C" w14:textId="77777777" w:rsidR="007A6C24" w:rsidRPr="00F25744" w:rsidRDefault="00E25AE7" w:rsidP="00D7530C">
            <w:pPr>
              <w:spacing w:after="0" w:line="360" w:lineRule="auto"/>
              <w:jc w:val="both"/>
              <w:rPr>
                <w:rFonts w:ascii="David" w:hAnsi="David" w:cs="David"/>
                <w:b/>
                <w:bCs/>
                <w:sz w:val="24"/>
                <w:szCs w:val="24"/>
                <w:rtl/>
              </w:rPr>
            </w:pPr>
            <w:r w:rsidRPr="00F25744">
              <w:rPr>
                <w:rFonts w:ascii="David" w:hAnsi="David" w:cs="David" w:hint="cs"/>
                <w:b/>
                <w:bCs/>
                <w:sz w:val="24"/>
                <w:szCs w:val="24"/>
                <w:rtl/>
              </w:rPr>
              <w:t>סה"כ</w:t>
            </w:r>
          </w:p>
        </w:tc>
        <w:tc>
          <w:tcPr>
            <w:tcW w:w="2693" w:type="dxa"/>
            <w:tcBorders>
              <w:top w:val="single" w:sz="4" w:space="0" w:color="auto"/>
              <w:bottom w:val="single" w:sz="4" w:space="0" w:color="auto"/>
            </w:tcBorders>
            <w:shd w:val="clear" w:color="auto" w:fill="auto"/>
          </w:tcPr>
          <w:p w14:paraId="0275F2A4" w14:textId="77777777" w:rsidR="007A6C24" w:rsidRPr="00F25744" w:rsidRDefault="00E25AE7" w:rsidP="00D7530C">
            <w:pPr>
              <w:spacing w:after="0" w:line="360" w:lineRule="auto"/>
              <w:jc w:val="center"/>
              <w:rPr>
                <w:rFonts w:ascii="David" w:hAnsi="David" w:cs="David"/>
                <w:b/>
                <w:bCs/>
                <w:sz w:val="24"/>
                <w:szCs w:val="24"/>
                <w:rtl/>
              </w:rPr>
            </w:pPr>
            <w:r w:rsidRPr="00F25744">
              <w:rPr>
                <w:rFonts w:ascii="David" w:hAnsi="David" w:cs="David" w:hint="cs"/>
                <w:b/>
                <w:bCs/>
                <w:sz w:val="24"/>
                <w:szCs w:val="24"/>
                <w:rtl/>
              </w:rPr>
              <w:t>1</w:t>
            </w:r>
          </w:p>
        </w:tc>
        <w:tc>
          <w:tcPr>
            <w:tcW w:w="2126" w:type="dxa"/>
            <w:tcBorders>
              <w:top w:val="single" w:sz="4" w:space="0" w:color="auto"/>
              <w:bottom w:val="single" w:sz="4" w:space="0" w:color="auto"/>
            </w:tcBorders>
            <w:shd w:val="clear" w:color="auto" w:fill="auto"/>
          </w:tcPr>
          <w:p w14:paraId="01EA255F" w14:textId="77777777" w:rsidR="007A6C24" w:rsidRPr="00F25744" w:rsidRDefault="00E25AE7" w:rsidP="00D7530C">
            <w:pPr>
              <w:spacing w:after="0" w:line="360" w:lineRule="auto"/>
              <w:jc w:val="center"/>
              <w:rPr>
                <w:rFonts w:ascii="David" w:hAnsi="David" w:cs="David"/>
                <w:b/>
                <w:bCs/>
                <w:sz w:val="24"/>
                <w:szCs w:val="24"/>
                <w:rtl/>
              </w:rPr>
            </w:pPr>
            <w:r w:rsidRPr="00F25744">
              <w:rPr>
                <w:rFonts w:ascii="David" w:hAnsi="David" w:cs="David" w:hint="cs"/>
                <w:b/>
                <w:bCs/>
                <w:sz w:val="24"/>
                <w:szCs w:val="24"/>
                <w:rtl/>
              </w:rPr>
              <w:t>36</w:t>
            </w:r>
          </w:p>
        </w:tc>
        <w:tc>
          <w:tcPr>
            <w:tcW w:w="2665" w:type="dxa"/>
            <w:tcBorders>
              <w:top w:val="single" w:sz="4" w:space="0" w:color="auto"/>
              <w:bottom w:val="single" w:sz="4" w:space="0" w:color="auto"/>
            </w:tcBorders>
            <w:shd w:val="clear" w:color="auto" w:fill="auto"/>
          </w:tcPr>
          <w:p w14:paraId="0EA84BF0" w14:textId="77777777" w:rsidR="007A6C24" w:rsidRPr="00F25744" w:rsidRDefault="00E25AE7" w:rsidP="00D7530C">
            <w:pPr>
              <w:spacing w:after="0" w:line="360" w:lineRule="auto"/>
              <w:jc w:val="center"/>
              <w:rPr>
                <w:rFonts w:ascii="David" w:hAnsi="David" w:cs="David"/>
                <w:b/>
                <w:bCs/>
                <w:sz w:val="24"/>
                <w:szCs w:val="24"/>
                <w:rtl/>
              </w:rPr>
            </w:pPr>
            <w:r w:rsidRPr="00F25744">
              <w:rPr>
                <w:rFonts w:ascii="David" w:hAnsi="David" w:cs="David" w:hint="cs"/>
                <w:b/>
                <w:bCs/>
                <w:sz w:val="24"/>
                <w:szCs w:val="24"/>
                <w:rtl/>
              </w:rPr>
              <w:t>25.7</w:t>
            </w:r>
          </w:p>
        </w:tc>
      </w:tr>
    </w:tbl>
    <w:p w14:paraId="108C835B" w14:textId="705B2667" w:rsidR="00C818DB" w:rsidRDefault="00E25AE7" w:rsidP="0043740C">
      <w:pPr>
        <w:spacing w:after="0" w:line="360" w:lineRule="auto"/>
        <w:ind w:left="-1"/>
        <w:jc w:val="both"/>
        <w:rPr>
          <w:rFonts w:cs="David"/>
          <w:sz w:val="24"/>
          <w:szCs w:val="24"/>
          <w:rtl/>
        </w:rPr>
      </w:pPr>
      <w:r w:rsidRPr="00F25744">
        <w:rPr>
          <w:rFonts w:cs="David" w:hint="cs"/>
          <w:sz w:val="24"/>
          <w:szCs w:val="24"/>
          <w:rtl/>
        </w:rPr>
        <w:t xml:space="preserve">לבסוף, שיעור השתתפות מרשים זה הניב </w:t>
      </w:r>
      <w:r w:rsidRPr="00F25744">
        <w:rPr>
          <w:rFonts w:cs="David" w:hint="cs"/>
          <w:b/>
          <w:bCs/>
          <w:sz w:val="24"/>
          <w:szCs w:val="24"/>
          <w:rtl/>
        </w:rPr>
        <w:t xml:space="preserve">15,749 </w:t>
      </w:r>
      <w:r w:rsidRPr="00F25744">
        <w:rPr>
          <w:rFonts w:cs="David" w:hint="cs"/>
          <w:sz w:val="24"/>
          <w:szCs w:val="24"/>
          <w:rtl/>
        </w:rPr>
        <w:t>יומני שיפוט, אשר אפשרו לנו לחשב את הזמן השיפוטי הדרוש לשופטים ולרשמים לטפל ב-</w:t>
      </w:r>
      <w:r w:rsidR="0043740C" w:rsidRPr="00F25744">
        <w:rPr>
          <w:rFonts w:cs="David" w:hint="cs"/>
          <w:sz w:val="24"/>
          <w:szCs w:val="24"/>
          <w:rtl/>
        </w:rPr>
        <w:t>125</w:t>
      </w:r>
      <w:r w:rsidR="0050708B" w:rsidRPr="00F25744">
        <w:rPr>
          <w:rFonts w:cs="David" w:hint="cs"/>
          <w:sz w:val="24"/>
          <w:szCs w:val="24"/>
          <w:rtl/>
        </w:rPr>
        <w:t xml:space="preserve"> </w:t>
      </w:r>
      <w:r w:rsidRPr="00F25744">
        <w:rPr>
          <w:rFonts w:cs="David" w:hint="cs"/>
          <w:sz w:val="24"/>
          <w:szCs w:val="24"/>
          <w:rtl/>
        </w:rPr>
        <w:t>סוגי תיקים שונים במערכת</w:t>
      </w:r>
      <w:r w:rsidR="0043740C" w:rsidRPr="00F25744">
        <w:rPr>
          <w:rFonts w:cs="David" w:hint="cs"/>
          <w:sz w:val="24"/>
          <w:szCs w:val="24"/>
          <w:rtl/>
        </w:rPr>
        <w:t>, ועוד 24 סוגי עניין ייחודיים</w:t>
      </w:r>
      <w:r w:rsidRPr="00F25744">
        <w:rPr>
          <w:rFonts w:cs="David" w:hint="cs"/>
          <w:sz w:val="24"/>
          <w:szCs w:val="24"/>
          <w:rtl/>
        </w:rPr>
        <w:t>.</w:t>
      </w:r>
    </w:p>
    <w:p w14:paraId="73DD3214" w14:textId="77777777" w:rsidR="003215CF" w:rsidRPr="00F25744" w:rsidRDefault="003215CF" w:rsidP="00A54D82">
      <w:pPr>
        <w:spacing w:after="0" w:line="240" w:lineRule="auto"/>
        <w:ind w:left="-1"/>
        <w:jc w:val="both"/>
        <w:rPr>
          <w:rFonts w:cs="David"/>
          <w:sz w:val="24"/>
          <w:szCs w:val="24"/>
          <w:rtl/>
        </w:rPr>
      </w:pPr>
    </w:p>
    <w:p w14:paraId="7997F985" w14:textId="77777777" w:rsidR="004F7719" w:rsidRPr="00F25744" w:rsidRDefault="00E25AE7" w:rsidP="00A54D82">
      <w:pPr>
        <w:pStyle w:val="3"/>
        <w:ind w:left="852"/>
        <w:rPr>
          <w:rtl/>
        </w:rPr>
      </w:pPr>
      <w:bookmarkStart w:id="155" w:name="_Toc49352740"/>
      <w:bookmarkStart w:id="156" w:name="_Toc49429645"/>
      <w:bookmarkStart w:id="157" w:name="_Toc49435874"/>
      <w:bookmarkStart w:id="158" w:name="_Toc74750958"/>
      <w:r w:rsidRPr="00F25744">
        <w:rPr>
          <w:rFonts w:hint="cs"/>
          <w:rtl/>
        </w:rPr>
        <w:t>שאלון רקע</w:t>
      </w:r>
      <w:bookmarkEnd w:id="145"/>
      <w:bookmarkEnd w:id="146"/>
      <w:bookmarkEnd w:id="147"/>
      <w:bookmarkEnd w:id="148"/>
      <w:bookmarkEnd w:id="149"/>
      <w:bookmarkEnd w:id="150"/>
      <w:bookmarkEnd w:id="155"/>
      <w:bookmarkEnd w:id="156"/>
      <w:bookmarkEnd w:id="157"/>
      <w:bookmarkEnd w:id="158"/>
    </w:p>
    <w:p w14:paraId="564C5DC0" w14:textId="77777777" w:rsidR="006227EC" w:rsidRPr="00F25744" w:rsidRDefault="00E25AE7" w:rsidP="00A12C41">
      <w:pPr>
        <w:spacing w:after="0" w:line="360" w:lineRule="auto"/>
        <w:jc w:val="both"/>
        <w:rPr>
          <w:rFonts w:cs="David"/>
          <w:sz w:val="24"/>
          <w:szCs w:val="24"/>
          <w:rtl/>
        </w:rPr>
      </w:pPr>
      <w:r w:rsidRPr="00F25744">
        <w:rPr>
          <w:rFonts w:cs="David" w:hint="cs"/>
          <w:sz w:val="24"/>
          <w:szCs w:val="24"/>
          <w:rtl/>
        </w:rPr>
        <w:t>במטרה</w:t>
      </w:r>
      <w:r w:rsidR="007F3A52" w:rsidRPr="00F25744">
        <w:rPr>
          <w:rFonts w:cs="David" w:hint="cs"/>
          <w:sz w:val="24"/>
          <w:szCs w:val="24"/>
          <w:rtl/>
        </w:rPr>
        <w:t xml:space="preserve"> לבחון השפעות שונות על יום העבודה השיפוטי, כגון האם זמני </w:t>
      </w:r>
      <w:r w:rsidR="005A5823" w:rsidRPr="00F25744">
        <w:rPr>
          <w:rFonts w:cs="David" w:hint="cs"/>
          <w:sz w:val="24"/>
          <w:szCs w:val="24"/>
          <w:rtl/>
        </w:rPr>
        <w:t>ה</w:t>
      </w:r>
      <w:r w:rsidR="007F3A52" w:rsidRPr="00F25744">
        <w:rPr>
          <w:rFonts w:cs="David" w:hint="cs"/>
          <w:sz w:val="24"/>
          <w:szCs w:val="24"/>
          <w:rtl/>
        </w:rPr>
        <w:t xml:space="preserve">פעולות השיפוטיות השונות משתנים כאשר יש לשופט עוזר משפטי או מתמחה, או כאשר מדובר בשופט בעל תפקיד נוסף </w:t>
      </w:r>
      <w:r w:rsidR="00A12C41" w:rsidRPr="00F25744">
        <w:rPr>
          <w:rFonts w:cs="David" w:hint="cs"/>
          <w:sz w:val="24"/>
          <w:szCs w:val="24"/>
          <w:rtl/>
        </w:rPr>
        <w:t>(</w:t>
      </w:r>
      <w:r w:rsidR="007F3A52" w:rsidRPr="00F25744">
        <w:rPr>
          <w:rFonts w:cs="David" w:hint="cs"/>
          <w:sz w:val="24"/>
          <w:szCs w:val="24"/>
          <w:rtl/>
        </w:rPr>
        <w:t>כמו נשיא או סגן נשיא, אשר מטבע הדברים עוסקים יותר בעבודה ניהולית</w:t>
      </w:r>
      <w:r w:rsidR="00A12C41" w:rsidRPr="00F25744">
        <w:rPr>
          <w:rFonts w:cs="David" w:hint="cs"/>
          <w:sz w:val="24"/>
          <w:szCs w:val="24"/>
          <w:rtl/>
        </w:rPr>
        <w:t>),</w:t>
      </w:r>
      <w:r w:rsidR="007F3A52" w:rsidRPr="00F25744">
        <w:rPr>
          <w:rFonts w:cs="David" w:hint="cs"/>
          <w:sz w:val="24"/>
          <w:szCs w:val="24"/>
          <w:rtl/>
        </w:rPr>
        <w:t xml:space="preserve"> וכן לסייע באפיון ימי הכתיבה, נבנה שאלון עם שאלות רקע, אשר הועבר לשופטים ולרשמים לפני תחילת המחקר. שאלון הרקע כלל את השאלות הבאות:</w:t>
      </w:r>
    </w:p>
    <w:p w14:paraId="4AB56119" w14:textId="77777777" w:rsidR="006227EC" w:rsidRPr="00F25744" w:rsidRDefault="00E25AE7" w:rsidP="000A1BB7">
      <w:pPr>
        <w:numPr>
          <w:ilvl w:val="1"/>
          <w:numId w:val="16"/>
        </w:numPr>
        <w:spacing w:after="0" w:line="240" w:lineRule="auto"/>
        <w:rPr>
          <w:rFonts w:ascii="David" w:hAnsi="David" w:cs="David"/>
          <w:b/>
          <w:bCs/>
          <w:sz w:val="24"/>
          <w:szCs w:val="24"/>
        </w:rPr>
      </w:pPr>
      <w:r w:rsidRPr="00F25744">
        <w:rPr>
          <w:rFonts w:ascii="David" w:hAnsi="David" w:cs="David"/>
          <w:b/>
          <w:bCs/>
          <w:sz w:val="24"/>
          <w:szCs w:val="24"/>
          <w:rtl/>
        </w:rPr>
        <w:t>תפקיד – שופט/רשם</w:t>
      </w:r>
    </w:p>
    <w:p w14:paraId="2B5AC776" w14:textId="77777777" w:rsidR="006227EC" w:rsidRPr="00F25744" w:rsidRDefault="00E25AE7" w:rsidP="000A1BB7">
      <w:pPr>
        <w:numPr>
          <w:ilvl w:val="1"/>
          <w:numId w:val="16"/>
        </w:numPr>
        <w:spacing w:after="0" w:line="240" w:lineRule="auto"/>
        <w:rPr>
          <w:rFonts w:ascii="David" w:hAnsi="David" w:cs="David"/>
          <w:b/>
          <w:bCs/>
          <w:sz w:val="24"/>
          <w:szCs w:val="24"/>
        </w:rPr>
      </w:pPr>
      <w:r w:rsidRPr="00F25744">
        <w:rPr>
          <w:rFonts w:ascii="David" w:hAnsi="David" w:cs="David" w:hint="cs"/>
          <w:b/>
          <w:bCs/>
          <w:sz w:val="24"/>
          <w:szCs w:val="24"/>
          <w:rtl/>
        </w:rPr>
        <w:t xml:space="preserve">מחוז שיפוט </w:t>
      </w:r>
      <w:r w:rsidRPr="00F25744">
        <w:rPr>
          <w:rFonts w:ascii="David" w:hAnsi="David" w:cs="David"/>
          <w:b/>
          <w:bCs/>
          <w:sz w:val="24"/>
          <w:szCs w:val="24"/>
          <w:rtl/>
        </w:rPr>
        <w:t>–</w:t>
      </w:r>
      <w:r w:rsidRPr="00F25744">
        <w:rPr>
          <w:rFonts w:ascii="David" w:hAnsi="David" w:cs="David" w:hint="cs"/>
          <w:b/>
          <w:bCs/>
          <w:sz w:val="24"/>
          <w:szCs w:val="24"/>
          <w:rtl/>
        </w:rPr>
        <w:t xml:space="preserve">  צפון/חיפה/מרכז/ירושלים/תל אביב/דרום </w:t>
      </w:r>
    </w:p>
    <w:p w14:paraId="54A2C95D" w14:textId="77777777" w:rsidR="006227EC" w:rsidRPr="00F25744" w:rsidRDefault="00E25AE7" w:rsidP="000A1BB7">
      <w:pPr>
        <w:numPr>
          <w:ilvl w:val="1"/>
          <w:numId w:val="16"/>
        </w:numPr>
        <w:spacing w:after="0" w:line="240" w:lineRule="auto"/>
        <w:rPr>
          <w:rFonts w:ascii="David" w:hAnsi="David" w:cs="David"/>
          <w:b/>
          <w:bCs/>
          <w:sz w:val="24"/>
          <w:szCs w:val="24"/>
          <w:rtl/>
        </w:rPr>
      </w:pPr>
      <w:r w:rsidRPr="00F25744">
        <w:rPr>
          <w:rFonts w:ascii="David" w:hAnsi="David" w:cs="David" w:hint="cs"/>
          <w:b/>
          <w:bCs/>
          <w:sz w:val="24"/>
          <w:szCs w:val="24"/>
          <w:rtl/>
        </w:rPr>
        <w:t>האם רוב התיקים שאתה עוסק בהם באופן רגיל הם: אזרחיים/פליליים</w:t>
      </w:r>
      <w:r w:rsidR="00DF4DA9" w:rsidRPr="00F25744">
        <w:rPr>
          <w:rFonts w:ascii="David" w:hAnsi="David" w:cs="David" w:hint="cs"/>
          <w:b/>
          <w:bCs/>
          <w:sz w:val="24"/>
          <w:szCs w:val="24"/>
          <w:rtl/>
        </w:rPr>
        <w:t>/גם וגם</w:t>
      </w:r>
    </w:p>
    <w:p w14:paraId="0413EA47" w14:textId="77777777" w:rsidR="006227EC" w:rsidRPr="00F25744" w:rsidRDefault="00E25AE7" w:rsidP="000A1BB7">
      <w:pPr>
        <w:numPr>
          <w:ilvl w:val="1"/>
          <w:numId w:val="16"/>
        </w:numPr>
        <w:spacing w:after="0" w:line="240" w:lineRule="auto"/>
        <w:rPr>
          <w:rFonts w:ascii="David" w:hAnsi="David" w:cs="David"/>
          <w:b/>
          <w:bCs/>
          <w:sz w:val="24"/>
          <w:szCs w:val="24"/>
          <w:rtl/>
        </w:rPr>
      </w:pPr>
      <w:r w:rsidRPr="00F25744">
        <w:rPr>
          <w:rFonts w:ascii="David" w:hAnsi="David" w:cs="David" w:hint="cs"/>
          <w:b/>
          <w:bCs/>
          <w:sz w:val="24"/>
          <w:szCs w:val="24"/>
          <w:rtl/>
        </w:rPr>
        <w:t xml:space="preserve">האם יש לך </w:t>
      </w:r>
      <w:r w:rsidRPr="00F25744">
        <w:rPr>
          <w:rFonts w:ascii="David" w:hAnsi="David" w:cs="David"/>
          <w:b/>
          <w:bCs/>
          <w:sz w:val="24"/>
          <w:szCs w:val="24"/>
          <w:rtl/>
        </w:rPr>
        <w:t>עוזר</w:t>
      </w:r>
      <w:r w:rsidRPr="00F25744">
        <w:rPr>
          <w:rFonts w:ascii="David" w:hAnsi="David" w:cs="David" w:hint="cs"/>
          <w:b/>
          <w:bCs/>
          <w:sz w:val="24"/>
          <w:szCs w:val="24"/>
          <w:rtl/>
        </w:rPr>
        <w:t>/ת</w:t>
      </w:r>
      <w:r w:rsidRPr="00F25744">
        <w:rPr>
          <w:rFonts w:ascii="David" w:hAnsi="David" w:cs="David"/>
          <w:b/>
          <w:bCs/>
          <w:sz w:val="24"/>
          <w:szCs w:val="24"/>
          <w:rtl/>
        </w:rPr>
        <w:t xml:space="preserve"> משפטי</w:t>
      </w:r>
      <w:r w:rsidRPr="00F25744">
        <w:rPr>
          <w:rFonts w:ascii="David" w:hAnsi="David" w:cs="David" w:hint="cs"/>
          <w:b/>
          <w:bCs/>
          <w:sz w:val="24"/>
          <w:szCs w:val="24"/>
          <w:rtl/>
        </w:rPr>
        <w:t>/ת?</w:t>
      </w:r>
      <w:r w:rsidRPr="00F25744">
        <w:rPr>
          <w:rFonts w:ascii="David" w:hAnsi="David" w:cs="David"/>
          <w:b/>
          <w:bCs/>
          <w:sz w:val="24"/>
          <w:szCs w:val="24"/>
          <w:rtl/>
        </w:rPr>
        <w:t xml:space="preserve"> כן/לא</w:t>
      </w:r>
    </w:p>
    <w:p w14:paraId="0B0F5214" w14:textId="77777777" w:rsidR="006227EC" w:rsidRPr="00F25744" w:rsidRDefault="00E25AE7" w:rsidP="000A1BB7">
      <w:pPr>
        <w:numPr>
          <w:ilvl w:val="1"/>
          <w:numId w:val="16"/>
        </w:numPr>
        <w:spacing w:after="0" w:line="240" w:lineRule="auto"/>
        <w:rPr>
          <w:rFonts w:ascii="David" w:hAnsi="David" w:cs="David"/>
          <w:b/>
          <w:bCs/>
          <w:sz w:val="24"/>
          <w:szCs w:val="24"/>
          <w:rtl/>
        </w:rPr>
      </w:pPr>
      <w:r w:rsidRPr="00F25744">
        <w:rPr>
          <w:rFonts w:ascii="David" w:hAnsi="David" w:cs="David"/>
          <w:b/>
          <w:bCs/>
          <w:sz w:val="24"/>
          <w:szCs w:val="24"/>
          <w:rtl/>
        </w:rPr>
        <w:t>האם העוזר</w:t>
      </w:r>
      <w:r w:rsidRPr="00F25744">
        <w:rPr>
          <w:rFonts w:ascii="David" w:hAnsi="David" w:cs="David" w:hint="cs"/>
          <w:b/>
          <w:bCs/>
          <w:sz w:val="24"/>
          <w:szCs w:val="24"/>
          <w:rtl/>
        </w:rPr>
        <w:t>/ת</w:t>
      </w:r>
      <w:r w:rsidRPr="00F25744">
        <w:rPr>
          <w:rFonts w:ascii="David" w:hAnsi="David" w:cs="David"/>
          <w:b/>
          <w:bCs/>
          <w:sz w:val="24"/>
          <w:szCs w:val="24"/>
          <w:rtl/>
        </w:rPr>
        <w:t xml:space="preserve"> המשפטי</w:t>
      </w:r>
      <w:r w:rsidRPr="00F25744">
        <w:rPr>
          <w:rFonts w:ascii="David" w:hAnsi="David" w:cs="David" w:hint="cs"/>
          <w:b/>
          <w:bCs/>
          <w:sz w:val="24"/>
          <w:szCs w:val="24"/>
          <w:rtl/>
        </w:rPr>
        <w:t>/ת</w:t>
      </w:r>
      <w:r w:rsidRPr="00F25744">
        <w:rPr>
          <w:rFonts w:ascii="David" w:hAnsi="David" w:cs="David"/>
          <w:b/>
          <w:bCs/>
          <w:sz w:val="24"/>
          <w:szCs w:val="24"/>
          <w:rtl/>
        </w:rPr>
        <w:t xml:space="preserve"> </w:t>
      </w:r>
      <w:r w:rsidRPr="00F25744">
        <w:rPr>
          <w:rFonts w:ascii="David" w:hAnsi="David" w:cs="David" w:hint="cs"/>
          <w:b/>
          <w:bCs/>
          <w:sz w:val="24"/>
          <w:szCs w:val="24"/>
          <w:rtl/>
        </w:rPr>
        <w:t>כותב/ת</w:t>
      </w:r>
      <w:r w:rsidRPr="00F25744">
        <w:rPr>
          <w:rFonts w:ascii="David" w:hAnsi="David" w:cs="David"/>
          <w:b/>
          <w:bCs/>
          <w:sz w:val="24"/>
          <w:szCs w:val="24"/>
          <w:rtl/>
        </w:rPr>
        <w:t xml:space="preserve"> טיוטות של החלטות/פסקי דין מהותיים</w:t>
      </w:r>
      <w:r w:rsidRPr="00F25744">
        <w:rPr>
          <w:rFonts w:ascii="David" w:hAnsi="David" w:cs="David" w:hint="cs"/>
          <w:b/>
          <w:bCs/>
          <w:sz w:val="24"/>
          <w:szCs w:val="24"/>
          <w:rtl/>
        </w:rPr>
        <w:t>?</w:t>
      </w:r>
      <w:r w:rsidRPr="00F25744">
        <w:rPr>
          <w:rFonts w:ascii="David" w:hAnsi="David" w:cs="David"/>
          <w:b/>
          <w:bCs/>
          <w:sz w:val="24"/>
          <w:szCs w:val="24"/>
          <w:rtl/>
        </w:rPr>
        <w:t xml:space="preserve"> כן/לא</w:t>
      </w:r>
    </w:p>
    <w:p w14:paraId="65CC8A27" w14:textId="77777777" w:rsidR="006227EC" w:rsidRPr="00F25744" w:rsidRDefault="00E25AE7" w:rsidP="000A1BB7">
      <w:pPr>
        <w:numPr>
          <w:ilvl w:val="1"/>
          <w:numId w:val="16"/>
        </w:numPr>
        <w:spacing w:after="0" w:line="240" w:lineRule="auto"/>
        <w:rPr>
          <w:rFonts w:ascii="David" w:hAnsi="David" w:cs="David"/>
          <w:b/>
          <w:bCs/>
          <w:sz w:val="24"/>
          <w:szCs w:val="24"/>
          <w:rtl/>
        </w:rPr>
      </w:pPr>
      <w:r w:rsidRPr="00F25744">
        <w:rPr>
          <w:rFonts w:ascii="David" w:hAnsi="David" w:cs="David" w:hint="cs"/>
          <w:b/>
          <w:bCs/>
          <w:sz w:val="24"/>
          <w:szCs w:val="24"/>
          <w:rtl/>
        </w:rPr>
        <w:t xml:space="preserve">האם יש לך </w:t>
      </w:r>
      <w:r w:rsidRPr="00F25744">
        <w:rPr>
          <w:rFonts w:ascii="David" w:hAnsi="David" w:cs="David"/>
          <w:b/>
          <w:bCs/>
          <w:sz w:val="24"/>
          <w:szCs w:val="24"/>
          <w:rtl/>
        </w:rPr>
        <w:t>סטודנט/מתמחה</w:t>
      </w:r>
      <w:r w:rsidRPr="00F25744">
        <w:rPr>
          <w:rFonts w:ascii="David" w:hAnsi="David" w:cs="David" w:hint="cs"/>
          <w:b/>
          <w:bCs/>
          <w:sz w:val="24"/>
          <w:szCs w:val="24"/>
          <w:rtl/>
        </w:rPr>
        <w:t>?</w:t>
      </w:r>
      <w:r w:rsidRPr="00F25744">
        <w:rPr>
          <w:rFonts w:ascii="David" w:hAnsi="David" w:cs="David"/>
          <w:b/>
          <w:bCs/>
          <w:sz w:val="24"/>
          <w:szCs w:val="24"/>
          <w:rtl/>
        </w:rPr>
        <w:t xml:space="preserve"> כן/לא (</w:t>
      </w:r>
      <w:r w:rsidRPr="00F25744">
        <w:rPr>
          <w:rFonts w:ascii="David" w:hAnsi="David" w:cs="David" w:hint="cs"/>
          <w:b/>
          <w:bCs/>
          <w:sz w:val="24"/>
          <w:szCs w:val="24"/>
          <w:rtl/>
        </w:rPr>
        <w:t>בין אם ב</w:t>
      </w:r>
      <w:r w:rsidRPr="00F25744">
        <w:rPr>
          <w:rFonts w:ascii="David" w:hAnsi="David" w:cs="David"/>
          <w:b/>
          <w:bCs/>
          <w:sz w:val="24"/>
          <w:szCs w:val="24"/>
          <w:rtl/>
        </w:rPr>
        <w:t>תשלום או באמצעות קליניקה)</w:t>
      </w:r>
    </w:p>
    <w:p w14:paraId="72DCDF8B" w14:textId="77777777" w:rsidR="006227EC" w:rsidRPr="00F25744" w:rsidRDefault="00E25AE7" w:rsidP="000A1BB7">
      <w:pPr>
        <w:numPr>
          <w:ilvl w:val="1"/>
          <w:numId w:val="16"/>
        </w:numPr>
        <w:spacing w:after="0" w:line="240" w:lineRule="auto"/>
        <w:rPr>
          <w:rFonts w:ascii="David" w:hAnsi="David" w:cs="David"/>
          <w:b/>
          <w:bCs/>
          <w:sz w:val="24"/>
          <w:szCs w:val="24"/>
        </w:rPr>
      </w:pPr>
      <w:r w:rsidRPr="00F25744">
        <w:rPr>
          <w:rFonts w:ascii="David" w:hAnsi="David" w:cs="David"/>
          <w:b/>
          <w:bCs/>
          <w:sz w:val="24"/>
          <w:szCs w:val="24"/>
          <w:rtl/>
        </w:rPr>
        <w:t>האם יש לך יום כתיבה? כן/לא</w:t>
      </w:r>
    </w:p>
    <w:p w14:paraId="1E78CE7C" w14:textId="77777777" w:rsidR="006227EC" w:rsidRPr="00F25744" w:rsidRDefault="00E25AE7" w:rsidP="000A1BB7">
      <w:pPr>
        <w:numPr>
          <w:ilvl w:val="1"/>
          <w:numId w:val="16"/>
        </w:numPr>
        <w:spacing w:after="0" w:line="240" w:lineRule="auto"/>
        <w:rPr>
          <w:rFonts w:ascii="David" w:hAnsi="David" w:cs="David"/>
          <w:b/>
          <w:bCs/>
          <w:sz w:val="24"/>
          <w:szCs w:val="24"/>
        </w:rPr>
      </w:pPr>
      <w:r w:rsidRPr="00F25744">
        <w:rPr>
          <w:rFonts w:ascii="David" w:hAnsi="David" w:cs="David"/>
          <w:b/>
          <w:bCs/>
          <w:sz w:val="24"/>
          <w:szCs w:val="24"/>
          <w:rtl/>
        </w:rPr>
        <w:t>מהו יום הכתיבה שלך? __________</w:t>
      </w:r>
    </w:p>
    <w:p w14:paraId="1B962F9C" w14:textId="77777777" w:rsidR="006227EC" w:rsidRPr="00F25744" w:rsidRDefault="00E25AE7" w:rsidP="000A1BB7">
      <w:pPr>
        <w:numPr>
          <w:ilvl w:val="1"/>
          <w:numId w:val="16"/>
        </w:numPr>
        <w:spacing w:after="0"/>
        <w:jc w:val="both"/>
        <w:rPr>
          <w:rFonts w:ascii="David" w:hAnsi="David" w:cs="David"/>
          <w:sz w:val="24"/>
          <w:szCs w:val="24"/>
        </w:rPr>
      </w:pPr>
      <w:r w:rsidRPr="00F25744">
        <w:rPr>
          <w:rFonts w:ascii="David" w:hAnsi="David" w:cs="David" w:hint="cs"/>
          <w:b/>
          <w:bCs/>
          <w:sz w:val="24"/>
          <w:szCs w:val="24"/>
          <w:rtl/>
        </w:rPr>
        <w:t xml:space="preserve"> </w:t>
      </w:r>
      <w:r w:rsidRPr="00F25744">
        <w:rPr>
          <w:rFonts w:ascii="David" w:hAnsi="David" w:cs="David"/>
          <w:b/>
          <w:bCs/>
          <w:sz w:val="24"/>
          <w:szCs w:val="24"/>
          <w:rtl/>
        </w:rPr>
        <w:t xml:space="preserve">האם יש לך תפקיד נוסף? </w:t>
      </w:r>
      <w:r w:rsidRPr="00F25744">
        <w:rPr>
          <w:rFonts w:ascii="David" w:hAnsi="David" w:cs="David" w:hint="cs"/>
          <w:b/>
          <w:bCs/>
          <w:sz w:val="24"/>
          <w:szCs w:val="24"/>
          <w:rtl/>
        </w:rPr>
        <w:t xml:space="preserve">כן/לא </w:t>
      </w:r>
      <w:r w:rsidRPr="00F25744">
        <w:rPr>
          <w:rFonts w:ascii="David" w:hAnsi="David" w:cs="David" w:hint="cs"/>
          <w:sz w:val="24"/>
          <w:szCs w:val="24"/>
          <w:rtl/>
        </w:rPr>
        <w:t>[</w:t>
      </w:r>
      <w:r w:rsidRPr="00F25744">
        <w:rPr>
          <w:rFonts w:ascii="David" w:hAnsi="David" w:cs="David"/>
          <w:sz w:val="24"/>
          <w:szCs w:val="24"/>
          <w:rtl/>
        </w:rPr>
        <w:t>תפקיד ניהולי (סגן נשיא/נשיא)</w:t>
      </w:r>
      <w:r w:rsidRPr="00F25744">
        <w:rPr>
          <w:rFonts w:ascii="David" w:hAnsi="David" w:cs="David" w:hint="cs"/>
          <w:sz w:val="24"/>
          <w:szCs w:val="24"/>
          <w:rtl/>
        </w:rPr>
        <w:t xml:space="preserve">, </w:t>
      </w:r>
      <w:r w:rsidRPr="00F25744">
        <w:rPr>
          <w:rFonts w:ascii="David" w:hAnsi="David" w:cs="David"/>
          <w:sz w:val="24"/>
          <w:szCs w:val="24"/>
          <w:rtl/>
        </w:rPr>
        <w:t>ממונה על עוזרים משפטיים</w:t>
      </w:r>
      <w:r w:rsidRPr="00F25744">
        <w:rPr>
          <w:rFonts w:ascii="David" w:hAnsi="David" w:cs="David" w:hint="cs"/>
          <w:sz w:val="24"/>
          <w:szCs w:val="24"/>
          <w:rtl/>
        </w:rPr>
        <w:t>,</w:t>
      </w:r>
      <w:r w:rsidRPr="00F25744">
        <w:rPr>
          <w:rFonts w:ascii="David" w:hAnsi="David" w:cs="David" w:hint="cs"/>
          <w:b/>
          <w:bCs/>
          <w:sz w:val="24"/>
          <w:szCs w:val="24"/>
          <w:rtl/>
        </w:rPr>
        <w:t xml:space="preserve"> </w:t>
      </w:r>
      <w:r w:rsidRPr="00F25744">
        <w:rPr>
          <w:rFonts w:ascii="David" w:hAnsi="David" w:cs="David" w:hint="cs"/>
          <w:sz w:val="24"/>
          <w:szCs w:val="24"/>
          <w:rtl/>
        </w:rPr>
        <w:t xml:space="preserve">ממונה על ועדה מקצועית (ועדת היגוי וכיו"ב), </w:t>
      </w:r>
      <w:r w:rsidRPr="00F25744">
        <w:rPr>
          <w:rFonts w:ascii="David" w:hAnsi="David" w:cs="David"/>
          <w:sz w:val="24"/>
          <w:szCs w:val="24"/>
          <w:rtl/>
        </w:rPr>
        <w:t>מרצה/מנהל/ת השתלמות מטעם מכון עוזמ"ת</w:t>
      </w:r>
      <w:r w:rsidRPr="00F25744">
        <w:rPr>
          <w:rFonts w:ascii="David" w:hAnsi="David" w:cs="David" w:hint="cs"/>
          <w:sz w:val="24"/>
          <w:szCs w:val="24"/>
          <w:rtl/>
        </w:rPr>
        <w:t xml:space="preserve">, </w:t>
      </w:r>
      <w:r w:rsidRPr="00F25744">
        <w:rPr>
          <w:rFonts w:ascii="David" w:hAnsi="David" w:cs="David"/>
          <w:sz w:val="24"/>
          <w:szCs w:val="24"/>
          <w:rtl/>
        </w:rPr>
        <w:t>מרצה/מנהל/ת השתלמות מטעם המרכז להכשרה ולהשתלמות שופטים</w:t>
      </w:r>
      <w:r w:rsidRPr="00F25744">
        <w:rPr>
          <w:rFonts w:ascii="David" w:hAnsi="David" w:cs="David" w:hint="cs"/>
          <w:sz w:val="24"/>
          <w:szCs w:val="24"/>
          <w:rtl/>
        </w:rPr>
        <w:t xml:space="preserve">, </w:t>
      </w:r>
      <w:r w:rsidRPr="00F25744">
        <w:rPr>
          <w:rFonts w:ascii="David" w:hAnsi="David" w:cs="David"/>
          <w:sz w:val="24"/>
          <w:szCs w:val="24"/>
          <w:rtl/>
        </w:rPr>
        <w:t>מנהל ועדות (ועדות היגוי/ועדות מקצועיות</w:t>
      </w:r>
      <w:r w:rsidRPr="00F25744">
        <w:rPr>
          <w:rFonts w:ascii="David" w:hAnsi="David" w:cs="David" w:hint="cs"/>
          <w:sz w:val="24"/>
          <w:szCs w:val="24"/>
          <w:rtl/>
        </w:rPr>
        <w:t xml:space="preserve">)] </w:t>
      </w:r>
    </w:p>
    <w:p w14:paraId="6BAD2EDD" w14:textId="77777777" w:rsidR="000A1BB7" w:rsidRPr="00F25744" w:rsidRDefault="000A1BB7" w:rsidP="000A1BB7">
      <w:pPr>
        <w:spacing w:after="0"/>
        <w:ind w:left="792"/>
        <w:jc w:val="both"/>
        <w:rPr>
          <w:rFonts w:ascii="David" w:hAnsi="David" w:cs="David"/>
          <w:sz w:val="24"/>
          <w:szCs w:val="24"/>
        </w:rPr>
      </w:pPr>
    </w:p>
    <w:p w14:paraId="6DEBC127" w14:textId="77777777" w:rsidR="006227EC" w:rsidRPr="00F25744" w:rsidRDefault="00E25AE7" w:rsidP="00E8254E">
      <w:pPr>
        <w:spacing w:after="0" w:line="360" w:lineRule="auto"/>
        <w:jc w:val="both"/>
        <w:rPr>
          <w:rFonts w:cs="David"/>
          <w:sz w:val="24"/>
          <w:szCs w:val="24"/>
          <w:rtl/>
        </w:rPr>
      </w:pPr>
      <w:r w:rsidRPr="00F25744">
        <w:rPr>
          <w:rFonts w:cs="David" w:hint="cs"/>
          <w:sz w:val="24"/>
          <w:szCs w:val="24"/>
          <w:rtl/>
        </w:rPr>
        <w:lastRenderedPageBreak/>
        <w:t>יודגש, כי מחלקת המחקר ויתרה על חלק מהשאלות</w:t>
      </w:r>
      <w:r w:rsidR="00DF4DA9" w:rsidRPr="00F25744">
        <w:rPr>
          <w:rFonts w:cs="David" w:hint="cs"/>
          <w:sz w:val="24"/>
          <w:szCs w:val="24"/>
          <w:rtl/>
        </w:rPr>
        <w:t xml:space="preserve"> עבור חלק מערכאות השיפוט</w:t>
      </w:r>
      <w:r w:rsidRPr="00F25744">
        <w:rPr>
          <w:rFonts w:cs="David" w:hint="cs"/>
          <w:sz w:val="24"/>
          <w:szCs w:val="24"/>
          <w:rtl/>
        </w:rPr>
        <w:t>, במקרים שבהם הן לא היו רלבנטיות או במקרים שבהם היה סיכון לחשיפת זהות השופט המשיב על השאלון. כך, למשל, בערכאת הנוער, אשר מונה 19 שופטים בלבד ואין בה רשמים, התייתרה שאלת התפקיד (שופט/רשם) וכן שאלת מחוז השיפוט, על מנת למנוע זיהוי של השופטים</w:t>
      </w:r>
      <w:r w:rsidR="00741011" w:rsidRPr="00F25744">
        <w:rPr>
          <w:rFonts w:cs="David" w:hint="cs"/>
          <w:sz w:val="24"/>
          <w:szCs w:val="24"/>
          <w:rtl/>
        </w:rPr>
        <w:t xml:space="preserve"> וכדי להבטיח את האנונימיות של המחקר</w:t>
      </w:r>
      <w:r w:rsidRPr="00F25744">
        <w:rPr>
          <w:rFonts w:cs="David" w:hint="cs"/>
          <w:sz w:val="24"/>
          <w:szCs w:val="24"/>
          <w:rtl/>
        </w:rPr>
        <w:t>.</w:t>
      </w:r>
      <w:r w:rsidR="003D3105" w:rsidRPr="00F25744">
        <w:rPr>
          <w:rFonts w:cs="David" w:hint="cs"/>
          <w:sz w:val="24"/>
          <w:szCs w:val="24"/>
          <w:rtl/>
        </w:rPr>
        <w:t xml:space="preserve"> כמו כן ויתרנו על פילוח התפקידים הנוספים, על מנת למנוע זיהוי למשל של נשיאים או סגני נשיאים.</w:t>
      </w:r>
      <w:r w:rsidR="000167D9" w:rsidRPr="00F25744">
        <w:rPr>
          <w:rFonts w:cs="David" w:hint="cs"/>
          <w:sz w:val="24"/>
          <w:szCs w:val="24"/>
          <w:rtl/>
        </w:rPr>
        <w:t xml:space="preserve"> על כן לא שאלנו מהו התפקיד הנוסף אלא רק האם יש לשופט תפקיד נוסף.</w:t>
      </w:r>
    </w:p>
    <w:p w14:paraId="085DF287" w14:textId="77777777" w:rsidR="006227EC" w:rsidRPr="00F25744" w:rsidRDefault="006227EC" w:rsidP="006227EC">
      <w:pPr>
        <w:spacing w:after="0" w:line="360" w:lineRule="auto"/>
        <w:ind w:left="368"/>
        <w:jc w:val="both"/>
        <w:rPr>
          <w:rFonts w:cs="David"/>
          <w:sz w:val="24"/>
          <w:szCs w:val="24"/>
          <w:rtl/>
        </w:rPr>
      </w:pPr>
    </w:p>
    <w:p w14:paraId="172DD42D" w14:textId="77777777" w:rsidR="006227EC" w:rsidRPr="00F25744" w:rsidRDefault="00E25AE7" w:rsidP="00A54D82">
      <w:pPr>
        <w:pStyle w:val="3"/>
        <w:ind w:left="852"/>
      </w:pPr>
      <w:bookmarkStart w:id="159" w:name="_Toc46226035"/>
      <w:bookmarkStart w:id="160" w:name="_Toc46226179"/>
      <w:bookmarkStart w:id="161" w:name="_Toc46228346"/>
      <w:bookmarkStart w:id="162" w:name="_Toc46228444"/>
      <w:bookmarkStart w:id="163" w:name="_Toc46230371"/>
      <w:bookmarkStart w:id="164" w:name="_Toc46230469"/>
      <w:bookmarkStart w:id="165" w:name="_Toc46310359"/>
      <w:bookmarkStart w:id="166" w:name="_Toc46414001"/>
      <w:bookmarkStart w:id="167" w:name="_Toc49352741"/>
      <w:bookmarkStart w:id="168" w:name="_Toc49429646"/>
      <w:bookmarkStart w:id="169" w:name="_Toc49435875"/>
      <w:bookmarkStart w:id="170" w:name="_Toc74750959"/>
      <w:r w:rsidRPr="00F25744">
        <w:rPr>
          <w:rFonts w:hint="cs"/>
          <w:rtl/>
        </w:rPr>
        <w:t>שאלון מסכ</w:t>
      </w:r>
      <w:bookmarkEnd w:id="159"/>
      <w:bookmarkEnd w:id="160"/>
      <w:r w:rsidR="004F7719" w:rsidRPr="00F25744">
        <w:rPr>
          <w:rFonts w:hint="cs"/>
          <w:rtl/>
        </w:rPr>
        <w:t>ם</w:t>
      </w:r>
      <w:bookmarkEnd w:id="161"/>
      <w:bookmarkEnd w:id="162"/>
      <w:bookmarkEnd w:id="163"/>
      <w:bookmarkEnd w:id="164"/>
      <w:bookmarkEnd w:id="165"/>
      <w:bookmarkEnd w:id="166"/>
      <w:bookmarkEnd w:id="167"/>
      <w:bookmarkEnd w:id="168"/>
      <w:bookmarkEnd w:id="169"/>
      <w:bookmarkEnd w:id="170"/>
    </w:p>
    <w:p w14:paraId="54317F7D" w14:textId="77777777" w:rsidR="006227EC" w:rsidRPr="00F25744" w:rsidRDefault="00E25AE7" w:rsidP="00601CC1">
      <w:pPr>
        <w:spacing w:before="120" w:after="0" w:line="360" w:lineRule="auto"/>
        <w:jc w:val="both"/>
        <w:rPr>
          <w:rFonts w:ascii="David" w:hAnsi="David" w:cs="David"/>
          <w:sz w:val="24"/>
          <w:szCs w:val="24"/>
          <w:rtl/>
        </w:rPr>
      </w:pPr>
      <w:r w:rsidRPr="00F25744">
        <w:rPr>
          <w:rFonts w:ascii="David" w:hAnsi="David" w:cs="David" w:hint="cs"/>
          <w:sz w:val="24"/>
          <w:szCs w:val="24"/>
          <w:rtl/>
        </w:rPr>
        <w:t xml:space="preserve">השאלון המסכם נועד להשלים נתונים שלא התקבלו כלל ביומני השופטים והקלדניות, נתונים שהתקבלו אך לא בכמות מספקת מיומנים אלו, ונתונים נוספים אשר לא ניתנים למדידה כמותית כמו היבטים נוספים של עומס </w:t>
      </w:r>
      <w:r w:rsidR="007C41E5" w:rsidRPr="00F25744">
        <w:rPr>
          <w:rFonts w:ascii="David" w:hAnsi="David" w:cs="David" w:hint="cs"/>
          <w:sz w:val="24"/>
          <w:szCs w:val="24"/>
          <w:rtl/>
        </w:rPr>
        <w:t>ה</w:t>
      </w:r>
      <w:r w:rsidRPr="00F25744">
        <w:rPr>
          <w:rFonts w:ascii="David" w:hAnsi="David" w:cs="David" w:hint="cs"/>
          <w:sz w:val="24"/>
          <w:szCs w:val="24"/>
          <w:rtl/>
        </w:rPr>
        <w:t xml:space="preserve">עבודה </w:t>
      </w:r>
      <w:r w:rsidR="007C41E5" w:rsidRPr="00F25744">
        <w:rPr>
          <w:rFonts w:ascii="David" w:hAnsi="David" w:cs="David" w:hint="cs"/>
          <w:sz w:val="24"/>
          <w:szCs w:val="24"/>
          <w:rtl/>
        </w:rPr>
        <w:t>ה</w:t>
      </w:r>
      <w:r w:rsidRPr="00F25744">
        <w:rPr>
          <w:rFonts w:ascii="David" w:hAnsi="David" w:cs="David" w:hint="cs"/>
          <w:sz w:val="24"/>
          <w:szCs w:val="24"/>
          <w:rtl/>
        </w:rPr>
        <w:t>שיפוטי</w:t>
      </w:r>
      <w:r w:rsidR="007C41E5" w:rsidRPr="00F25744">
        <w:rPr>
          <w:rFonts w:ascii="David" w:hAnsi="David" w:cs="David" w:hint="cs"/>
          <w:sz w:val="24"/>
          <w:szCs w:val="24"/>
          <w:rtl/>
        </w:rPr>
        <w:t>ת</w:t>
      </w:r>
      <w:r w:rsidRPr="00F25744">
        <w:rPr>
          <w:rFonts w:ascii="David" w:hAnsi="David" w:cs="David" w:hint="cs"/>
          <w:sz w:val="24"/>
          <w:szCs w:val="24"/>
          <w:rtl/>
        </w:rPr>
        <w:t xml:space="preserve"> וסוגיית העומס הרגשי המוטל על השופטים.</w:t>
      </w:r>
    </w:p>
    <w:p w14:paraId="09F4C0A5" w14:textId="77777777" w:rsidR="006227EC" w:rsidRPr="00F25744" w:rsidRDefault="00E25AE7" w:rsidP="006F47BD">
      <w:pPr>
        <w:spacing w:before="120" w:after="0" w:line="360" w:lineRule="auto"/>
        <w:jc w:val="both"/>
        <w:rPr>
          <w:rFonts w:ascii="David" w:hAnsi="David" w:cs="David"/>
          <w:sz w:val="24"/>
          <w:szCs w:val="24"/>
          <w:rtl/>
        </w:rPr>
      </w:pPr>
      <w:r w:rsidRPr="00F25744">
        <w:rPr>
          <w:rFonts w:ascii="David" w:hAnsi="David" w:cs="David" w:hint="cs"/>
          <w:sz w:val="24"/>
          <w:szCs w:val="24"/>
          <w:rtl/>
        </w:rPr>
        <w:t>במסגרת השאלון המסכם התבקשו השופטים להשיב על שאלון מקוון באופן חד פעמי. לכל ערכאה יוחד שאלון נפרד (השאלונים המסכמים של</w:t>
      </w:r>
      <w:r w:rsidR="006F47BD" w:rsidRPr="00F25744">
        <w:rPr>
          <w:rFonts w:ascii="David" w:hAnsi="David" w:cs="David" w:hint="cs"/>
          <w:sz w:val="24"/>
          <w:szCs w:val="24"/>
          <w:rtl/>
        </w:rPr>
        <w:t xml:space="preserve"> כל הערכאות ובתי המשפט</w:t>
      </w:r>
      <w:r w:rsidRPr="00F25744">
        <w:rPr>
          <w:rFonts w:ascii="David" w:hAnsi="David" w:cs="David" w:hint="cs"/>
          <w:sz w:val="24"/>
          <w:szCs w:val="24"/>
          <w:rtl/>
        </w:rPr>
        <w:t xml:space="preserve"> מצורפים כ</w:t>
      </w:r>
      <w:r w:rsidRPr="00F25744">
        <w:rPr>
          <w:rFonts w:ascii="David" w:hAnsi="David" w:cs="David" w:hint="cs"/>
          <w:b/>
          <w:bCs/>
          <w:sz w:val="24"/>
          <w:szCs w:val="24"/>
          <w:rtl/>
        </w:rPr>
        <w:t xml:space="preserve">נספח </w:t>
      </w:r>
      <w:r w:rsidR="005B2EEF" w:rsidRPr="00F25744">
        <w:rPr>
          <w:rFonts w:ascii="David" w:hAnsi="David" w:cs="David" w:hint="cs"/>
          <w:b/>
          <w:bCs/>
          <w:sz w:val="24"/>
          <w:szCs w:val="24"/>
          <w:rtl/>
        </w:rPr>
        <w:t>ב'</w:t>
      </w:r>
      <w:r w:rsidR="005B2EEF" w:rsidRPr="00F25744">
        <w:rPr>
          <w:rFonts w:ascii="David" w:hAnsi="David" w:cs="David" w:hint="cs"/>
          <w:sz w:val="24"/>
          <w:szCs w:val="24"/>
          <w:rtl/>
        </w:rPr>
        <w:t>).</w:t>
      </w:r>
      <w:r w:rsidRPr="00F25744">
        <w:rPr>
          <w:rFonts w:ascii="David" w:hAnsi="David" w:cs="David" w:hint="cs"/>
          <w:sz w:val="24"/>
          <w:szCs w:val="24"/>
          <w:rtl/>
        </w:rPr>
        <w:t xml:space="preserve"> </w:t>
      </w:r>
    </w:p>
    <w:p w14:paraId="0D8F3271" w14:textId="77777777" w:rsidR="006227EC" w:rsidRPr="00F25744" w:rsidRDefault="00E25AE7" w:rsidP="00406922">
      <w:pPr>
        <w:spacing w:before="120" w:after="0" w:line="360" w:lineRule="auto"/>
        <w:jc w:val="both"/>
        <w:rPr>
          <w:rFonts w:ascii="David" w:hAnsi="David" w:cs="David"/>
          <w:sz w:val="24"/>
          <w:szCs w:val="24"/>
          <w:rtl/>
        </w:rPr>
      </w:pPr>
      <w:r w:rsidRPr="00F25744">
        <w:rPr>
          <w:rFonts w:ascii="David" w:hAnsi="David" w:cs="David" w:hint="cs"/>
          <w:sz w:val="24"/>
          <w:szCs w:val="24"/>
          <w:rtl/>
        </w:rPr>
        <w:t xml:space="preserve">לצורך הפילוח וההצלבה של נתוני השאלון המסכם עם ממצאי המחקר </w:t>
      </w:r>
      <w:r w:rsidR="00A12C41" w:rsidRPr="00F25744">
        <w:rPr>
          <w:rFonts w:ascii="David" w:hAnsi="David" w:cs="David" w:hint="cs"/>
          <w:sz w:val="24"/>
          <w:szCs w:val="24"/>
          <w:rtl/>
        </w:rPr>
        <w:t xml:space="preserve">לשם </w:t>
      </w:r>
      <w:r w:rsidRPr="00F25744">
        <w:rPr>
          <w:rFonts w:ascii="David" w:hAnsi="David" w:cs="David" w:hint="cs"/>
          <w:sz w:val="24"/>
          <w:szCs w:val="24"/>
          <w:rtl/>
        </w:rPr>
        <w:t>תיקופ</w:t>
      </w:r>
      <w:r w:rsidR="00550A0A" w:rsidRPr="00F25744">
        <w:rPr>
          <w:rFonts w:ascii="David" w:hAnsi="David" w:cs="David" w:hint="cs"/>
          <w:sz w:val="24"/>
          <w:szCs w:val="24"/>
          <w:rtl/>
        </w:rPr>
        <w:t>ם</w:t>
      </w:r>
      <w:r w:rsidRPr="00F25744">
        <w:rPr>
          <w:rFonts w:ascii="David" w:hAnsi="David" w:cs="David" w:hint="cs"/>
          <w:sz w:val="24"/>
          <w:szCs w:val="24"/>
          <w:rtl/>
        </w:rPr>
        <w:t xml:space="preserve"> והשלמת</w:t>
      </w:r>
      <w:r w:rsidR="00550A0A" w:rsidRPr="00F25744">
        <w:rPr>
          <w:rFonts w:ascii="David" w:hAnsi="David" w:cs="David" w:hint="cs"/>
          <w:sz w:val="24"/>
          <w:szCs w:val="24"/>
          <w:rtl/>
        </w:rPr>
        <w:t>ם</w:t>
      </w:r>
      <w:r w:rsidRPr="00F25744">
        <w:rPr>
          <w:rFonts w:ascii="David" w:hAnsi="David" w:cs="David" w:hint="cs"/>
          <w:sz w:val="24"/>
          <w:szCs w:val="24"/>
          <w:rtl/>
        </w:rPr>
        <w:t xml:space="preserve"> כאמור, התבקשו השופטים בפתח השאלון </w:t>
      </w:r>
      <w:r w:rsidR="00550A0A" w:rsidRPr="00F25744">
        <w:rPr>
          <w:rFonts w:ascii="David" w:hAnsi="David" w:cs="David" w:hint="cs"/>
          <w:sz w:val="24"/>
          <w:szCs w:val="24"/>
          <w:rtl/>
        </w:rPr>
        <w:t xml:space="preserve">המסכם </w:t>
      </w:r>
      <w:r w:rsidRPr="00F25744">
        <w:rPr>
          <w:rFonts w:ascii="David" w:hAnsi="David" w:cs="David" w:hint="cs"/>
          <w:sz w:val="24"/>
          <w:szCs w:val="24"/>
          <w:rtl/>
        </w:rPr>
        <w:t xml:space="preserve">לסמן מאיזה מחוז הם מגיעים. בערכאת המחוזי התבקשו השופטים לסמן האם הם עוסקים בעיקר בתיקים פליליים/ אזרחיים, ובערכאת השלום נשאלו השופטים האם הם שופטים או רשמים, והאם הם עוסקים בעיקר בתיקים אזרחיים/ פליליים/ עמ"ק (עניינים מקומיים). </w:t>
      </w:r>
    </w:p>
    <w:p w14:paraId="498ECAE1" w14:textId="77777777" w:rsidR="006227EC" w:rsidRPr="00F25744" w:rsidRDefault="00E25AE7" w:rsidP="00077D94">
      <w:pPr>
        <w:spacing w:before="120" w:after="0" w:line="360" w:lineRule="auto"/>
        <w:jc w:val="both"/>
        <w:rPr>
          <w:rFonts w:ascii="David" w:hAnsi="David" w:cs="David"/>
          <w:sz w:val="24"/>
          <w:szCs w:val="24"/>
          <w:rtl/>
        </w:rPr>
      </w:pPr>
      <w:r w:rsidRPr="00F25744">
        <w:rPr>
          <w:rFonts w:ascii="David" w:hAnsi="David" w:cs="David" w:hint="cs"/>
          <w:sz w:val="24"/>
          <w:szCs w:val="24"/>
          <w:rtl/>
        </w:rPr>
        <w:t xml:space="preserve">בחלקו הראשון של השאלון התבקשו השופטים לסמן, מתוך רשימת התיקים </w:t>
      </w:r>
      <w:r w:rsidR="00220F36" w:rsidRPr="00F25744">
        <w:rPr>
          <w:rFonts w:ascii="David" w:hAnsi="David" w:cs="David" w:hint="cs"/>
          <w:sz w:val="24"/>
          <w:szCs w:val="24"/>
          <w:rtl/>
        </w:rPr>
        <w:t xml:space="preserve">שכלל מערכי המחקר הניבו עבורם די נתונים עד שלב זה או שהיה חסר לגביהם מידע נקודתי בלבד, </w:t>
      </w:r>
      <w:r w:rsidRPr="00F25744">
        <w:rPr>
          <w:rFonts w:ascii="David" w:hAnsi="David" w:cs="David" w:hint="cs"/>
          <w:sz w:val="24"/>
          <w:szCs w:val="24"/>
          <w:rtl/>
        </w:rPr>
        <w:t>את סוגי התיקים שבהם טיפלו בשנתיים האחרונות, ולדרג אותם מהכבד אל הקל.</w:t>
      </w:r>
      <w:r w:rsidR="00220F36" w:rsidRPr="00F25744">
        <w:rPr>
          <w:rFonts w:ascii="David" w:hAnsi="David" w:cs="David" w:hint="cs"/>
          <w:sz w:val="24"/>
          <w:szCs w:val="24"/>
          <w:rtl/>
        </w:rPr>
        <w:t xml:space="preserve"> </w:t>
      </w:r>
      <w:r w:rsidRPr="00F25744">
        <w:rPr>
          <w:rFonts w:ascii="David" w:hAnsi="David" w:cs="David" w:hint="cs"/>
          <w:sz w:val="24"/>
          <w:szCs w:val="24"/>
          <w:rtl/>
        </w:rPr>
        <w:t xml:space="preserve">לאחר מכן הוצגו לשופטים מספר שאלות שעליהן היה על השופטים להשיב ביחס </w:t>
      </w:r>
      <w:r w:rsidRPr="00F25744">
        <w:rPr>
          <w:rFonts w:ascii="David" w:hAnsi="David" w:cs="David" w:hint="cs"/>
          <w:b/>
          <w:bCs/>
          <w:sz w:val="24"/>
          <w:szCs w:val="24"/>
          <w:rtl/>
        </w:rPr>
        <w:t>לכל אחד</w:t>
      </w:r>
      <w:r w:rsidRPr="00F25744">
        <w:rPr>
          <w:rFonts w:ascii="David" w:hAnsi="David" w:cs="David" w:hint="cs"/>
          <w:sz w:val="24"/>
          <w:szCs w:val="24"/>
          <w:rtl/>
        </w:rPr>
        <w:t xml:space="preserve"> מסוגי התיקים שאותם סימנו בשאלה הראשונה, ולאחריהן מספר שאלות </w:t>
      </w:r>
      <w:r w:rsidR="00077D94" w:rsidRPr="00F25744">
        <w:rPr>
          <w:rFonts w:ascii="David" w:hAnsi="David" w:cs="David" w:hint="cs"/>
          <w:sz w:val="24"/>
          <w:szCs w:val="24"/>
          <w:rtl/>
        </w:rPr>
        <w:t xml:space="preserve">נקודתיות הנוגעות לסוגי תיקים </w:t>
      </w:r>
      <w:r w:rsidRPr="00F25744">
        <w:rPr>
          <w:rFonts w:ascii="David" w:hAnsi="David" w:cs="David" w:hint="cs"/>
          <w:sz w:val="24"/>
          <w:szCs w:val="24"/>
          <w:rtl/>
        </w:rPr>
        <w:t>ספציפי</w:t>
      </w:r>
      <w:r w:rsidR="00077D94" w:rsidRPr="00F25744">
        <w:rPr>
          <w:rFonts w:ascii="David" w:hAnsi="David" w:cs="David" w:hint="cs"/>
          <w:sz w:val="24"/>
          <w:szCs w:val="24"/>
          <w:rtl/>
        </w:rPr>
        <w:t>ים.</w:t>
      </w:r>
      <w:r w:rsidRPr="00F25744">
        <w:rPr>
          <w:rFonts w:ascii="David" w:hAnsi="David" w:cs="David" w:hint="cs"/>
          <w:sz w:val="24"/>
          <w:szCs w:val="24"/>
          <w:rtl/>
        </w:rPr>
        <w:t xml:space="preserve"> </w:t>
      </w:r>
    </w:p>
    <w:p w14:paraId="0609EB90" w14:textId="77777777" w:rsidR="006227EC" w:rsidRPr="00F25744" w:rsidRDefault="00E25AE7" w:rsidP="00601CC1">
      <w:pPr>
        <w:spacing w:before="120" w:after="0" w:line="360" w:lineRule="auto"/>
        <w:jc w:val="both"/>
        <w:rPr>
          <w:rFonts w:ascii="David" w:hAnsi="David" w:cs="David"/>
          <w:sz w:val="24"/>
          <w:szCs w:val="24"/>
          <w:rtl/>
        </w:rPr>
      </w:pPr>
      <w:r w:rsidRPr="00F25744">
        <w:rPr>
          <w:rFonts w:ascii="David" w:hAnsi="David" w:cs="David" w:hint="cs"/>
          <w:sz w:val="24"/>
          <w:szCs w:val="24"/>
          <w:rtl/>
        </w:rPr>
        <w:t>בחלקו השני של השאלון הוצגו לשופטים מספר היגדים המבטאים באופן תיאורי את מידת עומס העבודה השיפוטית אשר השופטים מרגישים כי מוטל עליהם.</w:t>
      </w:r>
    </w:p>
    <w:p w14:paraId="459EB446" w14:textId="77777777" w:rsidR="006227EC" w:rsidRPr="00F25744" w:rsidRDefault="00E25AE7" w:rsidP="00601CC1">
      <w:pPr>
        <w:spacing w:before="120" w:after="0" w:line="360" w:lineRule="auto"/>
        <w:jc w:val="both"/>
        <w:rPr>
          <w:rFonts w:ascii="David" w:hAnsi="David" w:cs="David"/>
          <w:sz w:val="24"/>
          <w:szCs w:val="24"/>
          <w:rtl/>
        </w:rPr>
      </w:pPr>
      <w:r w:rsidRPr="00F25744">
        <w:rPr>
          <w:rFonts w:ascii="David" w:hAnsi="David" w:cs="David" w:hint="cs"/>
          <w:sz w:val="24"/>
          <w:szCs w:val="24"/>
          <w:rtl/>
        </w:rPr>
        <w:t>לאחר מכן הוצגו לשופטים מספר שאלות אשר נועדו לתת ביטוי מסוים לעומס הרגשי שמטיל הטיפול בסוגי תיקים מסוימים על השופטים המטפלים בהם. עובר לתחילת המחקר, התבקשנו על ידי מספר שופטים ונשיאים, בעיקר מערכאת הנוער, לנסות למדוד במסגרת מדד עומס העבודה השיפוטית, גם את העומס הרגשי אשר מטילים עליהם תיקים מסוגים מסוימים. לצערנו, לא יכולנו למדוד את מידת העומס הרגשי בדרך שניתנת לכימות במסגרת המדד הנוכחי, ועל כן ניסינו במסגרת החלק הזה של השאלון המסכם לתת לעומס הרגשי ביטוי מסוים, על דרך התיאור ולא על דרך הכימו</w:t>
      </w:r>
      <w:r w:rsidR="00A12C41" w:rsidRPr="00F25744">
        <w:rPr>
          <w:rFonts w:ascii="David" w:hAnsi="David" w:cs="David" w:hint="cs"/>
          <w:sz w:val="24"/>
          <w:szCs w:val="24"/>
          <w:rtl/>
        </w:rPr>
        <w:t>ת</w:t>
      </w:r>
      <w:r w:rsidRPr="00F25744">
        <w:rPr>
          <w:rFonts w:ascii="David" w:hAnsi="David" w:cs="David" w:hint="cs"/>
          <w:sz w:val="24"/>
          <w:szCs w:val="24"/>
          <w:rtl/>
        </w:rPr>
        <w:t xml:space="preserve">. לצורך כך בנינו מספר שאלות אשר נועדו לבחון אילו סוגי תיקים מטילים על השופטים עומס רגשי מסוים, מהן השפעות העומס הרגשי על הטיפול השיפוטי בתיקים, וכיצד השופטים מתמודדים אתו. </w:t>
      </w:r>
    </w:p>
    <w:p w14:paraId="7476CDC6" w14:textId="77777777" w:rsidR="006227EC" w:rsidRPr="00F25744" w:rsidRDefault="00E25AE7" w:rsidP="00601CC1">
      <w:pPr>
        <w:spacing w:before="120" w:after="0" w:line="360" w:lineRule="auto"/>
        <w:jc w:val="both"/>
        <w:rPr>
          <w:rFonts w:ascii="David" w:hAnsi="David" w:cs="David"/>
          <w:sz w:val="24"/>
          <w:szCs w:val="24"/>
          <w:rtl/>
        </w:rPr>
      </w:pPr>
      <w:r w:rsidRPr="00F25744">
        <w:rPr>
          <w:rFonts w:ascii="David" w:hAnsi="David" w:cs="David" w:hint="cs"/>
          <w:sz w:val="24"/>
          <w:szCs w:val="24"/>
          <w:rtl/>
        </w:rPr>
        <w:lastRenderedPageBreak/>
        <w:t>בסיומו של השאלון הופיעו שתי שאלות פתוחות אשר נועדו בעיקרו של דבר לברר את עמדות השופטים לגבי אופן ביצוע המחקר.</w:t>
      </w:r>
      <w:r w:rsidRPr="00F25744">
        <w:rPr>
          <w:rStyle w:val="a6"/>
          <w:rFonts w:ascii="David" w:hAnsi="David" w:cs="David"/>
          <w:sz w:val="24"/>
          <w:szCs w:val="24"/>
          <w:rtl/>
        </w:rPr>
        <w:footnoteReference w:id="16"/>
      </w:r>
    </w:p>
    <w:p w14:paraId="0CC117CC" w14:textId="77777777" w:rsidR="006227EC" w:rsidRPr="00F25744" w:rsidRDefault="006227EC" w:rsidP="00271209">
      <w:pPr>
        <w:spacing w:before="120" w:after="0" w:line="240" w:lineRule="auto"/>
        <w:jc w:val="both"/>
        <w:rPr>
          <w:rFonts w:ascii="David" w:hAnsi="David" w:cs="David"/>
          <w:sz w:val="24"/>
          <w:szCs w:val="24"/>
          <w:rtl/>
        </w:rPr>
      </w:pPr>
    </w:p>
    <w:p w14:paraId="66BAB21E" w14:textId="77777777" w:rsidR="0059756D" w:rsidRPr="00F25744" w:rsidRDefault="0059756D" w:rsidP="00A54D82">
      <w:pPr>
        <w:pStyle w:val="3"/>
        <w:ind w:left="852"/>
      </w:pPr>
      <w:bookmarkStart w:id="171" w:name="_Toc74750960"/>
      <w:bookmarkStart w:id="172" w:name="_Toc46226036"/>
      <w:bookmarkStart w:id="173" w:name="_Toc46226180"/>
      <w:bookmarkStart w:id="174" w:name="_Toc46228347"/>
      <w:bookmarkStart w:id="175" w:name="_Toc46228445"/>
      <w:bookmarkStart w:id="176" w:name="_Toc46230372"/>
      <w:bookmarkStart w:id="177" w:name="_Toc46230470"/>
      <w:bookmarkStart w:id="178" w:name="_Toc46310360"/>
      <w:bookmarkStart w:id="179" w:name="_Toc46414002"/>
      <w:bookmarkStart w:id="180" w:name="_Toc49352742"/>
      <w:bookmarkStart w:id="181" w:name="_Toc49429647"/>
      <w:bookmarkStart w:id="182" w:name="_Toc49435876"/>
      <w:r w:rsidRPr="00F25744">
        <w:rPr>
          <w:rFonts w:hint="cs"/>
          <w:rtl/>
        </w:rPr>
        <w:t>מהלכי תיקוף נוספים</w:t>
      </w:r>
      <w:bookmarkEnd w:id="171"/>
    </w:p>
    <w:p w14:paraId="7E1516E7" w14:textId="0784E9CA" w:rsidR="008D5EC3" w:rsidRPr="00F25744" w:rsidRDefault="008D5EC3" w:rsidP="00164736">
      <w:pPr>
        <w:spacing w:before="120" w:after="0" w:line="360" w:lineRule="auto"/>
        <w:jc w:val="both"/>
        <w:rPr>
          <w:rFonts w:cs="David"/>
          <w:sz w:val="24"/>
          <w:szCs w:val="24"/>
          <w:rtl/>
        </w:rPr>
      </w:pPr>
      <w:r w:rsidRPr="00F25744">
        <w:rPr>
          <w:rFonts w:cs="David" w:hint="cs"/>
          <w:sz w:val="24"/>
          <w:szCs w:val="24"/>
          <w:rtl/>
        </w:rPr>
        <w:t xml:space="preserve">לאחר ניתוח ועיבוד הכמות העצומה של הנתונים שהתקבלו בכלל מערכי המחקר, גיבשה מחלקת המחקר ממצאים ראשוניים הנוגעים לזמני הטיפול בתיקים השונים בבתי המשפט השונים. ממצאים ראשוניים אלו הוצגו לפני ראשי המערכת, לוועדת ההיגוי של מחלקת המחקר </w:t>
      </w:r>
      <w:r w:rsidR="00164736">
        <w:rPr>
          <w:rFonts w:cs="David" w:hint="cs"/>
          <w:sz w:val="24"/>
          <w:szCs w:val="24"/>
          <w:rtl/>
        </w:rPr>
        <w:t>ולנשיאי הערכאות והמחוזות השונים</w:t>
      </w:r>
      <w:r w:rsidRPr="00F25744">
        <w:rPr>
          <w:rFonts w:cs="David" w:hint="cs"/>
          <w:sz w:val="24"/>
          <w:szCs w:val="24"/>
          <w:rtl/>
        </w:rPr>
        <w:t>. ככלל, מרבית הזמנים שנמצאו ב</w:t>
      </w:r>
      <w:r w:rsidR="00AA7E7D" w:rsidRPr="00F25744">
        <w:rPr>
          <w:rFonts w:cs="David" w:hint="cs"/>
          <w:sz w:val="24"/>
          <w:szCs w:val="24"/>
          <w:rtl/>
        </w:rPr>
        <w:t>מסגרת מחקר זה</w:t>
      </w:r>
      <w:r w:rsidRPr="00F25744">
        <w:rPr>
          <w:rFonts w:cs="David" w:hint="cs"/>
          <w:sz w:val="24"/>
          <w:szCs w:val="24"/>
          <w:rtl/>
        </w:rPr>
        <w:t xml:space="preserve"> תאמו את הערכות הגורמים השונים </w:t>
      </w:r>
      <w:r w:rsidR="00AA7E7D" w:rsidRPr="00F25744">
        <w:rPr>
          <w:rFonts w:cs="David" w:hint="cs"/>
          <w:sz w:val="24"/>
          <w:szCs w:val="24"/>
          <w:rtl/>
        </w:rPr>
        <w:t>ש</w:t>
      </w:r>
      <w:r w:rsidRPr="00F25744">
        <w:rPr>
          <w:rFonts w:cs="David" w:hint="cs"/>
          <w:sz w:val="24"/>
          <w:szCs w:val="24"/>
          <w:rtl/>
        </w:rPr>
        <w:t>להם הוצגו הממצאים. ביחס לחלק קטן מסוגי התיקים הנדונים בערכאת המחוזי, הועלו תהיות שונות בנוגע ליחס שבין זמני הטיפול בהם לעומת זמני הטיפול בתיקים אחרים, ובנוגע לפערים בזמני הטיפול לעומת המחקר הקודם. כמו כן הועלו תהיות לגבי הפערים המשמעותיים שנמצאו לגבי זמני הטיפול בסוגי תיקים מסוימים הנדונים במחוזי לעומת זמני הטיפול בתיקים מקבילים הנדונים בשלום.</w:t>
      </w:r>
    </w:p>
    <w:p w14:paraId="0A1C86B2" w14:textId="2D5150E9" w:rsidR="008D5EC3" w:rsidRPr="00F25744" w:rsidRDefault="008D5EC3" w:rsidP="00AA7E7D">
      <w:pPr>
        <w:spacing w:before="120" w:after="0" w:line="360" w:lineRule="auto"/>
        <w:jc w:val="both"/>
        <w:rPr>
          <w:rFonts w:cs="David"/>
          <w:sz w:val="24"/>
          <w:szCs w:val="24"/>
          <w:rtl/>
        </w:rPr>
      </w:pPr>
      <w:r w:rsidRPr="00F25744">
        <w:rPr>
          <w:rFonts w:cs="David" w:hint="cs"/>
          <w:sz w:val="24"/>
          <w:szCs w:val="24"/>
          <w:rtl/>
        </w:rPr>
        <w:t>לנוכח תהיות אלו, ביצענו שני מהלכים מחקריים נוספים של תיקוף הממצאים</w:t>
      </w:r>
      <w:r w:rsidR="00AA7E7D" w:rsidRPr="00F25744">
        <w:rPr>
          <w:rFonts w:cs="David" w:hint="cs"/>
          <w:sz w:val="24"/>
          <w:szCs w:val="24"/>
          <w:rtl/>
        </w:rPr>
        <w:t xml:space="preserve">, אשר כללו בניית  </w:t>
      </w:r>
      <w:r w:rsidRPr="00F25744">
        <w:rPr>
          <w:rFonts w:cs="David" w:hint="cs"/>
          <w:sz w:val="24"/>
          <w:szCs w:val="24"/>
          <w:rtl/>
        </w:rPr>
        <w:t xml:space="preserve"> שאלונים ייחודיים ושליחתם לשופטים רבים המטפלים בתיקים הרלוונטיים</w:t>
      </w:r>
      <w:r w:rsidR="00AA7E7D" w:rsidRPr="00F25744">
        <w:rPr>
          <w:rFonts w:cs="David" w:hint="cs"/>
          <w:sz w:val="24"/>
          <w:szCs w:val="24"/>
          <w:rtl/>
        </w:rPr>
        <w:t xml:space="preserve">, כמו גם ניהול </w:t>
      </w:r>
      <w:r w:rsidRPr="00F25744">
        <w:rPr>
          <w:rFonts w:cs="David" w:hint="cs"/>
          <w:sz w:val="24"/>
          <w:szCs w:val="24"/>
          <w:rtl/>
        </w:rPr>
        <w:t xml:space="preserve">שיחות טלפוניות מעמיקות עם שופטים רבים לגבי אופן הטיפול באותם סוגי תיקים וזמני הטיפול בהם ועוד. </w:t>
      </w:r>
    </w:p>
    <w:p w14:paraId="03680800" w14:textId="77777777" w:rsidR="008D5EC3" w:rsidRPr="00F25744" w:rsidRDefault="008D5EC3" w:rsidP="008D5EC3">
      <w:pPr>
        <w:spacing w:before="120" w:after="0" w:line="360" w:lineRule="auto"/>
        <w:jc w:val="both"/>
        <w:rPr>
          <w:rFonts w:cs="David"/>
          <w:sz w:val="24"/>
          <w:szCs w:val="24"/>
          <w:rtl/>
        </w:rPr>
      </w:pPr>
      <w:r w:rsidRPr="00F25744">
        <w:rPr>
          <w:rFonts w:cs="David" w:hint="cs"/>
          <w:sz w:val="24"/>
          <w:szCs w:val="24"/>
          <w:rtl/>
        </w:rPr>
        <w:t xml:space="preserve">במהלך התיקוף המחקרי הראשון, שנועד לתקף את הזמנים שנמדדו לגבי עשרה סוגי תיקים וארבעה סוגי עניין בתיקי ת"א שנדונים בערכאת המחוזי </w:t>
      </w:r>
      <w:r w:rsidRPr="00F25744">
        <w:rPr>
          <w:rFonts w:cs="David"/>
          <w:sz w:val="24"/>
          <w:szCs w:val="24"/>
          <w:rtl/>
        </w:rPr>
        <w:t>–</w:t>
      </w:r>
      <w:r w:rsidRPr="00F25744">
        <w:rPr>
          <w:rFonts w:cs="David" w:hint="cs"/>
          <w:sz w:val="24"/>
          <w:szCs w:val="24"/>
          <w:rtl/>
        </w:rPr>
        <w:t xml:space="preserve"> לגביהם בעיקר התעוררו תהיות באשר לזמנים שנמדדו במחקר הנוכחי אל מול המחקר הקודם </w:t>
      </w:r>
      <w:r w:rsidRPr="00F25744">
        <w:rPr>
          <w:rFonts w:cs="David"/>
          <w:sz w:val="24"/>
          <w:szCs w:val="24"/>
          <w:rtl/>
        </w:rPr>
        <w:t>–</w:t>
      </w:r>
      <w:r w:rsidRPr="00F25744">
        <w:rPr>
          <w:rFonts w:cs="David" w:hint="cs"/>
          <w:sz w:val="24"/>
          <w:szCs w:val="24"/>
          <w:rtl/>
        </w:rPr>
        <w:t xml:space="preserve"> שלחנו </w:t>
      </w:r>
      <w:r w:rsidRPr="00F25744">
        <w:rPr>
          <w:rFonts w:cs="David"/>
          <w:sz w:val="24"/>
          <w:szCs w:val="24"/>
          <w:rtl/>
        </w:rPr>
        <w:t xml:space="preserve">140 שאלונים </w:t>
      </w:r>
      <w:r w:rsidRPr="00F25744">
        <w:rPr>
          <w:rFonts w:cs="David" w:hint="cs"/>
          <w:sz w:val="24"/>
          <w:szCs w:val="24"/>
          <w:rtl/>
        </w:rPr>
        <w:t xml:space="preserve">ייחודיים לשופטים המטפלים בהם </w:t>
      </w:r>
      <w:r w:rsidRPr="00F25744">
        <w:rPr>
          <w:rFonts w:cs="David"/>
          <w:sz w:val="24"/>
          <w:szCs w:val="24"/>
          <w:rtl/>
        </w:rPr>
        <w:t xml:space="preserve">(חלק מהשופטים קיבלו כמה סוגי שאלונים, שכן הם מטפלים בכמה סוגי תיקים רלבנטיים). כמו כן, עם </w:t>
      </w:r>
      <w:r w:rsidRPr="00F25744">
        <w:rPr>
          <w:rFonts w:cs="David" w:hint="cs"/>
          <w:sz w:val="24"/>
          <w:szCs w:val="24"/>
          <w:rtl/>
        </w:rPr>
        <w:t>אחד עשר</w:t>
      </w:r>
      <w:r w:rsidRPr="00F25744">
        <w:rPr>
          <w:rFonts w:cs="David"/>
          <w:sz w:val="24"/>
          <w:szCs w:val="24"/>
          <w:rtl/>
        </w:rPr>
        <w:t xml:space="preserve"> מהשופטים ערכנו שיחות טלפוניות מקיפות ביחס לטיפול בסוג</w:t>
      </w:r>
      <w:r w:rsidRPr="00F25744">
        <w:rPr>
          <w:rFonts w:cs="David" w:hint="cs"/>
          <w:sz w:val="24"/>
          <w:szCs w:val="24"/>
          <w:rtl/>
        </w:rPr>
        <w:t>י</w:t>
      </w:r>
      <w:r w:rsidRPr="00F25744">
        <w:rPr>
          <w:rFonts w:cs="David"/>
          <w:sz w:val="24"/>
          <w:szCs w:val="24"/>
          <w:rtl/>
        </w:rPr>
        <w:t xml:space="preserve"> התיק</w:t>
      </w:r>
      <w:r w:rsidRPr="00F25744">
        <w:rPr>
          <w:rFonts w:cs="David" w:hint="cs"/>
          <w:sz w:val="24"/>
          <w:szCs w:val="24"/>
          <w:rtl/>
        </w:rPr>
        <w:t>ים</w:t>
      </w:r>
      <w:r w:rsidRPr="00F25744">
        <w:rPr>
          <w:rFonts w:cs="David"/>
          <w:sz w:val="24"/>
          <w:szCs w:val="24"/>
          <w:rtl/>
        </w:rPr>
        <w:t xml:space="preserve"> הרל</w:t>
      </w:r>
      <w:r w:rsidRPr="00F25744">
        <w:rPr>
          <w:rFonts w:cs="David" w:hint="cs"/>
          <w:sz w:val="24"/>
          <w:szCs w:val="24"/>
          <w:rtl/>
        </w:rPr>
        <w:t>וו</w:t>
      </w:r>
      <w:r w:rsidRPr="00F25744">
        <w:rPr>
          <w:rFonts w:cs="David"/>
          <w:sz w:val="24"/>
          <w:szCs w:val="24"/>
          <w:rtl/>
        </w:rPr>
        <w:t>נטי</w:t>
      </w:r>
      <w:r w:rsidRPr="00F25744">
        <w:rPr>
          <w:rFonts w:cs="David" w:hint="cs"/>
          <w:sz w:val="24"/>
          <w:szCs w:val="24"/>
          <w:rtl/>
        </w:rPr>
        <w:t>ים</w:t>
      </w:r>
      <w:r w:rsidRPr="00F25744">
        <w:rPr>
          <w:rFonts w:cs="David"/>
          <w:sz w:val="24"/>
          <w:szCs w:val="24"/>
          <w:rtl/>
        </w:rPr>
        <w:t xml:space="preserve">. </w:t>
      </w:r>
      <w:r w:rsidRPr="00F25744">
        <w:rPr>
          <w:rFonts w:cs="David" w:hint="cs"/>
          <w:sz w:val="24"/>
          <w:szCs w:val="24"/>
          <w:rtl/>
        </w:rPr>
        <w:t xml:space="preserve">70 שופטים השיבו על השאלונים. מספר </w:t>
      </w:r>
      <w:r w:rsidRPr="00F25744">
        <w:rPr>
          <w:rFonts w:cs="David"/>
          <w:sz w:val="24"/>
          <w:szCs w:val="24"/>
          <w:rtl/>
        </w:rPr>
        <w:t>שופטים</w:t>
      </w:r>
      <w:r w:rsidRPr="00F25744">
        <w:rPr>
          <w:rFonts w:cs="David" w:hint="cs"/>
          <w:sz w:val="24"/>
          <w:szCs w:val="24"/>
          <w:rtl/>
        </w:rPr>
        <w:t xml:space="preserve"> </w:t>
      </w:r>
      <w:r w:rsidRPr="00F25744">
        <w:rPr>
          <w:rFonts w:cs="David"/>
          <w:sz w:val="24"/>
          <w:szCs w:val="24"/>
          <w:rtl/>
        </w:rPr>
        <w:t xml:space="preserve">השיבו שאין ביכולתם </w:t>
      </w:r>
      <w:r w:rsidRPr="00F25744">
        <w:rPr>
          <w:rFonts w:cs="David" w:hint="cs"/>
          <w:sz w:val="24"/>
          <w:szCs w:val="24"/>
          <w:rtl/>
        </w:rPr>
        <w:t xml:space="preserve">לענות </w:t>
      </w:r>
      <w:r w:rsidRPr="00F25744">
        <w:rPr>
          <w:rFonts w:cs="David"/>
          <w:sz w:val="24"/>
          <w:szCs w:val="24"/>
          <w:rtl/>
        </w:rPr>
        <w:t xml:space="preserve">על השאלון, </w:t>
      </w:r>
      <w:r w:rsidRPr="00F25744">
        <w:rPr>
          <w:rFonts w:cs="David" w:hint="cs"/>
          <w:sz w:val="24"/>
          <w:szCs w:val="24"/>
          <w:rtl/>
        </w:rPr>
        <w:t>בעיקר משום ש</w:t>
      </w:r>
      <w:r w:rsidRPr="00F25744">
        <w:rPr>
          <w:rFonts w:cs="David"/>
          <w:sz w:val="24"/>
          <w:szCs w:val="24"/>
          <w:rtl/>
        </w:rPr>
        <w:t>הם מתקשים להעריך את הזמנים ועל כן מעדיפים שלא להשיב. לחלק מן השופטים</w:t>
      </w:r>
      <w:r w:rsidRPr="00F25744">
        <w:rPr>
          <w:rFonts w:cs="David" w:hint="cs"/>
          <w:sz w:val="24"/>
          <w:szCs w:val="24"/>
          <w:rtl/>
        </w:rPr>
        <w:t xml:space="preserve"> שהשיבו על השאלונים </w:t>
      </w:r>
      <w:r w:rsidRPr="00F25744">
        <w:rPr>
          <w:rFonts w:cs="David"/>
          <w:sz w:val="24"/>
          <w:szCs w:val="24"/>
          <w:rtl/>
        </w:rPr>
        <w:t xml:space="preserve">חזרנו בשאלות הבהרה שונות. </w:t>
      </w:r>
    </w:p>
    <w:p w14:paraId="4907975B" w14:textId="0177D779" w:rsidR="008D5EC3" w:rsidRPr="00F25744" w:rsidRDefault="008D5EC3" w:rsidP="008D5EC3">
      <w:pPr>
        <w:spacing w:before="120" w:after="0" w:line="360" w:lineRule="auto"/>
        <w:jc w:val="both"/>
        <w:rPr>
          <w:rFonts w:cs="David"/>
          <w:sz w:val="24"/>
          <w:szCs w:val="24"/>
          <w:rtl/>
        </w:rPr>
      </w:pPr>
      <w:r w:rsidRPr="00F25744">
        <w:rPr>
          <w:rFonts w:cs="David" w:hint="cs"/>
          <w:sz w:val="24"/>
          <w:szCs w:val="24"/>
          <w:rtl/>
        </w:rPr>
        <w:t xml:space="preserve">במהלך התיקוף המחקרי השני, שנועד לתקף את הפערים שנמצאו בין זמני התיקים המקבילים הנדונים במחוזי ובשלום, בעיקר תיקי ת"א ות"פ, חיפשנו ומצאנו שופטים שמונו מבתי משפט השלום למחוזי בשנים האחרונות, ואשר טיפלו בסוגי התיקים הרלוונטיים גם בשלום וגם במחוזי, וכך יוכלו להשיב לנו על אודות ההבדלים בזמני הטיפול בין הערכאות. סך הכול שלחנו שאלונים העוסקים בהשוואות בין המחוזי לשלום ל-39 שופטים, וקיבלנו 33 תשובות. </w:t>
      </w:r>
    </w:p>
    <w:p w14:paraId="1FE03D67" w14:textId="77777777" w:rsidR="00B50F5B" w:rsidRDefault="008D5EC3" w:rsidP="008D5EC3">
      <w:pPr>
        <w:spacing w:before="120" w:after="0" w:line="360" w:lineRule="auto"/>
        <w:jc w:val="both"/>
        <w:rPr>
          <w:rFonts w:cs="David"/>
          <w:sz w:val="24"/>
          <w:szCs w:val="24"/>
          <w:rtl/>
        </w:rPr>
      </w:pPr>
      <w:r w:rsidRPr="00F25744">
        <w:rPr>
          <w:rFonts w:cs="David" w:hint="cs"/>
          <w:sz w:val="24"/>
          <w:szCs w:val="24"/>
          <w:rtl/>
        </w:rPr>
        <w:lastRenderedPageBreak/>
        <w:t>את הנתונים שהתקבלו במענה על השאלונים ובשיחות הטלפוניות שביצענו קודדנו, ניתחנו ועיבדנו. ככלל, מהלכי התיקוף הנוספים הללו אכן אישרו ותיקפו את ממצאי המחקר, ואף חידדו ביתר שאת את היתרון של ביצוע מחקר זמנים בזמן אמת על פני מחקר הערכה. נפרט בהרחבה על מהלכי תיקוף נוספים אלו, על ממצאיהם ועל המסקנות שעלו מהם בפרק העוסק בממצאי ערכאת המחוזי.</w:t>
      </w:r>
    </w:p>
    <w:p w14:paraId="4346501B" w14:textId="4794507A" w:rsidR="008D5EC3" w:rsidRDefault="008D5EC3" w:rsidP="00B50F5B">
      <w:pPr>
        <w:spacing w:before="120" w:after="0" w:line="240" w:lineRule="auto"/>
        <w:jc w:val="both"/>
        <w:rPr>
          <w:rFonts w:cs="David"/>
          <w:sz w:val="24"/>
          <w:szCs w:val="24"/>
          <w:rtl/>
        </w:rPr>
      </w:pPr>
      <w:r w:rsidRPr="00F25744">
        <w:rPr>
          <w:rFonts w:cs="David" w:hint="cs"/>
          <w:sz w:val="24"/>
          <w:szCs w:val="24"/>
          <w:rtl/>
        </w:rPr>
        <w:t xml:space="preserve"> </w:t>
      </w:r>
    </w:p>
    <w:p w14:paraId="4D61603E" w14:textId="1B38586F" w:rsidR="00B50F5B" w:rsidRPr="0008355F" w:rsidRDefault="00B50F5B" w:rsidP="00A54D82">
      <w:pPr>
        <w:pStyle w:val="3"/>
        <w:ind w:left="852"/>
      </w:pPr>
      <w:bookmarkStart w:id="183" w:name="_Toc74750961"/>
      <w:r w:rsidRPr="0008355F">
        <w:rPr>
          <w:rFonts w:hint="cs"/>
          <w:rtl/>
        </w:rPr>
        <w:t>הערכת משקלות תיקים שלא נמדדו במסגרת המחקר</w:t>
      </w:r>
      <w:bookmarkEnd w:id="183"/>
    </w:p>
    <w:p w14:paraId="79D5678F" w14:textId="77777777" w:rsidR="00FD6389" w:rsidRPr="0008355F" w:rsidRDefault="00B50F5B" w:rsidP="00227D0D">
      <w:pPr>
        <w:spacing w:before="120" w:after="0" w:line="360" w:lineRule="auto"/>
        <w:jc w:val="both"/>
        <w:rPr>
          <w:rFonts w:cs="David"/>
          <w:sz w:val="24"/>
          <w:szCs w:val="24"/>
          <w:rtl/>
        </w:rPr>
      </w:pPr>
      <w:r w:rsidRPr="0008355F">
        <w:rPr>
          <w:rFonts w:cs="David" w:hint="cs"/>
          <w:sz w:val="24"/>
          <w:szCs w:val="24"/>
          <w:rtl/>
        </w:rPr>
        <w:t xml:space="preserve">במסגרת מחקר זה נמדדו זמניהם של </w:t>
      </w:r>
      <w:r w:rsidR="004836DE" w:rsidRPr="0008355F">
        <w:rPr>
          <w:rFonts w:cs="David" w:hint="cs"/>
          <w:sz w:val="24"/>
          <w:szCs w:val="24"/>
          <w:rtl/>
        </w:rPr>
        <w:t>כ</w:t>
      </w:r>
      <w:r w:rsidRPr="0008355F">
        <w:rPr>
          <w:rFonts w:cs="David" w:hint="cs"/>
          <w:sz w:val="24"/>
          <w:szCs w:val="24"/>
          <w:rtl/>
        </w:rPr>
        <w:t xml:space="preserve">-99% מתמהיל התיקים שנסגרו במערכת בשנת 2019. </w:t>
      </w:r>
      <w:r w:rsidR="0056661F" w:rsidRPr="0008355F">
        <w:rPr>
          <w:rFonts w:cs="David" w:hint="cs"/>
          <w:sz w:val="24"/>
          <w:szCs w:val="24"/>
          <w:rtl/>
        </w:rPr>
        <w:t xml:space="preserve">עם זאת, </w:t>
      </w:r>
      <w:r w:rsidR="00B76E52" w:rsidRPr="0008355F">
        <w:rPr>
          <w:rFonts w:cs="David" w:hint="cs"/>
          <w:sz w:val="24"/>
          <w:szCs w:val="24"/>
          <w:rtl/>
        </w:rPr>
        <w:t xml:space="preserve">על מנת להשלים את תמונת העומסים במערכת, ביצענו מהלך מחקרי נוסף, לאחר סיום מחקר זה, שבו ניסינו להעריך את זמני הטיפול בתיקים שלא נמדדו במסגרת המחקר, משום שלא התקבלו לגביהם די נתונים. </w:t>
      </w:r>
    </w:p>
    <w:p w14:paraId="6B05D2DA" w14:textId="548AB6B6" w:rsidR="00FD6389" w:rsidRPr="0008355F" w:rsidRDefault="00FD6389" w:rsidP="003E67B5">
      <w:pPr>
        <w:spacing w:before="120" w:after="0" w:line="360" w:lineRule="auto"/>
        <w:jc w:val="both"/>
        <w:rPr>
          <w:rFonts w:cs="David"/>
          <w:sz w:val="24"/>
          <w:szCs w:val="24"/>
          <w:rtl/>
        </w:rPr>
      </w:pPr>
      <w:r w:rsidRPr="0008355F">
        <w:rPr>
          <w:rFonts w:cs="David" w:hint="cs"/>
          <w:sz w:val="24"/>
          <w:szCs w:val="24"/>
          <w:rtl/>
        </w:rPr>
        <w:t>לאחר שבנינו שאלונים ייחודיים לצורך הערכת זמני הטיפול בתיקים אלו, שלחנו 180 שאלונים לשופטים העיקריים המטפלים באותו סוג תיק מכל ערכאה ומחוז בשנה שנתיים האחרונות, וערכנו שיחות טלפוניות מקיפות עם שבעה שופטים מהערכאות השונות. קיבלנו כ-</w:t>
      </w:r>
      <w:r w:rsidRPr="0008355F">
        <w:rPr>
          <w:rFonts w:cs="David"/>
          <w:sz w:val="24"/>
          <w:szCs w:val="24"/>
          <w:rtl/>
        </w:rPr>
        <w:t xml:space="preserve"> </w:t>
      </w:r>
      <w:r w:rsidRPr="0008355F">
        <w:rPr>
          <w:rFonts w:cs="David" w:hint="cs"/>
          <w:sz w:val="24"/>
          <w:szCs w:val="24"/>
          <w:rtl/>
        </w:rPr>
        <w:t>100</w:t>
      </w:r>
      <w:r w:rsidRPr="0008355F">
        <w:rPr>
          <w:rFonts w:cs="David"/>
          <w:sz w:val="24"/>
          <w:szCs w:val="24"/>
          <w:rtl/>
        </w:rPr>
        <w:t xml:space="preserve"> תשובות מהשופטים</w:t>
      </w:r>
      <w:r w:rsidR="001C2176" w:rsidRPr="0008355F">
        <w:rPr>
          <w:rFonts w:cs="David" w:hint="cs"/>
          <w:sz w:val="24"/>
          <w:szCs w:val="24"/>
          <w:rtl/>
        </w:rPr>
        <w:t xml:space="preserve"> על השאלונים, ול</w:t>
      </w:r>
      <w:r w:rsidRPr="0008355F">
        <w:rPr>
          <w:rFonts w:cs="David"/>
          <w:sz w:val="24"/>
          <w:szCs w:val="24"/>
          <w:rtl/>
        </w:rPr>
        <w:t>חלק מן השופטים</w:t>
      </w:r>
      <w:r w:rsidRPr="0008355F">
        <w:rPr>
          <w:rFonts w:cs="David" w:hint="cs"/>
          <w:sz w:val="24"/>
          <w:szCs w:val="24"/>
          <w:rtl/>
        </w:rPr>
        <w:t xml:space="preserve"> שהשיבו על השאלונים </w:t>
      </w:r>
      <w:r w:rsidRPr="0008355F">
        <w:rPr>
          <w:rFonts w:cs="David"/>
          <w:sz w:val="24"/>
          <w:szCs w:val="24"/>
          <w:rtl/>
        </w:rPr>
        <w:t xml:space="preserve">חזרנו בשאלות הבהרה שונות. את תשובות השופטים </w:t>
      </w:r>
      <w:r w:rsidRPr="0008355F">
        <w:rPr>
          <w:rFonts w:cs="David" w:hint="cs"/>
          <w:sz w:val="24"/>
          <w:szCs w:val="24"/>
          <w:rtl/>
        </w:rPr>
        <w:t>על השאלונים</w:t>
      </w:r>
      <w:r w:rsidRPr="0008355F">
        <w:rPr>
          <w:rFonts w:cs="David"/>
          <w:sz w:val="24"/>
          <w:szCs w:val="24"/>
          <w:rtl/>
        </w:rPr>
        <w:t xml:space="preserve"> קודדנו, עיבדנו וניתחנו</w:t>
      </w:r>
      <w:r w:rsidRPr="0008355F">
        <w:rPr>
          <w:rFonts w:cs="David" w:hint="cs"/>
          <w:sz w:val="24"/>
          <w:szCs w:val="24"/>
          <w:rtl/>
        </w:rPr>
        <w:t xml:space="preserve">, ולבסוף גיבשנו משקלות </w:t>
      </w:r>
      <w:r w:rsidRPr="003E67B5">
        <w:rPr>
          <w:rFonts w:cs="David" w:hint="cs"/>
          <w:sz w:val="24"/>
          <w:szCs w:val="24"/>
          <w:rtl/>
        </w:rPr>
        <w:t>מוערכים ל-</w:t>
      </w:r>
      <w:r w:rsidR="003E67B5">
        <w:rPr>
          <w:rFonts w:cs="David" w:hint="cs"/>
          <w:sz w:val="24"/>
          <w:szCs w:val="24"/>
          <w:rtl/>
        </w:rPr>
        <w:t>44</w:t>
      </w:r>
      <w:r w:rsidRPr="003E67B5">
        <w:rPr>
          <w:rFonts w:cs="David" w:hint="cs"/>
          <w:sz w:val="24"/>
          <w:szCs w:val="24"/>
          <w:rtl/>
        </w:rPr>
        <w:t xml:space="preserve"> סוגי תיקים מכל הערכאות</w:t>
      </w:r>
      <w:r w:rsidRPr="003E67B5">
        <w:rPr>
          <w:rFonts w:cs="David"/>
          <w:sz w:val="24"/>
          <w:szCs w:val="24"/>
          <w:rtl/>
        </w:rPr>
        <w:t>.</w:t>
      </w:r>
      <w:r w:rsidRPr="0008355F">
        <w:rPr>
          <w:rFonts w:cs="David" w:hint="cs"/>
          <w:sz w:val="24"/>
          <w:szCs w:val="24"/>
          <w:rtl/>
        </w:rPr>
        <w:t xml:space="preserve"> </w:t>
      </w:r>
    </w:p>
    <w:p w14:paraId="50EF0FE8" w14:textId="69EFEB97" w:rsidR="00B50F5B" w:rsidRPr="00F25744" w:rsidRDefault="001C2176" w:rsidP="001C2176">
      <w:pPr>
        <w:spacing w:before="120" w:after="0" w:line="360" w:lineRule="auto"/>
        <w:jc w:val="both"/>
        <w:rPr>
          <w:rFonts w:cs="David"/>
          <w:sz w:val="24"/>
          <w:szCs w:val="24"/>
          <w:rtl/>
        </w:rPr>
      </w:pPr>
      <w:r w:rsidRPr="0008355F">
        <w:rPr>
          <w:rFonts w:cs="David" w:hint="cs"/>
          <w:sz w:val="24"/>
          <w:szCs w:val="24"/>
          <w:rtl/>
        </w:rPr>
        <w:t xml:space="preserve">חשוב להסביר, כי </w:t>
      </w:r>
      <w:r w:rsidR="005927A4" w:rsidRPr="0008355F">
        <w:rPr>
          <w:rFonts w:cs="David" w:hint="cs"/>
          <w:sz w:val="24"/>
          <w:szCs w:val="24"/>
          <w:rtl/>
        </w:rPr>
        <w:t xml:space="preserve">מהלך מחקרי נוסף זה לא </w:t>
      </w:r>
      <w:r w:rsidRPr="0008355F">
        <w:rPr>
          <w:rFonts w:cs="David" w:hint="cs"/>
          <w:sz w:val="24"/>
          <w:szCs w:val="24"/>
          <w:rtl/>
        </w:rPr>
        <w:t>נ</w:t>
      </w:r>
      <w:r w:rsidR="005927A4" w:rsidRPr="0008355F">
        <w:rPr>
          <w:rFonts w:cs="David" w:hint="cs"/>
          <w:sz w:val="24"/>
          <w:szCs w:val="24"/>
          <w:rtl/>
        </w:rPr>
        <w:t>כלל במסגרת המחקר</w:t>
      </w:r>
      <w:r w:rsidR="00BD3DA0" w:rsidRPr="0008355F">
        <w:rPr>
          <w:rFonts w:cs="David" w:hint="cs"/>
          <w:sz w:val="24"/>
          <w:szCs w:val="24"/>
          <w:rtl/>
        </w:rPr>
        <w:t xml:space="preserve">, אשר מבוסס כאמור על מדידת זמני הטיפול בתיקים בזמן אמת, אולם המשקלות המוערכים של אותם תיקים יפורטו כנספח למסמך זה, </w:t>
      </w:r>
      <w:r w:rsidR="00503FF1" w:rsidRPr="0008355F">
        <w:rPr>
          <w:rFonts w:cs="David" w:hint="cs"/>
          <w:sz w:val="24"/>
          <w:szCs w:val="24"/>
          <w:rtl/>
        </w:rPr>
        <w:t>ב</w:t>
      </w:r>
      <w:r w:rsidR="00503FF1" w:rsidRPr="0008355F">
        <w:rPr>
          <w:rFonts w:cs="David" w:hint="cs"/>
          <w:b/>
          <w:bCs/>
          <w:sz w:val="24"/>
          <w:szCs w:val="24"/>
          <w:rtl/>
        </w:rPr>
        <w:t>נספח ט'</w:t>
      </w:r>
      <w:r w:rsidR="00503FF1" w:rsidRPr="0008355F">
        <w:rPr>
          <w:rFonts w:cs="David" w:hint="cs"/>
          <w:sz w:val="24"/>
          <w:szCs w:val="24"/>
          <w:rtl/>
        </w:rPr>
        <w:t>.</w:t>
      </w:r>
      <w:r w:rsidR="00BD3DA0" w:rsidRPr="0008355F">
        <w:rPr>
          <w:rFonts w:cs="David" w:hint="cs"/>
          <w:sz w:val="24"/>
          <w:szCs w:val="24"/>
          <w:rtl/>
        </w:rPr>
        <w:t xml:space="preserve"> נפרט מעט יותר על אופן ביצוע </w:t>
      </w:r>
      <w:r w:rsidRPr="0008355F">
        <w:rPr>
          <w:rFonts w:cs="David" w:hint="cs"/>
          <w:sz w:val="24"/>
          <w:szCs w:val="24"/>
          <w:rtl/>
        </w:rPr>
        <w:t xml:space="preserve">מהלך </w:t>
      </w:r>
      <w:r w:rsidR="00BD3DA0" w:rsidRPr="0008355F">
        <w:rPr>
          <w:rFonts w:cs="David" w:hint="cs"/>
          <w:sz w:val="24"/>
          <w:szCs w:val="24"/>
          <w:rtl/>
        </w:rPr>
        <w:t>מחקרי</w:t>
      </w:r>
      <w:r w:rsidRPr="0008355F">
        <w:rPr>
          <w:rFonts w:cs="David" w:hint="cs"/>
          <w:sz w:val="24"/>
          <w:szCs w:val="24"/>
          <w:rtl/>
        </w:rPr>
        <w:t xml:space="preserve"> נוסף זה </w:t>
      </w:r>
      <w:r w:rsidR="00BD3DA0" w:rsidRPr="0008355F">
        <w:rPr>
          <w:rFonts w:cs="David" w:hint="cs"/>
          <w:sz w:val="24"/>
          <w:szCs w:val="24"/>
          <w:rtl/>
        </w:rPr>
        <w:t>של הערכת משקלות התיקים שלא נמדדו במסגרת המחקר</w:t>
      </w:r>
      <w:r w:rsidR="004836DE" w:rsidRPr="0008355F">
        <w:rPr>
          <w:rFonts w:cs="David" w:hint="cs"/>
          <w:sz w:val="24"/>
          <w:szCs w:val="24"/>
          <w:rtl/>
        </w:rPr>
        <w:t>,</w:t>
      </w:r>
      <w:r w:rsidR="00BD3DA0" w:rsidRPr="0008355F">
        <w:rPr>
          <w:rFonts w:cs="David" w:hint="cs"/>
          <w:sz w:val="24"/>
          <w:szCs w:val="24"/>
          <w:rtl/>
        </w:rPr>
        <w:t xml:space="preserve"> בפרק הממצאים הכלל מערכתיים (פרק 3.7.</w:t>
      </w:r>
      <w:r w:rsidR="00227D0D" w:rsidRPr="0008355F">
        <w:rPr>
          <w:rFonts w:cs="David" w:hint="cs"/>
          <w:sz w:val="24"/>
          <w:szCs w:val="24"/>
          <w:rtl/>
        </w:rPr>
        <w:t>3</w:t>
      </w:r>
      <w:r w:rsidR="00BD3DA0" w:rsidRPr="0008355F">
        <w:rPr>
          <w:rFonts w:cs="David" w:hint="cs"/>
          <w:sz w:val="24"/>
          <w:szCs w:val="24"/>
          <w:rtl/>
        </w:rPr>
        <w:t>).</w:t>
      </w:r>
      <w:r w:rsidR="00B50F5B">
        <w:rPr>
          <w:rFonts w:cs="David" w:hint="cs"/>
          <w:sz w:val="24"/>
          <w:szCs w:val="24"/>
          <w:rtl/>
        </w:rPr>
        <w:t xml:space="preserve"> </w:t>
      </w:r>
    </w:p>
    <w:p w14:paraId="4D6C3B09" w14:textId="77777777" w:rsidR="00C344AA" w:rsidRPr="00F25744" w:rsidRDefault="00C344AA" w:rsidP="00C344AA">
      <w:pPr>
        <w:pStyle w:val="3"/>
        <w:numPr>
          <w:ilvl w:val="0"/>
          <w:numId w:val="0"/>
        </w:numPr>
        <w:spacing w:line="240" w:lineRule="auto"/>
        <w:ind w:left="720"/>
      </w:pPr>
    </w:p>
    <w:p w14:paraId="4C21B3CB" w14:textId="77777777" w:rsidR="006227EC" w:rsidRPr="00F25744" w:rsidRDefault="00E25AE7" w:rsidP="00A54D82">
      <w:pPr>
        <w:pStyle w:val="3"/>
        <w:ind w:left="852"/>
        <w:rPr>
          <w:rtl/>
        </w:rPr>
      </w:pPr>
      <w:bookmarkStart w:id="184" w:name="_Toc74750962"/>
      <w:r w:rsidRPr="00F25744">
        <w:rPr>
          <w:rFonts w:hint="cs"/>
          <w:rtl/>
        </w:rPr>
        <w:t>ביצוע הדרכות לקראת תקופת המחקר בקרב השופטים, הרשמים, והעוזרים המשפטיים</w:t>
      </w:r>
      <w:r w:rsidR="00047F17" w:rsidRPr="00F25744">
        <w:rPr>
          <w:rFonts w:hint="cs"/>
          <w:rtl/>
        </w:rPr>
        <w:t xml:space="preserve"> </w:t>
      </w:r>
      <w:r w:rsidRPr="00F25744">
        <w:rPr>
          <w:rFonts w:hint="cs"/>
          <w:rtl/>
        </w:rPr>
        <w:t>ברחבי הארץ</w:t>
      </w:r>
      <w:bookmarkEnd w:id="172"/>
      <w:bookmarkEnd w:id="173"/>
      <w:bookmarkEnd w:id="174"/>
      <w:bookmarkEnd w:id="175"/>
      <w:bookmarkEnd w:id="176"/>
      <w:bookmarkEnd w:id="177"/>
      <w:bookmarkEnd w:id="178"/>
      <w:bookmarkEnd w:id="179"/>
      <w:bookmarkEnd w:id="180"/>
      <w:bookmarkEnd w:id="181"/>
      <w:bookmarkEnd w:id="182"/>
      <w:bookmarkEnd w:id="184"/>
    </w:p>
    <w:p w14:paraId="43FB3F53" w14:textId="77777777" w:rsidR="00754DF0" w:rsidRPr="00F25744" w:rsidRDefault="00E25AE7" w:rsidP="00BD23BB">
      <w:pPr>
        <w:spacing w:before="120" w:after="0" w:line="360" w:lineRule="auto"/>
        <w:jc w:val="both"/>
        <w:rPr>
          <w:rFonts w:cs="David"/>
          <w:sz w:val="24"/>
          <w:szCs w:val="24"/>
          <w:rtl/>
        </w:rPr>
      </w:pPr>
      <w:r w:rsidRPr="00F25744">
        <w:rPr>
          <w:rFonts w:cs="David" w:hint="cs"/>
          <w:sz w:val="24"/>
          <w:szCs w:val="24"/>
          <w:rtl/>
        </w:rPr>
        <w:t xml:space="preserve">לאחר בניית יומני העבודה הידניים והממוחשבים שיועדו למילוי פשוט ויומיומי על ידי השופטים, הכינה מחלקת המחקר מצגות ייעודיות להדרכת השופטים לכל ערכאה בנוגע לאופן מילוי היומנים. לאור ריבוי השופטים ובתי המשפט </w:t>
      </w:r>
      <w:r w:rsidRPr="00F25744">
        <w:rPr>
          <w:rFonts w:cs="David" w:hint="eastAsia"/>
          <w:sz w:val="24"/>
          <w:szCs w:val="24"/>
          <w:rtl/>
        </w:rPr>
        <w:t>והמחסור</w:t>
      </w:r>
      <w:r w:rsidRPr="00F25744">
        <w:rPr>
          <w:rFonts w:cs="David"/>
          <w:sz w:val="24"/>
          <w:szCs w:val="24"/>
          <w:rtl/>
        </w:rPr>
        <w:t xml:space="preserve"> </w:t>
      </w:r>
      <w:r w:rsidRPr="00F25744">
        <w:rPr>
          <w:rFonts w:cs="David" w:hint="eastAsia"/>
          <w:sz w:val="24"/>
          <w:szCs w:val="24"/>
          <w:rtl/>
        </w:rPr>
        <w:t>בכוח</w:t>
      </w:r>
      <w:r w:rsidRPr="00F25744">
        <w:rPr>
          <w:rFonts w:cs="David"/>
          <w:sz w:val="24"/>
          <w:szCs w:val="24"/>
          <w:rtl/>
        </w:rPr>
        <w:t xml:space="preserve"> </w:t>
      </w:r>
      <w:r w:rsidRPr="00F25744">
        <w:rPr>
          <w:rFonts w:cs="David" w:hint="eastAsia"/>
          <w:sz w:val="24"/>
          <w:szCs w:val="24"/>
          <w:rtl/>
        </w:rPr>
        <w:t>אדם</w:t>
      </w:r>
      <w:r w:rsidRPr="00F25744">
        <w:rPr>
          <w:rFonts w:cs="David"/>
          <w:sz w:val="24"/>
          <w:szCs w:val="24"/>
          <w:rtl/>
        </w:rPr>
        <w:t xml:space="preserve"> </w:t>
      </w:r>
      <w:r w:rsidRPr="00F25744">
        <w:rPr>
          <w:rFonts w:cs="David" w:hint="eastAsia"/>
          <w:sz w:val="24"/>
          <w:szCs w:val="24"/>
          <w:rtl/>
        </w:rPr>
        <w:t>במחלקה</w:t>
      </w:r>
      <w:r w:rsidRPr="00F25744">
        <w:rPr>
          <w:rFonts w:cs="David"/>
          <w:sz w:val="24"/>
          <w:szCs w:val="24"/>
          <w:rtl/>
        </w:rPr>
        <w:t xml:space="preserve"> </w:t>
      </w:r>
      <w:r w:rsidRPr="00F25744">
        <w:rPr>
          <w:rFonts w:cs="David" w:hint="eastAsia"/>
          <w:sz w:val="24"/>
          <w:szCs w:val="24"/>
          <w:rtl/>
        </w:rPr>
        <w:t>בעת</w:t>
      </w:r>
      <w:r w:rsidRPr="00F25744">
        <w:rPr>
          <w:rFonts w:cs="David"/>
          <w:sz w:val="24"/>
          <w:szCs w:val="24"/>
          <w:rtl/>
        </w:rPr>
        <w:t xml:space="preserve"> </w:t>
      </w:r>
      <w:r w:rsidRPr="00F25744">
        <w:rPr>
          <w:rFonts w:cs="David" w:hint="eastAsia"/>
          <w:sz w:val="24"/>
          <w:szCs w:val="24"/>
          <w:rtl/>
        </w:rPr>
        <w:t>ביצוע</w:t>
      </w:r>
      <w:r w:rsidRPr="00F25744">
        <w:rPr>
          <w:rFonts w:cs="David"/>
          <w:sz w:val="24"/>
          <w:szCs w:val="24"/>
          <w:rtl/>
        </w:rPr>
        <w:t xml:space="preserve"> </w:t>
      </w:r>
      <w:r w:rsidRPr="00F25744">
        <w:rPr>
          <w:rFonts w:cs="David" w:hint="eastAsia"/>
          <w:sz w:val="24"/>
          <w:szCs w:val="24"/>
          <w:rtl/>
        </w:rPr>
        <w:t>המחקר</w:t>
      </w:r>
      <w:r w:rsidRPr="00F25744">
        <w:rPr>
          <w:rFonts w:cs="David"/>
          <w:sz w:val="24"/>
          <w:szCs w:val="24"/>
          <w:rtl/>
        </w:rPr>
        <w:t>,</w:t>
      </w:r>
      <w:r w:rsidRPr="00F25744">
        <w:rPr>
          <w:rFonts w:cs="David" w:hint="cs"/>
          <w:sz w:val="24"/>
          <w:szCs w:val="24"/>
          <w:rtl/>
        </w:rPr>
        <w:t xml:space="preserve"> הוחלט בעצה אחת עם נשיאת בית המשפט העליון ומנהל בתי המשפט, כי ההדרכות תועברנה על ידי עוזרים משפטיים אשר ייבחרו על ידי נשיאי בתי המשפט.</w:t>
      </w:r>
      <w:r w:rsidRPr="00F25744">
        <w:rPr>
          <w:rStyle w:val="a6"/>
          <w:rtl/>
        </w:rPr>
        <w:footnoteReference w:id="17"/>
      </w:r>
      <w:r w:rsidRPr="00F25744">
        <w:rPr>
          <w:rFonts w:cs="David" w:hint="cs"/>
          <w:sz w:val="24"/>
          <w:szCs w:val="24"/>
          <w:rtl/>
        </w:rPr>
        <w:t xml:space="preserve"> </w:t>
      </w:r>
      <w:r w:rsidR="00A715A8" w:rsidRPr="00F25744">
        <w:rPr>
          <w:rFonts w:cs="David" w:hint="cs"/>
          <w:sz w:val="24"/>
          <w:szCs w:val="24"/>
          <w:rtl/>
        </w:rPr>
        <w:t xml:space="preserve">יוער, כי לכשיוחלט על חידוש המחקר, עדיף שהדרכות כאלו יבוצעו על ידי מחלקת המחקר במטרה להגביר את הביטחון של השופטים והרשמים במערך המחקר והשגת שיתוף הפעולה המלא מצדם. </w:t>
      </w:r>
      <w:r w:rsidRPr="00F25744">
        <w:rPr>
          <w:rFonts w:cs="David" w:hint="eastAsia"/>
          <w:sz w:val="24"/>
          <w:szCs w:val="24"/>
          <w:rtl/>
        </w:rPr>
        <w:t>לאור</w:t>
      </w:r>
      <w:r w:rsidRPr="00F25744">
        <w:rPr>
          <w:rFonts w:cs="David"/>
          <w:sz w:val="24"/>
          <w:szCs w:val="24"/>
          <w:rtl/>
        </w:rPr>
        <w:t xml:space="preserve"> </w:t>
      </w:r>
      <w:r w:rsidRPr="00F25744">
        <w:rPr>
          <w:rFonts w:cs="David" w:hint="eastAsia"/>
          <w:sz w:val="24"/>
          <w:szCs w:val="24"/>
          <w:rtl/>
        </w:rPr>
        <w:t>המצב</w:t>
      </w:r>
      <w:r w:rsidRPr="00F25744">
        <w:rPr>
          <w:rFonts w:cs="David"/>
          <w:sz w:val="24"/>
          <w:szCs w:val="24"/>
          <w:rtl/>
        </w:rPr>
        <w:t>,</w:t>
      </w:r>
      <w:r w:rsidRPr="00F25744">
        <w:rPr>
          <w:rFonts w:cs="David" w:hint="cs"/>
          <w:sz w:val="24"/>
          <w:szCs w:val="24"/>
          <w:rtl/>
        </w:rPr>
        <w:t xml:space="preserve"> בחלק מבתי המשפט נערכו הדרכות על ידי מנהלת מחלקת המחקר לשם גיוס שיתוף הפעולה מצד השופטים, הבהרות הנוגעות לאופן ביצוע המחק</w:t>
      </w:r>
      <w:r w:rsidR="00A715A8" w:rsidRPr="00F25744">
        <w:rPr>
          <w:rFonts w:cs="David" w:hint="cs"/>
          <w:sz w:val="24"/>
          <w:szCs w:val="24"/>
          <w:rtl/>
        </w:rPr>
        <w:t>ר ומענה על שאלות שונות שהתעוררו.</w:t>
      </w:r>
      <w:r w:rsidRPr="00F25744">
        <w:rPr>
          <w:rFonts w:cs="David" w:hint="cs"/>
          <w:sz w:val="24"/>
          <w:szCs w:val="24"/>
          <w:rtl/>
        </w:rPr>
        <w:t xml:space="preserve"> </w:t>
      </w:r>
    </w:p>
    <w:p w14:paraId="18B91F0F" w14:textId="5F179652" w:rsidR="006227EC" w:rsidRPr="00F25744" w:rsidRDefault="00E25AE7" w:rsidP="00BD23BB">
      <w:pPr>
        <w:spacing w:before="120" w:after="0" w:line="360" w:lineRule="auto"/>
        <w:jc w:val="both"/>
        <w:rPr>
          <w:rFonts w:cs="David"/>
          <w:sz w:val="24"/>
          <w:szCs w:val="24"/>
          <w:rtl/>
        </w:rPr>
      </w:pPr>
      <w:r w:rsidRPr="00F25744">
        <w:rPr>
          <w:rFonts w:cs="David" w:hint="cs"/>
          <w:sz w:val="24"/>
          <w:szCs w:val="24"/>
          <w:rtl/>
        </w:rPr>
        <w:lastRenderedPageBreak/>
        <w:t>מחלקת המחקר העבירה לעוזרים המשפטיים שנבחרו הדרכות ברמה המחוזית. בהדרכות הוצגה המצגת שתועבר על יד</w:t>
      </w:r>
      <w:r w:rsidR="0008355F">
        <w:rPr>
          <w:rFonts w:cs="David" w:hint="cs"/>
          <w:sz w:val="24"/>
          <w:szCs w:val="24"/>
          <w:rtl/>
        </w:rPr>
        <w:t>יה</w:t>
      </w:r>
      <w:r w:rsidRPr="00F25744">
        <w:rPr>
          <w:rFonts w:cs="David" w:hint="cs"/>
          <w:sz w:val="24"/>
          <w:szCs w:val="24"/>
          <w:rtl/>
        </w:rPr>
        <w:t>ם, הוסבר להם על המחקר ומטרותיו, והועבר</w:t>
      </w:r>
      <w:r w:rsidR="00856F22" w:rsidRPr="00F25744">
        <w:rPr>
          <w:rFonts w:cs="David" w:hint="cs"/>
          <w:sz w:val="24"/>
          <w:szCs w:val="24"/>
          <w:rtl/>
        </w:rPr>
        <w:t>ו</w:t>
      </w:r>
      <w:r w:rsidRPr="00F25744">
        <w:rPr>
          <w:rFonts w:cs="David" w:hint="cs"/>
          <w:sz w:val="24"/>
          <w:szCs w:val="24"/>
          <w:rtl/>
        </w:rPr>
        <w:t xml:space="preserve"> ליד</w:t>
      </w:r>
      <w:r w:rsidR="0008355F">
        <w:rPr>
          <w:rFonts w:cs="David" w:hint="cs"/>
          <w:sz w:val="24"/>
          <w:szCs w:val="24"/>
          <w:rtl/>
        </w:rPr>
        <w:t>יה</w:t>
      </w:r>
      <w:r w:rsidRPr="00F25744">
        <w:rPr>
          <w:rFonts w:cs="David" w:hint="cs"/>
          <w:sz w:val="24"/>
          <w:szCs w:val="24"/>
          <w:rtl/>
        </w:rPr>
        <w:t>ם</w:t>
      </w:r>
      <w:r w:rsidR="00856F22" w:rsidRPr="00F25744">
        <w:rPr>
          <w:rFonts w:cs="David" w:hint="cs"/>
          <w:sz w:val="24"/>
          <w:szCs w:val="24"/>
          <w:rtl/>
        </w:rPr>
        <w:t xml:space="preserve"> </w:t>
      </w:r>
      <w:r w:rsidRPr="00F25744">
        <w:rPr>
          <w:rFonts w:cs="David" w:hint="cs"/>
          <w:sz w:val="24"/>
          <w:szCs w:val="24"/>
          <w:rtl/>
        </w:rPr>
        <w:t xml:space="preserve">החומרים שעליהם לחלק לשופטים במהלך ההדרכות. </w:t>
      </w:r>
    </w:p>
    <w:p w14:paraId="10E93601" w14:textId="77777777" w:rsidR="006227EC" w:rsidRPr="00F25744" w:rsidRDefault="00E25AE7" w:rsidP="00BD23BB">
      <w:pPr>
        <w:spacing w:before="120" w:after="0" w:line="360" w:lineRule="auto"/>
        <w:jc w:val="both"/>
        <w:rPr>
          <w:rFonts w:cs="David"/>
          <w:sz w:val="24"/>
          <w:szCs w:val="24"/>
          <w:rtl/>
        </w:rPr>
      </w:pPr>
      <w:r w:rsidRPr="00F25744">
        <w:rPr>
          <w:rFonts w:cs="David" w:hint="cs"/>
          <w:sz w:val="24"/>
          <w:szCs w:val="24"/>
          <w:rtl/>
        </w:rPr>
        <w:t>העוזרים המשפטיים לא רק העבירו הדרכות לשופטים</w:t>
      </w:r>
      <w:r w:rsidR="00412A6C" w:rsidRPr="00F25744">
        <w:rPr>
          <w:rFonts w:cs="David" w:hint="cs"/>
          <w:sz w:val="24"/>
          <w:szCs w:val="24"/>
          <w:rtl/>
        </w:rPr>
        <w:t>,</w:t>
      </w:r>
      <w:r w:rsidRPr="00F25744">
        <w:rPr>
          <w:rFonts w:cs="David" w:hint="cs"/>
          <w:sz w:val="24"/>
          <w:szCs w:val="24"/>
          <w:rtl/>
        </w:rPr>
        <w:t xml:space="preserve"> אלא גם היוו כתובת לפניות מצד שופטים בשאלות לגבי המחקר אשר רוכזו והועברו למחלקת המחקר, </w:t>
      </w:r>
      <w:r w:rsidR="00A12C41" w:rsidRPr="00F25744">
        <w:rPr>
          <w:rFonts w:cs="David" w:hint="cs"/>
          <w:sz w:val="24"/>
          <w:szCs w:val="24"/>
          <w:rtl/>
        </w:rPr>
        <w:t xml:space="preserve">כמו גם </w:t>
      </w:r>
      <w:r w:rsidRPr="00F25744">
        <w:rPr>
          <w:rFonts w:cs="David" w:hint="cs"/>
          <w:sz w:val="24"/>
          <w:szCs w:val="24"/>
          <w:rtl/>
        </w:rPr>
        <w:t>לכל עזרה אחרת לשופטים במהלך תקופת המחקר.</w:t>
      </w:r>
    </w:p>
    <w:p w14:paraId="5DC976A4" w14:textId="77777777" w:rsidR="006227EC" w:rsidRPr="00F25744" w:rsidRDefault="00E25AE7" w:rsidP="00BD23BB">
      <w:pPr>
        <w:spacing w:before="120" w:after="0" w:line="360" w:lineRule="auto"/>
        <w:jc w:val="both"/>
        <w:rPr>
          <w:rFonts w:cs="David"/>
          <w:sz w:val="24"/>
          <w:szCs w:val="24"/>
          <w:rtl/>
        </w:rPr>
      </w:pPr>
      <w:r w:rsidRPr="00F25744">
        <w:rPr>
          <w:rFonts w:cs="David" w:hint="cs"/>
          <w:sz w:val="24"/>
          <w:szCs w:val="24"/>
          <w:rtl/>
        </w:rPr>
        <w:t xml:space="preserve">בנוסף להדרכת השופטים, העוזרים המשפטיים שנבחרו הדריכו את כלל העוזרים המשפטיים והמתמחים על אודות המחקר ומטרותיו באופן כללי, ובאופן פרטני יותר על </w:t>
      </w:r>
      <w:r w:rsidR="000C4C56" w:rsidRPr="00F25744">
        <w:rPr>
          <w:rFonts w:cs="David" w:hint="cs"/>
          <w:sz w:val="24"/>
          <w:szCs w:val="24"/>
          <w:rtl/>
        </w:rPr>
        <w:t>העלאת היומן הידני לאתר המקוון</w:t>
      </w:r>
      <w:r w:rsidR="00A12C41" w:rsidRPr="00F25744">
        <w:rPr>
          <w:rFonts w:cs="David" w:hint="cs"/>
          <w:sz w:val="24"/>
          <w:szCs w:val="24"/>
          <w:rtl/>
        </w:rPr>
        <w:t xml:space="preserve">. ככלל, בשלב הזנת הנתונים באופן מקוון </w:t>
      </w:r>
      <w:r w:rsidRPr="00F25744">
        <w:rPr>
          <w:rFonts w:cs="David" w:hint="cs"/>
          <w:sz w:val="24"/>
          <w:szCs w:val="24"/>
          <w:rtl/>
        </w:rPr>
        <w:t xml:space="preserve">ניתן היה להסתייע בעוזרים המשפטיים או המתמחים, </w:t>
      </w:r>
      <w:r w:rsidR="00A12C41" w:rsidRPr="00F25744">
        <w:rPr>
          <w:rFonts w:cs="David" w:hint="cs"/>
          <w:sz w:val="24"/>
          <w:szCs w:val="24"/>
          <w:rtl/>
        </w:rPr>
        <w:t xml:space="preserve">וזאת </w:t>
      </w:r>
      <w:r w:rsidRPr="00F25744">
        <w:rPr>
          <w:rFonts w:cs="David" w:hint="cs"/>
          <w:sz w:val="24"/>
          <w:szCs w:val="24"/>
          <w:rtl/>
        </w:rPr>
        <w:t>בניגוד למילוי יומן העבודה הידני</w:t>
      </w:r>
      <w:r w:rsidR="00A12C41" w:rsidRPr="00F25744">
        <w:rPr>
          <w:rFonts w:cs="David" w:hint="cs"/>
          <w:sz w:val="24"/>
          <w:szCs w:val="24"/>
          <w:rtl/>
        </w:rPr>
        <w:t>,</w:t>
      </w:r>
      <w:r w:rsidRPr="00F25744">
        <w:rPr>
          <w:rFonts w:cs="David" w:hint="cs"/>
          <w:sz w:val="24"/>
          <w:szCs w:val="24"/>
          <w:rtl/>
        </w:rPr>
        <w:t xml:space="preserve"> שאותו נדרשו השופטים למלא בעצמם, נוכח רמת הדיוק שנדרשה במילויו ושעות העבודה שבוצעו מחוץ לבית המשפט. </w:t>
      </w:r>
    </w:p>
    <w:p w14:paraId="14D946D9" w14:textId="1844096F" w:rsidR="00270E9E" w:rsidRDefault="00270E9E" w:rsidP="006227EC">
      <w:pPr>
        <w:spacing w:after="0" w:line="360" w:lineRule="auto"/>
        <w:ind w:left="360"/>
        <w:jc w:val="both"/>
        <w:rPr>
          <w:rFonts w:cs="David"/>
          <w:sz w:val="24"/>
          <w:szCs w:val="24"/>
          <w:rtl/>
        </w:rPr>
      </w:pPr>
    </w:p>
    <w:p w14:paraId="6E7FC16E" w14:textId="04AEEC6F" w:rsidR="006227EC" w:rsidRDefault="00E25AE7" w:rsidP="00A54D82">
      <w:pPr>
        <w:pStyle w:val="3"/>
        <w:ind w:left="852"/>
        <w:rPr>
          <w:rtl/>
        </w:rPr>
      </w:pPr>
      <w:bookmarkStart w:id="185" w:name="_Toc46226038"/>
      <w:bookmarkStart w:id="186" w:name="_Toc46226182"/>
      <w:bookmarkStart w:id="187" w:name="_Toc46228349"/>
      <w:bookmarkStart w:id="188" w:name="_Toc46228447"/>
      <w:bookmarkStart w:id="189" w:name="_Toc46230374"/>
      <w:bookmarkStart w:id="190" w:name="_Toc46230472"/>
      <w:bookmarkStart w:id="191" w:name="_Toc46310362"/>
      <w:bookmarkStart w:id="192" w:name="_Toc46414004"/>
      <w:bookmarkStart w:id="193" w:name="_Toc49352743"/>
      <w:bookmarkStart w:id="194" w:name="_Toc49429648"/>
      <w:bookmarkStart w:id="195" w:name="_Toc49435877"/>
      <w:bookmarkStart w:id="196" w:name="_Toc74750963"/>
      <w:r w:rsidRPr="00F25744">
        <w:rPr>
          <w:rFonts w:hint="cs"/>
          <w:rtl/>
        </w:rPr>
        <w:t>שלבי ביצוע המחקר</w:t>
      </w:r>
      <w:bookmarkEnd w:id="185"/>
      <w:bookmarkEnd w:id="186"/>
      <w:bookmarkEnd w:id="187"/>
      <w:bookmarkEnd w:id="188"/>
      <w:bookmarkEnd w:id="189"/>
      <w:bookmarkEnd w:id="190"/>
      <w:bookmarkEnd w:id="191"/>
      <w:bookmarkEnd w:id="192"/>
      <w:bookmarkEnd w:id="193"/>
      <w:bookmarkEnd w:id="194"/>
      <w:bookmarkEnd w:id="195"/>
      <w:bookmarkEnd w:id="196"/>
    </w:p>
    <w:p w14:paraId="45B10417" w14:textId="77777777" w:rsidR="00A54D82" w:rsidRPr="00A54D82" w:rsidRDefault="00A54D82" w:rsidP="00A54D82">
      <w:pPr>
        <w:spacing w:after="0" w:line="240" w:lineRule="auto"/>
      </w:pPr>
    </w:p>
    <w:p w14:paraId="362C878E" w14:textId="77777777" w:rsidR="006227EC" w:rsidRPr="00F25744" w:rsidRDefault="00E25AE7" w:rsidP="00A54D82">
      <w:pPr>
        <w:pStyle w:val="4"/>
        <w:ind w:left="994"/>
      </w:pPr>
      <w:bookmarkStart w:id="197" w:name="_Toc46226039"/>
      <w:bookmarkStart w:id="198" w:name="_Toc46226183"/>
      <w:bookmarkStart w:id="199" w:name="_Toc46228350"/>
      <w:bookmarkStart w:id="200" w:name="_Toc46228448"/>
      <w:bookmarkStart w:id="201" w:name="_Toc46230375"/>
      <w:bookmarkStart w:id="202" w:name="_Toc46230473"/>
      <w:bookmarkStart w:id="203" w:name="_Toc46310363"/>
      <w:bookmarkStart w:id="204" w:name="_Toc46414005"/>
      <w:r w:rsidRPr="00F25744">
        <w:rPr>
          <w:rFonts w:hint="cs"/>
          <w:rtl/>
        </w:rPr>
        <w:t xml:space="preserve"> </w:t>
      </w:r>
      <w:bookmarkStart w:id="205" w:name="_Toc74750964"/>
      <w:r w:rsidR="007F3A52" w:rsidRPr="00F25744">
        <w:rPr>
          <w:rFonts w:hint="cs"/>
          <w:rtl/>
        </w:rPr>
        <w:t>ניסוי כלים</w:t>
      </w:r>
      <w:bookmarkEnd w:id="197"/>
      <w:bookmarkEnd w:id="198"/>
      <w:bookmarkEnd w:id="199"/>
      <w:bookmarkEnd w:id="200"/>
      <w:bookmarkEnd w:id="201"/>
      <w:bookmarkEnd w:id="202"/>
      <w:bookmarkEnd w:id="203"/>
      <w:bookmarkEnd w:id="204"/>
      <w:bookmarkEnd w:id="205"/>
    </w:p>
    <w:p w14:paraId="65593052" w14:textId="77777777" w:rsidR="00640A5A" w:rsidRPr="00F25744" w:rsidRDefault="00E25AE7" w:rsidP="00BD23BB">
      <w:pPr>
        <w:spacing w:before="120" w:after="0" w:line="360" w:lineRule="auto"/>
        <w:jc w:val="both"/>
        <w:rPr>
          <w:rFonts w:cs="David"/>
          <w:sz w:val="24"/>
          <w:szCs w:val="24"/>
          <w:rtl/>
        </w:rPr>
      </w:pPr>
      <w:r w:rsidRPr="00F25744">
        <w:rPr>
          <w:rFonts w:cs="David" w:hint="cs"/>
          <w:sz w:val="24"/>
          <w:szCs w:val="24"/>
          <w:rtl/>
        </w:rPr>
        <w:t>לאחר שהשופטים עברו הדרכות על אופן מילוי היומנים הידניים והמקוונים, וטרם תחילת תקופת המחקר, התבקשו השופטים למלא יומן ידני בלבד, למשך יום עבודה אחד, ולשלוח אותו למחלקת המחקר. מטרת ניסוי הכלים הייתה לוודא כי ההדרכות עברו בהצלחה, כי היומנים הידניים ברורים ומדויקים דיים, וכן על מנת לוודא את התאמתם לערכאות השונות ולשיטות העבודה הנהוגות במחוזות השונים. ואכן, בעקבות ניסויי הכלים והערות שעלו בעקבותיהם, ערכה מחלקת המחקר כמה דיוקים ושיפורים ביומנים במטרה להתאימם באופן המיטבי לשיטות העבודה השונות. שיעורי מילוי ניסוי הכלים היו גבוהים בסך הכול</w:t>
      </w:r>
      <w:r w:rsidR="004A7CA0" w:rsidRPr="00F25744">
        <w:rPr>
          <w:rFonts w:cs="David" w:hint="cs"/>
          <w:sz w:val="24"/>
          <w:szCs w:val="24"/>
          <w:rtl/>
        </w:rPr>
        <w:t xml:space="preserve"> -</w:t>
      </w:r>
      <w:r w:rsidRPr="00F25744">
        <w:rPr>
          <w:rFonts w:cs="David" w:hint="cs"/>
          <w:sz w:val="24"/>
          <w:szCs w:val="24"/>
          <w:rtl/>
        </w:rPr>
        <w:t xml:space="preserve"> מספר השופטים אשר שלחו למחלקת המחקר ניסוי כלים לבדיקה עמד על 286 שופטים מכל הערכאות. </w:t>
      </w:r>
      <w:r w:rsidR="00CB3AD9" w:rsidRPr="00F25744">
        <w:rPr>
          <w:rFonts w:cs="David" w:hint="cs"/>
          <w:sz w:val="24"/>
          <w:szCs w:val="24"/>
          <w:rtl/>
        </w:rPr>
        <w:t xml:space="preserve">דוגמאות </w:t>
      </w:r>
      <w:r w:rsidR="007F3A52" w:rsidRPr="00F25744">
        <w:rPr>
          <w:rFonts w:cs="David" w:hint="cs"/>
          <w:sz w:val="24"/>
          <w:szCs w:val="24"/>
          <w:rtl/>
        </w:rPr>
        <w:t>יומני השופטים הידניים אשר הותאמו לערכאות השונות מצורפים כ</w:t>
      </w:r>
      <w:r w:rsidR="007F3A52" w:rsidRPr="00F25744">
        <w:rPr>
          <w:rFonts w:cs="David" w:hint="cs"/>
          <w:b/>
          <w:bCs/>
          <w:sz w:val="24"/>
          <w:szCs w:val="24"/>
          <w:rtl/>
        </w:rPr>
        <w:t>נספח ד'</w:t>
      </w:r>
      <w:r w:rsidR="007F3A52" w:rsidRPr="00F25744">
        <w:rPr>
          <w:rFonts w:cs="David" w:hint="cs"/>
          <w:sz w:val="24"/>
          <w:szCs w:val="24"/>
          <w:rtl/>
        </w:rPr>
        <w:t>. הסברים מפורטים יותר על יומני השופטים אשר הותאמו לכל ערכאה יינתנו בפרקים שיוקדשו לממצאי המחקר בחלוקה לערכאות להלן.</w:t>
      </w:r>
    </w:p>
    <w:p w14:paraId="299F9C8C" w14:textId="77777777" w:rsidR="00D02CAE" w:rsidRPr="00F25744" w:rsidRDefault="00D02CAE" w:rsidP="00F23032">
      <w:pPr>
        <w:spacing w:after="0" w:line="360" w:lineRule="auto"/>
        <w:jc w:val="both"/>
        <w:rPr>
          <w:rFonts w:cs="David"/>
          <w:sz w:val="24"/>
          <w:szCs w:val="24"/>
          <w:rtl/>
        </w:rPr>
      </w:pPr>
    </w:p>
    <w:p w14:paraId="6B4569C5" w14:textId="77777777" w:rsidR="006227EC" w:rsidRPr="00F25744" w:rsidRDefault="000A1BB7" w:rsidP="00A54D82">
      <w:pPr>
        <w:pStyle w:val="4"/>
        <w:ind w:left="994"/>
        <w:rPr>
          <w:rtl/>
        </w:rPr>
      </w:pPr>
      <w:bookmarkStart w:id="206" w:name="_Toc46226040"/>
      <w:bookmarkStart w:id="207" w:name="_Toc46226184"/>
      <w:bookmarkStart w:id="208" w:name="_Toc46228351"/>
      <w:bookmarkStart w:id="209" w:name="_Toc46228449"/>
      <w:bookmarkStart w:id="210" w:name="_Toc46230376"/>
      <w:bookmarkStart w:id="211" w:name="_Toc46230474"/>
      <w:bookmarkStart w:id="212" w:name="_Toc46310364"/>
      <w:bookmarkStart w:id="213" w:name="_Toc46414006"/>
      <w:r w:rsidRPr="00F25744">
        <w:rPr>
          <w:rFonts w:hint="cs"/>
          <w:rtl/>
        </w:rPr>
        <w:t xml:space="preserve"> </w:t>
      </w:r>
      <w:bookmarkStart w:id="214" w:name="_Toc74750965"/>
      <w:r w:rsidR="00E25AE7" w:rsidRPr="00F25744">
        <w:rPr>
          <w:rFonts w:hint="cs"/>
          <w:rtl/>
        </w:rPr>
        <w:t>תקופת המחקר</w:t>
      </w:r>
      <w:bookmarkEnd w:id="206"/>
      <w:bookmarkEnd w:id="207"/>
      <w:bookmarkEnd w:id="208"/>
      <w:bookmarkEnd w:id="209"/>
      <w:bookmarkEnd w:id="210"/>
      <w:bookmarkEnd w:id="211"/>
      <w:bookmarkEnd w:id="212"/>
      <w:bookmarkEnd w:id="213"/>
      <w:bookmarkEnd w:id="214"/>
    </w:p>
    <w:p w14:paraId="60F78C45" w14:textId="77777777" w:rsidR="006227EC" w:rsidRPr="00F25744" w:rsidRDefault="00E25AE7" w:rsidP="00BD23BB">
      <w:pPr>
        <w:spacing w:before="120" w:after="0" w:line="360" w:lineRule="auto"/>
        <w:jc w:val="both"/>
        <w:rPr>
          <w:rFonts w:cs="David"/>
          <w:sz w:val="24"/>
          <w:szCs w:val="24"/>
          <w:rtl/>
        </w:rPr>
      </w:pPr>
      <w:r w:rsidRPr="00F25744">
        <w:rPr>
          <w:rFonts w:cs="David" w:hint="cs"/>
          <w:sz w:val="24"/>
          <w:szCs w:val="24"/>
          <w:rtl/>
        </w:rPr>
        <w:t>תקופת המחקר, כאמור, נמשכה חמישה שבועות עבודה מלאים</w:t>
      </w:r>
      <w:r w:rsidR="00934745" w:rsidRPr="00F25744">
        <w:rPr>
          <w:rFonts w:cs="David" w:hint="cs"/>
          <w:sz w:val="24"/>
          <w:szCs w:val="24"/>
          <w:rtl/>
        </w:rPr>
        <w:t>, מיום 1.1.2020 ועד ליום 5.2.2020</w:t>
      </w:r>
      <w:r w:rsidRPr="00F25744">
        <w:rPr>
          <w:rFonts w:cs="David" w:hint="cs"/>
          <w:sz w:val="24"/>
          <w:szCs w:val="24"/>
          <w:rtl/>
        </w:rPr>
        <w:t xml:space="preserve">. במהלכה נמדד ונאסף מסד הנתונים של </w:t>
      </w:r>
      <w:r w:rsidR="00934745" w:rsidRPr="00F25744">
        <w:rPr>
          <w:rFonts w:cs="David" w:hint="cs"/>
          <w:sz w:val="24"/>
          <w:szCs w:val="24"/>
          <w:rtl/>
        </w:rPr>
        <w:t>המחקר</w:t>
      </w:r>
      <w:r w:rsidRPr="00F25744">
        <w:rPr>
          <w:rFonts w:cs="David" w:hint="cs"/>
          <w:sz w:val="24"/>
          <w:szCs w:val="24"/>
          <w:rtl/>
        </w:rPr>
        <w:t>. יומני השופטים</w:t>
      </w:r>
      <w:r w:rsidR="003230F1" w:rsidRPr="00F25744">
        <w:rPr>
          <w:rFonts w:cs="David" w:hint="cs"/>
          <w:sz w:val="24"/>
          <w:szCs w:val="24"/>
          <w:rtl/>
        </w:rPr>
        <w:t xml:space="preserve"> </w:t>
      </w:r>
      <w:r w:rsidRPr="00F25744">
        <w:rPr>
          <w:rFonts w:cs="David" w:hint="cs"/>
          <w:sz w:val="24"/>
          <w:szCs w:val="24"/>
          <w:rtl/>
        </w:rPr>
        <w:t>מולאו מדי יום באופן ידני וביום שלמחרת הועלו לאתר המקוון. את האתר המקוון הפעילה כאמור חברת הסקרים "שריד"</w:t>
      </w:r>
      <w:r w:rsidR="00640A5A" w:rsidRPr="00F25744">
        <w:rPr>
          <w:rFonts w:cs="David" w:hint="cs"/>
          <w:sz w:val="24"/>
          <w:szCs w:val="24"/>
          <w:rtl/>
        </w:rPr>
        <w:t xml:space="preserve">. חברת "שריד" </w:t>
      </w:r>
      <w:r w:rsidRPr="00F25744">
        <w:rPr>
          <w:rFonts w:cs="David" w:hint="cs"/>
          <w:sz w:val="24"/>
          <w:szCs w:val="24"/>
          <w:rtl/>
        </w:rPr>
        <w:t>זכתה במכרז לביצוע הסקרים המקוונים הקשורים למחקר הנוכחי לאחר שעמדה בכל הדרישות הטכניות ודרישות השמירה על הסודיות אשר נדרשו במסגרת המכרז, ו</w:t>
      </w:r>
      <w:r w:rsidR="00640A5A" w:rsidRPr="00F25744">
        <w:rPr>
          <w:rFonts w:cs="David" w:hint="cs"/>
          <w:sz w:val="24"/>
          <w:szCs w:val="24"/>
          <w:rtl/>
        </w:rPr>
        <w:t>לאחר ש</w:t>
      </w:r>
      <w:r w:rsidRPr="00F25744">
        <w:rPr>
          <w:rFonts w:cs="David" w:hint="cs"/>
          <w:sz w:val="24"/>
          <w:szCs w:val="24"/>
          <w:rtl/>
        </w:rPr>
        <w:t xml:space="preserve">ביצעה את חלקו הראשון של המחקר בבתי הדין לעבודה. </w:t>
      </w:r>
    </w:p>
    <w:p w14:paraId="13CD2DE0" w14:textId="77777777" w:rsidR="006227EC" w:rsidRPr="00F25744" w:rsidRDefault="00E25AE7" w:rsidP="00BD23BB">
      <w:pPr>
        <w:spacing w:before="120" w:after="0" w:line="360" w:lineRule="auto"/>
        <w:jc w:val="both"/>
        <w:rPr>
          <w:rFonts w:cs="David"/>
          <w:sz w:val="24"/>
          <w:szCs w:val="24"/>
          <w:rtl/>
        </w:rPr>
      </w:pPr>
      <w:r w:rsidRPr="00F25744">
        <w:rPr>
          <w:rFonts w:cs="David" w:hint="cs"/>
          <w:sz w:val="24"/>
          <w:szCs w:val="24"/>
          <w:rtl/>
        </w:rPr>
        <w:t xml:space="preserve">חברת שריד ניתחה ופילחה את הנתונים שהעלו השופטים ליומנים המקוונים על פי בקשות מחלקת המחקר. ככלל, הפילוח נעשה לפי ערכאות, לפי סוגי התיקים, לפי סוגי הפעילויות השיפוטיות, לפי סוגי </w:t>
      </w:r>
      <w:r w:rsidRPr="00F25744">
        <w:rPr>
          <w:rFonts w:cs="David" w:hint="cs"/>
          <w:sz w:val="24"/>
          <w:szCs w:val="24"/>
          <w:rtl/>
        </w:rPr>
        <w:lastRenderedPageBreak/>
        <w:t>הדיונים, לפי סוגי הימים (שבתון, יום מנוחה שבועי וכדומה), וכן נעשה פילוח של יום העבודה השיפוטי בחלוקה לפעילויות השונות.</w:t>
      </w:r>
    </w:p>
    <w:p w14:paraId="4165B90D" w14:textId="77777777" w:rsidR="006227EC" w:rsidRPr="00F25744" w:rsidRDefault="00E25AE7" w:rsidP="00BD23BB">
      <w:pPr>
        <w:spacing w:before="120" w:after="0" w:line="360" w:lineRule="auto"/>
        <w:jc w:val="both"/>
        <w:rPr>
          <w:rFonts w:ascii="David" w:hAnsi="David" w:cs="David"/>
          <w:sz w:val="24"/>
          <w:szCs w:val="24"/>
          <w:rtl/>
        </w:rPr>
      </w:pPr>
      <w:r w:rsidRPr="00F25744">
        <w:rPr>
          <w:rFonts w:ascii="David" w:hAnsi="David" w:cs="David" w:hint="cs"/>
          <w:sz w:val="24"/>
          <w:szCs w:val="24"/>
          <w:rtl/>
        </w:rPr>
        <w:t xml:space="preserve">לאחר עיבוד הנתונים הרבים שהתקבלו במהלך תקופת המחקר מיומני השופטים שתוארו לעיל ומיומני הקלדניות (שיתוארו בהמשך), ושילובם עם הנתונים שאספה מחלקת המחקר, </w:t>
      </w:r>
      <w:r w:rsidR="007F3DE6" w:rsidRPr="00F25744">
        <w:rPr>
          <w:rFonts w:ascii="David" w:hAnsi="David" w:cs="David" w:hint="cs"/>
          <w:sz w:val="24"/>
          <w:szCs w:val="24"/>
          <w:rtl/>
        </w:rPr>
        <w:t>עלה</w:t>
      </w:r>
      <w:r w:rsidRPr="00F25744">
        <w:rPr>
          <w:rFonts w:ascii="David" w:hAnsi="David" w:cs="David" w:hint="cs"/>
          <w:sz w:val="24"/>
          <w:szCs w:val="24"/>
          <w:rtl/>
        </w:rPr>
        <w:t xml:space="preserve"> כי ישנם סוגי תיקים, שבשל נדירות</w:t>
      </w:r>
      <w:r w:rsidR="007F3DE6" w:rsidRPr="00F25744">
        <w:rPr>
          <w:rFonts w:ascii="David" w:hAnsi="David" w:cs="David" w:hint="cs"/>
          <w:sz w:val="24"/>
          <w:szCs w:val="24"/>
          <w:rtl/>
        </w:rPr>
        <w:t>ם</w:t>
      </w:r>
      <w:r w:rsidRPr="00F25744">
        <w:rPr>
          <w:rFonts w:ascii="David" w:hAnsi="David" w:cs="David" w:hint="cs"/>
          <w:sz w:val="24"/>
          <w:szCs w:val="24"/>
          <w:rtl/>
        </w:rPr>
        <w:t xml:space="preserve">, או נדירות אירועים מסוימים במהלך הטיפול בהם (פעולות של כתיבה, שמיעת דיונים וכיו"ב), לא נאספו לגביהם מספיק נתונים ולא התקיימו בהם די פעולות שיפוטיות </w:t>
      </w:r>
      <w:r w:rsidR="007F3DE6" w:rsidRPr="00F25744">
        <w:rPr>
          <w:rFonts w:ascii="David" w:hAnsi="David" w:cs="David" w:hint="cs"/>
          <w:sz w:val="24"/>
          <w:szCs w:val="24"/>
          <w:rtl/>
        </w:rPr>
        <w:t xml:space="preserve">במהלך תקופת המחקר </w:t>
      </w:r>
      <w:r w:rsidR="007602A5" w:rsidRPr="00F25744">
        <w:rPr>
          <w:rFonts w:ascii="David" w:hAnsi="David" w:cs="David" w:hint="cs"/>
          <w:sz w:val="24"/>
          <w:szCs w:val="24"/>
          <w:rtl/>
        </w:rPr>
        <w:t>כדי</w:t>
      </w:r>
      <w:r w:rsidRPr="00F25744">
        <w:rPr>
          <w:rFonts w:ascii="David" w:hAnsi="David" w:cs="David" w:hint="cs"/>
          <w:sz w:val="24"/>
          <w:szCs w:val="24"/>
          <w:rtl/>
        </w:rPr>
        <w:t xml:space="preserve"> לתת להם </w:t>
      </w:r>
      <w:r w:rsidR="00324151" w:rsidRPr="00F25744">
        <w:rPr>
          <w:rFonts w:ascii="David" w:hAnsi="David" w:cs="David" w:hint="cs"/>
          <w:sz w:val="24"/>
          <w:szCs w:val="24"/>
          <w:rtl/>
        </w:rPr>
        <w:t xml:space="preserve">זמן ממוצע </w:t>
      </w:r>
      <w:r w:rsidRPr="00F25744">
        <w:rPr>
          <w:rFonts w:ascii="David" w:hAnsi="David" w:cs="David" w:hint="cs"/>
          <w:sz w:val="24"/>
          <w:szCs w:val="24"/>
          <w:rtl/>
        </w:rPr>
        <w:t>על בסיס נתונים</w:t>
      </w:r>
      <w:r w:rsidR="00185642" w:rsidRPr="00F25744">
        <w:rPr>
          <w:rFonts w:ascii="David" w:hAnsi="David" w:cs="David" w:hint="cs"/>
          <w:sz w:val="24"/>
          <w:szCs w:val="24"/>
          <w:rtl/>
        </w:rPr>
        <w:t xml:space="preserve"> אלו</w:t>
      </w:r>
      <w:r w:rsidRPr="00F25744">
        <w:rPr>
          <w:rFonts w:ascii="David" w:hAnsi="David" w:cs="David" w:hint="cs"/>
          <w:sz w:val="24"/>
          <w:szCs w:val="24"/>
          <w:rtl/>
        </w:rPr>
        <w:t xml:space="preserve"> בלבד. על כן, מחלקת המחקר </w:t>
      </w:r>
      <w:r w:rsidR="00640A5A" w:rsidRPr="00F25744">
        <w:rPr>
          <w:rFonts w:ascii="David" w:hAnsi="David" w:cs="David" w:hint="cs"/>
          <w:sz w:val="24"/>
          <w:szCs w:val="24"/>
          <w:rtl/>
        </w:rPr>
        <w:t xml:space="preserve">בנתה </w:t>
      </w:r>
      <w:r w:rsidRPr="00F25744">
        <w:rPr>
          <w:rFonts w:ascii="David" w:hAnsi="David" w:cs="David" w:hint="cs"/>
          <w:sz w:val="24"/>
          <w:szCs w:val="24"/>
          <w:rtl/>
        </w:rPr>
        <w:t xml:space="preserve">שאלון מסכם, אשר הופץ כסקר מקוון לכלל השופטים בערכאות המחוזי, השלום, התעבורה, הנוער והמשפחה, בניסיון לתת לאותם סוגי אירועים מסוימים בחלק מהתיקים </w:t>
      </w:r>
      <w:r w:rsidR="00324151" w:rsidRPr="00F25744">
        <w:rPr>
          <w:rFonts w:ascii="David" w:hAnsi="David" w:cs="David" w:hint="cs"/>
          <w:sz w:val="24"/>
          <w:szCs w:val="24"/>
          <w:rtl/>
        </w:rPr>
        <w:t xml:space="preserve">זמנים ממוצעים </w:t>
      </w:r>
      <w:r w:rsidRPr="00F25744">
        <w:rPr>
          <w:rFonts w:ascii="David" w:hAnsi="David" w:cs="David" w:hint="cs"/>
          <w:sz w:val="24"/>
          <w:szCs w:val="24"/>
          <w:rtl/>
        </w:rPr>
        <w:t>על דרך ההערכה, וכך לבנות את ה</w:t>
      </w:r>
      <w:r w:rsidR="00324151" w:rsidRPr="00F25744">
        <w:rPr>
          <w:rFonts w:ascii="David" w:hAnsi="David" w:cs="David" w:hint="cs"/>
          <w:sz w:val="24"/>
          <w:szCs w:val="24"/>
          <w:rtl/>
        </w:rPr>
        <w:t>זמן הממוצע</w:t>
      </w:r>
      <w:r w:rsidRPr="00F25744">
        <w:rPr>
          <w:rFonts w:ascii="David" w:hAnsi="David" w:cs="David" w:hint="cs"/>
          <w:sz w:val="24"/>
          <w:szCs w:val="24"/>
          <w:rtl/>
        </w:rPr>
        <w:t xml:space="preserve"> הכולל של התיק.</w:t>
      </w:r>
    </w:p>
    <w:p w14:paraId="7678F6EB" w14:textId="77777777" w:rsidR="006221EF" w:rsidRPr="00F25744" w:rsidRDefault="00E25AE7" w:rsidP="00BD23BB">
      <w:pPr>
        <w:spacing w:before="120" w:after="0" w:line="360" w:lineRule="auto"/>
        <w:jc w:val="both"/>
        <w:rPr>
          <w:rFonts w:ascii="David" w:hAnsi="David" w:cs="David"/>
          <w:sz w:val="24"/>
          <w:szCs w:val="24"/>
          <w:rtl/>
        </w:rPr>
      </w:pPr>
      <w:r w:rsidRPr="00F25744">
        <w:rPr>
          <w:rFonts w:ascii="David" w:hAnsi="David" w:cs="David" w:hint="cs"/>
          <w:sz w:val="24"/>
          <w:szCs w:val="24"/>
          <w:rtl/>
        </w:rPr>
        <w:t>חשוב לציין כי לא יכולנו לתת משקל לכל סוגי התיקים הקיימים במערכת. הדברים אמורים לגבי סוגי תיקים אשר תדירות הטיפול בהם נמוכה במיוחד, ומייצגים</w:t>
      </w:r>
      <w:r w:rsidR="001D492F" w:rsidRPr="00F25744">
        <w:rPr>
          <w:rFonts w:ascii="David" w:hAnsi="David" w:cs="David" w:hint="cs"/>
          <w:sz w:val="24"/>
          <w:szCs w:val="24"/>
          <w:rtl/>
        </w:rPr>
        <w:t xml:space="preserve"> סך הכול כאחוז אחד </w:t>
      </w:r>
      <w:r w:rsidRPr="00F25744">
        <w:rPr>
          <w:rFonts w:ascii="David" w:hAnsi="David" w:cs="David" w:hint="cs"/>
          <w:sz w:val="24"/>
          <w:szCs w:val="24"/>
          <w:rtl/>
        </w:rPr>
        <w:t>מכלל התיקים שנסגרו בשנת 2019 בכל ערכאה. מאחר שהטיפול באותם תיקים הוא כל כך נדיר, לא נאספו בידי מחלקת המחקר די נתונים, הן מהשופטים והקלדניות והן נתוני מחשב, על מנת למדוד את הט</w:t>
      </w:r>
      <w:r w:rsidR="00185642" w:rsidRPr="00F25744">
        <w:rPr>
          <w:rFonts w:ascii="David" w:hAnsi="David" w:cs="David" w:hint="cs"/>
          <w:sz w:val="24"/>
          <w:szCs w:val="24"/>
          <w:rtl/>
        </w:rPr>
        <w:t xml:space="preserve">יפול בהם ולתת להם ביטוי סטטיסטי, </w:t>
      </w:r>
      <w:r w:rsidR="00640A5A" w:rsidRPr="00F25744">
        <w:rPr>
          <w:rFonts w:ascii="David" w:hAnsi="David" w:cs="David" w:hint="cs"/>
          <w:sz w:val="24"/>
          <w:szCs w:val="24"/>
          <w:rtl/>
        </w:rPr>
        <w:t xml:space="preserve">וזאת </w:t>
      </w:r>
      <w:r w:rsidR="00185642" w:rsidRPr="00F25744">
        <w:rPr>
          <w:rFonts w:ascii="David" w:hAnsi="David" w:cs="David" w:hint="cs"/>
          <w:sz w:val="24"/>
          <w:szCs w:val="24"/>
          <w:rtl/>
        </w:rPr>
        <w:t>גם לאחר ניתוח ממצאי השאלון המסכם.</w:t>
      </w:r>
      <w:r w:rsidRPr="00F25744">
        <w:rPr>
          <w:rFonts w:ascii="David" w:hAnsi="David" w:cs="David" w:hint="cs"/>
          <w:sz w:val="24"/>
          <w:szCs w:val="24"/>
          <w:rtl/>
        </w:rPr>
        <w:t xml:space="preserve"> עם זאת חשוב להבין, כי מאחר שאותם סוגי תיקים שלא ניתן להם משקל במסגרת מחקר זה הם כאמור ממילא תיקים נדירים ביותר, הרי שהם אינם מטילים עומס עבודה משמעותי על המערכת. במסגרת מחקר זה ניתן משקל ל</w:t>
      </w:r>
      <w:r w:rsidR="00AE2CBA" w:rsidRPr="00F25744">
        <w:rPr>
          <w:rFonts w:ascii="David" w:hAnsi="David" w:cs="David" w:hint="cs"/>
          <w:sz w:val="24"/>
          <w:szCs w:val="24"/>
          <w:rtl/>
        </w:rPr>
        <w:t xml:space="preserve">כמעט 99% </w:t>
      </w:r>
      <w:r w:rsidRPr="00F25744">
        <w:rPr>
          <w:rFonts w:ascii="David" w:hAnsi="David" w:cs="David" w:hint="cs"/>
          <w:sz w:val="24"/>
          <w:szCs w:val="24"/>
          <w:rtl/>
        </w:rPr>
        <w:t>מכלל התיקים אשר נסגרו במהלך שנת 2019, כך ש</w:t>
      </w:r>
      <w:r w:rsidR="00257C9B" w:rsidRPr="00F25744">
        <w:rPr>
          <w:rFonts w:ascii="David" w:hAnsi="David" w:cs="David" w:hint="cs"/>
          <w:sz w:val="24"/>
          <w:szCs w:val="24"/>
          <w:rtl/>
        </w:rPr>
        <w:t>זמני הטיפול ב</w:t>
      </w:r>
      <w:r w:rsidRPr="00F25744">
        <w:rPr>
          <w:rFonts w:ascii="David" w:hAnsi="David" w:cs="David" w:hint="cs"/>
          <w:sz w:val="24"/>
          <w:szCs w:val="24"/>
          <w:rtl/>
        </w:rPr>
        <w:t xml:space="preserve">תיקים שנמדדו במהלך המחקר בהחלט </w:t>
      </w:r>
      <w:r w:rsidR="00341018" w:rsidRPr="00F25744">
        <w:rPr>
          <w:rFonts w:ascii="David" w:hAnsi="David" w:cs="David" w:hint="cs"/>
          <w:sz w:val="24"/>
          <w:szCs w:val="24"/>
          <w:rtl/>
        </w:rPr>
        <w:t>מספקים</w:t>
      </w:r>
      <w:r w:rsidRPr="00F25744">
        <w:rPr>
          <w:rFonts w:ascii="David" w:hAnsi="David" w:cs="David" w:hint="cs"/>
          <w:sz w:val="24"/>
          <w:szCs w:val="24"/>
          <w:rtl/>
        </w:rPr>
        <w:t xml:space="preserve"> תמונה רחבה ומפורטת על עומס העבודה השיפוטית במערכת המשפט</w:t>
      </w:r>
      <w:r w:rsidR="00FE1A74" w:rsidRPr="00F25744">
        <w:rPr>
          <w:rFonts w:ascii="David" w:hAnsi="David" w:cs="David" w:hint="cs"/>
          <w:sz w:val="24"/>
          <w:szCs w:val="24"/>
          <w:rtl/>
        </w:rPr>
        <w:t xml:space="preserve"> בישראל</w:t>
      </w:r>
      <w:r w:rsidRPr="00F25744">
        <w:rPr>
          <w:rFonts w:ascii="David" w:hAnsi="David" w:cs="David" w:hint="cs"/>
          <w:sz w:val="24"/>
          <w:szCs w:val="24"/>
          <w:rtl/>
        </w:rPr>
        <w:t>.</w:t>
      </w:r>
    </w:p>
    <w:p w14:paraId="19A5955A" w14:textId="77777777" w:rsidR="000E7104" w:rsidRPr="00F25744" w:rsidRDefault="000E7104" w:rsidP="00BD23BB">
      <w:pPr>
        <w:spacing w:before="120" w:after="0" w:line="240" w:lineRule="auto"/>
        <w:jc w:val="both"/>
        <w:rPr>
          <w:rFonts w:ascii="David" w:hAnsi="David" w:cs="David"/>
          <w:sz w:val="24"/>
          <w:szCs w:val="24"/>
          <w:rtl/>
        </w:rPr>
      </w:pPr>
    </w:p>
    <w:p w14:paraId="005F5A77" w14:textId="77777777" w:rsidR="006227EC" w:rsidRPr="00F25744" w:rsidRDefault="007717C5" w:rsidP="004924FF">
      <w:pPr>
        <w:pStyle w:val="2"/>
      </w:pPr>
      <w:bookmarkStart w:id="215" w:name="_Toc46393422"/>
      <w:bookmarkStart w:id="216" w:name="_Toc46226041"/>
      <w:bookmarkStart w:id="217" w:name="_Toc46226185"/>
      <w:bookmarkStart w:id="218" w:name="_Toc46228352"/>
      <w:bookmarkStart w:id="219" w:name="_Toc46228450"/>
      <w:bookmarkStart w:id="220" w:name="_Toc46230377"/>
      <w:bookmarkStart w:id="221" w:name="_Toc46230475"/>
      <w:bookmarkStart w:id="222" w:name="_Toc46310365"/>
      <w:bookmarkStart w:id="223" w:name="_Toc46414007"/>
      <w:bookmarkStart w:id="224" w:name="_Toc49352744"/>
      <w:bookmarkStart w:id="225" w:name="_Toc49429649"/>
      <w:bookmarkStart w:id="226" w:name="_Toc49435878"/>
      <w:bookmarkEnd w:id="215"/>
      <w:r w:rsidRPr="00A54D82">
        <w:rPr>
          <w:rFonts w:hint="cs"/>
          <w:u w:val="none"/>
          <w:rtl/>
        </w:rPr>
        <w:t xml:space="preserve"> </w:t>
      </w:r>
      <w:bookmarkStart w:id="227" w:name="_Toc74750966"/>
      <w:r w:rsidR="00E25AE7" w:rsidRPr="00F25744">
        <w:rPr>
          <w:rFonts w:hint="cs"/>
          <w:rtl/>
        </w:rPr>
        <w:t>נתוני זמני דיונים שנאספו על ידי קלדניות</w:t>
      </w:r>
      <w:r w:rsidR="004924FF" w:rsidRPr="00F25744">
        <w:rPr>
          <w:rFonts w:hint="cs"/>
          <w:rtl/>
        </w:rPr>
        <w:t xml:space="preserve"> </w:t>
      </w:r>
      <w:r w:rsidR="00E25AE7" w:rsidRPr="00F25744">
        <w:rPr>
          <w:rFonts w:hint="cs"/>
          <w:rtl/>
        </w:rPr>
        <w:t>בתי המשפט בערכאות השונות</w:t>
      </w:r>
      <w:bookmarkEnd w:id="216"/>
      <w:bookmarkEnd w:id="217"/>
      <w:bookmarkEnd w:id="218"/>
      <w:bookmarkEnd w:id="219"/>
      <w:bookmarkEnd w:id="220"/>
      <w:bookmarkEnd w:id="221"/>
      <w:bookmarkEnd w:id="222"/>
      <w:bookmarkEnd w:id="223"/>
      <w:bookmarkEnd w:id="224"/>
      <w:bookmarkEnd w:id="225"/>
      <w:bookmarkEnd w:id="226"/>
      <w:bookmarkEnd w:id="227"/>
    </w:p>
    <w:p w14:paraId="651E469E" w14:textId="77777777" w:rsidR="006227EC" w:rsidRPr="00F25744" w:rsidRDefault="00E25AE7" w:rsidP="00BD23BB">
      <w:pPr>
        <w:spacing w:before="120" w:after="0" w:line="360" w:lineRule="auto"/>
        <w:jc w:val="both"/>
        <w:rPr>
          <w:rFonts w:cs="David"/>
          <w:sz w:val="24"/>
          <w:szCs w:val="24"/>
          <w:rtl/>
        </w:rPr>
      </w:pPr>
      <w:r w:rsidRPr="00F25744">
        <w:rPr>
          <w:rFonts w:cs="David" w:hint="cs"/>
          <w:sz w:val="24"/>
          <w:szCs w:val="24"/>
          <w:rtl/>
        </w:rPr>
        <w:t xml:space="preserve">יומני הקלדניות נבנו </w:t>
      </w:r>
      <w:r w:rsidR="00934745" w:rsidRPr="00F25744">
        <w:rPr>
          <w:rFonts w:cs="David" w:hint="cs"/>
          <w:sz w:val="24"/>
          <w:szCs w:val="24"/>
          <w:rtl/>
        </w:rPr>
        <w:t>כדי</w:t>
      </w:r>
      <w:r w:rsidRPr="00F25744">
        <w:rPr>
          <w:rFonts w:cs="David" w:hint="cs"/>
          <w:sz w:val="24"/>
          <w:szCs w:val="24"/>
          <w:rtl/>
        </w:rPr>
        <w:t xml:space="preserve"> לספק למחלקת המחקר נתונים מדויקים על זמני הדיונים המתנהלים בערכאות השונות. נתונים אלו נאספו במהלך חמשת שבועות המחקר מדי יום מכלל קלדניות בתי המשפט אשר </w:t>
      </w:r>
      <w:r w:rsidR="00412A6C" w:rsidRPr="00F25744">
        <w:rPr>
          <w:rFonts w:cs="David" w:hint="cs"/>
          <w:sz w:val="24"/>
          <w:szCs w:val="24"/>
          <w:rtl/>
        </w:rPr>
        <w:t xml:space="preserve">הקלידו </w:t>
      </w:r>
      <w:r w:rsidRPr="00F25744">
        <w:rPr>
          <w:rFonts w:cs="David" w:hint="cs"/>
          <w:sz w:val="24"/>
          <w:szCs w:val="24"/>
          <w:rtl/>
        </w:rPr>
        <w:t>בדיונים. נתונים אלו נאספו ברזולוציה של ערכאה, סוג תיק, סוג עניין וסוג דיון.</w:t>
      </w:r>
    </w:p>
    <w:p w14:paraId="55880EDD" w14:textId="77777777" w:rsidR="006227EC" w:rsidRPr="00F25744" w:rsidRDefault="00E25AE7" w:rsidP="00BD23BB">
      <w:pPr>
        <w:spacing w:before="120" w:after="0" w:line="360" w:lineRule="auto"/>
        <w:jc w:val="both"/>
        <w:rPr>
          <w:rFonts w:cs="David"/>
          <w:sz w:val="24"/>
          <w:szCs w:val="24"/>
          <w:rtl/>
        </w:rPr>
      </w:pPr>
      <w:r w:rsidRPr="00F25744">
        <w:rPr>
          <w:rFonts w:cs="David" w:hint="cs"/>
          <w:sz w:val="24"/>
          <w:szCs w:val="24"/>
          <w:rtl/>
        </w:rPr>
        <w:t xml:space="preserve">את יומני הקלדניות </w:t>
      </w:r>
      <w:r w:rsidR="00934745" w:rsidRPr="00F25744">
        <w:rPr>
          <w:rFonts w:cs="David" w:hint="cs"/>
          <w:sz w:val="24"/>
          <w:szCs w:val="24"/>
          <w:rtl/>
        </w:rPr>
        <w:t xml:space="preserve">חילקנו </w:t>
      </w:r>
      <w:r w:rsidR="00934745" w:rsidRPr="00F25744">
        <w:rPr>
          <w:rFonts w:cs="David" w:hint="cs"/>
          <w:b/>
          <w:bCs/>
          <w:sz w:val="24"/>
          <w:szCs w:val="24"/>
          <w:rtl/>
        </w:rPr>
        <w:t>ל</w:t>
      </w:r>
      <w:r w:rsidR="00640A5A" w:rsidRPr="00F25744">
        <w:rPr>
          <w:rFonts w:cs="David" w:hint="cs"/>
          <w:b/>
          <w:bCs/>
          <w:sz w:val="24"/>
          <w:szCs w:val="24"/>
          <w:rtl/>
        </w:rPr>
        <w:t>שני</w:t>
      </w:r>
      <w:r w:rsidRPr="00F25744">
        <w:rPr>
          <w:rFonts w:cs="David" w:hint="cs"/>
          <w:b/>
          <w:bCs/>
          <w:sz w:val="24"/>
          <w:szCs w:val="24"/>
          <w:rtl/>
        </w:rPr>
        <w:t xml:space="preserve"> סוגי יומנים</w:t>
      </w:r>
      <w:r w:rsidRPr="00F25744">
        <w:rPr>
          <w:rFonts w:cs="David" w:hint="cs"/>
          <w:sz w:val="24"/>
          <w:szCs w:val="24"/>
          <w:rtl/>
        </w:rPr>
        <w:t xml:space="preserve">, </w:t>
      </w:r>
      <w:r w:rsidR="00934745" w:rsidRPr="00F25744">
        <w:rPr>
          <w:rFonts w:cs="David" w:hint="cs"/>
          <w:sz w:val="24"/>
          <w:szCs w:val="24"/>
          <w:rtl/>
        </w:rPr>
        <w:t xml:space="preserve">במטרה </w:t>
      </w:r>
      <w:r w:rsidRPr="00F25744">
        <w:rPr>
          <w:rFonts w:cs="David" w:hint="cs"/>
          <w:sz w:val="24"/>
          <w:szCs w:val="24"/>
          <w:rtl/>
        </w:rPr>
        <w:t>להתאי</w:t>
      </w:r>
      <w:r w:rsidR="00934745" w:rsidRPr="00F25744">
        <w:rPr>
          <w:rFonts w:cs="David" w:hint="cs"/>
          <w:sz w:val="24"/>
          <w:szCs w:val="24"/>
          <w:rtl/>
        </w:rPr>
        <w:t>מ</w:t>
      </w:r>
      <w:r w:rsidRPr="00F25744">
        <w:rPr>
          <w:rFonts w:cs="David" w:hint="cs"/>
          <w:sz w:val="24"/>
          <w:szCs w:val="24"/>
          <w:rtl/>
        </w:rPr>
        <w:t xml:space="preserve">ם באופן המדויק ביותר לסוגי ימי הדיונים השונים ועל מנת להקל על הקלדניות במילוי היומנים, </w:t>
      </w:r>
      <w:r w:rsidR="003B387B" w:rsidRPr="00F25744">
        <w:rPr>
          <w:rFonts w:cs="David" w:hint="cs"/>
          <w:sz w:val="24"/>
          <w:szCs w:val="24"/>
          <w:rtl/>
        </w:rPr>
        <w:t>ו</w:t>
      </w:r>
      <w:r w:rsidRPr="00F25744">
        <w:rPr>
          <w:rFonts w:cs="David" w:hint="cs"/>
          <w:sz w:val="24"/>
          <w:szCs w:val="24"/>
          <w:rtl/>
        </w:rPr>
        <w:t>לא לגזול זמן דיון יקר.</w:t>
      </w:r>
    </w:p>
    <w:p w14:paraId="5FAF18FD" w14:textId="77777777" w:rsidR="006227EC" w:rsidRPr="00F25744" w:rsidRDefault="00E25AE7" w:rsidP="00BD23BB">
      <w:pPr>
        <w:spacing w:before="120" w:after="0" w:line="360" w:lineRule="auto"/>
        <w:jc w:val="both"/>
        <w:rPr>
          <w:rFonts w:cs="David"/>
          <w:sz w:val="24"/>
          <w:szCs w:val="24"/>
          <w:rtl/>
        </w:rPr>
      </w:pPr>
      <w:r w:rsidRPr="00F25744">
        <w:rPr>
          <w:rFonts w:cs="David" w:hint="cs"/>
          <w:b/>
          <w:bCs/>
          <w:sz w:val="24"/>
          <w:szCs w:val="24"/>
          <w:rtl/>
        </w:rPr>
        <w:t>הסוג הראשון של היומן</w:t>
      </w:r>
      <w:r w:rsidRPr="00F25744">
        <w:rPr>
          <w:rFonts w:cs="David" w:hint="cs"/>
          <w:sz w:val="24"/>
          <w:szCs w:val="24"/>
          <w:rtl/>
        </w:rPr>
        <w:t xml:space="preserve"> הידני שאותו היה על הקלדניות למלא מדי יום במהלך תקופת המחקר בזמן אמת, כלומר במהלך הדיונים עצמם, לגבי רוב ימי הדיונים, נראה כך:</w:t>
      </w:r>
    </w:p>
    <w:p w14:paraId="5B5E808B" w14:textId="77777777" w:rsidR="006F58EF" w:rsidRPr="00F25744" w:rsidRDefault="00E25AE7" w:rsidP="000A1BB7">
      <w:pPr>
        <w:spacing w:after="0" w:line="240" w:lineRule="auto"/>
        <w:ind w:left="-282"/>
        <w:jc w:val="both"/>
        <w:rPr>
          <w:rFonts w:cs="David"/>
          <w:sz w:val="24"/>
          <w:szCs w:val="24"/>
          <w:rtl/>
        </w:rPr>
      </w:pPr>
      <w:r w:rsidRPr="00F25744">
        <w:rPr>
          <w:rFonts w:cs="David"/>
          <w:noProof/>
          <w:sz w:val="24"/>
          <w:szCs w:val="24"/>
        </w:rPr>
        <w:lastRenderedPageBreak/>
        <w:drawing>
          <wp:inline distT="0" distB="0" distL="0" distR="0" wp14:anchorId="35FD1610" wp14:editId="49443735">
            <wp:extent cx="5934075" cy="3165475"/>
            <wp:effectExtent l="0" t="0" r="9525" b="0"/>
            <wp:docPr id="4"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164392" name="תמונה 1"/>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5934075" cy="3165475"/>
                    </a:xfrm>
                    <a:prstGeom prst="rect">
                      <a:avLst/>
                    </a:prstGeom>
                    <a:noFill/>
                    <a:ln>
                      <a:noFill/>
                    </a:ln>
                  </pic:spPr>
                </pic:pic>
              </a:graphicData>
            </a:graphic>
          </wp:inline>
        </w:drawing>
      </w:r>
    </w:p>
    <w:p w14:paraId="53763E25" w14:textId="77777777" w:rsidR="00BD23BB" w:rsidRPr="00F25744" w:rsidRDefault="00BD23BB" w:rsidP="00BD23BB">
      <w:pPr>
        <w:spacing w:after="0" w:line="240" w:lineRule="auto"/>
        <w:jc w:val="both"/>
        <w:rPr>
          <w:rFonts w:cs="David"/>
          <w:sz w:val="16"/>
          <w:szCs w:val="16"/>
          <w:rtl/>
        </w:rPr>
      </w:pPr>
    </w:p>
    <w:p w14:paraId="7A3AEF9F" w14:textId="77777777" w:rsidR="006227EC" w:rsidRPr="00F25744" w:rsidRDefault="00E25AE7" w:rsidP="00BD23BB">
      <w:pPr>
        <w:spacing w:before="120" w:after="0" w:line="360" w:lineRule="auto"/>
        <w:jc w:val="both"/>
        <w:rPr>
          <w:rFonts w:cs="David"/>
          <w:sz w:val="24"/>
          <w:szCs w:val="24"/>
          <w:rtl/>
        </w:rPr>
      </w:pPr>
      <w:r w:rsidRPr="00F25744">
        <w:rPr>
          <w:rFonts w:cs="David" w:hint="cs"/>
          <w:sz w:val="24"/>
          <w:szCs w:val="24"/>
          <w:rtl/>
        </w:rPr>
        <w:t>עם תחילת יום העבודה, היה על הקלד</w:t>
      </w:r>
      <w:r w:rsidR="006F58EF" w:rsidRPr="00F25744">
        <w:rPr>
          <w:rFonts w:cs="David" w:hint="cs"/>
          <w:sz w:val="24"/>
          <w:szCs w:val="24"/>
          <w:rtl/>
        </w:rPr>
        <w:t>ני</w:t>
      </w:r>
      <w:r w:rsidRPr="00F25744">
        <w:rPr>
          <w:rFonts w:cs="David" w:hint="cs"/>
          <w:sz w:val="24"/>
          <w:szCs w:val="24"/>
          <w:rtl/>
        </w:rPr>
        <w:t>ת למלא את שמה, תאריך יום הדיונים ומספר האולם</w:t>
      </w:r>
      <w:r w:rsidRPr="00F25744">
        <w:rPr>
          <w:rStyle w:val="a6"/>
          <w:rFonts w:cs="David"/>
          <w:sz w:val="24"/>
          <w:szCs w:val="24"/>
          <w:rtl/>
        </w:rPr>
        <w:footnoteReference w:id="18"/>
      </w:r>
      <w:r w:rsidRPr="00F25744">
        <w:rPr>
          <w:rFonts w:cs="David" w:hint="cs"/>
          <w:sz w:val="24"/>
          <w:szCs w:val="24"/>
          <w:rtl/>
        </w:rPr>
        <w:t xml:space="preserve"> שבו התקיימו הדיונים. בהמשך ועם תחילת יום הדיונים, היה עליה לתעד את שעת תחילת הדיון עצמו ושעת סיומו, את זמני ההפסקות, אם היו, את סוג התיק שבו התקיים הדיון, סוג העניין ואת סוג הדיון. היומנים הומרו לקובצי אקסל אשר </w:t>
      </w:r>
      <w:r w:rsidR="00AD74FB" w:rsidRPr="00F25744">
        <w:rPr>
          <w:rFonts w:cs="David" w:hint="cs"/>
          <w:sz w:val="24"/>
          <w:szCs w:val="24"/>
          <w:rtl/>
        </w:rPr>
        <w:t xml:space="preserve">אותם </w:t>
      </w:r>
      <w:r w:rsidRPr="00F25744">
        <w:rPr>
          <w:rFonts w:cs="David" w:hint="cs"/>
          <w:sz w:val="24"/>
          <w:szCs w:val="24"/>
          <w:rtl/>
        </w:rPr>
        <w:t>היה על הקלדניות ל</w:t>
      </w:r>
      <w:r w:rsidR="00AD74FB" w:rsidRPr="00F25744">
        <w:rPr>
          <w:rFonts w:cs="David" w:hint="cs"/>
          <w:sz w:val="24"/>
          <w:szCs w:val="24"/>
          <w:rtl/>
        </w:rPr>
        <w:t>שלוח</w:t>
      </w:r>
      <w:r w:rsidRPr="00F25744">
        <w:rPr>
          <w:rFonts w:cs="David" w:hint="cs"/>
          <w:sz w:val="24"/>
          <w:szCs w:val="24"/>
          <w:rtl/>
        </w:rPr>
        <w:t xml:space="preserve"> לאחראיות שלהן מדי יום. אחראיות הקלדניות ריכזו את היומנים ושלחו אותם מדי יום למחלקת המחקר.</w:t>
      </w:r>
    </w:p>
    <w:p w14:paraId="4207B354" w14:textId="77777777" w:rsidR="006227EC" w:rsidRPr="00F25744" w:rsidRDefault="00E25AE7" w:rsidP="00BD23BB">
      <w:pPr>
        <w:spacing w:before="120" w:after="0" w:line="360" w:lineRule="auto"/>
        <w:jc w:val="both"/>
        <w:rPr>
          <w:rFonts w:cs="David"/>
          <w:sz w:val="24"/>
          <w:szCs w:val="24"/>
          <w:rtl/>
        </w:rPr>
      </w:pPr>
      <w:r w:rsidRPr="00F25744">
        <w:rPr>
          <w:rFonts w:cs="David" w:hint="cs"/>
          <w:sz w:val="24"/>
          <w:szCs w:val="24"/>
          <w:rtl/>
        </w:rPr>
        <w:t>יומן זה אמור היה להתאים לרוב סוגי ימי הדיונים. כפי שניתן לראות, היה על הקלדניות לתעד את זמני הדיונים בדקדקנות רבה, החל ממועד תחילת הדיון עצמו ועד סיומו. הקלדניות הונחו שלא להתייחס למועד פתיחת הפרוטוקול בנט המשפט כאל תחילת הדיון, ואף לא לשעה שבה השופט נכנס לאולם, אלא לזמן תחילת הדיון בפועל ועד לזמן שבו הסתיים או שבו הצדדים יצאו להפסקה (</w:t>
      </w:r>
      <w:r w:rsidR="007602A5" w:rsidRPr="00F25744">
        <w:rPr>
          <w:rFonts w:cs="David" w:hint="cs"/>
          <w:sz w:val="24"/>
          <w:szCs w:val="24"/>
          <w:rtl/>
        </w:rPr>
        <w:t xml:space="preserve">לרבות </w:t>
      </w:r>
      <w:r w:rsidRPr="00F25744">
        <w:rPr>
          <w:rFonts w:cs="David" w:hint="cs"/>
          <w:sz w:val="24"/>
          <w:szCs w:val="24"/>
          <w:rtl/>
        </w:rPr>
        <w:t>לצורך קיום משא ומתן או התייעצות). לאחר קבלת יומני הקלדניות מדי יום באופן מרוכז מאת אחראיות הקלדניות, בדקה מחלקת המחקר את תקינות היומנים מבחינת ציון סוגי התיק, סוג העניין, ובדיקת הזמנים שצוינו (האם יש חפיפות בין השעות, האם צוינו זמני יציאה וחזרה מהפסקות וכיו"ב). כאשר התגלו אי דיוקים או חסרים, חזרה מחלקת המחקר אל אחראיות הקלדניות במטרה למלא את החסר או לתקן טעויות. כמו כן, הקלדניות התבקשו לסמן האם הדיון התקיים בהרכב שופטים אם לאו, והאם הדיונים הוקלטו אם לאו. כאשר הדיונים הוקלטו, התבקשו המקליטים למלא את היומן ולהעבירו לאחראיות הקלדניות.</w:t>
      </w:r>
    </w:p>
    <w:p w14:paraId="3C776E10" w14:textId="77777777" w:rsidR="006227EC" w:rsidRPr="00F25744" w:rsidRDefault="00E25AE7" w:rsidP="00BD23BB">
      <w:pPr>
        <w:spacing w:before="120" w:after="0" w:line="360" w:lineRule="auto"/>
        <w:jc w:val="both"/>
        <w:rPr>
          <w:rFonts w:cs="David"/>
          <w:sz w:val="24"/>
          <w:szCs w:val="24"/>
          <w:rtl/>
        </w:rPr>
      </w:pPr>
      <w:r w:rsidRPr="00F25744">
        <w:rPr>
          <w:rFonts w:cs="David" w:hint="cs"/>
          <w:b/>
          <w:bCs/>
          <w:sz w:val="24"/>
          <w:szCs w:val="24"/>
          <w:rtl/>
        </w:rPr>
        <w:lastRenderedPageBreak/>
        <w:t>הסוג השני של יומן</w:t>
      </w:r>
      <w:r w:rsidRPr="00F25744">
        <w:rPr>
          <w:rFonts w:cs="David" w:hint="cs"/>
          <w:sz w:val="24"/>
          <w:szCs w:val="24"/>
          <w:rtl/>
        </w:rPr>
        <w:t xml:space="preserve"> ידני נבנה לצורך התאמתו לימי מוקד/ הקראות, במיוחד בתיקים פליליים, דיוני מעצרים ו</w:t>
      </w:r>
      <w:r w:rsidR="007602A5" w:rsidRPr="00F25744">
        <w:rPr>
          <w:rFonts w:cs="David" w:hint="cs"/>
          <w:sz w:val="24"/>
          <w:szCs w:val="24"/>
          <w:rtl/>
        </w:rPr>
        <w:t xml:space="preserve">כן </w:t>
      </w:r>
      <w:r w:rsidRPr="00F25744">
        <w:rPr>
          <w:rFonts w:cs="David" w:hint="cs"/>
          <w:sz w:val="24"/>
          <w:szCs w:val="24"/>
          <w:rtl/>
        </w:rPr>
        <w:t xml:space="preserve">ימי הקראות בערכאת התעבורה. לאחר שהתברר כי בימים מהסוגים הללו מתקיימים עשרות דיונים (50-80, ולעתים אף יותר ממאה תיקים ביום), הבנו כי לא ניתן יהיה להקדיש שורה ביומן לכל דיון. על כן, ובהתחשב בעובדה שבימים אלו נשמעים לרוב תיקים מאותו הסוג (למשל בימי מעצרים נשמעים בד"כ בערכאת השלום תיקים מסוג מ"י </w:t>
      </w:r>
      <w:r w:rsidRPr="00F25744">
        <w:rPr>
          <w:rFonts w:cs="David"/>
          <w:sz w:val="24"/>
          <w:szCs w:val="24"/>
          <w:rtl/>
        </w:rPr>
        <w:t>–</w:t>
      </w:r>
      <w:r w:rsidRPr="00F25744">
        <w:rPr>
          <w:rFonts w:cs="David" w:hint="cs"/>
          <w:sz w:val="24"/>
          <w:szCs w:val="24"/>
          <w:rtl/>
        </w:rPr>
        <w:t xml:space="preserve"> מעצרי ימים, בימי הקראות בתעבורה נשמעים בעיקר תיקי תת"ע וכו'), בנינו את היומן הבא, אשר אפשר לקלדניות לכתוב במרוכז את שעת תחילת יום הדיונים, שעת סיומו, שעות ההפסקות ואת מספר התיקים שנשמעו בפרק זמן זה. ככל שבמהלך יום מהסוגים האמורים נכנס דיון מסוג אחר (למשל דיון הוכחות בת"פ שנדון במהלך יום מוקד, או תיק מ"ת במהלך יום מעצרים של תיקי מ"י), הונחו הקלדניות לציין אותו ביומן הרגיל (שהובא לעיל)</w:t>
      </w:r>
      <w:r w:rsidR="00460C13" w:rsidRPr="00F25744">
        <w:rPr>
          <w:rFonts w:cs="David" w:hint="cs"/>
          <w:sz w:val="24"/>
          <w:szCs w:val="24"/>
          <w:rtl/>
        </w:rPr>
        <w:t>,</w:t>
      </w:r>
      <w:r w:rsidR="0019551F" w:rsidRPr="00F25744">
        <w:rPr>
          <w:rFonts w:cs="David" w:hint="cs"/>
          <w:sz w:val="24"/>
          <w:szCs w:val="24"/>
          <w:rtl/>
        </w:rPr>
        <w:t xml:space="preserve"> </w:t>
      </w:r>
      <w:r w:rsidR="00460C13" w:rsidRPr="00F25744">
        <w:rPr>
          <w:rFonts w:cs="David" w:hint="cs"/>
          <w:sz w:val="24"/>
          <w:szCs w:val="24"/>
          <w:rtl/>
        </w:rPr>
        <w:t>ש</w:t>
      </w:r>
      <w:r w:rsidR="0019551F" w:rsidRPr="00F25744">
        <w:rPr>
          <w:rFonts w:cs="David" w:hint="cs"/>
          <w:sz w:val="24"/>
          <w:szCs w:val="24"/>
          <w:rtl/>
        </w:rPr>
        <w:t>נוסף לחלק</w:t>
      </w:r>
      <w:r w:rsidR="00460C13" w:rsidRPr="00F25744">
        <w:rPr>
          <w:rFonts w:cs="David" w:hint="cs"/>
          <w:sz w:val="24"/>
          <w:szCs w:val="24"/>
          <w:rtl/>
        </w:rPr>
        <w:t>ו</w:t>
      </w:r>
      <w:r w:rsidR="0019551F" w:rsidRPr="00F25744">
        <w:rPr>
          <w:rFonts w:cs="David" w:hint="cs"/>
          <w:sz w:val="24"/>
          <w:szCs w:val="24"/>
          <w:rtl/>
        </w:rPr>
        <w:t xml:space="preserve"> התחתון של היומן המיוחד</w:t>
      </w:r>
      <w:r w:rsidRPr="00F25744">
        <w:rPr>
          <w:rFonts w:cs="David" w:hint="cs"/>
          <w:sz w:val="24"/>
          <w:szCs w:val="24"/>
          <w:rtl/>
        </w:rPr>
        <w:t>. ניתן להתרשם מיומן זה להלן:</w:t>
      </w:r>
    </w:p>
    <w:tbl>
      <w:tblPr>
        <w:bidiVisual/>
        <w:tblW w:w="8481" w:type="dxa"/>
        <w:tblInd w:w="166" w:type="dxa"/>
        <w:tblLook w:val="04A0" w:firstRow="1" w:lastRow="0" w:firstColumn="1" w:lastColumn="0" w:noHBand="0" w:noVBand="1"/>
      </w:tblPr>
      <w:tblGrid>
        <w:gridCol w:w="1722"/>
        <w:gridCol w:w="1282"/>
        <w:gridCol w:w="439"/>
        <w:gridCol w:w="597"/>
        <w:gridCol w:w="921"/>
        <w:gridCol w:w="706"/>
        <w:gridCol w:w="182"/>
        <w:gridCol w:w="411"/>
        <w:gridCol w:w="877"/>
        <w:gridCol w:w="245"/>
        <w:gridCol w:w="222"/>
        <w:gridCol w:w="877"/>
      </w:tblGrid>
      <w:tr w:rsidR="00E0162E" w:rsidRPr="00F25744" w14:paraId="55122181" w14:textId="77777777" w:rsidTr="00C62A85">
        <w:trPr>
          <w:gridAfter w:val="3"/>
          <w:wAfter w:w="1344" w:type="dxa"/>
          <w:trHeight w:val="248"/>
        </w:trPr>
        <w:tc>
          <w:tcPr>
            <w:tcW w:w="17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8927E1" w14:textId="77777777" w:rsidR="00C62A85" w:rsidRPr="00F25744" w:rsidRDefault="00E25AE7" w:rsidP="006C3EB9">
            <w:pPr>
              <w:spacing w:after="0" w:line="240" w:lineRule="auto"/>
              <w:jc w:val="center"/>
              <w:rPr>
                <w:rFonts w:ascii="David" w:eastAsia="Times New Roman" w:hAnsi="David" w:cs="David"/>
                <w:b/>
                <w:bCs/>
                <w:color w:val="000000"/>
                <w:sz w:val="20"/>
                <w:szCs w:val="20"/>
              </w:rPr>
            </w:pPr>
            <w:r w:rsidRPr="00F25744">
              <w:rPr>
                <w:rFonts w:ascii="David" w:eastAsia="Times New Roman" w:hAnsi="David" w:cs="David"/>
                <w:b/>
                <w:bCs/>
                <w:color w:val="000000"/>
                <w:sz w:val="20"/>
                <w:szCs w:val="20"/>
                <w:rtl/>
              </w:rPr>
              <w:t>שם הקלדן/ית</w:t>
            </w:r>
          </w:p>
        </w:tc>
        <w:tc>
          <w:tcPr>
            <w:tcW w:w="1721" w:type="dxa"/>
            <w:gridSpan w:val="2"/>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64CBCF3C" w14:textId="77777777" w:rsidR="00C62A85" w:rsidRPr="00F25744" w:rsidRDefault="00E25AE7" w:rsidP="006C3EB9">
            <w:pPr>
              <w:bidi w:val="0"/>
              <w:spacing w:after="0" w:line="240" w:lineRule="auto"/>
              <w:jc w:val="center"/>
              <w:rPr>
                <w:rFonts w:ascii="David" w:eastAsia="Times New Roman" w:hAnsi="David" w:cs="David"/>
                <w:b/>
                <w:bCs/>
                <w:color w:val="000000"/>
                <w:sz w:val="20"/>
                <w:szCs w:val="20"/>
                <w:rtl/>
              </w:rPr>
            </w:pPr>
            <w:r w:rsidRPr="00F25744">
              <w:rPr>
                <w:rFonts w:ascii="David" w:eastAsia="Times New Roman" w:hAnsi="David" w:cs="David"/>
                <w:b/>
                <w:bCs/>
                <w:color w:val="000000"/>
                <w:sz w:val="20"/>
                <w:szCs w:val="20"/>
              </w:rPr>
              <w:t> </w:t>
            </w:r>
          </w:p>
        </w:tc>
        <w:tc>
          <w:tcPr>
            <w:tcW w:w="151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DA0B3B" w14:textId="77777777" w:rsidR="00C62A85" w:rsidRPr="00F25744" w:rsidRDefault="00E25AE7" w:rsidP="006C3EB9">
            <w:pPr>
              <w:spacing w:after="0" w:line="240" w:lineRule="auto"/>
              <w:jc w:val="center"/>
              <w:rPr>
                <w:rFonts w:ascii="David" w:eastAsia="Times New Roman" w:hAnsi="David" w:cs="David"/>
                <w:b/>
                <w:bCs/>
                <w:color w:val="000000"/>
                <w:sz w:val="20"/>
                <w:szCs w:val="20"/>
              </w:rPr>
            </w:pPr>
            <w:r w:rsidRPr="00F25744">
              <w:rPr>
                <w:rFonts w:ascii="David" w:eastAsia="Times New Roman" w:hAnsi="David" w:cs="David"/>
                <w:b/>
                <w:bCs/>
                <w:color w:val="000000"/>
                <w:sz w:val="20"/>
                <w:szCs w:val="20"/>
                <w:rtl/>
              </w:rPr>
              <w:t xml:space="preserve">תאריך </w:t>
            </w:r>
          </w:p>
        </w:tc>
        <w:tc>
          <w:tcPr>
            <w:tcW w:w="706" w:type="dxa"/>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3CEDDFDA" w14:textId="77777777" w:rsidR="00C62A85" w:rsidRPr="00F25744" w:rsidRDefault="00E25AE7" w:rsidP="006C3EB9">
            <w:pPr>
              <w:bidi w:val="0"/>
              <w:spacing w:after="0" w:line="240" w:lineRule="auto"/>
              <w:jc w:val="center"/>
              <w:rPr>
                <w:rFonts w:ascii="David" w:eastAsia="Times New Roman" w:hAnsi="David" w:cs="David"/>
                <w:b/>
                <w:bCs/>
                <w:color w:val="000000"/>
                <w:sz w:val="20"/>
                <w:szCs w:val="20"/>
                <w:rtl/>
              </w:rPr>
            </w:pPr>
            <w:r w:rsidRPr="00F25744">
              <w:rPr>
                <w:rFonts w:ascii="David" w:eastAsia="Times New Roman" w:hAnsi="David" w:cs="David"/>
                <w:b/>
                <w:bCs/>
                <w:color w:val="000000"/>
                <w:sz w:val="20"/>
                <w:szCs w:val="20"/>
              </w:rPr>
              <w:t> </w:t>
            </w:r>
          </w:p>
        </w:tc>
        <w:tc>
          <w:tcPr>
            <w:tcW w:w="59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B18D22" w14:textId="77777777" w:rsidR="00C62A85" w:rsidRPr="00F25744" w:rsidRDefault="00E25AE7" w:rsidP="006C3EB9">
            <w:pPr>
              <w:spacing w:after="0" w:line="240" w:lineRule="auto"/>
              <w:jc w:val="center"/>
              <w:rPr>
                <w:rFonts w:ascii="David" w:eastAsia="Times New Roman" w:hAnsi="David" w:cs="David"/>
                <w:b/>
                <w:bCs/>
                <w:color w:val="000000"/>
                <w:sz w:val="20"/>
                <w:szCs w:val="20"/>
              </w:rPr>
            </w:pPr>
            <w:r w:rsidRPr="00F25744">
              <w:rPr>
                <w:rFonts w:ascii="David" w:eastAsia="Times New Roman" w:hAnsi="David" w:cs="David"/>
                <w:b/>
                <w:bCs/>
                <w:color w:val="000000"/>
                <w:sz w:val="20"/>
                <w:szCs w:val="20"/>
                <w:rtl/>
              </w:rPr>
              <w:t>מס' אולם</w:t>
            </w:r>
          </w:p>
        </w:tc>
        <w:tc>
          <w:tcPr>
            <w:tcW w:w="87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2800A26" w14:textId="77777777" w:rsidR="00C62A85" w:rsidRPr="00F25744" w:rsidRDefault="00E25AE7" w:rsidP="006C3EB9">
            <w:pPr>
              <w:bidi w:val="0"/>
              <w:spacing w:after="0" w:line="240" w:lineRule="auto"/>
              <w:jc w:val="center"/>
              <w:rPr>
                <w:rFonts w:ascii="David" w:eastAsia="Times New Roman" w:hAnsi="David" w:cs="David"/>
                <w:b/>
                <w:bCs/>
                <w:color w:val="000000"/>
                <w:sz w:val="20"/>
                <w:szCs w:val="20"/>
                <w:rtl/>
              </w:rPr>
            </w:pPr>
            <w:r w:rsidRPr="00F25744">
              <w:rPr>
                <w:rFonts w:ascii="David" w:eastAsia="Times New Roman" w:hAnsi="David" w:cs="David"/>
                <w:b/>
                <w:bCs/>
                <w:color w:val="000000"/>
                <w:sz w:val="20"/>
                <w:szCs w:val="20"/>
              </w:rPr>
              <w:t> </w:t>
            </w:r>
          </w:p>
        </w:tc>
      </w:tr>
      <w:tr w:rsidR="00E0162E" w:rsidRPr="00F25744" w14:paraId="47790898" w14:textId="77777777" w:rsidTr="00C62A85">
        <w:trPr>
          <w:trHeight w:val="189"/>
        </w:trPr>
        <w:tc>
          <w:tcPr>
            <w:tcW w:w="1722" w:type="dxa"/>
            <w:tcBorders>
              <w:top w:val="nil"/>
              <w:left w:val="nil"/>
              <w:bottom w:val="nil"/>
              <w:right w:val="nil"/>
            </w:tcBorders>
            <w:shd w:val="clear" w:color="auto" w:fill="auto"/>
            <w:noWrap/>
            <w:vAlign w:val="bottom"/>
            <w:hideMark/>
          </w:tcPr>
          <w:p w14:paraId="339C3991" w14:textId="77777777" w:rsidR="00C62A85" w:rsidRPr="00F25744" w:rsidRDefault="00C62A85" w:rsidP="006C3EB9">
            <w:pPr>
              <w:bidi w:val="0"/>
              <w:spacing w:after="0" w:line="240" w:lineRule="auto"/>
              <w:jc w:val="center"/>
              <w:rPr>
                <w:rFonts w:ascii="David" w:eastAsia="Times New Roman" w:hAnsi="David" w:cs="David"/>
                <w:b/>
                <w:bCs/>
                <w:color w:val="000000"/>
                <w:sz w:val="20"/>
                <w:szCs w:val="20"/>
              </w:rPr>
            </w:pPr>
          </w:p>
        </w:tc>
        <w:tc>
          <w:tcPr>
            <w:tcW w:w="1282" w:type="dxa"/>
            <w:tcBorders>
              <w:top w:val="nil"/>
              <w:left w:val="nil"/>
              <w:bottom w:val="nil"/>
              <w:right w:val="nil"/>
            </w:tcBorders>
            <w:shd w:val="clear" w:color="auto" w:fill="auto"/>
            <w:noWrap/>
            <w:vAlign w:val="bottom"/>
            <w:hideMark/>
          </w:tcPr>
          <w:p w14:paraId="0B593224"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1036" w:type="dxa"/>
            <w:gridSpan w:val="2"/>
            <w:tcBorders>
              <w:top w:val="nil"/>
              <w:left w:val="nil"/>
              <w:bottom w:val="nil"/>
              <w:right w:val="nil"/>
            </w:tcBorders>
            <w:shd w:val="clear" w:color="auto" w:fill="auto"/>
            <w:noWrap/>
            <w:vAlign w:val="bottom"/>
            <w:hideMark/>
          </w:tcPr>
          <w:p w14:paraId="77E546F9"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921" w:type="dxa"/>
            <w:tcBorders>
              <w:top w:val="nil"/>
              <w:left w:val="nil"/>
              <w:bottom w:val="nil"/>
              <w:right w:val="nil"/>
            </w:tcBorders>
            <w:shd w:val="clear" w:color="auto" w:fill="auto"/>
            <w:noWrap/>
            <w:vAlign w:val="bottom"/>
            <w:hideMark/>
          </w:tcPr>
          <w:p w14:paraId="31E0ABA1"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888" w:type="dxa"/>
            <w:gridSpan w:val="2"/>
            <w:tcBorders>
              <w:top w:val="nil"/>
              <w:left w:val="nil"/>
              <w:bottom w:val="nil"/>
              <w:right w:val="nil"/>
            </w:tcBorders>
            <w:shd w:val="clear" w:color="auto" w:fill="auto"/>
            <w:noWrap/>
            <w:vAlign w:val="bottom"/>
            <w:hideMark/>
          </w:tcPr>
          <w:p w14:paraId="13250BFE"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1533" w:type="dxa"/>
            <w:gridSpan w:val="3"/>
            <w:tcBorders>
              <w:top w:val="nil"/>
              <w:left w:val="nil"/>
              <w:bottom w:val="nil"/>
              <w:right w:val="nil"/>
            </w:tcBorders>
            <w:shd w:val="clear" w:color="auto" w:fill="auto"/>
            <w:noWrap/>
            <w:vAlign w:val="bottom"/>
            <w:hideMark/>
          </w:tcPr>
          <w:p w14:paraId="0F49D436"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E5ED34B"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877" w:type="dxa"/>
            <w:tcBorders>
              <w:top w:val="nil"/>
              <w:left w:val="nil"/>
              <w:bottom w:val="nil"/>
              <w:right w:val="nil"/>
            </w:tcBorders>
            <w:shd w:val="clear" w:color="auto" w:fill="auto"/>
            <w:noWrap/>
            <w:vAlign w:val="bottom"/>
            <w:hideMark/>
          </w:tcPr>
          <w:p w14:paraId="36DC9626"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r>
      <w:tr w:rsidR="00E0162E" w:rsidRPr="00F25744" w14:paraId="5EC3D396" w14:textId="77777777" w:rsidTr="00C62A85">
        <w:trPr>
          <w:trHeight w:val="343"/>
        </w:trPr>
        <w:tc>
          <w:tcPr>
            <w:tcW w:w="1722" w:type="dxa"/>
            <w:tcBorders>
              <w:top w:val="single" w:sz="4" w:space="0" w:color="auto"/>
              <w:left w:val="single" w:sz="4" w:space="0" w:color="auto"/>
              <w:bottom w:val="nil"/>
              <w:right w:val="single" w:sz="4" w:space="0" w:color="auto"/>
            </w:tcBorders>
            <w:shd w:val="clear" w:color="000000" w:fill="FFFFFF"/>
            <w:hideMark/>
          </w:tcPr>
          <w:p w14:paraId="094B926D" w14:textId="77777777" w:rsidR="00C62A85" w:rsidRPr="00F25744" w:rsidRDefault="00E25AE7" w:rsidP="006C3EB9">
            <w:pPr>
              <w:spacing w:after="0" w:line="240" w:lineRule="auto"/>
              <w:jc w:val="center"/>
              <w:rPr>
                <w:rFonts w:ascii="David" w:eastAsia="Times New Roman" w:hAnsi="David" w:cs="David"/>
                <w:b/>
                <w:bCs/>
                <w:color w:val="000000"/>
                <w:sz w:val="20"/>
                <w:szCs w:val="20"/>
              </w:rPr>
            </w:pPr>
            <w:r w:rsidRPr="00F25744">
              <w:rPr>
                <w:rFonts w:ascii="David" w:eastAsia="Times New Roman" w:hAnsi="David" w:cs="David"/>
                <w:b/>
                <w:bCs/>
                <w:color w:val="000000"/>
                <w:sz w:val="20"/>
                <w:szCs w:val="20"/>
                <w:rtl/>
              </w:rPr>
              <w:t>שעת תחילת יום הדיונים (מוקד)</w:t>
            </w:r>
          </w:p>
        </w:tc>
        <w:tc>
          <w:tcPr>
            <w:tcW w:w="1282" w:type="dxa"/>
            <w:tcBorders>
              <w:top w:val="single" w:sz="4" w:space="0" w:color="auto"/>
              <w:left w:val="single" w:sz="4" w:space="0" w:color="auto"/>
              <w:bottom w:val="single" w:sz="4" w:space="0" w:color="auto"/>
              <w:right w:val="single" w:sz="4" w:space="0" w:color="auto"/>
            </w:tcBorders>
            <w:shd w:val="clear" w:color="auto" w:fill="auto"/>
            <w:hideMark/>
          </w:tcPr>
          <w:p w14:paraId="333D25F5" w14:textId="77777777" w:rsidR="00C62A85" w:rsidRPr="00F25744" w:rsidRDefault="00E25AE7" w:rsidP="006C3EB9">
            <w:pPr>
              <w:bidi w:val="0"/>
              <w:spacing w:after="0" w:line="240" w:lineRule="auto"/>
              <w:jc w:val="center"/>
              <w:rPr>
                <w:rFonts w:ascii="David" w:eastAsia="Times New Roman" w:hAnsi="David" w:cs="David"/>
                <w:b/>
                <w:bCs/>
                <w:color w:val="000000"/>
                <w:sz w:val="20"/>
                <w:szCs w:val="20"/>
                <w:rtl/>
              </w:rPr>
            </w:pPr>
            <w:r w:rsidRPr="00F25744">
              <w:rPr>
                <w:rFonts w:ascii="David" w:eastAsia="Times New Roman" w:hAnsi="David" w:cs="David"/>
                <w:b/>
                <w:bCs/>
                <w:color w:val="000000"/>
                <w:sz w:val="20"/>
                <w:szCs w:val="20"/>
              </w:rPr>
              <w:t> </w:t>
            </w:r>
          </w:p>
        </w:tc>
        <w:tc>
          <w:tcPr>
            <w:tcW w:w="1036" w:type="dxa"/>
            <w:gridSpan w:val="2"/>
            <w:tcBorders>
              <w:top w:val="nil"/>
              <w:left w:val="nil"/>
              <w:bottom w:val="nil"/>
              <w:right w:val="nil"/>
            </w:tcBorders>
            <w:shd w:val="clear" w:color="auto" w:fill="auto"/>
            <w:noWrap/>
            <w:vAlign w:val="bottom"/>
            <w:hideMark/>
          </w:tcPr>
          <w:p w14:paraId="4BE5F0FC" w14:textId="77777777" w:rsidR="00C62A85" w:rsidRPr="00F25744" w:rsidRDefault="00C62A85" w:rsidP="006C3EB9">
            <w:pPr>
              <w:bidi w:val="0"/>
              <w:spacing w:after="0" w:line="240" w:lineRule="auto"/>
              <w:jc w:val="center"/>
              <w:rPr>
                <w:rFonts w:ascii="David" w:eastAsia="Times New Roman" w:hAnsi="David" w:cs="David"/>
                <w:b/>
                <w:bCs/>
                <w:color w:val="000000"/>
                <w:sz w:val="20"/>
                <w:szCs w:val="20"/>
              </w:rPr>
            </w:pPr>
          </w:p>
        </w:tc>
        <w:tc>
          <w:tcPr>
            <w:tcW w:w="921" w:type="dxa"/>
            <w:tcBorders>
              <w:top w:val="nil"/>
              <w:left w:val="nil"/>
              <w:bottom w:val="nil"/>
              <w:right w:val="nil"/>
            </w:tcBorders>
            <w:shd w:val="clear" w:color="auto" w:fill="auto"/>
            <w:noWrap/>
            <w:vAlign w:val="bottom"/>
            <w:hideMark/>
          </w:tcPr>
          <w:p w14:paraId="4F5ACA3D"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888" w:type="dxa"/>
            <w:gridSpan w:val="2"/>
            <w:tcBorders>
              <w:top w:val="nil"/>
              <w:left w:val="nil"/>
              <w:bottom w:val="nil"/>
              <w:right w:val="nil"/>
            </w:tcBorders>
            <w:shd w:val="clear" w:color="auto" w:fill="auto"/>
            <w:noWrap/>
            <w:vAlign w:val="bottom"/>
            <w:hideMark/>
          </w:tcPr>
          <w:p w14:paraId="690D6611"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1533" w:type="dxa"/>
            <w:gridSpan w:val="3"/>
            <w:tcBorders>
              <w:top w:val="nil"/>
              <w:left w:val="nil"/>
              <w:bottom w:val="nil"/>
              <w:right w:val="nil"/>
            </w:tcBorders>
            <w:shd w:val="clear" w:color="auto" w:fill="auto"/>
            <w:noWrap/>
            <w:vAlign w:val="bottom"/>
            <w:hideMark/>
          </w:tcPr>
          <w:p w14:paraId="42118732"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357C6E05"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877" w:type="dxa"/>
            <w:tcBorders>
              <w:top w:val="nil"/>
              <w:left w:val="nil"/>
              <w:bottom w:val="nil"/>
              <w:right w:val="nil"/>
            </w:tcBorders>
            <w:shd w:val="clear" w:color="auto" w:fill="auto"/>
            <w:noWrap/>
            <w:vAlign w:val="bottom"/>
            <w:hideMark/>
          </w:tcPr>
          <w:p w14:paraId="01957C07"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r>
      <w:tr w:rsidR="00E0162E" w:rsidRPr="00F25744" w14:paraId="1BE90760" w14:textId="77777777" w:rsidTr="00C62A85">
        <w:trPr>
          <w:trHeight w:val="248"/>
        </w:trPr>
        <w:tc>
          <w:tcPr>
            <w:tcW w:w="1722" w:type="dxa"/>
            <w:tcBorders>
              <w:top w:val="single" w:sz="4" w:space="0" w:color="auto"/>
              <w:left w:val="single" w:sz="4" w:space="0" w:color="auto"/>
              <w:bottom w:val="nil"/>
              <w:right w:val="single" w:sz="4" w:space="0" w:color="auto"/>
            </w:tcBorders>
            <w:shd w:val="clear" w:color="000000" w:fill="FFFFFF"/>
            <w:hideMark/>
          </w:tcPr>
          <w:p w14:paraId="1999006E" w14:textId="77777777" w:rsidR="00C62A85" w:rsidRPr="00F25744" w:rsidRDefault="00E25AE7" w:rsidP="006C3EB9">
            <w:pPr>
              <w:bidi w:val="0"/>
              <w:spacing w:after="0" w:line="240" w:lineRule="auto"/>
              <w:jc w:val="center"/>
              <w:rPr>
                <w:rFonts w:ascii="David" w:eastAsia="Times New Roman" w:hAnsi="David" w:cs="David"/>
                <w:b/>
                <w:bCs/>
                <w:color w:val="000000"/>
                <w:sz w:val="20"/>
                <w:szCs w:val="20"/>
              </w:rPr>
            </w:pPr>
            <w:r w:rsidRPr="00F25744">
              <w:rPr>
                <w:rFonts w:ascii="David" w:eastAsia="Times New Roman" w:hAnsi="David" w:cs="David"/>
                <w:b/>
                <w:bCs/>
                <w:color w:val="000000"/>
                <w:sz w:val="20"/>
                <w:szCs w:val="20"/>
              </w:rPr>
              <w:t> </w:t>
            </w:r>
          </w:p>
        </w:tc>
        <w:tc>
          <w:tcPr>
            <w:tcW w:w="1282" w:type="dxa"/>
            <w:tcBorders>
              <w:top w:val="nil"/>
              <w:left w:val="single" w:sz="4" w:space="0" w:color="auto"/>
              <w:bottom w:val="single" w:sz="4" w:space="0" w:color="auto"/>
              <w:right w:val="single" w:sz="4" w:space="0" w:color="auto"/>
            </w:tcBorders>
            <w:shd w:val="clear" w:color="auto" w:fill="auto"/>
            <w:hideMark/>
          </w:tcPr>
          <w:p w14:paraId="1DB24039" w14:textId="77777777" w:rsidR="00C62A85" w:rsidRPr="00F25744" w:rsidRDefault="00E25AE7" w:rsidP="006C3EB9">
            <w:pPr>
              <w:bidi w:val="0"/>
              <w:spacing w:after="0" w:line="240" w:lineRule="auto"/>
              <w:jc w:val="center"/>
              <w:rPr>
                <w:rFonts w:ascii="David" w:eastAsia="Times New Roman" w:hAnsi="David" w:cs="David"/>
                <w:b/>
                <w:bCs/>
                <w:color w:val="000000"/>
                <w:sz w:val="20"/>
                <w:szCs w:val="20"/>
              </w:rPr>
            </w:pPr>
            <w:r w:rsidRPr="00F25744">
              <w:rPr>
                <w:rFonts w:ascii="David" w:eastAsia="Times New Roman" w:hAnsi="David" w:cs="David"/>
                <w:b/>
                <w:bCs/>
                <w:color w:val="000000"/>
                <w:sz w:val="20"/>
                <w:szCs w:val="20"/>
              </w:rPr>
              <w:t> </w:t>
            </w:r>
          </w:p>
        </w:tc>
        <w:tc>
          <w:tcPr>
            <w:tcW w:w="1036" w:type="dxa"/>
            <w:gridSpan w:val="2"/>
            <w:tcBorders>
              <w:top w:val="nil"/>
              <w:left w:val="nil"/>
              <w:bottom w:val="nil"/>
              <w:right w:val="nil"/>
            </w:tcBorders>
            <w:shd w:val="clear" w:color="auto" w:fill="auto"/>
            <w:noWrap/>
            <w:vAlign w:val="bottom"/>
            <w:hideMark/>
          </w:tcPr>
          <w:p w14:paraId="5A569064" w14:textId="77777777" w:rsidR="00C62A85" w:rsidRPr="00F25744" w:rsidRDefault="00C62A85" w:rsidP="006C3EB9">
            <w:pPr>
              <w:bidi w:val="0"/>
              <w:spacing w:after="0" w:line="240" w:lineRule="auto"/>
              <w:jc w:val="center"/>
              <w:rPr>
                <w:rFonts w:ascii="David" w:eastAsia="Times New Roman" w:hAnsi="David" w:cs="David"/>
                <w:b/>
                <w:bCs/>
                <w:color w:val="000000"/>
                <w:sz w:val="20"/>
                <w:szCs w:val="20"/>
              </w:rPr>
            </w:pPr>
          </w:p>
        </w:tc>
        <w:tc>
          <w:tcPr>
            <w:tcW w:w="921" w:type="dxa"/>
            <w:tcBorders>
              <w:top w:val="nil"/>
              <w:left w:val="nil"/>
              <w:bottom w:val="nil"/>
              <w:right w:val="nil"/>
            </w:tcBorders>
            <w:shd w:val="clear" w:color="auto" w:fill="auto"/>
            <w:noWrap/>
            <w:vAlign w:val="bottom"/>
            <w:hideMark/>
          </w:tcPr>
          <w:p w14:paraId="45EE2352"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888" w:type="dxa"/>
            <w:gridSpan w:val="2"/>
            <w:tcBorders>
              <w:top w:val="nil"/>
              <w:left w:val="nil"/>
              <w:bottom w:val="nil"/>
              <w:right w:val="nil"/>
            </w:tcBorders>
            <w:shd w:val="clear" w:color="auto" w:fill="auto"/>
            <w:noWrap/>
            <w:vAlign w:val="bottom"/>
            <w:hideMark/>
          </w:tcPr>
          <w:p w14:paraId="5BCDD635"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1533" w:type="dxa"/>
            <w:gridSpan w:val="3"/>
            <w:tcBorders>
              <w:top w:val="nil"/>
              <w:left w:val="nil"/>
              <w:bottom w:val="nil"/>
              <w:right w:val="nil"/>
            </w:tcBorders>
            <w:shd w:val="clear" w:color="auto" w:fill="auto"/>
            <w:noWrap/>
            <w:vAlign w:val="bottom"/>
            <w:hideMark/>
          </w:tcPr>
          <w:p w14:paraId="029F8BCB"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3DC2AABC"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877" w:type="dxa"/>
            <w:tcBorders>
              <w:top w:val="nil"/>
              <w:left w:val="nil"/>
              <w:bottom w:val="nil"/>
              <w:right w:val="nil"/>
            </w:tcBorders>
            <w:shd w:val="clear" w:color="auto" w:fill="auto"/>
            <w:noWrap/>
            <w:vAlign w:val="bottom"/>
            <w:hideMark/>
          </w:tcPr>
          <w:p w14:paraId="701CCCC8"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r>
      <w:tr w:rsidR="00E0162E" w:rsidRPr="00F25744" w14:paraId="1B954453" w14:textId="77777777" w:rsidTr="00C62A85">
        <w:trPr>
          <w:trHeight w:val="248"/>
        </w:trPr>
        <w:tc>
          <w:tcPr>
            <w:tcW w:w="17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CCA4F2" w14:textId="77777777" w:rsidR="00C62A85" w:rsidRPr="00F25744" w:rsidRDefault="00E25AE7" w:rsidP="006C3EB9">
            <w:pPr>
              <w:spacing w:after="0" w:line="240" w:lineRule="auto"/>
              <w:jc w:val="center"/>
              <w:rPr>
                <w:rFonts w:ascii="David" w:eastAsia="Times New Roman" w:hAnsi="David" w:cs="David"/>
                <w:b/>
                <w:bCs/>
                <w:color w:val="000000"/>
                <w:sz w:val="20"/>
                <w:szCs w:val="20"/>
              </w:rPr>
            </w:pPr>
            <w:r w:rsidRPr="00F25744">
              <w:rPr>
                <w:rFonts w:ascii="David" w:eastAsia="Times New Roman" w:hAnsi="David" w:cs="David"/>
                <w:b/>
                <w:bCs/>
                <w:color w:val="000000"/>
                <w:sz w:val="20"/>
                <w:szCs w:val="20"/>
                <w:rtl/>
              </w:rPr>
              <w:t>שעת תחילת ההפסקה</w:t>
            </w:r>
          </w:p>
        </w:tc>
        <w:tc>
          <w:tcPr>
            <w:tcW w:w="1282" w:type="dxa"/>
            <w:tcBorders>
              <w:top w:val="nil"/>
              <w:left w:val="single" w:sz="4" w:space="0" w:color="auto"/>
              <w:bottom w:val="single" w:sz="4" w:space="0" w:color="auto"/>
              <w:right w:val="single" w:sz="4" w:space="0" w:color="auto"/>
            </w:tcBorders>
            <w:shd w:val="clear" w:color="auto" w:fill="auto"/>
            <w:noWrap/>
            <w:vAlign w:val="bottom"/>
            <w:hideMark/>
          </w:tcPr>
          <w:p w14:paraId="26E0C529" w14:textId="77777777" w:rsidR="00C62A85" w:rsidRPr="00F25744" w:rsidRDefault="00E25AE7" w:rsidP="006C3EB9">
            <w:pPr>
              <w:bidi w:val="0"/>
              <w:spacing w:after="0" w:line="240" w:lineRule="auto"/>
              <w:rPr>
                <w:rFonts w:ascii="David" w:eastAsia="Times New Roman" w:hAnsi="David" w:cs="David"/>
                <w:color w:val="000000"/>
                <w:sz w:val="20"/>
                <w:szCs w:val="20"/>
                <w:rtl/>
              </w:rPr>
            </w:pPr>
            <w:r w:rsidRPr="00F25744">
              <w:rPr>
                <w:rFonts w:ascii="David" w:eastAsia="Times New Roman" w:hAnsi="David" w:cs="David"/>
                <w:color w:val="000000"/>
                <w:sz w:val="20"/>
                <w:szCs w:val="20"/>
              </w:rPr>
              <w:t> </w:t>
            </w:r>
          </w:p>
        </w:tc>
        <w:tc>
          <w:tcPr>
            <w:tcW w:w="103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F8894B" w14:textId="77777777" w:rsidR="00C62A85" w:rsidRPr="00F25744" w:rsidRDefault="00E25AE7" w:rsidP="006C3EB9">
            <w:pPr>
              <w:spacing w:after="0" w:line="240" w:lineRule="auto"/>
              <w:jc w:val="center"/>
              <w:rPr>
                <w:rFonts w:ascii="David" w:eastAsia="Times New Roman" w:hAnsi="David" w:cs="David"/>
                <w:b/>
                <w:bCs/>
                <w:color w:val="000000"/>
                <w:sz w:val="20"/>
                <w:szCs w:val="20"/>
              </w:rPr>
            </w:pPr>
            <w:r w:rsidRPr="00F25744">
              <w:rPr>
                <w:rFonts w:ascii="David" w:eastAsia="Times New Roman" w:hAnsi="David" w:cs="David"/>
                <w:b/>
                <w:bCs/>
                <w:color w:val="000000"/>
                <w:sz w:val="20"/>
                <w:szCs w:val="20"/>
                <w:rtl/>
              </w:rPr>
              <w:t>שעת סיום ההפסקה</w:t>
            </w:r>
          </w:p>
        </w:tc>
        <w:tc>
          <w:tcPr>
            <w:tcW w:w="9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B7BC17" w14:textId="77777777" w:rsidR="00C62A85" w:rsidRPr="00F25744" w:rsidRDefault="00E25AE7" w:rsidP="006C3EB9">
            <w:pPr>
              <w:bidi w:val="0"/>
              <w:spacing w:after="0" w:line="240" w:lineRule="auto"/>
              <w:rPr>
                <w:rFonts w:ascii="David" w:eastAsia="Times New Roman" w:hAnsi="David" w:cs="David"/>
                <w:color w:val="000000"/>
                <w:sz w:val="20"/>
                <w:szCs w:val="20"/>
              </w:rPr>
            </w:pPr>
            <w:r w:rsidRPr="00F25744">
              <w:rPr>
                <w:rFonts w:ascii="David" w:eastAsia="Times New Roman" w:hAnsi="David" w:cs="David"/>
                <w:color w:val="000000"/>
                <w:sz w:val="20"/>
                <w:szCs w:val="20"/>
              </w:rPr>
              <w:t> </w:t>
            </w:r>
          </w:p>
        </w:tc>
        <w:tc>
          <w:tcPr>
            <w:tcW w:w="888" w:type="dxa"/>
            <w:gridSpan w:val="2"/>
            <w:tcBorders>
              <w:top w:val="nil"/>
              <w:left w:val="nil"/>
              <w:bottom w:val="nil"/>
              <w:right w:val="nil"/>
            </w:tcBorders>
            <w:shd w:val="clear" w:color="auto" w:fill="auto"/>
            <w:noWrap/>
            <w:vAlign w:val="bottom"/>
            <w:hideMark/>
          </w:tcPr>
          <w:p w14:paraId="07B7A0E4" w14:textId="77777777" w:rsidR="00C62A85" w:rsidRPr="00F25744" w:rsidRDefault="00C62A85" w:rsidP="006C3EB9">
            <w:pPr>
              <w:bidi w:val="0"/>
              <w:spacing w:after="0" w:line="240" w:lineRule="auto"/>
              <w:rPr>
                <w:rFonts w:ascii="David" w:eastAsia="Times New Roman" w:hAnsi="David" w:cs="David"/>
                <w:color w:val="000000"/>
                <w:sz w:val="20"/>
                <w:szCs w:val="20"/>
              </w:rPr>
            </w:pPr>
          </w:p>
        </w:tc>
        <w:tc>
          <w:tcPr>
            <w:tcW w:w="1533" w:type="dxa"/>
            <w:gridSpan w:val="3"/>
            <w:tcBorders>
              <w:top w:val="nil"/>
              <w:left w:val="nil"/>
              <w:bottom w:val="nil"/>
              <w:right w:val="nil"/>
            </w:tcBorders>
            <w:shd w:val="clear" w:color="auto" w:fill="auto"/>
            <w:noWrap/>
            <w:vAlign w:val="bottom"/>
            <w:hideMark/>
          </w:tcPr>
          <w:p w14:paraId="2AA3F8D6"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F8DF172"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877" w:type="dxa"/>
            <w:tcBorders>
              <w:top w:val="nil"/>
              <w:left w:val="nil"/>
              <w:bottom w:val="nil"/>
              <w:right w:val="nil"/>
            </w:tcBorders>
            <w:shd w:val="clear" w:color="auto" w:fill="auto"/>
            <w:noWrap/>
            <w:vAlign w:val="bottom"/>
            <w:hideMark/>
          </w:tcPr>
          <w:p w14:paraId="33749C19"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r>
      <w:tr w:rsidR="00E0162E" w:rsidRPr="00F25744" w14:paraId="5B32B81B" w14:textId="77777777" w:rsidTr="00C62A85">
        <w:trPr>
          <w:trHeight w:val="248"/>
        </w:trPr>
        <w:tc>
          <w:tcPr>
            <w:tcW w:w="1722" w:type="dxa"/>
            <w:tcBorders>
              <w:top w:val="nil"/>
              <w:left w:val="single" w:sz="4" w:space="0" w:color="auto"/>
              <w:bottom w:val="single" w:sz="4" w:space="0" w:color="auto"/>
              <w:right w:val="single" w:sz="4" w:space="0" w:color="auto"/>
            </w:tcBorders>
            <w:shd w:val="clear" w:color="auto" w:fill="auto"/>
            <w:vAlign w:val="center"/>
            <w:hideMark/>
          </w:tcPr>
          <w:p w14:paraId="486AE471" w14:textId="77777777" w:rsidR="00C62A85" w:rsidRPr="00F25744" w:rsidRDefault="00E25AE7" w:rsidP="006C3EB9">
            <w:pPr>
              <w:spacing w:after="0" w:line="240" w:lineRule="auto"/>
              <w:jc w:val="center"/>
              <w:rPr>
                <w:rFonts w:ascii="David" w:eastAsia="Times New Roman" w:hAnsi="David" w:cs="David"/>
                <w:b/>
                <w:bCs/>
                <w:color w:val="000000"/>
                <w:sz w:val="20"/>
                <w:szCs w:val="20"/>
              </w:rPr>
            </w:pPr>
            <w:r w:rsidRPr="00F25744">
              <w:rPr>
                <w:rFonts w:ascii="David" w:eastAsia="Times New Roman" w:hAnsi="David" w:cs="David"/>
                <w:b/>
                <w:bCs/>
                <w:color w:val="000000"/>
                <w:sz w:val="20"/>
                <w:szCs w:val="20"/>
                <w:rtl/>
              </w:rPr>
              <w:t>שעת תחילת ההפסקה</w:t>
            </w:r>
          </w:p>
        </w:tc>
        <w:tc>
          <w:tcPr>
            <w:tcW w:w="1282" w:type="dxa"/>
            <w:tcBorders>
              <w:top w:val="nil"/>
              <w:left w:val="single" w:sz="4" w:space="0" w:color="auto"/>
              <w:bottom w:val="single" w:sz="4" w:space="0" w:color="auto"/>
              <w:right w:val="single" w:sz="4" w:space="0" w:color="auto"/>
            </w:tcBorders>
            <w:shd w:val="clear" w:color="auto" w:fill="auto"/>
            <w:noWrap/>
            <w:vAlign w:val="bottom"/>
            <w:hideMark/>
          </w:tcPr>
          <w:p w14:paraId="47CA970C" w14:textId="77777777" w:rsidR="00C62A85" w:rsidRPr="00F25744" w:rsidRDefault="00E25AE7" w:rsidP="006C3EB9">
            <w:pPr>
              <w:bidi w:val="0"/>
              <w:spacing w:after="0" w:line="240" w:lineRule="auto"/>
              <w:rPr>
                <w:rFonts w:ascii="David" w:eastAsia="Times New Roman" w:hAnsi="David" w:cs="David"/>
                <w:color w:val="000000"/>
                <w:sz w:val="20"/>
                <w:szCs w:val="20"/>
                <w:rtl/>
              </w:rPr>
            </w:pPr>
            <w:r w:rsidRPr="00F25744">
              <w:rPr>
                <w:rFonts w:ascii="David" w:eastAsia="Times New Roman" w:hAnsi="David" w:cs="David"/>
                <w:color w:val="000000"/>
                <w:sz w:val="20"/>
                <w:szCs w:val="20"/>
              </w:rPr>
              <w:t> </w:t>
            </w:r>
          </w:p>
        </w:tc>
        <w:tc>
          <w:tcPr>
            <w:tcW w:w="1036"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117296" w14:textId="77777777" w:rsidR="00C62A85" w:rsidRPr="00F25744" w:rsidRDefault="00E25AE7" w:rsidP="006C3EB9">
            <w:pPr>
              <w:spacing w:after="0" w:line="240" w:lineRule="auto"/>
              <w:jc w:val="center"/>
              <w:rPr>
                <w:rFonts w:ascii="David" w:eastAsia="Times New Roman" w:hAnsi="David" w:cs="David"/>
                <w:b/>
                <w:bCs/>
                <w:color w:val="000000"/>
                <w:sz w:val="20"/>
                <w:szCs w:val="20"/>
              </w:rPr>
            </w:pPr>
            <w:r w:rsidRPr="00F25744">
              <w:rPr>
                <w:rFonts w:ascii="David" w:eastAsia="Times New Roman" w:hAnsi="David" w:cs="David"/>
                <w:b/>
                <w:bCs/>
                <w:color w:val="000000"/>
                <w:sz w:val="20"/>
                <w:szCs w:val="20"/>
                <w:rtl/>
              </w:rPr>
              <w:t>שעת סיום ההפסקה</w:t>
            </w:r>
          </w:p>
        </w:tc>
        <w:tc>
          <w:tcPr>
            <w:tcW w:w="921" w:type="dxa"/>
            <w:tcBorders>
              <w:top w:val="nil"/>
              <w:left w:val="single" w:sz="4" w:space="0" w:color="auto"/>
              <w:bottom w:val="single" w:sz="4" w:space="0" w:color="auto"/>
              <w:right w:val="single" w:sz="4" w:space="0" w:color="auto"/>
            </w:tcBorders>
            <w:shd w:val="clear" w:color="auto" w:fill="auto"/>
            <w:noWrap/>
            <w:vAlign w:val="bottom"/>
            <w:hideMark/>
          </w:tcPr>
          <w:p w14:paraId="3265CC6B" w14:textId="77777777" w:rsidR="00C62A85" w:rsidRPr="00F25744" w:rsidRDefault="00E25AE7" w:rsidP="006C3EB9">
            <w:pPr>
              <w:bidi w:val="0"/>
              <w:spacing w:after="0" w:line="240" w:lineRule="auto"/>
              <w:rPr>
                <w:rFonts w:cs="David"/>
                <w:color w:val="000000"/>
                <w:sz w:val="20"/>
                <w:szCs w:val="20"/>
              </w:rPr>
            </w:pPr>
            <w:r w:rsidRPr="00F25744">
              <w:rPr>
                <w:rFonts w:ascii="David" w:eastAsia="Times New Roman" w:hAnsi="David" w:cs="David"/>
                <w:color w:val="000000"/>
                <w:sz w:val="20"/>
                <w:szCs w:val="20"/>
              </w:rPr>
              <w:t> </w:t>
            </w:r>
          </w:p>
        </w:tc>
        <w:tc>
          <w:tcPr>
            <w:tcW w:w="888" w:type="dxa"/>
            <w:gridSpan w:val="2"/>
            <w:tcBorders>
              <w:top w:val="nil"/>
              <w:left w:val="nil"/>
              <w:bottom w:val="nil"/>
              <w:right w:val="nil"/>
            </w:tcBorders>
            <w:shd w:val="clear" w:color="auto" w:fill="auto"/>
            <w:noWrap/>
            <w:vAlign w:val="bottom"/>
            <w:hideMark/>
          </w:tcPr>
          <w:p w14:paraId="065FFC3E" w14:textId="77777777" w:rsidR="00C62A85" w:rsidRPr="00F25744" w:rsidRDefault="00C62A85" w:rsidP="006C3EB9">
            <w:pPr>
              <w:bidi w:val="0"/>
              <w:spacing w:after="0" w:line="240" w:lineRule="auto"/>
              <w:rPr>
                <w:rFonts w:ascii="David" w:eastAsia="Times New Roman" w:hAnsi="David" w:cs="David"/>
                <w:color w:val="000000"/>
                <w:sz w:val="20"/>
                <w:szCs w:val="20"/>
              </w:rPr>
            </w:pPr>
          </w:p>
        </w:tc>
        <w:tc>
          <w:tcPr>
            <w:tcW w:w="1533" w:type="dxa"/>
            <w:gridSpan w:val="3"/>
            <w:tcBorders>
              <w:top w:val="nil"/>
              <w:left w:val="nil"/>
              <w:bottom w:val="nil"/>
              <w:right w:val="nil"/>
            </w:tcBorders>
            <w:shd w:val="clear" w:color="auto" w:fill="auto"/>
            <w:noWrap/>
            <w:vAlign w:val="bottom"/>
            <w:hideMark/>
          </w:tcPr>
          <w:p w14:paraId="2B5C820F"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6F64162"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877" w:type="dxa"/>
            <w:tcBorders>
              <w:top w:val="nil"/>
              <w:left w:val="nil"/>
              <w:bottom w:val="nil"/>
              <w:right w:val="nil"/>
            </w:tcBorders>
            <w:shd w:val="clear" w:color="auto" w:fill="auto"/>
            <w:noWrap/>
            <w:vAlign w:val="bottom"/>
            <w:hideMark/>
          </w:tcPr>
          <w:p w14:paraId="00370E78"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r>
      <w:tr w:rsidR="00E0162E" w:rsidRPr="00F25744" w14:paraId="3269C19B" w14:textId="77777777" w:rsidTr="00C62A85">
        <w:trPr>
          <w:trHeight w:val="248"/>
        </w:trPr>
        <w:tc>
          <w:tcPr>
            <w:tcW w:w="1722" w:type="dxa"/>
            <w:tcBorders>
              <w:top w:val="nil"/>
              <w:left w:val="single" w:sz="4" w:space="0" w:color="auto"/>
              <w:bottom w:val="single" w:sz="4" w:space="0" w:color="auto"/>
              <w:right w:val="single" w:sz="4" w:space="0" w:color="auto"/>
            </w:tcBorders>
            <w:shd w:val="clear" w:color="auto" w:fill="auto"/>
            <w:vAlign w:val="center"/>
            <w:hideMark/>
          </w:tcPr>
          <w:p w14:paraId="43CDCB96" w14:textId="77777777" w:rsidR="00C62A85" w:rsidRPr="00F25744" w:rsidRDefault="00E25AE7" w:rsidP="006C3EB9">
            <w:pPr>
              <w:spacing w:after="0" w:line="240" w:lineRule="auto"/>
              <w:jc w:val="center"/>
              <w:rPr>
                <w:rFonts w:ascii="David" w:eastAsia="Times New Roman" w:hAnsi="David" w:cs="David"/>
                <w:b/>
                <w:bCs/>
                <w:color w:val="000000"/>
                <w:sz w:val="20"/>
                <w:szCs w:val="20"/>
              </w:rPr>
            </w:pPr>
            <w:r w:rsidRPr="00F25744">
              <w:rPr>
                <w:rFonts w:ascii="David" w:eastAsia="Times New Roman" w:hAnsi="David" w:cs="David"/>
                <w:b/>
                <w:bCs/>
                <w:color w:val="000000"/>
                <w:sz w:val="20"/>
                <w:szCs w:val="20"/>
                <w:rtl/>
              </w:rPr>
              <w:t>שעת תחילת ההפסקה</w:t>
            </w:r>
          </w:p>
        </w:tc>
        <w:tc>
          <w:tcPr>
            <w:tcW w:w="1282" w:type="dxa"/>
            <w:tcBorders>
              <w:top w:val="nil"/>
              <w:left w:val="single" w:sz="4" w:space="0" w:color="auto"/>
              <w:bottom w:val="single" w:sz="4" w:space="0" w:color="auto"/>
              <w:right w:val="single" w:sz="4" w:space="0" w:color="auto"/>
            </w:tcBorders>
            <w:shd w:val="clear" w:color="auto" w:fill="auto"/>
            <w:noWrap/>
            <w:vAlign w:val="bottom"/>
            <w:hideMark/>
          </w:tcPr>
          <w:p w14:paraId="4908114F" w14:textId="77777777" w:rsidR="00C62A85" w:rsidRPr="00F25744" w:rsidRDefault="00E25AE7" w:rsidP="006C3EB9">
            <w:pPr>
              <w:bidi w:val="0"/>
              <w:spacing w:after="0" w:line="240" w:lineRule="auto"/>
              <w:rPr>
                <w:rFonts w:ascii="David" w:eastAsia="Times New Roman" w:hAnsi="David" w:cs="David"/>
                <w:color w:val="000000"/>
                <w:sz w:val="20"/>
                <w:szCs w:val="20"/>
                <w:rtl/>
              </w:rPr>
            </w:pPr>
            <w:r w:rsidRPr="00F25744">
              <w:rPr>
                <w:rFonts w:ascii="David" w:eastAsia="Times New Roman" w:hAnsi="David" w:cs="David"/>
                <w:color w:val="000000"/>
                <w:sz w:val="20"/>
                <w:szCs w:val="20"/>
              </w:rPr>
              <w:t> </w:t>
            </w:r>
          </w:p>
        </w:tc>
        <w:tc>
          <w:tcPr>
            <w:tcW w:w="1036"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8CD90B" w14:textId="77777777" w:rsidR="00C62A85" w:rsidRPr="00F25744" w:rsidRDefault="00E25AE7" w:rsidP="006C3EB9">
            <w:pPr>
              <w:spacing w:after="0" w:line="240" w:lineRule="auto"/>
              <w:jc w:val="center"/>
              <w:rPr>
                <w:rFonts w:ascii="David" w:eastAsia="Times New Roman" w:hAnsi="David" w:cs="David"/>
                <w:b/>
                <w:bCs/>
                <w:color w:val="000000"/>
                <w:sz w:val="20"/>
                <w:szCs w:val="20"/>
              </w:rPr>
            </w:pPr>
            <w:r w:rsidRPr="00F25744">
              <w:rPr>
                <w:rFonts w:ascii="David" w:eastAsia="Times New Roman" w:hAnsi="David" w:cs="David"/>
                <w:b/>
                <w:bCs/>
                <w:color w:val="000000"/>
                <w:sz w:val="20"/>
                <w:szCs w:val="20"/>
                <w:rtl/>
              </w:rPr>
              <w:t>שעת סיום ההפסקה</w:t>
            </w:r>
          </w:p>
        </w:tc>
        <w:tc>
          <w:tcPr>
            <w:tcW w:w="921" w:type="dxa"/>
            <w:tcBorders>
              <w:top w:val="nil"/>
              <w:left w:val="single" w:sz="4" w:space="0" w:color="auto"/>
              <w:bottom w:val="single" w:sz="4" w:space="0" w:color="auto"/>
              <w:right w:val="single" w:sz="4" w:space="0" w:color="auto"/>
            </w:tcBorders>
            <w:shd w:val="clear" w:color="auto" w:fill="auto"/>
            <w:noWrap/>
            <w:vAlign w:val="bottom"/>
            <w:hideMark/>
          </w:tcPr>
          <w:p w14:paraId="176F5091" w14:textId="77777777" w:rsidR="00C62A85" w:rsidRPr="00F25744" w:rsidRDefault="00E25AE7" w:rsidP="006C3EB9">
            <w:pPr>
              <w:bidi w:val="0"/>
              <w:spacing w:after="0" w:line="240" w:lineRule="auto"/>
              <w:rPr>
                <w:rFonts w:ascii="David" w:eastAsia="Times New Roman" w:hAnsi="David" w:cs="David"/>
                <w:color w:val="000000"/>
                <w:sz w:val="20"/>
                <w:szCs w:val="20"/>
                <w:rtl/>
              </w:rPr>
            </w:pPr>
            <w:r w:rsidRPr="00F25744">
              <w:rPr>
                <w:rFonts w:ascii="David" w:eastAsia="Times New Roman" w:hAnsi="David" w:cs="David"/>
                <w:color w:val="000000"/>
                <w:sz w:val="20"/>
                <w:szCs w:val="20"/>
              </w:rPr>
              <w:t> </w:t>
            </w:r>
          </w:p>
        </w:tc>
        <w:tc>
          <w:tcPr>
            <w:tcW w:w="888" w:type="dxa"/>
            <w:gridSpan w:val="2"/>
            <w:tcBorders>
              <w:top w:val="nil"/>
              <w:left w:val="nil"/>
              <w:bottom w:val="nil"/>
              <w:right w:val="nil"/>
            </w:tcBorders>
            <w:shd w:val="clear" w:color="auto" w:fill="auto"/>
            <w:noWrap/>
            <w:vAlign w:val="bottom"/>
            <w:hideMark/>
          </w:tcPr>
          <w:p w14:paraId="24728ECA" w14:textId="77777777" w:rsidR="00C62A85" w:rsidRPr="00F25744" w:rsidRDefault="00C62A85" w:rsidP="006C3EB9">
            <w:pPr>
              <w:bidi w:val="0"/>
              <w:spacing w:after="0" w:line="240" w:lineRule="auto"/>
              <w:rPr>
                <w:rFonts w:ascii="David" w:eastAsia="Times New Roman" w:hAnsi="David" w:cs="David"/>
                <w:color w:val="000000"/>
                <w:sz w:val="20"/>
                <w:szCs w:val="20"/>
              </w:rPr>
            </w:pPr>
          </w:p>
        </w:tc>
        <w:tc>
          <w:tcPr>
            <w:tcW w:w="1533" w:type="dxa"/>
            <w:gridSpan w:val="3"/>
            <w:tcBorders>
              <w:top w:val="nil"/>
              <w:left w:val="nil"/>
              <w:bottom w:val="nil"/>
              <w:right w:val="nil"/>
            </w:tcBorders>
            <w:shd w:val="clear" w:color="auto" w:fill="auto"/>
            <w:noWrap/>
            <w:vAlign w:val="bottom"/>
            <w:hideMark/>
          </w:tcPr>
          <w:p w14:paraId="59DC9321"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E053838"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877" w:type="dxa"/>
            <w:tcBorders>
              <w:top w:val="nil"/>
              <w:left w:val="nil"/>
              <w:bottom w:val="nil"/>
              <w:right w:val="nil"/>
            </w:tcBorders>
            <w:shd w:val="clear" w:color="auto" w:fill="auto"/>
            <w:noWrap/>
            <w:vAlign w:val="bottom"/>
            <w:hideMark/>
          </w:tcPr>
          <w:p w14:paraId="294AB761"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r>
      <w:tr w:rsidR="00E0162E" w:rsidRPr="00F25744" w14:paraId="7B441FDB" w14:textId="77777777" w:rsidTr="00C62A85">
        <w:trPr>
          <w:trHeight w:val="248"/>
        </w:trPr>
        <w:tc>
          <w:tcPr>
            <w:tcW w:w="1722" w:type="dxa"/>
            <w:tcBorders>
              <w:top w:val="nil"/>
              <w:left w:val="single" w:sz="4" w:space="0" w:color="auto"/>
              <w:bottom w:val="single" w:sz="4" w:space="0" w:color="auto"/>
              <w:right w:val="single" w:sz="4" w:space="0" w:color="auto"/>
            </w:tcBorders>
            <w:shd w:val="clear" w:color="auto" w:fill="auto"/>
            <w:vAlign w:val="center"/>
            <w:hideMark/>
          </w:tcPr>
          <w:p w14:paraId="1E352815" w14:textId="77777777" w:rsidR="00C62A85" w:rsidRPr="00F25744" w:rsidRDefault="00E25AE7" w:rsidP="006C3EB9">
            <w:pPr>
              <w:spacing w:after="0" w:line="240" w:lineRule="auto"/>
              <w:jc w:val="center"/>
              <w:rPr>
                <w:rFonts w:ascii="David" w:eastAsia="Times New Roman" w:hAnsi="David" w:cs="David"/>
                <w:b/>
                <w:bCs/>
                <w:color w:val="000000"/>
                <w:sz w:val="20"/>
                <w:szCs w:val="20"/>
              </w:rPr>
            </w:pPr>
            <w:r w:rsidRPr="00F25744">
              <w:rPr>
                <w:rFonts w:ascii="David" w:eastAsia="Times New Roman" w:hAnsi="David" w:cs="David"/>
                <w:b/>
                <w:bCs/>
                <w:color w:val="000000"/>
                <w:sz w:val="20"/>
                <w:szCs w:val="20"/>
                <w:rtl/>
              </w:rPr>
              <w:t>שעת תחילת ההפסקה</w:t>
            </w:r>
          </w:p>
        </w:tc>
        <w:tc>
          <w:tcPr>
            <w:tcW w:w="1282" w:type="dxa"/>
            <w:tcBorders>
              <w:top w:val="nil"/>
              <w:left w:val="single" w:sz="4" w:space="0" w:color="auto"/>
              <w:bottom w:val="single" w:sz="4" w:space="0" w:color="auto"/>
              <w:right w:val="single" w:sz="4" w:space="0" w:color="auto"/>
            </w:tcBorders>
            <w:shd w:val="clear" w:color="auto" w:fill="auto"/>
            <w:noWrap/>
            <w:vAlign w:val="bottom"/>
            <w:hideMark/>
          </w:tcPr>
          <w:p w14:paraId="784F801F" w14:textId="77777777" w:rsidR="00C62A85" w:rsidRPr="00F25744" w:rsidRDefault="00E25AE7" w:rsidP="006C3EB9">
            <w:pPr>
              <w:bidi w:val="0"/>
              <w:spacing w:after="0" w:line="240" w:lineRule="auto"/>
              <w:rPr>
                <w:rFonts w:ascii="David" w:eastAsia="Times New Roman" w:hAnsi="David" w:cs="David"/>
                <w:color w:val="000000"/>
                <w:sz w:val="20"/>
                <w:szCs w:val="20"/>
                <w:rtl/>
              </w:rPr>
            </w:pPr>
            <w:r w:rsidRPr="00F25744">
              <w:rPr>
                <w:rFonts w:ascii="David" w:eastAsia="Times New Roman" w:hAnsi="David" w:cs="David"/>
                <w:color w:val="000000"/>
                <w:sz w:val="20"/>
                <w:szCs w:val="20"/>
              </w:rPr>
              <w:t> </w:t>
            </w:r>
          </w:p>
        </w:tc>
        <w:tc>
          <w:tcPr>
            <w:tcW w:w="1036" w:type="dxa"/>
            <w:gridSpan w:val="2"/>
            <w:tcBorders>
              <w:top w:val="nil"/>
              <w:left w:val="single" w:sz="4" w:space="0" w:color="auto"/>
              <w:bottom w:val="single" w:sz="4" w:space="0" w:color="auto"/>
              <w:right w:val="single" w:sz="4" w:space="0" w:color="auto"/>
            </w:tcBorders>
            <w:shd w:val="clear" w:color="auto" w:fill="auto"/>
            <w:noWrap/>
            <w:vAlign w:val="center"/>
            <w:hideMark/>
          </w:tcPr>
          <w:p w14:paraId="1CF324F1" w14:textId="77777777" w:rsidR="00C62A85" w:rsidRPr="00F25744" w:rsidRDefault="00E25AE7" w:rsidP="006C3EB9">
            <w:pPr>
              <w:spacing w:after="0" w:line="240" w:lineRule="auto"/>
              <w:jc w:val="center"/>
              <w:rPr>
                <w:rFonts w:ascii="David" w:eastAsia="Times New Roman" w:hAnsi="David" w:cs="David"/>
                <w:b/>
                <w:bCs/>
                <w:color w:val="000000"/>
                <w:sz w:val="20"/>
                <w:szCs w:val="20"/>
              </w:rPr>
            </w:pPr>
            <w:r w:rsidRPr="00F25744">
              <w:rPr>
                <w:rFonts w:ascii="David" w:eastAsia="Times New Roman" w:hAnsi="David" w:cs="David"/>
                <w:b/>
                <w:bCs/>
                <w:color w:val="000000"/>
                <w:sz w:val="20"/>
                <w:szCs w:val="20"/>
                <w:rtl/>
              </w:rPr>
              <w:t>שעת סיום ההפסקה</w:t>
            </w:r>
          </w:p>
        </w:tc>
        <w:tc>
          <w:tcPr>
            <w:tcW w:w="921" w:type="dxa"/>
            <w:tcBorders>
              <w:top w:val="nil"/>
              <w:left w:val="single" w:sz="4" w:space="0" w:color="auto"/>
              <w:bottom w:val="single" w:sz="4" w:space="0" w:color="auto"/>
              <w:right w:val="single" w:sz="4" w:space="0" w:color="auto"/>
            </w:tcBorders>
            <w:shd w:val="clear" w:color="auto" w:fill="auto"/>
            <w:noWrap/>
            <w:vAlign w:val="bottom"/>
            <w:hideMark/>
          </w:tcPr>
          <w:p w14:paraId="36DCF8CF" w14:textId="77777777" w:rsidR="00C62A85" w:rsidRPr="00F25744" w:rsidRDefault="00E25AE7" w:rsidP="006C3EB9">
            <w:pPr>
              <w:bidi w:val="0"/>
              <w:spacing w:after="0" w:line="240" w:lineRule="auto"/>
              <w:rPr>
                <w:rFonts w:ascii="David" w:eastAsia="Times New Roman" w:hAnsi="David" w:cs="David"/>
                <w:color w:val="000000"/>
                <w:sz w:val="20"/>
                <w:szCs w:val="20"/>
                <w:rtl/>
              </w:rPr>
            </w:pPr>
            <w:r w:rsidRPr="00F25744">
              <w:rPr>
                <w:rFonts w:ascii="David" w:eastAsia="Times New Roman" w:hAnsi="David" w:cs="David"/>
                <w:color w:val="000000"/>
                <w:sz w:val="20"/>
                <w:szCs w:val="20"/>
              </w:rPr>
              <w:t> </w:t>
            </w:r>
          </w:p>
        </w:tc>
        <w:tc>
          <w:tcPr>
            <w:tcW w:w="888" w:type="dxa"/>
            <w:gridSpan w:val="2"/>
            <w:tcBorders>
              <w:top w:val="nil"/>
              <w:left w:val="nil"/>
              <w:bottom w:val="nil"/>
              <w:right w:val="nil"/>
            </w:tcBorders>
            <w:shd w:val="clear" w:color="auto" w:fill="auto"/>
            <w:noWrap/>
            <w:vAlign w:val="bottom"/>
            <w:hideMark/>
          </w:tcPr>
          <w:p w14:paraId="5641ED12" w14:textId="77777777" w:rsidR="00C62A85" w:rsidRPr="00F25744" w:rsidRDefault="00C62A85" w:rsidP="006C3EB9">
            <w:pPr>
              <w:bidi w:val="0"/>
              <w:spacing w:after="0" w:line="240" w:lineRule="auto"/>
              <w:rPr>
                <w:rFonts w:ascii="David" w:eastAsia="Times New Roman" w:hAnsi="David" w:cs="David"/>
                <w:color w:val="000000"/>
                <w:sz w:val="20"/>
                <w:szCs w:val="20"/>
              </w:rPr>
            </w:pPr>
          </w:p>
        </w:tc>
        <w:tc>
          <w:tcPr>
            <w:tcW w:w="1533" w:type="dxa"/>
            <w:gridSpan w:val="3"/>
            <w:tcBorders>
              <w:top w:val="nil"/>
              <w:left w:val="nil"/>
              <w:bottom w:val="nil"/>
              <w:right w:val="nil"/>
            </w:tcBorders>
            <w:shd w:val="clear" w:color="auto" w:fill="auto"/>
            <w:noWrap/>
            <w:vAlign w:val="bottom"/>
            <w:hideMark/>
          </w:tcPr>
          <w:p w14:paraId="3A30BD81"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AE2E244"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877" w:type="dxa"/>
            <w:tcBorders>
              <w:top w:val="nil"/>
              <w:left w:val="nil"/>
              <w:bottom w:val="nil"/>
              <w:right w:val="nil"/>
            </w:tcBorders>
            <w:shd w:val="clear" w:color="auto" w:fill="auto"/>
            <w:noWrap/>
            <w:vAlign w:val="bottom"/>
            <w:hideMark/>
          </w:tcPr>
          <w:p w14:paraId="6D0F33D3"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r>
      <w:tr w:rsidR="00E0162E" w:rsidRPr="00F25744" w14:paraId="0EBF885D" w14:textId="77777777" w:rsidTr="00C62A85">
        <w:trPr>
          <w:trHeight w:val="248"/>
        </w:trPr>
        <w:tc>
          <w:tcPr>
            <w:tcW w:w="1722" w:type="dxa"/>
            <w:tcBorders>
              <w:top w:val="nil"/>
              <w:left w:val="single" w:sz="4" w:space="0" w:color="auto"/>
              <w:bottom w:val="single" w:sz="4" w:space="0" w:color="auto"/>
              <w:right w:val="single" w:sz="4" w:space="0" w:color="auto"/>
            </w:tcBorders>
            <w:shd w:val="clear" w:color="auto" w:fill="auto"/>
            <w:noWrap/>
            <w:vAlign w:val="center"/>
            <w:hideMark/>
          </w:tcPr>
          <w:p w14:paraId="7F871EA6" w14:textId="77777777" w:rsidR="00C62A85" w:rsidRPr="00F25744" w:rsidRDefault="00E25AE7" w:rsidP="006C3EB9">
            <w:pPr>
              <w:bidi w:val="0"/>
              <w:spacing w:after="0" w:line="240" w:lineRule="auto"/>
              <w:jc w:val="center"/>
              <w:rPr>
                <w:rFonts w:eastAsia="Times New Roman" w:cs="David"/>
                <w:b/>
                <w:bCs/>
                <w:color w:val="000000"/>
                <w:sz w:val="20"/>
                <w:szCs w:val="20"/>
              </w:rPr>
            </w:pPr>
            <w:r w:rsidRPr="00F25744">
              <w:rPr>
                <w:rFonts w:ascii="David" w:eastAsia="Times New Roman" w:hAnsi="David" w:cs="David"/>
                <w:b/>
                <w:bCs/>
                <w:color w:val="000000"/>
                <w:sz w:val="20"/>
                <w:szCs w:val="20"/>
              </w:rPr>
              <w:t> </w:t>
            </w:r>
          </w:p>
        </w:tc>
        <w:tc>
          <w:tcPr>
            <w:tcW w:w="1282" w:type="dxa"/>
            <w:tcBorders>
              <w:top w:val="nil"/>
              <w:left w:val="single" w:sz="4" w:space="0" w:color="auto"/>
              <w:bottom w:val="single" w:sz="4" w:space="0" w:color="auto"/>
              <w:right w:val="single" w:sz="4" w:space="0" w:color="auto"/>
            </w:tcBorders>
            <w:shd w:val="clear" w:color="auto" w:fill="auto"/>
            <w:noWrap/>
            <w:vAlign w:val="bottom"/>
            <w:hideMark/>
          </w:tcPr>
          <w:p w14:paraId="7DAFBD83" w14:textId="77777777" w:rsidR="00C62A85" w:rsidRPr="00F25744" w:rsidRDefault="00E25AE7" w:rsidP="006C3EB9">
            <w:pPr>
              <w:bidi w:val="0"/>
              <w:spacing w:after="0" w:line="240" w:lineRule="auto"/>
              <w:rPr>
                <w:rFonts w:ascii="David" w:eastAsia="Times New Roman" w:hAnsi="David" w:cs="David"/>
                <w:color w:val="000000"/>
                <w:sz w:val="20"/>
                <w:szCs w:val="20"/>
              </w:rPr>
            </w:pPr>
            <w:r w:rsidRPr="00F25744">
              <w:rPr>
                <w:rFonts w:ascii="David" w:eastAsia="Times New Roman" w:hAnsi="David" w:cs="David"/>
                <w:color w:val="000000"/>
                <w:sz w:val="20"/>
                <w:szCs w:val="20"/>
              </w:rPr>
              <w:t> </w:t>
            </w:r>
          </w:p>
        </w:tc>
        <w:tc>
          <w:tcPr>
            <w:tcW w:w="1036" w:type="dxa"/>
            <w:gridSpan w:val="2"/>
            <w:tcBorders>
              <w:top w:val="nil"/>
              <w:left w:val="nil"/>
              <w:bottom w:val="nil"/>
              <w:right w:val="nil"/>
            </w:tcBorders>
            <w:shd w:val="clear" w:color="auto" w:fill="auto"/>
            <w:noWrap/>
            <w:vAlign w:val="bottom"/>
            <w:hideMark/>
          </w:tcPr>
          <w:p w14:paraId="5A064A7E" w14:textId="77777777" w:rsidR="00C62A85" w:rsidRPr="00F25744" w:rsidRDefault="00C62A85" w:rsidP="006C3EB9">
            <w:pPr>
              <w:bidi w:val="0"/>
              <w:spacing w:after="0" w:line="240" w:lineRule="auto"/>
              <w:rPr>
                <w:rFonts w:ascii="David" w:eastAsia="Times New Roman" w:hAnsi="David" w:cs="David"/>
                <w:color w:val="000000"/>
                <w:sz w:val="20"/>
                <w:szCs w:val="20"/>
              </w:rPr>
            </w:pPr>
          </w:p>
        </w:tc>
        <w:tc>
          <w:tcPr>
            <w:tcW w:w="921" w:type="dxa"/>
            <w:tcBorders>
              <w:top w:val="nil"/>
              <w:left w:val="nil"/>
              <w:bottom w:val="nil"/>
              <w:right w:val="nil"/>
            </w:tcBorders>
            <w:shd w:val="clear" w:color="auto" w:fill="auto"/>
            <w:noWrap/>
            <w:vAlign w:val="bottom"/>
            <w:hideMark/>
          </w:tcPr>
          <w:p w14:paraId="3E64A003"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888" w:type="dxa"/>
            <w:gridSpan w:val="2"/>
            <w:tcBorders>
              <w:top w:val="nil"/>
              <w:left w:val="nil"/>
              <w:bottom w:val="nil"/>
              <w:right w:val="nil"/>
            </w:tcBorders>
            <w:shd w:val="clear" w:color="auto" w:fill="auto"/>
            <w:noWrap/>
            <w:vAlign w:val="bottom"/>
            <w:hideMark/>
          </w:tcPr>
          <w:p w14:paraId="355B5D92"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1533" w:type="dxa"/>
            <w:gridSpan w:val="3"/>
            <w:tcBorders>
              <w:top w:val="nil"/>
              <w:left w:val="nil"/>
              <w:bottom w:val="nil"/>
              <w:right w:val="nil"/>
            </w:tcBorders>
            <w:shd w:val="clear" w:color="auto" w:fill="auto"/>
            <w:noWrap/>
            <w:vAlign w:val="bottom"/>
            <w:hideMark/>
          </w:tcPr>
          <w:p w14:paraId="0D2172A6"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737FE27"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877" w:type="dxa"/>
            <w:tcBorders>
              <w:top w:val="nil"/>
              <w:left w:val="nil"/>
              <w:bottom w:val="nil"/>
              <w:right w:val="nil"/>
            </w:tcBorders>
            <w:shd w:val="clear" w:color="auto" w:fill="auto"/>
            <w:noWrap/>
            <w:vAlign w:val="bottom"/>
            <w:hideMark/>
          </w:tcPr>
          <w:p w14:paraId="1A1E12AF"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r>
      <w:tr w:rsidR="00E0162E" w:rsidRPr="00F25744" w14:paraId="37F28FCA" w14:textId="77777777" w:rsidTr="00C62A85">
        <w:trPr>
          <w:trHeight w:val="295"/>
        </w:trPr>
        <w:tc>
          <w:tcPr>
            <w:tcW w:w="1722" w:type="dxa"/>
            <w:tcBorders>
              <w:top w:val="nil"/>
              <w:left w:val="single" w:sz="4" w:space="0" w:color="auto"/>
              <w:bottom w:val="nil"/>
              <w:right w:val="single" w:sz="4" w:space="0" w:color="auto"/>
            </w:tcBorders>
            <w:shd w:val="clear" w:color="000000" w:fill="FFFFFF"/>
            <w:hideMark/>
          </w:tcPr>
          <w:p w14:paraId="64DF0185" w14:textId="77777777" w:rsidR="00C62A85" w:rsidRPr="00F25744" w:rsidRDefault="00E25AE7" w:rsidP="006C3EB9">
            <w:pPr>
              <w:spacing w:after="0" w:line="240" w:lineRule="auto"/>
              <w:jc w:val="center"/>
              <w:rPr>
                <w:rFonts w:ascii="David" w:eastAsia="Times New Roman" w:hAnsi="David" w:cs="David"/>
                <w:b/>
                <w:bCs/>
                <w:color w:val="000000"/>
                <w:sz w:val="20"/>
                <w:szCs w:val="20"/>
              </w:rPr>
            </w:pPr>
            <w:r w:rsidRPr="00F25744">
              <w:rPr>
                <w:rFonts w:ascii="David" w:eastAsia="Times New Roman" w:hAnsi="David" w:cs="David"/>
                <w:b/>
                <w:bCs/>
                <w:color w:val="000000"/>
                <w:sz w:val="20"/>
                <w:szCs w:val="20"/>
                <w:rtl/>
              </w:rPr>
              <w:t>שעת סיום יום הדיונים (מוקד)</w:t>
            </w:r>
          </w:p>
        </w:tc>
        <w:tc>
          <w:tcPr>
            <w:tcW w:w="1282" w:type="dxa"/>
            <w:tcBorders>
              <w:top w:val="nil"/>
              <w:left w:val="single" w:sz="4" w:space="0" w:color="auto"/>
              <w:bottom w:val="single" w:sz="4" w:space="0" w:color="auto"/>
              <w:right w:val="single" w:sz="4" w:space="0" w:color="auto"/>
            </w:tcBorders>
            <w:shd w:val="clear" w:color="auto" w:fill="auto"/>
            <w:noWrap/>
            <w:vAlign w:val="bottom"/>
            <w:hideMark/>
          </w:tcPr>
          <w:p w14:paraId="5A4A2BD3" w14:textId="77777777" w:rsidR="00C62A85" w:rsidRPr="00F25744" w:rsidRDefault="00E25AE7" w:rsidP="006C3EB9">
            <w:pPr>
              <w:bidi w:val="0"/>
              <w:spacing w:after="0" w:line="240" w:lineRule="auto"/>
              <w:rPr>
                <w:rFonts w:ascii="David" w:eastAsia="Times New Roman" w:hAnsi="David" w:cs="David"/>
                <w:color w:val="000000"/>
                <w:sz w:val="20"/>
                <w:szCs w:val="20"/>
              </w:rPr>
            </w:pPr>
            <w:r w:rsidRPr="00F25744">
              <w:rPr>
                <w:rFonts w:ascii="David" w:eastAsia="Times New Roman" w:hAnsi="David" w:cs="David"/>
                <w:color w:val="000000"/>
                <w:sz w:val="20"/>
                <w:szCs w:val="20"/>
              </w:rPr>
              <w:t> </w:t>
            </w:r>
          </w:p>
        </w:tc>
        <w:tc>
          <w:tcPr>
            <w:tcW w:w="1036" w:type="dxa"/>
            <w:gridSpan w:val="2"/>
            <w:tcBorders>
              <w:top w:val="nil"/>
              <w:left w:val="nil"/>
              <w:bottom w:val="nil"/>
              <w:right w:val="nil"/>
            </w:tcBorders>
            <w:shd w:val="clear" w:color="auto" w:fill="auto"/>
            <w:noWrap/>
            <w:vAlign w:val="bottom"/>
            <w:hideMark/>
          </w:tcPr>
          <w:p w14:paraId="6A8015B1" w14:textId="77777777" w:rsidR="00C62A85" w:rsidRPr="00F25744" w:rsidRDefault="00C62A85" w:rsidP="006C3EB9">
            <w:pPr>
              <w:bidi w:val="0"/>
              <w:spacing w:after="0" w:line="240" w:lineRule="auto"/>
              <w:rPr>
                <w:rFonts w:ascii="David" w:eastAsia="Times New Roman" w:hAnsi="David" w:cs="David"/>
                <w:color w:val="000000"/>
                <w:sz w:val="20"/>
                <w:szCs w:val="20"/>
              </w:rPr>
            </w:pPr>
          </w:p>
        </w:tc>
        <w:tc>
          <w:tcPr>
            <w:tcW w:w="921" w:type="dxa"/>
            <w:tcBorders>
              <w:top w:val="nil"/>
              <w:left w:val="nil"/>
              <w:bottom w:val="nil"/>
              <w:right w:val="nil"/>
            </w:tcBorders>
            <w:shd w:val="clear" w:color="auto" w:fill="auto"/>
            <w:noWrap/>
            <w:vAlign w:val="bottom"/>
            <w:hideMark/>
          </w:tcPr>
          <w:p w14:paraId="4ECD118C"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888" w:type="dxa"/>
            <w:gridSpan w:val="2"/>
            <w:tcBorders>
              <w:top w:val="nil"/>
              <w:left w:val="nil"/>
              <w:bottom w:val="nil"/>
              <w:right w:val="nil"/>
            </w:tcBorders>
            <w:shd w:val="clear" w:color="auto" w:fill="auto"/>
            <w:noWrap/>
            <w:vAlign w:val="bottom"/>
            <w:hideMark/>
          </w:tcPr>
          <w:p w14:paraId="2C27176E"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1533" w:type="dxa"/>
            <w:gridSpan w:val="3"/>
            <w:tcBorders>
              <w:top w:val="nil"/>
              <w:left w:val="nil"/>
              <w:bottom w:val="nil"/>
              <w:right w:val="nil"/>
            </w:tcBorders>
            <w:shd w:val="clear" w:color="auto" w:fill="auto"/>
            <w:noWrap/>
            <w:vAlign w:val="bottom"/>
            <w:hideMark/>
          </w:tcPr>
          <w:p w14:paraId="72BA9C31"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C06FDB5"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877" w:type="dxa"/>
            <w:tcBorders>
              <w:top w:val="nil"/>
              <w:left w:val="nil"/>
              <w:bottom w:val="nil"/>
              <w:right w:val="nil"/>
            </w:tcBorders>
            <w:shd w:val="clear" w:color="auto" w:fill="auto"/>
            <w:noWrap/>
            <w:vAlign w:val="bottom"/>
            <w:hideMark/>
          </w:tcPr>
          <w:p w14:paraId="333FF6F9"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r>
      <w:tr w:rsidR="00E0162E" w:rsidRPr="00F25744" w14:paraId="5A397569" w14:textId="77777777" w:rsidTr="00C62A85">
        <w:trPr>
          <w:trHeight w:val="265"/>
        </w:trPr>
        <w:tc>
          <w:tcPr>
            <w:tcW w:w="1722" w:type="dxa"/>
            <w:tcBorders>
              <w:top w:val="single" w:sz="4" w:space="0" w:color="auto"/>
              <w:left w:val="single" w:sz="4" w:space="0" w:color="auto"/>
              <w:bottom w:val="single" w:sz="4" w:space="0" w:color="auto"/>
              <w:right w:val="single" w:sz="4" w:space="0" w:color="auto"/>
            </w:tcBorders>
            <w:shd w:val="clear" w:color="000000" w:fill="FFFFFF"/>
            <w:hideMark/>
          </w:tcPr>
          <w:p w14:paraId="6F831059" w14:textId="77777777" w:rsidR="00C62A85" w:rsidRPr="00F25744" w:rsidRDefault="00E25AE7" w:rsidP="006C3EB9">
            <w:pPr>
              <w:spacing w:after="0" w:line="240" w:lineRule="auto"/>
              <w:jc w:val="center"/>
              <w:rPr>
                <w:rFonts w:ascii="David" w:eastAsia="Times New Roman" w:hAnsi="David" w:cs="David"/>
                <w:b/>
                <w:bCs/>
                <w:color w:val="000000"/>
                <w:sz w:val="20"/>
                <w:szCs w:val="20"/>
              </w:rPr>
            </w:pPr>
            <w:r w:rsidRPr="00F25744">
              <w:rPr>
                <w:rFonts w:ascii="David" w:eastAsia="Times New Roman" w:hAnsi="David" w:cs="David"/>
                <w:b/>
                <w:bCs/>
                <w:color w:val="000000"/>
                <w:sz w:val="20"/>
                <w:szCs w:val="20"/>
                <w:rtl/>
              </w:rPr>
              <w:t>מספר</w:t>
            </w:r>
            <w:r w:rsidRPr="00F25744">
              <w:rPr>
                <w:rFonts w:ascii="David" w:eastAsia="Times New Roman" w:hAnsi="David" w:cs="David" w:hint="cs"/>
                <w:b/>
                <w:bCs/>
                <w:color w:val="000000"/>
                <w:sz w:val="20"/>
                <w:szCs w:val="20"/>
                <w:rtl/>
              </w:rPr>
              <w:t xml:space="preserve"> </w:t>
            </w:r>
            <w:r w:rsidRPr="00F25744">
              <w:rPr>
                <w:rFonts w:ascii="David" w:eastAsia="Times New Roman" w:hAnsi="David" w:cs="David"/>
                <w:b/>
                <w:bCs/>
                <w:color w:val="000000"/>
                <w:sz w:val="20"/>
                <w:szCs w:val="20"/>
                <w:rtl/>
              </w:rPr>
              <w:t>הדיונים שהתקיימו</w:t>
            </w:r>
          </w:p>
        </w:tc>
        <w:tc>
          <w:tcPr>
            <w:tcW w:w="1282" w:type="dxa"/>
            <w:tcBorders>
              <w:top w:val="nil"/>
              <w:left w:val="single" w:sz="4" w:space="0" w:color="auto"/>
              <w:bottom w:val="single" w:sz="4" w:space="0" w:color="auto"/>
              <w:right w:val="single" w:sz="4" w:space="0" w:color="auto"/>
            </w:tcBorders>
            <w:shd w:val="clear" w:color="auto" w:fill="auto"/>
            <w:noWrap/>
            <w:vAlign w:val="bottom"/>
            <w:hideMark/>
          </w:tcPr>
          <w:p w14:paraId="1217099D" w14:textId="77777777" w:rsidR="00C62A85" w:rsidRPr="00F25744" w:rsidRDefault="00E25AE7" w:rsidP="006C3EB9">
            <w:pPr>
              <w:bidi w:val="0"/>
              <w:spacing w:after="0" w:line="240" w:lineRule="auto"/>
              <w:rPr>
                <w:rFonts w:ascii="David" w:eastAsia="Times New Roman" w:hAnsi="David" w:cs="David"/>
                <w:color w:val="000000"/>
                <w:sz w:val="20"/>
                <w:szCs w:val="20"/>
                <w:rtl/>
              </w:rPr>
            </w:pPr>
            <w:r w:rsidRPr="00F25744">
              <w:rPr>
                <w:rFonts w:ascii="David" w:eastAsia="Times New Roman" w:hAnsi="David" w:cs="David"/>
                <w:color w:val="000000"/>
                <w:sz w:val="20"/>
                <w:szCs w:val="20"/>
              </w:rPr>
              <w:t> </w:t>
            </w:r>
          </w:p>
        </w:tc>
        <w:tc>
          <w:tcPr>
            <w:tcW w:w="1036" w:type="dxa"/>
            <w:gridSpan w:val="2"/>
            <w:tcBorders>
              <w:top w:val="nil"/>
              <w:left w:val="nil"/>
              <w:bottom w:val="nil"/>
              <w:right w:val="nil"/>
            </w:tcBorders>
            <w:shd w:val="clear" w:color="auto" w:fill="auto"/>
            <w:noWrap/>
            <w:vAlign w:val="bottom"/>
            <w:hideMark/>
          </w:tcPr>
          <w:p w14:paraId="18D89970" w14:textId="77777777" w:rsidR="00C62A85" w:rsidRPr="00F25744" w:rsidRDefault="00C62A85" w:rsidP="006C3EB9">
            <w:pPr>
              <w:bidi w:val="0"/>
              <w:spacing w:after="0" w:line="240" w:lineRule="auto"/>
              <w:rPr>
                <w:rFonts w:ascii="David" w:eastAsia="Times New Roman" w:hAnsi="David" w:cs="David"/>
                <w:color w:val="000000"/>
                <w:sz w:val="20"/>
                <w:szCs w:val="20"/>
              </w:rPr>
            </w:pPr>
          </w:p>
        </w:tc>
        <w:tc>
          <w:tcPr>
            <w:tcW w:w="921" w:type="dxa"/>
            <w:tcBorders>
              <w:top w:val="nil"/>
              <w:left w:val="nil"/>
              <w:bottom w:val="nil"/>
              <w:right w:val="nil"/>
            </w:tcBorders>
            <w:shd w:val="clear" w:color="auto" w:fill="auto"/>
            <w:noWrap/>
            <w:vAlign w:val="bottom"/>
            <w:hideMark/>
          </w:tcPr>
          <w:p w14:paraId="48832984"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888" w:type="dxa"/>
            <w:gridSpan w:val="2"/>
            <w:tcBorders>
              <w:top w:val="nil"/>
              <w:left w:val="nil"/>
              <w:bottom w:val="nil"/>
              <w:right w:val="nil"/>
            </w:tcBorders>
            <w:shd w:val="clear" w:color="auto" w:fill="auto"/>
            <w:noWrap/>
            <w:vAlign w:val="bottom"/>
            <w:hideMark/>
          </w:tcPr>
          <w:p w14:paraId="6ADC7FE5"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1533" w:type="dxa"/>
            <w:gridSpan w:val="3"/>
            <w:tcBorders>
              <w:top w:val="nil"/>
              <w:left w:val="nil"/>
              <w:bottom w:val="nil"/>
              <w:right w:val="nil"/>
            </w:tcBorders>
            <w:shd w:val="clear" w:color="auto" w:fill="auto"/>
            <w:noWrap/>
            <w:vAlign w:val="bottom"/>
            <w:hideMark/>
          </w:tcPr>
          <w:p w14:paraId="28237751"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3A53377"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877" w:type="dxa"/>
            <w:tcBorders>
              <w:top w:val="nil"/>
              <w:left w:val="nil"/>
              <w:bottom w:val="nil"/>
              <w:right w:val="nil"/>
            </w:tcBorders>
            <w:shd w:val="clear" w:color="auto" w:fill="auto"/>
            <w:noWrap/>
            <w:vAlign w:val="bottom"/>
            <w:hideMark/>
          </w:tcPr>
          <w:p w14:paraId="23B462A7"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r>
      <w:tr w:rsidR="00E0162E" w:rsidRPr="00F25744" w14:paraId="6DA005D2" w14:textId="77777777" w:rsidTr="00C62A85">
        <w:trPr>
          <w:trHeight w:val="207"/>
        </w:trPr>
        <w:tc>
          <w:tcPr>
            <w:tcW w:w="1722" w:type="dxa"/>
            <w:tcBorders>
              <w:top w:val="nil"/>
              <w:left w:val="single" w:sz="4" w:space="0" w:color="auto"/>
              <w:bottom w:val="single" w:sz="4" w:space="0" w:color="auto"/>
              <w:right w:val="single" w:sz="4" w:space="0" w:color="auto"/>
            </w:tcBorders>
            <w:shd w:val="clear" w:color="000000" w:fill="FFFFFF"/>
            <w:hideMark/>
          </w:tcPr>
          <w:p w14:paraId="695A27B1" w14:textId="77777777" w:rsidR="00C62A85" w:rsidRPr="00F25744" w:rsidRDefault="00E25AE7" w:rsidP="006C3EB9">
            <w:pPr>
              <w:spacing w:after="0" w:line="240" w:lineRule="auto"/>
              <w:jc w:val="center"/>
              <w:rPr>
                <w:rFonts w:ascii="David" w:eastAsia="Times New Roman" w:hAnsi="David" w:cs="David"/>
                <w:b/>
                <w:bCs/>
                <w:color w:val="000000"/>
                <w:sz w:val="20"/>
                <w:szCs w:val="20"/>
              </w:rPr>
            </w:pPr>
            <w:r w:rsidRPr="00F25744">
              <w:rPr>
                <w:rFonts w:ascii="David" w:eastAsia="Times New Roman" w:hAnsi="David" w:cs="David"/>
                <w:b/>
                <w:bCs/>
                <w:color w:val="000000"/>
                <w:sz w:val="20"/>
                <w:szCs w:val="20"/>
                <w:rtl/>
              </w:rPr>
              <w:t>סוג התיקים שנשמעו</w:t>
            </w:r>
          </w:p>
        </w:tc>
        <w:tc>
          <w:tcPr>
            <w:tcW w:w="1282" w:type="dxa"/>
            <w:tcBorders>
              <w:top w:val="nil"/>
              <w:left w:val="single" w:sz="4" w:space="0" w:color="auto"/>
              <w:bottom w:val="single" w:sz="4" w:space="0" w:color="auto"/>
              <w:right w:val="single" w:sz="4" w:space="0" w:color="auto"/>
            </w:tcBorders>
            <w:shd w:val="clear" w:color="auto" w:fill="auto"/>
            <w:noWrap/>
            <w:vAlign w:val="bottom"/>
            <w:hideMark/>
          </w:tcPr>
          <w:p w14:paraId="42B19661" w14:textId="77777777" w:rsidR="00C62A85" w:rsidRPr="00F25744" w:rsidRDefault="00E25AE7" w:rsidP="006C3EB9">
            <w:pPr>
              <w:bidi w:val="0"/>
              <w:spacing w:after="0" w:line="240" w:lineRule="auto"/>
              <w:rPr>
                <w:rFonts w:ascii="David" w:eastAsia="Times New Roman" w:hAnsi="David" w:cs="David"/>
                <w:color w:val="000000"/>
                <w:sz w:val="20"/>
                <w:szCs w:val="20"/>
                <w:rtl/>
              </w:rPr>
            </w:pPr>
            <w:r w:rsidRPr="00F25744">
              <w:rPr>
                <w:rFonts w:ascii="David" w:eastAsia="Times New Roman" w:hAnsi="David" w:cs="David"/>
                <w:color w:val="000000"/>
                <w:sz w:val="20"/>
                <w:szCs w:val="20"/>
              </w:rPr>
              <w:t> </w:t>
            </w:r>
          </w:p>
        </w:tc>
        <w:tc>
          <w:tcPr>
            <w:tcW w:w="1036" w:type="dxa"/>
            <w:gridSpan w:val="2"/>
            <w:tcBorders>
              <w:top w:val="nil"/>
              <w:left w:val="nil"/>
              <w:bottom w:val="nil"/>
              <w:right w:val="nil"/>
            </w:tcBorders>
            <w:shd w:val="clear" w:color="auto" w:fill="auto"/>
            <w:noWrap/>
            <w:vAlign w:val="bottom"/>
            <w:hideMark/>
          </w:tcPr>
          <w:p w14:paraId="31E2E25A" w14:textId="77777777" w:rsidR="00C62A85" w:rsidRPr="00F25744" w:rsidRDefault="00C62A85" w:rsidP="006C3EB9">
            <w:pPr>
              <w:bidi w:val="0"/>
              <w:spacing w:after="0" w:line="240" w:lineRule="auto"/>
              <w:rPr>
                <w:rFonts w:ascii="David" w:eastAsia="Times New Roman" w:hAnsi="David" w:cs="David"/>
                <w:color w:val="000000"/>
                <w:sz w:val="20"/>
                <w:szCs w:val="20"/>
              </w:rPr>
            </w:pPr>
          </w:p>
        </w:tc>
        <w:tc>
          <w:tcPr>
            <w:tcW w:w="921" w:type="dxa"/>
            <w:tcBorders>
              <w:top w:val="nil"/>
              <w:left w:val="nil"/>
              <w:bottom w:val="nil"/>
              <w:right w:val="nil"/>
            </w:tcBorders>
            <w:shd w:val="clear" w:color="auto" w:fill="auto"/>
            <w:noWrap/>
            <w:vAlign w:val="bottom"/>
            <w:hideMark/>
          </w:tcPr>
          <w:p w14:paraId="68126BBD"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888" w:type="dxa"/>
            <w:gridSpan w:val="2"/>
            <w:tcBorders>
              <w:top w:val="nil"/>
              <w:left w:val="nil"/>
              <w:bottom w:val="nil"/>
              <w:right w:val="nil"/>
            </w:tcBorders>
            <w:shd w:val="clear" w:color="auto" w:fill="auto"/>
            <w:noWrap/>
            <w:vAlign w:val="bottom"/>
            <w:hideMark/>
          </w:tcPr>
          <w:p w14:paraId="25BC11B8"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1533" w:type="dxa"/>
            <w:gridSpan w:val="3"/>
            <w:tcBorders>
              <w:top w:val="nil"/>
              <w:left w:val="nil"/>
              <w:bottom w:val="nil"/>
              <w:right w:val="nil"/>
            </w:tcBorders>
            <w:shd w:val="clear" w:color="auto" w:fill="auto"/>
            <w:noWrap/>
            <w:vAlign w:val="bottom"/>
            <w:hideMark/>
          </w:tcPr>
          <w:p w14:paraId="3B009470"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04B694D"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c>
          <w:tcPr>
            <w:tcW w:w="877" w:type="dxa"/>
            <w:tcBorders>
              <w:top w:val="nil"/>
              <w:left w:val="nil"/>
              <w:bottom w:val="nil"/>
              <w:right w:val="nil"/>
            </w:tcBorders>
            <w:shd w:val="clear" w:color="auto" w:fill="auto"/>
            <w:noWrap/>
            <w:vAlign w:val="bottom"/>
            <w:hideMark/>
          </w:tcPr>
          <w:p w14:paraId="081375EF"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r>
      <w:tr w:rsidR="00E0162E" w:rsidRPr="00F25744" w14:paraId="5787E786" w14:textId="77777777" w:rsidTr="00C62A85">
        <w:trPr>
          <w:trHeight w:val="285"/>
        </w:trPr>
        <w:tc>
          <w:tcPr>
            <w:tcW w:w="1722" w:type="dxa"/>
            <w:tcBorders>
              <w:top w:val="nil"/>
              <w:left w:val="single" w:sz="4" w:space="0" w:color="auto"/>
              <w:bottom w:val="single" w:sz="4" w:space="0" w:color="auto"/>
              <w:right w:val="single" w:sz="4" w:space="0" w:color="auto"/>
            </w:tcBorders>
            <w:shd w:val="clear" w:color="000000" w:fill="FFFFFF"/>
            <w:hideMark/>
          </w:tcPr>
          <w:p w14:paraId="2F0C4BBE" w14:textId="77777777" w:rsidR="00C62A85" w:rsidRPr="00F25744" w:rsidRDefault="00E25AE7" w:rsidP="006C3EB9">
            <w:pPr>
              <w:spacing w:after="0" w:line="240" w:lineRule="auto"/>
              <w:jc w:val="center"/>
              <w:rPr>
                <w:rFonts w:ascii="David" w:eastAsia="Times New Roman" w:hAnsi="David" w:cs="David"/>
                <w:b/>
                <w:bCs/>
                <w:color w:val="000000"/>
                <w:sz w:val="20"/>
                <w:szCs w:val="20"/>
              </w:rPr>
            </w:pPr>
            <w:r w:rsidRPr="00F25744">
              <w:rPr>
                <w:rFonts w:ascii="David" w:eastAsia="Times New Roman" w:hAnsi="David" w:cs="David"/>
                <w:b/>
                <w:bCs/>
                <w:color w:val="000000"/>
                <w:sz w:val="20"/>
                <w:szCs w:val="20"/>
                <w:rtl/>
              </w:rPr>
              <w:t>מספר הצווים שנחתמו</w:t>
            </w:r>
          </w:p>
        </w:tc>
        <w:tc>
          <w:tcPr>
            <w:tcW w:w="1282" w:type="dxa"/>
            <w:tcBorders>
              <w:top w:val="nil"/>
              <w:left w:val="single" w:sz="4" w:space="0" w:color="auto"/>
              <w:bottom w:val="single" w:sz="4" w:space="0" w:color="auto"/>
              <w:right w:val="single" w:sz="4" w:space="0" w:color="auto"/>
            </w:tcBorders>
            <w:shd w:val="clear" w:color="auto" w:fill="auto"/>
            <w:noWrap/>
            <w:vAlign w:val="bottom"/>
            <w:hideMark/>
          </w:tcPr>
          <w:p w14:paraId="05C274A5" w14:textId="77777777" w:rsidR="00C62A85" w:rsidRPr="00F25744" w:rsidRDefault="00E25AE7" w:rsidP="006C3EB9">
            <w:pPr>
              <w:bidi w:val="0"/>
              <w:spacing w:after="0" w:line="240" w:lineRule="auto"/>
              <w:rPr>
                <w:rFonts w:ascii="David" w:eastAsia="Times New Roman" w:hAnsi="David" w:cs="David"/>
                <w:color w:val="000000"/>
                <w:sz w:val="20"/>
                <w:szCs w:val="20"/>
                <w:rtl/>
              </w:rPr>
            </w:pPr>
            <w:r w:rsidRPr="00F25744">
              <w:rPr>
                <w:rFonts w:ascii="David" w:eastAsia="Times New Roman" w:hAnsi="David" w:cs="David"/>
                <w:color w:val="000000"/>
                <w:sz w:val="20"/>
                <w:szCs w:val="20"/>
              </w:rPr>
              <w:t> </w:t>
            </w:r>
          </w:p>
        </w:tc>
        <w:tc>
          <w:tcPr>
            <w:tcW w:w="1036"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0018F66" w14:textId="77777777" w:rsidR="00C62A85" w:rsidRPr="00F25744" w:rsidRDefault="00E25AE7" w:rsidP="006C3EB9">
            <w:pPr>
              <w:spacing w:after="0" w:line="240" w:lineRule="auto"/>
              <w:jc w:val="center"/>
              <w:rPr>
                <w:rFonts w:ascii="David" w:eastAsia="Times New Roman" w:hAnsi="David" w:cs="David"/>
                <w:b/>
                <w:bCs/>
                <w:color w:val="000000"/>
                <w:sz w:val="20"/>
                <w:szCs w:val="20"/>
              </w:rPr>
            </w:pPr>
            <w:r w:rsidRPr="00F25744">
              <w:rPr>
                <w:rFonts w:ascii="David" w:eastAsia="Times New Roman" w:hAnsi="David" w:cs="David"/>
                <w:b/>
                <w:bCs/>
                <w:color w:val="000000"/>
                <w:sz w:val="20"/>
                <w:szCs w:val="20"/>
                <w:rtl/>
              </w:rPr>
              <w:t>שעת תחילת צווים</w:t>
            </w:r>
          </w:p>
        </w:tc>
        <w:tc>
          <w:tcPr>
            <w:tcW w:w="9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E6EB09" w14:textId="77777777" w:rsidR="00C62A85" w:rsidRPr="00F25744" w:rsidRDefault="00E25AE7" w:rsidP="006C3EB9">
            <w:pPr>
              <w:bidi w:val="0"/>
              <w:spacing w:after="0" w:line="240" w:lineRule="auto"/>
              <w:rPr>
                <w:rFonts w:ascii="David" w:eastAsia="Times New Roman" w:hAnsi="David" w:cs="David"/>
                <w:color w:val="000000"/>
                <w:sz w:val="20"/>
                <w:szCs w:val="20"/>
                <w:rtl/>
              </w:rPr>
            </w:pPr>
            <w:r w:rsidRPr="00F25744">
              <w:rPr>
                <w:rFonts w:ascii="David" w:eastAsia="Times New Roman" w:hAnsi="David" w:cs="David"/>
                <w:color w:val="000000"/>
                <w:sz w:val="20"/>
                <w:szCs w:val="20"/>
              </w:rPr>
              <w:t> </w:t>
            </w:r>
          </w:p>
        </w:tc>
        <w:tc>
          <w:tcPr>
            <w:tcW w:w="888"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3D38DD7" w14:textId="77777777" w:rsidR="00C62A85" w:rsidRPr="00F25744" w:rsidRDefault="00E25AE7" w:rsidP="006C3EB9">
            <w:pPr>
              <w:spacing w:after="0" w:line="240" w:lineRule="auto"/>
              <w:jc w:val="center"/>
              <w:rPr>
                <w:rFonts w:ascii="David" w:eastAsia="Times New Roman" w:hAnsi="David" w:cs="David"/>
                <w:b/>
                <w:bCs/>
                <w:color w:val="000000"/>
                <w:sz w:val="20"/>
                <w:szCs w:val="20"/>
              </w:rPr>
            </w:pPr>
            <w:r w:rsidRPr="00F25744">
              <w:rPr>
                <w:rFonts w:ascii="David" w:eastAsia="Times New Roman" w:hAnsi="David" w:cs="David"/>
                <w:b/>
                <w:bCs/>
                <w:color w:val="000000"/>
                <w:sz w:val="20"/>
                <w:szCs w:val="20"/>
                <w:rtl/>
              </w:rPr>
              <w:t>שעת סיום צווים</w:t>
            </w:r>
          </w:p>
        </w:tc>
        <w:tc>
          <w:tcPr>
            <w:tcW w:w="153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F53537" w14:textId="77777777" w:rsidR="00C62A85" w:rsidRPr="00F25744" w:rsidRDefault="00E25AE7" w:rsidP="006C3EB9">
            <w:pPr>
              <w:bidi w:val="0"/>
              <w:spacing w:after="0" w:line="240" w:lineRule="auto"/>
              <w:rPr>
                <w:rFonts w:ascii="David" w:eastAsia="Times New Roman" w:hAnsi="David" w:cs="David"/>
                <w:color w:val="000000"/>
                <w:sz w:val="20"/>
                <w:szCs w:val="20"/>
              </w:rPr>
            </w:pPr>
            <w:r w:rsidRPr="00F25744">
              <w:rPr>
                <w:rFonts w:ascii="David" w:eastAsia="Times New Roman" w:hAnsi="David" w:cs="David"/>
                <w:color w:val="000000"/>
                <w:sz w:val="20"/>
                <w:szCs w:val="20"/>
              </w:rPr>
              <w:t> </w:t>
            </w:r>
          </w:p>
        </w:tc>
        <w:tc>
          <w:tcPr>
            <w:tcW w:w="222" w:type="dxa"/>
            <w:tcBorders>
              <w:top w:val="nil"/>
              <w:left w:val="nil"/>
              <w:bottom w:val="nil"/>
              <w:right w:val="nil"/>
            </w:tcBorders>
            <w:shd w:val="clear" w:color="auto" w:fill="auto"/>
            <w:noWrap/>
            <w:vAlign w:val="bottom"/>
            <w:hideMark/>
          </w:tcPr>
          <w:p w14:paraId="0B075D18" w14:textId="77777777" w:rsidR="00C62A85" w:rsidRPr="00F25744" w:rsidRDefault="00C62A85" w:rsidP="006C3EB9">
            <w:pPr>
              <w:bidi w:val="0"/>
              <w:spacing w:after="0" w:line="240" w:lineRule="auto"/>
              <w:rPr>
                <w:rFonts w:ascii="David" w:eastAsia="Times New Roman" w:hAnsi="David" w:cs="David"/>
                <w:color w:val="000000"/>
                <w:sz w:val="20"/>
                <w:szCs w:val="20"/>
              </w:rPr>
            </w:pPr>
          </w:p>
        </w:tc>
        <w:tc>
          <w:tcPr>
            <w:tcW w:w="877" w:type="dxa"/>
            <w:tcBorders>
              <w:top w:val="nil"/>
              <w:left w:val="nil"/>
              <w:bottom w:val="nil"/>
              <w:right w:val="nil"/>
            </w:tcBorders>
            <w:shd w:val="clear" w:color="auto" w:fill="auto"/>
            <w:noWrap/>
            <w:vAlign w:val="bottom"/>
            <w:hideMark/>
          </w:tcPr>
          <w:p w14:paraId="348B1A97" w14:textId="77777777" w:rsidR="00C62A85" w:rsidRPr="00F25744" w:rsidRDefault="00C62A85" w:rsidP="006C3EB9">
            <w:pPr>
              <w:bidi w:val="0"/>
              <w:spacing w:after="0" w:line="240" w:lineRule="auto"/>
              <w:rPr>
                <w:rFonts w:ascii="Times New Roman" w:eastAsia="Times New Roman" w:hAnsi="Times New Roman" w:cs="Times New Roman"/>
                <w:sz w:val="20"/>
                <w:szCs w:val="20"/>
              </w:rPr>
            </w:pPr>
          </w:p>
        </w:tc>
      </w:tr>
    </w:tbl>
    <w:p w14:paraId="13C9E343" w14:textId="77777777" w:rsidR="00BD23BB" w:rsidRPr="00F25744" w:rsidRDefault="00BD23BB" w:rsidP="00BD23BB">
      <w:pPr>
        <w:autoSpaceDE w:val="0"/>
        <w:autoSpaceDN w:val="0"/>
        <w:adjustRightInd w:val="0"/>
        <w:spacing w:after="0" w:line="240" w:lineRule="auto"/>
        <w:jc w:val="both"/>
        <w:rPr>
          <w:rFonts w:cs="David"/>
          <w:sz w:val="24"/>
          <w:szCs w:val="24"/>
          <w:rtl/>
        </w:rPr>
      </w:pPr>
    </w:p>
    <w:p w14:paraId="4320442D" w14:textId="77777777" w:rsidR="006227EC" w:rsidRPr="00F25744" w:rsidRDefault="00E25AE7" w:rsidP="00BD23BB">
      <w:pPr>
        <w:autoSpaceDE w:val="0"/>
        <w:autoSpaceDN w:val="0"/>
        <w:adjustRightInd w:val="0"/>
        <w:spacing w:before="120" w:after="0" w:line="360" w:lineRule="auto"/>
        <w:jc w:val="both"/>
        <w:rPr>
          <w:rFonts w:cs="David"/>
          <w:sz w:val="24"/>
          <w:szCs w:val="24"/>
          <w:rtl/>
        </w:rPr>
      </w:pPr>
      <w:r w:rsidRPr="00F25744">
        <w:rPr>
          <w:rFonts w:cs="David" w:hint="cs"/>
          <w:sz w:val="24"/>
          <w:szCs w:val="24"/>
          <w:rtl/>
        </w:rPr>
        <w:t>הרחבה בנושא הצווים תיעשה בפרק העוסק בממצאי ערכאת השלום.</w:t>
      </w:r>
    </w:p>
    <w:p w14:paraId="47E44D16" w14:textId="77777777" w:rsidR="006B7764" w:rsidRPr="00F25744" w:rsidRDefault="00E25AE7" w:rsidP="00BD23BB">
      <w:pPr>
        <w:pStyle w:val="a3"/>
        <w:widowControl w:val="0"/>
        <w:autoSpaceDE w:val="0"/>
        <w:autoSpaceDN w:val="0"/>
        <w:bidi/>
        <w:adjustRightInd w:val="0"/>
        <w:spacing w:before="120" w:after="0" w:line="360" w:lineRule="auto"/>
        <w:ind w:left="0"/>
        <w:rPr>
          <w:rFonts w:ascii="David" w:hAnsi="David" w:cs="David"/>
          <w:sz w:val="24"/>
          <w:szCs w:val="24"/>
          <w:rtl/>
        </w:rPr>
      </w:pPr>
      <w:r w:rsidRPr="00F25744">
        <w:rPr>
          <w:rFonts w:ascii="David" w:hAnsi="David" w:cs="David" w:hint="cs"/>
          <w:sz w:val="24"/>
          <w:szCs w:val="24"/>
          <w:rtl/>
        </w:rPr>
        <w:t>טרם סיום תת פרק זה העוסק ביומני הקלדניות יוער, כי לצורך השמירה המוגברת על אנונימיות השופטים, ביצעה מחלקת המחקר התאמות מסוימות גם ביומני הקלדניות.</w:t>
      </w:r>
      <w:r w:rsidRPr="00F25744">
        <w:rPr>
          <w:rFonts w:ascii="David" w:hAnsi="David" w:cs="David" w:hint="cs"/>
          <w:b/>
          <w:bCs/>
          <w:sz w:val="24"/>
          <w:szCs w:val="24"/>
          <w:rtl/>
        </w:rPr>
        <w:t xml:space="preserve"> </w:t>
      </w:r>
      <w:r w:rsidRPr="00F25744">
        <w:rPr>
          <w:rFonts w:ascii="David" w:hAnsi="David" w:cs="David" w:hint="cs"/>
          <w:sz w:val="24"/>
          <w:szCs w:val="24"/>
          <w:rtl/>
        </w:rPr>
        <w:t xml:space="preserve">במסגרת מחקר בתי הדין לעבודה, יומני הקלדניות כללו את ציון שם השופט שבפניו מתקיימים הדיונים המתועדים ביומן. גם במסגרת מחקר בתי הדין וגם במסגרת המחקר הנוכחי, לא נעשתה ולא תוכננה להיעשות, הצלבה כלשהי בין יומני הקלדניות ליומני השופטים. </w:t>
      </w:r>
      <w:r w:rsidR="005E0D69" w:rsidRPr="00F25744">
        <w:rPr>
          <w:rFonts w:ascii="David" w:hAnsi="David" w:cs="David" w:hint="cs"/>
          <w:sz w:val="24"/>
          <w:szCs w:val="24"/>
          <w:rtl/>
        </w:rPr>
        <w:t>אולם, כדי למנוע כל אפשרות של זליג</w:t>
      </w:r>
      <w:r w:rsidR="00412A6C" w:rsidRPr="00F25744">
        <w:rPr>
          <w:rFonts w:ascii="David" w:hAnsi="David" w:cs="David" w:hint="cs"/>
          <w:sz w:val="24"/>
          <w:szCs w:val="24"/>
          <w:rtl/>
        </w:rPr>
        <w:t>ת</w:t>
      </w:r>
      <w:r w:rsidR="005E0D69" w:rsidRPr="00F25744">
        <w:rPr>
          <w:rFonts w:ascii="David" w:hAnsi="David" w:cs="David" w:hint="cs"/>
          <w:sz w:val="24"/>
          <w:szCs w:val="24"/>
          <w:rtl/>
        </w:rPr>
        <w:t xml:space="preserve"> הנתונים שנאספו על ידי הקלדניות, </w:t>
      </w:r>
      <w:r w:rsidRPr="00F25744">
        <w:rPr>
          <w:rFonts w:ascii="David" w:hAnsi="David" w:cs="David" w:hint="cs"/>
          <w:sz w:val="24"/>
          <w:szCs w:val="24"/>
          <w:rtl/>
        </w:rPr>
        <w:t xml:space="preserve">הוחלט כי יומני הקלדניות לא יכללו ציון שמות השופטים, וחלף זאת תתבצענה בקרות אחרות על מילוי יומני הקלדניות. </w:t>
      </w:r>
    </w:p>
    <w:p w14:paraId="1C6E1D8F" w14:textId="77777777" w:rsidR="006B7764" w:rsidRPr="00F25744" w:rsidRDefault="006B7764" w:rsidP="006227EC">
      <w:pPr>
        <w:autoSpaceDE w:val="0"/>
        <w:autoSpaceDN w:val="0"/>
        <w:adjustRightInd w:val="0"/>
        <w:spacing w:after="0" w:line="360" w:lineRule="auto"/>
        <w:jc w:val="both"/>
        <w:rPr>
          <w:rFonts w:cs="David"/>
          <w:sz w:val="24"/>
          <w:szCs w:val="24"/>
          <w:rtl/>
          <w:lang w:val="en-GB"/>
        </w:rPr>
      </w:pPr>
    </w:p>
    <w:p w14:paraId="4770C540" w14:textId="77777777" w:rsidR="00BA2681" w:rsidRPr="00F25744" w:rsidRDefault="00E25AE7" w:rsidP="00A54D82">
      <w:pPr>
        <w:pStyle w:val="3"/>
        <w:ind w:left="852"/>
        <w:rPr>
          <w:rtl/>
        </w:rPr>
      </w:pPr>
      <w:bookmarkStart w:id="228" w:name="_Toc49352745"/>
      <w:bookmarkStart w:id="229" w:name="_Toc49429650"/>
      <w:bookmarkStart w:id="230" w:name="_Toc49435879"/>
      <w:bookmarkStart w:id="231" w:name="_Toc74750967"/>
      <w:bookmarkStart w:id="232" w:name="_Toc46226042"/>
      <w:bookmarkStart w:id="233" w:name="_Toc46226186"/>
      <w:bookmarkStart w:id="234" w:name="_Toc46228353"/>
      <w:bookmarkStart w:id="235" w:name="_Toc46228451"/>
      <w:bookmarkStart w:id="236" w:name="_Toc46230378"/>
      <w:bookmarkStart w:id="237" w:name="_Toc46230476"/>
      <w:bookmarkStart w:id="238" w:name="_Toc46310366"/>
      <w:bookmarkStart w:id="239" w:name="_Toc46414008"/>
      <w:r w:rsidRPr="00F25744">
        <w:rPr>
          <w:rFonts w:hint="cs"/>
          <w:rtl/>
        </w:rPr>
        <w:t>שיעורי ההשתתפות של הקלדניות במהלך תקופת המחקר</w:t>
      </w:r>
      <w:bookmarkEnd w:id="228"/>
      <w:bookmarkEnd w:id="229"/>
      <w:bookmarkEnd w:id="230"/>
      <w:bookmarkEnd w:id="231"/>
    </w:p>
    <w:p w14:paraId="4C4BFAF8" w14:textId="77777777" w:rsidR="00DA695D" w:rsidRPr="00F25744" w:rsidRDefault="00E25AE7" w:rsidP="005E0D69">
      <w:pPr>
        <w:pStyle w:val="a3"/>
        <w:widowControl w:val="0"/>
        <w:autoSpaceDE w:val="0"/>
        <w:autoSpaceDN w:val="0"/>
        <w:bidi/>
        <w:adjustRightInd w:val="0"/>
        <w:spacing w:before="60" w:after="60" w:line="360" w:lineRule="auto"/>
        <w:ind w:left="0"/>
        <w:rPr>
          <w:rFonts w:ascii="David" w:hAnsi="David" w:cs="David"/>
          <w:sz w:val="24"/>
          <w:szCs w:val="24"/>
          <w:rtl/>
        </w:rPr>
      </w:pPr>
      <w:r w:rsidRPr="00F25744">
        <w:rPr>
          <w:rFonts w:ascii="David" w:hAnsi="David" w:cs="David"/>
          <w:sz w:val="24"/>
          <w:szCs w:val="24"/>
          <w:rtl/>
        </w:rPr>
        <w:t>763</w:t>
      </w:r>
      <w:r w:rsidR="00BA2681" w:rsidRPr="00F25744">
        <w:rPr>
          <w:rFonts w:ascii="David" w:hAnsi="David" w:cs="David"/>
          <w:sz w:val="24"/>
          <w:szCs w:val="24"/>
          <w:rtl/>
        </w:rPr>
        <w:t xml:space="preserve"> קלדניות וקלדנים מילאו לפחות יומן דיונים אחד</w:t>
      </w:r>
      <w:r w:rsidR="007A4F7E" w:rsidRPr="00F25744">
        <w:rPr>
          <w:rFonts w:ascii="David" w:hAnsi="David" w:cs="David"/>
          <w:sz w:val="24"/>
          <w:szCs w:val="24"/>
          <w:rtl/>
        </w:rPr>
        <w:t xml:space="preserve"> במהלך חמשת שבועות המחקר</w:t>
      </w:r>
      <w:r w:rsidR="007F3A52" w:rsidRPr="00F25744">
        <w:rPr>
          <w:rFonts w:ascii="David" w:hAnsi="David" w:cs="David"/>
          <w:sz w:val="24"/>
          <w:szCs w:val="24"/>
          <w:rtl/>
        </w:rPr>
        <w:t xml:space="preserve">, 182 דיווחו על דיונים שהתקיימו בערכאת המחוזי ו-581 בערכאת השלום, כולל בתי המשפט לענייני משפחה, תעבורה </w:t>
      </w:r>
      <w:r w:rsidR="007F3A52" w:rsidRPr="00F25744">
        <w:rPr>
          <w:rFonts w:ascii="David" w:hAnsi="David" w:cs="David"/>
          <w:sz w:val="24"/>
          <w:szCs w:val="24"/>
          <w:rtl/>
        </w:rPr>
        <w:lastRenderedPageBreak/>
        <w:t>ונוער</w:t>
      </w:r>
      <w:r w:rsidR="00BA2681" w:rsidRPr="00F25744">
        <w:rPr>
          <w:rFonts w:ascii="David" w:hAnsi="David" w:cs="David"/>
          <w:sz w:val="24"/>
          <w:szCs w:val="24"/>
          <w:rtl/>
        </w:rPr>
        <w:t>.</w:t>
      </w:r>
      <w:r w:rsidR="007F3A52" w:rsidRPr="00F25744">
        <w:rPr>
          <w:rFonts w:ascii="David" w:hAnsi="David" w:cs="David"/>
          <w:sz w:val="24"/>
          <w:szCs w:val="24"/>
          <w:rtl/>
        </w:rPr>
        <w:t xml:space="preserve"> </w:t>
      </w:r>
      <w:r w:rsidR="00B85105" w:rsidRPr="00F25744">
        <w:rPr>
          <w:rFonts w:ascii="David" w:hAnsi="David" w:cs="David" w:hint="cs"/>
          <w:sz w:val="24"/>
          <w:szCs w:val="24"/>
          <w:rtl/>
        </w:rPr>
        <w:t xml:space="preserve">סה"כ הועברו </w:t>
      </w:r>
      <w:r w:rsidR="007F3A52" w:rsidRPr="00F25744">
        <w:rPr>
          <w:rFonts w:ascii="David" w:hAnsi="David" w:cs="David"/>
          <w:sz w:val="24"/>
          <w:szCs w:val="24"/>
          <w:rtl/>
        </w:rPr>
        <w:t xml:space="preserve">למחלקת המחקר דיווחים על 48,857 דיונים. כפי שצוין לעיל, בחלק מהמקרים, דיווח בודד כולל יותר מדיון אחד, </w:t>
      </w:r>
      <w:r w:rsidR="00B85105" w:rsidRPr="00F25744">
        <w:rPr>
          <w:rFonts w:ascii="David" w:hAnsi="David" w:cs="David" w:hint="cs"/>
          <w:sz w:val="24"/>
          <w:szCs w:val="24"/>
          <w:rtl/>
        </w:rPr>
        <w:t xml:space="preserve">כמו </w:t>
      </w:r>
      <w:r w:rsidR="007F3A52" w:rsidRPr="00F25744">
        <w:rPr>
          <w:rFonts w:ascii="David" w:hAnsi="David" w:cs="David"/>
          <w:sz w:val="24"/>
          <w:szCs w:val="24"/>
          <w:rtl/>
        </w:rPr>
        <w:t xml:space="preserve">במקרים של ימי מוקד </w:t>
      </w:r>
      <w:r w:rsidR="00B85105" w:rsidRPr="00F25744">
        <w:rPr>
          <w:rFonts w:ascii="David" w:hAnsi="David" w:cs="David" w:hint="cs"/>
          <w:sz w:val="24"/>
          <w:szCs w:val="24"/>
          <w:rtl/>
        </w:rPr>
        <w:t>או ימי הקראות ב</w:t>
      </w:r>
      <w:r w:rsidR="007F3A52" w:rsidRPr="00F25744">
        <w:rPr>
          <w:rFonts w:ascii="David" w:hAnsi="David" w:cs="David"/>
          <w:sz w:val="24"/>
          <w:szCs w:val="24"/>
          <w:rtl/>
        </w:rPr>
        <w:t xml:space="preserve">תעבורה וימי שמיעה מרוכזים בתיקים שונים, כך שסך הדיונים </w:t>
      </w:r>
      <w:r w:rsidR="00B85105" w:rsidRPr="00F25744">
        <w:rPr>
          <w:rFonts w:ascii="David" w:hAnsi="David" w:cs="David" w:hint="cs"/>
          <w:sz w:val="24"/>
          <w:szCs w:val="24"/>
          <w:rtl/>
        </w:rPr>
        <w:t xml:space="preserve">המדווחים </w:t>
      </w:r>
      <w:r w:rsidR="007F3A52" w:rsidRPr="00F25744">
        <w:rPr>
          <w:rFonts w:ascii="David" w:hAnsi="David" w:cs="David"/>
          <w:sz w:val="24"/>
          <w:szCs w:val="24"/>
          <w:rtl/>
        </w:rPr>
        <w:t>הכולל גבוה אף יותר.</w:t>
      </w:r>
    </w:p>
    <w:p w14:paraId="19E7EA51" w14:textId="77777777" w:rsidR="00BA2681" w:rsidRPr="00F25744" w:rsidRDefault="00E25AE7" w:rsidP="00BD23BB">
      <w:pPr>
        <w:spacing w:after="0" w:line="240" w:lineRule="auto"/>
      </w:pPr>
      <w:r w:rsidRPr="00F25744">
        <w:rPr>
          <w:rFonts w:hint="cs"/>
          <w:rtl/>
        </w:rPr>
        <w:t xml:space="preserve"> </w:t>
      </w:r>
    </w:p>
    <w:p w14:paraId="7114E051" w14:textId="77777777" w:rsidR="006227EC" w:rsidRPr="00F25744" w:rsidRDefault="00E25AE7" w:rsidP="00A54D82">
      <w:pPr>
        <w:pStyle w:val="3"/>
        <w:ind w:left="852"/>
        <w:rPr>
          <w:rtl/>
        </w:rPr>
      </w:pPr>
      <w:bookmarkStart w:id="240" w:name="_Toc49352746"/>
      <w:bookmarkStart w:id="241" w:name="_Toc49429651"/>
      <w:bookmarkStart w:id="242" w:name="_Toc49435880"/>
      <w:bookmarkStart w:id="243" w:name="_Toc74750968"/>
      <w:r w:rsidRPr="00F25744">
        <w:rPr>
          <w:rFonts w:hint="cs"/>
          <w:rtl/>
        </w:rPr>
        <w:t>ביצוע הדרכות לקראת תקופת המחקר בקרב הקלדניות והמזכירים הראשיים ברחבי הארץ</w:t>
      </w:r>
      <w:bookmarkEnd w:id="232"/>
      <w:bookmarkEnd w:id="233"/>
      <w:bookmarkEnd w:id="234"/>
      <w:bookmarkEnd w:id="235"/>
      <w:bookmarkEnd w:id="236"/>
      <w:bookmarkEnd w:id="237"/>
      <w:bookmarkEnd w:id="238"/>
      <w:bookmarkEnd w:id="239"/>
      <w:bookmarkEnd w:id="240"/>
      <w:bookmarkEnd w:id="241"/>
      <w:bookmarkEnd w:id="242"/>
      <w:bookmarkEnd w:id="243"/>
    </w:p>
    <w:p w14:paraId="48EE7AC9" w14:textId="77777777" w:rsidR="006227EC" w:rsidRPr="00F25744" w:rsidRDefault="00E25AE7" w:rsidP="00F56E51">
      <w:pPr>
        <w:spacing w:after="0" w:line="360" w:lineRule="auto"/>
        <w:jc w:val="both"/>
        <w:rPr>
          <w:rFonts w:cs="David"/>
          <w:sz w:val="24"/>
          <w:szCs w:val="24"/>
          <w:rtl/>
        </w:rPr>
      </w:pPr>
      <w:r w:rsidRPr="00F25744">
        <w:rPr>
          <w:rFonts w:cs="David" w:hint="cs"/>
          <w:sz w:val="24"/>
          <w:szCs w:val="24"/>
          <w:rtl/>
        </w:rPr>
        <w:t>בעצה אחת עם סמנכ"לית בכירה תפ</w:t>
      </w:r>
      <w:r w:rsidR="009930CA" w:rsidRPr="00F25744">
        <w:rPr>
          <w:rFonts w:cs="David" w:hint="cs"/>
          <w:sz w:val="24"/>
          <w:szCs w:val="24"/>
          <w:rtl/>
        </w:rPr>
        <w:t>עול ומזכירויות, הגב' שלומית לוי-</w:t>
      </w:r>
      <w:r w:rsidRPr="00F25744">
        <w:rPr>
          <w:rFonts w:cs="David" w:hint="cs"/>
          <w:sz w:val="24"/>
          <w:szCs w:val="24"/>
          <w:rtl/>
        </w:rPr>
        <w:t>לביא, נבחרו שתי אחראיות תחום הדרכת קלדניות: הגב' אילת קביצל (מבית משפט השלום בחיפה) והגב' נעמה הוד (מבית משפט השלום בתל אביב) לצורך הדרכת הקלדניות על אופן מילוי היומנים שלהן. טרם ההדרכות הן עברו הדרכה מפורטת על ידי מחלקת המחקר, ועמדו עמה בקשר רצוף לצורך שיפור וייעול היומנים והתאמתם לימי הדיונים השונים (דוגמת ימי מעצרים, ימי מוקד פליליים, דיוני הקראות ב</w:t>
      </w:r>
      <w:r w:rsidR="00F56E51" w:rsidRPr="00F25744">
        <w:rPr>
          <w:rFonts w:cs="David" w:hint="cs"/>
          <w:sz w:val="24"/>
          <w:szCs w:val="24"/>
          <w:rtl/>
        </w:rPr>
        <w:t xml:space="preserve">תיקי </w:t>
      </w:r>
      <w:r w:rsidRPr="00F25744">
        <w:rPr>
          <w:rFonts w:cs="David" w:hint="cs"/>
          <w:sz w:val="24"/>
          <w:szCs w:val="24"/>
          <w:rtl/>
        </w:rPr>
        <w:t>תעבורה ועוד). אילת ונעמה העבירו הדרכות לקלדניות בכל רחבי הארץ, הדריכו את אחראיות הקלדניות, ענו על שאלות שעלו וליוו את הפרויקט מתחילתו ועד סופו.</w:t>
      </w:r>
    </w:p>
    <w:p w14:paraId="7FE9587E" w14:textId="77777777" w:rsidR="006227EC" w:rsidRPr="00F25744" w:rsidRDefault="006227EC" w:rsidP="00BD23BB">
      <w:pPr>
        <w:spacing w:after="0" w:line="240" w:lineRule="auto"/>
        <w:jc w:val="both"/>
        <w:rPr>
          <w:rFonts w:cs="David"/>
          <w:sz w:val="24"/>
          <w:szCs w:val="24"/>
          <w:rtl/>
        </w:rPr>
      </w:pPr>
    </w:p>
    <w:p w14:paraId="35F4D40F" w14:textId="77777777" w:rsidR="006227EC" w:rsidRPr="00F25744" w:rsidRDefault="00E25AE7" w:rsidP="00A54D82">
      <w:pPr>
        <w:pStyle w:val="3"/>
        <w:spacing w:line="240" w:lineRule="auto"/>
        <w:ind w:left="852"/>
        <w:rPr>
          <w:rtl/>
        </w:rPr>
      </w:pPr>
      <w:bookmarkStart w:id="244" w:name="_Toc46226043"/>
      <w:bookmarkStart w:id="245" w:name="_Toc46226187"/>
      <w:bookmarkStart w:id="246" w:name="_Toc46228354"/>
      <w:bookmarkStart w:id="247" w:name="_Toc46228452"/>
      <w:bookmarkStart w:id="248" w:name="_Toc46230379"/>
      <w:bookmarkStart w:id="249" w:name="_Toc46230477"/>
      <w:bookmarkStart w:id="250" w:name="_Toc46310367"/>
      <w:bookmarkStart w:id="251" w:name="_Toc46414009"/>
      <w:bookmarkStart w:id="252" w:name="_Toc49352747"/>
      <w:bookmarkStart w:id="253" w:name="_Toc49429652"/>
      <w:bookmarkStart w:id="254" w:name="_Toc49435881"/>
      <w:bookmarkStart w:id="255" w:name="_Toc74750969"/>
      <w:r w:rsidRPr="00F25744">
        <w:rPr>
          <w:rFonts w:hint="cs"/>
          <w:rtl/>
        </w:rPr>
        <w:t>שלבי ביצוע המחקר</w:t>
      </w:r>
      <w:bookmarkEnd w:id="244"/>
      <w:bookmarkEnd w:id="245"/>
      <w:bookmarkEnd w:id="246"/>
      <w:bookmarkEnd w:id="247"/>
      <w:bookmarkEnd w:id="248"/>
      <w:bookmarkEnd w:id="249"/>
      <w:bookmarkEnd w:id="250"/>
      <w:bookmarkEnd w:id="251"/>
      <w:bookmarkEnd w:id="252"/>
      <w:bookmarkEnd w:id="253"/>
      <w:bookmarkEnd w:id="254"/>
      <w:bookmarkEnd w:id="255"/>
    </w:p>
    <w:p w14:paraId="0C7807B6" w14:textId="77777777" w:rsidR="00BD23BB" w:rsidRPr="00F25744" w:rsidRDefault="00BD23BB" w:rsidP="00BD23BB">
      <w:pPr>
        <w:spacing w:after="0" w:line="240" w:lineRule="auto"/>
        <w:rPr>
          <w:rtl/>
        </w:rPr>
      </w:pPr>
    </w:p>
    <w:p w14:paraId="73CC96CC" w14:textId="77777777" w:rsidR="006227EC" w:rsidRPr="00F25744" w:rsidRDefault="004162BA" w:rsidP="00A54D82">
      <w:pPr>
        <w:pStyle w:val="4"/>
        <w:spacing w:line="240" w:lineRule="auto"/>
        <w:ind w:left="994"/>
      </w:pPr>
      <w:bookmarkStart w:id="256" w:name="_Toc46226044"/>
      <w:bookmarkStart w:id="257" w:name="_Toc46226188"/>
      <w:bookmarkStart w:id="258" w:name="_Toc46228355"/>
      <w:bookmarkStart w:id="259" w:name="_Toc46228453"/>
      <w:bookmarkStart w:id="260" w:name="_Toc46230380"/>
      <w:bookmarkStart w:id="261" w:name="_Toc46230478"/>
      <w:bookmarkStart w:id="262" w:name="_Toc46310368"/>
      <w:bookmarkStart w:id="263" w:name="_Toc46414010"/>
      <w:r w:rsidRPr="00F25744">
        <w:rPr>
          <w:rFonts w:hint="cs"/>
          <w:rtl/>
        </w:rPr>
        <w:t xml:space="preserve"> </w:t>
      </w:r>
      <w:bookmarkStart w:id="264" w:name="_Toc74750970"/>
      <w:r w:rsidR="00E25AE7" w:rsidRPr="00F25744">
        <w:rPr>
          <w:rFonts w:hint="cs"/>
          <w:rtl/>
        </w:rPr>
        <w:t>תקופת המחקר</w:t>
      </w:r>
      <w:bookmarkEnd w:id="256"/>
      <w:bookmarkEnd w:id="257"/>
      <w:bookmarkEnd w:id="258"/>
      <w:bookmarkEnd w:id="259"/>
      <w:bookmarkEnd w:id="260"/>
      <w:bookmarkEnd w:id="261"/>
      <w:bookmarkEnd w:id="262"/>
      <w:bookmarkEnd w:id="263"/>
      <w:bookmarkEnd w:id="264"/>
    </w:p>
    <w:p w14:paraId="0AC20D78" w14:textId="77777777" w:rsidR="006227EC" w:rsidRPr="00F25744" w:rsidRDefault="006227EC" w:rsidP="00BD23BB">
      <w:pPr>
        <w:autoSpaceDE w:val="0"/>
        <w:autoSpaceDN w:val="0"/>
        <w:adjustRightInd w:val="0"/>
        <w:spacing w:after="0" w:line="240" w:lineRule="auto"/>
        <w:ind w:left="1224"/>
        <w:jc w:val="both"/>
        <w:rPr>
          <w:rFonts w:cs="David"/>
          <w:b/>
          <w:bCs/>
          <w:sz w:val="24"/>
          <w:szCs w:val="24"/>
          <w:rtl/>
        </w:rPr>
      </w:pPr>
    </w:p>
    <w:p w14:paraId="518B63B9" w14:textId="006A0A83" w:rsidR="006227EC" w:rsidRPr="00F25744" w:rsidRDefault="00E25AE7" w:rsidP="00D259A5">
      <w:pPr>
        <w:spacing w:before="120" w:after="0" w:line="360" w:lineRule="auto"/>
        <w:jc w:val="both"/>
        <w:rPr>
          <w:rFonts w:cs="David"/>
          <w:sz w:val="24"/>
          <w:szCs w:val="24"/>
          <w:rtl/>
        </w:rPr>
      </w:pPr>
      <w:r w:rsidRPr="00F25744">
        <w:rPr>
          <w:rFonts w:cs="David" w:hint="cs"/>
          <w:sz w:val="24"/>
          <w:szCs w:val="24"/>
          <w:rtl/>
        </w:rPr>
        <w:t>תקופת המחקר</w:t>
      </w:r>
      <w:r w:rsidR="00640A5A" w:rsidRPr="00F25744">
        <w:rPr>
          <w:rFonts w:cs="David" w:hint="cs"/>
          <w:sz w:val="24"/>
          <w:szCs w:val="24"/>
          <w:rtl/>
        </w:rPr>
        <w:t xml:space="preserve"> </w:t>
      </w:r>
      <w:r w:rsidRPr="00F25744">
        <w:rPr>
          <w:rFonts w:cs="David" w:hint="cs"/>
          <w:sz w:val="24"/>
          <w:szCs w:val="24"/>
          <w:rtl/>
        </w:rPr>
        <w:t>נמשכה</w:t>
      </w:r>
      <w:r w:rsidR="00640A5A" w:rsidRPr="00F25744">
        <w:rPr>
          <w:rFonts w:cs="David" w:hint="cs"/>
          <w:sz w:val="24"/>
          <w:szCs w:val="24"/>
          <w:rtl/>
        </w:rPr>
        <w:t>, כאמור,</w:t>
      </w:r>
      <w:r w:rsidRPr="00F25744">
        <w:rPr>
          <w:rFonts w:cs="David" w:hint="cs"/>
          <w:sz w:val="24"/>
          <w:szCs w:val="24"/>
          <w:rtl/>
        </w:rPr>
        <w:t xml:space="preserve"> חמישה שבועות עבודה מלאים, שבמהלכם נמדד ונאסף מסד הנתונים של נתוני הקלדניות. יומני הקלדניות, אשר מולאו ידנית באופן יומיומי ובזמן אמת, מדדו באופן מדויק את זמני הדיונים השונים, בחלוקה לסוגי התיקים, לסו</w:t>
      </w:r>
      <w:r w:rsidR="00D259A5">
        <w:rPr>
          <w:rFonts w:cs="David" w:hint="cs"/>
          <w:sz w:val="24"/>
          <w:szCs w:val="24"/>
          <w:rtl/>
        </w:rPr>
        <w:t>גי העניין ולסוגי הדיונים השונים</w:t>
      </w:r>
      <w:r w:rsidR="00473837" w:rsidRPr="00F25744">
        <w:rPr>
          <w:rFonts w:cs="David" w:hint="cs"/>
          <w:sz w:val="24"/>
          <w:szCs w:val="24"/>
          <w:rtl/>
        </w:rPr>
        <w:t>.</w:t>
      </w:r>
    </w:p>
    <w:p w14:paraId="6B7D93B6" w14:textId="77777777" w:rsidR="006227EC" w:rsidRPr="00F25744" w:rsidRDefault="00E25AE7" w:rsidP="00BD23BB">
      <w:pPr>
        <w:spacing w:before="120" w:after="0" w:line="360" w:lineRule="auto"/>
        <w:jc w:val="both"/>
        <w:rPr>
          <w:rFonts w:cs="David"/>
          <w:sz w:val="24"/>
          <w:szCs w:val="24"/>
          <w:rtl/>
        </w:rPr>
      </w:pPr>
      <w:r w:rsidRPr="00F25744">
        <w:rPr>
          <w:rFonts w:cs="David" w:hint="cs"/>
          <w:sz w:val="24"/>
          <w:szCs w:val="24"/>
          <w:rtl/>
        </w:rPr>
        <w:t xml:space="preserve">כאמור, מחלקת המחקר אספה את יומני הקלדניות, ביצעה מעקב שוטף ויומיומי אחר טעויות וחסרים ביומני הקלדניות, ועמדה בקשר רציף עם אחראיות הקלדניות לשם קבלת תיקונים והשלמות בעת הצורך, ואכן קיבלנו תיקונים רבים. עם זאת, נוכח כמות הנתונים העצומה בגודלה, לא ניתן היה </w:t>
      </w:r>
      <w:r w:rsidR="00640A5A" w:rsidRPr="00F25744">
        <w:rPr>
          <w:rFonts w:cs="David" w:hint="cs"/>
          <w:sz w:val="24"/>
          <w:szCs w:val="24"/>
          <w:rtl/>
        </w:rPr>
        <w:t xml:space="preserve">לאתר את </w:t>
      </w:r>
      <w:r w:rsidRPr="00F25744">
        <w:rPr>
          <w:rFonts w:cs="David" w:hint="cs"/>
          <w:sz w:val="24"/>
          <w:szCs w:val="24"/>
          <w:rtl/>
        </w:rPr>
        <w:t>כל הטעויות והתיקונים הנדרשים, וכן גם כשפנינו לקבלת תיקונים לא תמיד קיבלנו תשובות ולעתים לא ניתן היה לתקן בדיעבד. כך, למשל, כאשר גילינו כי קיימות שורות חופפות מבחינת זמני הדיונים, או כאשר לא צוין סוג התיק או סוג העניין, או כאשר סוג התיק וסוג העניין סווגו באופן שגוי, או כאשר בימי המוקד לא צוינה כמות התיקים שנדונה. נוסיף על כך, כי את יומני הקלדניות של השבוע הראשון של תקופת המחקר קיבלנו רק לאחר מספר ימים, כך שבדיקת יומני הקלדניות החלה באיחור של מספר ימים, עובדה אשר הקשתה על תיקון והשלמת היומנים בדיעבד. במקרים כאלו, כאשר לא ניתן היה לתקן, נאלצנו להשמיט אותן שורות ולא לה</w:t>
      </w:r>
      <w:r w:rsidR="00CC0175" w:rsidRPr="00F25744">
        <w:rPr>
          <w:rFonts w:cs="David" w:hint="cs"/>
          <w:sz w:val="24"/>
          <w:szCs w:val="24"/>
          <w:rtl/>
        </w:rPr>
        <w:t>שתמש</w:t>
      </w:r>
      <w:r w:rsidRPr="00F25744">
        <w:rPr>
          <w:rFonts w:cs="David" w:hint="cs"/>
          <w:sz w:val="24"/>
          <w:szCs w:val="24"/>
          <w:rtl/>
        </w:rPr>
        <w:t xml:space="preserve"> בנתונים שבהן</w:t>
      </w:r>
      <w:r w:rsidR="00CC0175" w:rsidRPr="00F25744">
        <w:rPr>
          <w:rFonts w:cs="David" w:hint="cs"/>
          <w:sz w:val="24"/>
          <w:szCs w:val="24"/>
          <w:rtl/>
        </w:rPr>
        <w:t xml:space="preserve"> לחישוב זמני הדיונים</w:t>
      </w:r>
      <w:r w:rsidRPr="00F25744">
        <w:rPr>
          <w:rFonts w:cs="David" w:hint="cs"/>
          <w:sz w:val="24"/>
          <w:szCs w:val="24"/>
          <w:rtl/>
        </w:rPr>
        <w:t>. בסופו של דבר, סך הכול, סיווגנו כ"לא תקין" כ-</w:t>
      </w:r>
      <w:r w:rsidR="00DA695D" w:rsidRPr="00F25744">
        <w:rPr>
          <w:rFonts w:cs="David" w:hint="cs"/>
          <w:sz w:val="24"/>
          <w:szCs w:val="24"/>
          <w:rtl/>
        </w:rPr>
        <w:t xml:space="preserve">3,093 </w:t>
      </w:r>
      <w:r w:rsidRPr="00F25744">
        <w:rPr>
          <w:rFonts w:cs="David" w:hint="cs"/>
          <w:sz w:val="24"/>
          <w:szCs w:val="24"/>
          <w:rtl/>
        </w:rPr>
        <w:t>שורות, מתוך סך של 4</w:t>
      </w:r>
      <w:r w:rsidR="00DA695D" w:rsidRPr="00F25744">
        <w:rPr>
          <w:rFonts w:cs="David" w:hint="cs"/>
          <w:sz w:val="24"/>
          <w:szCs w:val="24"/>
          <w:rtl/>
        </w:rPr>
        <w:t>8,857</w:t>
      </w:r>
      <w:r w:rsidRPr="00F25744">
        <w:rPr>
          <w:rFonts w:cs="David" w:hint="cs"/>
          <w:sz w:val="24"/>
          <w:szCs w:val="24"/>
          <w:rtl/>
        </w:rPr>
        <w:t xml:space="preserve"> שורות שנאספו מיומני הקלדניות בתקופת המחקר, דהיינו קצת </w:t>
      </w:r>
      <w:r w:rsidR="00DA695D" w:rsidRPr="00F25744">
        <w:rPr>
          <w:rFonts w:cs="David" w:hint="cs"/>
          <w:sz w:val="24"/>
          <w:szCs w:val="24"/>
          <w:rtl/>
        </w:rPr>
        <w:t xml:space="preserve">יותר </w:t>
      </w:r>
      <w:r w:rsidRPr="00F25744">
        <w:rPr>
          <w:rFonts w:cs="David" w:hint="cs"/>
          <w:sz w:val="24"/>
          <w:szCs w:val="24"/>
          <w:rtl/>
        </w:rPr>
        <w:t>מ-6% מהשורות. חשוב להדגיש, כי אין בהשמטת שורות אלו כדי לפגום במהימנות ובדיוק ממצאי המחקר, נוכח הכמות העצומה וחסרת התקדים של הנתונים התקינים שנאספו.</w:t>
      </w:r>
    </w:p>
    <w:p w14:paraId="4B988F59" w14:textId="05116A16" w:rsidR="006227EC" w:rsidRPr="00F25744" w:rsidRDefault="00E25AE7" w:rsidP="00294AA1">
      <w:pPr>
        <w:spacing w:before="120" w:after="0" w:line="360" w:lineRule="auto"/>
        <w:jc w:val="both"/>
        <w:rPr>
          <w:rFonts w:cs="David"/>
          <w:sz w:val="24"/>
          <w:szCs w:val="24"/>
          <w:rtl/>
        </w:rPr>
      </w:pPr>
      <w:r w:rsidRPr="00F25744">
        <w:rPr>
          <w:rFonts w:cs="David" w:hint="cs"/>
          <w:sz w:val="24"/>
          <w:szCs w:val="24"/>
          <w:rtl/>
        </w:rPr>
        <w:t xml:space="preserve">עוד נציין, כי לאחר כשבועיים ממועד תחילת תקופת המחקר, נאלצנו להתמודד עם </w:t>
      </w:r>
      <w:r w:rsidR="00294AA1" w:rsidRPr="00294AA1">
        <w:rPr>
          <w:rFonts w:cs="David" w:hint="cs"/>
          <w:sz w:val="24"/>
          <w:szCs w:val="24"/>
          <w:rtl/>
        </w:rPr>
        <w:t>עיצומים</w:t>
      </w:r>
      <w:r w:rsidRPr="00F25744">
        <w:rPr>
          <w:rFonts w:cs="David" w:hint="cs"/>
          <w:sz w:val="24"/>
          <w:szCs w:val="24"/>
          <w:rtl/>
        </w:rPr>
        <w:t xml:space="preserve"> של הקלדניות בכל הנוגע למילוי יומני המחקר, אשר נמשכ</w:t>
      </w:r>
      <w:r w:rsidR="00294AA1">
        <w:rPr>
          <w:rFonts w:cs="David" w:hint="cs"/>
          <w:sz w:val="24"/>
          <w:szCs w:val="24"/>
          <w:rtl/>
        </w:rPr>
        <w:t>ו</w:t>
      </w:r>
      <w:r w:rsidRPr="00F25744">
        <w:rPr>
          <w:rFonts w:cs="David" w:hint="cs"/>
          <w:sz w:val="24"/>
          <w:szCs w:val="24"/>
          <w:rtl/>
        </w:rPr>
        <w:t xml:space="preserve"> מספר ימים</w:t>
      </w:r>
      <w:r w:rsidR="00051E7F" w:rsidRPr="00F25744">
        <w:rPr>
          <w:rFonts w:cs="David" w:hint="cs"/>
          <w:sz w:val="24"/>
          <w:szCs w:val="24"/>
          <w:rtl/>
        </w:rPr>
        <w:t>.</w:t>
      </w:r>
      <w:r w:rsidRPr="00F25744">
        <w:rPr>
          <w:rFonts w:cs="David" w:hint="cs"/>
          <w:sz w:val="24"/>
          <w:szCs w:val="24"/>
          <w:rtl/>
        </w:rPr>
        <w:t xml:space="preserve"> על כן, חסרו לנו נתוני דיונים על מספר ימים, אשר רובם היו בסוף השבוע השני למחקר. עם זאת, לאור כמות הנתונים העצומה אשר </w:t>
      </w:r>
      <w:r w:rsidRPr="00F25744">
        <w:rPr>
          <w:rFonts w:cs="David" w:hint="cs"/>
          <w:sz w:val="24"/>
          <w:szCs w:val="24"/>
          <w:rtl/>
        </w:rPr>
        <w:lastRenderedPageBreak/>
        <w:t xml:space="preserve">נאספה מיומני הקלדניות בתקופת המחקר, ומשרוב ימי </w:t>
      </w:r>
      <w:r w:rsidR="00294AA1">
        <w:rPr>
          <w:rFonts w:cs="David" w:hint="cs"/>
          <w:sz w:val="24"/>
          <w:szCs w:val="24"/>
          <w:rtl/>
        </w:rPr>
        <w:t>העיצומים</w:t>
      </w:r>
      <w:r w:rsidRPr="00F25744">
        <w:rPr>
          <w:rFonts w:cs="David" w:hint="cs"/>
          <w:sz w:val="24"/>
          <w:szCs w:val="24"/>
          <w:rtl/>
        </w:rPr>
        <w:t xml:space="preserve"> חלו בסוף השבוע, לא מצאנו כי יש בחוסר מסוים זה כדי לפגוע במהימנות הנתונים או בדיוקם.</w:t>
      </w:r>
    </w:p>
    <w:p w14:paraId="36C02844" w14:textId="77777777" w:rsidR="004B0FC6" w:rsidRPr="00F25744" w:rsidRDefault="004B0FC6" w:rsidP="00BD23BB">
      <w:pPr>
        <w:spacing w:after="0" w:line="240" w:lineRule="auto"/>
        <w:jc w:val="both"/>
        <w:rPr>
          <w:rFonts w:cs="David"/>
          <w:sz w:val="24"/>
          <w:szCs w:val="24"/>
          <w:rtl/>
        </w:rPr>
      </w:pPr>
    </w:p>
    <w:p w14:paraId="04D597DE" w14:textId="77777777" w:rsidR="006227EC" w:rsidRPr="00F25744" w:rsidRDefault="004162BA" w:rsidP="00A54D82">
      <w:pPr>
        <w:pStyle w:val="4"/>
        <w:ind w:left="994"/>
        <w:rPr>
          <w:rtl/>
        </w:rPr>
      </w:pPr>
      <w:bookmarkStart w:id="265" w:name="_Toc46226045"/>
      <w:bookmarkStart w:id="266" w:name="_Toc46226189"/>
      <w:bookmarkStart w:id="267" w:name="_Toc46228356"/>
      <w:bookmarkStart w:id="268" w:name="_Toc46228454"/>
      <w:bookmarkStart w:id="269" w:name="_Toc46230381"/>
      <w:bookmarkStart w:id="270" w:name="_Toc46230479"/>
      <w:bookmarkStart w:id="271" w:name="_Toc46310369"/>
      <w:bookmarkStart w:id="272" w:name="_Toc46414011"/>
      <w:r w:rsidRPr="00F25744">
        <w:rPr>
          <w:rFonts w:hint="cs"/>
          <w:rtl/>
        </w:rPr>
        <w:t xml:space="preserve"> </w:t>
      </w:r>
      <w:bookmarkStart w:id="273" w:name="_Toc74750971"/>
      <w:r w:rsidR="00E25AE7" w:rsidRPr="00F25744">
        <w:rPr>
          <w:rFonts w:hint="cs"/>
          <w:rtl/>
        </w:rPr>
        <w:t>ניתוח הנתונים</w:t>
      </w:r>
      <w:bookmarkEnd w:id="265"/>
      <w:bookmarkEnd w:id="266"/>
      <w:bookmarkEnd w:id="267"/>
      <w:bookmarkEnd w:id="268"/>
      <w:bookmarkEnd w:id="269"/>
      <w:bookmarkEnd w:id="270"/>
      <w:bookmarkEnd w:id="271"/>
      <w:bookmarkEnd w:id="272"/>
      <w:bookmarkEnd w:id="273"/>
    </w:p>
    <w:p w14:paraId="112FC6FD" w14:textId="1DBF5A96" w:rsidR="006227EC" w:rsidRPr="00F25744" w:rsidRDefault="00E25AE7" w:rsidP="0076770E">
      <w:pPr>
        <w:spacing w:before="120" w:after="0" w:line="360" w:lineRule="auto"/>
        <w:jc w:val="both"/>
        <w:rPr>
          <w:rFonts w:cs="David"/>
          <w:sz w:val="24"/>
          <w:szCs w:val="24"/>
          <w:rtl/>
        </w:rPr>
      </w:pPr>
      <w:r w:rsidRPr="00F25744">
        <w:rPr>
          <w:rFonts w:cs="David" w:hint="cs"/>
          <w:sz w:val="24"/>
          <w:szCs w:val="24"/>
          <w:rtl/>
        </w:rPr>
        <w:t xml:space="preserve">את הנתונים שנאספו במסגרת יומני הקלדניות קיבצה מחלקת המחקר לטבלת אקסל אחת, אשר חולקה לאחר מכן לערכאות ולסוגי התיקים השונים בכל ערכאה, במטרה למצוא את זמני הדיונים השונים בכל אחד מסוגי התיקים. מנתונים אלו חילצנו את </w:t>
      </w:r>
      <w:r w:rsidRPr="00F25744">
        <w:rPr>
          <w:rFonts w:cs="David" w:hint="cs"/>
          <w:b/>
          <w:bCs/>
          <w:sz w:val="24"/>
          <w:szCs w:val="24"/>
          <w:rtl/>
        </w:rPr>
        <w:t>ממוצעי</w:t>
      </w:r>
      <w:r w:rsidRPr="00F25744">
        <w:rPr>
          <w:rFonts w:cs="David" w:hint="cs"/>
          <w:sz w:val="24"/>
          <w:szCs w:val="24"/>
          <w:rtl/>
        </w:rPr>
        <w:t xml:space="preserve"> זמני הדיונים השונים (הוכחות ודיונים אחרים) ונתונים נוספים כמו זמני דיונים שהתקיימו בהרכב, דיונים שהוקלטו ועוד. </w:t>
      </w:r>
    </w:p>
    <w:p w14:paraId="70F1993F" w14:textId="77777777" w:rsidR="006227EC" w:rsidRPr="00F25744" w:rsidRDefault="006227EC" w:rsidP="006227EC">
      <w:pPr>
        <w:autoSpaceDE w:val="0"/>
        <w:autoSpaceDN w:val="0"/>
        <w:adjustRightInd w:val="0"/>
        <w:spacing w:after="0" w:line="240" w:lineRule="auto"/>
        <w:jc w:val="both"/>
        <w:rPr>
          <w:rFonts w:cs="David"/>
          <w:sz w:val="24"/>
          <w:szCs w:val="24"/>
        </w:rPr>
      </w:pPr>
    </w:p>
    <w:p w14:paraId="7F90EEB5" w14:textId="77777777" w:rsidR="006227EC" w:rsidRPr="00F25744" w:rsidRDefault="00BD23BB" w:rsidP="002010D3">
      <w:pPr>
        <w:pStyle w:val="2"/>
      </w:pPr>
      <w:bookmarkStart w:id="274" w:name="_Toc46226046"/>
      <w:bookmarkStart w:id="275" w:name="_Toc46226190"/>
      <w:bookmarkStart w:id="276" w:name="_Toc46228357"/>
      <w:bookmarkStart w:id="277" w:name="_Toc46228455"/>
      <w:bookmarkStart w:id="278" w:name="_Toc46230382"/>
      <w:bookmarkStart w:id="279" w:name="_Toc46230480"/>
      <w:bookmarkStart w:id="280" w:name="_Toc46310370"/>
      <w:bookmarkStart w:id="281" w:name="_Toc46414012"/>
      <w:bookmarkStart w:id="282" w:name="_Toc49352748"/>
      <w:bookmarkStart w:id="283" w:name="_Toc49429653"/>
      <w:bookmarkStart w:id="284" w:name="_Toc49435882"/>
      <w:r w:rsidRPr="00F25744">
        <w:rPr>
          <w:rFonts w:hint="cs"/>
          <w:u w:val="none"/>
          <w:rtl/>
        </w:rPr>
        <w:t xml:space="preserve"> </w:t>
      </w:r>
      <w:bookmarkStart w:id="285" w:name="_Toc74750972"/>
      <w:r w:rsidR="00E25AE7" w:rsidRPr="00F25744">
        <w:rPr>
          <w:rFonts w:hint="cs"/>
          <w:rtl/>
        </w:rPr>
        <w:t>מחקר סיבות סגירה: ביצוע בדיקות מדגמיות לבחינת סיבות סגירה של סוגי תיקים שונים</w:t>
      </w:r>
      <w:bookmarkEnd w:id="274"/>
      <w:bookmarkEnd w:id="275"/>
      <w:bookmarkEnd w:id="276"/>
      <w:bookmarkEnd w:id="277"/>
      <w:bookmarkEnd w:id="278"/>
      <w:bookmarkEnd w:id="279"/>
      <w:bookmarkEnd w:id="280"/>
      <w:bookmarkEnd w:id="281"/>
      <w:bookmarkEnd w:id="282"/>
      <w:bookmarkEnd w:id="283"/>
      <w:bookmarkEnd w:id="284"/>
      <w:bookmarkEnd w:id="285"/>
    </w:p>
    <w:p w14:paraId="76229A73" w14:textId="77777777" w:rsidR="006227EC" w:rsidRPr="00F25744" w:rsidRDefault="00E25AE7" w:rsidP="00BD23BB">
      <w:pPr>
        <w:autoSpaceDE w:val="0"/>
        <w:autoSpaceDN w:val="0"/>
        <w:adjustRightInd w:val="0"/>
        <w:spacing w:before="120" w:after="0" w:line="360" w:lineRule="auto"/>
        <w:jc w:val="both"/>
        <w:rPr>
          <w:rFonts w:cs="David"/>
          <w:sz w:val="24"/>
          <w:szCs w:val="24"/>
        </w:rPr>
      </w:pPr>
      <w:r w:rsidRPr="00F25744">
        <w:rPr>
          <w:rFonts w:cs="David" w:hint="cs"/>
          <w:sz w:val="24"/>
          <w:szCs w:val="24"/>
          <w:rtl/>
        </w:rPr>
        <w:t xml:space="preserve">עוד טרם ביצוע </w:t>
      </w:r>
      <w:r w:rsidR="00F51267" w:rsidRPr="00F25744">
        <w:rPr>
          <w:rFonts w:cs="David" w:hint="cs"/>
          <w:sz w:val="24"/>
          <w:szCs w:val="24"/>
          <w:rtl/>
        </w:rPr>
        <w:t xml:space="preserve">מחקר </w:t>
      </w:r>
      <w:r w:rsidRPr="00F25744">
        <w:rPr>
          <w:rFonts w:cs="David" w:hint="cs"/>
          <w:sz w:val="24"/>
          <w:szCs w:val="24"/>
          <w:rtl/>
        </w:rPr>
        <w:t>בתי הדין לעבודה, הקימה מחלקת המחקר מערך מחקר</w:t>
      </w:r>
      <w:r w:rsidR="00F51267" w:rsidRPr="00F25744">
        <w:rPr>
          <w:rFonts w:cs="David" w:hint="cs"/>
          <w:sz w:val="24"/>
          <w:szCs w:val="24"/>
          <w:rtl/>
        </w:rPr>
        <w:t>י</w:t>
      </w:r>
      <w:r w:rsidRPr="00F25744">
        <w:rPr>
          <w:rFonts w:cs="David" w:hint="cs"/>
          <w:sz w:val="24"/>
          <w:szCs w:val="24"/>
          <w:rtl/>
        </w:rPr>
        <w:t xml:space="preserve"> לצורך חישוב ההסתברות להכרעה בפסקי דין מסוגים שונים בכל סוג של תיק. זאת, לאחר שמחלקת המחקר נוכחה לדעת כי בעיית המהימנות המובנית בחילוץ הנתונים הרלבנטיים ממערכת נט המשפט לא השתפרה דיה מאז המחקר הקודם. בעיית מהימנות זו נובעת משתי סיבות עיקריות: הראשונה </w:t>
      </w:r>
      <w:r w:rsidRPr="00F25744">
        <w:rPr>
          <w:rFonts w:cs="David"/>
          <w:sz w:val="24"/>
          <w:szCs w:val="24"/>
          <w:rtl/>
        </w:rPr>
        <w:t>–</w:t>
      </w:r>
      <w:r w:rsidRPr="00F25744">
        <w:rPr>
          <w:rFonts w:cs="David" w:hint="cs"/>
          <w:sz w:val="24"/>
          <w:szCs w:val="24"/>
          <w:rtl/>
        </w:rPr>
        <w:t xml:space="preserve"> סיווג פסקי הדין נעשה בידי צוות המזכירויות של בתי המשפט, בדרך כלל ללא מעורבות של עובד בעל ידע והשכלה משפטיים מתאימים, כאשר עובדי המזכירות אינם מוסמכים להפעיל שיקול דעת שיפוטי בשאלת סיווג סיבות הסגירה. לכן, כאשר סיווג פסק הדין מצריך קריאה וניתוח משפטי שלו, צוות המזכירויות נעדר את הכלים הדרושים לסיווג משפטי מדויק של פסק הדין</w:t>
      </w:r>
      <w:r w:rsidR="00640A5A" w:rsidRPr="00F25744">
        <w:rPr>
          <w:rFonts w:cs="David" w:hint="cs"/>
          <w:sz w:val="24"/>
          <w:szCs w:val="24"/>
          <w:rtl/>
        </w:rPr>
        <w:t>.</w:t>
      </w:r>
      <w:r w:rsidRPr="00F25744">
        <w:rPr>
          <w:rFonts w:cs="David" w:hint="cs"/>
          <w:sz w:val="24"/>
          <w:szCs w:val="24"/>
          <w:rtl/>
        </w:rPr>
        <w:t xml:space="preserve"> כתוצאה מכך</w:t>
      </w:r>
      <w:r w:rsidR="00640A5A" w:rsidRPr="00F25744">
        <w:rPr>
          <w:rFonts w:cs="David" w:hint="cs"/>
          <w:sz w:val="24"/>
          <w:szCs w:val="24"/>
          <w:rtl/>
        </w:rPr>
        <w:t>,</w:t>
      </w:r>
      <w:r w:rsidRPr="00F25744">
        <w:rPr>
          <w:rFonts w:cs="David" w:hint="cs"/>
          <w:sz w:val="24"/>
          <w:szCs w:val="24"/>
          <w:rtl/>
        </w:rPr>
        <w:t xml:space="preserve"> במקרים רבים נבחר במערכת נט המשפט סיווג הסל: "פסק דין/החלטה". כך לא ניתן לדעת את הסיווג הנכון של פסק הדין</w:t>
      </w:r>
      <w:r w:rsidR="00AA417A" w:rsidRPr="00F25744">
        <w:rPr>
          <w:rFonts w:cs="David" w:hint="cs"/>
          <w:sz w:val="24"/>
          <w:szCs w:val="24"/>
          <w:rtl/>
        </w:rPr>
        <w:t xml:space="preserve">; </w:t>
      </w:r>
      <w:r w:rsidRPr="00F25744">
        <w:rPr>
          <w:rFonts w:cs="David" w:hint="cs"/>
          <w:sz w:val="24"/>
          <w:szCs w:val="24"/>
          <w:rtl/>
        </w:rPr>
        <w:t>השנייה</w:t>
      </w:r>
      <w:r w:rsidRPr="00F25744">
        <w:rPr>
          <w:rFonts w:cs="David" w:hint="cs"/>
          <w:b/>
          <w:bCs/>
          <w:sz w:val="24"/>
          <w:szCs w:val="24"/>
          <w:rtl/>
        </w:rPr>
        <w:t xml:space="preserve"> </w:t>
      </w:r>
      <w:r w:rsidRPr="00F25744">
        <w:rPr>
          <w:rFonts w:cs="David"/>
          <w:sz w:val="24"/>
          <w:szCs w:val="24"/>
          <w:rtl/>
        </w:rPr>
        <w:t>–</w:t>
      </w:r>
      <w:r w:rsidRPr="00F25744">
        <w:rPr>
          <w:rFonts w:cs="David" w:hint="cs"/>
          <w:sz w:val="24"/>
          <w:szCs w:val="24"/>
          <w:rtl/>
        </w:rPr>
        <w:t xml:space="preserve"> הרשימה הארוכה של סוגי פסקי הדין במערכת נט המשפט מקשה מאד על הסיווג הנכון, משום שהיא מכילה סוגים רבים של סיווגים, שחלקם חוזרים על עצמם או חופפים, חלקם עמומים ואינם מובנים, ובמקרים מסוימים </w:t>
      </w:r>
      <w:r w:rsidR="00640A5A" w:rsidRPr="00F25744">
        <w:rPr>
          <w:rFonts w:cs="David" w:hint="cs"/>
          <w:sz w:val="24"/>
          <w:szCs w:val="24"/>
          <w:rtl/>
        </w:rPr>
        <w:t xml:space="preserve">ישנם </w:t>
      </w:r>
      <w:r w:rsidRPr="00F25744">
        <w:rPr>
          <w:rFonts w:cs="David" w:hint="cs"/>
          <w:sz w:val="24"/>
          <w:szCs w:val="24"/>
          <w:rtl/>
        </w:rPr>
        <w:t>סיווגים שאינם קיימים בפועל. כתוצאה מכך נעשה לעתים קרובות ערבוב בין שדה "סיווג פסק הדין" לשדה "תוצאת פסק הדין", באופן שאינו מאפשר הפקת נתונים מהימנים בעניין זה ממערכת נט המשפט.</w:t>
      </w:r>
    </w:p>
    <w:p w14:paraId="288C21FE" w14:textId="77777777" w:rsidR="001E592B" w:rsidRPr="00F25744" w:rsidRDefault="00E25AE7" w:rsidP="00BD23BB">
      <w:pPr>
        <w:autoSpaceDE w:val="0"/>
        <w:autoSpaceDN w:val="0"/>
        <w:adjustRightInd w:val="0"/>
        <w:spacing w:before="120" w:after="0" w:line="360" w:lineRule="auto"/>
        <w:jc w:val="both"/>
        <w:rPr>
          <w:rFonts w:cs="David"/>
          <w:sz w:val="24"/>
          <w:szCs w:val="24"/>
          <w:rtl/>
        </w:rPr>
      </w:pPr>
      <w:r w:rsidRPr="00F25744">
        <w:rPr>
          <w:rFonts w:cs="David" w:hint="cs"/>
          <w:sz w:val="24"/>
          <w:szCs w:val="24"/>
          <w:rtl/>
        </w:rPr>
        <w:t>נוכח האמור נדרשה מחלקת המחקר לבצע ניתוח איכותני של מדגמים מייצגים של סוגי פסקי הדין השונים בסוגי התיקים השונים</w:t>
      </w:r>
      <w:r w:rsidR="00856268" w:rsidRPr="00F25744">
        <w:rPr>
          <w:rFonts w:cs="David" w:hint="cs"/>
          <w:sz w:val="24"/>
          <w:szCs w:val="24"/>
          <w:rtl/>
        </w:rPr>
        <w:t>.</w:t>
      </w:r>
      <w:r w:rsidRPr="00F25744">
        <w:rPr>
          <w:rStyle w:val="a6"/>
          <w:rFonts w:cs="David"/>
          <w:sz w:val="24"/>
          <w:szCs w:val="24"/>
          <w:rtl/>
        </w:rPr>
        <w:footnoteReference w:id="19"/>
      </w:r>
      <w:r w:rsidRPr="00F25744">
        <w:rPr>
          <w:rFonts w:cs="David" w:hint="cs"/>
          <w:sz w:val="24"/>
          <w:szCs w:val="24"/>
          <w:rtl/>
        </w:rPr>
        <w:t xml:space="preserve"> </w:t>
      </w:r>
    </w:p>
    <w:p w14:paraId="2300DCA0" w14:textId="77777777" w:rsidR="006227EC" w:rsidRPr="00F25744" w:rsidRDefault="00E25AE7" w:rsidP="00BD23BB">
      <w:pPr>
        <w:autoSpaceDE w:val="0"/>
        <w:autoSpaceDN w:val="0"/>
        <w:adjustRightInd w:val="0"/>
        <w:spacing w:before="120" w:after="0" w:line="360" w:lineRule="auto"/>
        <w:jc w:val="both"/>
        <w:rPr>
          <w:rFonts w:cs="David"/>
          <w:sz w:val="24"/>
          <w:szCs w:val="24"/>
          <w:rtl/>
        </w:rPr>
      </w:pPr>
      <w:r w:rsidRPr="00F25744">
        <w:rPr>
          <w:rFonts w:cs="David" w:hint="cs"/>
          <w:sz w:val="24"/>
          <w:szCs w:val="24"/>
          <w:rtl/>
        </w:rPr>
        <w:t>ההנחה הייתה</w:t>
      </w:r>
      <w:r w:rsidR="0003242A" w:rsidRPr="00F25744">
        <w:rPr>
          <w:rFonts w:cs="David" w:hint="cs"/>
          <w:sz w:val="24"/>
          <w:szCs w:val="24"/>
          <w:rtl/>
        </w:rPr>
        <w:t>,</w:t>
      </w:r>
      <w:r w:rsidRPr="00F25744">
        <w:rPr>
          <w:rFonts w:cs="David" w:hint="cs"/>
          <w:sz w:val="24"/>
          <w:szCs w:val="24"/>
          <w:rtl/>
        </w:rPr>
        <w:t xml:space="preserve"> כי לכל סוג של פסק דין נדרש פרק זמן שונה לשם כתיבתו</w:t>
      </w:r>
      <w:r w:rsidR="007602A5" w:rsidRPr="00F25744">
        <w:rPr>
          <w:rFonts w:cs="David" w:hint="cs"/>
          <w:sz w:val="24"/>
          <w:szCs w:val="24"/>
          <w:rtl/>
        </w:rPr>
        <w:t>. כך למשל,</w:t>
      </w:r>
      <w:r w:rsidRPr="00F25744">
        <w:rPr>
          <w:rFonts w:cs="David" w:hint="cs"/>
          <w:sz w:val="24"/>
          <w:szCs w:val="24"/>
          <w:rtl/>
        </w:rPr>
        <w:t xml:space="preserve"> כתיבת פסק דין המורה על מחיקה מחמת חוסר מעש או מסיבה טכנית אחרת אורכת זמן קצר יותר בהשוואה לכתיבת פסק דין הנותן תוקף לפשרה שאליה הגיעו הצדדים, וכתיבת פסק דין על פי ס' 79א</w:t>
      </w:r>
      <w:r w:rsidR="00640A5A" w:rsidRPr="00F25744">
        <w:rPr>
          <w:rFonts w:cs="David" w:hint="cs"/>
          <w:sz w:val="24"/>
          <w:szCs w:val="24"/>
          <w:rtl/>
        </w:rPr>
        <w:t xml:space="preserve"> </w:t>
      </w:r>
      <w:r w:rsidRPr="00F25744">
        <w:rPr>
          <w:rFonts w:cs="David" w:hint="cs"/>
          <w:sz w:val="24"/>
          <w:szCs w:val="24"/>
          <w:rtl/>
        </w:rPr>
        <w:t>לחוק בתי המשפט</w:t>
      </w:r>
      <w:r w:rsidR="006F6245" w:rsidRPr="00F25744">
        <w:rPr>
          <w:rFonts w:cs="David" w:hint="cs"/>
          <w:sz w:val="24"/>
          <w:szCs w:val="24"/>
          <w:rtl/>
        </w:rPr>
        <w:t xml:space="preserve"> אורכת זמן קצר יותר </w:t>
      </w:r>
      <w:r w:rsidRPr="00F25744">
        <w:rPr>
          <w:rFonts w:cs="David" w:hint="cs"/>
          <w:sz w:val="24"/>
          <w:szCs w:val="24"/>
          <w:rtl/>
        </w:rPr>
        <w:t>לעומת כתיבת פסק דין מנומק, ללא הסכמות קודמות, אשר כתיבתו תארך פרק הזמן הארוך ביותר.</w:t>
      </w:r>
    </w:p>
    <w:p w14:paraId="731CA74F" w14:textId="77777777" w:rsidR="006227EC" w:rsidRPr="00F25744" w:rsidRDefault="00E25AE7" w:rsidP="004E7786">
      <w:pPr>
        <w:autoSpaceDE w:val="0"/>
        <w:autoSpaceDN w:val="0"/>
        <w:adjustRightInd w:val="0"/>
        <w:spacing w:before="120" w:after="0" w:line="360" w:lineRule="auto"/>
        <w:jc w:val="both"/>
        <w:rPr>
          <w:rFonts w:ascii="David" w:cs="David"/>
          <w:sz w:val="24"/>
          <w:szCs w:val="24"/>
          <w:rtl/>
        </w:rPr>
      </w:pPr>
      <w:r w:rsidRPr="00F25744">
        <w:rPr>
          <w:rFonts w:cs="David" w:hint="cs"/>
          <w:sz w:val="24"/>
          <w:szCs w:val="24"/>
          <w:rtl/>
        </w:rPr>
        <w:lastRenderedPageBreak/>
        <w:t xml:space="preserve">לצורך העניין, </w:t>
      </w:r>
      <w:r w:rsidRPr="00F25744">
        <w:rPr>
          <w:rFonts w:ascii="David" w:cs="David" w:hint="cs"/>
          <w:sz w:val="24"/>
          <w:szCs w:val="24"/>
          <w:rtl/>
        </w:rPr>
        <w:t>הוחלט לשמר במסגרת המדד</w:t>
      </w:r>
      <w:r w:rsidRPr="00F25744">
        <w:rPr>
          <w:rFonts w:ascii="David" w:cs="David"/>
          <w:sz w:val="24"/>
          <w:szCs w:val="24"/>
        </w:rPr>
        <w:t xml:space="preserve"> </w:t>
      </w:r>
      <w:r w:rsidRPr="00F25744">
        <w:rPr>
          <w:rFonts w:ascii="David" w:cs="David" w:hint="cs"/>
          <w:sz w:val="24"/>
          <w:szCs w:val="24"/>
          <w:rtl/>
        </w:rPr>
        <w:t>המחודש את</w:t>
      </w:r>
      <w:r w:rsidR="004E7786" w:rsidRPr="00F25744">
        <w:rPr>
          <w:rFonts w:ascii="David" w:cs="David" w:hint="cs"/>
          <w:sz w:val="24"/>
          <w:szCs w:val="24"/>
          <w:rtl/>
        </w:rPr>
        <w:t xml:space="preserve"> הסיווג</w:t>
      </w:r>
      <w:r w:rsidRPr="00F25744">
        <w:rPr>
          <w:rFonts w:ascii="David" w:cs="David"/>
          <w:sz w:val="24"/>
          <w:szCs w:val="24"/>
        </w:rPr>
        <w:t xml:space="preserve"> </w:t>
      </w:r>
      <w:r w:rsidRPr="00F25744">
        <w:rPr>
          <w:rFonts w:ascii="David" w:cs="David" w:hint="cs"/>
          <w:sz w:val="24"/>
          <w:szCs w:val="24"/>
          <w:rtl/>
        </w:rPr>
        <w:t>ממדד</w:t>
      </w:r>
      <w:r w:rsidRPr="00F25744">
        <w:rPr>
          <w:rFonts w:ascii="David" w:cs="David"/>
          <w:sz w:val="24"/>
          <w:szCs w:val="24"/>
        </w:rPr>
        <w:t xml:space="preserve"> </w:t>
      </w:r>
      <w:r w:rsidRPr="00F25744">
        <w:rPr>
          <w:rFonts w:ascii="David" w:cs="David" w:hint="cs"/>
          <w:sz w:val="24"/>
          <w:szCs w:val="24"/>
          <w:rtl/>
        </w:rPr>
        <w:t xml:space="preserve">המשקלות הקודם, אשר פילח את פסקי הדין בהליכים </w:t>
      </w:r>
      <w:r w:rsidRPr="00F25744">
        <w:rPr>
          <w:rFonts w:ascii="David" w:cs="David" w:hint="cs"/>
          <w:b/>
          <w:bCs/>
          <w:sz w:val="24"/>
          <w:szCs w:val="24"/>
          <w:rtl/>
        </w:rPr>
        <w:t>האזרחיים</w:t>
      </w:r>
      <w:r w:rsidRPr="00F25744">
        <w:rPr>
          <w:rFonts w:ascii="David" w:cs="David" w:hint="cs"/>
          <w:sz w:val="24"/>
          <w:szCs w:val="24"/>
          <w:rtl/>
        </w:rPr>
        <w:t xml:space="preserve"> לארבע קבוצות:</w:t>
      </w:r>
    </w:p>
    <w:p w14:paraId="2D4B82F4" w14:textId="77777777" w:rsidR="006227EC" w:rsidRPr="00F25744" w:rsidRDefault="00E25AE7" w:rsidP="001F37CE">
      <w:pPr>
        <w:numPr>
          <w:ilvl w:val="0"/>
          <w:numId w:val="13"/>
        </w:numPr>
        <w:autoSpaceDE w:val="0"/>
        <w:autoSpaceDN w:val="0"/>
        <w:adjustRightInd w:val="0"/>
        <w:spacing w:after="0" w:line="360" w:lineRule="auto"/>
        <w:ind w:left="425" w:hanging="425"/>
        <w:jc w:val="both"/>
        <w:rPr>
          <w:rFonts w:ascii="David" w:cs="David"/>
          <w:sz w:val="24"/>
          <w:szCs w:val="24"/>
        </w:rPr>
      </w:pPr>
      <w:r w:rsidRPr="00F25744">
        <w:rPr>
          <w:rFonts w:ascii="David" w:cs="David" w:hint="cs"/>
          <w:b/>
          <w:bCs/>
          <w:sz w:val="24"/>
          <w:szCs w:val="24"/>
          <w:rtl/>
        </w:rPr>
        <w:t>פסקי דין מנומקים</w:t>
      </w:r>
      <w:r w:rsidRPr="00F25744">
        <w:rPr>
          <w:rFonts w:ascii="David" w:cs="David" w:hint="cs"/>
          <w:sz w:val="24"/>
          <w:szCs w:val="24"/>
          <w:rtl/>
        </w:rPr>
        <w:t>, שניתנו על סמך טיעון או הוכחות, מבלי שקדמה להם הסכמה של הצדדים. בקבוצה זו נכללו גם פסקי דין שניתנו בהעדר הגנה/ בהעדר התייצבות,</w:t>
      </w:r>
      <w:r w:rsidRPr="00F25744">
        <w:rPr>
          <w:rStyle w:val="a6"/>
          <w:rFonts w:ascii="David" w:cs="David"/>
          <w:sz w:val="24"/>
          <w:szCs w:val="24"/>
          <w:rtl/>
        </w:rPr>
        <w:footnoteReference w:id="20"/>
      </w:r>
      <w:r w:rsidRPr="00F25744">
        <w:rPr>
          <w:rFonts w:ascii="David" w:cs="David" w:hint="cs"/>
          <w:sz w:val="24"/>
          <w:szCs w:val="24"/>
          <w:rtl/>
        </w:rPr>
        <w:t xml:space="preserve"> פסקי דין שניתנו מחמת העדר סמכות עניינית, וכל פסק דין אחר הכרוך בהכרעה מנומקת; </w:t>
      </w:r>
    </w:p>
    <w:p w14:paraId="44EB8ADB" w14:textId="77777777" w:rsidR="006227EC" w:rsidRPr="00F25744" w:rsidRDefault="00E25AE7" w:rsidP="001F37CE">
      <w:pPr>
        <w:numPr>
          <w:ilvl w:val="0"/>
          <w:numId w:val="13"/>
        </w:numPr>
        <w:autoSpaceDE w:val="0"/>
        <w:autoSpaceDN w:val="0"/>
        <w:adjustRightInd w:val="0"/>
        <w:spacing w:after="0" w:line="360" w:lineRule="auto"/>
        <w:ind w:left="425" w:hanging="425"/>
        <w:jc w:val="both"/>
        <w:rPr>
          <w:rFonts w:ascii="David" w:cs="David"/>
          <w:sz w:val="24"/>
          <w:szCs w:val="24"/>
        </w:rPr>
      </w:pPr>
      <w:r w:rsidRPr="00F25744">
        <w:rPr>
          <w:rFonts w:ascii="David" w:cs="David" w:hint="cs"/>
          <w:b/>
          <w:bCs/>
          <w:sz w:val="24"/>
          <w:szCs w:val="24"/>
          <w:rtl/>
        </w:rPr>
        <w:t>פסקי דין המעניקים תוקף להסכמות של הצדדים</w:t>
      </w:r>
      <w:r w:rsidRPr="00F25744">
        <w:rPr>
          <w:rFonts w:ascii="David" w:cs="David" w:hint="cs"/>
          <w:sz w:val="24"/>
          <w:szCs w:val="24"/>
          <w:rtl/>
        </w:rPr>
        <w:t>. בקבוצה זו נכללו גם פסקי דין המעניקים תוקף להסדרי גישור</w:t>
      </w:r>
      <w:r w:rsidR="00473837" w:rsidRPr="00F25744">
        <w:rPr>
          <w:rFonts w:ascii="David" w:cs="David" w:hint="cs"/>
          <w:sz w:val="24"/>
          <w:szCs w:val="24"/>
          <w:rtl/>
        </w:rPr>
        <w:t xml:space="preserve"> או פשרה</w:t>
      </w:r>
      <w:r w:rsidRPr="00F25744">
        <w:rPr>
          <w:rFonts w:ascii="David" w:cs="David" w:hint="cs"/>
          <w:sz w:val="24"/>
          <w:szCs w:val="24"/>
          <w:rtl/>
        </w:rPr>
        <w:t>, למחיקה או דחייה של תביעה בהעדר התנגדות ולהתליית הליכים;</w:t>
      </w:r>
    </w:p>
    <w:p w14:paraId="1B3AC096" w14:textId="77777777" w:rsidR="006227EC" w:rsidRPr="00F25744" w:rsidRDefault="00E25AE7" w:rsidP="001F37CE">
      <w:pPr>
        <w:numPr>
          <w:ilvl w:val="0"/>
          <w:numId w:val="13"/>
        </w:numPr>
        <w:autoSpaceDE w:val="0"/>
        <w:autoSpaceDN w:val="0"/>
        <w:adjustRightInd w:val="0"/>
        <w:spacing w:after="0" w:line="360" w:lineRule="auto"/>
        <w:ind w:left="425" w:hanging="425"/>
        <w:jc w:val="both"/>
        <w:rPr>
          <w:rFonts w:ascii="David" w:cs="David"/>
          <w:sz w:val="24"/>
          <w:szCs w:val="24"/>
        </w:rPr>
      </w:pPr>
      <w:r w:rsidRPr="00F25744">
        <w:rPr>
          <w:rFonts w:ascii="David" w:cs="David" w:hint="cs"/>
          <w:b/>
          <w:bCs/>
          <w:sz w:val="24"/>
          <w:szCs w:val="24"/>
          <w:rtl/>
        </w:rPr>
        <w:t xml:space="preserve">פסקי דין המוחקים את התביעה </w:t>
      </w:r>
      <w:r w:rsidRPr="00F25744">
        <w:rPr>
          <w:rFonts w:ascii="David" w:cs="David" w:hint="cs"/>
          <w:sz w:val="24"/>
          <w:szCs w:val="24"/>
          <w:rtl/>
        </w:rPr>
        <w:t>מחמת חוסר מעש, אי תשלום אגרה/ ערבון או כל סיבה טכנית אחרת;</w:t>
      </w:r>
    </w:p>
    <w:p w14:paraId="37FB09D8" w14:textId="77777777" w:rsidR="006227EC" w:rsidRPr="00F25744" w:rsidRDefault="00E25AE7" w:rsidP="001F37CE">
      <w:pPr>
        <w:numPr>
          <w:ilvl w:val="0"/>
          <w:numId w:val="13"/>
        </w:numPr>
        <w:autoSpaceDE w:val="0"/>
        <w:autoSpaceDN w:val="0"/>
        <w:adjustRightInd w:val="0"/>
        <w:spacing w:after="0" w:line="360" w:lineRule="auto"/>
        <w:ind w:left="425" w:hanging="425"/>
        <w:jc w:val="both"/>
        <w:rPr>
          <w:rFonts w:ascii="David" w:cs="David"/>
          <w:sz w:val="24"/>
          <w:szCs w:val="24"/>
        </w:rPr>
      </w:pPr>
      <w:r w:rsidRPr="00F25744">
        <w:rPr>
          <w:rFonts w:ascii="David" w:cs="David" w:hint="cs"/>
          <w:b/>
          <w:bCs/>
          <w:sz w:val="24"/>
          <w:szCs w:val="24"/>
          <w:rtl/>
        </w:rPr>
        <w:t xml:space="preserve">פסק דין על דרך הפשרה </w:t>
      </w:r>
      <w:r w:rsidRPr="00F25744">
        <w:rPr>
          <w:rFonts w:ascii="David" w:cs="David" w:hint="cs"/>
          <w:sz w:val="24"/>
          <w:szCs w:val="24"/>
          <w:rtl/>
        </w:rPr>
        <w:t>מכוח סעיף 79א לחוק בתי המשפט</w:t>
      </w:r>
      <w:r w:rsidR="00CB3AD9" w:rsidRPr="00F25744">
        <w:rPr>
          <w:rFonts w:ascii="David" w:cs="David" w:hint="cs"/>
          <w:sz w:val="24"/>
          <w:szCs w:val="24"/>
          <w:rtl/>
        </w:rPr>
        <w:t xml:space="preserve"> [נוסח משולב], התשמ"ד-1984</w:t>
      </w:r>
      <w:r w:rsidRPr="00F25744">
        <w:rPr>
          <w:rFonts w:ascii="David" w:cs="David" w:hint="cs"/>
          <w:sz w:val="24"/>
          <w:szCs w:val="24"/>
          <w:rtl/>
        </w:rPr>
        <w:t xml:space="preserve">. </w:t>
      </w:r>
    </w:p>
    <w:p w14:paraId="34B564A8" w14:textId="77777777" w:rsidR="006227EC" w:rsidRPr="00F25744" w:rsidRDefault="006227EC" w:rsidP="00BD23BB">
      <w:pPr>
        <w:autoSpaceDE w:val="0"/>
        <w:autoSpaceDN w:val="0"/>
        <w:adjustRightInd w:val="0"/>
        <w:spacing w:after="0" w:line="240" w:lineRule="auto"/>
        <w:jc w:val="both"/>
        <w:rPr>
          <w:rFonts w:cs="David"/>
          <w:sz w:val="24"/>
          <w:szCs w:val="24"/>
          <w:rtl/>
        </w:rPr>
      </w:pPr>
    </w:p>
    <w:p w14:paraId="2DE35BEC" w14:textId="77777777" w:rsidR="006227EC" w:rsidRPr="00F25744" w:rsidRDefault="00E25AE7" w:rsidP="006227EC">
      <w:pPr>
        <w:autoSpaceDE w:val="0"/>
        <w:autoSpaceDN w:val="0"/>
        <w:adjustRightInd w:val="0"/>
        <w:spacing w:after="0" w:line="360" w:lineRule="auto"/>
        <w:jc w:val="both"/>
        <w:rPr>
          <w:rFonts w:cs="David"/>
          <w:sz w:val="24"/>
          <w:szCs w:val="24"/>
          <w:rtl/>
        </w:rPr>
      </w:pPr>
      <w:r w:rsidRPr="00F25744">
        <w:rPr>
          <w:rFonts w:cs="David" w:hint="cs"/>
          <w:sz w:val="24"/>
          <w:szCs w:val="24"/>
          <w:rtl/>
        </w:rPr>
        <w:t xml:space="preserve">פסקי הדין בהליכים </w:t>
      </w:r>
      <w:r w:rsidRPr="00F25744">
        <w:rPr>
          <w:rFonts w:cs="David" w:hint="cs"/>
          <w:b/>
          <w:bCs/>
          <w:sz w:val="24"/>
          <w:szCs w:val="24"/>
          <w:rtl/>
        </w:rPr>
        <w:t>הפליליים</w:t>
      </w:r>
      <w:r w:rsidRPr="00F25744">
        <w:rPr>
          <w:rFonts w:cs="David" w:hint="cs"/>
          <w:sz w:val="24"/>
          <w:szCs w:val="24"/>
          <w:rtl/>
        </w:rPr>
        <w:t xml:space="preserve"> חולקו אף הם לארבע קבוצות:</w:t>
      </w:r>
    </w:p>
    <w:p w14:paraId="064A2CE0" w14:textId="77777777" w:rsidR="006227EC" w:rsidRPr="00F25744" w:rsidRDefault="00E25AE7" w:rsidP="001F37CE">
      <w:pPr>
        <w:numPr>
          <w:ilvl w:val="0"/>
          <w:numId w:val="14"/>
        </w:numPr>
        <w:autoSpaceDE w:val="0"/>
        <w:autoSpaceDN w:val="0"/>
        <w:adjustRightInd w:val="0"/>
        <w:spacing w:after="0" w:line="360" w:lineRule="auto"/>
        <w:ind w:left="425" w:hanging="425"/>
        <w:jc w:val="both"/>
        <w:rPr>
          <w:rFonts w:cs="David"/>
          <w:sz w:val="24"/>
          <w:szCs w:val="24"/>
        </w:rPr>
      </w:pPr>
      <w:r w:rsidRPr="00F25744">
        <w:rPr>
          <w:rFonts w:cs="David" w:hint="cs"/>
          <w:b/>
          <w:bCs/>
          <w:sz w:val="24"/>
          <w:szCs w:val="24"/>
          <w:rtl/>
        </w:rPr>
        <w:t>פסקי דין הכוללים הכרעת דין וגזר דין מנומקים</w:t>
      </w:r>
      <w:r w:rsidRPr="00F25744">
        <w:rPr>
          <w:rFonts w:cs="David" w:hint="cs"/>
          <w:sz w:val="24"/>
          <w:szCs w:val="24"/>
          <w:rtl/>
        </w:rPr>
        <w:t>, שלא קדמה להם הסכמה כלשהי;</w:t>
      </w:r>
    </w:p>
    <w:p w14:paraId="66A8536E" w14:textId="77777777" w:rsidR="006227EC" w:rsidRPr="00F25744" w:rsidRDefault="00E25AE7" w:rsidP="001F37CE">
      <w:pPr>
        <w:numPr>
          <w:ilvl w:val="0"/>
          <w:numId w:val="14"/>
        </w:numPr>
        <w:autoSpaceDE w:val="0"/>
        <w:autoSpaceDN w:val="0"/>
        <w:adjustRightInd w:val="0"/>
        <w:spacing w:after="0" w:line="360" w:lineRule="auto"/>
        <w:ind w:left="425" w:hanging="425"/>
        <w:jc w:val="both"/>
        <w:rPr>
          <w:rFonts w:cs="David"/>
          <w:sz w:val="24"/>
          <w:szCs w:val="24"/>
        </w:rPr>
      </w:pPr>
      <w:r w:rsidRPr="00F25744">
        <w:rPr>
          <w:rFonts w:cs="David" w:hint="cs"/>
          <w:b/>
          <w:bCs/>
          <w:sz w:val="24"/>
          <w:szCs w:val="24"/>
          <w:rtl/>
        </w:rPr>
        <w:t>פסקי דין המקנים תוקף להסדר טיעון סגור/מלא</w:t>
      </w:r>
      <w:r w:rsidRPr="00F25744">
        <w:rPr>
          <w:rFonts w:cs="David" w:hint="cs"/>
          <w:sz w:val="24"/>
          <w:szCs w:val="24"/>
          <w:rtl/>
        </w:rPr>
        <w:t>, לרבות להסכמה לביטול כתב האישום;</w:t>
      </w:r>
    </w:p>
    <w:p w14:paraId="62959CCB" w14:textId="77777777" w:rsidR="006227EC" w:rsidRPr="00F25744" w:rsidRDefault="00E25AE7" w:rsidP="001F37CE">
      <w:pPr>
        <w:numPr>
          <w:ilvl w:val="0"/>
          <w:numId w:val="14"/>
        </w:numPr>
        <w:autoSpaceDE w:val="0"/>
        <w:autoSpaceDN w:val="0"/>
        <w:adjustRightInd w:val="0"/>
        <w:spacing w:after="0" w:line="360" w:lineRule="auto"/>
        <w:ind w:left="425" w:hanging="425"/>
        <w:jc w:val="both"/>
        <w:rPr>
          <w:rFonts w:cs="David"/>
          <w:sz w:val="24"/>
          <w:szCs w:val="24"/>
        </w:rPr>
      </w:pPr>
      <w:r w:rsidRPr="00F25744">
        <w:rPr>
          <w:rFonts w:cs="David" w:hint="cs"/>
          <w:b/>
          <w:bCs/>
          <w:sz w:val="24"/>
          <w:szCs w:val="24"/>
          <w:rtl/>
        </w:rPr>
        <w:t>פסקי דין המורכבים מהכרעת דין על-פי הודאת נאשם וגזר דין מנומק, לרבות הסדר טיעון פתוח לעונש</w:t>
      </w:r>
      <w:r w:rsidR="007F3A52" w:rsidRPr="00F25744">
        <w:rPr>
          <w:rFonts w:cs="David" w:hint="cs"/>
          <w:sz w:val="24"/>
          <w:szCs w:val="24"/>
          <w:rtl/>
        </w:rPr>
        <w:t>;</w:t>
      </w:r>
    </w:p>
    <w:p w14:paraId="20ACFEED" w14:textId="77777777" w:rsidR="006227EC" w:rsidRPr="00F25744" w:rsidRDefault="00E25AE7" w:rsidP="001F37CE">
      <w:pPr>
        <w:numPr>
          <w:ilvl w:val="0"/>
          <w:numId w:val="14"/>
        </w:numPr>
        <w:autoSpaceDE w:val="0"/>
        <w:autoSpaceDN w:val="0"/>
        <w:adjustRightInd w:val="0"/>
        <w:spacing w:after="0" w:line="360" w:lineRule="auto"/>
        <w:ind w:left="425" w:hanging="425"/>
        <w:jc w:val="both"/>
        <w:rPr>
          <w:rFonts w:cs="David"/>
          <w:sz w:val="24"/>
          <w:szCs w:val="24"/>
          <w:rtl/>
        </w:rPr>
      </w:pPr>
      <w:r w:rsidRPr="00F25744">
        <w:rPr>
          <w:rFonts w:cs="David" w:hint="cs"/>
          <w:b/>
          <w:bCs/>
          <w:sz w:val="24"/>
          <w:szCs w:val="24"/>
          <w:rtl/>
        </w:rPr>
        <w:t>פסקי דין המורים על התליית הליכים או סגירה טכנית אחרת</w:t>
      </w:r>
      <w:r w:rsidR="0023679A" w:rsidRPr="00F25744">
        <w:rPr>
          <w:rFonts w:cs="David" w:hint="cs"/>
          <w:sz w:val="24"/>
          <w:szCs w:val="24"/>
          <w:rtl/>
        </w:rPr>
        <w:t>.</w:t>
      </w:r>
      <w:r w:rsidRPr="00F25744">
        <w:rPr>
          <w:rFonts w:cs="David" w:hint="cs"/>
          <w:sz w:val="24"/>
          <w:szCs w:val="24"/>
          <w:rtl/>
        </w:rPr>
        <w:t xml:space="preserve"> </w:t>
      </w:r>
    </w:p>
    <w:p w14:paraId="27BC8225" w14:textId="77777777" w:rsidR="006227EC" w:rsidRPr="00F25744" w:rsidRDefault="00E25AE7" w:rsidP="00BD23BB">
      <w:pPr>
        <w:autoSpaceDE w:val="0"/>
        <w:autoSpaceDN w:val="0"/>
        <w:adjustRightInd w:val="0"/>
        <w:spacing w:after="0" w:line="240" w:lineRule="auto"/>
        <w:jc w:val="both"/>
        <w:rPr>
          <w:rFonts w:ascii="David" w:cs="David"/>
          <w:sz w:val="24"/>
          <w:szCs w:val="24"/>
        </w:rPr>
      </w:pPr>
      <w:r w:rsidRPr="00F25744">
        <w:rPr>
          <w:rFonts w:ascii="David" w:cs="David"/>
          <w:sz w:val="24"/>
          <w:szCs w:val="24"/>
        </w:rPr>
        <w:t xml:space="preserve"> </w:t>
      </w:r>
    </w:p>
    <w:p w14:paraId="05D99A30" w14:textId="77777777" w:rsidR="0023679A" w:rsidRPr="00F25744" w:rsidRDefault="00E25AE7" w:rsidP="0023679A">
      <w:pPr>
        <w:autoSpaceDE w:val="0"/>
        <w:autoSpaceDN w:val="0"/>
        <w:adjustRightInd w:val="0"/>
        <w:spacing w:after="0" w:line="360" w:lineRule="auto"/>
        <w:jc w:val="both"/>
        <w:rPr>
          <w:rFonts w:cs="David"/>
          <w:sz w:val="24"/>
          <w:szCs w:val="24"/>
          <w:rtl/>
        </w:rPr>
      </w:pPr>
      <w:r w:rsidRPr="00F25744">
        <w:rPr>
          <w:rFonts w:cs="David" w:hint="cs"/>
          <w:sz w:val="24"/>
          <w:szCs w:val="24"/>
          <w:rtl/>
        </w:rPr>
        <w:t xml:space="preserve">מחלקת המחקר סיווגה את כל פסקי הדין שניתנו בתיקי המדגמים על פי הסיווגים המפורטים לעיל וציינה בנוגע לכל פסק דין באיזה סוג מסמך הוא ניתן (פסק דין במסמך עצמאי, פסק דין בפתקית או פסק דין בפרוטוקול). </w:t>
      </w:r>
    </w:p>
    <w:p w14:paraId="07FCE7A0" w14:textId="77777777" w:rsidR="006227EC" w:rsidRPr="00F25744" w:rsidRDefault="00E25AE7" w:rsidP="0060615E">
      <w:pPr>
        <w:autoSpaceDE w:val="0"/>
        <w:autoSpaceDN w:val="0"/>
        <w:adjustRightInd w:val="0"/>
        <w:spacing w:after="0" w:line="360" w:lineRule="auto"/>
        <w:jc w:val="both"/>
        <w:rPr>
          <w:rFonts w:cs="David"/>
          <w:sz w:val="24"/>
          <w:szCs w:val="24"/>
          <w:rtl/>
        </w:rPr>
      </w:pPr>
      <w:r w:rsidRPr="00F25744">
        <w:rPr>
          <w:rFonts w:cs="David" w:hint="cs"/>
          <w:sz w:val="24"/>
          <w:szCs w:val="24"/>
          <w:rtl/>
        </w:rPr>
        <w:t xml:space="preserve">על מנת לשקף </w:t>
      </w:r>
      <w:r w:rsidRPr="00F25744">
        <w:rPr>
          <w:rFonts w:ascii="David" w:cs="David" w:hint="cs"/>
          <w:sz w:val="24"/>
          <w:szCs w:val="24"/>
          <w:rtl/>
        </w:rPr>
        <w:t>מהימנה</w:t>
      </w:r>
      <w:r w:rsidRPr="00F25744">
        <w:rPr>
          <w:rFonts w:ascii="David" w:cs="David"/>
          <w:sz w:val="24"/>
          <w:szCs w:val="24"/>
        </w:rPr>
        <w:t xml:space="preserve"> </w:t>
      </w:r>
      <w:r w:rsidRPr="00F25744">
        <w:rPr>
          <w:rFonts w:ascii="David" w:cs="David" w:hint="cs"/>
          <w:sz w:val="24"/>
          <w:szCs w:val="24"/>
          <w:rtl/>
        </w:rPr>
        <w:t>את</w:t>
      </w:r>
      <w:r w:rsidRPr="00F25744">
        <w:rPr>
          <w:rFonts w:ascii="David" w:cs="David"/>
          <w:sz w:val="24"/>
          <w:szCs w:val="24"/>
        </w:rPr>
        <w:t xml:space="preserve"> </w:t>
      </w:r>
      <w:r w:rsidRPr="00F25744">
        <w:rPr>
          <w:rFonts w:ascii="David" w:cs="David" w:hint="cs"/>
          <w:sz w:val="24"/>
          <w:szCs w:val="24"/>
          <w:rtl/>
        </w:rPr>
        <w:t>זמן</w:t>
      </w:r>
      <w:r w:rsidRPr="00F25744">
        <w:rPr>
          <w:rFonts w:ascii="David" w:cs="David"/>
          <w:sz w:val="24"/>
          <w:szCs w:val="24"/>
        </w:rPr>
        <w:t xml:space="preserve"> </w:t>
      </w:r>
      <w:r w:rsidRPr="00F25744">
        <w:rPr>
          <w:rFonts w:ascii="David" w:cs="David" w:hint="cs"/>
          <w:sz w:val="24"/>
          <w:szCs w:val="24"/>
          <w:rtl/>
        </w:rPr>
        <w:t>העבודה</w:t>
      </w:r>
      <w:r w:rsidRPr="00F25744">
        <w:rPr>
          <w:rFonts w:ascii="David" w:cs="David"/>
          <w:sz w:val="24"/>
          <w:szCs w:val="24"/>
        </w:rPr>
        <w:t xml:space="preserve"> </w:t>
      </w:r>
      <w:r w:rsidRPr="00F25744">
        <w:rPr>
          <w:rFonts w:ascii="David" w:cs="David" w:hint="cs"/>
          <w:sz w:val="24"/>
          <w:szCs w:val="24"/>
          <w:rtl/>
        </w:rPr>
        <w:t>השונה</w:t>
      </w:r>
      <w:r w:rsidRPr="00F25744">
        <w:rPr>
          <w:rFonts w:ascii="David" w:cs="David"/>
          <w:sz w:val="24"/>
          <w:szCs w:val="24"/>
        </w:rPr>
        <w:t xml:space="preserve"> </w:t>
      </w:r>
      <w:r w:rsidRPr="00F25744">
        <w:rPr>
          <w:rFonts w:ascii="David" w:cs="David" w:hint="cs"/>
          <w:sz w:val="24"/>
          <w:szCs w:val="24"/>
          <w:rtl/>
        </w:rPr>
        <w:t>הכרוך</w:t>
      </w:r>
      <w:r w:rsidRPr="00F25744">
        <w:rPr>
          <w:rFonts w:ascii="David" w:cs="David"/>
          <w:sz w:val="24"/>
          <w:szCs w:val="24"/>
        </w:rPr>
        <w:t xml:space="preserve"> </w:t>
      </w:r>
      <w:r w:rsidRPr="00F25744">
        <w:rPr>
          <w:rFonts w:ascii="David" w:cs="David" w:hint="cs"/>
          <w:sz w:val="24"/>
          <w:szCs w:val="24"/>
          <w:rtl/>
        </w:rPr>
        <w:t>בכתיבת</w:t>
      </w:r>
      <w:r w:rsidRPr="00F25744">
        <w:rPr>
          <w:rFonts w:ascii="David" w:cs="David"/>
          <w:sz w:val="24"/>
          <w:szCs w:val="24"/>
        </w:rPr>
        <w:t xml:space="preserve"> </w:t>
      </w:r>
      <w:r w:rsidRPr="00F25744">
        <w:rPr>
          <w:rFonts w:ascii="David" w:cs="David" w:hint="cs"/>
          <w:sz w:val="24"/>
          <w:szCs w:val="24"/>
          <w:rtl/>
        </w:rPr>
        <w:t>פסקי</w:t>
      </w:r>
      <w:r w:rsidRPr="00F25744">
        <w:rPr>
          <w:rFonts w:ascii="David" w:cs="David"/>
          <w:sz w:val="24"/>
          <w:szCs w:val="24"/>
        </w:rPr>
        <w:t xml:space="preserve"> </w:t>
      </w:r>
      <w:r w:rsidRPr="00F25744">
        <w:rPr>
          <w:rFonts w:ascii="David" w:cs="David" w:hint="cs"/>
          <w:sz w:val="24"/>
          <w:szCs w:val="24"/>
          <w:rtl/>
        </w:rPr>
        <w:t>הדין</w:t>
      </w:r>
      <w:r w:rsidRPr="00F25744">
        <w:rPr>
          <w:rFonts w:ascii="David" w:cs="David"/>
          <w:sz w:val="24"/>
          <w:szCs w:val="24"/>
        </w:rPr>
        <w:t xml:space="preserve"> </w:t>
      </w:r>
      <w:r w:rsidRPr="00F25744">
        <w:rPr>
          <w:rFonts w:ascii="David" w:cs="David" w:hint="cs"/>
          <w:sz w:val="24"/>
          <w:szCs w:val="24"/>
          <w:rtl/>
        </w:rPr>
        <w:t>השונים</w:t>
      </w:r>
      <w:r w:rsidR="0023679A" w:rsidRPr="00F25744">
        <w:rPr>
          <w:rFonts w:ascii="David" w:cs="David" w:hint="cs"/>
          <w:sz w:val="24"/>
          <w:szCs w:val="24"/>
          <w:rtl/>
        </w:rPr>
        <w:t xml:space="preserve"> מתוך פסקי הדין שנכתבו מחוץ לאולם (זמן כתיבת פסקי הדין שנכתבו באולם נכלל במסגרת זמן הדיונים)</w:t>
      </w:r>
      <w:r w:rsidRPr="00F25744">
        <w:rPr>
          <w:rFonts w:ascii="David" w:cs="David"/>
          <w:sz w:val="24"/>
          <w:szCs w:val="24"/>
        </w:rPr>
        <w:t>,</w:t>
      </w:r>
      <w:r w:rsidRPr="00F25744">
        <w:rPr>
          <w:rFonts w:ascii="David" w:cs="David" w:hint="cs"/>
          <w:sz w:val="24"/>
          <w:szCs w:val="24"/>
          <w:rtl/>
        </w:rPr>
        <w:t xml:space="preserve"> נדרשו</w:t>
      </w:r>
      <w:r w:rsidRPr="00F25744">
        <w:rPr>
          <w:rFonts w:ascii="David" w:cs="David"/>
          <w:sz w:val="24"/>
          <w:szCs w:val="24"/>
        </w:rPr>
        <w:t xml:space="preserve"> </w:t>
      </w:r>
      <w:r w:rsidRPr="00F25744">
        <w:rPr>
          <w:rFonts w:ascii="David" w:cs="David" w:hint="cs"/>
          <w:sz w:val="24"/>
          <w:szCs w:val="24"/>
          <w:rtl/>
        </w:rPr>
        <w:t>נתונים</w:t>
      </w:r>
      <w:r w:rsidRPr="00F25744">
        <w:rPr>
          <w:rFonts w:ascii="David" w:cs="David"/>
          <w:sz w:val="24"/>
          <w:szCs w:val="24"/>
        </w:rPr>
        <w:t xml:space="preserve"> </w:t>
      </w:r>
      <w:r w:rsidRPr="00F25744">
        <w:rPr>
          <w:rFonts w:ascii="David" w:cs="David" w:hint="cs"/>
          <w:sz w:val="24"/>
          <w:szCs w:val="24"/>
          <w:rtl/>
        </w:rPr>
        <w:t>כמותיים בהתייחס</w:t>
      </w:r>
      <w:r w:rsidRPr="00F25744">
        <w:rPr>
          <w:rFonts w:ascii="David" w:cs="David"/>
          <w:sz w:val="24"/>
          <w:szCs w:val="24"/>
        </w:rPr>
        <w:t xml:space="preserve"> </w:t>
      </w:r>
      <w:r w:rsidRPr="00F25744">
        <w:rPr>
          <w:rFonts w:ascii="David" w:cs="David" w:hint="cs"/>
          <w:sz w:val="24"/>
          <w:szCs w:val="24"/>
          <w:rtl/>
        </w:rPr>
        <w:t>לכל</w:t>
      </w:r>
      <w:r w:rsidRPr="00F25744">
        <w:rPr>
          <w:rFonts w:ascii="David" w:cs="David"/>
          <w:sz w:val="24"/>
          <w:szCs w:val="24"/>
        </w:rPr>
        <w:t xml:space="preserve"> </w:t>
      </w:r>
      <w:r w:rsidRPr="00F25744">
        <w:rPr>
          <w:rFonts w:ascii="David" w:cs="David" w:hint="cs"/>
          <w:sz w:val="24"/>
          <w:szCs w:val="24"/>
          <w:rtl/>
        </w:rPr>
        <w:t>סוג</w:t>
      </w:r>
      <w:r w:rsidRPr="00F25744">
        <w:rPr>
          <w:rFonts w:ascii="David" w:cs="David"/>
          <w:sz w:val="24"/>
          <w:szCs w:val="24"/>
        </w:rPr>
        <w:t xml:space="preserve"> </w:t>
      </w:r>
      <w:r w:rsidRPr="00F25744">
        <w:rPr>
          <w:rFonts w:ascii="David" w:cs="David" w:hint="cs"/>
          <w:sz w:val="24"/>
          <w:szCs w:val="24"/>
          <w:rtl/>
        </w:rPr>
        <w:t>תיק</w:t>
      </w:r>
      <w:r w:rsidRPr="00F25744">
        <w:rPr>
          <w:rFonts w:cs="David" w:hint="cs"/>
          <w:sz w:val="24"/>
          <w:szCs w:val="24"/>
          <w:rtl/>
        </w:rPr>
        <w:t>, בחלוקה לקריטריונים הבאים:</w:t>
      </w:r>
    </w:p>
    <w:p w14:paraId="0C4EA3D8" w14:textId="77777777" w:rsidR="006227EC" w:rsidRPr="00F25744" w:rsidRDefault="00E25AE7" w:rsidP="001F37CE">
      <w:pPr>
        <w:numPr>
          <w:ilvl w:val="0"/>
          <w:numId w:val="15"/>
        </w:numPr>
        <w:autoSpaceDE w:val="0"/>
        <w:autoSpaceDN w:val="0"/>
        <w:adjustRightInd w:val="0"/>
        <w:spacing w:after="0" w:line="360" w:lineRule="auto"/>
        <w:ind w:left="425" w:hanging="425"/>
        <w:jc w:val="both"/>
        <w:rPr>
          <w:rFonts w:cs="David"/>
          <w:sz w:val="24"/>
          <w:szCs w:val="24"/>
        </w:rPr>
      </w:pPr>
      <w:r w:rsidRPr="00F25744">
        <w:rPr>
          <w:rFonts w:cs="David" w:hint="cs"/>
          <w:b/>
          <w:bCs/>
          <w:sz w:val="24"/>
          <w:szCs w:val="24"/>
          <w:rtl/>
        </w:rPr>
        <w:t>אחוז התיקים</w:t>
      </w:r>
      <w:r w:rsidRPr="00F25744">
        <w:rPr>
          <w:rFonts w:cs="David" w:hint="cs"/>
          <w:sz w:val="24"/>
          <w:szCs w:val="24"/>
          <w:rtl/>
        </w:rPr>
        <w:t xml:space="preserve"> אשר נסגרו בכל סוג של פסק דין (כמפורט לעיל), בחלוקה לסוגי התיקים השונים. </w:t>
      </w:r>
    </w:p>
    <w:p w14:paraId="3FF04A38" w14:textId="77777777" w:rsidR="006227EC" w:rsidRPr="00F25744" w:rsidRDefault="00E25AE7" w:rsidP="001F37CE">
      <w:pPr>
        <w:numPr>
          <w:ilvl w:val="0"/>
          <w:numId w:val="15"/>
        </w:numPr>
        <w:autoSpaceDE w:val="0"/>
        <w:autoSpaceDN w:val="0"/>
        <w:adjustRightInd w:val="0"/>
        <w:spacing w:after="0" w:line="360" w:lineRule="auto"/>
        <w:ind w:left="425" w:hanging="425"/>
        <w:jc w:val="both"/>
        <w:rPr>
          <w:rFonts w:cs="David"/>
          <w:sz w:val="24"/>
          <w:szCs w:val="24"/>
        </w:rPr>
      </w:pPr>
      <w:r w:rsidRPr="00F25744">
        <w:rPr>
          <w:rFonts w:cs="David" w:hint="cs"/>
          <w:b/>
          <w:bCs/>
          <w:sz w:val="24"/>
          <w:szCs w:val="24"/>
          <w:rtl/>
        </w:rPr>
        <w:t>מספר</w:t>
      </w:r>
      <w:r w:rsidRPr="00F25744">
        <w:rPr>
          <w:rFonts w:cs="David"/>
          <w:b/>
          <w:bCs/>
          <w:sz w:val="24"/>
          <w:szCs w:val="24"/>
        </w:rPr>
        <w:t xml:space="preserve"> </w:t>
      </w:r>
      <w:r w:rsidRPr="00F25744">
        <w:rPr>
          <w:rFonts w:cs="David" w:hint="cs"/>
          <w:b/>
          <w:bCs/>
          <w:sz w:val="24"/>
          <w:szCs w:val="24"/>
          <w:rtl/>
        </w:rPr>
        <w:t>העמודים</w:t>
      </w:r>
      <w:r w:rsidRPr="00F25744">
        <w:rPr>
          <w:rFonts w:cs="David"/>
          <w:sz w:val="24"/>
          <w:szCs w:val="24"/>
        </w:rPr>
        <w:t xml:space="preserve"> </w:t>
      </w:r>
      <w:r w:rsidRPr="00F25744">
        <w:rPr>
          <w:rFonts w:cs="David" w:hint="cs"/>
          <w:sz w:val="24"/>
          <w:szCs w:val="24"/>
          <w:rtl/>
        </w:rPr>
        <w:t>הממוצע</w:t>
      </w:r>
      <w:r w:rsidRPr="00F25744">
        <w:rPr>
          <w:rFonts w:cs="David"/>
          <w:sz w:val="24"/>
          <w:szCs w:val="24"/>
        </w:rPr>
        <w:t xml:space="preserve"> </w:t>
      </w:r>
      <w:r w:rsidRPr="00F25744">
        <w:rPr>
          <w:rFonts w:cs="David" w:hint="cs"/>
          <w:sz w:val="24"/>
          <w:szCs w:val="24"/>
          <w:rtl/>
        </w:rPr>
        <w:t>בפסקי</w:t>
      </w:r>
      <w:r w:rsidRPr="00F25744">
        <w:rPr>
          <w:rFonts w:cs="David"/>
          <w:sz w:val="24"/>
          <w:szCs w:val="24"/>
        </w:rPr>
        <w:t xml:space="preserve"> </w:t>
      </w:r>
      <w:r w:rsidRPr="00F25744">
        <w:rPr>
          <w:rFonts w:cs="David" w:hint="cs"/>
          <w:sz w:val="24"/>
          <w:szCs w:val="24"/>
          <w:rtl/>
        </w:rPr>
        <w:t>הדין</w:t>
      </w:r>
      <w:r w:rsidRPr="00F25744">
        <w:rPr>
          <w:rFonts w:cs="David"/>
          <w:sz w:val="24"/>
          <w:szCs w:val="24"/>
        </w:rPr>
        <w:t xml:space="preserve"> </w:t>
      </w:r>
      <w:r w:rsidRPr="00F25744">
        <w:rPr>
          <w:rFonts w:cs="David" w:hint="cs"/>
          <w:sz w:val="24"/>
          <w:szCs w:val="24"/>
          <w:rtl/>
        </w:rPr>
        <w:t xml:space="preserve">השונים </w:t>
      </w:r>
      <w:r w:rsidRPr="00F25744">
        <w:rPr>
          <w:rFonts w:cs="David"/>
          <w:sz w:val="24"/>
          <w:szCs w:val="24"/>
          <w:rtl/>
        </w:rPr>
        <w:t>–</w:t>
      </w:r>
      <w:r w:rsidRPr="00F25744">
        <w:rPr>
          <w:rFonts w:cs="David"/>
          <w:sz w:val="24"/>
          <w:szCs w:val="24"/>
        </w:rPr>
        <w:t xml:space="preserve"> </w:t>
      </w:r>
      <w:r w:rsidRPr="00F25744">
        <w:rPr>
          <w:rFonts w:cs="David" w:hint="cs"/>
          <w:sz w:val="24"/>
          <w:szCs w:val="24"/>
          <w:rtl/>
        </w:rPr>
        <w:t>כלומר, כמה</w:t>
      </w:r>
      <w:r w:rsidRPr="00F25744">
        <w:rPr>
          <w:rFonts w:cs="David"/>
          <w:sz w:val="24"/>
          <w:szCs w:val="24"/>
        </w:rPr>
        <w:t xml:space="preserve"> </w:t>
      </w:r>
      <w:r w:rsidRPr="00F25744">
        <w:rPr>
          <w:rFonts w:cs="David" w:hint="cs"/>
          <w:sz w:val="24"/>
          <w:szCs w:val="24"/>
          <w:rtl/>
        </w:rPr>
        <w:t>עמודים</w:t>
      </w:r>
      <w:r w:rsidRPr="00F25744">
        <w:rPr>
          <w:rFonts w:cs="David"/>
          <w:sz w:val="24"/>
          <w:szCs w:val="24"/>
        </w:rPr>
        <w:t xml:space="preserve"> </w:t>
      </w:r>
      <w:r w:rsidRPr="00F25744">
        <w:rPr>
          <w:rFonts w:cs="David" w:hint="cs"/>
          <w:sz w:val="24"/>
          <w:szCs w:val="24"/>
          <w:rtl/>
        </w:rPr>
        <w:t>בממוצע</w:t>
      </w:r>
      <w:r w:rsidRPr="00F25744">
        <w:rPr>
          <w:rFonts w:cs="David"/>
          <w:sz w:val="24"/>
          <w:szCs w:val="24"/>
        </w:rPr>
        <w:t xml:space="preserve"> </w:t>
      </w:r>
      <w:r w:rsidRPr="00F25744">
        <w:rPr>
          <w:rFonts w:cs="David" w:hint="cs"/>
          <w:sz w:val="24"/>
          <w:szCs w:val="24"/>
          <w:rtl/>
        </w:rPr>
        <w:t>מכיל</w:t>
      </w:r>
      <w:r w:rsidRPr="00F25744">
        <w:rPr>
          <w:rFonts w:cs="David"/>
          <w:sz w:val="24"/>
          <w:szCs w:val="24"/>
        </w:rPr>
        <w:t xml:space="preserve"> </w:t>
      </w:r>
      <w:r w:rsidRPr="00F25744">
        <w:rPr>
          <w:rFonts w:cs="David" w:hint="cs"/>
          <w:sz w:val="24"/>
          <w:szCs w:val="24"/>
          <w:rtl/>
        </w:rPr>
        <w:t>פסק דין</w:t>
      </w:r>
      <w:r w:rsidRPr="00F25744">
        <w:rPr>
          <w:rFonts w:cs="David"/>
          <w:sz w:val="24"/>
          <w:szCs w:val="24"/>
        </w:rPr>
        <w:t xml:space="preserve"> </w:t>
      </w:r>
      <w:r w:rsidRPr="00F25744">
        <w:rPr>
          <w:rFonts w:cs="David" w:hint="cs"/>
          <w:sz w:val="24"/>
          <w:szCs w:val="24"/>
          <w:rtl/>
        </w:rPr>
        <w:t>מנומק</w:t>
      </w:r>
      <w:r w:rsidRPr="00F25744">
        <w:rPr>
          <w:rFonts w:cs="David"/>
          <w:sz w:val="24"/>
          <w:szCs w:val="24"/>
        </w:rPr>
        <w:t xml:space="preserve"> </w:t>
      </w:r>
      <w:r w:rsidRPr="00F25744">
        <w:rPr>
          <w:rFonts w:cs="David" w:hint="cs"/>
          <w:sz w:val="24"/>
          <w:szCs w:val="24"/>
          <w:rtl/>
        </w:rPr>
        <w:t>בתיק</w:t>
      </w:r>
      <w:r w:rsidRPr="00F25744">
        <w:rPr>
          <w:rFonts w:cs="David"/>
          <w:sz w:val="24"/>
          <w:szCs w:val="24"/>
        </w:rPr>
        <w:t xml:space="preserve"> </w:t>
      </w:r>
      <w:r w:rsidRPr="00F25744">
        <w:rPr>
          <w:rFonts w:cs="David" w:hint="cs"/>
          <w:sz w:val="24"/>
          <w:szCs w:val="24"/>
          <w:rtl/>
        </w:rPr>
        <w:t xml:space="preserve">מסוג </w:t>
      </w:r>
      <w:r w:rsidRPr="00F25744">
        <w:rPr>
          <w:rFonts w:cs="David"/>
          <w:sz w:val="24"/>
          <w:szCs w:val="24"/>
        </w:rPr>
        <w:t>x</w:t>
      </w:r>
      <w:r w:rsidRPr="00F25744">
        <w:rPr>
          <w:rFonts w:cs="David" w:hint="cs"/>
          <w:sz w:val="24"/>
          <w:szCs w:val="24"/>
          <w:rtl/>
        </w:rPr>
        <w:t>,</w:t>
      </w:r>
      <w:r w:rsidRPr="00F25744">
        <w:rPr>
          <w:rFonts w:cs="David"/>
          <w:sz w:val="24"/>
          <w:szCs w:val="24"/>
        </w:rPr>
        <w:t xml:space="preserve"> </w:t>
      </w:r>
      <w:r w:rsidRPr="00F25744">
        <w:rPr>
          <w:rFonts w:cs="David" w:hint="cs"/>
          <w:sz w:val="24"/>
          <w:szCs w:val="24"/>
          <w:rtl/>
        </w:rPr>
        <w:t>כמה</w:t>
      </w:r>
      <w:r w:rsidRPr="00F25744">
        <w:rPr>
          <w:rFonts w:cs="David"/>
          <w:sz w:val="24"/>
          <w:szCs w:val="24"/>
        </w:rPr>
        <w:t xml:space="preserve"> </w:t>
      </w:r>
      <w:r w:rsidRPr="00F25744">
        <w:rPr>
          <w:rFonts w:cs="David" w:hint="cs"/>
          <w:sz w:val="24"/>
          <w:szCs w:val="24"/>
          <w:rtl/>
        </w:rPr>
        <w:t>עמודים</w:t>
      </w:r>
      <w:r w:rsidRPr="00F25744">
        <w:rPr>
          <w:rFonts w:cs="David"/>
          <w:sz w:val="24"/>
          <w:szCs w:val="24"/>
        </w:rPr>
        <w:t xml:space="preserve"> </w:t>
      </w:r>
      <w:r w:rsidRPr="00F25744">
        <w:rPr>
          <w:rFonts w:cs="David" w:hint="cs"/>
          <w:sz w:val="24"/>
          <w:szCs w:val="24"/>
          <w:rtl/>
        </w:rPr>
        <w:t>בממוצע</w:t>
      </w:r>
      <w:r w:rsidRPr="00F25744">
        <w:rPr>
          <w:rFonts w:cs="David"/>
          <w:sz w:val="24"/>
          <w:szCs w:val="24"/>
        </w:rPr>
        <w:t xml:space="preserve"> </w:t>
      </w:r>
      <w:r w:rsidRPr="00F25744">
        <w:rPr>
          <w:rFonts w:cs="David" w:hint="cs"/>
          <w:sz w:val="24"/>
          <w:szCs w:val="24"/>
          <w:rtl/>
        </w:rPr>
        <w:t>מכיל</w:t>
      </w:r>
      <w:r w:rsidRPr="00F25744">
        <w:rPr>
          <w:rFonts w:cs="David"/>
          <w:sz w:val="24"/>
          <w:szCs w:val="24"/>
        </w:rPr>
        <w:t xml:space="preserve"> </w:t>
      </w:r>
      <w:r w:rsidRPr="00F25744">
        <w:rPr>
          <w:rFonts w:cs="David" w:hint="cs"/>
          <w:sz w:val="24"/>
          <w:szCs w:val="24"/>
          <w:rtl/>
        </w:rPr>
        <w:t>פסק דין מכוח</w:t>
      </w:r>
      <w:r w:rsidRPr="00F25744">
        <w:rPr>
          <w:rFonts w:cs="David"/>
          <w:sz w:val="24"/>
          <w:szCs w:val="24"/>
        </w:rPr>
        <w:t xml:space="preserve"> </w:t>
      </w:r>
      <w:r w:rsidRPr="00F25744">
        <w:rPr>
          <w:rFonts w:cs="David" w:hint="cs"/>
          <w:sz w:val="24"/>
          <w:szCs w:val="24"/>
          <w:rtl/>
        </w:rPr>
        <w:t xml:space="preserve">סעיף 79א בתיק מסוג </w:t>
      </w:r>
      <w:r w:rsidRPr="00F25744">
        <w:rPr>
          <w:rFonts w:cs="David"/>
          <w:sz w:val="24"/>
          <w:szCs w:val="24"/>
        </w:rPr>
        <w:t>x</w:t>
      </w:r>
      <w:r w:rsidRPr="00F25744">
        <w:rPr>
          <w:rFonts w:cs="David" w:hint="cs"/>
          <w:sz w:val="24"/>
          <w:szCs w:val="24"/>
          <w:rtl/>
        </w:rPr>
        <w:t xml:space="preserve"> וכו'.</w:t>
      </w:r>
    </w:p>
    <w:p w14:paraId="005C1B64" w14:textId="77777777" w:rsidR="006227EC" w:rsidRPr="00F25744" w:rsidRDefault="00E25AE7" w:rsidP="001F37CE">
      <w:pPr>
        <w:numPr>
          <w:ilvl w:val="0"/>
          <w:numId w:val="15"/>
        </w:numPr>
        <w:autoSpaceDE w:val="0"/>
        <w:autoSpaceDN w:val="0"/>
        <w:adjustRightInd w:val="0"/>
        <w:spacing w:after="0" w:line="360" w:lineRule="auto"/>
        <w:ind w:left="425" w:hanging="425"/>
        <w:jc w:val="both"/>
        <w:rPr>
          <w:rFonts w:cs="David"/>
          <w:sz w:val="24"/>
          <w:szCs w:val="24"/>
        </w:rPr>
      </w:pPr>
      <w:r w:rsidRPr="00F25744">
        <w:rPr>
          <w:rFonts w:cs="David" w:hint="cs"/>
          <w:b/>
          <w:bCs/>
          <w:sz w:val="24"/>
          <w:szCs w:val="24"/>
          <w:rtl/>
        </w:rPr>
        <w:t>זמן</w:t>
      </w:r>
      <w:r w:rsidRPr="00F25744">
        <w:rPr>
          <w:rFonts w:cs="David"/>
          <w:b/>
          <w:bCs/>
          <w:sz w:val="24"/>
          <w:szCs w:val="24"/>
        </w:rPr>
        <w:t xml:space="preserve"> </w:t>
      </w:r>
      <w:r w:rsidRPr="00F25744">
        <w:rPr>
          <w:rFonts w:cs="David" w:hint="cs"/>
          <w:b/>
          <w:bCs/>
          <w:sz w:val="24"/>
          <w:szCs w:val="24"/>
          <w:rtl/>
        </w:rPr>
        <w:t>העבודה</w:t>
      </w:r>
      <w:r w:rsidRPr="00F25744">
        <w:rPr>
          <w:rFonts w:cs="David"/>
          <w:sz w:val="24"/>
          <w:szCs w:val="24"/>
        </w:rPr>
        <w:t xml:space="preserve"> </w:t>
      </w:r>
      <w:r w:rsidRPr="00F25744">
        <w:rPr>
          <w:rFonts w:cs="David" w:hint="cs"/>
          <w:sz w:val="24"/>
          <w:szCs w:val="24"/>
          <w:rtl/>
        </w:rPr>
        <w:t>הממוצע</w:t>
      </w:r>
      <w:r w:rsidRPr="00F25744">
        <w:rPr>
          <w:rFonts w:cs="David"/>
          <w:sz w:val="24"/>
          <w:szCs w:val="24"/>
        </w:rPr>
        <w:t xml:space="preserve"> </w:t>
      </w:r>
      <w:r w:rsidRPr="00F25744">
        <w:rPr>
          <w:rFonts w:cs="David" w:hint="cs"/>
          <w:sz w:val="24"/>
          <w:szCs w:val="24"/>
          <w:rtl/>
        </w:rPr>
        <w:t>המוקדש</w:t>
      </w:r>
      <w:r w:rsidRPr="00F25744">
        <w:rPr>
          <w:rFonts w:cs="David"/>
          <w:sz w:val="24"/>
          <w:szCs w:val="24"/>
        </w:rPr>
        <w:t xml:space="preserve"> </w:t>
      </w:r>
      <w:r w:rsidRPr="00F25744">
        <w:rPr>
          <w:rFonts w:cs="David" w:hint="cs"/>
          <w:sz w:val="24"/>
          <w:szCs w:val="24"/>
          <w:rtl/>
        </w:rPr>
        <w:t>לצורך</w:t>
      </w:r>
      <w:r w:rsidRPr="00F25744">
        <w:rPr>
          <w:rFonts w:cs="David"/>
          <w:sz w:val="24"/>
          <w:szCs w:val="24"/>
        </w:rPr>
        <w:t xml:space="preserve"> </w:t>
      </w:r>
      <w:r w:rsidRPr="00F25744">
        <w:rPr>
          <w:rFonts w:cs="David" w:hint="cs"/>
          <w:sz w:val="24"/>
          <w:szCs w:val="24"/>
          <w:rtl/>
        </w:rPr>
        <w:t>השלמת</w:t>
      </w:r>
      <w:r w:rsidRPr="00F25744">
        <w:rPr>
          <w:rFonts w:cs="David"/>
          <w:sz w:val="24"/>
          <w:szCs w:val="24"/>
        </w:rPr>
        <w:t xml:space="preserve"> </w:t>
      </w:r>
      <w:r w:rsidRPr="00F25744">
        <w:rPr>
          <w:rFonts w:cs="David" w:hint="cs"/>
          <w:sz w:val="24"/>
          <w:szCs w:val="24"/>
          <w:rtl/>
        </w:rPr>
        <w:t>כתיבה</w:t>
      </w:r>
      <w:r w:rsidRPr="00F25744">
        <w:rPr>
          <w:rFonts w:cs="David"/>
          <w:sz w:val="24"/>
          <w:szCs w:val="24"/>
        </w:rPr>
        <w:t xml:space="preserve"> </w:t>
      </w:r>
      <w:r w:rsidRPr="00F25744">
        <w:rPr>
          <w:rFonts w:cs="David" w:hint="cs"/>
          <w:sz w:val="24"/>
          <w:szCs w:val="24"/>
          <w:rtl/>
        </w:rPr>
        <w:t>של</w:t>
      </w:r>
      <w:r w:rsidRPr="00F25744">
        <w:rPr>
          <w:rFonts w:cs="David"/>
          <w:sz w:val="24"/>
          <w:szCs w:val="24"/>
        </w:rPr>
        <w:t xml:space="preserve"> </w:t>
      </w:r>
      <w:r w:rsidRPr="00F25744">
        <w:rPr>
          <w:rFonts w:cs="David" w:hint="cs"/>
          <w:sz w:val="24"/>
          <w:szCs w:val="24"/>
          <w:rtl/>
        </w:rPr>
        <w:t>עמוד</w:t>
      </w:r>
      <w:r w:rsidRPr="00F25744">
        <w:rPr>
          <w:rFonts w:cs="David"/>
          <w:sz w:val="24"/>
          <w:szCs w:val="24"/>
        </w:rPr>
        <w:t xml:space="preserve"> </w:t>
      </w:r>
      <w:r w:rsidRPr="00F25744">
        <w:rPr>
          <w:rFonts w:cs="David" w:hint="cs"/>
          <w:sz w:val="24"/>
          <w:szCs w:val="24"/>
          <w:rtl/>
        </w:rPr>
        <w:t>אחד</w:t>
      </w:r>
      <w:r w:rsidRPr="00F25744">
        <w:rPr>
          <w:rFonts w:cs="David"/>
          <w:sz w:val="24"/>
          <w:szCs w:val="24"/>
        </w:rPr>
        <w:t xml:space="preserve"> </w:t>
      </w:r>
      <w:r w:rsidRPr="00F25744">
        <w:rPr>
          <w:rFonts w:cs="David" w:hint="cs"/>
          <w:sz w:val="24"/>
          <w:szCs w:val="24"/>
          <w:rtl/>
        </w:rPr>
        <w:t>מפסקי</w:t>
      </w:r>
      <w:r w:rsidRPr="00F25744">
        <w:rPr>
          <w:rFonts w:cs="David"/>
          <w:sz w:val="24"/>
          <w:szCs w:val="24"/>
        </w:rPr>
        <w:t xml:space="preserve"> </w:t>
      </w:r>
      <w:r w:rsidRPr="00F25744">
        <w:rPr>
          <w:rFonts w:cs="David" w:hint="cs"/>
          <w:sz w:val="24"/>
          <w:szCs w:val="24"/>
          <w:rtl/>
        </w:rPr>
        <w:t>הדין</w:t>
      </w:r>
      <w:r w:rsidRPr="00F25744">
        <w:rPr>
          <w:rFonts w:cs="David"/>
          <w:sz w:val="24"/>
          <w:szCs w:val="24"/>
        </w:rPr>
        <w:t xml:space="preserve"> </w:t>
      </w:r>
      <w:r w:rsidRPr="00F25744">
        <w:rPr>
          <w:rFonts w:cs="David" w:hint="cs"/>
          <w:sz w:val="24"/>
          <w:szCs w:val="24"/>
          <w:rtl/>
        </w:rPr>
        <w:t>השונים, בכל סוג תיק</w:t>
      </w:r>
      <w:r w:rsidRPr="00F25744">
        <w:rPr>
          <w:rFonts w:cs="David"/>
          <w:sz w:val="24"/>
          <w:szCs w:val="24"/>
        </w:rPr>
        <w:t>.</w:t>
      </w:r>
    </w:p>
    <w:p w14:paraId="68938505" w14:textId="77777777" w:rsidR="006227EC" w:rsidRPr="00F25744" w:rsidRDefault="00E25AE7" w:rsidP="001F37CE">
      <w:pPr>
        <w:numPr>
          <w:ilvl w:val="0"/>
          <w:numId w:val="15"/>
        </w:numPr>
        <w:autoSpaceDE w:val="0"/>
        <w:autoSpaceDN w:val="0"/>
        <w:adjustRightInd w:val="0"/>
        <w:spacing w:after="0" w:line="360" w:lineRule="auto"/>
        <w:ind w:left="425" w:hanging="425"/>
        <w:jc w:val="both"/>
        <w:rPr>
          <w:rFonts w:cs="David"/>
          <w:sz w:val="24"/>
          <w:szCs w:val="24"/>
        </w:rPr>
      </w:pPr>
      <w:r w:rsidRPr="00F25744">
        <w:rPr>
          <w:rFonts w:cs="David" w:hint="cs"/>
          <w:b/>
          <w:bCs/>
          <w:sz w:val="24"/>
          <w:szCs w:val="24"/>
          <w:rtl/>
        </w:rPr>
        <w:t>אחוז התיקים</w:t>
      </w:r>
      <w:r w:rsidRPr="00F25744">
        <w:rPr>
          <w:rFonts w:cs="David" w:hint="cs"/>
          <w:sz w:val="24"/>
          <w:szCs w:val="24"/>
          <w:rtl/>
        </w:rPr>
        <w:t xml:space="preserve"> שבהם נכתב פסק דין או החלטה סוגרת מחוץ לאולם הדיונים.</w:t>
      </w:r>
    </w:p>
    <w:p w14:paraId="7E630BC6" w14:textId="77777777" w:rsidR="006227EC" w:rsidRPr="00F25744" w:rsidRDefault="00E25AE7" w:rsidP="00BD23BB">
      <w:pPr>
        <w:autoSpaceDE w:val="0"/>
        <w:autoSpaceDN w:val="0"/>
        <w:adjustRightInd w:val="0"/>
        <w:spacing w:before="120" w:after="0" w:line="360" w:lineRule="auto"/>
        <w:jc w:val="both"/>
        <w:rPr>
          <w:rFonts w:cs="David"/>
          <w:sz w:val="24"/>
          <w:szCs w:val="24"/>
          <w:rtl/>
        </w:rPr>
      </w:pPr>
      <w:r w:rsidRPr="00F25744">
        <w:rPr>
          <w:rFonts w:cs="David" w:hint="cs"/>
          <w:sz w:val="24"/>
          <w:szCs w:val="24"/>
          <w:rtl/>
        </w:rPr>
        <w:t xml:space="preserve">מכפלה של ארבעת הקריטריונים הללו בהתייחס לכל סוג של פסק דין בנפרד, בכל סוג תיק, וסכימת התוצאות, הניבה למעשה את </w:t>
      </w:r>
      <w:r w:rsidRPr="00F25744">
        <w:rPr>
          <w:rFonts w:cs="David" w:hint="cs"/>
          <w:b/>
          <w:bCs/>
          <w:sz w:val="24"/>
          <w:szCs w:val="24"/>
          <w:rtl/>
        </w:rPr>
        <w:t>פרק הזמן הממוצע</w:t>
      </w:r>
      <w:r w:rsidRPr="00F25744">
        <w:rPr>
          <w:rFonts w:cs="David" w:hint="cs"/>
          <w:sz w:val="24"/>
          <w:szCs w:val="24"/>
          <w:rtl/>
        </w:rPr>
        <w:t xml:space="preserve"> שמוקדש בכל סוג תיק לכתיבת פסקי הדין השונים, ואת </w:t>
      </w:r>
      <w:r w:rsidRPr="00F25744">
        <w:rPr>
          <w:rFonts w:cs="David" w:hint="cs"/>
          <w:b/>
          <w:bCs/>
          <w:sz w:val="24"/>
          <w:szCs w:val="24"/>
          <w:rtl/>
        </w:rPr>
        <w:t>ההסתברות</w:t>
      </w:r>
      <w:r w:rsidRPr="00F25744">
        <w:rPr>
          <w:rFonts w:cs="David" w:hint="cs"/>
          <w:sz w:val="24"/>
          <w:szCs w:val="24"/>
          <w:rtl/>
        </w:rPr>
        <w:t xml:space="preserve"> למתן פסק דין מסוג מסוים בכל סוג תיק.</w:t>
      </w:r>
    </w:p>
    <w:p w14:paraId="38C795EE" w14:textId="77777777" w:rsidR="00265B53" w:rsidRPr="00F25744" w:rsidRDefault="00E25AE7" w:rsidP="00BD23BB">
      <w:pPr>
        <w:autoSpaceDE w:val="0"/>
        <w:autoSpaceDN w:val="0"/>
        <w:adjustRightInd w:val="0"/>
        <w:spacing w:before="120" w:after="0" w:line="360" w:lineRule="auto"/>
        <w:jc w:val="both"/>
        <w:rPr>
          <w:rFonts w:cs="David"/>
          <w:sz w:val="24"/>
          <w:szCs w:val="24"/>
          <w:rtl/>
        </w:rPr>
      </w:pPr>
      <w:r w:rsidRPr="00F25744">
        <w:rPr>
          <w:rFonts w:cs="David" w:hint="cs"/>
          <w:sz w:val="24"/>
          <w:szCs w:val="24"/>
          <w:rtl/>
        </w:rPr>
        <w:lastRenderedPageBreak/>
        <w:t xml:space="preserve">נתון נוסף שנאסף במהלך מחקר סיבות הסגירה, הוא מספר התיקים שכל פסק דין סוגר. למשל, בתיקים מאוחדים, ניתן פסק דין אחד אשר סוגר שניים, שלושה או יותר תיקים </w:t>
      </w:r>
      <w:r w:rsidR="005B1272" w:rsidRPr="00F25744">
        <w:rPr>
          <w:rFonts w:cs="David" w:hint="cs"/>
          <w:sz w:val="24"/>
          <w:szCs w:val="24"/>
          <w:rtl/>
        </w:rPr>
        <w:t xml:space="preserve">אשר אוחדו בשלב מסוים בחיי התיק. התיקים המאוחדים נספרים במערכת כתיקים נפרדים, מבחינת כמויות התיקים שנפתחים ונסגרים. על כן, בדקנו </w:t>
      </w:r>
      <w:r w:rsidR="007F3A52" w:rsidRPr="00F25744">
        <w:rPr>
          <w:rFonts w:cs="David" w:hint="cs"/>
          <w:sz w:val="24"/>
          <w:szCs w:val="24"/>
          <w:rtl/>
        </w:rPr>
        <w:t xml:space="preserve">במסגרת מחקר סיבות הסגירה גם </w:t>
      </w:r>
      <w:r w:rsidR="005B1272" w:rsidRPr="00F25744">
        <w:rPr>
          <w:rFonts w:cs="David" w:hint="cs"/>
          <w:sz w:val="24"/>
          <w:szCs w:val="24"/>
          <w:rtl/>
        </w:rPr>
        <w:t>את כמות התיקים הממוצעת שכל פסק דין סוגר בסוגי התיקים השונים</w:t>
      </w:r>
      <w:r w:rsidR="00E1167B" w:rsidRPr="00F25744">
        <w:rPr>
          <w:rFonts w:cs="David" w:hint="cs"/>
          <w:sz w:val="24"/>
          <w:szCs w:val="24"/>
          <w:rtl/>
        </w:rPr>
        <w:t xml:space="preserve">. </w:t>
      </w:r>
      <w:r w:rsidR="007F3A52" w:rsidRPr="00F25744">
        <w:rPr>
          <w:rFonts w:cs="David" w:hint="cs"/>
          <w:sz w:val="24"/>
          <w:szCs w:val="24"/>
          <w:rtl/>
        </w:rPr>
        <w:t>להרחבה נוספת בעניין והשימוש ב</w:t>
      </w:r>
      <w:r w:rsidR="00632D9D" w:rsidRPr="00F25744">
        <w:rPr>
          <w:rFonts w:cs="David" w:hint="cs"/>
          <w:sz w:val="24"/>
          <w:szCs w:val="24"/>
          <w:rtl/>
        </w:rPr>
        <w:t>נתונים אל</w:t>
      </w:r>
      <w:r w:rsidR="007F3A52" w:rsidRPr="00F25744">
        <w:rPr>
          <w:rFonts w:cs="David" w:hint="cs"/>
          <w:sz w:val="24"/>
          <w:szCs w:val="24"/>
          <w:rtl/>
        </w:rPr>
        <w:t xml:space="preserve">ו ראו </w:t>
      </w:r>
      <w:r w:rsidR="003879F7" w:rsidRPr="00F25744">
        <w:rPr>
          <w:rFonts w:cs="David" w:hint="cs"/>
          <w:sz w:val="24"/>
          <w:szCs w:val="24"/>
          <w:rtl/>
        </w:rPr>
        <w:t xml:space="preserve">בפרק הממצאים, </w:t>
      </w:r>
      <w:r w:rsidR="00632D9D" w:rsidRPr="00F25744">
        <w:rPr>
          <w:rFonts w:cs="David" w:hint="cs"/>
          <w:sz w:val="24"/>
          <w:szCs w:val="24"/>
          <w:rtl/>
        </w:rPr>
        <w:t>בתת הפרק העוסק בחישוב זמני הטיפול בתיקים</w:t>
      </w:r>
      <w:r w:rsidR="00237C89" w:rsidRPr="00F25744">
        <w:rPr>
          <w:rFonts w:cs="David" w:hint="cs"/>
          <w:sz w:val="24"/>
          <w:szCs w:val="24"/>
          <w:rtl/>
        </w:rPr>
        <w:t xml:space="preserve"> לצרכים ניהוליים</w:t>
      </w:r>
      <w:r w:rsidR="007F3A52" w:rsidRPr="00F25744">
        <w:rPr>
          <w:rFonts w:cs="David" w:hint="cs"/>
          <w:sz w:val="24"/>
          <w:szCs w:val="24"/>
          <w:rtl/>
        </w:rPr>
        <w:t>.</w:t>
      </w:r>
    </w:p>
    <w:p w14:paraId="5BCF8D9F" w14:textId="77777777" w:rsidR="00E8254E" w:rsidRPr="00F25744" w:rsidRDefault="00E8254E" w:rsidP="00D332BA">
      <w:pPr>
        <w:autoSpaceDE w:val="0"/>
        <w:autoSpaceDN w:val="0"/>
        <w:adjustRightInd w:val="0"/>
        <w:spacing w:after="0" w:line="240" w:lineRule="auto"/>
        <w:jc w:val="both"/>
        <w:rPr>
          <w:rFonts w:cs="David"/>
          <w:sz w:val="24"/>
          <w:szCs w:val="24"/>
          <w:rtl/>
        </w:rPr>
      </w:pPr>
    </w:p>
    <w:p w14:paraId="4478F583" w14:textId="08CCE1F8" w:rsidR="006227EC" w:rsidRPr="00F25744" w:rsidRDefault="00A54D82" w:rsidP="007A2278">
      <w:pPr>
        <w:pStyle w:val="2"/>
      </w:pPr>
      <w:bookmarkStart w:id="286" w:name="_Toc46226047"/>
      <w:bookmarkStart w:id="287" w:name="_Toc46226191"/>
      <w:bookmarkStart w:id="288" w:name="_Toc46228358"/>
      <w:bookmarkStart w:id="289" w:name="_Toc46228456"/>
      <w:bookmarkStart w:id="290" w:name="_Toc46230383"/>
      <w:bookmarkStart w:id="291" w:name="_Toc46230481"/>
      <w:bookmarkStart w:id="292" w:name="_Toc46310371"/>
      <w:bookmarkStart w:id="293" w:name="_Toc46414013"/>
      <w:bookmarkStart w:id="294" w:name="_Toc49352749"/>
      <w:bookmarkStart w:id="295" w:name="_Toc49429654"/>
      <w:bookmarkStart w:id="296" w:name="_Toc49435883"/>
      <w:r>
        <w:rPr>
          <w:rFonts w:hint="cs"/>
          <w:u w:val="none"/>
          <w:rtl/>
        </w:rPr>
        <w:t xml:space="preserve"> </w:t>
      </w:r>
      <w:bookmarkStart w:id="297" w:name="_Toc74750973"/>
      <w:r w:rsidR="00E25AE7" w:rsidRPr="00F25744">
        <w:rPr>
          <w:rFonts w:hint="cs"/>
          <w:rtl/>
        </w:rPr>
        <w:t>איסוף נתוני המחשוב על תדירות האירועים המרכזיים בחיי התיק</w:t>
      </w:r>
      <w:bookmarkEnd w:id="286"/>
      <w:bookmarkEnd w:id="287"/>
      <w:bookmarkEnd w:id="288"/>
      <w:bookmarkEnd w:id="289"/>
      <w:bookmarkEnd w:id="290"/>
      <w:bookmarkEnd w:id="291"/>
      <w:bookmarkEnd w:id="292"/>
      <w:bookmarkEnd w:id="293"/>
      <w:bookmarkEnd w:id="294"/>
      <w:bookmarkEnd w:id="295"/>
      <w:bookmarkEnd w:id="296"/>
      <w:bookmarkEnd w:id="297"/>
    </w:p>
    <w:p w14:paraId="6F6F79E1" w14:textId="77777777" w:rsidR="00F0220D" w:rsidRPr="00F25744" w:rsidRDefault="00E25AE7" w:rsidP="00B752BF">
      <w:pPr>
        <w:spacing w:before="120" w:after="0" w:line="360" w:lineRule="auto"/>
        <w:jc w:val="both"/>
        <w:rPr>
          <w:color w:val="1F497D"/>
        </w:rPr>
      </w:pPr>
      <w:r w:rsidRPr="00F25744">
        <w:rPr>
          <w:rFonts w:cs="David" w:hint="cs"/>
          <w:sz w:val="24"/>
          <w:szCs w:val="24"/>
          <w:rtl/>
        </w:rPr>
        <w:t>מחלקת המחשוב של הנהלת בתי המשפט סיפקה למחלקת המחקר</w:t>
      </w:r>
      <w:r w:rsidR="00524D16" w:rsidRPr="00F25744">
        <w:rPr>
          <w:rFonts w:cs="David" w:hint="cs"/>
          <w:sz w:val="24"/>
          <w:szCs w:val="24"/>
          <w:rtl/>
        </w:rPr>
        <w:t xml:space="preserve"> </w:t>
      </w:r>
      <w:r w:rsidRPr="00F25744">
        <w:rPr>
          <w:rFonts w:cs="David" w:hint="cs"/>
          <w:sz w:val="24"/>
          <w:szCs w:val="24"/>
          <w:rtl/>
        </w:rPr>
        <w:t>נתונים רבים ממערכת "נט-המשפט"</w:t>
      </w:r>
      <w:r w:rsidR="003D082F" w:rsidRPr="00F25744">
        <w:rPr>
          <w:rFonts w:cs="David" w:hint="cs"/>
          <w:sz w:val="24"/>
          <w:szCs w:val="24"/>
          <w:rtl/>
        </w:rPr>
        <w:t>,</w:t>
      </w:r>
      <w:r w:rsidRPr="00F25744">
        <w:rPr>
          <w:rFonts w:cs="David" w:hint="cs"/>
          <w:sz w:val="24"/>
          <w:szCs w:val="24"/>
          <w:rtl/>
        </w:rPr>
        <w:t xml:space="preserve"> החיוניים לחישוב הזמן השיפוטי הדרוש לשופטים לט</w:t>
      </w:r>
      <w:r w:rsidR="00550200" w:rsidRPr="00F25744">
        <w:rPr>
          <w:rFonts w:cs="David" w:hint="cs"/>
          <w:sz w:val="24"/>
          <w:szCs w:val="24"/>
          <w:rtl/>
        </w:rPr>
        <w:t>י</w:t>
      </w:r>
      <w:r w:rsidRPr="00F25744">
        <w:rPr>
          <w:rFonts w:cs="David" w:hint="cs"/>
          <w:sz w:val="24"/>
          <w:szCs w:val="24"/>
          <w:rtl/>
        </w:rPr>
        <w:t>פ</w:t>
      </w:r>
      <w:r w:rsidR="00550200" w:rsidRPr="00F25744">
        <w:rPr>
          <w:rFonts w:cs="David" w:hint="cs"/>
          <w:sz w:val="24"/>
          <w:szCs w:val="24"/>
          <w:rtl/>
        </w:rPr>
        <w:t>ו</w:t>
      </w:r>
      <w:r w:rsidRPr="00F25744">
        <w:rPr>
          <w:rFonts w:cs="David" w:hint="cs"/>
          <w:sz w:val="24"/>
          <w:szCs w:val="24"/>
          <w:rtl/>
        </w:rPr>
        <w:t xml:space="preserve">ל בתיקי המערכת. </w:t>
      </w:r>
      <w:r w:rsidR="00F0220D" w:rsidRPr="00F25744">
        <w:rPr>
          <w:rFonts w:cs="David" w:hint="cs"/>
          <w:sz w:val="24"/>
          <w:szCs w:val="24"/>
          <w:rtl/>
        </w:rPr>
        <w:t xml:space="preserve">יצוין, כי עד כה השיטה המקובלת הייתה להשתמש בנתוני השנה החולפת, </w:t>
      </w:r>
      <w:r w:rsidR="003D082F" w:rsidRPr="00F25744">
        <w:rPr>
          <w:rFonts w:cs="David" w:hint="cs"/>
          <w:sz w:val="24"/>
          <w:szCs w:val="24"/>
          <w:rtl/>
        </w:rPr>
        <w:t xml:space="preserve">ובמקרה זה - </w:t>
      </w:r>
      <w:r w:rsidR="00F0220D" w:rsidRPr="00F25744">
        <w:rPr>
          <w:rFonts w:cs="David" w:hint="cs"/>
          <w:sz w:val="24"/>
          <w:szCs w:val="24"/>
          <w:rtl/>
        </w:rPr>
        <w:t xml:space="preserve">שנת 2019. אולם, </w:t>
      </w:r>
      <w:r w:rsidR="00F03F90" w:rsidRPr="00F25744">
        <w:rPr>
          <w:rFonts w:cs="David" w:hint="cs"/>
          <w:sz w:val="24"/>
          <w:szCs w:val="24"/>
          <w:rtl/>
        </w:rPr>
        <w:t xml:space="preserve">לצורך המחקר הוחלט לעבור לחישוב נתונים ממוצעים משלוש השנים האחרונות, היינו, 2019-2017. זאת, </w:t>
      </w:r>
      <w:r w:rsidR="00F0220D" w:rsidRPr="00F25744">
        <w:rPr>
          <w:rFonts w:cs="David" w:hint="cs"/>
          <w:sz w:val="24"/>
          <w:szCs w:val="24"/>
          <w:rtl/>
        </w:rPr>
        <w:t>לאור הערות שעלו בנושא זה מצד נשיאי בתי המשפט</w:t>
      </w:r>
      <w:r w:rsidR="00F03F90" w:rsidRPr="00F25744">
        <w:rPr>
          <w:rFonts w:cs="David" w:hint="cs"/>
          <w:sz w:val="24"/>
          <w:szCs w:val="24"/>
          <w:rtl/>
        </w:rPr>
        <w:t xml:space="preserve">; </w:t>
      </w:r>
      <w:r w:rsidR="00E07192" w:rsidRPr="00F25744">
        <w:rPr>
          <w:rFonts w:cs="David" w:hint="cs"/>
          <w:sz w:val="24"/>
          <w:szCs w:val="24"/>
          <w:rtl/>
        </w:rPr>
        <w:t>בהתאם למחקרי</w:t>
      </w:r>
      <w:r w:rsidR="00AC1F05" w:rsidRPr="00F25744">
        <w:rPr>
          <w:rFonts w:cs="David" w:hint="cs"/>
          <w:sz w:val="24"/>
          <w:szCs w:val="24"/>
          <w:rtl/>
        </w:rPr>
        <w:t xml:space="preserve"> משקלות</w:t>
      </w:r>
      <w:r w:rsidR="00E07192" w:rsidRPr="00F25744">
        <w:rPr>
          <w:rFonts w:cs="David" w:hint="cs"/>
          <w:sz w:val="24"/>
          <w:szCs w:val="24"/>
          <w:rtl/>
        </w:rPr>
        <w:t xml:space="preserve"> עדכניים שנערכו בעולם</w:t>
      </w:r>
      <w:r w:rsidR="00F03F90" w:rsidRPr="00F25744">
        <w:rPr>
          <w:rFonts w:cs="David" w:hint="cs"/>
          <w:sz w:val="24"/>
          <w:szCs w:val="24"/>
          <w:rtl/>
        </w:rPr>
        <w:t xml:space="preserve">; </w:t>
      </w:r>
      <w:r w:rsidR="00F0220D" w:rsidRPr="00F25744">
        <w:rPr>
          <w:rFonts w:cs="David" w:hint="cs"/>
          <w:sz w:val="24"/>
          <w:szCs w:val="24"/>
          <w:rtl/>
        </w:rPr>
        <w:t>על מנת לנטרל השפעה קיצונית כלשהי שעשויה להיות לשימוש בנתוני שנה אחת בלב</w:t>
      </w:r>
      <w:r w:rsidR="00B752BF" w:rsidRPr="00F25744">
        <w:rPr>
          <w:rFonts w:cs="David" w:hint="cs"/>
          <w:sz w:val="24"/>
          <w:szCs w:val="24"/>
          <w:rtl/>
        </w:rPr>
        <w:t>ד</w:t>
      </w:r>
      <w:r w:rsidR="00F03F90" w:rsidRPr="00F25744">
        <w:rPr>
          <w:rFonts w:cs="David" w:hint="cs"/>
          <w:sz w:val="24"/>
          <w:szCs w:val="24"/>
          <w:rtl/>
        </w:rPr>
        <w:t xml:space="preserve">; ובכדי </w:t>
      </w:r>
      <w:r w:rsidR="00F0220D" w:rsidRPr="00F25744">
        <w:rPr>
          <w:rFonts w:cs="David" w:hint="cs"/>
          <w:sz w:val="24"/>
          <w:szCs w:val="24"/>
          <w:rtl/>
        </w:rPr>
        <w:t>שהנתונים ישקפו טוב יותר את הממוצעים האמתיים</w:t>
      </w:r>
      <w:r w:rsidR="00F03F90" w:rsidRPr="00F25744">
        <w:rPr>
          <w:rFonts w:cs="David" w:hint="cs"/>
          <w:sz w:val="24"/>
          <w:szCs w:val="24"/>
          <w:rtl/>
        </w:rPr>
        <w:t xml:space="preserve">. </w:t>
      </w:r>
    </w:p>
    <w:p w14:paraId="22A39E08" w14:textId="77777777" w:rsidR="006227EC" w:rsidRPr="00F25744" w:rsidRDefault="00E25AE7" w:rsidP="00F03F90">
      <w:pPr>
        <w:spacing w:before="120" w:after="0" w:line="360" w:lineRule="auto"/>
        <w:jc w:val="both"/>
        <w:rPr>
          <w:rFonts w:cs="David"/>
          <w:sz w:val="24"/>
          <w:szCs w:val="24"/>
          <w:rtl/>
        </w:rPr>
      </w:pPr>
      <w:r w:rsidRPr="00F25744">
        <w:rPr>
          <w:rFonts w:cs="David" w:hint="cs"/>
          <w:sz w:val="24"/>
          <w:szCs w:val="24"/>
          <w:rtl/>
        </w:rPr>
        <w:t xml:space="preserve">בין היתר, התקבלו </w:t>
      </w:r>
      <w:r w:rsidR="00F03F90" w:rsidRPr="00F25744">
        <w:rPr>
          <w:rFonts w:cs="David" w:hint="cs"/>
          <w:sz w:val="24"/>
          <w:szCs w:val="24"/>
          <w:rtl/>
        </w:rPr>
        <w:t xml:space="preserve">ממחלקת המחשוב </w:t>
      </w:r>
      <w:r w:rsidRPr="00F25744">
        <w:rPr>
          <w:rFonts w:cs="David" w:hint="cs"/>
          <w:sz w:val="24"/>
          <w:szCs w:val="24"/>
          <w:rtl/>
        </w:rPr>
        <w:t xml:space="preserve">הנתונים הבאים: </w:t>
      </w:r>
      <w:r w:rsidR="00F0220D" w:rsidRPr="00F25744">
        <w:rPr>
          <w:rFonts w:cs="David" w:hint="cs"/>
          <w:sz w:val="24"/>
          <w:szCs w:val="24"/>
          <w:rtl/>
        </w:rPr>
        <w:t>כמות</w:t>
      </w:r>
      <w:r w:rsidRPr="00F25744">
        <w:rPr>
          <w:rFonts w:cs="David" w:hint="cs"/>
          <w:sz w:val="24"/>
          <w:szCs w:val="24"/>
          <w:rtl/>
        </w:rPr>
        <w:t xml:space="preserve"> התיקים שנפתחו</w:t>
      </w:r>
      <w:r w:rsidR="00F0220D" w:rsidRPr="00F25744">
        <w:rPr>
          <w:rFonts w:cs="David" w:hint="cs"/>
          <w:sz w:val="24"/>
          <w:szCs w:val="24"/>
          <w:rtl/>
        </w:rPr>
        <w:t xml:space="preserve"> ושנסגרו בשלוש השנים האחרונות </w:t>
      </w:r>
      <w:r w:rsidRPr="00F25744">
        <w:rPr>
          <w:rFonts w:cs="David" w:hint="cs"/>
          <w:sz w:val="24"/>
          <w:szCs w:val="24"/>
          <w:rtl/>
        </w:rPr>
        <w:t xml:space="preserve"> בחלוקה לסוגי התיקים השונים ולערכאות</w:t>
      </w:r>
      <w:r w:rsidR="00F03F90" w:rsidRPr="00F25744">
        <w:rPr>
          <w:rFonts w:cs="David" w:hint="cs"/>
          <w:sz w:val="24"/>
          <w:szCs w:val="24"/>
          <w:rtl/>
        </w:rPr>
        <w:t>;</w:t>
      </w:r>
      <w:r w:rsidRPr="00F25744">
        <w:rPr>
          <w:rFonts w:cs="David" w:hint="cs"/>
          <w:sz w:val="24"/>
          <w:szCs w:val="24"/>
          <w:rtl/>
        </w:rPr>
        <w:t xml:space="preserve"> ממוצע התרחשותם של האירועים השונים בכל סוג תיק, </w:t>
      </w:r>
      <w:r w:rsidRPr="00F25744">
        <w:rPr>
          <w:rFonts w:ascii="David" w:hAnsi="David" w:cs="David" w:hint="cs"/>
          <w:sz w:val="24"/>
          <w:szCs w:val="24"/>
          <w:rtl/>
        </w:rPr>
        <w:t>ביחס לכלל אוכלוסיית התיק</w:t>
      </w:r>
      <w:r w:rsidR="00550200" w:rsidRPr="00F25744">
        <w:rPr>
          <w:rFonts w:ascii="David" w:hAnsi="David" w:cs="David" w:hint="cs"/>
          <w:sz w:val="24"/>
          <w:szCs w:val="24"/>
          <w:rtl/>
        </w:rPr>
        <w:t xml:space="preserve">ים אשר נסגרו במערכת המשפט </w:t>
      </w:r>
      <w:r w:rsidR="00F0220D" w:rsidRPr="00F25744">
        <w:rPr>
          <w:rFonts w:cs="David" w:hint="cs"/>
          <w:sz w:val="24"/>
          <w:szCs w:val="24"/>
          <w:rtl/>
        </w:rPr>
        <w:t>בשלוש השנים האחרונות</w:t>
      </w:r>
      <w:r w:rsidRPr="00F25744">
        <w:rPr>
          <w:rFonts w:ascii="David" w:hAnsi="David" w:cs="David" w:hint="cs"/>
          <w:sz w:val="24"/>
          <w:szCs w:val="24"/>
          <w:rtl/>
        </w:rPr>
        <w:t>:</w:t>
      </w:r>
      <w:r w:rsidRPr="00F25744">
        <w:rPr>
          <w:rFonts w:cs="David" w:hint="cs"/>
          <w:sz w:val="24"/>
          <w:szCs w:val="24"/>
          <w:rtl/>
        </w:rPr>
        <w:t xml:space="preserve"> דיוני הוכחות, דיונים שאינם הוכחות, החלטות ביניים, פסקי דין והחלטות בפתקית. כמו כן התקבל המספר הממוצע של עמודים בהחלטות ביניים בכל סוג תיק.</w:t>
      </w:r>
      <w:r w:rsidR="00CA38D1" w:rsidRPr="00F25744">
        <w:rPr>
          <w:rStyle w:val="a6"/>
          <w:rFonts w:cs="David"/>
          <w:sz w:val="24"/>
          <w:szCs w:val="24"/>
          <w:rtl/>
        </w:rPr>
        <w:footnoteReference w:id="21"/>
      </w:r>
      <w:r w:rsidRPr="00F25744">
        <w:rPr>
          <w:rFonts w:cs="David" w:hint="cs"/>
          <w:sz w:val="24"/>
          <w:szCs w:val="24"/>
          <w:rtl/>
        </w:rPr>
        <w:t xml:space="preserve"> יוער, כי במקרים שבהם נתוני המחשב שהתקבלו היו נדירים (למשל, התקבל מספר ממוצע של עמודים בהחלטת ביניים בסוג תיק נדיר, שנפתחו ממנו </w:t>
      </w:r>
      <w:r w:rsidR="00F0220D" w:rsidRPr="00F25744">
        <w:rPr>
          <w:rFonts w:cs="David" w:hint="cs"/>
          <w:sz w:val="24"/>
          <w:szCs w:val="24"/>
          <w:rtl/>
        </w:rPr>
        <w:t>פחות מעשרה תיקים בשלוש השנים האחרונות)</w:t>
      </w:r>
      <w:r w:rsidRPr="00F25744">
        <w:rPr>
          <w:rFonts w:cs="David" w:hint="cs"/>
          <w:sz w:val="24"/>
          <w:szCs w:val="24"/>
          <w:rtl/>
        </w:rPr>
        <w:t>, הפנינו שאלה לגבי נתון זה להערכת השופטים במסגרת השאלון המסכם, לצורך תיקוף הנתון שהתקבל.</w:t>
      </w:r>
    </w:p>
    <w:p w14:paraId="79F264F5" w14:textId="77777777" w:rsidR="006227EC" w:rsidRPr="00F25744" w:rsidRDefault="006227EC" w:rsidP="006227EC">
      <w:pPr>
        <w:spacing w:after="0" w:line="240" w:lineRule="auto"/>
        <w:jc w:val="both"/>
        <w:rPr>
          <w:rFonts w:cs="David"/>
          <w:sz w:val="24"/>
          <w:szCs w:val="24"/>
          <w:rtl/>
        </w:rPr>
      </w:pPr>
    </w:p>
    <w:p w14:paraId="6317F2DA" w14:textId="77777777" w:rsidR="006227EC" w:rsidRPr="00F25744" w:rsidRDefault="00E25AE7" w:rsidP="007A2278">
      <w:pPr>
        <w:pStyle w:val="2"/>
      </w:pPr>
      <w:r w:rsidRPr="00A54D82">
        <w:rPr>
          <w:rFonts w:hint="cs"/>
          <w:u w:val="none"/>
          <w:rtl/>
        </w:rPr>
        <w:t xml:space="preserve"> </w:t>
      </w:r>
      <w:bookmarkStart w:id="298" w:name="_Toc46226048"/>
      <w:bookmarkStart w:id="299" w:name="_Toc46226192"/>
      <w:bookmarkStart w:id="300" w:name="_Toc46228359"/>
      <w:bookmarkStart w:id="301" w:name="_Toc46228457"/>
      <w:bookmarkStart w:id="302" w:name="_Toc46230384"/>
      <w:bookmarkStart w:id="303" w:name="_Toc46230482"/>
      <w:bookmarkStart w:id="304" w:name="_Toc46310372"/>
      <w:bookmarkStart w:id="305" w:name="_Toc46414014"/>
      <w:bookmarkStart w:id="306" w:name="_Toc49352750"/>
      <w:bookmarkStart w:id="307" w:name="_Toc49429655"/>
      <w:bookmarkStart w:id="308" w:name="_Toc49435884"/>
      <w:bookmarkStart w:id="309" w:name="_Toc74750974"/>
      <w:r w:rsidRPr="00F25744">
        <w:rPr>
          <w:rFonts w:hint="cs"/>
          <w:rtl/>
        </w:rPr>
        <w:t>תוצרי המחקר</w:t>
      </w:r>
      <w:bookmarkEnd w:id="298"/>
      <w:bookmarkEnd w:id="299"/>
      <w:bookmarkEnd w:id="300"/>
      <w:bookmarkEnd w:id="301"/>
      <w:bookmarkEnd w:id="302"/>
      <w:bookmarkEnd w:id="303"/>
      <w:bookmarkEnd w:id="304"/>
      <w:bookmarkEnd w:id="305"/>
      <w:bookmarkEnd w:id="306"/>
      <w:bookmarkEnd w:id="307"/>
      <w:bookmarkEnd w:id="308"/>
      <w:bookmarkEnd w:id="309"/>
    </w:p>
    <w:p w14:paraId="28CC8C1C" w14:textId="3D5833B3" w:rsidR="006227EC" w:rsidRDefault="00E25AE7" w:rsidP="00BD23BB">
      <w:pPr>
        <w:spacing w:before="120" w:after="0" w:line="360" w:lineRule="auto"/>
        <w:jc w:val="both"/>
        <w:rPr>
          <w:rFonts w:cs="David"/>
          <w:sz w:val="24"/>
          <w:szCs w:val="24"/>
          <w:rtl/>
        </w:rPr>
      </w:pPr>
      <w:r w:rsidRPr="00F25744">
        <w:rPr>
          <w:rFonts w:cs="David" w:hint="cs"/>
          <w:sz w:val="24"/>
          <w:szCs w:val="24"/>
          <w:rtl/>
        </w:rPr>
        <w:t>מחקר עומס העבודה השיפוטית הניב שני תוצרים עיקריים: זמן העבודה השיפוטי הדרוש לטיפול בסוגי התיקים השונים בערכאות השונות, ותמהיל יום העבודה השיפוטי. אופן חישוב התוצרים הללו יוצג להלן</w:t>
      </w:r>
      <w:r w:rsidR="00524D16" w:rsidRPr="00F25744">
        <w:rPr>
          <w:rFonts w:cs="David" w:hint="cs"/>
          <w:sz w:val="24"/>
          <w:szCs w:val="24"/>
          <w:rtl/>
        </w:rPr>
        <w:t>.</w:t>
      </w:r>
    </w:p>
    <w:p w14:paraId="7BC42374" w14:textId="77777777" w:rsidR="00FD5B64" w:rsidRPr="00F25744" w:rsidRDefault="00FD5B64" w:rsidP="00BD23BB">
      <w:pPr>
        <w:spacing w:before="120" w:after="0" w:line="360" w:lineRule="auto"/>
        <w:jc w:val="both"/>
        <w:rPr>
          <w:rFonts w:cs="David"/>
          <w:sz w:val="24"/>
          <w:szCs w:val="24"/>
          <w:rtl/>
        </w:rPr>
      </w:pPr>
    </w:p>
    <w:p w14:paraId="4A27CBC3" w14:textId="77777777" w:rsidR="006227EC" w:rsidRPr="00F25744" w:rsidRDefault="006227EC" w:rsidP="00D332BA">
      <w:pPr>
        <w:spacing w:after="0" w:line="240" w:lineRule="auto"/>
        <w:ind w:left="360"/>
        <w:jc w:val="both"/>
        <w:rPr>
          <w:rFonts w:cs="David"/>
          <w:sz w:val="24"/>
          <w:szCs w:val="24"/>
        </w:rPr>
      </w:pPr>
    </w:p>
    <w:p w14:paraId="73C0DD84" w14:textId="77777777" w:rsidR="006227EC" w:rsidRPr="00F25744" w:rsidRDefault="00E25AE7" w:rsidP="00A54D82">
      <w:pPr>
        <w:pStyle w:val="3"/>
        <w:ind w:left="852"/>
      </w:pPr>
      <w:r w:rsidRPr="00F25744">
        <w:rPr>
          <w:rFonts w:hint="cs"/>
          <w:rtl/>
        </w:rPr>
        <w:lastRenderedPageBreak/>
        <w:t xml:space="preserve"> </w:t>
      </w:r>
      <w:bookmarkStart w:id="310" w:name="_Toc46226049"/>
      <w:bookmarkStart w:id="311" w:name="_Toc46226193"/>
      <w:bookmarkStart w:id="312" w:name="_Toc46228360"/>
      <w:bookmarkStart w:id="313" w:name="_Toc46228458"/>
      <w:bookmarkStart w:id="314" w:name="_Toc46230385"/>
      <w:bookmarkStart w:id="315" w:name="_Toc46230483"/>
      <w:bookmarkStart w:id="316" w:name="_Toc46310373"/>
      <w:bookmarkStart w:id="317" w:name="_Toc46414015"/>
      <w:bookmarkStart w:id="318" w:name="_Toc49352751"/>
      <w:bookmarkStart w:id="319" w:name="_Toc49429656"/>
      <w:bookmarkStart w:id="320" w:name="_Toc49435885"/>
      <w:bookmarkStart w:id="321" w:name="_Toc74750975"/>
      <w:r w:rsidR="0069290D" w:rsidRPr="00F25744">
        <w:rPr>
          <w:rFonts w:hint="cs"/>
          <w:rtl/>
        </w:rPr>
        <w:t xml:space="preserve">אופן </w:t>
      </w:r>
      <w:r w:rsidRPr="00F25744">
        <w:rPr>
          <w:rFonts w:hint="cs"/>
          <w:rtl/>
        </w:rPr>
        <w:t>חישוב הזמן השיפוטי הדרוש לטיפול בכל אחד מסוגי התיקים</w:t>
      </w:r>
      <w:bookmarkEnd w:id="310"/>
      <w:bookmarkEnd w:id="311"/>
      <w:bookmarkEnd w:id="312"/>
      <w:bookmarkEnd w:id="313"/>
      <w:bookmarkEnd w:id="314"/>
      <w:bookmarkEnd w:id="315"/>
      <w:bookmarkEnd w:id="316"/>
      <w:bookmarkEnd w:id="317"/>
      <w:bookmarkEnd w:id="318"/>
      <w:bookmarkEnd w:id="319"/>
      <w:bookmarkEnd w:id="320"/>
      <w:bookmarkEnd w:id="321"/>
    </w:p>
    <w:p w14:paraId="48FEFD73" w14:textId="77777777" w:rsidR="006227EC" w:rsidRPr="00F25744" w:rsidRDefault="00E25AE7" w:rsidP="00BD23BB">
      <w:pPr>
        <w:spacing w:before="120" w:after="0" w:line="360" w:lineRule="auto"/>
        <w:jc w:val="both"/>
        <w:rPr>
          <w:rFonts w:cs="David"/>
          <w:sz w:val="24"/>
          <w:szCs w:val="24"/>
          <w:rtl/>
        </w:rPr>
      </w:pPr>
      <w:r w:rsidRPr="00F25744">
        <w:rPr>
          <w:rFonts w:cs="David" w:hint="cs"/>
          <w:sz w:val="24"/>
          <w:szCs w:val="24"/>
          <w:rtl/>
        </w:rPr>
        <w:t xml:space="preserve">כפי שתואר לעיל, מחלקת המחקר אספה נתונים מארבעה מקורות שונים, אשר הניבו תוצאות הן לגבי תדירותן של הפעולות השיפוטיות השונות המתקיימות בכל תיק </w:t>
      </w:r>
      <w:r w:rsidRPr="00F25744">
        <w:rPr>
          <w:rFonts w:cs="David"/>
          <w:sz w:val="24"/>
          <w:szCs w:val="24"/>
          <w:rtl/>
        </w:rPr>
        <w:t>–</w:t>
      </w:r>
      <w:r w:rsidRPr="00F25744">
        <w:rPr>
          <w:rFonts w:cs="David" w:hint="cs"/>
          <w:sz w:val="24"/>
          <w:szCs w:val="24"/>
          <w:rtl/>
        </w:rPr>
        <w:t xml:space="preserve"> הכנה ושמיעת דיונים וכתיבת החלטות ביניים</w:t>
      </w:r>
      <w:r w:rsidR="00A36C7A" w:rsidRPr="00F25744">
        <w:rPr>
          <w:rFonts w:cs="David" w:hint="cs"/>
          <w:sz w:val="24"/>
          <w:szCs w:val="24"/>
          <w:rtl/>
        </w:rPr>
        <w:t xml:space="preserve"> (לרבות פתקיות)</w:t>
      </w:r>
      <w:r w:rsidRPr="00F25744">
        <w:rPr>
          <w:rFonts w:cs="David" w:hint="cs"/>
          <w:sz w:val="24"/>
          <w:szCs w:val="24"/>
          <w:rtl/>
        </w:rPr>
        <w:t xml:space="preserve"> ופסקי דין, והן לגבי הזמן השיפוטי הדרוש לביצוע פעולות אלו.</w:t>
      </w:r>
    </w:p>
    <w:p w14:paraId="794DFF36" w14:textId="77777777" w:rsidR="006227EC" w:rsidRPr="00F25744" w:rsidRDefault="00E25AE7" w:rsidP="00BD23BB">
      <w:pPr>
        <w:spacing w:before="120" w:after="0" w:line="360" w:lineRule="auto"/>
        <w:jc w:val="both"/>
        <w:rPr>
          <w:rFonts w:cs="David"/>
          <w:sz w:val="24"/>
          <w:szCs w:val="24"/>
          <w:rtl/>
        </w:rPr>
      </w:pPr>
      <w:r w:rsidRPr="00F25744">
        <w:rPr>
          <w:rFonts w:cs="David" w:hint="cs"/>
          <w:sz w:val="24"/>
          <w:szCs w:val="24"/>
          <w:rtl/>
        </w:rPr>
        <w:t>נתונים אלו הוזנו לתוך נוסחה כללית שנועדה לחשב את הזמן השיפוטי הדרוש לטיפול בכל אחד מסוגי התיקים מתחילתו ועד סופו. למעשה, הזמן השיפוטי הדרוש לטיפול בתיק ה</w:t>
      </w:r>
      <w:r w:rsidR="000D5788" w:rsidRPr="00F25744">
        <w:rPr>
          <w:rFonts w:cs="David" w:hint="cs"/>
          <w:sz w:val="24"/>
          <w:szCs w:val="24"/>
          <w:rtl/>
        </w:rPr>
        <w:t>וא</w:t>
      </w:r>
      <w:r w:rsidRPr="00F25744">
        <w:rPr>
          <w:rFonts w:cs="David" w:hint="cs"/>
          <w:sz w:val="24"/>
          <w:szCs w:val="24"/>
          <w:rtl/>
        </w:rPr>
        <w:t xml:space="preserve"> תוצאת הסכימה של מכפלת זמני הפעילויות השונות בתדירות </w:t>
      </w:r>
      <w:r w:rsidR="000D2901" w:rsidRPr="00F25744">
        <w:rPr>
          <w:rFonts w:cs="David" w:hint="cs"/>
          <w:sz w:val="24"/>
          <w:szCs w:val="24"/>
          <w:rtl/>
        </w:rPr>
        <w:t>התרחשותן</w:t>
      </w:r>
      <w:r w:rsidRPr="00F25744">
        <w:rPr>
          <w:rFonts w:cs="David" w:hint="cs"/>
          <w:sz w:val="24"/>
          <w:szCs w:val="24"/>
          <w:rtl/>
        </w:rPr>
        <w:t xml:space="preserve">. </w:t>
      </w:r>
      <w:r w:rsidRPr="00F25744">
        <w:rPr>
          <w:rFonts w:cs="David" w:hint="cs"/>
          <w:b/>
          <w:bCs/>
          <w:sz w:val="24"/>
          <w:szCs w:val="24"/>
          <w:rtl/>
        </w:rPr>
        <w:t>הנוסחה</w:t>
      </w:r>
      <w:r w:rsidRPr="00F25744">
        <w:rPr>
          <w:rFonts w:cs="David" w:hint="cs"/>
          <w:sz w:val="24"/>
          <w:szCs w:val="24"/>
          <w:rtl/>
        </w:rPr>
        <w:t xml:space="preserve"> </w:t>
      </w:r>
      <w:r w:rsidRPr="00F25744">
        <w:rPr>
          <w:rFonts w:cs="David" w:hint="cs"/>
          <w:b/>
          <w:bCs/>
          <w:sz w:val="24"/>
          <w:szCs w:val="24"/>
          <w:rtl/>
        </w:rPr>
        <w:t>הכללית</w:t>
      </w:r>
      <w:r w:rsidRPr="00F25744">
        <w:rPr>
          <w:rFonts w:cs="David" w:hint="cs"/>
          <w:sz w:val="24"/>
          <w:szCs w:val="24"/>
          <w:rtl/>
        </w:rPr>
        <w:t xml:space="preserve"> הורכבה </w:t>
      </w:r>
      <w:r w:rsidR="00A36C7A" w:rsidRPr="00F25744">
        <w:rPr>
          <w:rFonts w:cs="David" w:hint="cs"/>
          <w:sz w:val="24"/>
          <w:szCs w:val="24"/>
          <w:rtl/>
        </w:rPr>
        <w:t>מ</w:t>
      </w:r>
      <w:r w:rsidRPr="00F25744">
        <w:rPr>
          <w:rFonts w:cs="David" w:hint="cs"/>
          <w:sz w:val="24"/>
          <w:szCs w:val="24"/>
          <w:rtl/>
        </w:rPr>
        <w:t>החישובים הבאים:</w:t>
      </w:r>
    </w:p>
    <w:p w14:paraId="4044C409" w14:textId="271AFCDB" w:rsidR="0021253C" w:rsidRPr="00F25744" w:rsidRDefault="00E25AE7" w:rsidP="00BD23BB">
      <w:pPr>
        <w:spacing w:before="120" w:after="0" w:line="360" w:lineRule="auto"/>
        <w:jc w:val="both"/>
        <w:rPr>
          <w:rtl/>
        </w:rPr>
      </w:pPr>
      <w:r w:rsidRPr="00F25744">
        <w:rPr>
          <w:rFonts w:cs="David" w:hint="cs"/>
          <w:b/>
          <w:bCs/>
          <w:sz w:val="24"/>
          <w:szCs w:val="24"/>
          <w:rtl/>
        </w:rPr>
        <w:t>זמני ההכנה לדיונים</w:t>
      </w:r>
      <w:r w:rsidRPr="00F25744">
        <w:rPr>
          <w:rFonts w:cs="David" w:hint="cs"/>
          <w:sz w:val="24"/>
          <w:szCs w:val="24"/>
          <w:rtl/>
        </w:rPr>
        <w:t>: בכל סוג תיק, המכפלה של זמן ההכנה הממוצע לדיון מסוג הוכחות בשכיחות שיתקיים דיון שכזה</w:t>
      </w:r>
      <w:r w:rsidR="000D5788" w:rsidRPr="00F25744">
        <w:rPr>
          <w:rFonts w:cs="David" w:hint="cs"/>
          <w:sz w:val="24"/>
          <w:szCs w:val="24"/>
          <w:rtl/>
        </w:rPr>
        <w:t>,</w:t>
      </w:r>
      <w:r w:rsidRPr="00F25744">
        <w:rPr>
          <w:rFonts w:cs="David" w:hint="cs"/>
          <w:sz w:val="24"/>
          <w:szCs w:val="24"/>
          <w:rtl/>
        </w:rPr>
        <w:t xml:space="preserve"> פלוס המכפלה של זמן ההכנה לדיון שאינו מסוג הוכחות בשכיחות שיתקיים דיון שכזה. בערכאת המחוזי נוספה המכפלה של זמן ההכנה המשותף לקראת דיוני הרכב בשכיחות הדיונים המתקיימים בהרכב.</w:t>
      </w:r>
    </w:p>
    <w:p w14:paraId="05340206" w14:textId="77777777" w:rsidR="00A26406" w:rsidRPr="00F25744" w:rsidRDefault="00A26406" w:rsidP="00A54D82">
      <w:pPr>
        <w:spacing w:before="120" w:after="0" w:line="240" w:lineRule="auto"/>
        <w:jc w:val="both"/>
        <w:rPr>
          <w:rtl/>
        </w:rPr>
      </w:pPr>
    </w:p>
    <w:p w14:paraId="29216C35" w14:textId="1F4EA8D8" w:rsidR="00AA5D31" w:rsidRPr="00F25744" w:rsidRDefault="00E25AE7" w:rsidP="00BD23BB">
      <w:pPr>
        <w:pStyle w:val="af6"/>
        <w:spacing w:line="240" w:lineRule="auto"/>
        <w:rPr>
          <w:sz w:val="24"/>
          <w:rtl/>
        </w:rPr>
      </w:pPr>
      <w:bookmarkStart w:id="322" w:name="_Toc76988524"/>
      <w:r w:rsidRPr="00F25744">
        <w:rPr>
          <w:rtl/>
        </w:rPr>
        <w:t xml:space="preserve">תרשים </w:t>
      </w:r>
      <w:r w:rsidRPr="00F25744">
        <w:rPr>
          <w:rtl/>
        </w:rPr>
        <w:fldChar w:fldCharType="begin"/>
      </w:r>
      <w:r w:rsidRPr="00F25744">
        <w:rPr>
          <w:rtl/>
        </w:rPr>
        <w:instrText xml:space="preserve"> </w:instrText>
      </w:r>
      <w:r w:rsidRPr="00F25744">
        <w:rPr>
          <w:rFonts w:hint="cs"/>
        </w:rPr>
        <w:instrText>SEQ</w:instrText>
      </w:r>
      <w:r w:rsidRPr="00F25744">
        <w:rPr>
          <w:rFonts w:hint="cs"/>
          <w:rtl/>
        </w:rPr>
        <w:instrText xml:space="preserve"> תרשים \* </w:instrText>
      </w:r>
      <w:r w:rsidRPr="00F25744">
        <w:rPr>
          <w:rFonts w:hint="cs"/>
        </w:rPr>
        <w:instrText>ARABIC</w:instrText>
      </w:r>
      <w:r w:rsidRPr="00F25744">
        <w:rPr>
          <w:rtl/>
        </w:rPr>
        <w:instrText xml:space="preserve"> </w:instrText>
      </w:r>
      <w:r w:rsidRPr="00F25744">
        <w:rPr>
          <w:rtl/>
        </w:rPr>
        <w:fldChar w:fldCharType="separate"/>
      </w:r>
      <w:r w:rsidR="008F1BC3">
        <w:rPr>
          <w:noProof/>
          <w:rtl/>
        </w:rPr>
        <w:t>3</w:t>
      </w:r>
      <w:r w:rsidRPr="00F25744">
        <w:rPr>
          <w:rtl/>
        </w:rPr>
        <w:fldChar w:fldCharType="end"/>
      </w:r>
      <w:r w:rsidR="007F3A52" w:rsidRPr="00F25744">
        <w:rPr>
          <w:rFonts w:hint="cs"/>
          <w:rtl/>
        </w:rPr>
        <w:t>: זמני ההכנה לדיונים</w:t>
      </w:r>
      <w:bookmarkEnd w:id="322"/>
    </w:p>
    <w:p w14:paraId="0240E60E" w14:textId="77777777" w:rsidR="007257D5" w:rsidRPr="00F25744" w:rsidRDefault="00E25AE7" w:rsidP="003C525E">
      <w:pPr>
        <w:spacing w:line="360" w:lineRule="auto"/>
        <w:ind w:left="225" w:hanging="223"/>
        <w:jc w:val="both"/>
        <w:rPr>
          <w:rFonts w:cs="David"/>
          <w:sz w:val="24"/>
          <w:szCs w:val="24"/>
          <w:rtl/>
        </w:rPr>
      </w:pPr>
      <w:r w:rsidRPr="00F25744">
        <w:rPr>
          <w:noProof/>
        </w:rPr>
        <w:drawing>
          <wp:inline distT="0" distB="0" distL="0" distR="0" wp14:anchorId="5906CC76" wp14:editId="74DEAD65">
            <wp:extent cx="5514340" cy="1143000"/>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967572" name="Picture 5"/>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5514340" cy="1143000"/>
                    </a:xfrm>
                    <a:prstGeom prst="rect">
                      <a:avLst/>
                    </a:prstGeom>
                    <a:noFill/>
                    <a:ln>
                      <a:noFill/>
                    </a:ln>
                  </pic:spPr>
                </pic:pic>
              </a:graphicData>
            </a:graphic>
          </wp:inline>
        </w:drawing>
      </w:r>
    </w:p>
    <w:p w14:paraId="0EC64E6D" w14:textId="77777777" w:rsidR="006221EF" w:rsidRPr="00F25744" w:rsidRDefault="00E25AE7" w:rsidP="00BD23BB">
      <w:pPr>
        <w:spacing w:before="120" w:line="360" w:lineRule="auto"/>
        <w:jc w:val="both"/>
        <w:rPr>
          <w:rFonts w:cs="David"/>
          <w:sz w:val="24"/>
          <w:szCs w:val="24"/>
          <w:rtl/>
        </w:rPr>
      </w:pPr>
      <w:r w:rsidRPr="00F25744">
        <w:rPr>
          <w:rFonts w:cs="David" w:hint="cs"/>
          <w:b/>
          <w:bCs/>
          <w:sz w:val="24"/>
          <w:szCs w:val="24"/>
          <w:rtl/>
        </w:rPr>
        <w:t>זמני שמיעת דיונים</w:t>
      </w:r>
      <w:r w:rsidRPr="00F25744">
        <w:rPr>
          <w:rFonts w:cs="David" w:hint="cs"/>
          <w:sz w:val="24"/>
          <w:szCs w:val="24"/>
          <w:rtl/>
        </w:rPr>
        <w:t>: בכל סוג תיק, המכפלה של משך דיון הוכחות בשכיחות הממוצעת של דיון כזה בתיק, פלוס המכפלה של משך דיון שאינו הוכחות בשכיחות הממוצעת של דיון כזה בתיק.</w:t>
      </w:r>
      <w:r w:rsidR="002D7D2D" w:rsidRPr="00F25744">
        <w:rPr>
          <w:rFonts w:cs="David" w:hint="cs"/>
          <w:sz w:val="24"/>
          <w:szCs w:val="24"/>
          <w:rtl/>
        </w:rPr>
        <w:t xml:space="preserve"> </w:t>
      </w:r>
    </w:p>
    <w:p w14:paraId="68BB6CEF" w14:textId="5CBBE409" w:rsidR="00AA5D31" w:rsidRPr="00F25744" w:rsidRDefault="00E25AE7" w:rsidP="00BD23BB">
      <w:pPr>
        <w:pStyle w:val="af6"/>
        <w:spacing w:line="240" w:lineRule="auto"/>
        <w:rPr>
          <w:rtl/>
        </w:rPr>
      </w:pPr>
      <w:bookmarkStart w:id="323" w:name="_Toc76988525"/>
      <w:r w:rsidRPr="00F25744">
        <w:rPr>
          <w:rtl/>
        </w:rPr>
        <w:t xml:space="preserve">תרשים </w:t>
      </w:r>
      <w:r w:rsidRPr="00F25744">
        <w:rPr>
          <w:rtl/>
        </w:rPr>
        <w:fldChar w:fldCharType="begin"/>
      </w:r>
      <w:r w:rsidRPr="00F25744">
        <w:rPr>
          <w:rtl/>
        </w:rPr>
        <w:instrText xml:space="preserve"> </w:instrText>
      </w:r>
      <w:r w:rsidRPr="00F25744">
        <w:rPr>
          <w:rFonts w:hint="cs"/>
        </w:rPr>
        <w:instrText>SEQ</w:instrText>
      </w:r>
      <w:r w:rsidRPr="00F25744">
        <w:rPr>
          <w:rFonts w:hint="cs"/>
          <w:rtl/>
        </w:rPr>
        <w:instrText xml:space="preserve"> תרשים \* </w:instrText>
      </w:r>
      <w:r w:rsidRPr="00F25744">
        <w:rPr>
          <w:rFonts w:hint="cs"/>
        </w:rPr>
        <w:instrText>ARABIC</w:instrText>
      </w:r>
      <w:r w:rsidRPr="00F25744">
        <w:rPr>
          <w:rtl/>
        </w:rPr>
        <w:instrText xml:space="preserve"> </w:instrText>
      </w:r>
      <w:r w:rsidRPr="00F25744">
        <w:rPr>
          <w:rtl/>
        </w:rPr>
        <w:fldChar w:fldCharType="separate"/>
      </w:r>
      <w:r w:rsidR="008F1BC3">
        <w:rPr>
          <w:noProof/>
          <w:rtl/>
        </w:rPr>
        <w:t>4</w:t>
      </w:r>
      <w:r w:rsidRPr="00F25744">
        <w:rPr>
          <w:rtl/>
        </w:rPr>
        <w:fldChar w:fldCharType="end"/>
      </w:r>
      <w:r w:rsidR="007F3A52" w:rsidRPr="00F25744">
        <w:rPr>
          <w:rFonts w:hint="cs"/>
          <w:rtl/>
        </w:rPr>
        <w:t>: זמני שמיעת דיונים</w:t>
      </w:r>
      <w:bookmarkEnd w:id="323"/>
    </w:p>
    <w:p w14:paraId="794F0CA6" w14:textId="77777777" w:rsidR="004702AE" w:rsidRPr="00F25744" w:rsidRDefault="00E25AE7" w:rsidP="003C525E">
      <w:pPr>
        <w:spacing w:line="360" w:lineRule="auto"/>
        <w:ind w:left="83" w:hanging="81"/>
        <w:jc w:val="both"/>
        <w:rPr>
          <w:rFonts w:cs="David"/>
          <w:sz w:val="24"/>
          <w:szCs w:val="24"/>
        </w:rPr>
      </w:pPr>
      <w:r w:rsidRPr="00F25744">
        <w:rPr>
          <w:noProof/>
        </w:rPr>
        <w:drawing>
          <wp:inline distT="0" distB="0" distL="0" distR="0" wp14:anchorId="1DAEF66D" wp14:editId="5C307B74">
            <wp:extent cx="5514340" cy="1350645"/>
            <wp:effectExtent l="0" t="0" r="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272961" name="Picture 6"/>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5514340" cy="1350645"/>
                    </a:xfrm>
                    <a:prstGeom prst="rect">
                      <a:avLst/>
                    </a:prstGeom>
                    <a:noFill/>
                    <a:ln>
                      <a:noFill/>
                    </a:ln>
                  </pic:spPr>
                </pic:pic>
              </a:graphicData>
            </a:graphic>
          </wp:inline>
        </w:drawing>
      </w:r>
    </w:p>
    <w:p w14:paraId="68A537DC" w14:textId="77777777" w:rsidR="003677A3" w:rsidRPr="00F25744" w:rsidRDefault="00E25AE7" w:rsidP="00E423D4">
      <w:pPr>
        <w:spacing w:line="360" w:lineRule="auto"/>
        <w:jc w:val="both"/>
        <w:rPr>
          <w:rtl/>
        </w:rPr>
      </w:pPr>
      <w:r w:rsidRPr="00F25744">
        <w:rPr>
          <w:rFonts w:cs="David" w:hint="cs"/>
          <w:b/>
          <w:bCs/>
          <w:sz w:val="24"/>
          <w:szCs w:val="24"/>
          <w:rtl/>
        </w:rPr>
        <w:t>זמני כתיבת החלטות</w:t>
      </w:r>
      <w:r w:rsidR="00A36C7A" w:rsidRPr="00F25744">
        <w:rPr>
          <w:rFonts w:cs="David" w:hint="cs"/>
          <w:b/>
          <w:bCs/>
          <w:sz w:val="24"/>
          <w:szCs w:val="24"/>
          <w:rtl/>
        </w:rPr>
        <w:t xml:space="preserve"> (לרבות פתקיות)</w:t>
      </w:r>
      <w:r w:rsidR="007F3A52" w:rsidRPr="00F25744">
        <w:rPr>
          <w:rFonts w:cs="David" w:hint="cs"/>
          <w:sz w:val="24"/>
          <w:szCs w:val="24"/>
          <w:rtl/>
        </w:rPr>
        <w:t>: בכל סוג תיק, המכפלה של הזמן הממוצע לכתיבת פתקית במספר הפתקיות הממוצע לאותו סוג תיק, פלוס המכפלה של הזמן הממוצע לכתיבת עמוד אחד של החלטת ביניים במספר העמודים הממוצע להחלטת ביניים כפול כמות ההחלטות שנכתבו במסמך עצמאי</w:t>
      </w:r>
      <w:r w:rsidR="000D5788" w:rsidRPr="00F25744">
        <w:rPr>
          <w:rFonts w:cs="David" w:hint="cs"/>
          <w:sz w:val="24"/>
          <w:szCs w:val="24"/>
          <w:rtl/>
        </w:rPr>
        <w:t>.</w:t>
      </w:r>
    </w:p>
    <w:p w14:paraId="2F8EF110" w14:textId="77777777" w:rsidR="00FD5B64" w:rsidRDefault="00FD5B64" w:rsidP="00BD23BB">
      <w:pPr>
        <w:pStyle w:val="af6"/>
        <w:spacing w:line="240" w:lineRule="auto"/>
        <w:rPr>
          <w:rtl/>
        </w:rPr>
      </w:pPr>
      <w:bookmarkStart w:id="324" w:name="_Toc76988526"/>
    </w:p>
    <w:p w14:paraId="66DD61EC" w14:textId="77777777" w:rsidR="00FD5B64" w:rsidRDefault="00FD5B64" w:rsidP="00BD23BB">
      <w:pPr>
        <w:pStyle w:val="af6"/>
        <w:spacing w:line="240" w:lineRule="auto"/>
        <w:rPr>
          <w:rtl/>
        </w:rPr>
      </w:pPr>
    </w:p>
    <w:p w14:paraId="255CE0FE" w14:textId="053FA3A6" w:rsidR="00AA5D31" w:rsidRPr="00F25744" w:rsidRDefault="00E25AE7" w:rsidP="00BD23BB">
      <w:pPr>
        <w:pStyle w:val="af6"/>
        <w:spacing w:line="240" w:lineRule="auto"/>
      </w:pPr>
      <w:r w:rsidRPr="00F25744">
        <w:rPr>
          <w:rtl/>
        </w:rPr>
        <w:lastRenderedPageBreak/>
        <w:t xml:space="preserve">תרשים </w:t>
      </w:r>
      <w:r w:rsidRPr="00F25744">
        <w:rPr>
          <w:rtl/>
        </w:rPr>
        <w:fldChar w:fldCharType="begin"/>
      </w:r>
      <w:r w:rsidRPr="00F25744">
        <w:rPr>
          <w:rtl/>
        </w:rPr>
        <w:instrText xml:space="preserve"> </w:instrText>
      </w:r>
      <w:r w:rsidRPr="00F25744">
        <w:rPr>
          <w:rFonts w:hint="cs"/>
        </w:rPr>
        <w:instrText>SEQ</w:instrText>
      </w:r>
      <w:r w:rsidRPr="00F25744">
        <w:rPr>
          <w:rFonts w:hint="cs"/>
          <w:rtl/>
        </w:rPr>
        <w:instrText xml:space="preserve"> תרשים \* </w:instrText>
      </w:r>
      <w:r w:rsidRPr="00F25744">
        <w:rPr>
          <w:rFonts w:hint="cs"/>
        </w:rPr>
        <w:instrText>ARABIC</w:instrText>
      </w:r>
      <w:r w:rsidRPr="00F25744">
        <w:rPr>
          <w:rtl/>
        </w:rPr>
        <w:instrText xml:space="preserve"> </w:instrText>
      </w:r>
      <w:r w:rsidRPr="00F25744">
        <w:rPr>
          <w:rtl/>
        </w:rPr>
        <w:fldChar w:fldCharType="separate"/>
      </w:r>
      <w:r w:rsidR="008F1BC3">
        <w:rPr>
          <w:noProof/>
          <w:rtl/>
        </w:rPr>
        <w:t>5</w:t>
      </w:r>
      <w:r w:rsidRPr="00F25744">
        <w:rPr>
          <w:rtl/>
        </w:rPr>
        <w:fldChar w:fldCharType="end"/>
      </w:r>
      <w:r w:rsidR="007F3A52" w:rsidRPr="00F25744">
        <w:rPr>
          <w:rFonts w:hint="cs"/>
          <w:rtl/>
        </w:rPr>
        <w:t>: זמני כתיבת החלטות</w:t>
      </w:r>
      <w:bookmarkEnd w:id="324"/>
    </w:p>
    <w:p w14:paraId="77304397" w14:textId="77777777" w:rsidR="004702AE" w:rsidRPr="00F25744" w:rsidRDefault="00E25AE7" w:rsidP="003C525E">
      <w:pPr>
        <w:spacing w:line="360" w:lineRule="auto"/>
        <w:ind w:left="83" w:hanging="81"/>
        <w:jc w:val="both"/>
        <w:rPr>
          <w:rFonts w:cs="David"/>
          <w:sz w:val="24"/>
          <w:szCs w:val="24"/>
        </w:rPr>
      </w:pPr>
      <w:r w:rsidRPr="00F25744">
        <w:rPr>
          <w:noProof/>
        </w:rPr>
        <w:drawing>
          <wp:inline distT="0" distB="0" distL="0" distR="0" wp14:anchorId="4AFCF266" wp14:editId="64EC040D">
            <wp:extent cx="5514340" cy="1645920"/>
            <wp:effectExtent l="0" t="0" r="0"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122900" name="Picture 7"/>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5514340" cy="1645920"/>
                    </a:xfrm>
                    <a:prstGeom prst="rect">
                      <a:avLst/>
                    </a:prstGeom>
                    <a:noFill/>
                    <a:ln>
                      <a:noFill/>
                    </a:ln>
                  </pic:spPr>
                </pic:pic>
              </a:graphicData>
            </a:graphic>
          </wp:inline>
        </w:drawing>
      </w:r>
    </w:p>
    <w:p w14:paraId="119DF776" w14:textId="77777777" w:rsidR="006227EC" w:rsidRPr="00F25744" w:rsidRDefault="00E25AE7" w:rsidP="0069290D">
      <w:pPr>
        <w:spacing w:after="0" w:line="360" w:lineRule="auto"/>
        <w:jc w:val="both"/>
        <w:rPr>
          <w:rFonts w:cs="David"/>
          <w:sz w:val="24"/>
          <w:szCs w:val="24"/>
        </w:rPr>
      </w:pPr>
      <w:r w:rsidRPr="00F25744">
        <w:rPr>
          <w:rFonts w:cs="David" w:hint="cs"/>
          <w:b/>
          <w:bCs/>
          <w:sz w:val="24"/>
          <w:szCs w:val="24"/>
          <w:rtl/>
        </w:rPr>
        <w:t xml:space="preserve">זמני כתיבת </w:t>
      </w:r>
      <w:r w:rsidR="007F3A52" w:rsidRPr="00F25744">
        <w:rPr>
          <w:rFonts w:cs="David" w:hint="cs"/>
          <w:b/>
          <w:bCs/>
          <w:sz w:val="24"/>
          <w:szCs w:val="24"/>
          <w:rtl/>
        </w:rPr>
        <w:t>פסקי דין</w:t>
      </w:r>
      <w:r w:rsidR="007F3A52" w:rsidRPr="00F25744">
        <w:rPr>
          <w:rFonts w:cs="David" w:hint="cs"/>
          <w:sz w:val="24"/>
          <w:szCs w:val="24"/>
          <w:rtl/>
        </w:rPr>
        <w:t>:</w:t>
      </w:r>
      <w:r w:rsidRPr="00F25744">
        <w:rPr>
          <w:rFonts w:cs="David" w:hint="cs"/>
          <w:sz w:val="24"/>
          <w:szCs w:val="24"/>
          <w:rtl/>
        </w:rPr>
        <w:t xml:space="preserve"> בכל סוג תיק</w:t>
      </w:r>
      <w:r w:rsidR="002B5AFA" w:rsidRPr="00F25744">
        <w:rPr>
          <w:rFonts w:cs="David" w:hint="cs"/>
          <w:sz w:val="24"/>
          <w:szCs w:val="24"/>
          <w:rtl/>
        </w:rPr>
        <w:t xml:space="preserve"> ועבור כל אח</w:t>
      </w:r>
      <w:r w:rsidR="000D1300" w:rsidRPr="00F25744">
        <w:rPr>
          <w:rFonts w:cs="David" w:hint="cs"/>
          <w:sz w:val="24"/>
          <w:szCs w:val="24"/>
          <w:rtl/>
        </w:rPr>
        <w:t>ת</w:t>
      </w:r>
      <w:r w:rsidR="002B5AFA" w:rsidRPr="00F25744">
        <w:rPr>
          <w:rFonts w:cs="David" w:hint="cs"/>
          <w:sz w:val="24"/>
          <w:szCs w:val="24"/>
          <w:rtl/>
        </w:rPr>
        <w:t xml:space="preserve"> מסיבות הסגירה השונות</w:t>
      </w:r>
      <w:r w:rsidRPr="00F25744">
        <w:rPr>
          <w:rFonts w:cs="David" w:hint="cs"/>
          <w:sz w:val="24"/>
          <w:szCs w:val="24"/>
          <w:rtl/>
        </w:rPr>
        <w:t xml:space="preserve">, מכפלת </w:t>
      </w:r>
      <w:r w:rsidR="007F3A52" w:rsidRPr="00F25744">
        <w:rPr>
          <w:rFonts w:cs="David" w:hint="cs"/>
          <w:sz w:val="24"/>
          <w:szCs w:val="24"/>
          <w:rtl/>
        </w:rPr>
        <w:t>הזמן הממוצע לכתיבת עמוד אחד של פסק דין במספר העמודים הממוצע לפסק דין</w:t>
      </w:r>
      <w:r w:rsidR="000D1300" w:rsidRPr="00F25744">
        <w:rPr>
          <w:rFonts w:cs="David" w:hint="cs"/>
          <w:sz w:val="24"/>
          <w:szCs w:val="24"/>
          <w:rtl/>
        </w:rPr>
        <w:t>,</w:t>
      </w:r>
      <w:r w:rsidRPr="00F25744">
        <w:rPr>
          <w:rFonts w:cs="David" w:hint="cs"/>
          <w:sz w:val="24"/>
          <w:szCs w:val="24"/>
          <w:rtl/>
        </w:rPr>
        <w:t xml:space="preserve"> כפול ההסתברות שתיק ייסגר </w:t>
      </w:r>
      <w:r w:rsidR="002B5AFA" w:rsidRPr="00F25744">
        <w:rPr>
          <w:rFonts w:cs="David" w:hint="cs"/>
          <w:sz w:val="24"/>
          <w:szCs w:val="24"/>
          <w:rtl/>
        </w:rPr>
        <w:t>ב</w:t>
      </w:r>
      <w:r w:rsidRPr="00F25744">
        <w:rPr>
          <w:rFonts w:cs="David" w:hint="cs"/>
          <w:sz w:val="24"/>
          <w:szCs w:val="24"/>
          <w:rtl/>
        </w:rPr>
        <w:t xml:space="preserve">סיבת סגירה </w:t>
      </w:r>
      <w:r w:rsidR="002B5AFA" w:rsidRPr="00F25744">
        <w:rPr>
          <w:rFonts w:cs="David" w:hint="cs"/>
          <w:sz w:val="24"/>
          <w:szCs w:val="24"/>
          <w:rtl/>
        </w:rPr>
        <w:t>זו מחוץ לאולם</w:t>
      </w:r>
      <w:r w:rsidR="007F3A52" w:rsidRPr="00F25744">
        <w:rPr>
          <w:rFonts w:cs="David" w:hint="cs"/>
          <w:sz w:val="24"/>
          <w:szCs w:val="24"/>
          <w:rtl/>
        </w:rPr>
        <w:t>.</w:t>
      </w:r>
    </w:p>
    <w:p w14:paraId="742B2A3A" w14:textId="77777777" w:rsidR="003C525E" w:rsidRPr="00F25744" w:rsidRDefault="003C525E" w:rsidP="00BD23BB">
      <w:pPr>
        <w:pStyle w:val="af6"/>
        <w:spacing w:after="0" w:line="240" w:lineRule="auto"/>
        <w:rPr>
          <w:rtl/>
        </w:rPr>
      </w:pPr>
    </w:p>
    <w:p w14:paraId="36FFF466" w14:textId="6375BC9A" w:rsidR="00087BD6" w:rsidRPr="00F25744" w:rsidRDefault="00E25AE7" w:rsidP="002500B8">
      <w:pPr>
        <w:pStyle w:val="af6"/>
        <w:rPr>
          <w:rtl/>
        </w:rPr>
      </w:pPr>
      <w:bookmarkStart w:id="325" w:name="_Toc76988527"/>
      <w:r w:rsidRPr="00F25744">
        <w:rPr>
          <w:rtl/>
        </w:rPr>
        <w:t xml:space="preserve">תרשים </w:t>
      </w:r>
      <w:r w:rsidRPr="00F25744">
        <w:rPr>
          <w:rtl/>
        </w:rPr>
        <w:fldChar w:fldCharType="begin"/>
      </w:r>
      <w:r w:rsidRPr="00F25744">
        <w:rPr>
          <w:rtl/>
        </w:rPr>
        <w:instrText xml:space="preserve"> </w:instrText>
      </w:r>
      <w:r w:rsidRPr="00F25744">
        <w:rPr>
          <w:rFonts w:hint="cs"/>
        </w:rPr>
        <w:instrText>SEQ</w:instrText>
      </w:r>
      <w:r w:rsidRPr="00F25744">
        <w:rPr>
          <w:rFonts w:hint="cs"/>
          <w:rtl/>
        </w:rPr>
        <w:instrText xml:space="preserve"> תרשים \* </w:instrText>
      </w:r>
      <w:r w:rsidRPr="00F25744">
        <w:rPr>
          <w:rFonts w:hint="cs"/>
        </w:rPr>
        <w:instrText>ARABIC</w:instrText>
      </w:r>
      <w:r w:rsidRPr="00F25744">
        <w:rPr>
          <w:rtl/>
        </w:rPr>
        <w:instrText xml:space="preserve"> </w:instrText>
      </w:r>
      <w:r w:rsidRPr="00F25744">
        <w:rPr>
          <w:rtl/>
        </w:rPr>
        <w:fldChar w:fldCharType="separate"/>
      </w:r>
      <w:r w:rsidR="008F1BC3">
        <w:rPr>
          <w:noProof/>
          <w:rtl/>
        </w:rPr>
        <w:t>6</w:t>
      </w:r>
      <w:r w:rsidRPr="00F25744">
        <w:rPr>
          <w:rtl/>
        </w:rPr>
        <w:fldChar w:fldCharType="end"/>
      </w:r>
      <w:r w:rsidR="00AA5D31" w:rsidRPr="00F25744">
        <w:rPr>
          <w:rFonts w:hint="cs"/>
          <w:rtl/>
        </w:rPr>
        <w:t>: זמני כתיבת פסקי דין</w:t>
      </w:r>
      <w:bookmarkEnd w:id="325"/>
    </w:p>
    <w:p w14:paraId="144FB451" w14:textId="77777777" w:rsidR="004702AE" w:rsidRPr="00F25744" w:rsidRDefault="00E25AE7" w:rsidP="003C525E">
      <w:pPr>
        <w:pStyle w:val="af6"/>
        <w:spacing w:after="0" w:line="240" w:lineRule="auto"/>
        <w:ind w:left="83" w:hanging="81"/>
        <w:rPr>
          <w:sz w:val="24"/>
          <w:rtl/>
        </w:rPr>
      </w:pPr>
      <w:r w:rsidRPr="00F25744">
        <w:rPr>
          <w:noProof/>
        </w:rPr>
        <w:drawing>
          <wp:inline distT="0" distB="0" distL="0" distR="0" wp14:anchorId="4D644E20" wp14:editId="1C15EE94">
            <wp:extent cx="5514340" cy="1188720"/>
            <wp:effectExtent l="0" t="0" r="0" b="0"/>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254884" name="Picture 8"/>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5514340" cy="1188720"/>
                    </a:xfrm>
                    <a:prstGeom prst="rect">
                      <a:avLst/>
                    </a:prstGeom>
                    <a:noFill/>
                    <a:ln>
                      <a:noFill/>
                    </a:ln>
                  </pic:spPr>
                </pic:pic>
              </a:graphicData>
            </a:graphic>
          </wp:inline>
        </w:drawing>
      </w:r>
    </w:p>
    <w:p w14:paraId="50C530EF" w14:textId="77777777" w:rsidR="004B481C" w:rsidRPr="00F25744" w:rsidRDefault="004B481C" w:rsidP="004B481C">
      <w:pPr>
        <w:rPr>
          <w:rtl/>
        </w:rPr>
      </w:pPr>
    </w:p>
    <w:p w14:paraId="37F332CA" w14:textId="2EA3F179" w:rsidR="00C818DB" w:rsidRPr="00F25744" w:rsidRDefault="00A54D82" w:rsidP="00A54D82">
      <w:pPr>
        <w:pStyle w:val="4"/>
        <w:ind w:left="994"/>
      </w:pPr>
      <w:bookmarkStart w:id="326" w:name="_Toc46226050"/>
      <w:bookmarkStart w:id="327" w:name="_Toc46226194"/>
      <w:bookmarkStart w:id="328" w:name="_Toc46228361"/>
      <w:bookmarkStart w:id="329" w:name="_Toc46228459"/>
      <w:bookmarkStart w:id="330" w:name="_Toc46230386"/>
      <w:bookmarkStart w:id="331" w:name="_Toc46230484"/>
      <w:bookmarkStart w:id="332" w:name="_Toc46310374"/>
      <w:bookmarkStart w:id="333" w:name="_Toc46414016"/>
      <w:r>
        <w:rPr>
          <w:rFonts w:hint="cs"/>
          <w:rtl/>
        </w:rPr>
        <w:t xml:space="preserve"> </w:t>
      </w:r>
      <w:bookmarkStart w:id="334" w:name="_Toc74750976"/>
      <w:r w:rsidR="00E25AE7" w:rsidRPr="00F25744">
        <w:rPr>
          <w:rFonts w:hint="cs"/>
          <w:rtl/>
        </w:rPr>
        <w:t>אופן חישוב הזמן השיפוטי הדרוש לטיפול בתיקים הנדונים בהרכב שופטים</w:t>
      </w:r>
      <w:bookmarkEnd w:id="334"/>
    </w:p>
    <w:p w14:paraId="07F053CA" w14:textId="77777777" w:rsidR="007E6528" w:rsidRPr="00F25744" w:rsidRDefault="00E25AE7" w:rsidP="00BD23BB">
      <w:pPr>
        <w:pStyle w:val="a3"/>
        <w:widowControl w:val="0"/>
        <w:autoSpaceDE w:val="0"/>
        <w:autoSpaceDN w:val="0"/>
        <w:bidi/>
        <w:adjustRightInd w:val="0"/>
        <w:spacing w:before="120" w:after="0" w:line="360" w:lineRule="auto"/>
        <w:ind w:left="0"/>
        <w:rPr>
          <w:rFonts w:ascii="David" w:hAnsi="David" w:cs="David"/>
          <w:sz w:val="24"/>
          <w:szCs w:val="24"/>
          <w:rtl/>
        </w:rPr>
      </w:pPr>
      <w:r w:rsidRPr="00F25744">
        <w:rPr>
          <w:rFonts w:ascii="David" w:hAnsi="David" w:cs="David" w:hint="cs"/>
          <w:sz w:val="24"/>
          <w:szCs w:val="24"/>
          <w:rtl/>
        </w:rPr>
        <w:t>חישוב הזמן השיפוטי הדרוש לטיפול בתיקי הרכב בערכאת המחוזי נעשה באופן מעט שונה, לאור ייח</w:t>
      </w:r>
      <w:r w:rsidR="006A1839" w:rsidRPr="00F25744">
        <w:rPr>
          <w:rFonts w:ascii="David" w:hAnsi="David" w:cs="David" w:hint="cs"/>
          <w:sz w:val="24"/>
          <w:szCs w:val="24"/>
          <w:rtl/>
        </w:rPr>
        <w:t>ודיות הטיפול השיפוטי בתיק</w:t>
      </w:r>
      <w:r w:rsidR="00173C14" w:rsidRPr="00F25744">
        <w:rPr>
          <w:rFonts w:ascii="David" w:hAnsi="David" w:cs="David" w:hint="cs"/>
          <w:sz w:val="24"/>
          <w:szCs w:val="24"/>
          <w:rtl/>
        </w:rPr>
        <w:t>ים אלו, שכן העומס השיפוטי בתיקי</w:t>
      </w:r>
      <w:r w:rsidR="006A1839" w:rsidRPr="00F25744">
        <w:rPr>
          <w:rFonts w:ascii="David" w:hAnsi="David" w:cs="David" w:hint="cs"/>
          <w:sz w:val="24"/>
          <w:szCs w:val="24"/>
          <w:rtl/>
        </w:rPr>
        <w:t xml:space="preserve"> </w:t>
      </w:r>
      <w:r w:rsidR="00C67E15" w:rsidRPr="00F25744">
        <w:rPr>
          <w:rFonts w:ascii="David" w:hAnsi="David" w:cs="David" w:hint="cs"/>
          <w:sz w:val="24"/>
          <w:szCs w:val="24"/>
          <w:rtl/>
        </w:rPr>
        <w:t xml:space="preserve">ההרכב </w:t>
      </w:r>
      <w:r w:rsidR="006A1839" w:rsidRPr="00F25744">
        <w:rPr>
          <w:rFonts w:ascii="David" w:hAnsi="David" w:cs="David" w:hint="cs"/>
          <w:sz w:val="24"/>
          <w:szCs w:val="24"/>
          <w:rtl/>
        </w:rPr>
        <w:t xml:space="preserve">מוטל על כתפי </w:t>
      </w:r>
      <w:r w:rsidR="00341018" w:rsidRPr="00F25744">
        <w:rPr>
          <w:rFonts w:ascii="David" w:hAnsi="David" w:cs="David" w:hint="cs"/>
          <w:sz w:val="24"/>
          <w:szCs w:val="24"/>
          <w:rtl/>
        </w:rPr>
        <w:t>ראש ההרכב</w:t>
      </w:r>
      <w:r w:rsidR="006A1839" w:rsidRPr="00F25744">
        <w:rPr>
          <w:rFonts w:ascii="David" w:hAnsi="David" w:cs="David" w:hint="cs"/>
          <w:sz w:val="24"/>
          <w:szCs w:val="24"/>
          <w:rtl/>
        </w:rPr>
        <w:t xml:space="preserve"> ושני חברי ההרכב האחרים, אך מתחלק ביניהם במידה שונה, בהתאם לסוג הטיפול. </w:t>
      </w:r>
      <w:r w:rsidRPr="00F25744">
        <w:rPr>
          <w:rFonts w:ascii="David" w:hAnsi="David" w:cs="David" w:hint="cs"/>
          <w:sz w:val="24"/>
          <w:szCs w:val="24"/>
          <w:rtl/>
        </w:rPr>
        <w:t xml:space="preserve">במחקר המשקלות הקודם </w:t>
      </w:r>
      <w:r w:rsidR="006A1839" w:rsidRPr="00F25744">
        <w:rPr>
          <w:rFonts w:ascii="David" w:hAnsi="David" w:cs="David" w:hint="cs"/>
          <w:sz w:val="24"/>
          <w:szCs w:val="24"/>
          <w:rtl/>
        </w:rPr>
        <w:t>רואיינו</w:t>
      </w:r>
      <w:r w:rsidR="006A1839" w:rsidRPr="00F25744">
        <w:rPr>
          <w:rFonts w:ascii="David" w:hAnsi="David" w:cs="David"/>
          <w:sz w:val="24"/>
          <w:szCs w:val="24"/>
        </w:rPr>
        <w:t xml:space="preserve"> 19 </w:t>
      </w:r>
      <w:r w:rsidR="006A1839" w:rsidRPr="00F25744">
        <w:rPr>
          <w:rFonts w:ascii="David" w:hAnsi="David" w:cs="David" w:hint="cs"/>
          <w:sz w:val="24"/>
          <w:szCs w:val="24"/>
          <w:rtl/>
        </w:rPr>
        <w:t>שופטים</w:t>
      </w:r>
      <w:r w:rsidR="006A1839" w:rsidRPr="00F25744">
        <w:rPr>
          <w:rFonts w:ascii="David" w:hAnsi="David" w:cs="David"/>
          <w:sz w:val="24"/>
          <w:szCs w:val="24"/>
        </w:rPr>
        <w:t xml:space="preserve"> </w:t>
      </w:r>
      <w:r w:rsidR="006A1839" w:rsidRPr="00F25744">
        <w:rPr>
          <w:rFonts w:ascii="David" w:hAnsi="David" w:cs="David" w:hint="cs"/>
          <w:sz w:val="24"/>
          <w:szCs w:val="24"/>
          <w:rtl/>
        </w:rPr>
        <w:t>מחוזיים</w:t>
      </w:r>
      <w:r w:rsidR="00C67E15" w:rsidRPr="00F25744">
        <w:rPr>
          <w:rFonts w:ascii="David" w:hAnsi="David" w:cs="David" w:hint="cs"/>
          <w:sz w:val="24"/>
          <w:szCs w:val="24"/>
          <w:rtl/>
        </w:rPr>
        <w:t>,</w:t>
      </w:r>
      <w:r w:rsidR="006A1839" w:rsidRPr="00F25744">
        <w:rPr>
          <w:rFonts w:ascii="David" w:hAnsi="David" w:cs="David" w:hint="cs"/>
          <w:sz w:val="24"/>
          <w:szCs w:val="24"/>
          <w:rtl/>
        </w:rPr>
        <w:t xml:space="preserve"> אשר הסכימו</w:t>
      </w:r>
      <w:r w:rsidR="006A1839" w:rsidRPr="00F25744">
        <w:rPr>
          <w:rFonts w:ascii="David" w:hAnsi="David" w:cs="David"/>
          <w:sz w:val="24"/>
          <w:szCs w:val="24"/>
        </w:rPr>
        <w:t xml:space="preserve"> </w:t>
      </w:r>
      <w:r w:rsidR="006A1839" w:rsidRPr="00F25744">
        <w:rPr>
          <w:rFonts w:ascii="David" w:hAnsi="David" w:cs="David" w:hint="cs"/>
          <w:sz w:val="24"/>
          <w:szCs w:val="24"/>
          <w:rtl/>
        </w:rPr>
        <w:t>כי</w:t>
      </w:r>
      <w:r w:rsidR="006A1839" w:rsidRPr="00F25744">
        <w:rPr>
          <w:rFonts w:ascii="David" w:hAnsi="David" w:cs="David"/>
          <w:sz w:val="24"/>
          <w:szCs w:val="24"/>
        </w:rPr>
        <w:t xml:space="preserve"> </w:t>
      </w:r>
      <w:r w:rsidR="006A1839" w:rsidRPr="00F25744">
        <w:rPr>
          <w:rFonts w:ascii="David" w:hAnsi="David" w:cs="David" w:hint="cs"/>
          <w:sz w:val="24"/>
          <w:szCs w:val="24"/>
          <w:rtl/>
        </w:rPr>
        <w:t>אין</w:t>
      </w:r>
      <w:r w:rsidR="006A1839" w:rsidRPr="00F25744">
        <w:rPr>
          <w:rFonts w:ascii="David" w:hAnsi="David" w:cs="David"/>
          <w:sz w:val="24"/>
          <w:szCs w:val="24"/>
        </w:rPr>
        <w:t xml:space="preserve"> </w:t>
      </w:r>
      <w:r w:rsidR="006A1839" w:rsidRPr="00F25744">
        <w:rPr>
          <w:rFonts w:ascii="David" w:hAnsi="David" w:cs="David" w:hint="cs"/>
          <w:sz w:val="24"/>
          <w:szCs w:val="24"/>
          <w:rtl/>
        </w:rPr>
        <w:t>להכפיל</w:t>
      </w:r>
      <w:r w:rsidR="006A1839" w:rsidRPr="00F25744">
        <w:rPr>
          <w:rFonts w:ascii="David" w:hAnsi="David" w:cs="David"/>
          <w:sz w:val="24"/>
          <w:szCs w:val="24"/>
        </w:rPr>
        <w:t xml:space="preserve"> </w:t>
      </w:r>
      <w:r w:rsidR="006A1839" w:rsidRPr="00F25744">
        <w:rPr>
          <w:rFonts w:ascii="David" w:hAnsi="David" w:cs="David" w:hint="cs"/>
          <w:sz w:val="24"/>
          <w:szCs w:val="24"/>
          <w:rtl/>
        </w:rPr>
        <w:t>בשלוש</w:t>
      </w:r>
      <w:r w:rsidR="006A1839" w:rsidRPr="00F25744">
        <w:rPr>
          <w:rFonts w:ascii="David" w:hAnsi="David" w:cs="David"/>
          <w:sz w:val="24"/>
          <w:szCs w:val="24"/>
        </w:rPr>
        <w:t xml:space="preserve"> </w:t>
      </w:r>
      <w:r w:rsidR="006A1839" w:rsidRPr="00F25744">
        <w:rPr>
          <w:rFonts w:ascii="David" w:hAnsi="David" w:cs="David" w:hint="cs"/>
          <w:sz w:val="24"/>
          <w:szCs w:val="24"/>
          <w:rtl/>
        </w:rPr>
        <w:t>את</w:t>
      </w:r>
      <w:r w:rsidR="00BC202E" w:rsidRPr="00F25744">
        <w:rPr>
          <w:rFonts w:ascii="David" w:hAnsi="David" w:cs="David" w:hint="cs"/>
          <w:sz w:val="24"/>
          <w:szCs w:val="24"/>
          <w:rtl/>
        </w:rPr>
        <w:t xml:space="preserve"> </w:t>
      </w:r>
      <w:r w:rsidR="006A1839" w:rsidRPr="00F25744">
        <w:rPr>
          <w:rFonts w:ascii="David" w:hAnsi="David" w:cs="David" w:hint="cs"/>
          <w:sz w:val="24"/>
          <w:szCs w:val="24"/>
          <w:rtl/>
        </w:rPr>
        <w:t>עומס</w:t>
      </w:r>
      <w:r w:rsidR="006A1839" w:rsidRPr="00F25744">
        <w:rPr>
          <w:rFonts w:ascii="David" w:hAnsi="David" w:cs="David"/>
          <w:sz w:val="24"/>
          <w:szCs w:val="24"/>
        </w:rPr>
        <w:t xml:space="preserve"> </w:t>
      </w:r>
      <w:r w:rsidR="006A1839" w:rsidRPr="00F25744">
        <w:rPr>
          <w:rFonts w:ascii="David" w:hAnsi="David" w:cs="David" w:hint="cs"/>
          <w:sz w:val="24"/>
          <w:szCs w:val="24"/>
          <w:rtl/>
        </w:rPr>
        <w:t>העבודה</w:t>
      </w:r>
      <w:r w:rsidR="006A1839" w:rsidRPr="00F25744">
        <w:rPr>
          <w:rFonts w:ascii="David" w:hAnsi="David" w:cs="David"/>
          <w:sz w:val="24"/>
          <w:szCs w:val="24"/>
        </w:rPr>
        <w:t xml:space="preserve"> </w:t>
      </w:r>
      <w:r w:rsidR="006A1839" w:rsidRPr="00F25744">
        <w:rPr>
          <w:rFonts w:ascii="David" w:hAnsi="David" w:cs="David" w:hint="cs"/>
          <w:sz w:val="24"/>
          <w:szCs w:val="24"/>
          <w:rtl/>
        </w:rPr>
        <w:t>בתיק הנדון</w:t>
      </w:r>
      <w:r w:rsidR="006A1839" w:rsidRPr="00F25744">
        <w:rPr>
          <w:rFonts w:ascii="David" w:hAnsi="David" w:cs="David"/>
          <w:sz w:val="24"/>
          <w:szCs w:val="24"/>
        </w:rPr>
        <w:t xml:space="preserve"> </w:t>
      </w:r>
      <w:r w:rsidR="006A1839" w:rsidRPr="00F25744">
        <w:rPr>
          <w:rFonts w:ascii="David" w:hAnsi="David" w:cs="David" w:hint="cs"/>
          <w:sz w:val="24"/>
          <w:szCs w:val="24"/>
          <w:rtl/>
        </w:rPr>
        <w:t>בהרכב</w:t>
      </w:r>
      <w:r w:rsidR="006A1839" w:rsidRPr="00F25744">
        <w:rPr>
          <w:rFonts w:ascii="David" w:hAnsi="David" w:cs="David"/>
          <w:sz w:val="24"/>
          <w:szCs w:val="24"/>
        </w:rPr>
        <w:t xml:space="preserve"> </w:t>
      </w:r>
      <w:r w:rsidR="006A1839" w:rsidRPr="00F25744">
        <w:rPr>
          <w:rFonts w:ascii="David" w:hAnsi="David" w:cs="David" w:hint="cs"/>
          <w:sz w:val="24"/>
          <w:szCs w:val="24"/>
          <w:rtl/>
        </w:rPr>
        <w:t>של</w:t>
      </w:r>
      <w:r w:rsidR="006A1839" w:rsidRPr="00F25744">
        <w:rPr>
          <w:rFonts w:ascii="David" w:hAnsi="David" w:cs="David"/>
          <w:sz w:val="24"/>
          <w:szCs w:val="24"/>
        </w:rPr>
        <w:t xml:space="preserve"> </w:t>
      </w:r>
      <w:r w:rsidR="006A1839" w:rsidRPr="00F25744">
        <w:rPr>
          <w:rFonts w:ascii="David" w:hAnsi="David" w:cs="David" w:hint="cs"/>
          <w:sz w:val="24"/>
          <w:szCs w:val="24"/>
          <w:rtl/>
        </w:rPr>
        <w:t>שלושה</w:t>
      </w:r>
      <w:r w:rsidR="006A1839" w:rsidRPr="00F25744">
        <w:rPr>
          <w:rFonts w:ascii="David" w:hAnsi="David" w:cs="David"/>
          <w:sz w:val="24"/>
          <w:szCs w:val="24"/>
        </w:rPr>
        <w:t xml:space="preserve"> </w:t>
      </w:r>
      <w:r w:rsidR="006A1839" w:rsidRPr="00F25744">
        <w:rPr>
          <w:rFonts w:ascii="David" w:hAnsi="David" w:cs="David" w:hint="cs"/>
          <w:sz w:val="24"/>
          <w:szCs w:val="24"/>
          <w:rtl/>
        </w:rPr>
        <w:t>שופטים</w:t>
      </w:r>
      <w:r w:rsidR="000E7104" w:rsidRPr="00F25744">
        <w:rPr>
          <w:rFonts w:ascii="David" w:hAnsi="David" w:cs="David" w:hint="cs"/>
          <w:sz w:val="24"/>
          <w:szCs w:val="24"/>
          <w:rtl/>
        </w:rPr>
        <w:t xml:space="preserve">, אלא במספר נמוך מכך, </w:t>
      </w:r>
      <w:r w:rsidR="00404DE0" w:rsidRPr="00F25744">
        <w:rPr>
          <w:rFonts w:ascii="David" w:hAnsi="David" w:cs="David" w:hint="cs"/>
          <w:sz w:val="24"/>
          <w:szCs w:val="24"/>
          <w:rtl/>
        </w:rPr>
        <w:t>ו</w:t>
      </w:r>
      <w:r w:rsidR="000E7104" w:rsidRPr="00F25744">
        <w:rPr>
          <w:rFonts w:ascii="David" w:hAnsi="David" w:cs="David" w:hint="cs"/>
          <w:sz w:val="24"/>
          <w:szCs w:val="24"/>
          <w:rtl/>
        </w:rPr>
        <w:t>על פי התמהיל הבא:</w:t>
      </w:r>
      <w:r w:rsidR="00404DE0" w:rsidRPr="00F25744">
        <w:rPr>
          <w:rFonts w:ascii="David" w:hAnsi="David" w:cs="David" w:hint="cs"/>
          <w:sz w:val="24"/>
          <w:szCs w:val="24"/>
          <w:rtl/>
        </w:rPr>
        <w:t xml:space="preserve"> זמן</w:t>
      </w:r>
      <w:r w:rsidR="00404DE0" w:rsidRPr="00F25744">
        <w:rPr>
          <w:rFonts w:ascii="David" w:hAnsi="David" w:cs="David"/>
          <w:sz w:val="24"/>
          <w:szCs w:val="24"/>
        </w:rPr>
        <w:t xml:space="preserve"> </w:t>
      </w:r>
      <w:r w:rsidR="00404DE0" w:rsidRPr="00F25744">
        <w:rPr>
          <w:rFonts w:ascii="David" w:hAnsi="David" w:cs="David" w:hint="cs"/>
          <w:sz w:val="24"/>
          <w:szCs w:val="24"/>
          <w:rtl/>
        </w:rPr>
        <w:t>הדיונים</w:t>
      </w:r>
      <w:r w:rsidR="00404DE0" w:rsidRPr="00F25744">
        <w:rPr>
          <w:rFonts w:ascii="David" w:hAnsi="David" w:cs="David"/>
          <w:sz w:val="24"/>
          <w:szCs w:val="24"/>
        </w:rPr>
        <w:t xml:space="preserve"> </w:t>
      </w:r>
      <w:r w:rsidR="00404DE0" w:rsidRPr="00F25744">
        <w:rPr>
          <w:rFonts w:ascii="David" w:hAnsi="David" w:cs="David" w:hint="cs"/>
          <w:sz w:val="24"/>
          <w:szCs w:val="24"/>
          <w:rtl/>
        </w:rPr>
        <w:t>באולם</w:t>
      </w:r>
      <w:r w:rsidR="00404DE0" w:rsidRPr="00F25744">
        <w:rPr>
          <w:rFonts w:ascii="David" w:hAnsi="David" w:cs="David"/>
          <w:sz w:val="24"/>
          <w:szCs w:val="24"/>
        </w:rPr>
        <w:t xml:space="preserve"> </w:t>
      </w:r>
      <w:r w:rsidR="00404DE0" w:rsidRPr="00F25744">
        <w:rPr>
          <w:rFonts w:ascii="David" w:hAnsi="David" w:cs="David" w:hint="cs"/>
          <w:sz w:val="24"/>
          <w:szCs w:val="24"/>
          <w:rtl/>
        </w:rPr>
        <w:t>הוכפל ב-3, זמן</w:t>
      </w:r>
      <w:r w:rsidR="00404DE0" w:rsidRPr="00F25744">
        <w:rPr>
          <w:rFonts w:ascii="David" w:hAnsi="David" w:cs="David"/>
          <w:sz w:val="24"/>
          <w:szCs w:val="24"/>
        </w:rPr>
        <w:t xml:space="preserve"> </w:t>
      </w:r>
      <w:r w:rsidR="00404DE0" w:rsidRPr="00F25744">
        <w:rPr>
          <w:rFonts w:ascii="David" w:hAnsi="David" w:cs="David" w:hint="cs"/>
          <w:sz w:val="24"/>
          <w:szCs w:val="24"/>
          <w:rtl/>
        </w:rPr>
        <w:t>הכנת</w:t>
      </w:r>
      <w:r w:rsidR="00404DE0" w:rsidRPr="00F25744">
        <w:rPr>
          <w:rFonts w:ascii="David" w:hAnsi="David" w:cs="David"/>
          <w:sz w:val="24"/>
          <w:szCs w:val="24"/>
        </w:rPr>
        <w:t xml:space="preserve"> </w:t>
      </w:r>
      <w:r w:rsidR="00404DE0" w:rsidRPr="00F25744">
        <w:rPr>
          <w:rFonts w:ascii="David" w:hAnsi="David" w:cs="David" w:hint="cs"/>
          <w:sz w:val="24"/>
          <w:szCs w:val="24"/>
          <w:rtl/>
        </w:rPr>
        <w:t>התיקים</w:t>
      </w:r>
      <w:r w:rsidR="00404DE0" w:rsidRPr="00F25744">
        <w:rPr>
          <w:rFonts w:ascii="David" w:hAnsi="David" w:cs="David"/>
          <w:sz w:val="24"/>
          <w:szCs w:val="24"/>
        </w:rPr>
        <w:t xml:space="preserve"> </w:t>
      </w:r>
      <w:r w:rsidR="00D65A5C" w:rsidRPr="00F25744">
        <w:rPr>
          <w:rFonts w:ascii="David" w:hAnsi="David" w:cs="David" w:hint="cs"/>
          <w:sz w:val="24"/>
          <w:szCs w:val="24"/>
          <w:rtl/>
        </w:rPr>
        <w:t>הוכפל ב-2.5</w:t>
      </w:r>
      <w:r w:rsidR="00404DE0" w:rsidRPr="00F25744">
        <w:rPr>
          <w:rFonts w:ascii="David" w:hAnsi="David" w:cs="David" w:hint="cs"/>
          <w:sz w:val="24"/>
          <w:szCs w:val="24"/>
          <w:rtl/>
        </w:rPr>
        <w:t xml:space="preserve">, </w:t>
      </w:r>
      <w:r w:rsidR="00D65A5C" w:rsidRPr="00F25744">
        <w:rPr>
          <w:rFonts w:ascii="David" w:hAnsi="David" w:cs="David" w:hint="cs"/>
          <w:sz w:val="24"/>
          <w:szCs w:val="24"/>
          <w:rtl/>
        </w:rPr>
        <w:t>ו</w:t>
      </w:r>
      <w:r w:rsidR="00404DE0" w:rsidRPr="00F25744">
        <w:rPr>
          <w:rFonts w:ascii="David" w:hAnsi="David" w:cs="David" w:hint="cs"/>
          <w:sz w:val="24"/>
          <w:szCs w:val="24"/>
          <w:rtl/>
        </w:rPr>
        <w:t>זמ</w:t>
      </w:r>
      <w:r w:rsidR="00D65A5C" w:rsidRPr="00F25744">
        <w:rPr>
          <w:rFonts w:ascii="David" w:hAnsi="David" w:cs="David" w:hint="cs"/>
          <w:sz w:val="24"/>
          <w:szCs w:val="24"/>
          <w:rtl/>
        </w:rPr>
        <w:t>ן הכתיבה הוכפל ב-1.5</w:t>
      </w:r>
      <w:r w:rsidR="00404DE0" w:rsidRPr="00F25744">
        <w:rPr>
          <w:rFonts w:ascii="David" w:hAnsi="David" w:cs="David" w:hint="cs"/>
          <w:sz w:val="24"/>
          <w:szCs w:val="24"/>
          <w:rtl/>
        </w:rPr>
        <w:t xml:space="preserve">. </w:t>
      </w:r>
    </w:p>
    <w:p w14:paraId="29CB2F25" w14:textId="77777777" w:rsidR="00D65A5C" w:rsidRPr="00F25744" w:rsidRDefault="00E25AE7" w:rsidP="00BD23BB">
      <w:pPr>
        <w:pStyle w:val="a3"/>
        <w:widowControl w:val="0"/>
        <w:autoSpaceDE w:val="0"/>
        <w:autoSpaceDN w:val="0"/>
        <w:bidi/>
        <w:adjustRightInd w:val="0"/>
        <w:spacing w:before="120" w:after="0" w:line="360" w:lineRule="auto"/>
        <w:ind w:left="0"/>
        <w:rPr>
          <w:rFonts w:ascii="David" w:hAnsi="David" w:cs="David"/>
          <w:sz w:val="24"/>
          <w:szCs w:val="24"/>
          <w:rtl/>
        </w:rPr>
      </w:pPr>
      <w:r w:rsidRPr="00F25744">
        <w:rPr>
          <w:rFonts w:ascii="David" w:hAnsi="David" w:cs="David" w:hint="cs"/>
          <w:sz w:val="24"/>
          <w:szCs w:val="24"/>
          <w:rtl/>
        </w:rPr>
        <w:t xml:space="preserve">במחקר הנוכחי הוחלט לבחון האם תמהיל </w:t>
      </w:r>
      <w:r w:rsidR="00C67E15" w:rsidRPr="00F25744">
        <w:rPr>
          <w:rFonts w:ascii="David" w:hAnsi="David" w:cs="David" w:hint="cs"/>
          <w:sz w:val="24"/>
          <w:szCs w:val="24"/>
          <w:rtl/>
        </w:rPr>
        <w:t xml:space="preserve">עבודה </w:t>
      </w:r>
      <w:r w:rsidRPr="00F25744">
        <w:rPr>
          <w:rFonts w:ascii="David" w:hAnsi="David" w:cs="David" w:hint="cs"/>
          <w:sz w:val="24"/>
          <w:szCs w:val="24"/>
          <w:rtl/>
        </w:rPr>
        <w:t xml:space="preserve">זה </w:t>
      </w:r>
      <w:r w:rsidR="00C67E15" w:rsidRPr="00F25744">
        <w:rPr>
          <w:rFonts w:ascii="David" w:hAnsi="David" w:cs="David" w:hint="cs"/>
          <w:sz w:val="24"/>
          <w:szCs w:val="24"/>
          <w:rtl/>
        </w:rPr>
        <w:t xml:space="preserve">עודנו </w:t>
      </w:r>
      <w:r w:rsidRPr="00F25744">
        <w:rPr>
          <w:rFonts w:ascii="David" w:hAnsi="David" w:cs="David" w:hint="cs"/>
          <w:sz w:val="24"/>
          <w:szCs w:val="24"/>
          <w:rtl/>
        </w:rPr>
        <w:t xml:space="preserve">תואם את עבודת שופטי ההרכב </w:t>
      </w:r>
      <w:r w:rsidR="00C67E15" w:rsidRPr="00F25744">
        <w:rPr>
          <w:rFonts w:ascii="David" w:hAnsi="David" w:cs="David" w:hint="cs"/>
          <w:sz w:val="24"/>
          <w:szCs w:val="24"/>
          <w:rtl/>
        </w:rPr>
        <w:t>וחלוקת העומס ביניהם. ל</w:t>
      </w:r>
      <w:r w:rsidRPr="00F25744">
        <w:rPr>
          <w:rFonts w:ascii="David" w:hAnsi="David" w:cs="David" w:hint="cs"/>
          <w:sz w:val="24"/>
          <w:szCs w:val="24"/>
          <w:rtl/>
        </w:rPr>
        <w:t>שם כך ראיינו שבעה שופטים בשיטת קבוצת מיקוד (מערך דלפי)</w:t>
      </w:r>
      <w:r w:rsidR="00C67E15" w:rsidRPr="00F25744">
        <w:rPr>
          <w:rFonts w:ascii="David" w:hAnsi="David" w:cs="David" w:hint="cs"/>
          <w:sz w:val="24"/>
          <w:szCs w:val="24"/>
          <w:rtl/>
        </w:rPr>
        <w:t>,</w:t>
      </w:r>
      <w:r w:rsidRPr="00F25744">
        <w:rPr>
          <w:rFonts w:ascii="David" w:hAnsi="David" w:cs="David" w:hint="cs"/>
          <w:sz w:val="24"/>
          <w:szCs w:val="24"/>
          <w:rtl/>
        </w:rPr>
        <w:t xml:space="preserve"> ושני שופטים נוספים שלא במסגרת קבוצת המיקוד. משיחות אלו עלה</w:t>
      </w:r>
      <w:r w:rsidR="00C67E15" w:rsidRPr="00F25744">
        <w:rPr>
          <w:rFonts w:ascii="David" w:hAnsi="David" w:cs="David" w:hint="cs"/>
          <w:sz w:val="24"/>
          <w:szCs w:val="24"/>
          <w:rtl/>
        </w:rPr>
        <w:t>,</w:t>
      </w:r>
      <w:r w:rsidRPr="00F25744">
        <w:rPr>
          <w:rFonts w:ascii="David" w:hAnsi="David" w:cs="David" w:hint="cs"/>
          <w:sz w:val="24"/>
          <w:szCs w:val="24"/>
          <w:rtl/>
        </w:rPr>
        <w:t xml:space="preserve"> כי יש לע</w:t>
      </w:r>
      <w:r w:rsidR="007F3A52" w:rsidRPr="00F25744">
        <w:rPr>
          <w:rFonts w:ascii="David" w:hAnsi="David" w:cs="David" w:hint="cs"/>
          <w:sz w:val="24"/>
          <w:szCs w:val="24"/>
          <w:rtl/>
        </w:rPr>
        <w:t>רוך</w:t>
      </w:r>
      <w:r w:rsidRPr="00F25744">
        <w:rPr>
          <w:rFonts w:ascii="David" w:hAnsi="David" w:cs="David" w:hint="cs"/>
          <w:sz w:val="24"/>
          <w:szCs w:val="24"/>
          <w:rtl/>
        </w:rPr>
        <w:t xml:space="preserve"> התאמות </w:t>
      </w:r>
      <w:r w:rsidR="00922D7D" w:rsidRPr="00F25744">
        <w:rPr>
          <w:rFonts w:ascii="David" w:hAnsi="David" w:cs="David" w:hint="cs"/>
          <w:sz w:val="24"/>
          <w:szCs w:val="24"/>
          <w:rtl/>
        </w:rPr>
        <w:t xml:space="preserve">מסוימות </w:t>
      </w:r>
      <w:r w:rsidRPr="00F25744">
        <w:rPr>
          <w:rFonts w:ascii="David" w:hAnsi="David" w:cs="David" w:hint="cs"/>
          <w:sz w:val="24"/>
          <w:szCs w:val="24"/>
          <w:rtl/>
        </w:rPr>
        <w:t>לתמהיל שנקבע במח</w:t>
      </w:r>
      <w:r w:rsidR="00922D7D" w:rsidRPr="00F25744">
        <w:rPr>
          <w:rFonts w:ascii="David" w:hAnsi="David" w:cs="David" w:hint="cs"/>
          <w:sz w:val="24"/>
          <w:szCs w:val="24"/>
          <w:rtl/>
        </w:rPr>
        <w:t xml:space="preserve">קר הקודם. </w:t>
      </w:r>
    </w:p>
    <w:p w14:paraId="72DC7235" w14:textId="02B4CE23" w:rsidR="007E6528" w:rsidRPr="00F25744" w:rsidRDefault="00E25AE7" w:rsidP="007517C0">
      <w:pPr>
        <w:pStyle w:val="a3"/>
        <w:widowControl w:val="0"/>
        <w:autoSpaceDE w:val="0"/>
        <w:autoSpaceDN w:val="0"/>
        <w:bidi/>
        <w:adjustRightInd w:val="0"/>
        <w:spacing w:before="120" w:after="0" w:line="360" w:lineRule="auto"/>
        <w:ind w:left="0"/>
        <w:rPr>
          <w:rFonts w:ascii="David" w:hAnsi="David" w:cs="David"/>
          <w:sz w:val="24"/>
          <w:szCs w:val="24"/>
          <w:rtl/>
        </w:rPr>
      </w:pPr>
      <w:r w:rsidRPr="00F25744">
        <w:rPr>
          <w:rFonts w:ascii="David" w:hAnsi="David" w:cs="David" w:hint="cs"/>
          <w:sz w:val="24"/>
          <w:szCs w:val="24"/>
          <w:rtl/>
        </w:rPr>
        <w:t xml:space="preserve">במחקר </w:t>
      </w:r>
      <w:r w:rsidR="00C67E15" w:rsidRPr="00F25744">
        <w:rPr>
          <w:rFonts w:ascii="David" w:hAnsi="David" w:cs="David" w:hint="cs"/>
          <w:sz w:val="24"/>
          <w:szCs w:val="24"/>
          <w:rtl/>
        </w:rPr>
        <w:t>זה</w:t>
      </w:r>
      <w:r w:rsidRPr="00F25744">
        <w:rPr>
          <w:rFonts w:ascii="David" w:hAnsi="David" w:cs="David" w:hint="cs"/>
          <w:sz w:val="24"/>
          <w:szCs w:val="24"/>
          <w:rtl/>
        </w:rPr>
        <w:t xml:space="preserve">, הבחנו בין כתיבת פסקי דין לכתיבת החלטות ביניים, ואף בין כתיבת החלטות בפתקית וכתיבת החלטות במסמך עצמאי. </w:t>
      </w:r>
      <w:r w:rsidR="0078783D" w:rsidRPr="00F25744">
        <w:rPr>
          <w:rFonts w:ascii="David" w:hAnsi="David" w:cs="David" w:hint="cs"/>
          <w:sz w:val="24"/>
          <w:szCs w:val="24"/>
          <w:rtl/>
        </w:rPr>
        <w:t>לאחר דיון בכל סוג תיק בנפרד גובשו אופני החישוב ל</w:t>
      </w:r>
      <w:r w:rsidR="00922D7D" w:rsidRPr="00F25744">
        <w:rPr>
          <w:rFonts w:ascii="David" w:hAnsi="David" w:cs="David" w:hint="cs"/>
          <w:sz w:val="24"/>
          <w:szCs w:val="24"/>
          <w:rtl/>
        </w:rPr>
        <w:t>פעולות השיפוטיות השונות:</w:t>
      </w:r>
      <w:r w:rsidR="0078783D" w:rsidRPr="00F25744">
        <w:rPr>
          <w:rFonts w:ascii="David" w:hAnsi="David" w:cs="David" w:hint="cs"/>
          <w:sz w:val="24"/>
          <w:szCs w:val="24"/>
          <w:rtl/>
        </w:rPr>
        <w:t xml:space="preserve"> </w:t>
      </w:r>
      <w:r w:rsidR="008372B3" w:rsidRPr="00F25744">
        <w:rPr>
          <w:rFonts w:ascii="David" w:hAnsi="David" w:cs="David" w:hint="cs"/>
          <w:sz w:val="24"/>
          <w:szCs w:val="24"/>
          <w:rtl/>
        </w:rPr>
        <w:t xml:space="preserve">הוסכם, כי </w:t>
      </w:r>
      <w:r w:rsidR="006A1839" w:rsidRPr="00F25744">
        <w:rPr>
          <w:rFonts w:ascii="David" w:hAnsi="David" w:cs="David" w:hint="cs"/>
          <w:sz w:val="24"/>
          <w:szCs w:val="24"/>
          <w:rtl/>
        </w:rPr>
        <w:t>זמן</w:t>
      </w:r>
      <w:r w:rsidR="006A1839" w:rsidRPr="00F25744">
        <w:rPr>
          <w:rFonts w:ascii="David" w:hAnsi="David" w:cs="David"/>
          <w:sz w:val="24"/>
          <w:szCs w:val="24"/>
        </w:rPr>
        <w:t xml:space="preserve"> </w:t>
      </w:r>
      <w:r w:rsidR="006A1839" w:rsidRPr="00F25744">
        <w:rPr>
          <w:rFonts w:ascii="David" w:hAnsi="David" w:cs="David" w:hint="cs"/>
          <w:sz w:val="24"/>
          <w:szCs w:val="24"/>
          <w:rtl/>
        </w:rPr>
        <w:t>הדיונים</w:t>
      </w:r>
      <w:r w:rsidR="006A1839" w:rsidRPr="00F25744">
        <w:rPr>
          <w:rFonts w:ascii="David" w:hAnsi="David" w:cs="David"/>
          <w:sz w:val="24"/>
          <w:szCs w:val="24"/>
        </w:rPr>
        <w:t xml:space="preserve"> </w:t>
      </w:r>
      <w:r w:rsidR="006A1839" w:rsidRPr="00F25744">
        <w:rPr>
          <w:rFonts w:ascii="David" w:hAnsi="David" w:cs="David" w:hint="cs"/>
          <w:sz w:val="24"/>
          <w:szCs w:val="24"/>
          <w:rtl/>
        </w:rPr>
        <w:t>ב</w:t>
      </w:r>
      <w:r w:rsidR="0078783D" w:rsidRPr="00F25744">
        <w:rPr>
          <w:rFonts w:ascii="David" w:hAnsi="David" w:cs="David" w:hint="cs"/>
          <w:sz w:val="24"/>
          <w:szCs w:val="24"/>
          <w:rtl/>
        </w:rPr>
        <w:t xml:space="preserve">כל </w:t>
      </w:r>
      <w:r w:rsidR="008372B3" w:rsidRPr="00F25744">
        <w:rPr>
          <w:rFonts w:ascii="David" w:hAnsi="David" w:cs="David" w:hint="cs"/>
          <w:sz w:val="24"/>
          <w:szCs w:val="24"/>
          <w:rtl/>
        </w:rPr>
        <w:t>תיקי ההרכב</w:t>
      </w:r>
      <w:r w:rsidR="006A1839" w:rsidRPr="00F25744">
        <w:rPr>
          <w:rFonts w:ascii="David" w:hAnsi="David" w:cs="David"/>
          <w:sz w:val="24"/>
          <w:szCs w:val="24"/>
        </w:rPr>
        <w:t xml:space="preserve"> </w:t>
      </w:r>
      <w:r w:rsidR="006A1839" w:rsidRPr="00F25744">
        <w:rPr>
          <w:rFonts w:ascii="David" w:hAnsi="David" w:cs="David" w:hint="cs"/>
          <w:sz w:val="24"/>
          <w:szCs w:val="24"/>
          <w:rtl/>
        </w:rPr>
        <w:t>צריך להיות מוכפל</w:t>
      </w:r>
      <w:r w:rsidR="006A1839" w:rsidRPr="00F25744">
        <w:rPr>
          <w:rFonts w:ascii="David" w:hAnsi="David" w:cs="David"/>
          <w:sz w:val="24"/>
          <w:szCs w:val="24"/>
        </w:rPr>
        <w:t xml:space="preserve"> </w:t>
      </w:r>
      <w:r w:rsidR="006A1839" w:rsidRPr="00F25744">
        <w:rPr>
          <w:rFonts w:ascii="David" w:hAnsi="David" w:cs="David" w:hint="cs"/>
          <w:sz w:val="24"/>
          <w:szCs w:val="24"/>
          <w:rtl/>
        </w:rPr>
        <w:t>בשלוש,</w:t>
      </w:r>
      <w:r w:rsidR="006A1839" w:rsidRPr="00F25744">
        <w:rPr>
          <w:rFonts w:ascii="David" w:hAnsi="David" w:cs="David"/>
          <w:sz w:val="24"/>
          <w:szCs w:val="24"/>
        </w:rPr>
        <w:t xml:space="preserve"> </w:t>
      </w:r>
      <w:r w:rsidR="006A1839" w:rsidRPr="00F25744">
        <w:rPr>
          <w:rFonts w:ascii="David" w:hAnsi="David" w:cs="David" w:hint="cs"/>
          <w:sz w:val="24"/>
          <w:szCs w:val="24"/>
          <w:rtl/>
        </w:rPr>
        <w:t>שכן</w:t>
      </w:r>
      <w:r w:rsidR="00922D7D" w:rsidRPr="00F25744">
        <w:rPr>
          <w:rFonts w:ascii="David" w:hAnsi="David" w:cs="David" w:hint="cs"/>
          <w:sz w:val="24"/>
          <w:szCs w:val="24"/>
          <w:rtl/>
        </w:rPr>
        <w:t xml:space="preserve"> </w:t>
      </w:r>
      <w:r w:rsidR="006A1839" w:rsidRPr="00F25744">
        <w:rPr>
          <w:rFonts w:ascii="David" w:hAnsi="David" w:cs="David" w:hint="cs"/>
          <w:sz w:val="24"/>
          <w:szCs w:val="24"/>
          <w:rtl/>
        </w:rPr>
        <w:t>שלושת</w:t>
      </w:r>
      <w:r w:rsidR="006A1839" w:rsidRPr="00F25744">
        <w:rPr>
          <w:rFonts w:ascii="David" w:hAnsi="David" w:cs="David"/>
          <w:sz w:val="24"/>
          <w:szCs w:val="24"/>
        </w:rPr>
        <w:t xml:space="preserve"> </w:t>
      </w:r>
      <w:r w:rsidR="006A1839" w:rsidRPr="00F25744">
        <w:rPr>
          <w:rFonts w:ascii="David" w:hAnsi="David" w:cs="David" w:hint="cs"/>
          <w:sz w:val="24"/>
          <w:szCs w:val="24"/>
          <w:rtl/>
        </w:rPr>
        <w:t>שופטי</w:t>
      </w:r>
      <w:r w:rsidR="006A1839" w:rsidRPr="00F25744">
        <w:rPr>
          <w:rFonts w:ascii="David" w:hAnsi="David" w:cs="David"/>
          <w:sz w:val="24"/>
          <w:szCs w:val="24"/>
        </w:rPr>
        <w:t xml:space="preserve"> </w:t>
      </w:r>
      <w:r w:rsidR="006A1839" w:rsidRPr="00F25744">
        <w:rPr>
          <w:rFonts w:ascii="David" w:hAnsi="David" w:cs="David" w:hint="cs"/>
          <w:sz w:val="24"/>
          <w:szCs w:val="24"/>
          <w:rtl/>
        </w:rPr>
        <w:t>ההרכב</w:t>
      </w:r>
      <w:r w:rsidR="00BC202E" w:rsidRPr="00F25744">
        <w:rPr>
          <w:rFonts w:ascii="David" w:hAnsi="David" w:cs="David" w:hint="cs"/>
          <w:sz w:val="24"/>
          <w:szCs w:val="24"/>
          <w:rtl/>
        </w:rPr>
        <w:t xml:space="preserve"> </w:t>
      </w:r>
      <w:r w:rsidR="006A1839" w:rsidRPr="00F25744">
        <w:rPr>
          <w:rFonts w:ascii="David" w:hAnsi="David" w:cs="David" w:hint="cs"/>
          <w:sz w:val="24"/>
          <w:szCs w:val="24"/>
          <w:rtl/>
        </w:rPr>
        <w:t>נמצאים</w:t>
      </w:r>
      <w:r w:rsidR="006A1839" w:rsidRPr="00F25744">
        <w:rPr>
          <w:rFonts w:ascii="David" w:hAnsi="David" w:cs="David"/>
          <w:sz w:val="24"/>
          <w:szCs w:val="24"/>
        </w:rPr>
        <w:t xml:space="preserve"> </w:t>
      </w:r>
      <w:r w:rsidR="006A1839" w:rsidRPr="00F25744">
        <w:rPr>
          <w:rFonts w:ascii="David" w:hAnsi="David" w:cs="David" w:hint="cs"/>
          <w:sz w:val="24"/>
          <w:szCs w:val="24"/>
          <w:rtl/>
        </w:rPr>
        <w:t>באולם;</w:t>
      </w:r>
      <w:r w:rsidR="001D3D03" w:rsidRPr="00F25744">
        <w:rPr>
          <w:rFonts w:ascii="David" w:hAnsi="David" w:cs="David" w:hint="cs"/>
          <w:sz w:val="24"/>
          <w:szCs w:val="24"/>
          <w:rtl/>
        </w:rPr>
        <w:t xml:space="preserve"> זמן ההכנה לדיונים צריך להיות סכימה של זמני ההכנה לדיונים של </w:t>
      </w:r>
      <w:r w:rsidR="00341018" w:rsidRPr="00F25744">
        <w:rPr>
          <w:rFonts w:ascii="David" w:hAnsi="David" w:cs="David" w:hint="cs"/>
          <w:sz w:val="24"/>
          <w:szCs w:val="24"/>
          <w:rtl/>
        </w:rPr>
        <w:t>ראש ההרכב</w:t>
      </w:r>
      <w:r w:rsidR="001D3D03" w:rsidRPr="00F25744">
        <w:rPr>
          <w:rFonts w:ascii="David" w:hAnsi="David" w:cs="David" w:hint="cs"/>
          <w:sz w:val="24"/>
          <w:szCs w:val="24"/>
          <w:rtl/>
        </w:rPr>
        <w:t xml:space="preserve"> ושני חברי ההרכב כפי שנמדדו במחקר;</w:t>
      </w:r>
      <w:r w:rsidR="006A1839" w:rsidRPr="00F25744">
        <w:rPr>
          <w:rFonts w:ascii="David" w:hAnsi="David" w:cs="David"/>
          <w:sz w:val="24"/>
          <w:szCs w:val="24"/>
        </w:rPr>
        <w:t xml:space="preserve"> </w:t>
      </w:r>
      <w:r w:rsidR="006A1839" w:rsidRPr="00F25744">
        <w:rPr>
          <w:rFonts w:ascii="David" w:hAnsi="David" w:cs="David" w:hint="cs"/>
          <w:sz w:val="24"/>
          <w:szCs w:val="24"/>
          <w:rtl/>
        </w:rPr>
        <w:t>זמן</w:t>
      </w:r>
      <w:r w:rsidR="006A1839" w:rsidRPr="00F25744">
        <w:rPr>
          <w:rFonts w:ascii="David" w:hAnsi="David" w:cs="David"/>
          <w:sz w:val="24"/>
          <w:szCs w:val="24"/>
        </w:rPr>
        <w:t xml:space="preserve"> </w:t>
      </w:r>
      <w:r w:rsidR="006A1839" w:rsidRPr="00F25744">
        <w:rPr>
          <w:rFonts w:ascii="David" w:hAnsi="David" w:cs="David" w:hint="cs"/>
          <w:sz w:val="24"/>
          <w:szCs w:val="24"/>
          <w:rtl/>
        </w:rPr>
        <w:t>כתיב</w:t>
      </w:r>
      <w:r w:rsidR="007F3A52" w:rsidRPr="00F25744">
        <w:rPr>
          <w:rFonts w:ascii="David" w:hAnsi="David" w:cs="David" w:hint="cs"/>
          <w:sz w:val="24"/>
          <w:szCs w:val="24"/>
          <w:rtl/>
        </w:rPr>
        <w:t>ת החלטות בפתקית צריך להיות</w:t>
      </w:r>
      <w:r w:rsidRPr="00F25744">
        <w:rPr>
          <w:rFonts w:ascii="David" w:hAnsi="David" w:cs="David" w:hint="cs"/>
          <w:sz w:val="24"/>
          <w:szCs w:val="24"/>
          <w:rtl/>
        </w:rPr>
        <w:t xml:space="preserve"> מחושב </w:t>
      </w:r>
      <w:r w:rsidRPr="00F25744">
        <w:rPr>
          <w:rFonts w:ascii="David" w:hAnsi="David" w:cs="David" w:hint="cs"/>
          <w:sz w:val="24"/>
          <w:szCs w:val="24"/>
          <w:rtl/>
        </w:rPr>
        <w:lastRenderedPageBreak/>
        <w:t>לפי</w:t>
      </w:r>
      <w:r w:rsidR="007F3A52" w:rsidRPr="00F25744">
        <w:rPr>
          <w:rFonts w:ascii="David" w:hAnsi="David" w:cs="David" w:hint="cs"/>
          <w:sz w:val="24"/>
          <w:szCs w:val="24"/>
          <w:rtl/>
        </w:rPr>
        <w:t xml:space="preserve"> זמנו של </w:t>
      </w:r>
      <w:r w:rsidR="00341018" w:rsidRPr="00F25744">
        <w:rPr>
          <w:rFonts w:ascii="David" w:hAnsi="David" w:cs="David" w:hint="cs"/>
          <w:sz w:val="24"/>
          <w:szCs w:val="24"/>
          <w:rtl/>
        </w:rPr>
        <w:t>ראש ההרכב</w:t>
      </w:r>
      <w:r w:rsidR="007F3A52" w:rsidRPr="00F25744">
        <w:rPr>
          <w:rFonts w:ascii="David" w:hAnsi="David" w:cs="David" w:hint="cs"/>
          <w:sz w:val="24"/>
          <w:szCs w:val="24"/>
          <w:rtl/>
        </w:rPr>
        <w:t xml:space="preserve"> בלבד; זמן כתיבת החלטות ביניים במס</w:t>
      </w:r>
      <w:r w:rsidR="008372B3" w:rsidRPr="00F25744">
        <w:rPr>
          <w:rFonts w:ascii="David" w:hAnsi="David" w:cs="David" w:hint="cs"/>
          <w:sz w:val="24"/>
          <w:szCs w:val="24"/>
          <w:rtl/>
        </w:rPr>
        <w:t>מ</w:t>
      </w:r>
      <w:r w:rsidR="007F3A52" w:rsidRPr="00F25744">
        <w:rPr>
          <w:rFonts w:ascii="David" w:hAnsi="David" w:cs="David" w:hint="cs"/>
          <w:sz w:val="24"/>
          <w:szCs w:val="24"/>
          <w:rtl/>
        </w:rPr>
        <w:t xml:space="preserve">ך עצמאי צריך להיות </w:t>
      </w:r>
      <w:r w:rsidRPr="00F25744">
        <w:rPr>
          <w:rFonts w:ascii="David" w:hAnsi="David" w:cs="David" w:hint="cs"/>
          <w:sz w:val="24"/>
          <w:szCs w:val="24"/>
          <w:rtl/>
        </w:rPr>
        <w:t xml:space="preserve">מוכפל ב-1.25, </w:t>
      </w:r>
      <w:r w:rsidR="007F3A52" w:rsidRPr="00F25744">
        <w:rPr>
          <w:rFonts w:ascii="David" w:hAnsi="David" w:cs="David" w:hint="cs"/>
          <w:sz w:val="24"/>
          <w:szCs w:val="24"/>
          <w:rtl/>
        </w:rPr>
        <w:t xml:space="preserve">לפי זמן הכתיבה המלא של </w:t>
      </w:r>
      <w:r w:rsidR="00341018" w:rsidRPr="00F25744">
        <w:rPr>
          <w:rFonts w:ascii="David" w:hAnsi="David" w:cs="David" w:hint="cs"/>
          <w:sz w:val="24"/>
          <w:szCs w:val="24"/>
          <w:rtl/>
        </w:rPr>
        <w:t>ראש ההרכב</w:t>
      </w:r>
      <w:r w:rsidR="007F3A52" w:rsidRPr="00F25744">
        <w:rPr>
          <w:rFonts w:ascii="David" w:hAnsi="David" w:cs="David" w:hint="cs"/>
          <w:sz w:val="24"/>
          <w:szCs w:val="24"/>
          <w:rtl/>
        </w:rPr>
        <w:t xml:space="preserve"> ועוד שמינית הזמן של שני חברי </w:t>
      </w:r>
      <w:r w:rsidR="008372B3" w:rsidRPr="00F25744">
        <w:rPr>
          <w:rFonts w:ascii="David" w:hAnsi="David" w:cs="David" w:hint="cs"/>
          <w:sz w:val="24"/>
          <w:szCs w:val="24"/>
          <w:rtl/>
        </w:rPr>
        <w:t>ההרכב</w:t>
      </w:r>
      <w:r w:rsidR="007F3A52" w:rsidRPr="00F25744">
        <w:rPr>
          <w:rFonts w:ascii="David" w:hAnsi="David" w:cs="David" w:hint="cs"/>
          <w:sz w:val="24"/>
          <w:szCs w:val="24"/>
          <w:rtl/>
        </w:rPr>
        <w:t xml:space="preserve">; זמן כתיבת פסקי </w:t>
      </w:r>
      <w:r w:rsidR="001D3D03" w:rsidRPr="00F25744">
        <w:rPr>
          <w:rFonts w:ascii="David" w:hAnsi="David" w:cs="David" w:hint="cs"/>
          <w:sz w:val="24"/>
          <w:szCs w:val="24"/>
          <w:rtl/>
        </w:rPr>
        <w:t>ה</w:t>
      </w:r>
      <w:r w:rsidR="007F3A52" w:rsidRPr="00F25744">
        <w:rPr>
          <w:rFonts w:ascii="David" w:hAnsi="David" w:cs="David" w:hint="cs"/>
          <w:sz w:val="24"/>
          <w:szCs w:val="24"/>
          <w:rtl/>
        </w:rPr>
        <w:t xml:space="preserve">דין </w:t>
      </w:r>
      <w:r w:rsidR="006A1839" w:rsidRPr="00F25744">
        <w:rPr>
          <w:rFonts w:ascii="David" w:hAnsi="David" w:cs="David" w:hint="cs"/>
          <w:sz w:val="24"/>
          <w:szCs w:val="24"/>
          <w:rtl/>
        </w:rPr>
        <w:t>צריך</w:t>
      </w:r>
      <w:r w:rsidR="006A1839" w:rsidRPr="00F25744">
        <w:rPr>
          <w:rFonts w:ascii="David" w:hAnsi="David" w:cs="David"/>
          <w:sz w:val="24"/>
          <w:szCs w:val="24"/>
        </w:rPr>
        <w:t xml:space="preserve"> </w:t>
      </w:r>
      <w:r w:rsidR="006A1839" w:rsidRPr="00F25744">
        <w:rPr>
          <w:rFonts w:ascii="David" w:hAnsi="David" w:cs="David" w:hint="cs"/>
          <w:sz w:val="24"/>
          <w:szCs w:val="24"/>
          <w:rtl/>
        </w:rPr>
        <w:t>להיות</w:t>
      </w:r>
      <w:r w:rsidR="006A1839" w:rsidRPr="00F25744">
        <w:rPr>
          <w:rFonts w:ascii="David" w:hAnsi="David" w:cs="David"/>
          <w:sz w:val="24"/>
          <w:szCs w:val="24"/>
        </w:rPr>
        <w:t xml:space="preserve"> </w:t>
      </w:r>
      <w:r w:rsidR="006A1839" w:rsidRPr="00F25744">
        <w:rPr>
          <w:rFonts w:ascii="David" w:hAnsi="David" w:cs="David" w:hint="cs"/>
          <w:sz w:val="24"/>
          <w:szCs w:val="24"/>
          <w:rtl/>
        </w:rPr>
        <w:t xml:space="preserve">מוכפל </w:t>
      </w:r>
      <w:r w:rsidR="007F3A52" w:rsidRPr="00F25744">
        <w:rPr>
          <w:rFonts w:ascii="David" w:hAnsi="David" w:cs="David" w:hint="cs"/>
          <w:sz w:val="24"/>
          <w:szCs w:val="24"/>
          <w:rtl/>
        </w:rPr>
        <w:t xml:space="preserve">אף הוא </w:t>
      </w:r>
      <w:r w:rsidR="006A1839" w:rsidRPr="00F25744">
        <w:rPr>
          <w:rFonts w:ascii="David" w:hAnsi="David" w:cs="David" w:hint="cs"/>
          <w:sz w:val="24"/>
          <w:szCs w:val="24"/>
          <w:rtl/>
        </w:rPr>
        <w:t>ב</w:t>
      </w:r>
      <w:r w:rsidRPr="00F25744">
        <w:rPr>
          <w:rFonts w:ascii="David" w:hAnsi="David" w:cs="David" w:hint="cs"/>
          <w:sz w:val="24"/>
          <w:szCs w:val="24"/>
          <w:rtl/>
        </w:rPr>
        <w:t>-1.25</w:t>
      </w:r>
      <w:r w:rsidR="002830E7" w:rsidRPr="00F25744">
        <w:rPr>
          <w:rFonts w:ascii="David" w:hAnsi="David" w:cs="David" w:hint="cs"/>
          <w:sz w:val="24"/>
          <w:szCs w:val="24"/>
          <w:rtl/>
        </w:rPr>
        <w:t xml:space="preserve"> -</w:t>
      </w:r>
      <w:r w:rsidR="006A1839" w:rsidRPr="00F25744">
        <w:rPr>
          <w:rFonts w:ascii="David" w:hAnsi="David" w:cs="David" w:hint="cs"/>
          <w:sz w:val="24"/>
          <w:szCs w:val="24"/>
          <w:rtl/>
        </w:rPr>
        <w:t xml:space="preserve"> </w:t>
      </w:r>
      <w:r w:rsidR="002830E7" w:rsidRPr="00F25744">
        <w:rPr>
          <w:rFonts w:ascii="David" w:hAnsi="David" w:cs="David" w:hint="cs"/>
          <w:sz w:val="24"/>
          <w:szCs w:val="24"/>
          <w:rtl/>
        </w:rPr>
        <w:t xml:space="preserve">זמן הכתיבה המלא של שופט אחד </w:t>
      </w:r>
      <w:r w:rsidR="001D3D03" w:rsidRPr="00F25744">
        <w:rPr>
          <w:rFonts w:ascii="David" w:hAnsi="David" w:cs="David" w:hint="cs"/>
          <w:sz w:val="24"/>
          <w:szCs w:val="24"/>
          <w:rtl/>
        </w:rPr>
        <w:t xml:space="preserve">(כאן </w:t>
      </w:r>
      <w:r w:rsidR="007517C0">
        <w:rPr>
          <w:rFonts w:ascii="David" w:hAnsi="David" w:cs="David" w:hint="cs"/>
          <w:sz w:val="24"/>
          <w:szCs w:val="24"/>
          <w:rtl/>
        </w:rPr>
        <w:t>נעשה</w:t>
      </w:r>
      <w:r w:rsidR="001D3D03" w:rsidRPr="00F25744">
        <w:rPr>
          <w:rFonts w:ascii="David" w:hAnsi="David" w:cs="David" w:hint="cs"/>
          <w:sz w:val="24"/>
          <w:szCs w:val="24"/>
          <w:rtl/>
        </w:rPr>
        <w:t xml:space="preserve"> ממוצע של זמן </w:t>
      </w:r>
      <w:r w:rsidR="00341018" w:rsidRPr="00F25744">
        <w:rPr>
          <w:rFonts w:ascii="David" w:hAnsi="David" w:cs="David" w:hint="cs"/>
          <w:sz w:val="24"/>
          <w:szCs w:val="24"/>
          <w:rtl/>
        </w:rPr>
        <w:t>ראש ההרכב</w:t>
      </w:r>
      <w:r w:rsidR="001D3D03" w:rsidRPr="00F25744">
        <w:rPr>
          <w:rFonts w:ascii="David" w:hAnsi="David" w:cs="David" w:hint="cs"/>
          <w:sz w:val="24"/>
          <w:szCs w:val="24"/>
          <w:rtl/>
        </w:rPr>
        <w:t xml:space="preserve"> וזמן חברי ההרכב, מכיוון שלא ניתן היה לדעת מי הכותב העיקרי של פסק הדין) </w:t>
      </w:r>
      <w:r w:rsidR="002830E7" w:rsidRPr="00F25744">
        <w:rPr>
          <w:rFonts w:ascii="David" w:hAnsi="David" w:cs="David" w:hint="cs"/>
          <w:sz w:val="24"/>
          <w:szCs w:val="24"/>
          <w:rtl/>
        </w:rPr>
        <w:t>ושמינית זמן הכתיבה של שני השופטים הנוספים בהרכב,</w:t>
      </w:r>
      <w:r w:rsidR="002830E7" w:rsidRPr="00F25744">
        <w:rPr>
          <w:rFonts w:ascii="David" w:hAnsi="David" w:cs="David"/>
          <w:sz w:val="24"/>
          <w:szCs w:val="24"/>
        </w:rPr>
        <w:t xml:space="preserve"> </w:t>
      </w:r>
      <w:r w:rsidR="006A1839" w:rsidRPr="00F25744">
        <w:rPr>
          <w:rFonts w:ascii="David" w:hAnsi="David" w:cs="David" w:hint="cs"/>
          <w:sz w:val="24"/>
          <w:szCs w:val="24"/>
          <w:rtl/>
        </w:rPr>
        <w:t>שכן</w:t>
      </w:r>
      <w:r w:rsidR="006A1839" w:rsidRPr="00F25744">
        <w:rPr>
          <w:rFonts w:ascii="David" w:hAnsi="David" w:cs="David"/>
          <w:sz w:val="24"/>
          <w:szCs w:val="24"/>
        </w:rPr>
        <w:t xml:space="preserve"> </w:t>
      </w:r>
      <w:r w:rsidR="006A1839" w:rsidRPr="00F25744">
        <w:rPr>
          <w:rFonts w:ascii="David" w:hAnsi="David" w:cs="David" w:hint="cs"/>
          <w:sz w:val="24"/>
          <w:szCs w:val="24"/>
          <w:rtl/>
        </w:rPr>
        <w:t>מרבית</w:t>
      </w:r>
      <w:r w:rsidR="006A1839" w:rsidRPr="00F25744">
        <w:rPr>
          <w:rFonts w:ascii="David" w:hAnsi="David" w:cs="David"/>
          <w:sz w:val="24"/>
          <w:szCs w:val="24"/>
        </w:rPr>
        <w:t xml:space="preserve"> </w:t>
      </w:r>
      <w:r w:rsidR="006A1839" w:rsidRPr="00F25744">
        <w:rPr>
          <w:rFonts w:ascii="David" w:hAnsi="David" w:cs="David" w:hint="cs"/>
          <w:sz w:val="24"/>
          <w:szCs w:val="24"/>
          <w:rtl/>
        </w:rPr>
        <w:t>הכתיבה</w:t>
      </w:r>
      <w:r w:rsidR="006A1839" w:rsidRPr="00F25744">
        <w:rPr>
          <w:rFonts w:ascii="David" w:hAnsi="David" w:cs="David"/>
          <w:sz w:val="24"/>
          <w:szCs w:val="24"/>
        </w:rPr>
        <w:t xml:space="preserve"> </w:t>
      </w:r>
      <w:r w:rsidR="006A1839" w:rsidRPr="00F25744">
        <w:rPr>
          <w:rFonts w:ascii="David" w:hAnsi="David" w:cs="David" w:hint="cs"/>
          <w:sz w:val="24"/>
          <w:szCs w:val="24"/>
          <w:rtl/>
        </w:rPr>
        <w:t>בתיק</w:t>
      </w:r>
      <w:r w:rsidR="008372B3" w:rsidRPr="00F25744">
        <w:rPr>
          <w:rFonts w:ascii="David" w:hAnsi="David" w:cs="David" w:hint="cs"/>
          <w:sz w:val="24"/>
          <w:szCs w:val="24"/>
          <w:rtl/>
        </w:rPr>
        <w:t xml:space="preserve"> </w:t>
      </w:r>
      <w:r w:rsidR="006A1839" w:rsidRPr="00F25744">
        <w:rPr>
          <w:rFonts w:ascii="David" w:hAnsi="David" w:cs="David" w:hint="cs"/>
          <w:sz w:val="24"/>
          <w:szCs w:val="24"/>
          <w:rtl/>
        </w:rPr>
        <w:t>הרכב</w:t>
      </w:r>
      <w:r w:rsidR="00BC202E" w:rsidRPr="00F25744">
        <w:rPr>
          <w:rFonts w:ascii="David" w:hAnsi="David" w:cs="David" w:hint="cs"/>
          <w:sz w:val="24"/>
          <w:szCs w:val="24"/>
          <w:rtl/>
        </w:rPr>
        <w:t xml:space="preserve"> </w:t>
      </w:r>
      <w:r w:rsidR="006A1839" w:rsidRPr="00F25744">
        <w:rPr>
          <w:rFonts w:ascii="David" w:hAnsi="David" w:cs="David" w:hint="cs"/>
          <w:sz w:val="24"/>
          <w:szCs w:val="24"/>
          <w:rtl/>
        </w:rPr>
        <w:t>מתבצעת</w:t>
      </w:r>
      <w:r w:rsidR="006A1839" w:rsidRPr="00F25744">
        <w:rPr>
          <w:rFonts w:ascii="David" w:hAnsi="David" w:cs="David"/>
          <w:sz w:val="24"/>
          <w:szCs w:val="24"/>
        </w:rPr>
        <w:t xml:space="preserve"> </w:t>
      </w:r>
      <w:r w:rsidR="006A1839" w:rsidRPr="00F25744">
        <w:rPr>
          <w:rFonts w:ascii="David" w:hAnsi="David" w:cs="David" w:hint="cs"/>
          <w:sz w:val="24"/>
          <w:szCs w:val="24"/>
          <w:rtl/>
        </w:rPr>
        <w:t>על</w:t>
      </w:r>
      <w:r w:rsidR="006A1839" w:rsidRPr="00F25744">
        <w:rPr>
          <w:rFonts w:ascii="David" w:hAnsi="David" w:cs="David"/>
          <w:sz w:val="24"/>
          <w:szCs w:val="24"/>
        </w:rPr>
        <w:t xml:space="preserve"> </w:t>
      </w:r>
      <w:r w:rsidR="006A1839" w:rsidRPr="00F25744">
        <w:rPr>
          <w:rFonts w:ascii="David" w:hAnsi="David" w:cs="David" w:hint="cs"/>
          <w:sz w:val="24"/>
          <w:szCs w:val="24"/>
          <w:rtl/>
        </w:rPr>
        <w:t>ידי</w:t>
      </w:r>
      <w:r w:rsidR="006A1839" w:rsidRPr="00F25744">
        <w:rPr>
          <w:rFonts w:ascii="David" w:hAnsi="David" w:cs="David"/>
          <w:sz w:val="24"/>
          <w:szCs w:val="24"/>
        </w:rPr>
        <w:t xml:space="preserve"> </w:t>
      </w:r>
      <w:r w:rsidR="006A1839" w:rsidRPr="00F25744">
        <w:rPr>
          <w:rFonts w:ascii="David" w:hAnsi="David" w:cs="David" w:hint="cs"/>
          <w:sz w:val="24"/>
          <w:szCs w:val="24"/>
          <w:rtl/>
        </w:rPr>
        <w:t>שופט</w:t>
      </w:r>
      <w:r w:rsidR="006A1839" w:rsidRPr="00F25744">
        <w:rPr>
          <w:rFonts w:ascii="David" w:hAnsi="David" w:cs="David"/>
          <w:sz w:val="24"/>
          <w:szCs w:val="24"/>
        </w:rPr>
        <w:t xml:space="preserve"> </w:t>
      </w:r>
      <w:r w:rsidR="006A1839" w:rsidRPr="00F25744">
        <w:rPr>
          <w:rFonts w:ascii="David" w:hAnsi="David" w:cs="David" w:hint="cs"/>
          <w:sz w:val="24"/>
          <w:szCs w:val="24"/>
          <w:rtl/>
        </w:rPr>
        <w:t>אחד,</w:t>
      </w:r>
      <w:r w:rsidR="006A1839" w:rsidRPr="00F25744">
        <w:rPr>
          <w:rFonts w:ascii="David" w:hAnsi="David" w:cs="David"/>
          <w:sz w:val="24"/>
          <w:szCs w:val="24"/>
        </w:rPr>
        <w:t xml:space="preserve"> </w:t>
      </w:r>
      <w:r w:rsidR="006A1839" w:rsidRPr="00F25744">
        <w:rPr>
          <w:rFonts w:ascii="David" w:hAnsi="David" w:cs="David" w:hint="cs"/>
          <w:sz w:val="24"/>
          <w:szCs w:val="24"/>
          <w:rtl/>
        </w:rPr>
        <w:t>כששני</w:t>
      </w:r>
      <w:r w:rsidR="006A1839" w:rsidRPr="00F25744">
        <w:rPr>
          <w:rFonts w:ascii="David" w:hAnsi="David" w:cs="David"/>
          <w:sz w:val="24"/>
          <w:szCs w:val="24"/>
        </w:rPr>
        <w:t xml:space="preserve"> </w:t>
      </w:r>
      <w:r w:rsidR="006A1839" w:rsidRPr="00F25744">
        <w:rPr>
          <w:rFonts w:ascii="David" w:hAnsi="David" w:cs="David" w:hint="cs"/>
          <w:sz w:val="24"/>
          <w:szCs w:val="24"/>
          <w:rtl/>
        </w:rPr>
        <w:t>השופטים האחרים</w:t>
      </w:r>
      <w:r w:rsidR="000518C9" w:rsidRPr="00F25744">
        <w:rPr>
          <w:rFonts w:ascii="David" w:hAnsi="David" w:cs="David" w:hint="cs"/>
          <w:sz w:val="24"/>
          <w:szCs w:val="24"/>
          <w:rtl/>
        </w:rPr>
        <w:t xml:space="preserve"> מתייעצים,</w:t>
      </w:r>
      <w:r w:rsidR="000518C9" w:rsidRPr="00F25744">
        <w:rPr>
          <w:rFonts w:ascii="David" w:hAnsi="David" w:cs="David"/>
          <w:sz w:val="24"/>
          <w:szCs w:val="24"/>
        </w:rPr>
        <w:t xml:space="preserve"> </w:t>
      </w:r>
      <w:r w:rsidR="000518C9" w:rsidRPr="00F25744">
        <w:rPr>
          <w:rFonts w:ascii="David" w:hAnsi="David" w:cs="David" w:hint="cs"/>
          <w:sz w:val="24"/>
          <w:szCs w:val="24"/>
          <w:rtl/>
        </w:rPr>
        <w:t>קוראים</w:t>
      </w:r>
      <w:r w:rsidR="000518C9" w:rsidRPr="00F25744">
        <w:rPr>
          <w:rFonts w:ascii="David" w:hAnsi="David" w:cs="David"/>
          <w:sz w:val="24"/>
          <w:szCs w:val="24"/>
        </w:rPr>
        <w:t xml:space="preserve"> </w:t>
      </w:r>
      <w:r w:rsidR="000518C9" w:rsidRPr="00F25744">
        <w:rPr>
          <w:rFonts w:ascii="David" w:hAnsi="David" w:cs="David" w:hint="cs"/>
          <w:sz w:val="24"/>
          <w:szCs w:val="24"/>
          <w:rtl/>
        </w:rPr>
        <w:t>טיוטות</w:t>
      </w:r>
      <w:r w:rsidR="000518C9" w:rsidRPr="00F25744">
        <w:rPr>
          <w:rFonts w:ascii="David" w:hAnsi="David" w:cs="David"/>
          <w:sz w:val="24"/>
          <w:szCs w:val="24"/>
        </w:rPr>
        <w:t xml:space="preserve"> </w:t>
      </w:r>
      <w:r w:rsidR="000518C9" w:rsidRPr="00F25744">
        <w:rPr>
          <w:rFonts w:ascii="David" w:hAnsi="David" w:cs="David" w:hint="cs"/>
          <w:sz w:val="24"/>
          <w:szCs w:val="24"/>
          <w:rtl/>
        </w:rPr>
        <w:t>ומעירים</w:t>
      </w:r>
      <w:r w:rsidR="00BC202E" w:rsidRPr="00F25744">
        <w:rPr>
          <w:rFonts w:ascii="David" w:hAnsi="David" w:cs="David" w:hint="cs"/>
          <w:sz w:val="24"/>
          <w:szCs w:val="24"/>
          <w:rtl/>
        </w:rPr>
        <w:t xml:space="preserve"> </w:t>
      </w:r>
      <w:r w:rsidR="000518C9" w:rsidRPr="00F25744">
        <w:rPr>
          <w:rFonts w:ascii="David" w:hAnsi="David" w:cs="David" w:hint="cs"/>
          <w:sz w:val="24"/>
          <w:szCs w:val="24"/>
          <w:rtl/>
        </w:rPr>
        <w:t>הערות</w:t>
      </w:r>
      <w:r w:rsidR="002830E7" w:rsidRPr="00F25744">
        <w:rPr>
          <w:rFonts w:ascii="David" w:hAnsi="David" w:cs="David" w:hint="cs"/>
          <w:sz w:val="24"/>
          <w:szCs w:val="24"/>
          <w:rtl/>
        </w:rPr>
        <w:t>, ו</w:t>
      </w:r>
      <w:r w:rsidR="000518C9" w:rsidRPr="00F25744">
        <w:rPr>
          <w:rFonts w:ascii="David" w:hAnsi="David" w:cs="David" w:hint="cs"/>
          <w:sz w:val="24"/>
          <w:szCs w:val="24"/>
          <w:rtl/>
        </w:rPr>
        <w:t>זאת</w:t>
      </w:r>
      <w:r w:rsidR="000518C9" w:rsidRPr="00F25744">
        <w:rPr>
          <w:rFonts w:ascii="David" w:hAnsi="David" w:cs="David"/>
          <w:sz w:val="24"/>
          <w:szCs w:val="24"/>
        </w:rPr>
        <w:t xml:space="preserve"> </w:t>
      </w:r>
      <w:r w:rsidR="000518C9" w:rsidRPr="00F25744">
        <w:rPr>
          <w:rFonts w:ascii="David" w:hAnsi="David" w:cs="David" w:hint="cs"/>
          <w:sz w:val="24"/>
          <w:szCs w:val="24"/>
          <w:rtl/>
        </w:rPr>
        <w:t>בעיקר</w:t>
      </w:r>
      <w:r w:rsidR="000518C9" w:rsidRPr="00F25744">
        <w:rPr>
          <w:rFonts w:ascii="David" w:hAnsi="David" w:cs="David"/>
          <w:sz w:val="24"/>
          <w:szCs w:val="24"/>
        </w:rPr>
        <w:t xml:space="preserve"> </w:t>
      </w:r>
      <w:r w:rsidR="000518C9" w:rsidRPr="00F25744">
        <w:rPr>
          <w:rFonts w:ascii="David" w:hAnsi="David" w:cs="David" w:hint="cs"/>
          <w:sz w:val="24"/>
          <w:szCs w:val="24"/>
          <w:rtl/>
        </w:rPr>
        <w:t>לאור</w:t>
      </w:r>
      <w:r w:rsidR="000518C9" w:rsidRPr="00F25744">
        <w:rPr>
          <w:rFonts w:ascii="David" w:hAnsi="David" w:cs="David"/>
          <w:sz w:val="24"/>
          <w:szCs w:val="24"/>
        </w:rPr>
        <w:t xml:space="preserve"> </w:t>
      </w:r>
      <w:r w:rsidR="000518C9" w:rsidRPr="00F25744">
        <w:rPr>
          <w:rFonts w:ascii="David" w:hAnsi="David" w:cs="David" w:hint="cs"/>
          <w:sz w:val="24"/>
          <w:szCs w:val="24"/>
          <w:rtl/>
        </w:rPr>
        <w:t>השיעור</w:t>
      </w:r>
      <w:r w:rsidR="000518C9" w:rsidRPr="00F25744">
        <w:rPr>
          <w:rFonts w:ascii="David" w:hAnsi="David" w:cs="David"/>
          <w:sz w:val="24"/>
          <w:szCs w:val="24"/>
        </w:rPr>
        <w:t xml:space="preserve"> </w:t>
      </w:r>
      <w:r w:rsidR="000518C9" w:rsidRPr="00F25744">
        <w:rPr>
          <w:rFonts w:ascii="David" w:hAnsi="David" w:cs="David" w:hint="cs"/>
          <w:sz w:val="24"/>
          <w:szCs w:val="24"/>
          <w:rtl/>
        </w:rPr>
        <w:t>הקטן</w:t>
      </w:r>
      <w:r w:rsidR="000518C9" w:rsidRPr="00F25744">
        <w:rPr>
          <w:rFonts w:ascii="David" w:hAnsi="David" w:cs="David"/>
          <w:sz w:val="24"/>
          <w:szCs w:val="24"/>
        </w:rPr>
        <w:t xml:space="preserve"> </w:t>
      </w:r>
      <w:r w:rsidR="000518C9" w:rsidRPr="00F25744">
        <w:rPr>
          <w:rFonts w:ascii="David" w:hAnsi="David" w:cs="David" w:hint="cs"/>
          <w:sz w:val="24"/>
          <w:szCs w:val="24"/>
          <w:rtl/>
        </w:rPr>
        <w:t>של פסקי</w:t>
      </w:r>
      <w:r w:rsidR="000518C9" w:rsidRPr="00F25744">
        <w:rPr>
          <w:rFonts w:ascii="David" w:hAnsi="David" w:cs="David"/>
          <w:sz w:val="24"/>
          <w:szCs w:val="24"/>
        </w:rPr>
        <w:t xml:space="preserve"> </w:t>
      </w:r>
      <w:r w:rsidR="000518C9" w:rsidRPr="00F25744">
        <w:rPr>
          <w:rFonts w:ascii="David" w:hAnsi="David" w:cs="David" w:hint="cs"/>
          <w:sz w:val="24"/>
          <w:szCs w:val="24"/>
          <w:rtl/>
        </w:rPr>
        <w:t>דין</w:t>
      </w:r>
      <w:r w:rsidR="000518C9" w:rsidRPr="00F25744">
        <w:rPr>
          <w:rFonts w:ascii="David" w:hAnsi="David" w:cs="David"/>
          <w:sz w:val="24"/>
          <w:szCs w:val="24"/>
        </w:rPr>
        <w:t xml:space="preserve"> </w:t>
      </w:r>
      <w:r w:rsidR="000518C9" w:rsidRPr="00F25744">
        <w:rPr>
          <w:rFonts w:ascii="David" w:hAnsi="David" w:cs="David" w:hint="cs"/>
          <w:sz w:val="24"/>
          <w:szCs w:val="24"/>
          <w:rtl/>
        </w:rPr>
        <w:t xml:space="preserve">שאינם </w:t>
      </w:r>
      <w:r w:rsidR="002830E7" w:rsidRPr="00F25744">
        <w:rPr>
          <w:rFonts w:ascii="David" w:hAnsi="David" w:cs="David" w:hint="cs"/>
          <w:sz w:val="24"/>
          <w:szCs w:val="24"/>
          <w:rtl/>
        </w:rPr>
        <w:t xml:space="preserve">ניתנים </w:t>
      </w:r>
      <w:r w:rsidR="000518C9" w:rsidRPr="00F25744">
        <w:rPr>
          <w:rFonts w:ascii="David" w:hAnsi="David" w:cs="David" w:hint="cs"/>
          <w:sz w:val="24"/>
          <w:szCs w:val="24"/>
          <w:rtl/>
        </w:rPr>
        <w:t>פה</w:t>
      </w:r>
      <w:r w:rsidR="000518C9" w:rsidRPr="00F25744">
        <w:rPr>
          <w:rFonts w:ascii="David" w:hAnsi="David" w:cs="David"/>
          <w:sz w:val="24"/>
          <w:szCs w:val="24"/>
        </w:rPr>
        <w:t xml:space="preserve"> </w:t>
      </w:r>
      <w:r w:rsidR="000518C9" w:rsidRPr="00F25744">
        <w:rPr>
          <w:rFonts w:ascii="David" w:hAnsi="David" w:cs="David" w:hint="cs"/>
          <w:sz w:val="24"/>
          <w:szCs w:val="24"/>
          <w:rtl/>
        </w:rPr>
        <w:t>אחד</w:t>
      </w:r>
      <w:r w:rsidR="007F3A52" w:rsidRPr="00F25744">
        <w:rPr>
          <w:rFonts w:ascii="David" w:hAnsi="David" w:cs="David" w:hint="cs"/>
          <w:sz w:val="24"/>
          <w:szCs w:val="24"/>
          <w:rtl/>
        </w:rPr>
        <w:t xml:space="preserve">.  </w:t>
      </w:r>
    </w:p>
    <w:p w14:paraId="0E165E4F" w14:textId="77777777" w:rsidR="00BD23BB" w:rsidRPr="00F25744" w:rsidRDefault="00BD23BB" w:rsidP="00BD23BB">
      <w:pPr>
        <w:pStyle w:val="a3"/>
        <w:widowControl w:val="0"/>
        <w:autoSpaceDE w:val="0"/>
        <w:autoSpaceDN w:val="0"/>
        <w:bidi/>
        <w:adjustRightInd w:val="0"/>
        <w:spacing w:before="120" w:after="0" w:line="240" w:lineRule="auto"/>
        <w:ind w:left="0"/>
        <w:rPr>
          <w:rFonts w:ascii="David" w:hAnsi="David" w:cs="David"/>
          <w:sz w:val="24"/>
          <w:szCs w:val="24"/>
          <w:rtl/>
        </w:rPr>
      </w:pPr>
    </w:p>
    <w:p w14:paraId="0B2CA457" w14:textId="77777777" w:rsidR="006227EC" w:rsidRPr="00F25744" w:rsidRDefault="00E25AE7" w:rsidP="00A54D82">
      <w:pPr>
        <w:pStyle w:val="3"/>
        <w:ind w:left="852"/>
        <w:rPr>
          <w:rtl/>
        </w:rPr>
      </w:pPr>
      <w:bookmarkStart w:id="335" w:name="_Toc49352752"/>
      <w:bookmarkStart w:id="336" w:name="_Toc49429657"/>
      <w:bookmarkStart w:id="337" w:name="_Toc49435886"/>
      <w:bookmarkStart w:id="338" w:name="_Toc74750977"/>
      <w:r w:rsidRPr="00F25744">
        <w:rPr>
          <w:rFonts w:hint="cs"/>
          <w:rtl/>
        </w:rPr>
        <w:t>חישוב תמהיל יום העבודה השיפוטי</w:t>
      </w:r>
      <w:bookmarkEnd w:id="326"/>
      <w:bookmarkEnd w:id="327"/>
      <w:bookmarkEnd w:id="328"/>
      <w:bookmarkEnd w:id="329"/>
      <w:bookmarkEnd w:id="330"/>
      <w:bookmarkEnd w:id="331"/>
      <w:bookmarkEnd w:id="332"/>
      <w:bookmarkEnd w:id="333"/>
      <w:bookmarkEnd w:id="335"/>
      <w:bookmarkEnd w:id="336"/>
      <w:bookmarkEnd w:id="337"/>
      <w:bookmarkEnd w:id="338"/>
    </w:p>
    <w:p w14:paraId="4AA95474" w14:textId="77777777" w:rsidR="008659A9" w:rsidRPr="00F25744" w:rsidRDefault="00E25AE7" w:rsidP="003C525E">
      <w:pPr>
        <w:pStyle w:val="a3"/>
        <w:widowControl w:val="0"/>
        <w:autoSpaceDE w:val="0"/>
        <w:autoSpaceDN w:val="0"/>
        <w:bidi/>
        <w:adjustRightInd w:val="0"/>
        <w:spacing w:before="60" w:after="60" w:line="360" w:lineRule="auto"/>
        <w:ind w:left="2"/>
        <w:rPr>
          <w:rFonts w:ascii="David" w:hAnsi="David" w:cs="David"/>
          <w:sz w:val="24"/>
          <w:szCs w:val="24"/>
          <w:rtl/>
        </w:rPr>
      </w:pPr>
      <w:r w:rsidRPr="00F25744">
        <w:rPr>
          <w:rFonts w:ascii="David" w:hAnsi="David" w:cs="David" w:hint="cs"/>
          <w:sz w:val="24"/>
          <w:szCs w:val="24"/>
          <w:rtl/>
        </w:rPr>
        <w:t xml:space="preserve">את תמהיל יום העבודה השיפוטי יצרנו על בסיס תשובות השופטים לשאלוני הרקע שמולאו טרם תחילת המחקר, בשילוב עם נתוני הזמנים על כל אחת מהפעילויות השיפוטיות שעליהן דיווחו השופטים במסגרת יומני העבודה בתקופת המחקר. יוזכר, כי </w:t>
      </w:r>
      <w:r w:rsidR="00D61CAB" w:rsidRPr="00F25744">
        <w:rPr>
          <w:rFonts w:ascii="David" w:hAnsi="David" w:cs="David" w:hint="cs"/>
          <w:sz w:val="24"/>
          <w:szCs w:val="24"/>
          <w:rtl/>
        </w:rPr>
        <w:t>על מנת לשמור</w:t>
      </w:r>
      <w:r w:rsidRPr="00F25744">
        <w:rPr>
          <w:rFonts w:ascii="David" w:hAnsi="David" w:cs="David" w:hint="cs"/>
          <w:sz w:val="24"/>
          <w:szCs w:val="24"/>
          <w:rtl/>
        </w:rPr>
        <w:t xml:space="preserve"> על אנונימיות השופטים, נאלצנו לוותר על חלק מהשאלות בשאלון הרקע במקרים שבהם המענה עליהן עלול היה להצביע על זהות השופט. על כן, </w:t>
      </w:r>
      <w:r w:rsidR="00885C60" w:rsidRPr="00F25744">
        <w:rPr>
          <w:rFonts w:ascii="David" w:hAnsi="David" w:cs="David" w:hint="cs"/>
          <w:sz w:val="24"/>
          <w:szCs w:val="24"/>
          <w:rtl/>
        </w:rPr>
        <w:t>חלק מ</w:t>
      </w:r>
      <w:r w:rsidRPr="00F25744">
        <w:rPr>
          <w:rFonts w:ascii="David" w:hAnsi="David" w:cs="David" w:hint="cs"/>
          <w:sz w:val="24"/>
          <w:szCs w:val="24"/>
          <w:rtl/>
        </w:rPr>
        <w:t xml:space="preserve">ההבחנות, למשל, בין שופט לרשם, נעשו על בסיס הנתונים שהיו בידינו. </w:t>
      </w:r>
    </w:p>
    <w:p w14:paraId="5D19BE7B" w14:textId="77777777" w:rsidR="00460C13" w:rsidRPr="00F25744" w:rsidRDefault="00460C13" w:rsidP="00460C13">
      <w:pPr>
        <w:pStyle w:val="a3"/>
        <w:widowControl w:val="0"/>
        <w:autoSpaceDE w:val="0"/>
        <w:autoSpaceDN w:val="0"/>
        <w:bidi/>
        <w:adjustRightInd w:val="0"/>
        <w:spacing w:before="60" w:after="60" w:line="360" w:lineRule="auto"/>
        <w:ind w:left="360"/>
        <w:rPr>
          <w:rFonts w:ascii="David" w:hAnsi="David" w:cs="David"/>
          <w:sz w:val="24"/>
          <w:szCs w:val="24"/>
          <w:rtl/>
        </w:rPr>
      </w:pPr>
    </w:p>
    <w:p w14:paraId="3FAD5471" w14:textId="77777777" w:rsidR="00460C13" w:rsidRPr="00F25744" w:rsidRDefault="00460C13" w:rsidP="00460C13">
      <w:pPr>
        <w:pStyle w:val="a3"/>
        <w:widowControl w:val="0"/>
        <w:autoSpaceDE w:val="0"/>
        <w:autoSpaceDN w:val="0"/>
        <w:bidi/>
        <w:adjustRightInd w:val="0"/>
        <w:spacing w:before="60" w:after="60" w:line="360" w:lineRule="auto"/>
        <w:ind w:left="360"/>
        <w:rPr>
          <w:rFonts w:ascii="David" w:hAnsi="David" w:cs="David"/>
          <w:sz w:val="24"/>
          <w:szCs w:val="24"/>
          <w:rtl/>
        </w:rPr>
      </w:pPr>
    </w:p>
    <w:p w14:paraId="778D5222" w14:textId="77777777" w:rsidR="00840519" w:rsidRPr="00F25744" w:rsidRDefault="00E25AE7" w:rsidP="00341018">
      <w:pPr>
        <w:pStyle w:val="1"/>
        <w:numPr>
          <w:ilvl w:val="0"/>
          <w:numId w:val="24"/>
        </w:numPr>
        <w:spacing w:after="120"/>
        <w:ind w:left="357" w:hanging="357"/>
        <w:rPr>
          <w:rtl/>
        </w:rPr>
      </w:pPr>
      <w:bookmarkStart w:id="339" w:name="_Toc46226051"/>
      <w:bookmarkStart w:id="340" w:name="_Toc46226195"/>
      <w:bookmarkStart w:id="341" w:name="_Toc46228362"/>
      <w:bookmarkStart w:id="342" w:name="_Toc46228460"/>
      <w:bookmarkStart w:id="343" w:name="_Toc46230387"/>
      <w:bookmarkStart w:id="344" w:name="_Toc46230485"/>
      <w:bookmarkStart w:id="345" w:name="_Toc46310375"/>
      <w:bookmarkStart w:id="346" w:name="_Toc46414017"/>
      <w:bookmarkStart w:id="347" w:name="_Toc49352753"/>
      <w:bookmarkStart w:id="348" w:name="_Toc49429658"/>
      <w:bookmarkStart w:id="349" w:name="_Toc49435887"/>
      <w:r w:rsidRPr="00F25744">
        <w:rPr>
          <w:rtl/>
        </w:rPr>
        <w:br w:type="page"/>
      </w:r>
      <w:bookmarkStart w:id="350" w:name="_Toc74750978"/>
      <w:r w:rsidR="007F3A52" w:rsidRPr="00F25744">
        <w:rPr>
          <w:rFonts w:hint="cs"/>
          <w:rtl/>
        </w:rPr>
        <w:lastRenderedPageBreak/>
        <w:t>ממצאי המחקר</w:t>
      </w:r>
      <w:bookmarkEnd w:id="339"/>
      <w:bookmarkEnd w:id="340"/>
      <w:bookmarkEnd w:id="341"/>
      <w:bookmarkEnd w:id="342"/>
      <w:bookmarkEnd w:id="343"/>
      <w:bookmarkEnd w:id="344"/>
      <w:bookmarkEnd w:id="345"/>
      <w:bookmarkEnd w:id="346"/>
      <w:bookmarkEnd w:id="347"/>
      <w:bookmarkEnd w:id="348"/>
      <w:bookmarkEnd w:id="349"/>
      <w:bookmarkEnd w:id="350"/>
    </w:p>
    <w:p w14:paraId="0394CF73" w14:textId="77777777" w:rsidR="00552432" w:rsidRPr="00F25744" w:rsidRDefault="00E25AE7" w:rsidP="00BD23BB">
      <w:pPr>
        <w:spacing w:before="120" w:after="0" w:line="360" w:lineRule="auto"/>
        <w:jc w:val="both"/>
        <w:rPr>
          <w:rFonts w:cs="David"/>
          <w:sz w:val="24"/>
          <w:szCs w:val="24"/>
          <w:rtl/>
        </w:rPr>
      </w:pPr>
      <w:r w:rsidRPr="00F25744">
        <w:rPr>
          <w:rFonts w:cs="David" w:hint="cs"/>
          <w:sz w:val="24"/>
          <w:szCs w:val="24"/>
          <w:rtl/>
        </w:rPr>
        <w:t xml:space="preserve">בפרק זה יוצגו תוצרי מחקר עומס העבודה השיפוטית, תחילה בחלוקה לערכאות השיפוט השונות ולאחר מכן במבט כלל מערכתי. כל פרק ייפתח בהסבר על </w:t>
      </w:r>
      <w:r w:rsidR="008A4009" w:rsidRPr="00F25744">
        <w:rPr>
          <w:rFonts w:cs="David" w:hint="cs"/>
          <w:sz w:val="24"/>
          <w:szCs w:val="24"/>
          <w:rtl/>
        </w:rPr>
        <w:t>ההתאמות</w:t>
      </w:r>
      <w:r w:rsidRPr="00F25744">
        <w:rPr>
          <w:rFonts w:cs="David" w:hint="cs"/>
          <w:sz w:val="24"/>
          <w:szCs w:val="24"/>
          <w:rtl/>
        </w:rPr>
        <w:t xml:space="preserve"> שביצענו ב</w:t>
      </w:r>
      <w:r w:rsidR="008A4009" w:rsidRPr="00F25744">
        <w:rPr>
          <w:rFonts w:cs="David" w:hint="cs"/>
          <w:sz w:val="24"/>
          <w:szCs w:val="24"/>
          <w:rtl/>
        </w:rPr>
        <w:t xml:space="preserve">טופס </w:t>
      </w:r>
      <w:r w:rsidRPr="00F25744">
        <w:rPr>
          <w:rFonts w:cs="David" w:hint="cs"/>
          <w:sz w:val="24"/>
          <w:szCs w:val="24"/>
          <w:rtl/>
        </w:rPr>
        <w:t xml:space="preserve">יומני השופטים במטרה להתאימם באופן המיטבי והמדויק ביותר לאופי הדיונים וניהול התיקים באותה ערכאה, מבלי להעמיס על השופטים יתר על המידה במילוי היומנים. התאמות אלו הן תוצר של הערות שונות שעלו מן השופטים עובר לתקופת המחקר ובמהלכה, לגבי אופן הסיווג של פעולות מסוימות במסגרת יומני העבודה, ואשר נדרשנו לתת להן פתרון יצירתי, לפעמים אד הוק, במסגרת היומנים. </w:t>
      </w:r>
    </w:p>
    <w:p w14:paraId="7EE7343B" w14:textId="77777777" w:rsidR="00552432" w:rsidRPr="00F25744" w:rsidRDefault="00E25AE7" w:rsidP="00BD23BB">
      <w:pPr>
        <w:spacing w:before="120" w:after="0" w:line="360" w:lineRule="auto"/>
        <w:jc w:val="both"/>
        <w:rPr>
          <w:rFonts w:cs="David"/>
          <w:sz w:val="24"/>
          <w:szCs w:val="24"/>
          <w:rtl/>
        </w:rPr>
      </w:pPr>
      <w:r w:rsidRPr="00F25744">
        <w:rPr>
          <w:rFonts w:cs="David" w:hint="cs"/>
          <w:sz w:val="24"/>
          <w:szCs w:val="24"/>
          <w:rtl/>
        </w:rPr>
        <w:t xml:space="preserve">לאחר מכן נציג את </w:t>
      </w:r>
      <w:r w:rsidRPr="00F25744">
        <w:rPr>
          <w:rFonts w:cs="David" w:hint="cs"/>
          <w:b/>
          <w:bCs/>
          <w:sz w:val="24"/>
          <w:szCs w:val="24"/>
          <w:rtl/>
        </w:rPr>
        <w:t xml:space="preserve">חישוב הזמן השיפוטי הממוצע </w:t>
      </w:r>
      <w:r w:rsidRPr="00F25744">
        <w:rPr>
          <w:rFonts w:cs="David" w:hint="cs"/>
          <w:sz w:val="24"/>
          <w:szCs w:val="24"/>
          <w:rtl/>
        </w:rPr>
        <w:t>הדרוש לטיפול בכל אחד מסוגי התיקים שאותם התאפשר לנו למדוד במחקר הנוכחי</w:t>
      </w:r>
      <w:r w:rsidR="009D2505" w:rsidRPr="00F25744">
        <w:rPr>
          <w:rFonts w:cs="David" w:hint="cs"/>
          <w:sz w:val="24"/>
          <w:szCs w:val="24"/>
          <w:rtl/>
        </w:rPr>
        <w:t xml:space="preserve">. </w:t>
      </w:r>
      <w:r w:rsidRPr="00F25744">
        <w:rPr>
          <w:rFonts w:cs="David" w:hint="cs"/>
          <w:sz w:val="24"/>
          <w:szCs w:val="24"/>
          <w:rtl/>
        </w:rPr>
        <w:t>בסה"כ נציג את זמניהם של</w:t>
      </w:r>
      <w:r w:rsidR="009D2505" w:rsidRPr="00F25744">
        <w:rPr>
          <w:rFonts w:cs="David" w:hint="cs"/>
          <w:sz w:val="24"/>
          <w:szCs w:val="24"/>
          <w:rtl/>
        </w:rPr>
        <w:t xml:space="preserve"> </w:t>
      </w:r>
      <w:r w:rsidR="009F6F4B" w:rsidRPr="00F25744">
        <w:rPr>
          <w:rFonts w:cs="David" w:hint="cs"/>
          <w:sz w:val="24"/>
          <w:szCs w:val="24"/>
          <w:rtl/>
        </w:rPr>
        <w:t>125</w:t>
      </w:r>
      <w:r w:rsidRPr="00F25744">
        <w:rPr>
          <w:rFonts w:cs="David" w:hint="cs"/>
          <w:sz w:val="24"/>
          <w:szCs w:val="24"/>
          <w:rtl/>
        </w:rPr>
        <w:t xml:space="preserve"> סוגי תיקים, </w:t>
      </w:r>
      <w:r w:rsidR="009D2505" w:rsidRPr="00F25744">
        <w:rPr>
          <w:rFonts w:cs="David" w:hint="cs"/>
          <w:sz w:val="24"/>
          <w:szCs w:val="24"/>
          <w:rtl/>
        </w:rPr>
        <w:t xml:space="preserve">ועוד 24 סוגי עניין ייחודיים, </w:t>
      </w:r>
      <w:r w:rsidRPr="00F25744">
        <w:rPr>
          <w:rFonts w:cs="David" w:hint="cs"/>
          <w:sz w:val="24"/>
          <w:szCs w:val="24"/>
          <w:rtl/>
        </w:rPr>
        <w:t xml:space="preserve">המהווים </w:t>
      </w:r>
      <w:r w:rsidR="00100C1D" w:rsidRPr="00F25744">
        <w:rPr>
          <w:rFonts w:cs="David" w:hint="cs"/>
          <w:sz w:val="24"/>
          <w:szCs w:val="24"/>
          <w:rtl/>
        </w:rPr>
        <w:t xml:space="preserve">כמעט 99% (98.6%) </w:t>
      </w:r>
      <w:r w:rsidRPr="00F25744">
        <w:rPr>
          <w:rFonts w:cs="David" w:hint="cs"/>
          <w:sz w:val="24"/>
          <w:szCs w:val="24"/>
          <w:rtl/>
        </w:rPr>
        <w:t>מכלל הת</w:t>
      </w:r>
      <w:r w:rsidR="00100C1D" w:rsidRPr="00F25744">
        <w:rPr>
          <w:rFonts w:cs="David" w:hint="cs"/>
          <w:sz w:val="24"/>
          <w:szCs w:val="24"/>
          <w:rtl/>
        </w:rPr>
        <w:t>יקים אשר נסגרו במערכת בשנת 2019.</w:t>
      </w:r>
      <w:r w:rsidR="00B840C6" w:rsidRPr="00F25744">
        <w:rPr>
          <w:rFonts w:cs="David" w:hint="cs"/>
          <w:sz w:val="24"/>
          <w:szCs w:val="24"/>
          <w:rtl/>
        </w:rPr>
        <w:t xml:space="preserve"> זמן שיפוטי ממוצע זה לכל סוג תיק חושב ל</w:t>
      </w:r>
      <w:r w:rsidRPr="00F25744">
        <w:rPr>
          <w:rFonts w:cs="David" w:hint="cs"/>
          <w:sz w:val="24"/>
          <w:szCs w:val="24"/>
          <w:rtl/>
        </w:rPr>
        <w:t>אחר שקלול מערכי המחקר השונים אשר פורטו בפרק המתודולוגיה. כמו כן נציג, לצורך ההשוואה, את כמות התיקים מכל סוג אשר נסגרו במהלך שנת 2019, את משקלות התיקים אשר נמדדו במחקר הקודם, ואת מגמות השינויים שחלו במשקלות התיקים.</w:t>
      </w:r>
      <w:r w:rsidR="000961EB" w:rsidRPr="00F25744">
        <w:rPr>
          <w:rFonts w:cs="David" w:hint="cs"/>
          <w:sz w:val="24"/>
          <w:szCs w:val="24"/>
          <w:rtl/>
        </w:rPr>
        <w:t xml:space="preserve"> בפרק הכלל מערכתי נציג גם את משקלות התיקים החדשים, לפי מדדי מחקר זה.</w:t>
      </w:r>
    </w:p>
    <w:p w14:paraId="06CBCA40" w14:textId="77777777" w:rsidR="00552432" w:rsidRPr="00F25744" w:rsidRDefault="00E25AE7" w:rsidP="00BD23BB">
      <w:pPr>
        <w:spacing w:before="120" w:after="0" w:line="360" w:lineRule="auto"/>
        <w:jc w:val="both"/>
        <w:rPr>
          <w:rFonts w:cs="David"/>
          <w:sz w:val="24"/>
          <w:szCs w:val="24"/>
          <w:rtl/>
        </w:rPr>
      </w:pPr>
      <w:r w:rsidRPr="00F25744">
        <w:rPr>
          <w:rFonts w:cs="David" w:hint="cs"/>
          <w:sz w:val="24"/>
          <w:szCs w:val="24"/>
          <w:rtl/>
        </w:rPr>
        <w:t xml:space="preserve">כאן המקום להסביר ולהדגיש כי הזמנים שיוצגו להלן משקפים אך ורק את שקלול הזמנים שנמדדו באירועים השונים בכל תיק </w:t>
      </w:r>
      <w:r w:rsidRPr="00F25744">
        <w:rPr>
          <w:rFonts w:cs="David"/>
          <w:sz w:val="24"/>
          <w:szCs w:val="24"/>
          <w:rtl/>
        </w:rPr>
        <w:t>–</w:t>
      </w:r>
      <w:r w:rsidRPr="00F25744">
        <w:rPr>
          <w:rFonts w:cs="David" w:hint="cs"/>
          <w:sz w:val="24"/>
          <w:szCs w:val="24"/>
          <w:rtl/>
        </w:rPr>
        <w:t xml:space="preserve"> זמני ההכנה לדיונים, זמני הדיונים וזמני הכתיבה, כפי שאלו דווחו על ידי השופטים והקלדניות, </w:t>
      </w:r>
      <w:r w:rsidR="00524D16" w:rsidRPr="00F25744">
        <w:rPr>
          <w:rFonts w:cs="David" w:hint="cs"/>
          <w:sz w:val="24"/>
          <w:szCs w:val="24"/>
          <w:rtl/>
        </w:rPr>
        <w:t xml:space="preserve">במכפלה של </w:t>
      </w:r>
      <w:r w:rsidRPr="00F25744">
        <w:rPr>
          <w:rFonts w:cs="David" w:hint="cs"/>
          <w:sz w:val="24"/>
          <w:szCs w:val="24"/>
          <w:rtl/>
        </w:rPr>
        <w:t xml:space="preserve">השכיחות להתרחשותם של אותם אירועים, אשר לקוחה מנתוני המחשב (כפי שפורט בהרחבה בפרק המתודולוגיה). </w:t>
      </w:r>
      <w:r w:rsidRPr="00F25744">
        <w:rPr>
          <w:rFonts w:cs="David" w:hint="cs"/>
          <w:b/>
          <w:bCs/>
          <w:sz w:val="24"/>
          <w:szCs w:val="24"/>
          <w:rtl/>
        </w:rPr>
        <w:t xml:space="preserve">אין בזמנים אלו כדי למצות את מלוא העומס השיפוטי אשר מטיל כל סוג תיק על השופט המטפל בו. </w:t>
      </w:r>
      <w:r w:rsidRPr="00F25744">
        <w:rPr>
          <w:rFonts w:cs="David" w:hint="cs"/>
          <w:sz w:val="24"/>
          <w:szCs w:val="24"/>
          <w:rtl/>
        </w:rPr>
        <w:t xml:space="preserve">על כן, לשם ההמחשה, תיק אשר נתפס בעיני השופטים כמטיל עומס כבד, בין היתר משום שהסוגיה המשפטית הנדונה בו סבוכה וקשה יותר לעומת תיקים אחרים, לא בהכרח יקבל </w:t>
      </w:r>
      <w:r w:rsidR="00341018" w:rsidRPr="00F25744">
        <w:rPr>
          <w:rFonts w:cs="David" w:hint="cs"/>
          <w:sz w:val="24"/>
          <w:szCs w:val="24"/>
          <w:rtl/>
        </w:rPr>
        <w:t xml:space="preserve">חישוב </w:t>
      </w:r>
      <w:r w:rsidRPr="00F25744">
        <w:rPr>
          <w:rFonts w:cs="David" w:hint="cs"/>
          <w:sz w:val="24"/>
          <w:szCs w:val="24"/>
          <w:rtl/>
        </w:rPr>
        <w:t>זמנים מאד גבוהים בהתאמה. כובד הסוגיה המשפטית עשוי לבוא לידי ביטוי במדידת זמנים ארוכים יותר בפעולות ההכנה לדיונים, הדיונים או הכתיבה, אולם זמני חשיבה על התיק מחוץ לשעות העבודה, לשם הדוגמה, לא יקבלו ביטוי במסגרת מדידת הזמנים. מטעם זה, תיק אשר נתפס כפשוט או קל יותר בעיני השופטים, עשוי לקבל מדד זמן גבוה יותר, למשל משום שמספר הפתקיות בו גבוה יותר או שיש בו יותר דיונים. על כן יודגש, כי זמני הטיפול בתיקים מבוססים רק על הזמנים שנמדדו ושכיחותם, ולא בהכרח על מהות הסוגיה המשפטית.</w:t>
      </w:r>
    </w:p>
    <w:p w14:paraId="531AB4D1" w14:textId="77777777" w:rsidR="00552432" w:rsidRPr="00F25744" w:rsidRDefault="00E25AE7" w:rsidP="00BD23BB">
      <w:pPr>
        <w:spacing w:before="120" w:after="0" w:line="360" w:lineRule="auto"/>
        <w:jc w:val="both"/>
        <w:rPr>
          <w:rFonts w:ascii="David" w:hAnsi="David" w:cs="David"/>
          <w:sz w:val="24"/>
          <w:szCs w:val="24"/>
          <w:rtl/>
        </w:rPr>
      </w:pPr>
      <w:r w:rsidRPr="00F25744">
        <w:rPr>
          <w:rFonts w:cs="David" w:hint="cs"/>
          <w:sz w:val="24"/>
          <w:szCs w:val="24"/>
          <w:rtl/>
        </w:rPr>
        <w:t xml:space="preserve">לבסוף, נציג את </w:t>
      </w:r>
      <w:r w:rsidRPr="00F25744">
        <w:rPr>
          <w:rFonts w:cs="David" w:hint="cs"/>
          <w:b/>
          <w:bCs/>
          <w:sz w:val="24"/>
          <w:szCs w:val="24"/>
          <w:rtl/>
        </w:rPr>
        <w:t>תמהיל יום העבודה השיפוטי</w:t>
      </w:r>
      <w:r w:rsidRPr="00F25744">
        <w:rPr>
          <w:rFonts w:cs="David" w:hint="cs"/>
          <w:sz w:val="24"/>
          <w:szCs w:val="24"/>
          <w:rtl/>
        </w:rPr>
        <w:t xml:space="preserve"> של שופטי ורשמי הערכאות השונות. </w:t>
      </w:r>
      <w:r w:rsidRPr="00F25744">
        <w:rPr>
          <w:rFonts w:ascii="David" w:hAnsi="David" w:cs="David" w:hint="cs"/>
          <w:sz w:val="24"/>
          <w:szCs w:val="24"/>
          <w:rtl/>
        </w:rPr>
        <w:t xml:space="preserve">הכוונה בכך היא הצגת הרכיבים השונים המרכיבים יחד יום עבודה רגיל לשופט </w:t>
      </w:r>
      <w:r w:rsidRPr="00F25744">
        <w:rPr>
          <w:rFonts w:ascii="David" w:hAnsi="David" w:cs="David" w:hint="cs"/>
          <w:b/>
          <w:bCs/>
          <w:sz w:val="24"/>
          <w:szCs w:val="24"/>
          <w:rtl/>
        </w:rPr>
        <w:t>הממוצע</w:t>
      </w:r>
      <w:r w:rsidRPr="00F25744">
        <w:rPr>
          <w:rFonts w:ascii="David" w:hAnsi="David" w:cs="David" w:hint="cs"/>
          <w:sz w:val="24"/>
          <w:szCs w:val="24"/>
          <w:rtl/>
        </w:rPr>
        <w:t xml:space="preserve">: מכמה שעות עבודה הוא מורכב, ומה החלק ממנו שמוקדש לביצוע כל מטלה שיפוטית במהלך היום </w:t>
      </w:r>
      <w:r w:rsidRPr="00F25744">
        <w:rPr>
          <w:rFonts w:ascii="David" w:hAnsi="David" w:cs="David"/>
          <w:sz w:val="24"/>
          <w:szCs w:val="24"/>
          <w:rtl/>
        </w:rPr>
        <w:t>–</w:t>
      </w:r>
      <w:r w:rsidRPr="00F25744">
        <w:rPr>
          <w:rFonts w:ascii="David" w:hAnsi="David" w:cs="David" w:hint="cs"/>
          <w:sz w:val="24"/>
          <w:szCs w:val="24"/>
          <w:rtl/>
        </w:rPr>
        <w:t xml:space="preserve"> עבודה אדמיניסטרטיבית, טיפול גורף בסל, פעילות שאינה קשורה בתיקים ספציפיים כמו השתלמויות או ישיבות שופטים, וכמובן הפעילות השיפוטית הקשורה לתיקים </w:t>
      </w:r>
      <w:r w:rsidRPr="00F25744">
        <w:rPr>
          <w:rFonts w:ascii="David" w:hAnsi="David" w:cs="David"/>
          <w:sz w:val="24"/>
          <w:szCs w:val="24"/>
          <w:rtl/>
        </w:rPr>
        <w:t>–</w:t>
      </w:r>
      <w:r w:rsidRPr="00F25744">
        <w:rPr>
          <w:rFonts w:ascii="David" w:hAnsi="David" w:cs="David" w:hint="cs"/>
          <w:sz w:val="24"/>
          <w:szCs w:val="24"/>
          <w:rtl/>
        </w:rPr>
        <w:t xml:space="preserve"> ההכנה לדיונים, זמני שמיעת הדיונים וזמני הכתיבה. בנוסף, בכל ערכאה ובהתאם לנתונים שיש ברשותנו, נציג את ההבדלים בתמהיל יום העבודה השיפוטי שנמצאו בפילוחים שונים: בין שופטים לרשמים, בין שופטים הנהנים ממערך תמיכה מקצועי (עוזרים משפטיים/ מתמחים/ סטודנטים) לכאלו שלא, בין שופטים הנושאים בתפקיד נוסף, לשופטים אחרים, את ההבדל בין ימי עבודה רגילים לימי חופשה ומחלה, ימים ארעיים, ימי שבתון, ימי המנוחה השבועיים ועוד, וכן נתייחס לימי כתיבה שבהם שופטים נאלצים בשל העומס השיפוטי הרב, גם לשמוע דיונים. </w:t>
      </w:r>
    </w:p>
    <w:p w14:paraId="42979F46" w14:textId="77777777" w:rsidR="0000686D" w:rsidRPr="00F25744" w:rsidRDefault="00E25AE7" w:rsidP="00BD23BB">
      <w:pPr>
        <w:spacing w:before="120" w:after="0" w:line="360" w:lineRule="auto"/>
        <w:jc w:val="both"/>
        <w:rPr>
          <w:rFonts w:cs="David"/>
          <w:sz w:val="24"/>
          <w:szCs w:val="24"/>
          <w:rtl/>
        </w:rPr>
      </w:pPr>
      <w:r w:rsidRPr="00F25744">
        <w:rPr>
          <w:rFonts w:cs="David" w:hint="cs"/>
          <w:sz w:val="24"/>
          <w:szCs w:val="24"/>
          <w:rtl/>
        </w:rPr>
        <w:lastRenderedPageBreak/>
        <w:t xml:space="preserve">להלן נציג את ממצאי המחקר בחלוקה </w:t>
      </w:r>
      <w:r w:rsidR="00524D16" w:rsidRPr="00F25744">
        <w:rPr>
          <w:rFonts w:cs="David" w:hint="cs"/>
          <w:sz w:val="24"/>
          <w:szCs w:val="24"/>
          <w:rtl/>
        </w:rPr>
        <w:t>לבתי המשפט השונים</w:t>
      </w:r>
      <w:r w:rsidRPr="00F25744">
        <w:rPr>
          <w:rFonts w:cs="David" w:hint="cs"/>
          <w:sz w:val="24"/>
          <w:szCs w:val="24"/>
          <w:rtl/>
        </w:rPr>
        <w:t xml:space="preserve">, ולאחר מכן ברמה המערכתית. בשל החלוקה </w:t>
      </w:r>
      <w:r w:rsidR="00524D16" w:rsidRPr="00F25744">
        <w:rPr>
          <w:rFonts w:cs="David" w:hint="cs"/>
          <w:sz w:val="24"/>
          <w:szCs w:val="24"/>
          <w:rtl/>
        </w:rPr>
        <w:t>לבתי משפט</w:t>
      </w:r>
      <w:r w:rsidRPr="00F25744">
        <w:rPr>
          <w:rFonts w:cs="David" w:hint="cs"/>
          <w:sz w:val="24"/>
          <w:szCs w:val="24"/>
          <w:rtl/>
        </w:rPr>
        <w:t xml:space="preserve">, תיתכן חזרה מסוימת על חלק מההסברים הנוגעים לממצאים השונים. </w:t>
      </w:r>
    </w:p>
    <w:p w14:paraId="4DC6291B" w14:textId="77777777" w:rsidR="00552432" w:rsidRPr="00F25744" w:rsidRDefault="00552432" w:rsidP="00552432">
      <w:pPr>
        <w:spacing w:after="0" w:line="360" w:lineRule="auto"/>
        <w:jc w:val="both"/>
        <w:rPr>
          <w:rFonts w:cs="David"/>
          <w:sz w:val="24"/>
          <w:szCs w:val="24"/>
          <w:rtl/>
        </w:rPr>
      </w:pPr>
    </w:p>
    <w:p w14:paraId="4623C122" w14:textId="77777777" w:rsidR="00840519" w:rsidRPr="00F25744" w:rsidRDefault="00E25AE7" w:rsidP="00BC6CB5">
      <w:pPr>
        <w:pStyle w:val="2"/>
        <w:rPr>
          <w:rtl/>
        </w:rPr>
      </w:pPr>
      <w:r w:rsidRPr="00F25744">
        <w:rPr>
          <w:rtl/>
        </w:rPr>
        <w:br w:type="page"/>
      </w:r>
      <w:bookmarkStart w:id="351" w:name="_Toc46226052"/>
      <w:bookmarkStart w:id="352" w:name="_Toc46226196"/>
      <w:bookmarkStart w:id="353" w:name="_Toc46228363"/>
      <w:bookmarkStart w:id="354" w:name="_Toc46228461"/>
      <w:bookmarkStart w:id="355" w:name="_Toc46230388"/>
      <w:bookmarkStart w:id="356" w:name="_Toc46230486"/>
      <w:bookmarkStart w:id="357" w:name="_Toc46310376"/>
      <w:bookmarkStart w:id="358" w:name="_Toc46414018"/>
      <w:bookmarkStart w:id="359" w:name="_Toc49352754"/>
      <w:bookmarkStart w:id="360" w:name="_Toc49429659"/>
      <w:bookmarkStart w:id="361" w:name="_Toc49435888"/>
      <w:r w:rsidR="003677A3" w:rsidRPr="00A54D82">
        <w:rPr>
          <w:rFonts w:hint="cs"/>
          <w:u w:val="none"/>
          <w:rtl/>
        </w:rPr>
        <w:lastRenderedPageBreak/>
        <w:t xml:space="preserve"> </w:t>
      </w:r>
      <w:bookmarkStart w:id="362" w:name="_Toc74750979"/>
      <w:r w:rsidR="0069290D" w:rsidRPr="00F25744">
        <w:rPr>
          <w:rFonts w:hint="cs"/>
          <w:rtl/>
        </w:rPr>
        <w:t xml:space="preserve">ממצאי </w:t>
      </w:r>
      <w:r w:rsidR="007F3A52" w:rsidRPr="00F25744">
        <w:rPr>
          <w:rFonts w:hint="cs"/>
          <w:rtl/>
        </w:rPr>
        <w:t>ערכאת המחוזי</w:t>
      </w:r>
      <w:bookmarkEnd w:id="351"/>
      <w:bookmarkEnd w:id="352"/>
      <w:bookmarkEnd w:id="353"/>
      <w:bookmarkEnd w:id="354"/>
      <w:bookmarkEnd w:id="355"/>
      <w:bookmarkEnd w:id="356"/>
      <w:bookmarkEnd w:id="357"/>
      <w:bookmarkEnd w:id="358"/>
      <w:bookmarkEnd w:id="359"/>
      <w:bookmarkEnd w:id="360"/>
      <w:bookmarkEnd w:id="361"/>
      <w:bookmarkEnd w:id="362"/>
    </w:p>
    <w:p w14:paraId="64B50466" w14:textId="77777777" w:rsidR="00840519" w:rsidRPr="00F25744" w:rsidRDefault="00E25AE7" w:rsidP="00A54D82">
      <w:pPr>
        <w:pStyle w:val="3"/>
        <w:ind w:left="852"/>
      </w:pPr>
      <w:bookmarkStart w:id="363" w:name="_Toc46226053"/>
      <w:bookmarkStart w:id="364" w:name="_Toc46226197"/>
      <w:bookmarkStart w:id="365" w:name="_Toc46228364"/>
      <w:bookmarkStart w:id="366" w:name="_Toc46228462"/>
      <w:bookmarkStart w:id="367" w:name="_Toc46230389"/>
      <w:bookmarkStart w:id="368" w:name="_Toc46230487"/>
      <w:bookmarkStart w:id="369" w:name="_Toc46310377"/>
      <w:bookmarkStart w:id="370" w:name="_Toc46414019"/>
      <w:bookmarkStart w:id="371" w:name="_Toc49352755"/>
      <w:bookmarkStart w:id="372" w:name="_Toc49429660"/>
      <w:bookmarkStart w:id="373" w:name="_Toc49435889"/>
      <w:bookmarkStart w:id="374" w:name="_Toc74750980"/>
      <w:r w:rsidRPr="00F25744">
        <w:rPr>
          <w:rFonts w:hint="cs"/>
          <w:rtl/>
        </w:rPr>
        <w:t>התאמות ליומני השופטים בערכאת המחוזי</w:t>
      </w:r>
      <w:bookmarkEnd w:id="363"/>
      <w:bookmarkEnd w:id="364"/>
      <w:bookmarkEnd w:id="365"/>
      <w:bookmarkEnd w:id="366"/>
      <w:bookmarkEnd w:id="367"/>
      <w:bookmarkEnd w:id="368"/>
      <w:bookmarkEnd w:id="369"/>
      <w:bookmarkEnd w:id="370"/>
      <w:bookmarkEnd w:id="371"/>
      <w:bookmarkEnd w:id="372"/>
      <w:bookmarkEnd w:id="373"/>
      <w:bookmarkEnd w:id="374"/>
      <w:r w:rsidRPr="00F25744">
        <w:rPr>
          <w:rFonts w:hint="cs"/>
          <w:rtl/>
        </w:rPr>
        <w:t xml:space="preserve"> </w:t>
      </w:r>
    </w:p>
    <w:p w14:paraId="0F76AF19" w14:textId="77777777" w:rsidR="00552432" w:rsidRPr="00F25744" w:rsidRDefault="00E25AE7" w:rsidP="00BD23BB">
      <w:pPr>
        <w:spacing w:before="120" w:after="0" w:line="360" w:lineRule="auto"/>
        <w:ind w:left="-1"/>
        <w:jc w:val="both"/>
        <w:rPr>
          <w:rFonts w:cs="David"/>
          <w:sz w:val="24"/>
          <w:szCs w:val="24"/>
          <w:rtl/>
        </w:rPr>
      </w:pPr>
      <w:r w:rsidRPr="00F25744">
        <w:rPr>
          <w:rFonts w:cs="David" w:hint="cs"/>
          <w:sz w:val="24"/>
          <w:szCs w:val="24"/>
          <w:rtl/>
        </w:rPr>
        <w:t>בפרק</w:t>
      </w:r>
      <w:r w:rsidR="0000686D" w:rsidRPr="00F25744">
        <w:rPr>
          <w:rFonts w:cs="David" w:hint="cs"/>
          <w:sz w:val="24"/>
          <w:szCs w:val="24"/>
          <w:rtl/>
        </w:rPr>
        <w:t xml:space="preserve"> 2</w:t>
      </w:r>
      <w:r w:rsidRPr="00F25744">
        <w:rPr>
          <w:rFonts w:cs="David" w:hint="cs"/>
          <w:sz w:val="24"/>
          <w:szCs w:val="24"/>
          <w:rtl/>
        </w:rPr>
        <w:t xml:space="preserve"> שעסק במתודולוגיית המחקר, הצגנו את המבנה הבסיסי של היומן שאותו מילאו השופטים במהלך חמשת שבועות המחקר. ביומן בסיסי זה, אשר תיעד את הזמן השיפוטי שאותו הקדישו השופטים במהלך יום העבודה שלהם בפילוח לפעולות השיפוטיות השונות, ערכנו את ההתאמות הבאות לאופי הדיונים הייחודי של ערכאת המחוזי:  </w:t>
      </w:r>
    </w:p>
    <w:p w14:paraId="57281717" w14:textId="77777777" w:rsidR="00552432" w:rsidRPr="00F25744" w:rsidRDefault="00E25AE7" w:rsidP="00BD23BB">
      <w:pPr>
        <w:numPr>
          <w:ilvl w:val="0"/>
          <w:numId w:val="17"/>
        </w:numPr>
        <w:spacing w:before="120" w:after="0" w:line="360" w:lineRule="auto"/>
        <w:ind w:left="284" w:hanging="284"/>
        <w:jc w:val="both"/>
        <w:rPr>
          <w:rFonts w:cs="David"/>
          <w:sz w:val="24"/>
          <w:szCs w:val="24"/>
          <w:rtl/>
        </w:rPr>
      </w:pPr>
      <w:r w:rsidRPr="00F25744">
        <w:rPr>
          <w:rFonts w:cs="David" w:hint="cs"/>
          <w:b/>
          <w:bCs/>
          <w:sz w:val="24"/>
          <w:szCs w:val="24"/>
          <w:rtl/>
        </w:rPr>
        <w:t>דיונים הנדונים בהרכב</w:t>
      </w:r>
      <w:r w:rsidRPr="00F25744">
        <w:rPr>
          <w:rFonts w:cs="David" w:hint="cs"/>
          <w:sz w:val="24"/>
          <w:szCs w:val="24"/>
          <w:rtl/>
        </w:rPr>
        <w:t xml:space="preserve"> </w:t>
      </w:r>
      <w:r w:rsidRPr="00F25744">
        <w:rPr>
          <w:rFonts w:cs="David"/>
          <w:sz w:val="24"/>
          <w:szCs w:val="24"/>
          <w:rtl/>
        </w:rPr>
        <w:t>–</w:t>
      </w:r>
      <w:r w:rsidRPr="00F25744">
        <w:rPr>
          <w:rFonts w:cs="David" w:hint="cs"/>
          <w:sz w:val="24"/>
          <w:szCs w:val="24"/>
          <w:rtl/>
        </w:rPr>
        <w:t xml:space="preserve"> בניגוד לתיקים הנדונים בערכאות האחרות, בערכאת המחוזי ישנם תיקים הנדונים הן במותב תלתא והן בדן יחיד. על מנת להבחין בין הזמן השיפוטי הדרוש לט</w:t>
      </w:r>
      <w:r w:rsidR="00BB7396" w:rsidRPr="00F25744">
        <w:rPr>
          <w:rFonts w:cs="David" w:hint="cs"/>
          <w:sz w:val="24"/>
          <w:szCs w:val="24"/>
          <w:rtl/>
        </w:rPr>
        <w:t>י</w:t>
      </w:r>
      <w:r w:rsidRPr="00F25744">
        <w:rPr>
          <w:rFonts w:cs="David" w:hint="cs"/>
          <w:sz w:val="24"/>
          <w:szCs w:val="24"/>
          <w:rtl/>
        </w:rPr>
        <w:t>פ</w:t>
      </w:r>
      <w:r w:rsidR="00BB7396" w:rsidRPr="00F25744">
        <w:rPr>
          <w:rFonts w:cs="David" w:hint="cs"/>
          <w:sz w:val="24"/>
          <w:szCs w:val="24"/>
          <w:rtl/>
        </w:rPr>
        <w:t>ו</w:t>
      </w:r>
      <w:r w:rsidRPr="00F25744">
        <w:rPr>
          <w:rFonts w:cs="David" w:hint="cs"/>
          <w:sz w:val="24"/>
          <w:szCs w:val="24"/>
          <w:rtl/>
        </w:rPr>
        <w:t xml:space="preserve">ל בתיק הנדון בהרכב בהשוואה לתיקים הנדונים בדן יחיד, התבקשו השופטים לדווח, לגבי הפעולות השיפוטיות של הכנה לדיונים או כתיבת החלטות, האם מדובר בתיק שנדון בהרכב של שופטים, ואם כן </w:t>
      </w:r>
      <w:r w:rsidRPr="00F25744">
        <w:rPr>
          <w:rFonts w:cs="David"/>
          <w:sz w:val="24"/>
          <w:szCs w:val="24"/>
          <w:rtl/>
        </w:rPr>
        <w:t>–</w:t>
      </w:r>
      <w:r w:rsidRPr="00F25744">
        <w:rPr>
          <w:rFonts w:cs="David" w:hint="cs"/>
          <w:sz w:val="24"/>
          <w:szCs w:val="24"/>
          <w:rtl/>
        </w:rPr>
        <w:t xml:space="preserve"> מה תפקידם בהרכב: האם חברי הרכב או אב ביה"ד. תוספת זו נדרשה בהתחשב בכך שהעומס שתיק שנדון בהרכב מטיל אינו זהה למכפלת הזמן שאורכת כל פעולה שיפוטית בתיק בשלושת חברי ההרכב, אלא נדרשה הבחנה מדויקת יותר. </w:t>
      </w:r>
    </w:p>
    <w:p w14:paraId="380AB25C" w14:textId="77777777" w:rsidR="00552432" w:rsidRPr="00F25744" w:rsidRDefault="00E25AE7" w:rsidP="00BD23BB">
      <w:pPr>
        <w:numPr>
          <w:ilvl w:val="0"/>
          <w:numId w:val="17"/>
        </w:numPr>
        <w:spacing w:before="120" w:after="0" w:line="360" w:lineRule="auto"/>
        <w:ind w:left="284" w:hanging="284"/>
        <w:jc w:val="both"/>
        <w:rPr>
          <w:rFonts w:cs="David"/>
          <w:sz w:val="24"/>
          <w:szCs w:val="24"/>
          <w:rtl/>
        </w:rPr>
      </w:pPr>
      <w:r w:rsidRPr="00F25744">
        <w:rPr>
          <w:rFonts w:cs="David" w:hint="cs"/>
          <w:b/>
          <w:bCs/>
          <w:sz w:val="24"/>
          <w:szCs w:val="24"/>
          <w:rtl/>
        </w:rPr>
        <w:t>היוועצות בהכנה לדיון בהרכב</w:t>
      </w:r>
      <w:r w:rsidRPr="00F25744">
        <w:rPr>
          <w:rFonts w:cs="David" w:hint="cs"/>
          <w:sz w:val="24"/>
          <w:szCs w:val="24"/>
          <w:rtl/>
        </w:rPr>
        <w:t xml:space="preserve"> </w:t>
      </w:r>
      <w:r w:rsidRPr="00F25744">
        <w:rPr>
          <w:rFonts w:cs="David"/>
          <w:sz w:val="24"/>
          <w:szCs w:val="24"/>
          <w:rtl/>
        </w:rPr>
        <w:t>–</w:t>
      </w:r>
      <w:r w:rsidRPr="00F25744">
        <w:rPr>
          <w:rFonts w:cs="David" w:hint="cs"/>
          <w:sz w:val="24"/>
          <w:szCs w:val="24"/>
          <w:rtl/>
        </w:rPr>
        <w:t xml:space="preserve"> למדנו מן השופטים, כי בתיקים שנדונים בהרכב, השופטים מתחילים את ההכנה לדיון כל אחד בנפרד ולומדים את התיק, ולאחר מכן, עובר לדיון (באותו יום או ביום שלפניו) ההרכב מתכנס לישיבת התייעצות, על מנת להתכונן לדיון יחד ולתכנן את מהלך הדיון. לכן, ובהתחשב בעובדה שבמסגרת המחקר לא דווח מספר התיק שנדון, החשש היה כי בדיווח רגיל כל תיק הרכב ייספר פעמיים, וזמן ההכנה הקצר יותר בהתייעצות "ימשוך" את זמני ההכנה עבור כל תיק כלפי מטה. לכן, התבקשו שופטי המחוזי לדווח כרגיל על זמן ההכנה הפרטני לכל תיק שאליו כל שופט מתכונן בנפרד. לגבי זמן ההתייעצות, התבקשו השופטים ל</w:t>
      </w:r>
      <w:r w:rsidR="00341018" w:rsidRPr="00F25744">
        <w:rPr>
          <w:rFonts w:cs="David" w:hint="cs"/>
          <w:sz w:val="24"/>
          <w:szCs w:val="24"/>
          <w:rtl/>
        </w:rPr>
        <w:t>כתוב</w:t>
      </w:r>
      <w:r w:rsidRPr="00F25744">
        <w:rPr>
          <w:rFonts w:cs="David" w:hint="cs"/>
          <w:sz w:val="24"/>
          <w:szCs w:val="24"/>
          <w:rtl/>
        </w:rPr>
        <w:t xml:space="preserve"> את שעת תחילת ההתייעצות ואת שעת סיומה, ול</w:t>
      </w:r>
      <w:r w:rsidR="00341018" w:rsidRPr="00F25744">
        <w:rPr>
          <w:rFonts w:cs="David" w:hint="cs"/>
          <w:sz w:val="24"/>
          <w:szCs w:val="24"/>
          <w:rtl/>
        </w:rPr>
        <w:t>כתוב</w:t>
      </w:r>
      <w:r w:rsidRPr="00F25744">
        <w:rPr>
          <w:rFonts w:cs="David" w:hint="cs"/>
          <w:sz w:val="24"/>
          <w:szCs w:val="24"/>
          <w:rtl/>
        </w:rPr>
        <w:t xml:space="preserve"> את </w:t>
      </w:r>
      <w:r w:rsidRPr="00F25744">
        <w:rPr>
          <w:rFonts w:cs="David" w:hint="cs"/>
          <w:b/>
          <w:bCs/>
          <w:sz w:val="24"/>
          <w:szCs w:val="24"/>
          <w:rtl/>
        </w:rPr>
        <w:t>כמות התיקים</w:t>
      </w:r>
      <w:r w:rsidRPr="00F25744">
        <w:rPr>
          <w:rFonts w:cs="David" w:hint="cs"/>
          <w:sz w:val="24"/>
          <w:szCs w:val="24"/>
          <w:rtl/>
        </w:rPr>
        <w:t xml:space="preserve"> שלגביהם נערכה ההתייעצות, </w:t>
      </w:r>
      <w:r w:rsidRPr="00F25744">
        <w:rPr>
          <w:rFonts w:cs="David" w:hint="cs"/>
          <w:b/>
          <w:bCs/>
          <w:sz w:val="24"/>
          <w:szCs w:val="24"/>
          <w:rtl/>
        </w:rPr>
        <w:t>בתוספת שני אפסים</w:t>
      </w:r>
      <w:r w:rsidRPr="00F25744">
        <w:rPr>
          <w:rFonts w:cs="David" w:hint="cs"/>
          <w:sz w:val="24"/>
          <w:szCs w:val="24"/>
          <w:rtl/>
        </w:rPr>
        <w:t xml:space="preserve"> (לדוגמה, אם בהתייעצות לפני דיוני ההרכב התכוננו השופטים לדיון ב- 6 תיקים, היה עליהם לכתוב בעמודת "הכנה לדיון" את המספר 600). כך, ובצירוף למילוי עמודת ההרכב שבה צוין כי מדובר בתיק שנדון בהרכב, ידענו בעת קבלת הנתונים בסיום תקופת המחקר להפריד את זמן ההתייעצות לפני דיוני הרכב, ובכך להתייחס לזמן זה </w:t>
      </w:r>
      <w:r w:rsidR="00151BC6" w:rsidRPr="00F25744">
        <w:rPr>
          <w:rFonts w:cs="David" w:hint="cs"/>
          <w:sz w:val="24"/>
          <w:szCs w:val="24"/>
          <w:rtl/>
        </w:rPr>
        <w:t>בהתאם</w:t>
      </w:r>
      <w:r w:rsidRPr="00F25744">
        <w:rPr>
          <w:rFonts w:cs="David" w:hint="cs"/>
          <w:sz w:val="24"/>
          <w:szCs w:val="24"/>
          <w:rtl/>
        </w:rPr>
        <w:t xml:space="preserve">. </w:t>
      </w:r>
    </w:p>
    <w:p w14:paraId="0D694792" w14:textId="77777777" w:rsidR="00552432" w:rsidRPr="00F25744" w:rsidRDefault="00E25AE7" w:rsidP="00BD23BB">
      <w:pPr>
        <w:numPr>
          <w:ilvl w:val="0"/>
          <w:numId w:val="17"/>
        </w:numPr>
        <w:spacing w:before="120" w:after="0" w:line="360" w:lineRule="auto"/>
        <w:ind w:left="284" w:hanging="284"/>
        <w:jc w:val="both"/>
        <w:rPr>
          <w:rFonts w:cs="David"/>
          <w:sz w:val="24"/>
          <w:szCs w:val="24"/>
        </w:rPr>
      </w:pPr>
      <w:r w:rsidRPr="00F25744">
        <w:rPr>
          <w:rFonts w:cs="David" w:hint="cs"/>
          <w:b/>
          <w:bCs/>
          <w:sz w:val="24"/>
          <w:szCs w:val="24"/>
          <w:rtl/>
        </w:rPr>
        <w:t>חלוקה לסוגי עניין</w:t>
      </w:r>
      <w:r w:rsidRPr="00F25744">
        <w:rPr>
          <w:rFonts w:cs="David" w:hint="cs"/>
          <w:sz w:val="24"/>
          <w:szCs w:val="24"/>
          <w:rtl/>
        </w:rPr>
        <w:t xml:space="preserve"> </w:t>
      </w:r>
      <w:r w:rsidRPr="00F25744">
        <w:rPr>
          <w:rFonts w:cs="David"/>
          <w:sz w:val="24"/>
          <w:szCs w:val="24"/>
          <w:rtl/>
        </w:rPr>
        <w:t>–</w:t>
      </w:r>
      <w:r w:rsidRPr="00F25744">
        <w:rPr>
          <w:rFonts w:cs="David" w:hint="cs"/>
          <w:sz w:val="24"/>
          <w:szCs w:val="24"/>
          <w:rtl/>
        </w:rPr>
        <w:t xml:space="preserve"> ליומן הוספנו עמודה העוסקת בסוג העניין בשתי ערכאות בלבד: המחוזי והשלום. כאמור לעיל, אחת מהטענות שעלו מצד שופטים רבים לגבי המחקר הקודם הייתה המשקל הכולל שניתן לתיקי </w:t>
      </w:r>
      <w:r w:rsidRPr="00F25744">
        <w:rPr>
          <w:rFonts w:cs="David" w:hint="cs"/>
          <w:b/>
          <w:bCs/>
          <w:sz w:val="24"/>
          <w:szCs w:val="24"/>
          <w:rtl/>
        </w:rPr>
        <w:t>ת"א</w:t>
      </w:r>
      <w:r w:rsidRPr="00F25744">
        <w:rPr>
          <w:rFonts w:cs="David" w:hint="cs"/>
          <w:sz w:val="24"/>
          <w:szCs w:val="24"/>
          <w:rtl/>
        </w:rPr>
        <w:t xml:space="preserve">, מבלי להתחשב בסוגי העניין השונים שהוא כולל. על כן במסגרת </w:t>
      </w:r>
      <w:r w:rsidR="00741A39" w:rsidRPr="00F25744">
        <w:rPr>
          <w:rFonts w:cs="David" w:hint="cs"/>
          <w:sz w:val="24"/>
          <w:szCs w:val="24"/>
          <w:rtl/>
        </w:rPr>
        <w:t xml:space="preserve">ההכנות לקראת </w:t>
      </w:r>
      <w:r w:rsidRPr="00F25744">
        <w:rPr>
          <w:rFonts w:cs="David" w:hint="cs"/>
          <w:sz w:val="24"/>
          <w:szCs w:val="24"/>
          <w:rtl/>
        </w:rPr>
        <w:t xml:space="preserve">המחקר הנוכחי הפצנו לכל נשיאי המחוזי והשלום שאלה לגבי סוגי העניין, ובה ביקשנו כי יפרטו את סוגי העניין שלדעתם יש לתת להם </w:t>
      </w:r>
      <w:r w:rsidR="00324151" w:rsidRPr="00F25744">
        <w:rPr>
          <w:rFonts w:cs="David" w:hint="cs"/>
          <w:sz w:val="24"/>
          <w:szCs w:val="24"/>
          <w:rtl/>
        </w:rPr>
        <w:t xml:space="preserve">זמן </w:t>
      </w:r>
      <w:r w:rsidRPr="00F25744">
        <w:rPr>
          <w:rFonts w:cs="David" w:hint="cs"/>
          <w:sz w:val="24"/>
          <w:szCs w:val="24"/>
          <w:rtl/>
        </w:rPr>
        <w:t xml:space="preserve">שונה לעומת יתר תיקי הת"א. את התשובות שקיבלנו איחדנו. לגבי המחוזי תשובה שחזרה על עצמה כמעט מכל הנשיאים הייתה כי יש לתת לתיקי הת"א בעלי סוג עניין פלת"ד (פיצויים לנפגעי תאונות דרכים) </w:t>
      </w:r>
      <w:r w:rsidR="00324151" w:rsidRPr="00F25744">
        <w:rPr>
          <w:rFonts w:cs="David" w:hint="cs"/>
          <w:sz w:val="24"/>
          <w:szCs w:val="24"/>
          <w:rtl/>
        </w:rPr>
        <w:t xml:space="preserve">זמן </w:t>
      </w:r>
      <w:r w:rsidRPr="00F25744">
        <w:rPr>
          <w:rFonts w:cs="David" w:hint="cs"/>
          <w:sz w:val="24"/>
          <w:szCs w:val="24"/>
          <w:rtl/>
        </w:rPr>
        <w:t xml:space="preserve">שונה מיתר תיקי הת"א הנדונים במחוזי. על כן הוספנו ליומני המחוזי את עמודת סוג העניין, שבה ביקשנו מהשופטים כי כאשר הם מבצעים פעולה שיפוטית בתיק מסוג ת"א, יציינו בעמודת סוג העניין האם מדובר בתיק פלת"ד או אחר. עם זאת, במהלך ביצוע ההדרכות וניסויי הכלים קיבלנו הערות רבות בנושא זה, </w:t>
      </w:r>
      <w:r w:rsidRPr="00F25744">
        <w:rPr>
          <w:rFonts w:cs="David" w:hint="cs"/>
          <w:sz w:val="24"/>
          <w:szCs w:val="24"/>
          <w:rtl/>
        </w:rPr>
        <w:lastRenderedPageBreak/>
        <w:t xml:space="preserve">כאשר הטענה הייתה כי יש לבדוק את </w:t>
      </w:r>
      <w:r w:rsidR="00324151" w:rsidRPr="00F25744">
        <w:rPr>
          <w:rFonts w:cs="David" w:hint="cs"/>
          <w:sz w:val="24"/>
          <w:szCs w:val="24"/>
          <w:rtl/>
        </w:rPr>
        <w:t xml:space="preserve">זמניהם </w:t>
      </w:r>
      <w:r w:rsidRPr="00F25744">
        <w:rPr>
          <w:rFonts w:cs="David" w:hint="cs"/>
          <w:sz w:val="24"/>
          <w:szCs w:val="24"/>
          <w:rtl/>
        </w:rPr>
        <w:t>של סוגי עניין נוספים. על כן החלטנו לבדוק את כל סוגי העניין הקיימים בתיקי ת"א בערכאת המחוזי, והנחינו את השופטים לציין את סוג העניין, כפי שמופיע בכותרת התיק בנט המשפט, לגבי כל פעילות שיפוטית הנוגעת לתיק מסוג ת"א. בהתאם לכך, הורינו גם לקלדניות לכתוב את כל סוגי העניין בהתאם לכותרת המופיעה בנט המשפט לגבי הדיונים שהתקיימו בתקופת המחקר.</w:t>
      </w:r>
    </w:p>
    <w:p w14:paraId="1AEB5ED8" w14:textId="77777777" w:rsidR="00552432" w:rsidRPr="00F25744" w:rsidRDefault="00E25AE7" w:rsidP="00BD23BB">
      <w:pPr>
        <w:spacing w:before="120" w:after="0" w:line="360" w:lineRule="auto"/>
        <w:ind w:left="284"/>
        <w:jc w:val="both"/>
        <w:rPr>
          <w:rFonts w:cs="David"/>
          <w:sz w:val="24"/>
          <w:szCs w:val="24"/>
          <w:rtl/>
        </w:rPr>
      </w:pPr>
      <w:r w:rsidRPr="00F25744">
        <w:rPr>
          <w:rFonts w:cs="David" w:hint="cs"/>
          <w:sz w:val="24"/>
          <w:szCs w:val="24"/>
          <w:rtl/>
        </w:rPr>
        <w:t>עם זאת, רשימת סוגי העניין המוגדרת במערכת נט המשפט ארוכה ומסורבלת מאד, ולעתים היא כוללת סוגי עניין חופפים או כאלו שלא ברורים ההבדלים ביניהם. על כן, לאחר תקופת המחקר, ביקשנו ממספר שופטי מחוזי העוסקים בתחום האזרחי כי יצמצמו את רשימת סוגי העניין לסוגי העניין העיקריים שלהם ניתן את ה</w:t>
      </w:r>
      <w:r w:rsidR="00324151" w:rsidRPr="00F25744">
        <w:rPr>
          <w:rFonts w:cs="David" w:hint="cs"/>
          <w:sz w:val="24"/>
          <w:szCs w:val="24"/>
          <w:rtl/>
        </w:rPr>
        <w:t xml:space="preserve">זמן הממוצע </w:t>
      </w:r>
      <w:r w:rsidRPr="00F25744">
        <w:rPr>
          <w:rFonts w:cs="David" w:hint="cs"/>
          <w:sz w:val="24"/>
          <w:szCs w:val="24"/>
          <w:rtl/>
        </w:rPr>
        <w:t xml:space="preserve"> המתאים. את הרשימות שהכינו השופטים ריכזנו, וגיבשנו רשימת סוגי עניין קצרה יותר ואשר ניתנת לבדיקה ועיבוד ביתר קלות. בערכאת המחוזי במערכת נט המשפט קיימים</w:t>
      </w:r>
      <w:r w:rsidR="007A136C" w:rsidRPr="00F25744">
        <w:rPr>
          <w:rFonts w:cs="David" w:hint="cs"/>
          <w:sz w:val="24"/>
          <w:szCs w:val="24"/>
          <w:rtl/>
        </w:rPr>
        <w:t xml:space="preserve"> 30</w:t>
      </w:r>
      <w:r w:rsidRPr="00F25744">
        <w:rPr>
          <w:rFonts w:cs="David" w:hint="cs"/>
          <w:sz w:val="24"/>
          <w:szCs w:val="24"/>
          <w:rtl/>
        </w:rPr>
        <w:t xml:space="preserve"> סוגי עניין בתיקי ת"א, ובמסגרת מחקר זה צמצמנו את הרשימה ל</w:t>
      </w:r>
      <w:r w:rsidR="00524D16" w:rsidRPr="00F25744">
        <w:rPr>
          <w:rFonts w:cs="David" w:hint="cs"/>
          <w:sz w:val="24"/>
          <w:szCs w:val="24"/>
          <w:rtl/>
        </w:rPr>
        <w:t>שבעה</w:t>
      </w:r>
      <w:r w:rsidR="00741A39" w:rsidRPr="00F25744">
        <w:rPr>
          <w:rFonts w:cs="David" w:hint="cs"/>
          <w:sz w:val="24"/>
          <w:szCs w:val="24"/>
          <w:rtl/>
        </w:rPr>
        <w:t xml:space="preserve"> סו</w:t>
      </w:r>
      <w:r w:rsidRPr="00F25744">
        <w:rPr>
          <w:rFonts w:cs="David" w:hint="cs"/>
          <w:sz w:val="24"/>
          <w:szCs w:val="24"/>
          <w:rtl/>
        </w:rPr>
        <w:t>גי עניין מרכזיים, ש</w:t>
      </w:r>
      <w:r w:rsidR="00324151" w:rsidRPr="00F25744">
        <w:rPr>
          <w:rFonts w:cs="David" w:hint="cs"/>
          <w:sz w:val="24"/>
          <w:szCs w:val="24"/>
          <w:rtl/>
        </w:rPr>
        <w:t xml:space="preserve">זמניהם </w:t>
      </w:r>
      <w:r w:rsidRPr="00F25744">
        <w:rPr>
          <w:rFonts w:cs="David" w:hint="cs"/>
          <w:sz w:val="24"/>
          <w:szCs w:val="24"/>
          <w:rtl/>
        </w:rPr>
        <w:t>יוצגו להלן.</w:t>
      </w:r>
      <w:r w:rsidR="00F55E60" w:rsidRPr="00F25744">
        <w:rPr>
          <w:rFonts w:cs="David" w:hint="cs"/>
          <w:sz w:val="24"/>
          <w:szCs w:val="24"/>
          <w:rtl/>
        </w:rPr>
        <w:t xml:space="preserve"> את רשימת סוגי העניין לפי נט המשפט וחלוקתה לקטגוריות המצומצמות יותר שאותן בדקנו במחקר זה ניתן לראות ב</w:t>
      </w:r>
      <w:r w:rsidR="00F55E60" w:rsidRPr="00F25744">
        <w:rPr>
          <w:rFonts w:cs="David" w:hint="cs"/>
          <w:b/>
          <w:bCs/>
          <w:sz w:val="24"/>
          <w:szCs w:val="24"/>
          <w:rtl/>
        </w:rPr>
        <w:t xml:space="preserve">נספח </w:t>
      </w:r>
      <w:r w:rsidR="004626B2" w:rsidRPr="00F25744">
        <w:rPr>
          <w:rFonts w:cs="David" w:hint="cs"/>
          <w:b/>
          <w:bCs/>
          <w:sz w:val="24"/>
          <w:szCs w:val="24"/>
          <w:rtl/>
        </w:rPr>
        <w:t xml:space="preserve">ו'. </w:t>
      </w:r>
    </w:p>
    <w:p w14:paraId="52A23DCA" w14:textId="77777777" w:rsidR="00552432" w:rsidRPr="00F25744" w:rsidRDefault="00E25AE7" w:rsidP="00BD23BB">
      <w:pPr>
        <w:numPr>
          <w:ilvl w:val="0"/>
          <w:numId w:val="17"/>
        </w:numPr>
        <w:spacing w:before="120" w:after="0" w:line="360" w:lineRule="auto"/>
        <w:ind w:left="284" w:hanging="284"/>
        <w:jc w:val="both"/>
        <w:rPr>
          <w:rFonts w:cs="David"/>
          <w:sz w:val="24"/>
          <w:szCs w:val="24"/>
        </w:rPr>
      </w:pPr>
      <w:r w:rsidRPr="00F25744">
        <w:rPr>
          <w:rFonts w:cs="David" w:hint="cs"/>
          <w:b/>
          <w:bCs/>
          <w:sz w:val="24"/>
          <w:szCs w:val="24"/>
          <w:rtl/>
        </w:rPr>
        <w:t>הכנה לדיונים בתיקי ערעור</w:t>
      </w:r>
      <w:r w:rsidRPr="00F25744">
        <w:rPr>
          <w:rFonts w:cs="David" w:hint="cs"/>
          <w:sz w:val="24"/>
          <w:szCs w:val="24"/>
          <w:rtl/>
        </w:rPr>
        <w:t xml:space="preserve"> - עניין נוסף שבו נבדל היומן המחוזי משאר היומנים, היה בעמודת ההכנה לדיון הוכחות לעומת דיון שאיננו הוכחות. במסגרת דיון הוכחות כללנו גם שמיעת סיכומים או טיעונים לעונש וכן דיון בערעור, שכן במסגרת תיקי הערעורים שנשמעים במחוזי ככלל אין דיוני הוכחות, ונכון יותר להבחין בין דיון בערעור לדיון מסוג אחר (דיון מקדמי למשל או תזכורת).</w:t>
      </w:r>
    </w:p>
    <w:p w14:paraId="35294680" w14:textId="77777777" w:rsidR="00552432" w:rsidRPr="00F25744" w:rsidRDefault="00E25AE7" w:rsidP="00BD23BB">
      <w:pPr>
        <w:numPr>
          <w:ilvl w:val="0"/>
          <w:numId w:val="17"/>
        </w:numPr>
        <w:spacing w:before="120" w:after="0" w:line="360" w:lineRule="auto"/>
        <w:ind w:left="284" w:hanging="284"/>
        <w:jc w:val="both"/>
        <w:rPr>
          <w:rFonts w:cs="David"/>
          <w:sz w:val="24"/>
          <w:szCs w:val="24"/>
          <w:rtl/>
        </w:rPr>
      </w:pPr>
      <w:r w:rsidRPr="00F25744">
        <w:rPr>
          <w:rFonts w:cs="David" w:hint="cs"/>
          <w:b/>
          <w:bCs/>
          <w:sz w:val="24"/>
          <w:szCs w:val="24"/>
          <w:rtl/>
        </w:rPr>
        <w:t xml:space="preserve">הסדרי טיעון </w:t>
      </w:r>
      <w:r w:rsidRPr="00F25744">
        <w:rPr>
          <w:rFonts w:cs="David" w:hint="cs"/>
          <w:sz w:val="24"/>
          <w:szCs w:val="24"/>
          <w:rtl/>
        </w:rPr>
        <w:t xml:space="preserve">- לגבי </w:t>
      </w:r>
      <w:r w:rsidRPr="00F25744">
        <w:rPr>
          <w:rFonts w:cs="David" w:hint="cs"/>
          <w:b/>
          <w:bCs/>
          <w:sz w:val="24"/>
          <w:szCs w:val="24"/>
          <w:rtl/>
        </w:rPr>
        <w:t>התיקים הפליליים</w:t>
      </w:r>
      <w:r w:rsidRPr="00F25744">
        <w:rPr>
          <w:rFonts w:cs="David" w:hint="cs"/>
          <w:sz w:val="24"/>
          <w:szCs w:val="24"/>
          <w:rtl/>
        </w:rPr>
        <w:t xml:space="preserve">, הוספנו עמודה המתייחסת לכתיבת פסקי הדין בתיקים שנסגרו </w:t>
      </w:r>
      <w:r w:rsidRPr="00F25744">
        <w:rPr>
          <w:rFonts w:cs="David" w:hint="cs"/>
          <w:b/>
          <w:bCs/>
          <w:sz w:val="24"/>
          <w:szCs w:val="24"/>
          <w:rtl/>
        </w:rPr>
        <w:t>בהסדר טיעון</w:t>
      </w:r>
      <w:r w:rsidRPr="00F25744">
        <w:rPr>
          <w:rFonts w:cs="David" w:hint="cs"/>
          <w:sz w:val="24"/>
          <w:szCs w:val="24"/>
          <w:rtl/>
        </w:rPr>
        <w:t xml:space="preserve">, תוך הבחנה בין הסדר טיעון פתוח, סגור או הסדר טיעון שבו ניתן טווח ענישה, מתוך הנחה שזמני הכתיבה של פסקי הדין בכל אחת מהאפשרויות הללו שונים. כאן המקום להדגיש כי ברור לנו שמרביתם המכרעת של פסקי הדין בתיקים הפליליים שניתנים לאחר הסדר טיעון סגור, מוכתבים וניתנים באולם. במקרים אלו, זמני כתיבת פסק הדין שניתן באולם חושבו כחלק מזמן הדיון. אולם, על מנת שנוכל למדוד את זמני הכתיבה לגבי אותם פסקי דין פליליים שבכל זאת נכתבו מחוץ לאולם, </w:t>
      </w:r>
      <w:r w:rsidR="00570FDC" w:rsidRPr="00F25744">
        <w:rPr>
          <w:rFonts w:cs="David" w:hint="cs"/>
          <w:sz w:val="24"/>
          <w:szCs w:val="24"/>
          <w:rtl/>
        </w:rPr>
        <w:t>הוספנו את עמודת הסדרי הטיעון</w:t>
      </w:r>
      <w:r w:rsidRPr="00F25744">
        <w:rPr>
          <w:rFonts w:cs="David" w:hint="cs"/>
          <w:sz w:val="24"/>
          <w:szCs w:val="24"/>
          <w:rtl/>
        </w:rPr>
        <w:t xml:space="preserve">. </w:t>
      </w:r>
    </w:p>
    <w:p w14:paraId="0B82675B" w14:textId="77777777" w:rsidR="00524D16" w:rsidRPr="00F25744" w:rsidRDefault="00524D16" w:rsidP="00BD23BB">
      <w:pPr>
        <w:spacing w:after="0" w:line="240" w:lineRule="auto"/>
        <w:jc w:val="both"/>
        <w:rPr>
          <w:rFonts w:cs="David"/>
          <w:sz w:val="24"/>
          <w:szCs w:val="24"/>
          <w:rtl/>
        </w:rPr>
      </w:pPr>
    </w:p>
    <w:p w14:paraId="24C3D325" w14:textId="77777777" w:rsidR="00552432" w:rsidRPr="00F25744" w:rsidRDefault="00E25AE7" w:rsidP="00BD23BB">
      <w:pPr>
        <w:spacing w:after="0" w:line="240" w:lineRule="auto"/>
        <w:jc w:val="both"/>
        <w:rPr>
          <w:rFonts w:cs="David"/>
          <w:sz w:val="24"/>
          <w:szCs w:val="24"/>
          <w:rtl/>
        </w:rPr>
      </w:pPr>
      <w:r w:rsidRPr="00F25744">
        <w:rPr>
          <w:rFonts w:cs="David" w:hint="cs"/>
          <w:sz w:val="24"/>
          <w:szCs w:val="24"/>
          <w:rtl/>
        </w:rPr>
        <w:t>ניתן להתרשם מ</w:t>
      </w:r>
      <w:r w:rsidR="007F3A52" w:rsidRPr="00F25744">
        <w:rPr>
          <w:rFonts w:cs="David" w:hint="cs"/>
          <w:sz w:val="24"/>
          <w:szCs w:val="24"/>
          <w:rtl/>
        </w:rPr>
        <w:t>יומן העבודה השיפוטי שנבנה עבור ערכאת המחוזי ב</w:t>
      </w:r>
      <w:r w:rsidRPr="00F25744">
        <w:rPr>
          <w:rFonts w:cs="David" w:hint="cs"/>
          <w:sz w:val="24"/>
          <w:szCs w:val="24"/>
          <w:rtl/>
        </w:rPr>
        <w:t>יומן ל</w:t>
      </w:r>
      <w:r w:rsidR="007F3A52" w:rsidRPr="00F25744">
        <w:rPr>
          <w:rFonts w:cs="David" w:hint="cs"/>
          <w:sz w:val="24"/>
          <w:szCs w:val="24"/>
          <w:rtl/>
        </w:rPr>
        <w:t>דוגמה</w:t>
      </w:r>
      <w:r w:rsidRPr="00F25744">
        <w:rPr>
          <w:rFonts w:cs="David" w:hint="cs"/>
          <w:sz w:val="24"/>
          <w:szCs w:val="24"/>
          <w:rtl/>
        </w:rPr>
        <w:t xml:space="preserve"> המצורף כ</w:t>
      </w:r>
      <w:r w:rsidRPr="00F25744">
        <w:rPr>
          <w:rFonts w:cs="David" w:hint="cs"/>
          <w:b/>
          <w:bCs/>
          <w:sz w:val="24"/>
          <w:szCs w:val="24"/>
          <w:rtl/>
        </w:rPr>
        <w:t>נספח</w:t>
      </w:r>
      <w:r w:rsidRPr="00F25744">
        <w:rPr>
          <w:rFonts w:cs="David" w:hint="cs"/>
          <w:sz w:val="24"/>
          <w:szCs w:val="24"/>
          <w:rtl/>
        </w:rPr>
        <w:t xml:space="preserve"> </w:t>
      </w:r>
      <w:r w:rsidR="00AD64AF" w:rsidRPr="00F25744">
        <w:rPr>
          <w:rFonts w:cs="David" w:hint="cs"/>
          <w:b/>
          <w:bCs/>
          <w:sz w:val="24"/>
          <w:szCs w:val="24"/>
          <w:rtl/>
        </w:rPr>
        <w:t>ד1</w:t>
      </w:r>
      <w:r w:rsidR="00AD64AF" w:rsidRPr="00F25744">
        <w:rPr>
          <w:rFonts w:cs="David" w:hint="cs"/>
          <w:sz w:val="24"/>
          <w:szCs w:val="24"/>
          <w:rtl/>
        </w:rPr>
        <w:t xml:space="preserve">. </w:t>
      </w:r>
    </w:p>
    <w:p w14:paraId="0787F80E" w14:textId="77777777" w:rsidR="00BD23BB" w:rsidRPr="00F25744" w:rsidRDefault="00BD23BB" w:rsidP="00BD23BB">
      <w:pPr>
        <w:spacing w:after="0" w:line="240" w:lineRule="auto"/>
        <w:jc w:val="both"/>
        <w:rPr>
          <w:rFonts w:cs="David"/>
          <w:sz w:val="24"/>
          <w:szCs w:val="24"/>
          <w:rtl/>
        </w:rPr>
      </w:pPr>
    </w:p>
    <w:p w14:paraId="0643DAC0" w14:textId="77777777" w:rsidR="00C133FC" w:rsidRPr="00F25744" w:rsidRDefault="00C133FC" w:rsidP="00BD23BB">
      <w:pPr>
        <w:spacing w:after="0" w:line="240" w:lineRule="auto"/>
        <w:jc w:val="both"/>
        <w:rPr>
          <w:rFonts w:cs="David"/>
          <w:sz w:val="24"/>
          <w:szCs w:val="24"/>
          <w:rtl/>
        </w:rPr>
      </w:pPr>
    </w:p>
    <w:p w14:paraId="742BAAEC" w14:textId="77777777" w:rsidR="00C0120B" w:rsidRPr="00F25744" w:rsidRDefault="00C0120B" w:rsidP="00A54D82">
      <w:pPr>
        <w:pStyle w:val="3"/>
        <w:ind w:left="852"/>
        <w:rPr>
          <w:rtl/>
        </w:rPr>
      </w:pPr>
      <w:bookmarkStart w:id="375" w:name="_Toc74750981"/>
      <w:r w:rsidRPr="00F25744">
        <w:rPr>
          <w:rFonts w:hint="cs"/>
          <w:rtl/>
        </w:rPr>
        <w:t>ממצאי המחקר לגבי תיקי ערכאת המחוזי</w:t>
      </w:r>
      <w:bookmarkEnd w:id="375"/>
    </w:p>
    <w:p w14:paraId="4A492242" w14:textId="77777777" w:rsidR="00FE62B3" w:rsidRPr="00F25744" w:rsidRDefault="00FE62B3" w:rsidP="00FE62B3">
      <w:pPr>
        <w:spacing w:after="0" w:line="240" w:lineRule="auto"/>
        <w:rPr>
          <w:rtl/>
        </w:rPr>
      </w:pPr>
    </w:p>
    <w:p w14:paraId="72B427FF" w14:textId="77777777" w:rsidR="00C0120B" w:rsidRPr="00F25744" w:rsidRDefault="00C0120B" w:rsidP="00A54D82">
      <w:pPr>
        <w:pStyle w:val="4"/>
        <w:numPr>
          <w:ilvl w:val="3"/>
          <w:numId w:val="24"/>
        </w:numPr>
        <w:ind w:left="994"/>
        <w:rPr>
          <w:rtl/>
        </w:rPr>
      </w:pPr>
      <w:r w:rsidRPr="00F25744">
        <w:rPr>
          <w:rFonts w:hint="cs"/>
          <w:rtl/>
        </w:rPr>
        <w:t xml:space="preserve"> </w:t>
      </w:r>
      <w:bookmarkStart w:id="376" w:name="_Toc74750982"/>
      <w:r w:rsidRPr="00F25744">
        <w:rPr>
          <w:rFonts w:hint="cs"/>
          <w:rtl/>
        </w:rPr>
        <w:t>הזמן השיפוטי הדרוש לטיפול בתיקי ערכאת המחוזי</w:t>
      </w:r>
      <w:bookmarkEnd w:id="376"/>
    </w:p>
    <w:p w14:paraId="046F62AB" w14:textId="77777777" w:rsidR="00C0120B" w:rsidRPr="00F25744" w:rsidRDefault="00C0120B" w:rsidP="00BD23BB">
      <w:pPr>
        <w:spacing w:before="120" w:after="0" w:line="360" w:lineRule="auto"/>
        <w:jc w:val="both"/>
        <w:rPr>
          <w:rFonts w:cs="David"/>
          <w:sz w:val="24"/>
          <w:szCs w:val="24"/>
          <w:rtl/>
        </w:rPr>
      </w:pPr>
      <w:r w:rsidRPr="00F25744">
        <w:rPr>
          <w:rFonts w:cs="David" w:hint="cs"/>
          <w:sz w:val="24"/>
          <w:szCs w:val="24"/>
          <w:rtl/>
        </w:rPr>
        <w:t>התוצר הראשון של מחקר עומס העבודה השיפוטית הוא חישוב הזמן השיפוטי הדרוש לטיפול בכל אחד מסוגי התיקים השונים בערכאת המחוזי. המחקר הנוכחי הצליח לחשב את הזמן השיפוטי הדרוש לטיפול ב-</w:t>
      </w:r>
      <w:r w:rsidR="00CA5224" w:rsidRPr="00F25744">
        <w:rPr>
          <w:rFonts w:cs="David" w:hint="cs"/>
          <w:sz w:val="24"/>
          <w:szCs w:val="24"/>
          <w:rtl/>
        </w:rPr>
        <w:t>37</w:t>
      </w:r>
      <w:r w:rsidRPr="00F25744">
        <w:rPr>
          <w:rFonts w:cs="David" w:hint="cs"/>
          <w:sz w:val="24"/>
          <w:szCs w:val="24"/>
          <w:rtl/>
        </w:rPr>
        <w:t xml:space="preserve"> סוגי התיקים העיקריים בערכאת המחוזי, ועוד שבעה סוגי עניין בתיקי ת"א. כל אלו מהווים כ-97% מכלל תיקי המחוזי שנסגרו במהלך שנת 2019. כך שגם אם לא התאפשר לחשב את הזמן השיפוטי הדרוש לכ-3% מכלל התיקים האחרים, הרי שההשפעה שלהם על העומס אינה משמעותית.  </w:t>
      </w:r>
    </w:p>
    <w:p w14:paraId="4028E581" w14:textId="77777777" w:rsidR="00C0120B" w:rsidRPr="00F25744" w:rsidRDefault="00C0120B" w:rsidP="00BD23BB">
      <w:pPr>
        <w:spacing w:before="120" w:after="0" w:line="360" w:lineRule="auto"/>
        <w:jc w:val="both"/>
        <w:rPr>
          <w:rFonts w:cs="David"/>
          <w:sz w:val="24"/>
          <w:szCs w:val="24"/>
          <w:rtl/>
        </w:rPr>
      </w:pPr>
      <w:r w:rsidRPr="00F25744">
        <w:rPr>
          <w:rFonts w:cs="David" w:hint="cs"/>
          <w:sz w:val="24"/>
          <w:szCs w:val="24"/>
          <w:rtl/>
        </w:rPr>
        <w:lastRenderedPageBreak/>
        <w:t xml:space="preserve">בטבלה שלפניכם מובאים </w:t>
      </w:r>
      <w:r w:rsidR="00CA5224" w:rsidRPr="00F25744">
        <w:rPr>
          <w:rFonts w:cs="David" w:hint="cs"/>
          <w:sz w:val="24"/>
          <w:szCs w:val="24"/>
          <w:rtl/>
        </w:rPr>
        <w:t>37</w:t>
      </w:r>
      <w:r w:rsidRPr="00F25744">
        <w:rPr>
          <w:rFonts w:cs="David" w:hint="cs"/>
          <w:sz w:val="24"/>
          <w:szCs w:val="24"/>
          <w:rtl/>
        </w:rPr>
        <w:t xml:space="preserve"> סוגי התיקים שלגביהם נאספו נתונים מספקים בכל מערכי המחקר לגבי ערכאת המחוזי, יחד עם מספר התיקים מאותו סוג אשר נסגרו במהלך שנת 2019, הזמן השיפוטי הדרוש לטפל בהם, הזמן השיפוטי שנמדד במחקר הקודם ומגמת השינוי מהמחקר הקודם. ישנם שני סוגי תיקים שעבורם הזמן השיפוטי הדרוש לטיפול בתיק חושב ומוצג </w:t>
      </w:r>
      <w:r w:rsidR="00672BEE" w:rsidRPr="00F25744">
        <w:rPr>
          <w:rFonts w:cs="David" w:hint="cs"/>
          <w:sz w:val="24"/>
          <w:szCs w:val="24"/>
          <w:rtl/>
        </w:rPr>
        <w:t>למעשה פעמיים</w:t>
      </w:r>
      <w:r w:rsidRPr="00F25744">
        <w:rPr>
          <w:rFonts w:cs="David" w:hint="cs"/>
          <w:sz w:val="24"/>
          <w:szCs w:val="24"/>
          <w:rtl/>
        </w:rPr>
        <w:t xml:space="preserve">: כאשר התיק נדון בפני דן יחיד וכאשר התיק נדון בפני הרכב שופטים. בתיק מסוג ת"א הוצג גם הזמן המשוקלל, וגם בחלוקה לסוגי העניין המרכזיים בו (הרחבה על כך תינתן בתת הפרק העוסק בתיק מסוג ת"א בהמשך פרק זה). כמו כן, הוצג הזמן המשוקלל של תיקי הערעור העיקריים </w:t>
      </w:r>
      <w:r w:rsidRPr="00F25744">
        <w:rPr>
          <w:rFonts w:cs="David"/>
          <w:sz w:val="24"/>
          <w:szCs w:val="24"/>
          <w:rtl/>
        </w:rPr>
        <w:t>–</w:t>
      </w:r>
      <w:r w:rsidRPr="00F25744">
        <w:rPr>
          <w:rFonts w:cs="David" w:hint="cs"/>
          <w:sz w:val="24"/>
          <w:szCs w:val="24"/>
          <w:rtl/>
        </w:rPr>
        <w:t xml:space="preserve"> ע"א (כולל הזמן של ע"א שנדון בהרכב וע"א שנדון בדן יחיד) וע"פ (כולל הזמן של ערעור פלילי וערעור נוער פלילי). </w:t>
      </w:r>
      <w:r w:rsidR="00E62A41" w:rsidRPr="00F25744">
        <w:rPr>
          <w:rFonts w:cs="David" w:hint="cs"/>
          <w:sz w:val="24"/>
          <w:szCs w:val="24"/>
          <w:rtl/>
        </w:rPr>
        <w:t xml:space="preserve">זאת, על מנת לאפשר השוואה למחקר הקודם, שבו הוצג המשקל המשוקלל של תיקים אלו. </w:t>
      </w:r>
      <w:r w:rsidRPr="00F25744">
        <w:rPr>
          <w:rFonts w:cs="David" w:hint="cs"/>
          <w:sz w:val="24"/>
          <w:szCs w:val="24"/>
          <w:rtl/>
        </w:rPr>
        <w:t xml:space="preserve">על כן, בסך הכול מופיעים בטבלה שלפניכם </w:t>
      </w:r>
      <w:r w:rsidR="007E06CB" w:rsidRPr="00F25744">
        <w:rPr>
          <w:rFonts w:cs="David" w:hint="cs"/>
          <w:sz w:val="24"/>
          <w:szCs w:val="24"/>
          <w:rtl/>
        </w:rPr>
        <w:t>46</w:t>
      </w:r>
      <w:r w:rsidRPr="00F25744">
        <w:rPr>
          <w:rFonts w:cs="David" w:hint="cs"/>
          <w:sz w:val="24"/>
          <w:szCs w:val="24"/>
          <w:rtl/>
        </w:rPr>
        <w:t xml:space="preserve"> סוגי תיקים. </w:t>
      </w:r>
    </w:p>
    <w:p w14:paraId="7BF96638" w14:textId="77777777" w:rsidR="00C0120B" w:rsidRPr="00F25744" w:rsidRDefault="00C0120B" w:rsidP="001643E7">
      <w:pPr>
        <w:spacing w:before="120" w:after="0" w:line="360" w:lineRule="auto"/>
        <w:jc w:val="both"/>
        <w:rPr>
          <w:rFonts w:cs="David"/>
          <w:sz w:val="24"/>
          <w:szCs w:val="24"/>
          <w:rtl/>
        </w:rPr>
      </w:pPr>
      <w:r w:rsidRPr="00F25744">
        <w:rPr>
          <w:rFonts w:cs="David" w:hint="cs"/>
          <w:sz w:val="24"/>
          <w:szCs w:val="24"/>
          <w:rtl/>
        </w:rPr>
        <w:t>חשוב לציין כי ל</w:t>
      </w:r>
      <w:r w:rsidR="00D423E9" w:rsidRPr="00F25744">
        <w:rPr>
          <w:rFonts w:cs="David" w:hint="cs"/>
          <w:sz w:val="24"/>
          <w:szCs w:val="24"/>
          <w:rtl/>
        </w:rPr>
        <w:t xml:space="preserve">עתים נתקלנו בקשיים מסוימים בחישוב </w:t>
      </w:r>
      <w:r w:rsidRPr="00F25744">
        <w:rPr>
          <w:rFonts w:cs="David" w:hint="cs"/>
          <w:sz w:val="24"/>
          <w:szCs w:val="24"/>
          <w:rtl/>
        </w:rPr>
        <w:t xml:space="preserve">זמניהם של סוגי התיקים </w:t>
      </w:r>
      <w:r w:rsidRPr="00F25744">
        <w:rPr>
          <w:rFonts w:cs="David" w:hint="cs"/>
          <w:b/>
          <w:bCs/>
          <w:sz w:val="24"/>
          <w:szCs w:val="24"/>
          <w:rtl/>
        </w:rPr>
        <w:t>הנדירים</w:t>
      </w:r>
      <w:r w:rsidR="00D423E9" w:rsidRPr="00F25744">
        <w:rPr>
          <w:rFonts w:cs="David" w:hint="cs"/>
          <w:sz w:val="24"/>
          <w:szCs w:val="24"/>
          <w:rtl/>
        </w:rPr>
        <w:t xml:space="preserve"> </w:t>
      </w:r>
      <w:r w:rsidRPr="00F25744">
        <w:rPr>
          <w:rFonts w:cs="David" w:hint="cs"/>
          <w:sz w:val="24"/>
          <w:szCs w:val="24"/>
          <w:rtl/>
        </w:rPr>
        <w:t xml:space="preserve">יותר בכל ערכאה, בשל מיעוט הנתונים לגביהם. ניתן לראות זאת למשל בתיקים הכלכליים בערכאת המחוזי. ניקח כדוגמה תיק מסוג תביעה נגזרת (תנ"ג). אלו תיקים מורכבים מאד, אולם ניתן לראות, כי הם גם תיקים נדירים יחסית - בשנת 2019 נסגרו רק 48 תיקים כאלו בכל ערכאת המחוזי. על כן, במהלך תקופת המחקר לא קיבלנו עליהם נתונים רבים הנוגעים לאירועים השונים בתיק. את הנתונים המעטים הללו ניסינו להשלים בעזרת השאלון המסכם, שבו התבקשו השופטים להעריך את משכי הזמן הדרושים לביצוע </w:t>
      </w:r>
      <w:r w:rsidR="001E3545" w:rsidRPr="00F25744">
        <w:rPr>
          <w:rFonts w:cs="David" w:hint="cs"/>
          <w:sz w:val="24"/>
          <w:szCs w:val="24"/>
          <w:rtl/>
        </w:rPr>
        <w:t>ה</w:t>
      </w:r>
      <w:r w:rsidRPr="00F25744">
        <w:rPr>
          <w:rFonts w:cs="David" w:hint="cs"/>
          <w:sz w:val="24"/>
          <w:szCs w:val="24"/>
          <w:rtl/>
        </w:rPr>
        <w:t xml:space="preserve">פעולות </w:t>
      </w:r>
      <w:r w:rsidR="001E3545" w:rsidRPr="00F25744">
        <w:rPr>
          <w:rFonts w:cs="David" w:hint="cs"/>
          <w:sz w:val="24"/>
          <w:szCs w:val="24"/>
          <w:rtl/>
        </w:rPr>
        <w:t>ה</w:t>
      </w:r>
      <w:r w:rsidRPr="00F25744">
        <w:rPr>
          <w:rFonts w:cs="David" w:hint="cs"/>
          <w:sz w:val="24"/>
          <w:szCs w:val="24"/>
          <w:rtl/>
        </w:rPr>
        <w:t xml:space="preserve">שונות בתיקים. אולם, לעתים גם במסגרת השאלון המסכם לא קיבלנו די דיווחים כדי לבסס ממוצע שבו מרווח הטעות קטן דיו. </w:t>
      </w:r>
      <w:r w:rsidRPr="00F25744">
        <w:rPr>
          <w:rFonts w:cs="David" w:hint="cs"/>
          <w:b/>
          <w:bCs/>
          <w:sz w:val="24"/>
          <w:szCs w:val="24"/>
          <w:rtl/>
        </w:rPr>
        <w:t>בנוסף</w:t>
      </w:r>
      <w:r w:rsidRPr="00F25744">
        <w:rPr>
          <w:rFonts w:cs="David" w:hint="cs"/>
          <w:sz w:val="24"/>
          <w:szCs w:val="24"/>
          <w:rtl/>
        </w:rPr>
        <w:t xml:space="preserve">, קיימים סוגי תיקים, אשר לגביהם היו לנו נתונים על כל האירועים בתיק ושכיחותם, אך </w:t>
      </w:r>
      <w:r w:rsidRPr="00F25744">
        <w:rPr>
          <w:rFonts w:cs="David" w:hint="cs"/>
          <w:b/>
          <w:bCs/>
          <w:sz w:val="24"/>
          <w:szCs w:val="24"/>
          <w:rtl/>
        </w:rPr>
        <w:t>מעט מהם לגבי חלק מהאירועים שנמדדו</w:t>
      </w:r>
      <w:r w:rsidRPr="00F25744">
        <w:rPr>
          <w:rFonts w:cs="David" w:hint="cs"/>
          <w:sz w:val="24"/>
          <w:szCs w:val="24"/>
          <w:rtl/>
        </w:rPr>
        <w:t xml:space="preserve">, בין אם בשל נדירותם של אותם סוגי תיקים ובין אם בשל כך שבמהלך תקופת המחקר לא התקבלו לגביהם די דיווחים על פעולות מסוימות, </w:t>
      </w:r>
      <w:r w:rsidRPr="00F25744">
        <w:rPr>
          <w:rFonts w:cs="David" w:hint="cs"/>
          <w:b/>
          <w:bCs/>
          <w:sz w:val="24"/>
          <w:szCs w:val="24"/>
          <w:rtl/>
        </w:rPr>
        <w:t>גם אם התיקים עצמם אינם מאד נדירים</w:t>
      </w:r>
      <w:r w:rsidRPr="00F25744">
        <w:rPr>
          <w:rFonts w:cs="David" w:hint="cs"/>
          <w:sz w:val="24"/>
          <w:szCs w:val="24"/>
          <w:rtl/>
        </w:rPr>
        <w:t>.</w:t>
      </w:r>
      <w:r w:rsidR="001643E7" w:rsidRPr="00F25744">
        <w:rPr>
          <w:rFonts w:cs="David" w:hint="cs"/>
          <w:sz w:val="24"/>
          <w:szCs w:val="24"/>
          <w:rtl/>
        </w:rPr>
        <w:t xml:space="preserve"> על מנת שלא לוותר לחלוטין על הצגת זמניהם של תיקים חשובים אלו, בחרנו להציג את הזמנים שנמדדו לגביהם בכל זאת, אולם לבצע לגביהם מהלך </w:t>
      </w:r>
      <w:r w:rsidR="00010100" w:rsidRPr="00F25744">
        <w:rPr>
          <w:rFonts w:cs="David" w:hint="cs"/>
          <w:sz w:val="24"/>
          <w:szCs w:val="24"/>
          <w:rtl/>
        </w:rPr>
        <w:t xml:space="preserve">נוסף של תיקוף, כפי שיתואר בתת הפרק הבא. </w:t>
      </w:r>
    </w:p>
    <w:p w14:paraId="29D362D0" w14:textId="77777777" w:rsidR="00BD23BB" w:rsidRPr="00F25744" w:rsidRDefault="00BD23BB" w:rsidP="00BD23BB">
      <w:pPr>
        <w:spacing w:before="120" w:after="0" w:line="240" w:lineRule="auto"/>
        <w:jc w:val="both"/>
        <w:rPr>
          <w:rFonts w:cs="David"/>
          <w:b/>
          <w:bCs/>
          <w:sz w:val="24"/>
          <w:szCs w:val="24"/>
          <w:rtl/>
        </w:rPr>
      </w:pPr>
    </w:p>
    <w:p w14:paraId="2D8291C4" w14:textId="77777777" w:rsidR="00C0120B" w:rsidRPr="00F25744" w:rsidRDefault="00C0120B" w:rsidP="00A54D82">
      <w:pPr>
        <w:pStyle w:val="4"/>
        <w:numPr>
          <w:ilvl w:val="3"/>
          <w:numId w:val="24"/>
        </w:numPr>
        <w:ind w:left="994"/>
        <w:rPr>
          <w:rtl/>
        </w:rPr>
      </w:pPr>
      <w:r w:rsidRPr="00F25744">
        <w:rPr>
          <w:rFonts w:hint="cs"/>
          <w:rtl/>
        </w:rPr>
        <w:t xml:space="preserve"> </w:t>
      </w:r>
      <w:bookmarkStart w:id="377" w:name="_Toc74750983"/>
      <w:r w:rsidRPr="00F25744">
        <w:rPr>
          <w:rFonts w:hint="cs"/>
          <w:rtl/>
        </w:rPr>
        <w:t>תיקוף ממצאי המחקר בנוגע לחלק מתיקי ערכאת המחוזי</w:t>
      </w:r>
      <w:bookmarkEnd w:id="377"/>
    </w:p>
    <w:p w14:paraId="084B3EC3" w14:textId="6066FDB5" w:rsidR="00900756" w:rsidRPr="00F25744" w:rsidRDefault="00900756" w:rsidP="00586E19">
      <w:pPr>
        <w:spacing w:before="120" w:after="0" w:line="360" w:lineRule="auto"/>
        <w:jc w:val="both"/>
        <w:rPr>
          <w:rFonts w:cs="David"/>
          <w:sz w:val="24"/>
          <w:szCs w:val="24"/>
          <w:rtl/>
        </w:rPr>
      </w:pPr>
      <w:r w:rsidRPr="00F25744">
        <w:rPr>
          <w:rFonts w:cs="David" w:hint="cs"/>
          <w:sz w:val="24"/>
          <w:szCs w:val="24"/>
          <w:rtl/>
        </w:rPr>
        <w:t>כאמור, לאחר ניתוח ועיבוד הנתונים שהתקבלו במהלך המחקר גיבשנו ממצאים ראשוניים לגבי זמני הטיפול בתיקים מכל הערכאות ובתי המשפט. ממצאים ראשוניים אלה הוצגו לראשי המערכת, לוועדת ההיגוי של מחלקת המחקר ולנשיאי המחוזות השונים. ועדת ההיגוי ונשיאי המחוזות אישרו את מרבית הזמנים שהוצגו בפניהם. לגבי עשרה סוגי תיקים וארבעה סוגי עניין בתיקי ת"א התבקשה בחינה נוספת, וזאת על רקע תהיות שהועלו בנוגע לזמני הטיפול בתיקים אלה מול תיקים אחרים, כמו גם בנוגע לפער בין הזמנים שנמדדו לגבי הליכים אלה במחקר הנוכחי לעומת הזמנים שהוערכו במחקר הקודם או בנוגע לפערים בזמני הטיפול בתיקים פליליים ואזרחיים הנדונים במחוזי לעומת זמני הטיפול בתיקים המקבילים שנמדדו בערכאת השלום. לפיכך, ביצענו שני מהלכים מחקריים מעמיקים ומקיפים לתיקוף זמני הטיפול בתיקים שהועלו בפורום הנשיאים:</w:t>
      </w:r>
    </w:p>
    <w:p w14:paraId="49B3734A" w14:textId="6F407415" w:rsidR="00900756" w:rsidRPr="00F25744" w:rsidRDefault="00900756" w:rsidP="00AF6F04">
      <w:pPr>
        <w:spacing w:before="120" w:after="0" w:line="360" w:lineRule="auto"/>
        <w:jc w:val="both"/>
        <w:rPr>
          <w:rFonts w:cs="David"/>
          <w:sz w:val="24"/>
          <w:szCs w:val="24"/>
          <w:rtl/>
        </w:rPr>
      </w:pPr>
      <w:r w:rsidRPr="00F25744">
        <w:rPr>
          <w:rFonts w:cs="David" w:hint="cs"/>
          <w:b/>
          <w:bCs/>
          <w:sz w:val="24"/>
          <w:szCs w:val="24"/>
          <w:rtl/>
        </w:rPr>
        <w:t>מהלך התיקוף המחקרי הראשון</w:t>
      </w:r>
      <w:r w:rsidRPr="00F25744">
        <w:rPr>
          <w:rFonts w:cs="David" w:hint="cs"/>
          <w:sz w:val="24"/>
          <w:szCs w:val="24"/>
          <w:rtl/>
        </w:rPr>
        <w:t xml:space="preserve">, עסק בתיקוף הזמנים שנמדדו לגבי עשרה סוגי תיקים הנדונים בערכאת המחוזי ועוד ארבעה סוגי עניין בתיקי ת"א, אשר ביחס אליהם נטען כי זמני הטיפול שנמדדו </w:t>
      </w:r>
      <w:r w:rsidRPr="00F25744">
        <w:rPr>
          <w:rFonts w:cs="David" w:hint="cs"/>
          <w:sz w:val="24"/>
          <w:szCs w:val="24"/>
          <w:rtl/>
        </w:rPr>
        <w:lastRenderedPageBreak/>
        <w:t>לא תאמו באופן מלא את הערכות הנשיאים, בין כשלעצמם ובין ביחס בזמן הטיפול בתיקים אלה אל מול זמן הטיפול בתיקים אחרים. לצורך כך, הכנו שאלונים ייחודיים לכל סוג תיק והעברנו שאלונים מותאמים לשופטים המטפלים בסוגי התיקים הללו בכל המחוזות. בסך הכול שלחנו לשופטים 140 שאלונים מותאמים, וקיבלנו מענה מפורט על כ-70 שאלונים. לחלק מן השופטים חזרנו בשאלות הבהרה שונות. כמו כן ערכנו שיחות טלפוניות מפורטות עם אחד עשר שופטים לגבי סוגי התיקים השונים שנבדקו. מהלך התיקוף נועד לבדוק מניין נובע הפער בין הזמנים שנמדדו במחקר ובין הערכות השופטים לגביהם, מהן הסיבות לפער, ולהבין את ההליך הייחודי שבו מתנהל כל סוג תיק, במטרה לבדוק האם ישנם מאפיינים ייחודיים לתיקים אלה</w:t>
      </w:r>
      <w:r w:rsidR="00AF6F04" w:rsidRPr="00F25744">
        <w:rPr>
          <w:rFonts w:cs="David" w:hint="cs"/>
          <w:sz w:val="24"/>
          <w:szCs w:val="24"/>
          <w:rtl/>
        </w:rPr>
        <w:t>,</w:t>
      </w:r>
      <w:r w:rsidRPr="00F25744">
        <w:rPr>
          <w:rFonts w:cs="David" w:hint="cs"/>
          <w:sz w:val="24"/>
          <w:szCs w:val="24"/>
          <w:rtl/>
        </w:rPr>
        <w:t xml:space="preserve"> או לטיפול בהם</w:t>
      </w:r>
      <w:r w:rsidR="00AF6F04" w:rsidRPr="00F25744">
        <w:rPr>
          <w:rFonts w:cs="David" w:hint="cs"/>
          <w:sz w:val="24"/>
          <w:szCs w:val="24"/>
          <w:rtl/>
        </w:rPr>
        <w:t>,</w:t>
      </w:r>
      <w:r w:rsidRPr="00F25744">
        <w:rPr>
          <w:rFonts w:cs="David" w:hint="cs"/>
          <w:sz w:val="24"/>
          <w:szCs w:val="24"/>
          <w:rtl/>
        </w:rPr>
        <w:t xml:space="preserve"> ואם הם קיבלו ביטוי הולם במסגרת נוסחת חישוב זמני הטיפול בתיקים. לגבי מרבית סוגי התיקים שנבדקו, התשובות של השופטים לשאלונים והשיחות עימם תיקפו את ממצאי המחקר. לגבי חלק מן התיקים מצאנו מקום לחשב את הנתונים באופן מעט שונה, לאחר שעמדנו על ייחודיות ההליך מתוך תשובות השופטים. דוגמה לכך היא תיקי התובענות הייצוגיות (ת"צ) ותביעות הנגזרת (תנ"ג). בתיקים אלו קיים הליך ייחודי, שבו ראשית מתבררת בקשה לאישור התובענה הייצוגית או התביעה הנגזרת, ורק ככל שניתן אישור ולא מושגת בשלב זה פשרה כלשהי, מתנהלת התובענה הייצוגית או התביעה הנגזרת עצמה. על כן, בתיקים אלו הגדרנו את ההחלטות בבקשות לאישור, שהן החלטות שלרוב נכתבות תוך הנמקה רחבה (גם במקרה של אישור הסדר כלשהו), כפסק דין. הדבר הוביל לגידול בכמות פסקי הדין המנומקים או פסקי הדין לפשרה בכל אחת מקטיגוריות התיקים האמורים, באופן שהוביל לעלייה מסוימת בזמני הטיפול בהם.</w:t>
      </w:r>
    </w:p>
    <w:p w14:paraId="045ABD6C" w14:textId="77777777" w:rsidR="00900756" w:rsidRPr="00F25744" w:rsidRDefault="00900756" w:rsidP="00900756">
      <w:pPr>
        <w:spacing w:before="120" w:after="0" w:line="360" w:lineRule="auto"/>
        <w:jc w:val="both"/>
        <w:rPr>
          <w:rFonts w:cs="David"/>
          <w:sz w:val="24"/>
          <w:szCs w:val="24"/>
          <w:rtl/>
        </w:rPr>
      </w:pPr>
      <w:r w:rsidRPr="00F25744">
        <w:rPr>
          <w:rFonts w:cs="David" w:hint="cs"/>
          <w:sz w:val="24"/>
          <w:szCs w:val="24"/>
          <w:rtl/>
        </w:rPr>
        <w:t>אשר לסוגי התיקים שלגביהם לא קיבלנו כמות גדולה של דיווחים במהלך תקופת המחקר, שהם תיקי התנ"ג,</w:t>
      </w:r>
      <w:r w:rsidRPr="00F25744">
        <w:rPr>
          <w:rStyle w:val="a6"/>
          <w:rFonts w:cs="David"/>
          <w:sz w:val="24"/>
          <w:szCs w:val="24"/>
          <w:rtl/>
        </w:rPr>
        <w:footnoteReference w:id="22"/>
      </w:r>
      <w:r w:rsidRPr="00F25744">
        <w:rPr>
          <w:rFonts w:cs="David" w:hint="cs"/>
          <w:sz w:val="24"/>
          <w:szCs w:val="24"/>
          <w:rtl/>
        </w:rPr>
        <w:t xml:space="preserve"> וסוגי העניין רשלנות רפואית וקניין רוחני בתיקי הת"א, הערכות השופטים במהלך התיקוף היו גבוהות יותר מהנתונים המעטים שהיו בידינו. כדי שנוכל להציג את זמני הטיפול בהם בכל זאת, ביצענו שקלול של הערכות השופטים עם הנתונים שהיו בידינו. לאור האמור, </w:t>
      </w:r>
      <w:r w:rsidRPr="00F25744">
        <w:rPr>
          <w:rFonts w:cs="David" w:hint="cs"/>
          <w:b/>
          <w:bCs/>
          <w:sz w:val="24"/>
          <w:szCs w:val="24"/>
          <w:rtl/>
        </w:rPr>
        <w:t>זמני הטיפול בתיק תנ"ג ובסוגי העניין רשלנות רפואית וקניין רוחני בתיקי ת"א,</w:t>
      </w:r>
      <w:r w:rsidRPr="00F25744">
        <w:rPr>
          <w:rFonts w:cs="David" w:hint="cs"/>
          <w:sz w:val="24"/>
          <w:szCs w:val="24"/>
          <w:rtl/>
        </w:rPr>
        <w:t xml:space="preserve"> </w:t>
      </w:r>
      <w:r w:rsidRPr="00F25744">
        <w:rPr>
          <w:rFonts w:cs="David" w:hint="cs"/>
          <w:b/>
          <w:bCs/>
          <w:sz w:val="24"/>
          <w:szCs w:val="24"/>
          <w:rtl/>
        </w:rPr>
        <w:t>יסומנו בטבלאות שלהלן בשתי כוכביות</w:t>
      </w:r>
      <w:r w:rsidRPr="00F25744">
        <w:rPr>
          <w:rFonts w:cs="David" w:hint="cs"/>
          <w:sz w:val="24"/>
          <w:szCs w:val="24"/>
          <w:rtl/>
        </w:rPr>
        <w:t xml:space="preserve"> </w:t>
      </w:r>
      <w:r w:rsidRPr="00F25744">
        <w:rPr>
          <w:rFonts w:cs="David" w:hint="cs"/>
          <w:b/>
          <w:bCs/>
          <w:sz w:val="24"/>
          <w:szCs w:val="24"/>
          <w:rtl/>
        </w:rPr>
        <w:t>(**)</w:t>
      </w:r>
      <w:r w:rsidRPr="00F25744">
        <w:rPr>
          <w:rFonts w:cs="David" w:hint="cs"/>
          <w:sz w:val="24"/>
          <w:szCs w:val="24"/>
          <w:rtl/>
        </w:rPr>
        <w:t>.</w:t>
      </w:r>
    </w:p>
    <w:p w14:paraId="28217C0D" w14:textId="3E958CF9" w:rsidR="00900756" w:rsidRPr="00F25744" w:rsidRDefault="00900756" w:rsidP="007B1CB8">
      <w:pPr>
        <w:spacing w:before="120" w:after="0" w:line="360" w:lineRule="auto"/>
        <w:jc w:val="both"/>
        <w:rPr>
          <w:rFonts w:cs="David"/>
          <w:sz w:val="24"/>
          <w:szCs w:val="24"/>
          <w:rtl/>
        </w:rPr>
      </w:pPr>
      <w:r w:rsidRPr="00F25744">
        <w:rPr>
          <w:rFonts w:cs="David" w:hint="cs"/>
          <w:b/>
          <w:bCs/>
          <w:sz w:val="24"/>
          <w:szCs w:val="24"/>
          <w:rtl/>
        </w:rPr>
        <w:t>מהלך התיקוף המחקרי השני</w:t>
      </w:r>
      <w:r w:rsidRPr="00F25744">
        <w:rPr>
          <w:rFonts w:cs="David" w:hint="cs"/>
          <w:sz w:val="24"/>
          <w:szCs w:val="24"/>
          <w:rtl/>
        </w:rPr>
        <w:t xml:space="preserve"> עסק בתיקוף פערי הזמנים שנמדדו בערכאת המחוזי לעומת תיקים מקבילים הנדונים בבתי משפט השלום, ובהם בעיקר התיקים הפליליים (ת"פ) והתיקים האזרחיים (ת"א) בחלק מסוגי העניין העיקריים. הטענה שעלתה בסוגיה זו נגעה לפער משמעותי בין חלק מסוגי התיקים המקבילים הנדונים במחוזי לעומת השלום, פער שגדל לעומת הפערים שהוערכו במחקר הקודם. לצורך בדיקת הפערים הללו חיפשנו ומצאנו בעצה אחת עם נשיאי המחוזות שופטי מחוזי המטפלים בתיקים אלו, אשר כיהנו עד לפני מספר שנים בבתי משפט השלום. באופן זה קיבלנו מידע משופטים שטיפלו באותם סוגי תיקים הן בשלום והן במחוזי. בנינו שאלונים ייחודיים לבדיקת הפערים, שבהם שאלנו את השופטים האם לדעתם קיים פער בזמני הטיפול בסוג התיק הספציפי במחוזי לעומת זמני הטיפול בו בשלום, מהיכן לדעתם נובע הפער ובכמה זמן הם מעריכים את הפער. התשובות לשאלונים אלו, ככלל, תיקפו את הפערים שנמדדו במחקר. למשל, לגבי סוג העניין פלת"ד, הפער שנמדד </w:t>
      </w:r>
      <w:r w:rsidRPr="00F25744">
        <w:rPr>
          <w:rFonts w:cs="David" w:hint="cs"/>
          <w:sz w:val="24"/>
          <w:szCs w:val="24"/>
          <w:rtl/>
        </w:rPr>
        <w:lastRenderedPageBreak/>
        <w:t>במהלך המחקר היה גבוה מעט יותר מהערכות השופטים לגביו, אולם לגבי סוג עניין זה קיבלנו נתונים רבים במהלך תקופת המחקר הן במחוזי והן בשלום. מתשובות השופטים ומהשיחות עמם לגבי סוג עניין זה, עלה כי לדעתם אכן תיקי הפלת"ד במחוזי אינם כה פשוטים, וכי יש קונספציה מוטעית בנוגע ליחס ביניהם לבין תיקים נזיקיים אחרים. כך, הובהר כי למרות שההליך בתיקי הפלת"ד אמ</w:t>
      </w:r>
      <w:r w:rsidR="007B1CB8">
        <w:rPr>
          <w:rFonts w:cs="David" w:hint="cs"/>
          <w:sz w:val="24"/>
          <w:szCs w:val="24"/>
          <w:rtl/>
        </w:rPr>
        <w:t>ו</w:t>
      </w:r>
      <w:r w:rsidRPr="00F25744">
        <w:rPr>
          <w:rFonts w:cs="David" w:hint="cs"/>
          <w:sz w:val="24"/>
          <w:szCs w:val="24"/>
          <w:rtl/>
        </w:rPr>
        <w:t>ר להיות פשוט יותר, בפועל מדובר בתיקים ש</w:t>
      </w:r>
      <w:r w:rsidR="002D711E" w:rsidRPr="00F25744">
        <w:rPr>
          <w:rFonts w:cs="David" w:hint="cs"/>
          <w:sz w:val="24"/>
          <w:szCs w:val="24"/>
          <w:rtl/>
        </w:rPr>
        <w:t>גוזלים זמן רב</w:t>
      </w:r>
      <w:r w:rsidRPr="00F25744">
        <w:rPr>
          <w:rFonts w:cs="David" w:hint="cs"/>
          <w:sz w:val="24"/>
          <w:szCs w:val="24"/>
          <w:rtl/>
        </w:rPr>
        <w:t xml:space="preserve">, גם אם על פי רוב אינם מסובכים מבחינה משפטית. זאת, בין היתר, בשל הצורך למנות לעתים מספר מומחים, לרבות מומחי שיקום, והזמן הרב המוקדש להכנת תחשיבי הנזק, במיוחד בתיקים המורכבים והמסובכים יותר הנדונים במחוזי. </w:t>
      </w:r>
    </w:p>
    <w:p w14:paraId="27A0D1D2" w14:textId="77777777" w:rsidR="00900756" w:rsidRPr="00F25744" w:rsidRDefault="00900756" w:rsidP="00900756">
      <w:pPr>
        <w:spacing w:before="120" w:after="0" w:line="360" w:lineRule="auto"/>
        <w:jc w:val="both"/>
        <w:rPr>
          <w:rFonts w:cs="David"/>
          <w:sz w:val="24"/>
          <w:szCs w:val="24"/>
          <w:rtl/>
        </w:rPr>
      </w:pPr>
      <w:r w:rsidRPr="00F25744">
        <w:rPr>
          <w:rFonts w:cs="David" w:hint="cs"/>
          <w:sz w:val="24"/>
          <w:szCs w:val="24"/>
          <w:rtl/>
        </w:rPr>
        <w:t>באופן דומה, גם לגבי סוג העניין תביעה כספית הערכות השופטים היו מעט נמוכות יותר, אולם גם כאן היו בידינו נתונים רבים מתקופת המחקר באופן שהגביר את מהימנות הממצאים. יתר על כן, תחת סוג העניין "תביעה כספית" ניתן למצוא מגוון רחב מאד של תיקים וסוגיות משפטיות, וכן מדובר בסוג עניין שלצורך המחקר קיבצנו לתוכו מספר סוגי עניין נוספים (כמו חוזים, בנקים ואשראי ועוד, כמפורט בטבלה ב</w:t>
      </w:r>
      <w:r w:rsidRPr="00F25744">
        <w:rPr>
          <w:rFonts w:cs="David" w:hint="cs"/>
          <w:b/>
          <w:bCs/>
          <w:sz w:val="24"/>
          <w:szCs w:val="24"/>
          <w:rtl/>
        </w:rPr>
        <w:t>נספח ו'</w:t>
      </w:r>
      <w:r w:rsidRPr="00F25744">
        <w:rPr>
          <w:rFonts w:cs="David" w:hint="cs"/>
          <w:sz w:val="24"/>
          <w:szCs w:val="24"/>
          <w:rtl/>
        </w:rPr>
        <w:t>).</w:t>
      </w:r>
    </w:p>
    <w:p w14:paraId="5F9E299F" w14:textId="77777777" w:rsidR="00900756" w:rsidRPr="00F25744" w:rsidRDefault="00900756" w:rsidP="00900756">
      <w:pPr>
        <w:spacing w:before="120" w:after="0" w:line="360" w:lineRule="auto"/>
        <w:jc w:val="both"/>
        <w:rPr>
          <w:rFonts w:cs="David"/>
          <w:sz w:val="24"/>
          <w:szCs w:val="24"/>
          <w:rtl/>
        </w:rPr>
      </w:pPr>
      <w:r w:rsidRPr="00F25744">
        <w:rPr>
          <w:rFonts w:cs="David" w:hint="cs"/>
          <w:sz w:val="24"/>
          <w:szCs w:val="24"/>
          <w:rtl/>
        </w:rPr>
        <w:t>כאמור, ככלל, מהלך תיקוף זה אכן תיקף את ממצאי המחקר בנוגע לפער ההולך וגדל בין תיקים מקבילים הנדונים במחוזי ובשלום. הטענה המרכזית שעלתה מתשובות השופטים לשאלוני התיקוף עסקה ב</w:t>
      </w:r>
      <w:r w:rsidRPr="00F25744">
        <w:rPr>
          <w:rFonts w:cs="David"/>
          <w:sz w:val="24"/>
          <w:szCs w:val="24"/>
          <w:rtl/>
        </w:rPr>
        <w:t xml:space="preserve">הכבדה המשמעותית בטיפול בתיקי המחוזי בשנים האחרונות. שופטים רבים חזרו על כך שהתיקים </w:t>
      </w:r>
      <w:r w:rsidRPr="00F25744">
        <w:rPr>
          <w:rFonts w:cs="David" w:hint="cs"/>
          <w:sz w:val="24"/>
          <w:szCs w:val="24"/>
          <w:rtl/>
        </w:rPr>
        <w:t xml:space="preserve">במחוזי </w:t>
      </w:r>
      <w:r w:rsidRPr="00F25744">
        <w:rPr>
          <w:rFonts w:cs="David"/>
          <w:sz w:val="24"/>
          <w:szCs w:val="24"/>
          <w:rtl/>
        </w:rPr>
        <w:t>הולכים ונעשים כבדים ומורכבים יותר</w:t>
      </w:r>
      <w:r w:rsidRPr="00F25744">
        <w:rPr>
          <w:rFonts w:cs="David" w:hint="cs"/>
          <w:sz w:val="24"/>
          <w:szCs w:val="24"/>
          <w:rtl/>
        </w:rPr>
        <w:t xml:space="preserve"> עם השנים</w:t>
      </w:r>
      <w:r w:rsidRPr="00F25744">
        <w:rPr>
          <w:rFonts w:cs="David"/>
          <w:sz w:val="24"/>
          <w:szCs w:val="24"/>
          <w:rtl/>
        </w:rPr>
        <w:t>, יש יותר עו</w:t>
      </w:r>
      <w:r w:rsidRPr="00F25744">
        <w:rPr>
          <w:rFonts w:cs="David" w:hint="cs"/>
          <w:sz w:val="24"/>
          <w:szCs w:val="24"/>
          <w:rtl/>
        </w:rPr>
        <w:t xml:space="preserve">רכי דין </w:t>
      </w:r>
      <w:r w:rsidRPr="00F25744">
        <w:rPr>
          <w:rFonts w:cs="David"/>
          <w:sz w:val="24"/>
          <w:szCs w:val="24"/>
          <w:rtl/>
        </w:rPr>
        <w:t>שמתמקצעים בתחומים השונים ועל כן מעלים סוגיות משפטיות סבוכות יותר ונכונים פחות לפשרות, יש צורך בשמיעת מומחים רבים, עלייה חדה בהיקף הבקשות וההליכים המקדמיים המצריכים העמקה בתיקים עוד בשלביהם המוקדמים ועוד.</w:t>
      </w:r>
    </w:p>
    <w:p w14:paraId="51AFABC7" w14:textId="77777777" w:rsidR="00900756" w:rsidRPr="00F25744" w:rsidRDefault="00900756" w:rsidP="00900756">
      <w:pPr>
        <w:spacing w:before="120" w:after="0" w:line="360" w:lineRule="auto"/>
        <w:jc w:val="both"/>
        <w:rPr>
          <w:rFonts w:cs="David"/>
          <w:sz w:val="24"/>
          <w:szCs w:val="24"/>
          <w:rtl/>
        </w:rPr>
      </w:pPr>
      <w:r w:rsidRPr="00F25744">
        <w:rPr>
          <w:rFonts w:cs="David" w:hint="cs"/>
          <w:sz w:val="24"/>
          <w:szCs w:val="24"/>
          <w:rtl/>
        </w:rPr>
        <w:t xml:space="preserve">משני מהלכי התיקוף המחקריים שערכנו נבעו מספר </w:t>
      </w:r>
      <w:r w:rsidRPr="00F25744">
        <w:rPr>
          <w:rFonts w:cs="David" w:hint="cs"/>
          <w:sz w:val="24"/>
          <w:szCs w:val="24"/>
          <w:u w:val="single"/>
          <w:rtl/>
        </w:rPr>
        <w:t>מסקנות עיקריות</w:t>
      </w:r>
      <w:r w:rsidRPr="00F25744">
        <w:rPr>
          <w:rFonts w:cs="David" w:hint="cs"/>
          <w:sz w:val="24"/>
          <w:szCs w:val="24"/>
          <w:rtl/>
        </w:rPr>
        <w:t>:</w:t>
      </w:r>
    </w:p>
    <w:p w14:paraId="5B5DC42A" w14:textId="77777777" w:rsidR="00900756" w:rsidRPr="00F25744" w:rsidRDefault="00900756" w:rsidP="00900756">
      <w:pPr>
        <w:spacing w:before="120" w:after="0" w:line="360" w:lineRule="auto"/>
        <w:jc w:val="both"/>
        <w:rPr>
          <w:rFonts w:cs="David"/>
          <w:sz w:val="24"/>
          <w:szCs w:val="24"/>
          <w:rtl/>
        </w:rPr>
      </w:pPr>
      <w:r w:rsidRPr="00F25744">
        <w:rPr>
          <w:rFonts w:cs="David" w:hint="cs"/>
          <w:b/>
          <w:bCs/>
          <w:sz w:val="24"/>
          <w:szCs w:val="24"/>
          <w:rtl/>
        </w:rPr>
        <w:t>האחת</w:t>
      </w:r>
      <w:r w:rsidRPr="00F25744">
        <w:rPr>
          <w:rFonts w:cs="David" w:hint="cs"/>
          <w:sz w:val="24"/>
          <w:szCs w:val="24"/>
          <w:rtl/>
        </w:rPr>
        <w:t>, כפי שפירטנו לעיל, שופטי מחוזי רבים התייחסו לסוגיה של ה</w:t>
      </w:r>
      <w:r w:rsidRPr="00F25744">
        <w:rPr>
          <w:rFonts w:cs="David"/>
          <w:sz w:val="24"/>
          <w:szCs w:val="24"/>
          <w:rtl/>
        </w:rPr>
        <w:t>הכבדה המשמעותית בטיפול בתיקי המחוזי בשנים האחרונות.</w:t>
      </w:r>
    </w:p>
    <w:p w14:paraId="373B550D" w14:textId="42DC2B5D" w:rsidR="00900756" w:rsidRPr="00F25744" w:rsidRDefault="00900756" w:rsidP="00C968C1">
      <w:pPr>
        <w:spacing w:before="120" w:after="0" w:line="360" w:lineRule="auto"/>
        <w:jc w:val="both"/>
        <w:rPr>
          <w:rFonts w:cs="David"/>
          <w:sz w:val="24"/>
          <w:szCs w:val="24"/>
          <w:rtl/>
        </w:rPr>
      </w:pPr>
      <w:r w:rsidRPr="00F25744">
        <w:rPr>
          <w:rFonts w:cs="David" w:hint="cs"/>
          <w:b/>
          <w:bCs/>
          <w:sz w:val="24"/>
          <w:szCs w:val="24"/>
          <w:rtl/>
        </w:rPr>
        <w:t>השנייה</w:t>
      </w:r>
      <w:r w:rsidRPr="00F25744">
        <w:rPr>
          <w:rFonts w:cs="David" w:hint="cs"/>
          <w:sz w:val="24"/>
          <w:szCs w:val="24"/>
          <w:rtl/>
        </w:rPr>
        <w:t xml:space="preserve">, במסגרת שני מהלכי התיקוף, </w:t>
      </w:r>
      <w:r w:rsidRPr="00F25744">
        <w:rPr>
          <w:rFonts w:cs="David"/>
          <w:sz w:val="24"/>
          <w:szCs w:val="24"/>
          <w:rtl/>
        </w:rPr>
        <w:t xml:space="preserve">שופטים רבים שאליהם </w:t>
      </w:r>
      <w:r w:rsidRPr="00F25744">
        <w:rPr>
          <w:rFonts w:cs="David" w:hint="cs"/>
          <w:sz w:val="24"/>
          <w:szCs w:val="24"/>
          <w:rtl/>
        </w:rPr>
        <w:t>פנינו</w:t>
      </w:r>
      <w:r w:rsidRPr="00F25744">
        <w:rPr>
          <w:rFonts w:cs="David"/>
          <w:sz w:val="24"/>
          <w:szCs w:val="24"/>
          <w:rtl/>
        </w:rPr>
        <w:t xml:space="preserve"> השיבו כי הם מתקשים מאד לתת הערכה כלשהי של זמני הטיפול בתיקים, כמו גם לערוך השוואות</w:t>
      </w:r>
      <w:r w:rsidRPr="00F25744">
        <w:rPr>
          <w:rFonts w:cs="David" w:hint="cs"/>
          <w:sz w:val="24"/>
          <w:szCs w:val="24"/>
          <w:rtl/>
        </w:rPr>
        <w:t xml:space="preserve"> או </w:t>
      </w:r>
      <w:r w:rsidRPr="00F25744">
        <w:rPr>
          <w:rFonts w:cs="David"/>
          <w:sz w:val="24"/>
          <w:szCs w:val="24"/>
          <w:rtl/>
        </w:rPr>
        <w:t xml:space="preserve">הקבלות מבחינת זמני הטיפול </w:t>
      </w:r>
      <w:r w:rsidRPr="00F25744">
        <w:rPr>
          <w:rFonts w:cs="David" w:hint="cs"/>
          <w:sz w:val="24"/>
          <w:szCs w:val="24"/>
          <w:rtl/>
        </w:rPr>
        <w:t xml:space="preserve">בתיק מסוים </w:t>
      </w:r>
      <w:r w:rsidRPr="00F25744">
        <w:rPr>
          <w:rFonts w:cs="David"/>
          <w:sz w:val="24"/>
          <w:szCs w:val="24"/>
          <w:rtl/>
        </w:rPr>
        <w:t xml:space="preserve">לעומת תיקים אחרים, ואף התקשו להעריך את זמני הטיפול באירועים השונים בתיקים. חלק מהשופטים שאליהם פנינו, לא </w:t>
      </w:r>
      <w:r w:rsidRPr="00F25744">
        <w:rPr>
          <w:rFonts w:cs="David" w:hint="cs"/>
          <w:sz w:val="24"/>
          <w:szCs w:val="24"/>
          <w:rtl/>
        </w:rPr>
        <w:t xml:space="preserve">הצליחו להעריך את זמני התיקים כלל, </w:t>
      </w:r>
      <w:r w:rsidRPr="00F25744">
        <w:rPr>
          <w:rFonts w:cs="David"/>
          <w:sz w:val="24"/>
          <w:szCs w:val="24"/>
          <w:rtl/>
        </w:rPr>
        <w:t xml:space="preserve">וכחמישה עשר שופטים השיבו תחת </w:t>
      </w:r>
      <w:r w:rsidR="00C968C1">
        <w:rPr>
          <w:rFonts w:cs="David" w:hint="cs"/>
          <w:sz w:val="24"/>
          <w:szCs w:val="24"/>
          <w:rtl/>
        </w:rPr>
        <w:t>הסתייגות</w:t>
      </w:r>
      <w:r w:rsidRPr="00F25744">
        <w:rPr>
          <w:rFonts w:cs="David"/>
          <w:sz w:val="24"/>
          <w:szCs w:val="24"/>
          <w:rtl/>
        </w:rPr>
        <w:t xml:space="preserve">, למרות שהבהירו כי הם מתקשים במתן הערכה, ונימקו מדוע ההערכה קשה ואינה משקפת באמת את המציאות. </w:t>
      </w:r>
      <w:r w:rsidRPr="00F25744">
        <w:rPr>
          <w:rFonts w:cs="David" w:hint="cs"/>
          <w:sz w:val="24"/>
          <w:szCs w:val="24"/>
          <w:rtl/>
        </w:rPr>
        <w:t xml:space="preserve">למעשה, גם בקרב </w:t>
      </w:r>
      <w:r w:rsidRPr="00F25744">
        <w:rPr>
          <w:rFonts w:cs="David"/>
          <w:sz w:val="24"/>
          <w:szCs w:val="24"/>
          <w:rtl/>
        </w:rPr>
        <w:t xml:space="preserve">השופטים שלא </w:t>
      </w:r>
      <w:r w:rsidRPr="00F25744">
        <w:rPr>
          <w:rFonts w:cs="David" w:hint="cs"/>
          <w:sz w:val="24"/>
          <w:szCs w:val="24"/>
          <w:rtl/>
        </w:rPr>
        <w:t xml:space="preserve">התייחסו לקושי בהערכת הזמנים </w:t>
      </w:r>
      <w:r w:rsidRPr="00F25744">
        <w:rPr>
          <w:rFonts w:cs="David"/>
          <w:sz w:val="24"/>
          <w:szCs w:val="24"/>
          <w:rtl/>
        </w:rPr>
        <w:t xml:space="preserve">ניתן היה לראות תשובות כלליות כמו "שני ימי דיונים", או "שבוע עבודה", או "שעה – שעתיים" וכו'. הסיבה העיקרית </w:t>
      </w:r>
      <w:r w:rsidRPr="00F25744">
        <w:rPr>
          <w:rFonts w:cs="David" w:hint="cs"/>
          <w:sz w:val="24"/>
          <w:szCs w:val="24"/>
          <w:rtl/>
        </w:rPr>
        <w:t xml:space="preserve">שהועלתה </w:t>
      </w:r>
      <w:r w:rsidRPr="00F25744">
        <w:rPr>
          <w:rFonts w:cs="David"/>
          <w:sz w:val="24"/>
          <w:szCs w:val="24"/>
          <w:rtl/>
        </w:rPr>
        <w:t xml:space="preserve">לקושי בהערכה הייתה השונות הרבה בין התיקים מכל סוג, שהרי בכל סוג תיק </w:t>
      </w:r>
      <w:r w:rsidRPr="00F25744">
        <w:rPr>
          <w:rFonts w:cs="David" w:hint="cs"/>
          <w:sz w:val="24"/>
          <w:szCs w:val="24"/>
          <w:rtl/>
        </w:rPr>
        <w:t xml:space="preserve">וסוג עניין </w:t>
      </w:r>
      <w:r w:rsidRPr="00F25744">
        <w:rPr>
          <w:rFonts w:cs="David"/>
          <w:sz w:val="24"/>
          <w:szCs w:val="24"/>
          <w:rtl/>
        </w:rPr>
        <w:t>ישנם תיקים כבדים ומורכבים</w:t>
      </w:r>
      <w:r w:rsidRPr="00F25744">
        <w:rPr>
          <w:rFonts w:cs="David" w:hint="cs"/>
          <w:sz w:val="24"/>
          <w:szCs w:val="24"/>
          <w:rtl/>
        </w:rPr>
        <w:t xml:space="preserve"> כמו גם</w:t>
      </w:r>
      <w:r w:rsidRPr="00F25744">
        <w:rPr>
          <w:rFonts w:cs="David"/>
          <w:sz w:val="24"/>
          <w:szCs w:val="24"/>
          <w:rtl/>
        </w:rPr>
        <w:t xml:space="preserve"> תיקים פשוטים וקלים</w:t>
      </w:r>
      <w:r w:rsidRPr="00F25744">
        <w:rPr>
          <w:rFonts w:cs="David" w:hint="cs"/>
          <w:sz w:val="24"/>
          <w:szCs w:val="24"/>
          <w:rtl/>
        </w:rPr>
        <w:t>;</w:t>
      </w:r>
      <w:r w:rsidRPr="00F25744">
        <w:rPr>
          <w:rFonts w:cs="David"/>
          <w:sz w:val="24"/>
          <w:szCs w:val="24"/>
          <w:rtl/>
        </w:rPr>
        <w:t xml:space="preserve"> יש תיקים שמתנהלים לכל אורכם, לרבות ישיבות הוכחות, סיכומים וכתיבת פסקי דין ארוכים, וישנם תיקים אשר מסתיימים בפשרות בשלבים השונים של ניהול התיק</w:t>
      </w:r>
      <w:r w:rsidRPr="00F25744">
        <w:rPr>
          <w:rFonts w:cs="David" w:hint="cs"/>
          <w:sz w:val="24"/>
          <w:szCs w:val="24"/>
          <w:rtl/>
        </w:rPr>
        <w:t>, או מחוסר מעש, העדר הגנה או סיבות טכניות שונות</w:t>
      </w:r>
      <w:r w:rsidRPr="00F25744">
        <w:rPr>
          <w:rFonts w:cs="David"/>
          <w:sz w:val="24"/>
          <w:szCs w:val="24"/>
          <w:rtl/>
        </w:rPr>
        <w:t xml:space="preserve">. </w:t>
      </w:r>
    </w:p>
    <w:p w14:paraId="7A3AACBC" w14:textId="77777777" w:rsidR="00900756" w:rsidRPr="00F25744" w:rsidRDefault="00900756" w:rsidP="00900756">
      <w:pPr>
        <w:spacing w:before="120" w:after="0" w:line="360" w:lineRule="auto"/>
        <w:jc w:val="both"/>
        <w:rPr>
          <w:rFonts w:cs="David"/>
          <w:sz w:val="24"/>
          <w:szCs w:val="24"/>
          <w:rtl/>
        </w:rPr>
      </w:pPr>
      <w:r w:rsidRPr="00F25744">
        <w:rPr>
          <w:rFonts w:cs="David"/>
          <w:sz w:val="24"/>
          <w:szCs w:val="24"/>
          <w:rtl/>
        </w:rPr>
        <w:t xml:space="preserve">תשובות אלו של השופטים לגבי הקושי בהערכה </w:t>
      </w:r>
      <w:r w:rsidRPr="00F25744">
        <w:rPr>
          <w:rFonts w:cs="David" w:hint="cs"/>
          <w:sz w:val="24"/>
          <w:szCs w:val="24"/>
          <w:rtl/>
        </w:rPr>
        <w:t xml:space="preserve">איששו את עמדתנו </w:t>
      </w:r>
      <w:r w:rsidRPr="00F25744">
        <w:rPr>
          <w:rFonts w:cs="David"/>
          <w:sz w:val="24"/>
          <w:szCs w:val="24"/>
          <w:rtl/>
        </w:rPr>
        <w:t>בנדון, ו</w:t>
      </w:r>
      <w:r w:rsidRPr="00F25744">
        <w:rPr>
          <w:rFonts w:cs="David" w:hint="cs"/>
          <w:sz w:val="24"/>
          <w:szCs w:val="24"/>
          <w:rtl/>
        </w:rPr>
        <w:t xml:space="preserve">אישרו ותיקפו </w:t>
      </w:r>
      <w:r w:rsidRPr="00F25744">
        <w:rPr>
          <w:rFonts w:cs="David"/>
          <w:sz w:val="24"/>
          <w:szCs w:val="24"/>
          <w:rtl/>
        </w:rPr>
        <w:t xml:space="preserve">את המהלך המחקרי של מדידת זמני הטיפול בתיקים בפועל ובזמן אמת, </w:t>
      </w:r>
      <w:r w:rsidRPr="00F25744">
        <w:rPr>
          <w:rFonts w:cs="David" w:hint="cs"/>
          <w:sz w:val="24"/>
          <w:szCs w:val="24"/>
          <w:rtl/>
        </w:rPr>
        <w:t>שבוצע</w:t>
      </w:r>
      <w:r w:rsidRPr="00F25744">
        <w:rPr>
          <w:rFonts w:cs="David"/>
          <w:sz w:val="24"/>
          <w:szCs w:val="24"/>
          <w:rtl/>
        </w:rPr>
        <w:t xml:space="preserve"> </w:t>
      </w:r>
      <w:r w:rsidRPr="00F25744">
        <w:rPr>
          <w:rFonts w:cs="David" w:hint="cs"/>
          <w:sz w:val="24"/>
          <w:szCs w:val="24"/>
          <w:rtl/>
        </w:rPr>
        <w:t>ב</w:t>
      </w:r>
      <w:r w:rsidRPr="00F25744">
        <w:rPr>
          <w:rFonts w:cs="David"/>
          <w:sz w:val="24"/>
          <w:szCs w:val="24"/>
          <w:rtl/>
        </w:rPr>
        <w:t xml:space="preserve">מחקר הנוכחי, לעומת הערכת </w:t>
      </w:r>
      <w:r w:rsidRPr="00F25744">
        <w:rPr>
          <w:rFonts w:cs="David"/>
          <w:sz w:val="24"/>
          <w:szCs w:val="24"/>
          <w:rtl/>
        </w:rPr>
        <w:lastRenderedPageBreak/>
        <w:t xml:space="preserve">זמני הטיפול בתיקים שנעשתה במחקר הקודם. </w:t>
      </w:r>
      <w:r w:rsidRPr="00F25744">
        <w:rPr>
          <w:rFonts w:cs="David" w:hint="cs"/>
          <w:sz w:val="24"/>
          <w:szCs w:val="24"/>
          <w:rtl/>
        </w:rPr>
        <w:t>מעבר לזאת, קשיי הערכה אלו של השופטים מהווים כשלעצמם מענה לתהיות המבוססות על תחושות והערכות של השופטים והנשיאים לגבי הזמנים שנמדדו בפועל במהלך המחקר.</w:t>
      </w:r>
    </w:p>
    <w:p w14:paraId="4B628FD2" w14:textId="3221BBDC" w:rsidR="007C7D3E" w:rsidRPr="00F25744" w:rsidRDefault="004918BE" w:rsidP="00610FFB">
      <w:pPr>
        <w:spacing w:before="120" w:after="0" w:line="360" w:lineRule="auto"/>
        <w:jc w:val="both"/>
        <w:rPr>
          <w:rFonts w:cs="David"/>
          <w:sz w:val="24"/>
          <w:szCs w:val="24"/>
          <w:rtl/>
        </w:rPr>
      </w:pPr>
      <w:r w:rsidRPr="00F25744">
        <w:rPr>
          <w:rFonts w:cs="David" w:hint="cs"/>
          <w:b/>
          <w:bCs/>
          <w:sz w:val="24"/>
          <w:szCs w:val="24"/>
          <w:rtl/>
        </w:rPr>
        <w:t>השלישית</w:t>
      </w:r>
      <w:r w:rsidRPr="00F25744">
        <w:rPr>
          <w:rFonts w:cs="David" w:hint="cs"/>
          <w:sz w:val="24"/>
          <w:szCs w:val="24"/>
          <w:rtl/>
        </w:rPr>
        <w:t xml:space="preserve">, אשר קשורה בקשר הדוק למסקנה השנייה לגבי קשיי ההערכה, </w:t>
      </w:r>
      <w:r w:rsidR="007C7D3E" w:rsidRPr="00F25744">
        <w:rPr>
          <w:rFonts w:cs="David"/>
          <w:sz w:val="24"/>
          <w:szCs w:val="24"/>
          <w:rtl/>
        </w:rPr>
        <w:t xml:space="preserve">היא השונות הרבה בין </w:t>
      </w:r>
      <w:r w:rsidR="00096D94" w:rsidRPr="00F25744">
        <w:rPr>
          <w:rFonts w:cs="David" w:hint="cs"/>
          <w:sz w:val="24"/>
          <w:szCs w:val="24"/>
          <w:rtl/>
        </w:rPr>
        <w:t>ה</w:t>
      </w:r>
      <w:r w:rsidR="007C7D3E" w:rsidRPr="00F25744">
        <w:rPr>
          <w:rFonts w:cs="David"/>
          <w:sz w:val="24"/>
          <w:szCs w:val="24"/>
          <w:rtl/>
        </w:rPr>
        <w:t>תשובות</w:t>
      </w:r>
      <w:r w:rsidR="00096D94" w:rsidRPr="00F25744">
        <w:rPr>
          <w:rFonts w:cs="David" w:hint="cs"/>
          <w:sz w:val="24"/>
          <w:szCs w:val="24"/>
          <w:rtl/>
        </w:rPr>
        <w:t xml:space="preserve"> שקיבלנו מהשופטים </w:t>
      </w:r>
      <w:r w:rsidR="00592A79" w:rsidRPr="00F25744">
        <w:rPr>
          <w:rFonts w:cs="David" w:hint="cs"/>
          <w:sz w:val="24"/>
          <w:szCs w:val="24"/>
          <w:rtl/>
        </w:rPr>
        <w:t>על שאלות זהות</w:t>
      </w:r>
      <w:r w:rsidR="007C7D3E" w:rsidRPr="00F25744">
        <w:rPr>
          <w:rFonts w:cs="David"/>
          <w:sz w:val="24"/>
          <w:szCs w:val="24"/>
          <w:rtl/>
        </w:rPr>
        <w:t xml:space="preserve">. </w:t>
      </w:r>
      <w:r w:rsidR="007C7D3E" w:rsidRPr="00F25744">
        <w:rPr>
          <w:rFonts w:cs="David" w:hint="cs"/>
          <w:sz w:val="24"/>
          <w:szCs w:val="24"/>
          <w:rtl/>
        </w:rPr>
        <w:t>מהשיחות עם השופטים הוברר לנו כי חלוקת התיקים אינה תמיד רנדומלית, כך שישנם שופטים שאליהם מנותבים למשל התיקים הכבדים יותר מהסוג שבו הם מטפלים, או רק סוג</w:t>
      </w:r>
      <w:r w:rsidR="0020157F" w:rsidRPr="00F25744">
        <w:rPr>
          <w:rFonts w:cs="David" w:hint="cs"/>
          <w:sz w:val="24"/>
          <w:szCs w:val="24"/>
          <w:rtl/>
        </w:rPr>
        <w:t xml:space="preserve"> מסוים של תיקים, </w:t>
      </w:r>
      <w:r w:rsidR="007C7D3E" w:rsidRPr="00F25744">
        <w:rPr>
          <w:rFonts w:cs="David" w:hint="cs"/>
          <w:sz w:val="24"/>
          <w:szCs w:val="24"/>
          <w:rtl/>
        </w:rPr>
        <w:t>ועל כן הער</w:t>
      </w:r>
      <w:r w:rsidR="00912013" w:rsidRPr="00F25744">
        <w:rPr>
          <w:rFonts w:cs="David" w:hint="cs"/>
          <w:sz w:val="24"/>
          <w:szCs w:val="24"/>
          <w:rtl/>
        </w:rPr>
        <w:t>כ</w:t>
      </w:r>
      <w:r w:rsidR="007C7D3E" w:rsidRPr="00F25744">
        <w:rPr>
          <w:rFonts w:cs="David" w:hint="cs"/>
          <w:sz w:val="24"/>
          <w:szCs w:val="24"/>
          <w:rtl/>
        </w:rPr>
        <w:t>ותיהם של אותם שופטים עשויות לייצג רק את התיקים שבטיפולם ולא את הממוצע לאותו סוג תיק.</w:t>
      </w:r>
      <w:r w:rsidR="007C7D3E" w:rsidRPr="00F25744">
        <w:rPr>
          <w:rFonts w:cs="David"/>
          <w:sz w:val="24"/>
          <w:szCs w:val="24"/>
          <w:rtl/>
        </w:rPr>
        <w:t xml:space="preserve"> </w:t>
      </w:r>
      <w:r w:rsidR="00592A79" w:rsidRPr="00F25744">
        <w:rPr>
          <w:rFonts w:cs="David" w:hint="cs"/>
          <w:sz w:val="24"/>
          <w:szCs w:val="24"/>
          <w:rtl/>
        </w:rPr>
        <w:t xml:space="preserve">על האמור יש להוסיף את ההבדלים במגוון ובמורכבות התיקים המוגשים למחוזות השונים, ואת ההבדלים בנהלי ובשיטות העבודה בין מחוז למחוז, בין בית משפט לבית משפט ואפילו בין שופט לשופט. </w:t>
      </w:r>
      <w:r w:rsidR="00A5524D" w:rsidRPr="00F25744">
        <w:rPr>
          <w:rFonts w:cs="David" w:hint="cs"/>
          <w:sz w:val="24"/>
          <w:szCs w:val="24"/>
          <w:rtl/>
        </w:rPr>
        <w:t xml:space="preserve">כל אלו ועוד עשויות להיות סיבות טובות להערכות השונות זו מזו שקיבלנו מהשופטים לגבי אותו סוג תיק. </w:t>
      </w:r>
      <w:r w:rsidR="007C7D3E" w:rsidRPr="00F25744">
        <w:rPr>
          <w:rFonts w:cs="David"/>
          <w:sz w:val="24"/>
          <w:szCs w:val="24"/>
          <w:rtl/>
        </w:rPr>
        <w:t>במצב כזה, ברורה העדיפות של מחקר זמנים על פני מחקר הערכה, וכן ברור מדוע לא ניתן באמת לתקף את זמני הטיפול בתיקים</w:t>
      </w:r>
      <w:r w:rsidR="007C7D3E" w:rsidRPr="00F25744">
        <w:rPr>
          <w:rFonts w:cs="David" w:hint="cs"/>
          <w:sz w:val="24"/>
          <w:szCs w:val="24"/>
          <w:rtl/>
        </w:rPr>
        <w:t>,</w:t>
      </w:r>
      <w:r w:rsidR="007C7D3E" w:rsidRPr="00F25744">
        <w:rPr>
          <w:rFonts w:cs="David"/>
          <w:sz w:val="24"/>
          <w:szCs w:val="24"/>
          <w:rtl/>
        </w:rPr>
        <w:t xml:space="preserve"> כאשר </w:t>
      </w:r>
      <w:r w:rsidR="007905D0" w:rsidRPr="00F25744">
        <w:rPr>
          <w:rFonts w:cs="David" w:hint="cs"/>
          <w:sz w:val="24"/>
          <w:szCs w:val="24"/>
          <w:rtl/>
        </w:rPr>
        <w:t>הערכות השופטים אינן אחידות</w:t>
      </w:r>
      <w:r w:rsidR="007C7D3E" w:rsidRPr="00F25744">
        <w:rPr>
          <w:rFonts w:cs="David"/>
          <w:sz w:val="24"/>
          <w:szCs w:val="24"/>
          <w:rtl/>
        </w:rPr>
        <w:t xml:space="preserve">.  </w:t>
      </w:r>
    </w:p>
    <w:p w14:paraId="34A05593" w14:textId="77777777" w:rsidR="00C83F54" w:rsidRPr="00F25744" w:rsidRDefault="007C7D3E" w:rsidP="00C83F54">
      <w:pPr>
        <w:spacing w:before="120" w:after="0" w:line="360" w:lineRule="auto"/>
        <w:jc w:val="both"/>
        <w:rPr>
          <w:rFonts w:cs="David"/>
          <w:sz w:val="24"/>
          <w:szCs w:val="24"/>
          <w:rtl/>
        </w:rPr>
      </w:pPr>
      <w:r w:rsidRPr="00F25744">
        <w:rPr>
          <w:rFonts w:cs="David"/>
          <w:sz w:val="24"/>
          <w:szCs w:val="24"/>
          <w:rtl/>
        </w:rPr>
        <w:t>השונות הרבה בין תשובות השופטים מדגימה כשלעצמה את הקושי המובן של השופטים להעריך את זמני הטיפול בתיקים באופן כללי, כמו גם את זמני הפעולות השיפוטיות השונות בתיק. השונות הרבה והקושי בהערכה עשויים לנבוע גם מסדרי ונהלי העבודה המונהגים בכל בימ"ש, ממידת יעילות העבודה של כל שופט, מרמת ה</w:t>
      </w:r>
      <w:r w:rsidRPr="00F25744">
        <w:rPr>
          <w:rFonts w:cs="David" w:hint="cs"/>
          <w:sz w:val="24"/>
          <w:szCs w:val="24"/>
          <w:rtl/>
        </w:rPr>
        <w:t>ה</w:t>
      </w:r>
      <w:r w:rsidRPr="00F25744">
        <w:rPr>
          <w:rFonts w:cs="David"/>
          <w:sz w:val="24"/>
          <w:szCs w:val="24"/>
          <w:rtl/>
        </w:rPr>
        <w:t>תמקצעות של כל שופט בסוג התיק הספציפי (</w:t>
      </w:r>
      <w:r w:rsidR="00912013" w:rsidRPr="00F25744">
        <w:rPr>
          <w:rFonts w:cs="David" w:hint="cs"/>
          <w:sz w:val="24"/>
          <w:szCs w:val="24"/>
          <w:rtl/>
        </w:rPr>
        <w:t>ההנחה היא</w:t>
      </w:r>
      <w:r w:rsidRPr="00F25744">
        <w:rPr>
          <w:rFonts w:cs="David"/>
          <w:sz w:val="24"/>
          <w:szCs w:val="24"/>
          <w:rtl/>
        </w:rPr>
        <w:t xml:space="preserve"> כי התמקצעות בטיפול בסוג תיק מסוים משמעה הפחתה בזמני הטיפול), </w:t>
      </w:r>
      <w:r w:rsidR="00C83F54" w:rsidRPr="00F25744">
        <w:rPr>
          <w:rFonts w:cs="David" w:hint="cs"/>
          <w:sz w:val="24"/>
          <w:szCs w:val="24"/>
          <w:rtl/>
        </w:rPr>
        <w:t xml:space="preserve">מכמויות ותמהיל התיקים המוגשים לכל בית משפט או מצויים בטיפולו של כל שופט ושופט, ועוד. </w:t>
      </w:r>
    </w:p>
    <w:p w14:paraId="6572DA13" w14:textId="0CF1D5B6" w:rsidR="00834D1A" w:rsidRPr="00F25744" w:rsidRDefault="00546141" w:rsidP="00C83F54">
      <w:pPr>
        <w:spacing w:before="120" w:after="0" w:line="360" w:lineRule="auto"/>
        <w:jc w:val="both"/>
        <w:rPr>
          <w:rFonts w:cs="David"/>
          <w:sz w:val="24"/>
          <w:szCs w:val="24"/>
        </w:rPr>
      </w:pPr>
      <w:r w:rsidRPr="00F25744">
        <w:rPr>
          <w:rFonts w:cs="David" w:hint="cs"/>
          <w:sz w:val="24"/>
          <w:szCs w:val="24"/>
          <w:rtl/>
        </w:rPr>
        <w:t xml:space="preserve">מבלי לגרוע מהאמור, </w:t>
      </w:r>
      <w:r w:rsidR="00834D1A" w:rsidRPr="00F25744">
        <w:rPr>
          <w:rFonts w:cs="David" w:hint="cs"/>
          <w:sz w:val="24"/>
          <w:szCs w:val="24"/>
          <w:rtl/>
        </w:rPr>
        <w:t>נסביר כי</w:t>
      </w:r>
      <w:r w:rsidRPr="00F25744">
        <w:rPr>
          <w:rFonts w:cs="David" w:hint="cs"/>
          <w:sz w:val="24"/>
          <w:szCs w:val="24"/>
          <w:rtl/>
        </w:rPr>
        <w:t xml:space="preserve"> </w:t>
      </w:r>
      <w:r w:rsidR="00834D1A" w:rsidRPr="00F25744">
        <w:rPr>
          <w:rFonts w:cs="David" w:hint="cs"/>
          <w:sz w:val="24"/>
          <w:szCs w:val="24"/>
          <w:rtl/>
        </w:rPr>
        <w:t xml:space="preserve">חרף קשיי ההערכה והשונות הרבה בהערכות השופטים, בהסתכלות על כלל ההערכות שניתנו, המהלך המחקרי הנוסף אכן תיקף את ממצאי המחקר, במובן זה שבמקרים מסוימים חלק מההערכות היו קרובות לממצאי המחקר, או שמיצוע ההערכות היה קרוב לממצאי המחקר, או שהכנסת הנתונים שעלו מתשובות השופטים לנוסחת החישוב של זמני הטיפול בתיקים הניבה תוצאות דומות וכיו"ב. </w:t>
      </w:r>
    </w:p>
    <w:p w14:paraId="5551404E" w14:textId="77777777" w:rsidR="005C414E" w:rsidRPr="00F25744" w:rsidRDefault="005C414E" w:rsidP="005C414E">
      <w:pPr>
        <w:spacing w:before="120" w:after="0" w:line="360" w:lineRule="auto"/>
        <w:jc w:val="both"/>
        <w:rPr>
          <w:rFonts w:cs="David"/>
          <w:sz w:val="24"/>
          <w:szCs w:val="24"/>
          <w:rtl/>
        </w:rPr>
      </w:pPr>
      <w:r w:rsidRPr="00F25744">
        <w:rPr>
          <w:rFonts w:cs="David" w:hint="cs"/>
          <w:b/>
          <w:bCs/>
          <w:sz w:val="24"/>
          <w:szCs w:val="24"/>
          <w:rtl/>
        </w:rPr>
        <w:t>הרביעית</w:t>
      </w:r>
      <w:r w:rsidRPr="00F25744">
        <w:rPr>
          <w:rFonts w:cs="David" w:hint="cs"/>
          <w:sz w:val="24"/>
          <w:szCs w:val="24"/>
          <w:rtl/>
        </w:rPr>
        <w:t xml:space="preserve">, מתשובות השופטים לשאלונים עלתה ההבחנה כי הקושי המובנה והמובן בהערכת זמני הטיפול בתיקים מתעצם כאשר נדרשת הערכת זמני הטיפול </w:t>
      </w:r>
      <w:r w:rsidRPr="00F25744">
        <w:rPr>
          <w:rFonts w:cs="David"/>
          <w:sz w:val="24"/>
          <w:szCs w:val="24"/>
          <w:rtl/>
        </w:rPr>
        <w:t xml:space="preserve">בתיק </w:t>
      </w:r>
      <w:r w:rsidRPr="00F25744">
        <w:rPr>
          <w:rFonts w:cs="David" w:hint="cs"/>
          <w:sz w:val="24"/>
          <w:szCs w:val="24"/>
          <w:rtl/>
        </w:rPr>
        <w:t>המתנהל על פני שנים. זאת</w:t>
      </w:r>
      <w:r w:rsidRPr="00F25744">
        <w:rPr>
          <w:rFonts w:cs="David"/>
          <w:sz w:val="24"/>
          <w:szCs w:val="24"/>
          <w:rtl/>
        </w:rPr>
        <w:t xml:space="preserve">, </w:t>
      </w:r>
      <w:r w:rsidRPr="00F25744">
        <w:rPr>
          <w:rFonts w:cs="David" w:hint="cs"/>
          <w:sz w:val="24"/>
          <w:szCs w:val="24"/>
          <w:rtl/>
        </w:rPr>
        <w:t xml:space="preserve">בעיקר בתיקים מערכאת </w:t>
      </w:r>
      <w:r w:rsidRPr="00F25744">
        <w:rPr>
          <w:rFonts w:cs="David"/>
          <w:sz w:val="24"/>
          <w:szCs w:val="24"/>
          <w:rtl/>
        </w:rPr>
        <w:t xml:space="preserve">המחוזי, </w:t>
      </w:r>
      <w:r w:rsidRPr="00F25744">
        <w:rPr>
          <w:rFonts w:cs="David" w:hint="cs"/>
          <w:sz w:val="24"/>
          <w:szCs w:val="24"/>
          <w:rtl/>
        </w:rPr>
        <w:t xml:space="preserve">אך לא רק, </w:t>
      </w:r>
      <w:r w:rsidRPr="00F25744">
        <w:rPr>
          <w:rFonts w:cs="David"/>
          <w:sz w:val="24"/>
          <w:szCs w:val="24"/>
          <w:rtl/>
        </w:rPr>
        <w:t xml:space="preserve">אשר </w:t>
      </w:r>
      <w:r w:rsidRPr="00F25744">
        <w:rPr>
          <w:rFonts w:cs="David" w:hint="cs"/>
          <w:sz w:val="24"/>
          <w:szCs w:val="24"/>
          <w:rtl/>
        </w:rPr>
        <w:t xml:space="preserve">מתנהלים בחלקים </w:t>
      </w:r>
      <w:r w:rsidRPr="00F25744">
        <w:rPr>
          <w:rFonts w:cs="David"/>
          <w:sz w:val="24"/>
          <w:szCs w:val="24"/>
          <w:rtl/>
        </w:rPr>
        <w:t>שנים ארוכות</w:t>
      </w:r>
      <w:r w:rsidRPr="00F25744">
        <w:rPr>
          <w:rFonts w:cs="David" w:hint="cs"/>
          <w:sz w:val="24"/>
          <w:szCs w:val="24"/>
          <w:rtl/>
        </w:rPr>
        <w:t>.</w:t>
      </w:r>
    </w:p>
    <w:p w14:paraId="291CC78E" w14:textId="77777777" w:rsidR="005C414E" w:rsidRPr="00F25744" w:rsidRDefault="005C414E" w:rsidP="005C414E">
      <w:pPr>
        <w:spacing w:before="120" w:after="0" w:line="360" w:lineRule="auto"/>
        <w:jc w:val="both"/>
        <w:rPr>
          <w:rFonts w:cs="David"/>
          <w:sz w:val="24"/>
          <w:szCs w:val="24"/>
          <w:rtl/>
        </w:rPr>
      </w:pPr>
      <w:r w:rsidRPr="00F25744">
        <w:rPr>
          <w:rFonts w:cs="David" w:hint="cs"/>
          <w:b/>
          <w:bCs/>
          <w:sz w:val="24"/>
          <w:szCs w:val="24"/>
          <w:rtl/>
        </w:rPr>
        <w:t>החמישית</w:t>
      </w:r>
      <w:r w:rsidRPr="00F25744">
        <w:rPr>
          <w:rFonts w:cs="David" w:hint="cs"/>
          <w:sz w:val="24"/>
          <w:szCs w:val="24"/>
          <w:rtl/>
        </w:rPr>
        <w:t xml:space="preserve">, </w:t>
      </w:r>
      <w:r w:rsidRPr="00F25744">
        <w:rPr>
          <w:rFonts w:cs="David"/>
          <w:sz w:val="24"/>
          <w:szCs w:val="24"/>
          <w:rtl/>
        </w:rPr>
        <w:t>מתשובות השופטים לשאלונים</w:t>
      </w:r>
      <w:r w:rsidRPr="00F25744">
        <w:rPr>
          <w:rFonts w:cs="David" w:hint="cs"/>
          <w:sz w:val="24"/>
          <w:szCs w:val="24"/>
          <w:rtl/>
        </w:rPr>
        <w:t xml:space="preserve"> ומהשיחות עימם</w:t>
      </w:r>
      <w:r w:rsidRPr="00F25744">
        <w:rPr>
          <w:rFonts w:cs="David"/>
          <w:sz w:val="24"/>
          <w:szCs w:val="24"/>
          <w:rtl/>
        </w:rPr>
        <w:t xml:space="preserve"> </w:t>
      </w:r>
      <w:r w:rsidRPr="00F25744">
        <w:rPr>
          <w:rFonts w:cs="David" w:hint="cs"/>
          <w:sz w:val="24"/>
          <w:szCs w:val="24"/>
          <w:rtl/>
        </w:rPr>
        <w:t>עלתה באופן ברור הטיה קוגניטיבי</w:t>
      </w:r>
      <w:r w:rsidRPr="00F25744">
        <w:rPr>
          <w:rFonts w:cs="David" w:hint="eastAsia"/>
          <w:sz w:val="24"/>
          <w:szCs w:val="24"/>
          <w:rtl/>
        </w:rPr>
        <w:t>ת</w:t>
      </w:r>
      <w:r w:rsidRPr="00F25744">
        <w:rPr>
          <w:rFonts w:cs="David"/>
          <w:sz w:val="24"/>
          <w:szCs w:val="24"/>
          <w:rtl/>
        </w:rPr>
        <w:t>, שב</w:t>
      </w:r>
      <w:r w:rsidRPr="00F25744">
        <w:rPr>
          <w:rFonts w:cs="David" w:hint="cs"/>
          <w:sz w:val="24"/>
          <w:szCs w:val="24"/>
          <w:rtl/>
        </w:rPr>
        <w:t>עטיה</w:t>
      </w:r>
      <w:r w:rsidRPr="00F25744">
        <w:rPr>
          <w:rFonts w:cs="David"/>
          <w:sz w:val="24"/>
          <w:szCs w:val="24"/>
          <w:rtl/>
        </w:rPr>
        <w:t xml:space="preserve"> </w:t>
      </w:r>
      <w:r w:rsidRPr="00F25744">
        <w:rPr>
          <w:rFonts w:cs="David" w:hint="cs"/>
          <w:sz w:val="24"/>
          <w:szCs w:val="24"/>
          <w:rtl/>
        </w:rPr>
        <w:t xml:space="preserve">כאשר השופטים מתבקשים להעריך את זמני הטיפול בתיקים </w:t>
      </w:r>
      <w:r w:rsidRPr="00F25744">
        <w:rPr>
          <w:rFonts w:cs="David"/>
          <w:sz w:val="24"/>
          <w:szCs w:val="24"/>
          <w:rtl/>
        </w:rPr>
        <w:t xml:space="preserve">הם חושבים על התיקים המורכבים </w:t>
      </w:r>
      <w:r w:rsidRPr="00F25744">
        <w:rPr>
          <w:rFonts w:cs="David" w:hint="cs"/>
          <w:sz w:val="24"/>
          <w:szCs w:val="24"/>
          <w:rtl/>
        </w:rPr>
        <w:t>ב</w:t>
      </w:r>
      <w:r w:rsidRPr="00F25744">
        <w:rPr>
          <w:rFonts w:cs="David"/>
          <w:sz w:val="24"/>
          <w:szCs w:val="24"/>
          <w:rtl/>
        </w:rPr>
        <w:t>יותר שבהם טיפלו</w:t>
      </w:r>
      <w:r w:rsidRPr="00F25744">
        <w:rPr>
          <w:rFonts w:cs="David" w:hint="cs"/>
          <w:sz w:val="24"/>
          <w:szCs w:val="24"/>
          <w:rtl/>
        </w:rPr>
        <w:t>. כך, הנטייה היא להעריך את זמן הטיפול ביחס לתיקים ש</w:t>
      </w:r>
      <w:r w:rsidRPr="00F25744">
        <w:rPr>
          <w:rFonts w:cs="David"/>
          <w:sz w:val="24"/>
          <w:szCs w:val="24"/>
          <w:rtl/>
        </w:rPr>
        <w:t>כללו דיוני הוכחות ומתן פסק דין מנומק</w:t>
      </w:r>
      <w:r w:rsidRPr="00F25744">
        <w:rPr>
          <w:rFonts w:cs="David" w:hint="cs"/>
          <w:sz w:val="24"/>
          <w:szCs w:val="24"/>
          <w:rtl/>
        </w:rPr>
        <w:t>. לא אחת ההתייחסות היא גם לתיקים שבהם התעוררה שאלה משפטית מעניינת או סבוכה במיוחד. על כן, בהערכה כזו השופטים נוטים שלא לכלול את מרבית התיקים מכל הסוגים ובכל הערכאות, לרבות אלה ש</w:t>
      </w:r>
      <w:r w:rsidRPr="00F25744">
        <w:rPr>
          <w:rFonts w:cs="David"/>
          <w:sz w:val="24"/>
          <w:szCs w:val="24"/>
          <w:rtl/>
        </w:rPr>
        <w:t>מסתיימים בפשרות,</w:t>
      </w:r>
      <w:r w:rsidRPr="00F25744">
        <w:rPr>
          <w:rFonts w:cs="David" w:hint="cs"/>
          <w:sz w:val="24"/>
          <w:szCs w:val="24"/>
          <w:rtl/>
        </w:rPr>
        <w:t xml:space="preserve"> ומבלי שיתקיים </w:t>
      </w:r>
      <w:r w:rsidRPr="00F25744">
        <w:rPr>
          <w:rFonts w:cs="David"/>
          <w:sz w:val="24"/>
          <w:szCs w:val="24"/>
          <w:rtl/>
        </w:rPr>
        <w:t xml:space="preserve">דיון הוכחות </w:t>
      </w:r>
      <w:r w:rsidRPr="00F25744">
        <w:rPr>
          <w:rFonts w:cs="David" w:hint="cs"/>
          <w:sz w:val="24"/>
          <w:szCs w:val="24"/>
          <w:rtl/>
        </w:rPr>
        <w:t>או יינתן פסק דין מנומק או אף החלטה מורכבת. הטיה זו נשמרה גם כאשר הסבנו אליה את תשומת לב השופטים במפורש.</w:t>
      </w:r>
    </w:p>
    <w:p w14:paraId="5020568C" w14:textId="77777777" w:rsidR="005C414E" w:rsidRPr="00F25744" w:rsidRDefault="005C414E" w:rsidP="005C414E">
      <w:pPr>
        <w:spacing w:before="120" w:after="0" w:line="360" w:lineRule="auto"/>
        <w:jc w:val="both"/>
        <w:rPr>
          <w:rFonts w:cs="David"/>
          <w:b/>
          <w:bCs/>
          <w:sz w:val="24"/>
          <w:szCs w:val="24"/>
          <w:rtl/>
        </w:rPr>
      </w:pPr>
      <w:r w:rsidRPr="00F25744">
        <w:rPr>
          <w:rFonts w:cs="David" w:hint="cs"/>
          <w:b/>
          <w:bCs/>
          <w:sz w:val="24"/>
          <w:szCs w:val="24"/>
          <w:rtl/>
        </w:rPr>
        <w:lastRenderedPageBreak/>
        <w:t>כל האמור מדגיש ומחדד את חשיבותו הגדולה של מחקר זה, שנערך במתכונת של מדידת זמנים מדויקת בזמן אמת, לעומת מחקר המבוסס על הערכות השופטים בלבד.</w:t>
      </w:r>
    </w:p>
    <w:p w14:paraId="03A50909" w14:textId="7A0105A8" w:rsidR="005C414E" w:rsidRPr="00F25744" w:rsidRDefault="005C414E" w:rsidP="00FF0283">
      <w:pPr>
        <w:spacing w:before="120" w:after="0" w:line="360" w:lineRule="auto"/>
        <w:jc w:val="both"/>
        <w:rPr>
          <w:rFonts w:cs="David"/>
          <w:sz w:val="24"/>
          <w:szCs w:val="24"/>
          <w:rtl/>
        </w:rPr>
      </w:pPr>
      <w:r w:rsidRPr="00F25744">
        <w:rPr>
          <w:rFonts w:cs="David"/>
          <w:sz w:val="24"/>
          <w:szCs w:val="24"/>
          <w:rtl/>
        </w:rPr>
        <w:t>שופטים רבים אישרו, גם בשיחות הטלפוניות שערכנו עמם, כי הזמנים שנמדדו במחקר זה ביחס לחלק מסוגי התיקים שהוצגו להם מתארים באופן נכון ואמין הרבה יותר את הזמנים האמתיים המושקעים בטיפול בתיקים</w:t>
      </w:r>
      <w:r w:rsidRPr="00F25744">
        <w:rPr>
          <w:rFonts w:cs="David" w:hint="cs"/>
          <w:sz w:val="24"/>
          <w:szCs w:val="24"/>
          <w:rtl/>
        </w:rPr>
        <w:t xml:space="preserve">, ומתקנים קונספציות שגויות שהתקבעו ביחס לסוגי תיקים מסוימים, שנחשבו עד כה </w:t>
      </w:r>
      <w:r w:rsidR="00FF0283">
        <w:rPr>
          <w:rFonts w:cs="David" w:hint="cs"/>
          <w:sz w:val="24"/>
          <w:szCs w:val="24"/>
          <w:rtl/>
        </w:rPr>
        <w:t>לקלים או כבדים במיוחד, שלא בצדק</w:t>
      </w:r>
      <w:r w:rsidRPr="00F25744">
        <w:rPr>
          <w:rFonts w:cs="David"/>
          <w:sz w:val="24"/>
          <w:szCs w:val="24"/>
          <w:rtl/>
        </w:rPr>
        <w:t xml:space="preserve">. </w:t>
      </w:r>
    </w:p>
    <w:p w14:paraId="040E18EB" w14:textId="77777777" w:rsidR="009D0C91" w:rsidRPr="00F25744" w:rsidRDefault="009D0C91" w:rsidP="009247D3">
      <w:pPr>
        <w:spacing w:line="240" w:lineRule="auto"/>
        <w:jc w:val="both"/>
        <w:rPr>
          <w:rFonts w:cs="David"/>
          <w:sz w:val="24"/>
          <w:szCs w:val="24"/>
          <w:rtl/>
        </w:rPr>
      </w:pPr>
    </w:p>
    <w:p w14:paraId="2BDE924A" w14:textId="3AA3DAC3" w:rsidR="00C0120B" w:rsidRPr="00F25744" w:rsidRDefault="00A54D82" w:rsidP="00A54D82">
      <w:pPr>
        <w:pStyle w:val="4"/>
        <w:numPr>
          <w:ilvl w:val="3"/>
          <w:numId w:val="24"/>
        </w:numPr>
        <w:spacing w:line="240" w:lineRule="auto"/>
        <w:ind w:left="994"/>
        <w:rPr>
          <w:rtl/>
        </w:rPr>
      </w:pPr>
      <w:r>
        <w:rPr>
          <w:rFonts w:hint="cs"/>
          <w:rtl/>
        </w:rPr>
        <w:t xml:space="preserve"> </w:t>
      </w:r>
      <w:bookmarkStart w:id="378" w:name="_Toc74750984"/>
      <w:r w:rsidR="00C0120B" w:rsidRPr="00F25744">
        <w:rPr>
          <w:rFonts w:hint="cs"/>
          <w:rtl/>
        </w:rPr>
        <w:t>הצגת זמני הטיפול בתיקי ערכאת המחוזי</w:t>
      </w:r>
      <w:bookmarkEnd w:id="378"/>
    </w:p>
    <w:p w14:paraId="149EED16" w14:textId="77777777" w:rsidR="002500B8" w:rsidRPr="00F25744" w:rsidRDefault="002500B8" w:rsidP="00BD23BB">
      <w:pPr>
        <w:spacing w:after="0" w:line="240" w:lineRule="auto"/>
        <w:ind w:left="-425" w:firstLine="283"/>
        <w:jc w:val="both"/>
        <w:rPr>
          <w:rFonts w:cs="David"/>
          <w:noProof/>
          <w:sz w:val="24"/>
          <w:szCs w:val="24"/>
        </w:rPr>
      </w:pPr>
    </w:p>
    <w:p w14:paraId="2FFA346B" w14:textId="77777777" w:rsidR="00552432" w:rsidRPr="00F25744" w:rsidRDefault="00E25AE7" w:rsidP="00552432">
      <w:pPr>
        <w:spacing w:line="360" w:lineRule="auto"/>
        <w:jc w:val="both"/>
        <w:rPr>
          <w:rFonts w:cs="David"/>
          <w:sz w:val="24"/>
          <w:szCs w:val="24"/>
          <w:rtl/>
        </w:rPr>
      </w:pPr>
      <w:r w:rsidRPr="00F25744">
        <w:rPr>
          <w:rFonts w:cs="David" w:hint="cs"/>
          <w:sz w:val="24"/>
          <w:szCs w:val="24"/>
          <w:rtl/>
        </w:rPr>
        <w:t>הטבלה מציגה את סוגי התיקים בסדר יורד, מן התיק שדרוש לו הזמן השיפוטי הארוך ביותר ועד התיק שדרוש לו הזמן השיפוטי הקצר ביותר עבור השופט.</w:t>
      </w:r>
    </w:p>
    <w:p w14:paraId="2CB9B507" w14:textId="3E67E152" w:rsidR="00552432" w:rsidRPr="00F25744" w:rsidRDefault="00E25AE7" w:rsidP="00706796">
      <w:pPr>
        <w:pStyle w:val="af6"/>
        <w:rPr>
          <w:sz w:val="24"/>
          <w:rtl/>
        </w:rPr>
      </w:pPr>
      <w:bookmarkStart w:id="379" w:name="_Toc76988900"/>
      <w:r w:rsidRPr="00F25744">
        <w:rPr>
          <w:rtl/>
        </w:rPr>
        <w:t xml:space="preserve">טבלה </w:t>
      </w:r>
      <w:r w:rsidRPr="00F25744">
        <w:rPr>
          <w:sz w:val="24"/>
          <w:rtl/>
        </w:rPr>
        <w:fldChar w:fldCharType="begin"/>
      </w:r>
      <w:r w:rsidRPr="00F25744">
        <w:rPr>
          <w:sz w:val="24"/>
          <w:rtl/>
        </w:rPr>
        <w:instrText xml:space="preserve"> </w:instrText>
      </w:r>
      <w:r w:rsidRPr="00F25744">
        <w:rPr>
          <w:rFonts w:hint="cs"/>
          <w:sz w:val="24"/>
        </w:rPr>
        <w:instrText>SEQ</w:instrText>
      </w:r>
      <w:r w:rsidRPr="00F25744">
        <w:rPr>
          <w:rFonts w:hint="cs"/>
          <w:sz w:val="24"/>
          <w:rtl/>
        </w:rPr>
        <w:instrText xml:space="preserve"> טבלה \* </w:instrText>
      </w:r>
      <w:r w:rsidRPr="00F25744">
        <w:rPr>
          <w:rFonts w:hint="cs"/>
          <w:sz w:val="24"/>
        </w:rPr>
        <w:instrText>ARABIC</w:instrText>
      </w:r>
      <w:r w:rsidRPr="00F25744">
        <w:rPr>
          <w:sz w:val="24"/>
          <w:rtl/>
        </w:rPr>
        <w:instrText xml:space="preserve"> </w:instrText>
      </w:r>
      <w:r w:rsidRPr="00F25744">
        <w:rPr>
          <w:sz w:val="24"/>
          <w:rtl/>
        </w:rPr>
        <w:fldChar w:fldCharType="separate"/>
      </w:r>
      <w:r w:rsidR="008F1BC3">
        <w:rPr>
          <w:noProof/>
          <w:sz w:val="24"/>
          <w:rtl/>
        </w:rPr>
        <w:t>5</w:t>
      </w:r>
      <w:r w:rsidRPr="00F25744">
        <w:rPr>
          <w:sz w:val="24"/>
          <w:rtl/>
        </w:rPr>
        <w:fldChar w:fldCharType="end"/>
      </w:r>
      <w:r w:rsidR="007F3A52" w:rsidRPr="00F25744">
        <w:rPr>
          <w:rFonts w:hint="cs"/>
          <w:sz w:val="24"/>
          <w:rtl/>
        </w:rPr>
        <w:t xml:space="preserve">: </w:t>
      </w:r>
      <w:r w:rsidR="008D246F" w:rsidRPr="00F25744">
        <w:rPr>
          <w:rFonts w:ascii="David" w:hAnsi="David" w:hint="cs"/>
          <w:sz w:val="24"/>
          <w:rtl/>
        </w:rPr>
        <w:t>זמני הטיפול בתיקי ערכאת המחוזי</w:t>
      </w:r>
      <w:bookmarkEnd w:id="379"/>
    </w:p>
    <w:tbl>
      <w:tblPr>
        <w:tblpPr w:rightFromText="57" w:vertAnchor="text" w:tblpXSpec="right" w:tblpY="1"/>
        <w:bidiVisual/>
        <w:tblW w:w="9494" w:type="dxa"/>
        <w:tblLayout w:type="fixed"/>
        <w:tblLook w:val="04A0" w:firstRow="1" w:lastRow="0" w:firstColumn="1" w:lastColumn="0" w:noHBand="0" w:noVBand="1"/>
      </w:tblPr>
      <w:tblGrid>
        <w:gridCol w:w="849"/>
        <w:gridCol w:w="1136"/>
        <w:gridCol w:w="2408"/>
        <w:gridCol w:w="1417"/>
        <w:gridCol w:w="1418"/>
        <w:gridCol w:w="1417"/>
        <w:gridCol w:w="849"/>
      </w:tblGrid>
      <w:tr w:rsidR="00E0162E" w:rsidRPr="00B4065B" w14:paraId="4092B781" w14:textId="77777777" w:rsidTr="00FD5B64">
        <w:trPr>
          <w:trHeight w:val="665"/>
        </w:trPr>
        <w:tc>
          <w:tcPr>
            <w:tcW w:w="849" w:type="dxa"/>
            <w:tcBorders>
              <w:bottom w:val="single" w:sz="4" w:space="0" w:color="auto"/>
            </w:tcBorders>
            <w:shd w:val="clear" w:color="auto" w:fill="auto"/>
            <w:vAlign w:val="center"/>
            <w:hideMark/>
          </w:tcPr>
          <w:p w14:paraId="6B62A44F" w14:textId="77777777" w:rsidR="00A3163B" w:rsidRPr="00B4065B" w:rsidRDefault="00E25AE7" w:rsidP="00FD5B64">
            <w:pPr>
              <w:spacing w:after="0" w:line="240" w:lineRule="auto"/>
              <w:jc w:val="center"/>
              <w:rPr>
                <w:rFonts w:ascii="David" w:eastAsia="Times New Roman" w:hAnsi="David" w:cs="David"/>
                <w:b/>
                <w:bCs/>
                <w:color w:val="000000"/>
              </w:rPr>
            </w:pPr>
            <w:r w:rsidRPr="00B4065B">
              <w:rPr>
                <w:rFonts w:ascii="David" w:eastAsia="Times New Roman" w:hAnsi="David" w:cs="David"/>
                <w:b/>
                <w:bCs/>
                <w:color w:val="000000"/>
                <w:rtl/>
              </w:rPr>
              <w:t>ערכאה</w:t>
            </w:r>
          </w:p>
        </w:tc>
        <w:tc>
          <w:tcPr>
            <w:tcW w:w="1136" w:type="dxa"/>
            <w:tcBorders>
              <w:bottom w:val="single" w:sz="4" w:space="0" w:color="auto"/>
            </w:tcBorders>
            <w:shd w:val="clear" w:color="auto" w:fill="auto"/>
            <w:vAlign w:val="center"/>
            <w:hideMark/>
          </w:tcPr>
          <w:p w14:paraId="42465193" w14:textId="77777777" w:rsidR="00A3163B" w:rsidRPr="00B4065B" w:rsidRDefault="00E25AE7" w:rsidP="00FD5B64">
            <w:pPr>
              <w:spacing w:after="0" w:line="240" w:lineRule="auto"/>
              <w:jc w:val="center"/>
              <w:rPr>
                <w:rFonts w:ascii="David" w:eastAsia="Times New Roman" w:hAnsi="David" w:cs="David"/>
                <w:b/>
                <w:bCs/>
                <w:color w:val="000000"/>
                <w:rtl/>
              </w:rPr>
            </w:pPr>
            <w:r w:rsidRPr="00B4065B">
              <w:rPr>
                <w:rFonts w:ascii="David" w:eastAsia="Times New Roman" w:hAnsi="David" w:cs="David"/>
                <w:b/>
                <w:bCs/>
                <w:color w:val="000000"/>
                <w:rtl/>
              </w:rPr>
              <w:t>הליך</w:t>
            </w:r>
          </w:p>
        </w:tc>
        <w:tc>
          <w:tcPr>
            <w:tcW w:w="2408" w:type="dxa"/>
            <w:tcBorders>
              <w:bottom w:val="single" w:sz="4" w:space="0" w:color="auto"/>
            </w:tcBorders>
            <w:shd w:val="clear" w:color="auto" w:fill="auto"/>
            <w:vAlign w:val="center"/>
            <w:hideMark/>
          </w:tcPr>
          <w:p w14:paraId="1EB45D61" w14:textId="77777777" w:rsidR="00A3163B" w:rsidRPr="00B4065B" w:rsidRDefault="00E25AE7" w:rsidP="00FD5B64">
            <w:pPr>
              <w:spacing w:after="0" w:line="240" w:lineRule="auto"/>
              <w:jc w:val="center"/>
              <w:rPr>
                <w:rFonts w:ascii="David" w:eastAsia="Times New Roman" w:hAnsi="David" w:cs="David"/>
                <w:b/>
                <w:bCs/>
                <w:color w:val="000000"/>
                <w:rtl/>
              </w:rPr>
            </w:pPr>
            <w:r w:rsidRPr="00B4065B">
              <w:rPr>
                <w:rFonts w:ascii="David" w:eastAsia="Times New Roman" w:hAnsi="David" w:cs="David"/>
                <w:b/>
                <w:bCs/>
                <w:color w:val="000000"/>
                <w:rtl/>
              </w:rPr>
              <w:t>סוג תיק</w:t>
            </w:r>
          </w:p>
        </w:tc>
        <w:tc>
          <w:tcPr>
            <w:tcW w:w="1417" w:type="dxa"/>
            <w:tcBorders>
              <w:bottom w:val="single" w:sz="4" w:space="0" w:color="auto"/>
            </w:tcBorders>
            <w:vAlign w:val="center"/>
          </w:tcPr>
          <w:p w14:paraId="086F1813" w14:textId="77777777" w:rsidR="00A3163B" w:rsidRPr="00B4065B" w:rsidRDefault="00E25AE7" w:rsidP="00FD5B64">
            <w:pPr>
              <w:spacing w:after="0" w:line="240" w:lineRule="auto"/>
              <w:jc w:val="center"/>
              <w:rPr>
                <w:rFonts w:ascii="David" w:eastAsia="Times New Roman" w:hAnsi="David" w:cs="David"/>
                <w:b/>
                <w:bCs/>
                <w:color w:val="000000"/>
                <w:rtl/>
              </w:rPr>
            </w:pPr>
            <w:r w:rsidRPr="00B4065B">
              <w:rPr>
                <w:rFonts w:ascii="David" w:eastAsia="Times New Roman" w:hAnsi="David" w:cs="David" w:hint="cs"/>
                <w:b/>
                <w:bCs/>
                <w:color w:val="000000"/>
                <w:rtl/>
              </w:rPr>
              <w:t>מספר תיקים שנסגרו ב-2019</w:t>
            </w:r>
          </w:p>
        </w:tc>
        <w:tc>
          <w:tcPr>
            <w:tcW w:w="1418" w:type="dxa"/>
            <w:tcBorders>
              <w:bottom w:val="single" w:sz="4" w:space="0" w:color="auto"/>
            </w:tcBorders>
            <w:shd w:val="clear" w:color="auto" w:fill="auto"/>
            <w:vAlign w:val="center"/>
            <w:hideMark/>
          </w:tcPr>
          <w:p w14:paraId="28FB4F78" w14:textId="77777777" w:rsidR="00A3163B" w:rsidRPr="00B4065B" w:rsidRDefault="00E25AE7" w:rsidP="00FD5B64">
            <w:pPr>
              <w:spacing w:after="0" w:line="240" w:lineRule="auto"/>
              <w:jc w:val="center"/>
              <w:rPr>
                <w:rFonts w:ascii="David" w:eastAsia="Times New Roman" w:hAnsi="David" w:cs="David"/>
                <w:b/>
                <w:bCs/>
                <w:color w:val="000000"/>
                <w:rtl/>
              </w:rPr>
            </w:pPr>
            <w:r w:rsidRPr="00B4065B">
              <w:rPr>
                <w:rFonts w:ascii="David" w:eastAsia="Times New Roman" w:hAnsi="David" w:cs="David"/>
                <w:b/>
                <w:bCs/>
                <w:color w:val="000000"/>
                <w:rtl/>
              </w:rPr>
              <w:t>הזמן השיפוטי הממוצע לט</w:t>
            </w:r>
            <w:r w:rsidRPr="00B4065B">
              <w:rPr>
                <w:rFonts w:ascii="David" w:eastAsia="Times New Roman" w:hAnsi="David" w:cs="David" w:hint="cs"/>
                <w:b/>
                <w:bCs/>
                <w:color w:val="000000"/>
                <w:rtl/>
              </w:rPr>
              <w:t>י</w:t>
            </w:r>
            <w:r w:rsidRPr="00B4065B">
              <w:rPr>
                <w:rFonts w:ascii="David" w:eastAsia="Times New Roman" w:hAnsi="David" w:cs="David"/>
                <w:b/>
                <w:bCs/>
                <w:color w:val="000000"/>
                <w:rtl/>
              </w:rPr>
              <w:t>פ</w:t>
            </w:r>
            <w:r w:rsidRPr="00B4065B">
              <w:rPr>
                <w:rFonts w:ascii="David" w:eastAsia="Times New Roman" w:hAnsi="David" w:cs="David" w:hint="cs"/>
                <w:b/>
                <w:bCs/>
                <w:color w:val="000000"/>
                <w:rtl/>
              </w:rPr>
              <w:t>ו</w:t>
            </w:r>
            <w:r w:rsidRPr="00B4065B">
              <w:rPr>
                <w:rFonts w:ascii="David" w:eastAsia="Times New Roman" w:hAnsi="David" w:cs="David"/>
                <w:b/>
                <w:bCs/>
                <w:color w:val="000000"/>
                <w:rtl/>
              </w:rPr>
              <w:t>ל בתיק</w:t>
            </w:r>
          </w:p>
        </w:tc>
        <w:tc>
          <w:tcPr>
            <w:tcW w:w="1417" w:type="dxa"/>
            <w:tcBorders>
              <w:bottom w:val="single" w:sz="4" w:space="0" w:color="auto"/>
            </w:tcBorders>
            <w:vAlign w:val="center"/>
          </w:tcPr>
          <w:p w14:paraId="4C247BC5" w14:textId="77777777" w:rsidR="00A3163B" w:rsidRPr="00B4065B" w:rsidRDefault="00E25AE7" w:rsidP="00FD5B64">
            <w:pPr>
              <w:spacing w:after="0" w:line="240" w:lineRule="auto"/>
              <w:jc w:val="center"/>
              <w:rPr>
                <w:rFonts w:ascii="David" w:eastAsia="Times New Roman" w:hAnsi="David" w:cs="David"/>
                <w:b/>
                <w:bCs/>
                <w:color w:val="000000"/>
                <w:rtl/>
              </w:rPr>
            </w:pPr>
            <w:r w:rsidRPr="00B4065B">
              <w:rPr>
                <w:rFonts w:ascii="David" w:eastAsia="Times New Roman" w:hAnsi="David" w:cs="David"/>
                <w:b/>
                <w:bCs/>
                <w:color w:val="000000"/>
                <w:rtl/>
              </w:rPr>
              <w:t xml:space="preserve">הזמן השיפוטי </w:t>
            </w:r>
            <w:r w:rsidRPr="00B4065B">
              <w:rPr>
                <w:rFonts w:ascii="David" w:eastAsia="Times New Roman" w:hAnsi="David" w:cs="David" w:hint="cs"/>
                <w:b/>
                <w:bCs/>
                <w:color w:val="000000"/>
                <w:rtl/>
              </w:rPr>
              <w:t xml:space="preserve">הממוצע </w:t>
            </w:r>
            <w:r w:rsidRPr="00B4065B">
              <w:rPr>
                <w:rFonts w:ascii="David" w:eastAsia="Times New Roman" w:hAnsi="David" w:cs="David"/>
                <w:b/>
                <w:bCs/>
                <w:color w:val="000000"/>
                <w:rtl/>
              </w:rPr>
              <w:t xml:space="preserve">לפי </w:t>
            </w:r>
            <w:r w:rsidRPr="00B4065B">
              <w:rPr>
                <w:rFonts w:ascii="David" w:eastAsia="Times New Roman" w:hAnsi="David" w:cs="David" w:hint="cs"/>
                <w:b/>
                <w:bCs/>
                <w:color w:val="000000"/>
                <w:rtl/>
              </w:rPr>
              <w:t>ה</w:t>
            </w:r>
            <w:r w:rsidRPr="00B4065B">
              <w:rPr>
                <w:rFonts w:ascii="David" w:eastAsia="Times New Roman" w:hAnsi="David" w:cs="David"/>
                <w:b/>
                <w:bCs/>
                <w:color w:val="000000"/>
                <w:rtl/>
              </w:rPr>
              <w:t>מחקר ה</w:t>
            </w:r>
            <w:r w:rsidRPr="00B4065B">
              <w:rPr>
                <w:rFonts w:ascii="David" w:eastAsia="Times New Roman" w:hAnsi="David" w:cs="David" w:hint="cs"/>
                <w:b/>
                <w:bCs/>
                <w:color w:val="000000"/>
                <w:rtl/>
              </w:rPr>
              <w:t>קודם</w:t>
            </w:r>
          </w:p>
        </w:tc>
        <w:tc>
          <w:tcPr>
            <w:tcW w:w="849" w:type="dxa"/>
            <w:tcBorders>
              <w:bottom w:val="single" w:sz="4" w:space="0" w:color="auto"/>
            </w:tcBorders>
            <w:vAlign w:val="center"/>
          </w:tcPr>
          <w:p w14:paraId="2EAD11DA" w14:textId="77777777" w:rsidR="00A3163B" w:rsidRPr="00B4065B" w:rsidRDefault="00E25AE7" w:rsidP="00FD5B64">
            <w:pPr>
              <w:spacing w:after="0" w:line="240" w:lineRule="auto"/>
              <w:jc w:val="center"/>
              <w:rPr>
                <w:rFonts w:ascii="David" w:eastAsia="Times New Roman" w:hAnsi="David" w:cs="David"/>
                <w:b/>
                <w:bCs/>
                <w:color w:val="000000"/>
                <w:rtl/>
              </w:rPr>
            </w:pPr>
            <w:r w:rsidRPr="00B4065B">
              <w:rPr>
                <w:rFonts w:ascii="David" w:eastAsia="Times New Roman" w:hAnsi="David" w:cs="David"/>
                <w:b/>
                <w:bCs/>
                <w:color w:val="000000"/>
                <w:rtl/>
              </w:rPr>
              <w:t xml:space="preserve">מגמת </w:t>
            </w:r>
            <w:r w:rsidRPr="00B4065B">
              <w:rPr>
                <w:rFonts w:ascii="David" w:eastAsia="Times New Roman" w:hAnsi="David" w:cs="David" w:hint="cs"/>
                <w:b/>
                <w:bCs/>
                <w:color w:val="000000"/>
                <w:rtl/>
              </w:rPr>
              <w:t>ה</w:t>
            </w:r>
            <w:r w:rsidRPr="00B4065B">
              <w:rPr>
                <w:rFonts w:ascii="David" w:eastAsia="Times New Roman" w:hAnsi="David" w:cs="David"/>
                <w:b/>
                <w:bCs/>
                <w:color w:val="000000"/>
                <w:rtl/>
              </w:rPr>
              <w:t>שינוי</w:t>
            </w:r>
          </w:p>
        </w:tc>
      </w:tr>
      <w:tr w:rsidR="00E0162E" w:rsidRPr="00B4065B" w14:paraId="3F22DB67" w14:textId="77777777" w:rsidTr="00FD5B64">
        <w:trPr>
          <w:trHeight w:val="600"/>
        </w:trPr>
        <w:tc>
          <w:tcPr>
            <w:tcW w:w="849" w:type="dxa"/>
            <w:tcBorders>
              <w:top w:val="single" w:sz="4" w:space="0" w:color="auto"/>
              <w:bottom w:val="single" w:sz="4" w:space="0" w:color="auto"/>
            </w:tcBorders>
            <w:shd w:val="clear" w:color="auto" w:fill="D9D9D9"/>
            <w:noWrap/>
            <w:vAlign w:val="center"/>
            <w:hideMark/>
          </w:tcPr>
          <w:p w14:paraId="5796AB80" w14:textId="77777777" w:rsidR="00A3163B" w:rsidRPr="00B4065B" w:rsidRDefault="00E25AE7" w:rsidP="00FD5B64">
            <w:pPr>
              <w:spacing w:after="0" w:line="240" w:lineRule="auto"/>
              <w:rPr>
                <w:rFonts w:ascii="David" w:hAnsi="David" w:cs="David"/>
                <w:color w:val="000000"/>
                <w:rtl/>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D9D9D9"/>
            <w:noWrap/>
            <w:vAlign w:val="center"/>
          </w:tcPr>
          <w:p w14:paraId="4A3E2CF5" w14:textId="77777777" w:rsidR="00A3163B" w:rsidRPr="00B4065B" w:rsidRDefault="00E25AE7" w:rsidP="00FD5B64">
            <w:pPr>
              <w:spacing w:after="0" w:line="240" w:lineRule="auto"/>
              <w:rPr>
                <w:rFonts w:ascii="David" w:hAnsi="David" w:cs="David"/>
                <w:color w:val="000000"/>
              </w:rPr>
            </w:pPr>
            <w:r w:rsidRPr="00B4065B">
              <w:rPr>
                <w:rFonts w:ascii="David" w:hAnsi="David" w:cs="David"/>
                <w:color w:val="000000"/>
                <w:rtl/>
              </w:rPr>
              <w:t>פלילי</w:t>
            </w:r>
          </w:p>
        </w:tc>
        <w:tc>
          <w:tcPr>
            <w:tcW w:w="2408" w:type="dxa"/>
            <w:tcBorders>
              <w:top w:val="single" w:sz="4" w:space="0" w:color="auto"/>
              <w:bottom w:val="single" w:sz="4" w:space="0" w:color="auto"/>
            </w:tcBorders>
            <w:shd w:val="clear" w:color="auto" w:fill="D9D9D9"/>
            <w:vAlign w:val="center"/>
          </w:tcPr>
          <w:p w14:paraId="4E4F9C94" w14:textId="77777777" w:rsidR="00A3163B" w:rsidRPr="00B4065B" w:rsidRDefault="00E25AE7" w:rsidP="00FD5B64">
            <w:pPr>
              <w:spacing w:after="0" w:line="240" w:lineRule="auto"/>
              <w:rPr>
                <w:rFonts w:ascii="David" w:hAnsi="David" w:cs="David"/>
                <w:color w:val="000000"/>
                <w:rtl/>
              </w:rPr>
            </w:pPr>
            <w:r w:rsidRPr="00B4065B">
              <w:rPr>
                <w:rFonts w:ascii="David" w:hAnsi="David" w:cs="David"/>
                <w:color w:val="000000"/>
                <w:rtl/>
              </w:rPr>
              <w:t>תיק פשעים חמורים (תפ"ח) – הרכב</w:t>
            </w:r>
          </w:p>
        </w:tc>
        <w:tc>
          <w:tcPr>
            <w:tcW w:w="1417" w:type="dxa"/>
            <w:tcBorders>
              <w:top w:val="single" w:sz="4" w:space="0" w:color="auto"/>
              <w:bottom w:val="single" w:sz="4" w:space="0" w:color="auto"/>
            </w:tcBorders>
            <w:shd w:val="clear" w:color="auto" w:fill="D9D9D9"/>
            <w:vAlign w:val="center"/>
          </w:tcPr>
          <w:p w14:paraId="5F36B0FB" w14:textId="77777777" w:rsidR="00A3163B" w:rsidRPr="00B4065B" w:rsidRDefault="00E25AE7" w:rsidP="00FD5B64">
            <w:pPr>
              <w:spacing w:after="0" w:line="240" w:lineRule="auto"/>
              <w:jc w:val="center"/>
              <w:rPr>
                <w:rFonts w:ascii="David" w:hAnsi="David" w:cs="David"/>
                <w:color w:val="000000"/>
              </w:rPr>
            </w:pPr>
            <w:r w:rsidRPr="00B4065B">
              <w:rPr>
                <w:rFonts w:ascii="David" w:hAnsi="David" w:cs="David"/>
                <w:color w:val="000000"/>
              </w:rPr>
              <w:t>274</w:t>
            </w:r>
          </w:p>
        </w:tc>
        <w:tc>
          <w:tcPr>
            <w:tcW w:w="1418" w:type="dxa"/>
            <w:tcBorders>
              <w:top w:val="single" w:sz="4" w:space="0" w:color="auto"/>
              <w:bottom w:val="single" w:sz="4" w:space="0" w:color="auto"/>
            </w:tcBorders>
            <w:shd w:val="clear" w:color="auto" w:fill="D9D9D9"/>
            <w:noWrap/>
            <w:vAlign w:val="center"/>
          </w:tcPr>
          <w:p w14:paraId="50307782" w14:textId="77777777" w:rsidR="00A3163B" w:rsidRPr="00B4065B" w:rsidRDefault="00E25AE7" w:rsidP="00FD5B64">
            <w:pPr>
              <w:spacing w:after="0" w:line="240" w:lineRule="auto"/>
              <w:jc w:val="center"/>
              <w:rPr>
                <w:rFonts w:ascii="David" w:hAnsi="David" w:cs="David"/>
                <w:b/>
                <w:bCs/>
                <w:color w:val="000000"/>
              </w:rPr>
            </w:pPr>
            <w:r w:rsidRPr="00B4065B">
              <w:rPr>
                <w:rFonts w:ascii="David" w:hAnsi="David" w:cs="David" w:hint="cs"/>
                <w:b/>
                <w:bCs/>
                <w:color w:val="000000"/>
                <w:rtl/>
              </w:rPr>
              <w:t>1</w:t>
            </w:r>
            <w:r w:rsidR="007E5C21" w:rsidRPr="00B4065B">
              <w:rPr>
                <w:rFonts w:ascii="David" w:hAnsi="David" w:cs="David" w:hint="cs"/>
                <w:b/>
                <w:bCs/>
                <w:color w:val="000000"/>
                <w:rtl/>
              </w:rPr>
              <w:t>48</w:t>
            </w:r>
            <w:r w:rsidRPr="00B4065B">
              <w:rPr>
                <w:rFonts w:ascii="David" w:hAnsi="David" w:cs="David" w:hint="cs"/>
                <w:b/>
                <w:bCs/>
                <w:color w:val="000000"/>
                <w:rtl/>
              </w:rPr>
              <w:t>:</w:t>
            </w:r>
            <w:r w:rsidR="007E5C21" w:rsidRPr="00B4065B">
              <w:rPr>
                <w:rFonts w:ascii="David" w:hAnsi="David" w:cs="David" w:hint="cs"/>
                <w:b/>
                <w:bCs/>
                <w:color w:val="000000"/>
                <w:rtl/>
              </w:rPr>
              <w:t>41</w:t>
            </w:r>
          </w:p>
        </w:tc>
        <w:tc>
          <w:tcPr>
            <w:tcW w:w="1417" w:type="dxa"/>
            <w:tcBorders>
              <w:top w:val="single" w:sz="4" w:space="0" w:color="auto"/>
              <w:bottom w:val="single" w:sz="4" w:space="0" w:color="auto"/>
            </w:tcBorders>
            <w:shd w:val="clear" w:color="auto" w:fill="D9D9D9"/>
            <w:vAlign w:val="center"/>
          </w:tcPr>
          <w:p w14:paraId="6E658666" w14:textId="77777777" w:rsidR="00A3163B" w:rsidRPr="00B4065B" w:rsidRDefault="00E25AE7" w:rsidP="00FD5B64">
            <w:pPr>
              <w:spacing w:after="0" w:line="240" w:lineRule="auto"/>
              <w:jc w:val="center"/>
              <w:rPr>
                <w:rFonts w:ascii="David" w:hAnsi="David" w:cs="David"/>
                <w:color w:val="000000"/>
              </w:rPr>
            </w:pPr>
            <w:r w:rsidRPr="00B4065B">
              <w:rPr>
                <w:rFonts w:ascii="David" w:hAnsi="David" w:cs="David"/>
                <w:color w:val="000000"/>
              </w:rPr>
              <w:t>85:13</w:t>
            </w:r>
          </w:p>
        </w:tc>
        <w:tc>
          <w:tcPr>
            <w:tcW w:w="849" w:type="dxa"/>
            <w:tcBorders>
              <w:top w:val="single" w:sz="4" w:space="0" w:color="auto"/>
              <w:bottom w:val="single" w:sz="4" w:space="0" w:color="auto"/>
            </w:tcBorders>
            <w:shd w:val="clear" w:color="auto" w:fill="D9D9D9"/>
            <w:vAlign w:val="center"/>
          </w:tcPr>
          <w:p w14:paraId="47E1DE88" w14:textId="77777777" w:rsidR="00A3163B" w:rsidRPr="00B4065B" w:rsidRDefault="007E5C21" w:rsidP="00FD5B64">
            <w:pPr>
              <w:spacing w:after="0" w:line="240" w:lineRule="auto"/>
              <w:jc w:val="center"/>
              <w:rPr>
                <w:rFonts w:ascii="David" w:hAnsi="David" w:cs="David"/>
                <w:color w:val="000000"/>
              </w:rPr>
            </w:pPr>
            <w:r w:rsidRPr="00B4065B">
              <w:rPr>
                <w:rFonts w:ascii="David" w:hAnsi="David" w:cs="David" w:hint="cs"/>
                <w:color w:val="000000"/>
                <w:rtl/>
              </w:rPr>
              <w:t>63</w:t>
            </w:r>
            <w:r w:rsidR="005E40B5" w:rsidRPr="00B4065B">
              <w:rPr>
                <w:rFonts w:ascii="David" w:hAnsi="David" w:cs="David" w:hint="cs"/>
                <w:color w:val="000000"/>
                <w:rtl/>
              </w:rPr>
              <w:t>:</w:t>
            </w:r>
            <w:r w:rsidRPr="00B4065B">
              <w:rPr>
                <w:rFonts w:ascii="David" w:hAnsi="David" w:cs="David" w:hint="cs"/>
                <w:color w:val="000000"/>
                <w:rtl/>
              </w:rPr>
              <w:t>28</w:t>
            </w:r>
            <w:r w:rsidR="007F3A52" w:rsidRPr="00B4065B">
              <w:rPr>
                <w:rFonts w:ascii="David" w:hAnsi="David" w:cs="David"/>
                <w:color w:val="000000"/>
                <w:rtl/>
              </w:rPr>
              <w:t>+</w:t>
            </w:r>
          </w:p>
        </w:tc>
      </w:tr>
      <w:tr w:rsidR="00E0162E" w:rsidRPr="00B4065B" w14:paraId="17ECE105" w14:textId="77777777" w:rsidTr="00FD5B64">
        <w:trPr>
          <w:trHeight w:val="20"/>
        </w:trPr>
        <w:tc>
          <w:tcPr>
            <w:tcW w:w="849" w:type="dxa"/>
            <w:tcBorders>
              <w:top w:val="single" w:sz="4" w:space="0" w:color="auto"/>
              <w:bottom w:val="single" w:sz="4" w:space="0" w:color="auto"/>
            </w:tcBorders>
            <w:shd w:val="clear" w:color="auto" w:fill="auto"/>
            <w:noWrap/>
            <w:vAlign w:val="center"/>
          </w:tcPr>
          <w:p w14:paraId="3747C9A6" w14:textId="77777777" w:rsidR="00A3163B" w:rsidRPr="00B4065B" w:rsidRDefault="00E25AE7"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auto"/>
            <w:noWrap/>
            <w:vAlign w:val="center"/>
          </w:tcPr>
          <w:p w14:paraId="580FA6DE" w14:textId="77777777" w:rsidR="00A3163B" w:rsidRPr="00B4065B" w:rsidRDefault="00E25AE7" w:rsidP="00FD5B64">
            <w:pPr>
              <w:spacing w:after="0" w:line="240" w:lineRule="auto"/>
              <w:rPr>
                <w:rFonts w:ascii="David" w:hAnsi="David" w:cs="David"/>
                <w:color w:val="000000"/>
              </w:rPr>
            </w:pPr>
            <w:r w:rsidRPr="00B4065B">
              <w:rPr>
                <w:rFonts w:ascii="David" w:hAnsi="David" w:cs="David"/>
                <w:color w:val="000000"/>
                <w:rtl/>
              </w:rPr>
              <w:t>אזרחי</w:t>
            </w:r>
          </w:p>
        </w:tc>
        <w:tc>
          <w:tcPr>
            <w:tcW w:w="2408" w:type="dxa"/>
            <w:tcBorders>
              <w:top w:val="single" w:sz="4" w:space="0" w:color="auto"/>
              <w:bottom w:val="single" w:sz="4" w:space="0" w:color="auto"/>
            </w:tcBorders>
            <w:shd w:val="clear" w:color="auto" w:fill="auto"/>
            <w:vAlign w:val="center"/>
          </w:tcPr>
          <w:p w14:paraId="6B816A03" w14:textId="77777777" w:rsidR="00A3163B" w:rsidRPr="00B4065B" w:rsidRDefault="00E25AE7" w:rsidP="00FD5B64">
            <w:pPr>
              <w:spacing w:after="0" w:line="240" w:lineRule="auto"/>
              <w:rPr>
                <w:rFonts w:ascii="David" w:hAnsi="David" w:cs="David"/>
                <w:color w:val="000000"/>
                <w:rtl/>
              </w:rPr>
            </w:pPr>
            <w:r w:rsidRPr="00B4065B">
              <w:rPr>
                <w:rFonts w:ascii="David" w:hAnsi="David" w:cs="David"/>
                <w:color w:val="000000"/>
                <w:rtl/>
              </w:rPr>
              <w:t>תיק אזרחי בסדר דין רגיל (ת"א) - תביעה כספית</w:t>
            </w:r>
          </w:p>
        </w:tc>
        <w:tc>
          <w:tcPr>
            <w:tcW w:w="1417" w:type="dxa"/>
            <w:tcBorders>
              <w:top w:val="single" w:sz="4" w:space="0" w:color="auto"/>
              <w:bottom w:val="single" w:sz="4" w:space="0" w:color="auto"/>
            </w:tcBorders>
            <w:vAlign w:val="center"/>
          </w:tcPr>
          <w:p w14:paraId="5ECCED59" w14:textId="77777777" w:rsidR="00A3163B" w:rsidRPr="00B4065B" w:rsidRDefault="00E25AE7" w:rsidP="00FD5B64">
            <w:pPr>
              <w:spacing w:after="0" w:line="240" w:lineRule="auto"/>
              <w:jc w:val="center"/>
              <w:rPr>
                <w:rFonts w:ascii="David" w:hAnsi="David" w:cs="David"/>
                <w:color w:val="000000"/>
              </w:rPr>
            </w:pPr>
            <w:r w:rsidRPr="00B4065B">
              <w:rPr>
                <w:rFonts w:ascii="David" w:hAnsi="David" w:cs="David"/>
                <w:color w:val="000000"/>
              </w:rPr>
              <w:t>1,191</w:t>
            </w:r>
          </w:p>
        </w:tc>
        <w:tc>
          <w:tcPr>
            <w:tcW w:w="1418" w:type="dxa"/>
            <w:tcBorders>
              <w:top w:val="single" w:sz="4" w:space="0" w:color="auto"/>
              <w:bottom w:val="single" w:sz="4" w:space="0" w:color="auto"/>
            </w:tcBorders>
            <w:shd w:val="clear" w:color="auto" w:fill="auto"/>
            <w:noWrap/>
            <w:vAlign w:val="center"/>
          </w:tcPr>
          <w:p w14:paraId="76BA5DB3" w14:textId="77777777" w:rsidR="00A3163B" w:rsidRPr="00B4065B" w:rsidRDefault="007E5C21" w:rsidP="00FD5B64">
            <w:pPr>
              <w:spacing w:after="0" w:line="240" w:lineRule="auto"/>
              <w:jc w:val="center"/>
              <w:rPr>
                <w:rFonts w:ascii="David" w:hAnsi="David" w:cs="David"/>
                <w:b/>
                <w:bCs/>
                <w:color w:val="000000"/>
              </w:rPr>
            </w:pPr>
            <w:r w:rsidRPr="00B4065B">
              <w:rPr>
                <w:rFonts w:ascii="David" w:hAnsi="David" w:cs="David"/>
                <w:b/>
                <w:bCs/>
                <w:color w:val="000000"/>
              </w:rPr>
              <w:t>36:17</w:t>
            </w:r>
          </w:p>
        </w:tc>
        <w:tc>
          <w:tcPr>
            <w:tcW w:w="1417" w:type="dxa"/>
            <w:tcBorders>
              <w:top w:val="single" w:sz="4" w:space="0" w:color="auto"/>
              <w:bottom w:val="single" w:sz="4" w:space="0" w:color="auto"/>
            </w:tcBorders>
            <w:vAlign w:val="center"/>
          </w:tcPr>
          <w:p w14:paraId="66A98B38" w14:textId="77777777" w:rsidR="00A3163B" w:rsidRPr="00B4065B" w:rsidRDefault="00E25AE7" w:rsidP="00FD5B64">
            <w:pPr>
              <w:spacing w:after="0" w:line="240" w:lineRule="auto"/>
              <w:jc w:val="center"/>
              <w:rPr>
                <w:rFonts w:ascii="David" w:hAnsi="David" w:cs="David"/>
                <w:color w:val="000000"/>
              </w:rPr>
            </w:pPr>
            <w:r w:rsidRPr="00B4065B">
              <w:rPr>
                <w:rFonts w:ascii="David" w:hAnsi="David" w:cs="David"/>
                <w:color w:val="000000"/>
              </w:rPr>
              <w:t>-</w:t>
            </w:r>
          </w:p>
        </w:tc>
        <w:tc>
          <w:tcPr>
            <w:tcW w:w="849" w:type="dxa"/>
            <w:tcBorders>
              <w:top w:val="single" w:sz="4" w:space="0" w:color="auto"/>
              <w:bottom w:val="single" w:sz="4" w:space="0" w:color="auto"/>
            </w:tcBorders>
            <w:vAlign w:val="center"/>
          </w:tcPr>
          <w:p w14:paraId="114ED277" w14:textId="77777777" w:rsidR="00A3163B" w:rsidRPr="00B4065B" w:rsidRDefault="00E25AE7" w:rsidP="00FD5B64">
            <w:pPr>
              <w:spacing w:after="0" w:line="240" w:lineRule="auto"/>
              <w:jc w:val="center"/>
              <w:rPr>
                <w:rFonts w:ascii="David" w:hAnsi="David" w:cs="David"/>
                <w:color w:val="000000"/>
              </w:rPr>
            </w:pPr>
            <w:r w:rsidRPr="00B4065B">
              <w:rPr>
                <w:rFonts w:ascii="David" w:hAnsi="David" w:cs="David"/>
                <w:color w:val="000000"/>
              </w:rPr>
              <w:t>-</w:t>
            </w:r>
          </w:p>
        </w:tc>
      </w:tr>
      <w:tr w:rsidR="00AA1E78" w:rsidRPr="00B4065B" w14:paraId="2EED9B37" w14:textId="77777777" w:rsidTr="00FD5B64">
        <w:trPr>
          <w:trHeight w:val="467"/>
        </w:trPr>
        <w:tc>
          <w:tcPr>
            <w:tcW w:w="849" w:type="dxa"/>
            <w:tcBorders>
              <w:top w:val="single" w:sz="4" w:space="0" w:color="auto"/>
              <w:bottom w:val="single" w:sz="4" w:space="0" w:color="auto"/>
            </w:tcBorders>
            <w:shd w:val="clear" w:color="auto" w:fill="D9D9D9"/>
            <w:noWrap/>
            <w:vAlign w:val="center"/>
          </w:tcPr>
          <w:p w14:paraId="758142B9" w14:textId="77777777" w:rsidR="00AA1E78" w:rsidRPr="00B4065B" w:rsidRDefault="00AA1E78" w:rsidP="00FD5B64">
            <w:pPr>
              <w:spacing w:after="0" w:line="240" w:lineRule="auto"/>
              <w:rPr>
                <w:rFonts w:ascii="David" w:hAnsi="David" w:cs="David"/>
                <w:color w:val="000000"/>
                <w:rtl/>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D9D9D9"/>
            <w:noWrap/>
            <w:vAlign w:val="center"/>
          </w:tcPr>
          <w:p w14:paraId="7AE99F1A" w14:textId="77777777" w:rsidR="00AA1E78" w:rsidRPr="00B4065B" w:rsidRDefault="00AA1E78" w:rsidP="00FD5B64">
            <w:pPr>
              <w:spacing w:after="0" w:line="240" w:lineRule="auto"/>
              <w:rPr>
                <w:rFonts w:ascii="David" w:hAnsi="David" w:cs="David"/>
                <w:color w:val="000000"/>
                <w:rtl/>
              </w:rPr>
            </w:pPr>
            <w:r w:rsidRPr="00B4065B">
              <w:rPr>
                <w:rFonts w:ascii="David" w:hAnsi="David" w:cs="David"/>
                <w:color w:val="000000"/>
                <w:rtl/>
              </w:rPr>
              <w:t>אזרחי</w:t>
            </w:r>
          </w:p>
        </w:tc>
        <w:tc>
          <w:tcPr>
            <w:tcW w:w="2408" w:type="dxa"/>
            <w:tcBorders>
              <w:top w:val="single" w:sz="4" w:space="0" w:color="auto"/>
              <w:bottom w:val="single" w:sz="4" w:space="0" w:color="auto"/>
            </w:tcBorders>
            <w:shd w:val="clear" w:color="auto" w:fill="D9D9D9"/>
            <w:vAlign w:val="center"/>
          </w:tcPr>
          <w:p w14:paraId="6F8997DC" w14:textId="77777777" w:rsidR="00AA1E78" w:rsidRPr="00B4065B" w:rsidRDefault="00AA1E78" w:rsidP="00FD5B64">
            <w:pPr>
              <w:spacing w:after="0" w:line="240" w:lineRule="auto"/>
              <w:rPr>
                <w:rFonts w:ascii="David" w:hAnsi="David" w:cs="David"/>
                <w:color w:val="000000"/>
                <w:rtl/>
              </w:rPr>
            </w:pPr>
            <w:r w:rsidRPr="00B4065B">
              <w:rPr>
                <w:rFonts w:ascii="David" w:hAnsi="David" w:cs="David"/>
                <w:color w:val="000000"/>
                <w:rtl/>
              </w:rPr>
              <w:t>תביעה נגזרת (תנ"ג)</w:t>
            </w:r>
            <w:r w:rsidR="00B87762" w:rsidRPr="00B4065B">
              <w:rPr>
                <w:rFonts w:ascii="David" w:hAnsi="David" w:cs="David" w:hint="cs"/>
                <w:color w:val="000000"/>
                <w:rtl/>
              </w:rPr>
              <w:t>*</w:t>
            </w:r>
            <w:r w:rsidRPr="00B4065B">
              <w:rPr>
                <w:rFonts w:ascii="David" w:hAnsi="David" w:cs="David"/>
                <w:color w:val="000000"/>
                <w:rtl/>
              </w:rPr>
              <w:t>*</w:t>
            </w:r>
          </w:p>
        </w:tc>
        <w:tc>
          <w:tcPr>
            <w:tcW w:w="1417" w:type="dxa"/>
            <w:tcBorders>
              <w:top w:val="single" w:sz="4" w:space="0" w:color="auto"/>
              <w:bottom w:val="single" w:sz="4" w:space="0" w:color="auto"/>
            </w:tcBorders>
            <w:shd w:val="clear" w:color="auto" w:fill="D9D9D9"/>
            <w:vAlign w:val="center"/>
          </w:tcPr>
          <w:p w14:paraId="0C93D706" w14:textId="77777777" w:rsidR="00AA1E78" w:rsidRPr="00B4065B" w:rsidRDefault="00AA1E78" w:rsidP="00FD5B64">
            <w:pPr>
              <w:spacing w:after="0" w:line="240" w:lineRule="auto"/>
              <w:jc w:val="center"/>
              <w:rPr>
                <w:rFonts w:ascii="David" w:hAnsi="David" w:cs="David"/>
                <w:color w:val="000000"/>
              </w:rPr>
            </w:pPr>
            <w:r w:rsidRPr="00B4065B">
              <w:rPr>
                <w:rFonts w:ascii="David" w:hAnsi="David" w:cs="David"/>
                <w:color w:val="000000"/>
                <w:rtl/>
              </w:rPr>
              <w:t>48</w:t>
            </w:r>
          </w:p>
        </w:tc>
        <w:tc>
          <w:tcPr>
            <w:tcW w:w="1418" w:type="dxa"/>
            <w:tcBorders>
              <w:top w:val="single" w:sz="4" w:space="0" w:color="auto"/>
              <w:bottom w:val="single" w:sz="4" w:space="0" w:color="auto"/>
            </w:tcBorders>
            <w:shd w:val="clear" w:color="auto" w:fill="D9D9D9"/>
            <w:noWrap/>
            <w:vAlign w:val="center"/>
          </w:tcPr>
          <w:p w14:paraId="1EACBDA6" w14:textId="77777777" w:rsidR="00AA1E78" w:rsidRPr="00B4065B" w:rsidRDefault="00AA1E78" w:rsidP="00FD5B64">
            <w:pPr>
              <w:spacing w:after="0" w:line="240" w:lineRule="auto"/>
              <w:jc w:val="center"/>
              <w:rPr>
                <w:rFonts w:ascii="David" w:hAnsi="David" w:cs="David"/>
                <w:b/>
                <w:bCs/>
                <w:color w:val="000000"/>
              </w:rPr>
            </w:pPr>
            <w:r w:rsidRPr="00B4065B">
              <w:rPr>
                <w:rFonts w:ascii="David" w:hAnsi="David" w:cs="David"/>
                <w:b/>
                <w:bCs/>
                <w:color w:val="000000"/>
              </w:rPr>
              <w:t>33:03</w:t>
            </w:r>
          </w:p>
        </w:tc>
        <w:tc>
          <w:tcPr>
            <w:tcW w:w="1417" w:type="dxa"/>
            <w:tcBorders>
              <w:top w:val="single" w:sz="4" w:space="0" w:color="auto"/>
              <w:bottom w:val="single" w:sz="4" w:space="0" w:color="auto"/>
            </w:tcBorders>
            <w:shd w:val="clear" w:color="auto" w:fill="D9D9D9"/>
            <w:vAlign w:val="center"/>
          </w:tcPr>
          <w:p w14:paraId="63F4532F" w14:textId="77777777" w:rsidR="00AA1E78" w:rsidRPr="00B4065B" w:rsidRDefault="00AA1E78" w:rsidP="00FD5B64">
            <w:pPr>
              <w:spacing w:after="0" w:line="240" w:lineRule="auto"/>
              <w:jc w:val="center"/>
              <w:rPr>
                <w:rFonts w:ascii="David" w:hAnsi="David" w:cs="David"/>
                <w:color w:val="000000"/>
              </w:rPr>
            </w:pPr>
            <w:r w:rsidRPr="00B4065B">
              <w:rPr>
                <w:rFonts w:ascii="David" w:hAnsi="David" w:cs="David"/>
                <w:color w:val="000000"/>
              </w:rPr>
              <w:t>6:40</w:t>
            </w:r>
          </w:p>
        </w:tc>
        <w:tc>
          <w:tcPr>
            <w:tcW w:w="849" w:type="dxa"/>
            <w:tcBorders>
              <w:top w:val="single" w:sz="4" w:space="0" w:color="auto"/>
              <w:bottom w:val="single" w:sz="4" w:space="0" w:color="auto"/>
            </w:tcBorders>
            <w:shd w:val="clear" w:color="auto" w:fill="D9D9D9"/>
            <w:vAlign w:val="center"/>
          </w:tcPr>
          <w:p w14:paraId="2F280FA9" w14:textId="77777777" w:rsidR="00AA1E78" w:rsidRPr="00B4065B" w:rsidRDefault="00AA1E78" w:rsidP="00FD5B64">
            <w:pPr>
              <w:spacing w:after="0" w:line="240" w:lineRule="auto"/>
              <w:jc w:val="center"/>
              <w:rPr>
                <w:rFonts w:ascii="David" w:hAnsi="David" w:cs="David"/>
                <w:color w:val="000000"/>
              </w:rPr>
            </w:pPr>
            <w:r w:rsidRPr="00B4065B">
              <w:rPr>
                <w:rFonts w:ascii="David" w:hAnsi="David" w:cs="David"/>
                <w:color w:val="000000"/>
              </w:rPr>
              <w:t>+26:23</w:t>
            </w:r>
          </w:p>
        </w:tc>
      </w:tr>
      <w:tr w:rsidR="00AA1E78" w:rsidRPr="00B4065B" w14:paraId="20A862E3" w14:textId="77777777" w:rsidTr="00FD5B64">
        <w:trPr>
          <w:trHeight w:val="467"/>
        </w:trPr>
        <w:tc>
          <w:tcPr>
            <w:tcW w:w="849" w:type="dxa"/>
            <w:tcBorders>
              <w:top w:val="single" w:sz="4" w:space="0" w:color="auto"/>
              <w:bottom w:val="single" w:sz="4" w:space="0" w:color="auto"/>
            </w:tcBorders>
            <w:shd w:val="clear" w:color="auto" w:fill="auto"/>
            <w:noWrap/>
            <w:vAlign w:val="center"/>
          </w:tcPr>
          <w:p w14:paraId="6C685822" w14:textId="77777777" w:rsidR="00AA1E78" w:rsidRPr="00B4065B" w:rsidRDefault="00AA1E78" w:rsidP="00FD5B64">
            <w:pPr>
              <w:spacing w:after="0" w:line="240" w:lineRule="auto"/>
              <w:rPr>
                <w:rFonts w:ascii="David" w:hAnsi="David" w:cs="David"/>
                <w:color w:val="FF0000"/>
                <w:rtl/>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auto"/>
            <w:noWrap/>
            <w:vAlign w:val="center"/>
          </w:tcPr>
          <w:p w14:paraId="7A09F14E" w14:textId="77777777" w:rsidR="00AA1E78" w:rsidRPr="00B4065B" w:rsidRDefault="00AA1E78" w:rsidP="00FD5B64">
            <w:pPr>
              <w:spacing w:after="0" w:line="240" w:lineRule="auto"/>
              <w:rPr>
                <w:rFonts w:ascii="David" w:hAnsi="David" w:cs="David"/>
                <w:color w:val="FF0000"/>
                <w:rtl/>
              </w:rPr>
            </w:pPr>
            <w:r w:rsidRPr="00B4065B">
              <w:rPr>
                <w:rFonts w:ascii="David" w:hAnsi="David" w:cs="David"/>
                <w:color w:val="000000"/>
                <w:rtl/>
              </w:rPr>
              <w:t>פלילי</w:t>
            </w:r>
          </w:p>
        </w:tc>
        <w:tc>
          <w:tcPr>
            <w:tcW w:w="2408" w:type="dxa"/>
            <w:tcBorders>
              <w:top w:val="single" w:sz="4" w:space="0" w:color="auto"/>
              <w:bottom w:val="single" w:sz="4" w:space="0" w:color="auto"/>
            </w:tcBorders>
            <w:shd w:val="clear" w:color="auto" w:fill="auto"/>
            <w:vAlign w:val="center"/>
          </w:tcPr>
          <w:p w14:paraId="6A7B3F56" w14:textId="77777777" w:rsidR="00AA1E78" w:rsidRPr="00B4065B" w:rsidRDefault="00AA1E78" w:rsidP="00FD5B64">
            <w:pPr>
              <w:spacing w:after="0" w:line="240" w:lineRule="auto"/>
              <w:rPr>
                <w:rFonts w:ascii="David" w:hAnsi="David" w:cs="David"/>
                <w:color w:val="FF0000"/>
                <w:rtl/>
              </w:rPr>
            </w:pPr>
            <w:r w:rsidRPr="00B4065B">
              <w:rPr>
                <w:rFonts w:ascii="David" w:hAnsi="David" w:cs="David"/>
                <w:color w:val="000000"/>
                <w:rtl/>
              </w:rPr>
              <w:t>תיק פלילי (ת"פ)</w:t>
            </w:r>
          </w:p>
        </w:tc>
        <w:tc>
          <w:tcPr>
            <w:tcW w:w="1417" w:type="dxa"/>
            <w:tcBorders>
              <w:top w:val="single" w:sz="4" w:space="0" w:color="auto"/>
              <w:bottom w:val="single" w:sz="4" w:space="0" w:color="auto"/>
            </w:tcBorders>
            <w:shd w:val="clear" w:color="auto" w:fill="auto"/>
            <w:vAlign w:val="center"/>
          </w:tcPr>
          <w:p w14:paraId="1539A5C7" w14:textId="77777777" w:rsidR="00AA1E78" w:rsidRPr="00B4065B" w:rsidRDefault="00AA1E78" w:rsidP="00FD5B64">
            <w:pPr>
              <w:spacing w:after="0" w:line="240" w:lineRule="auto"/>
              <w:jc w:val="center"/>
              <w:rPr>
                <w:rFonts w:ascii="David" w:hAnsi="David" w:cs="David"/>
                <w:color w:val="FF0000"/>
              </w:rPr>
            </w:pPr>
            <w:r w:rsidRPr="00B4065B">
              <w:rPr>
                <w:rFonts w:ascii="David" w:hAnsi="David" w:cs="David"/>
                <w:color w:val="000000"/>
              </w:rPr>
              <w:t>1,308</w:t>
            </w:r>
          </w:p>
        </w:tc>
        <w:tc>
          <w:tcPr>
            <w:tcW w:w="1418" w:type="dxa"/>
            <w:tcBorders>
              <w:top w:val="single" w:sz="4" w:space="0" w:color="auto"/>
              <w:bottom w:val="single" w:sz="4" w:space="0" w:color="auto"/>
            </w:tcBorders>
            <w:shd w:val="clear" w:color="auto" w:fill="auto"/>
            <w:noWrap/>
            <w:vAlign w:val="center"/>
          </w:tcPr>
          <w:p w14:paraId="5F998D78" w14:textId="77777777" w:rsidR="00AA1E78" w:rsidRPr="00B4065B" w:rsidRDefault="00AA1E78" w:rsidP="00FD5B64">
            <w:pPr>
              <w:spacing w:after="0" w:line="240" w:lineRule="auto"/>
              <w:jc w:val="center"/>
              <w:rPr>
                <w:rFonts w:ascii="David" w:hAnsi="David" w:cs="David"/>
                <w:b/>
                <w:bCs/>
                <w:color w:val="FF0000"/>
              </w:rPr>
            </w:pPr>
            <w:r w:rsidRPr="00B4065B">
              <w:rPr>
                <w:rFonts w:ascii="David" w:hAnsi="David" w:cs="David"/>
                <w:b/>
                <w:bCs/>
                <w:color w:val="000000"/>
              </w:rPr>
              <w:t>31:39</w:t>
            </w:r>
          </w:p>
        </w:tc>
        <w:tc>
          <w:tcPr>
            <w:tcW w:w="1417" w:type="dxa"/>
            <w:tcBorders>
              <w:top w:val="single" w:sz="4" w:space="0" w:color="auto"/>
              <w:bottom w:val="single" w:sz="4" w:space="0" w:color="auto"/>
            </w:tcBorders>
            <w:shd w:val="clear" w:color="auto" w:fill="auto"/>
            <w:vAlign w:val="center"/>
          </w:tcPr>
          <w:p w14:paraId="20D52E0E" w14:textId="77777777" w:rsidR="00AA1E78" w:rsidRPr="00B4065B" w:rsidRDefault="00AA1E78" w:rsidP="00FD5B64">
            <w:pPr>
              <w:spacing w:after="0" w:line="240" w:lineRule="auto"/>
              <w:jc w:val="center"/>
              <w:rPr>
                <w:rFonts w:ascii="David" w:hAnsi="David" w:cs="David"/>
                <w:color w:val="FF0000"/>
              </w:rPr>
            </w:pPr>
            <w:r w:rsidRPr="00B4065B">
              <w:rPr>
                <w:rFonts w:ascii="David" w:hAnsi="David" w:cs="David"/>
                <w:color w:val="000000"/>
              </w:rPr>
              <w:t>11:18</w:t>
            </w:r>
          </w:p>
        </w:tc>
        <w:tc>
          <w:tcPr>
            <w:tcW w:w="849" w:type="dxa"/>
            <w:tcBorders>
              <w:top w:val="single" w:sz="4" w:space="0" w:color="auto"/>
              <w:bottom w:val="single" w:sz="4" w:space="0" w:color="auto"/>
            </w:tcBorders>
            <w:shd w:val="clear" w:color="auto" w:fill="auto"/>
            <w:vAlign w:val="center"/>
          </w:tcPr>
          <w:p w14:paraId="2D54936C" w14:textId="77777777" w:rsidR="00AA1E78" w:rsidRPr="00B4065B" w:rsidRDefault="00AA1E78" w:rsidP="00FD5B64">
            <w:pPr>
              <w:spacing w:after="0" w:line="240" w:lineRule="auto"/>
              <w:jc w:val="center"/>
              <w:rPr>
                <w:rFonts w:ascii="David" w:hAnsi="David" w:cs="David"/>
                <w:color w:val="FF0000"/>
              </w:rPr>
            </w:pPr>
            <w:r w:rsidRPr="00B4065B">
              <w:rPr>
                <w:rFonts w:ascii="David" w:hAnsi="David" w:cs="David"/>
                <w:color w:val="000000"/>
              </w:rPr>
              <w:t>+20:21</w:t>
            </w:r>
          </w:p>
        </w:tc>
      </w:tr>
      <w:tr w:rsidR="00AA1E78" w:rsidRPr="00B4065B" w14:paraId="54179ABF" w14:textId="77777777" w:rsidTr="00FD5B64">
        <w:trPr>
          <w:trHeight w:val="467"/>
        </w:trPr>
        <w:tc>
          <w:tcPr>
            <w:tcW w:w="849" w:type="dxa"/>
            <w:tcBorders>
              <w:top w:val="single" w:sz="4" w:space="0" w:color="auto"/>
              <w:bottom w:val="single" w:sz="4" w:space="0" w:color="auto"/>
            </w:tcBorders>
            <w:shd w:val="clear" w:color="auto" w:fill="D9D9D9"/>
            <w:noWrap/>
            <w:vAlign w:val="center"/>
          </w:tcPr>
          <w:p w14:paraId="76E67155" w14:textId="77777777" w:rsidR="00AA1E78" w:rsidRPr="00B4065B" w:rsidRDefault="00AA1E78"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D9D9D9"/>
            <w:noWrap/>
            <w:vAlign w:val="center"/>
          </w:tcPr>
          <w:p w14:paraId="0196C60A" w14:textId="77777777" w:rsidR="00AA1E78" w:rsidRPr="00B4065B" w:rsidRDefault="00AA1E78" w:rsidP="00FD5B64">
            <w:pPr>
              <w:spacing w:after="0" w:line="240" w:lineRule="auto"/>
              <w:rPr>
                <w:rFonts w:ascii="David" w:hAnsi="David" w:cs="David"/>
                <w:color w:val="000000"/>
              </w:rPr>
            </w:pPr>
            <w:r w:rsidRPr="00B4065B">
              <w:rPr>
                <w:rFonts w:ascii="David" w:hAnsi="David" w:cs="David"/>
                <w:color w:val="000000"/>
                <w:rtl/>
              </w:rPr>
              <w:t>אזרחי</w:t>
            </w:r>
          </w:p>
        </w:tc>
        <w:tc>
          <w:tcPr>
            <w:tcW w:w="2408" w:type="dxa"/>
            <w:tcBorders>
              <w:top w:val="single" w:sz="4" w:space="0" w:color="auto"/>
              <w:bottom w:val="single" w:sz="4" w:space="0" w:color="auto"/>
            </w:tcBorders>
            <w:shd w:val="clear" w:color="auto" w:fill="D9D9D9"/>
            <w:vAlign w:val="center"/>
          </w:tcPr>
          <w:p w14:paraId="1038205D" w14:textId="77777777" w:rsidR="00AA1E78" w:rsidRPr="00B4065B" w:rsidRDefault="00AA1E78" w:rsidP="00FD5B64">
            <w:pPr>
              <w:spacing w:after="0" w:line="240" w:lineRule="auto"/>
              <w:rPr>
                <w:rFonts w:ascii="David" w:hAnsi="David" w:cs="David"/>
                <w:color w:val="000000"/>
                <w:rtl/>
              </w:rPr>
            </w:pPr>
            <w:r w:rsidRPr="00B4065B">
              <w:rPr>
                <w:rFonts w:ascii="David" w:hAnsi="David" w:cs="David"/>
                <w:color w:val="000000"/>
                <w:rtl/>
              </w:rPr>
              <w:t>תיק אזרחי בסדר דין רגיל (ת"א) - נזקי גוף - חבויות</w:t>
            </w:r>
          </w:p>
        </w:tc>
        <w:tc>
          <w:tcPr>
            <w:tcW w:w="1417" w:type="dxa"/>
            <w:tcBorders>
              <w:top w:val="single" w:sz="4" w:space="0" w:color="auto"/>
              <w:bottom w:val="single" w:sz="4" w:space="0" w:color="auto"/>
            </w:tcBorders>
            <w:shd w:val="clear" w:color="auto" w:fill="D9D9D9"/>
            <w:vAlign w:val="center"/>
          </w:tcPr>
          <w:p w14:paraId="543E4223" w14:textId="77777777" w:rsidR="00AA1E78" w:rsidRPr="00B4065B" w:rsidRDefault="00AA1E78" w:rsidP="00FD5B64">
            <w:pPr>
              <w:spacing w:after="0" w:line="240" w:lineRule="auto"/>
              <w:jc w:val="center"/>
              <w:rPr>
                <w:rFonts w:cs="David"/>
                <w:color w:val="000000"/>
              </w:rPr>
            </w:pPr>
            <w:r w:rsidRPr="00B4065B">
              <w:rPr>
                <w:rFonts w:ascii="David" w:hAnsi="David" w:cs="David"/>
                <w:color w:val="000000"/>
              </w:rPr>
              <w:t>453</w:t>
            </w:r>
          </w:p>
        </w:tc>
        <w:tc>
          <w:tcPr>
            <w:tcW w:w="1418" w:type="dxa"/>
            <w:tcBorders>
              <w:top w:val="single" w:sz="4" w:space="0" w:color="auto"/>
              <w:bottom w:val="single" w:sz="4" w:space="0" w:color="auto"/>
            </w:tcBorders>
            <w:shd w:val="clear" w:color="auto" w:fill="D9D9D9"/>
            <w:noWrap/>
            <w:vAlign w:val="center"/>
          </w:tcPr>
          <w:p w14:paraId="737C2073" w14:textId="77777777" w:rsidR="00AA1E78" w:rsidRPr="00B4065B" w:rsidRDefault="00AA1E78" w:rsidP="00FD5B64">
            <w:pPr>
              <w:spacing w:after="0" w:line="240" w:lineRule="auto"/>
              <w:jc w:val="center"/>
              <w:rPr>
                <w:rFonts w:ascii="David" w:hAnsi="David" w:cs="David"/>
                <w:b/>
                <w:bCs/>
                <w:color w:val="000000"/>
                <w:rtl/>
              </w:rPr>
            </w:pPr>
            <w:r w:rsidRPr="00B4065B">
              <w:rPr>
                <w:rFonts w:ascii="David" w:hAnsi="David" w:cs="David"/>
                <w:b/>
                <w:bCs/>
                <w:color w:val="000000"/>
              </w:rPr>
              <w:t>27:27</w:t>
            </w:r>
          </w:p>
        </w:tc>
        <w:tc>
          <w:tcPr>
            <w:tcW w:w="1417" w:type="dxa"/>
            <w:tcBorders>
              <w:top w:val="single" w:sz="4" w:space="0" w:color="auto"/>
              <w:bottom w:val="single" w:sz="4" w:space="0" w:color="auto"/>
            </w:tcBorders>
            <w:shd w:val="clear" w:color="auto" w:fill="D9D9D9"/>
            <w:vAlign w:val="center"/>
          </w:tcPr>
          <w:p w14:paraId="7BF5DB4D" w14:textId="77777777" w:rsidR="00AA1E78" w:rsidRPr="00B4065B" w:rsidRDefault="00AA1E78" w:rsidP="00FD5B64">
            <w:pPr>
              <w:spacing w:after="0" w:line="240" w:lineRule="auto"/>
              <w:jc w:val="center"/>
              <w:rPr>
                <w:rFonts w:asciiTheme="minorHAnsi" w:hAnsiTheme="minorHAnsi"/>
                <w:color w:val="000000"/>
              </w:rPr>
            </w:pPr>
            <w:r w:rsidRPr="00B4065B">
              <w:rPr>
                <w:rFonts w:ascii="David" w:hAnsi="David" w:cs="David"/>
                <w:color w:val="000000"/>
              </w:rPr>
              <w:t>-</w:t>
            </w:r>
          </w:p>
        </w:tc>
        <w:tc>
          <w:tcPr>
            <w:tcW w:w="849" w:type="dxa"/>
            <w:tcBorders>
              <w:top w:val="single" w:sz="4" w:space="0" w:color="auto"/>
              <w:bottom w:val="single" w:sz="4" w:space="0" w:color="auto"/>
            </w:tcBorders>
            <w:shd w:val="clear" w:color="auto" w:fill="D9D9D9"/>
            <w:vAlign w:val="center"/>
          </w:tcPr>
          <w:p w14:paraId="21EB1F2C" w14:textId="77777777" w:rsidR="00AA1E78" w:rsidRPr="00B4065B" w:rsidRDefault="00AA1E78" w:rsidP="00FD5B64">
            <w:pPr>
              <w:spacing w:after="0" w:line="240" w:lineRule="auto"/>
              <w:jc w:val="center"/>
              <w:rPr>
                <w:rFonts w:ascii="David" w:hAnsi="David" w:cs="David"/>
                <w:color w:val="000000"/>
              </w:rPr>
            </w:pPr>
            <w:r w:rsidRPr="00B4065B">
              <w:rPr>
                <w:rFonts w:ascii="David" w:hAnsi="David" w:cs="David"/>
                <w:color w:val="000000"/>
              </w:rPr>
              <w:t>-</w:t>
            </w:r>
          </w:p>
        </w:tc>
      </w:tr>
      <w:tr w:rsidR="00B4065B" w:rsidRPr="00B4065B" w14:paraId="20E473AF" w14:textId="77777777" w:rsidTr="00FD5B64">
        <w:trPr>
          <w:trHeight w:val="321"/>
        </w:trPr>
        <w:tc>
          <w:tcPr>
            <w:tcW w:w="849" w:type="dxa"/>
            <w:tcBorders>
              <w:top w:val="single" w:sz="4" w:space="0" w:color="auto"/>
              <w:bottom w:val="single" w:sz="4" w:space="0" w:color="auto"/>
            </w:tcBorders>
            <w:shd w:val="clear" w:color="auto" w:fill="auto"/>
            <w:noWrap/>
            <w:vAlign w:val="center"/>
          </w:tcPr>
          <w:p w14:paraId="28988155" w14:textId="77777777" w:rsidR="00B4065B" w:rsidRPr="00B4065B" w:rsidRDefault="00B4065B"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auto"/>
            <w:noWrap/>
            <w:vAlign w:val="center"/>
          </w:tcPr>
          <w:p w14:paraId="7DA65B96" w14:textId="77777777" w:rsidR="00B4065B" w:rsidRPr="00B4065B" w:rsidRDefault="00B4065B" w:rsidP="00FD5B64">
            <w:pPr>
              <w:spacing w:after="0" w:line="240" w:lineRule="auto"/>
              <w:rPr>
                <w:rFonts w:ascii="David" w:hAnsi="David" w:cs="David"/>
                <w:color w:val="000000"/>
              </w:rPr>
            </w:pPr>
            <w:r w:rsidRPr="00B4065B">
              <w:rPr>
                <w:rFonts w:ascii="David" w:hAnsi="David" w:cs="David"/>
                <w:color w:val="000000"/>
                <w:rtl/>
              </w:rPr>
              <w:t>עניינים מנהליים/ אזרחי</w:t>
            </w:r>
          </w:p>
        </w:tc>
        <w:tc>
          <w:tcPr>
            <w:tcW w:w="2408" w:type="dxa"/>
            <w:tcBorders>
              <w:top w:val="single" w:sz="4" w:space="0" w:color="auto"/>
              <w:bottom w:val="single" w:sz="4" w:space="0" w:color="auto"/>
            </w:tcBorders>
            <w:shd w:val="clear" w:color="auto" w:fill="auto"/>
            <w:vAlign w:val="center"/>
          </w:tcPr>
          <w:p w14:paraId="72149528" w14:textId="77777777" w:rsidR="00B4065B" w:rsidRPr="00B4065B" w:rsidRDefault="00B4065B" w:rsidP="00FD5B64">
            <w:pPr>
              <w:spacing w:after="0" w:line="240" w:lineRule="auto"/>
              <w:rPr>
                <w:rFonts w:ascii="David" w:hAnsi="David" w:cs="David"/>
                <w:color w:val="000000"/>
                <w:rtl/>
              </w:rPr>
            </w:pPr>
            <w:r w:rsidRPr="00B4065B">
              <w:rPr>
                <w:rFonts w:ascii="David" w:hAnsi="David" w:cs="David"/>
                <w:color w:val="000000"/>
                <w:rtl/>
              </w:rPr>
              <w:t>תובענה ייצוגית (ת"צ)</w:t>
            </w:r>
          </w:p>
        </w:tc>
        <w:tc>
          <w:tcPr>
            <w:tcW w:w="1417" w:type="dxa"/>
            <w:tcBorders>
              <w:top w:val="single" w:sz="4" w:space="0" w:color="auto"/>
              <w:bottom w:val="single" w:sz="4" w:space="0" w:color="auto"/>
            </w:tcBorders>
            <w:vAlign w:val="center"/>
          </w:tcPr>
          <w:p w14:paraId="1AAB0F8D" w14:textId="77777777" w:rsidR="00B4065B" w:rsidRPr="00B4065B" w:rsidRDefault="00B4065B" w:rsidP="00FD5B64">
            <w:pPr>
              <w:spacing w:after="0" w:line="240" w:lineRule="auto"/>
              <w:jc w:val="center"/>
              <w:rPr>
                <w:rFonts w:ascii="David" w:hAnsi="David" w:cs="David"/>
                <w:color w:val="000000"/>
              </w:rPr>
            </w:pPr>
            <w:r w:rsidRPr="00B4065B">
              <w:rPr>
                <w:rFonts w:ascii="David" w:hAnsi="David" w:cs="David"/>
                <w:color w:val="000000"/>
              </w:rPr>
              <w:t>922</w:t>
            </w:r>
          </w:p>
        </w:tc>
        <w:tc>
          <w:tcPr>
            <w:tcW w:w="1418" w:type="dxa"/>
            <w:tcBorders>
              <w:top w:val="single" w:sz="4" w:space="0" w:color="auto"/>
              <w:bottom w:val="single" w:sz="4" w:space="0" w:color="auto"/>
            </w:tcBorders>
            <w:shd w:val="clear" w:color="auto" w:fill="auto"/>
            <w:noWrap/>
            <w:vAlign w:val="center"/>
          </w:tcPr>
          <w:p w14:paraId="2F805CFB" w14:textId="77777777" w:rsidR="00B4065B" w:rsidRPr="00B4065B" w:rsidRDefault="00B4065B" w:rsidP="00FD5B64">
            <w:pPr>
              <w:spacing w:after="0" w:line="240" w:lineRule="auto"/>
              <w:jc w:val="center"/>
              <w:rPr>
                <w:rFonts w:ascii="David" w:hAnsi="David" w:cs="David"/>
                <w:b/>
                <w:bCs/>
                <w:color w:val="000000"/>
              </w:rPr>
            </w:pPr>
            <w:r w:rsidRPr="00B4065B">
              <w:rPr>
                <w:rFonts w:ascii="David" w:hAnsi="David" w:cs="David"/>
                <w:b/>
                <w:bCs/>
                <w:color w:val="000000"/>
              </w:rPr>
              <w:t>24:58</w:t>
            </w:r>
          </w:p>
        </w:tc>
        <w:tc>
          <w:tcPr>
            <w:tcW w:w="1417" w:type="dxa"/>
            <w:tcBorders>
              <w:top w:val="single" w:sz="4" w:space="0" w:color="auto"/>
              <w:bottom w:val="single" w:sz="4" w:space="0" w:color="auto"/>
            </w:tcBorders>
            <w:vAlign w:val="center"/>
          </w:tcPr>
          <w:p w14:paraId="6A7BCAF8" w14:textId="77777777" w:rsidR="00B4065B" w:rsidRPr="00B4065B" w:rsidRDefault="00B4065B" w:rsidP="00FD5B64">
            <w:pPr>
              <w:spacing w:after="0" w:line="240" w:lineRule="auto"/>
              <w:jc w:val="center"/>
              <w:rPr>
                <w:rFonts w:ascii="David" w:hAnsi="David" w:cs="David"/>
                <w:color w:val="000000"/>
              </w:rPr>
            </w:pPr>
            <w:r w:rsidRPr="00B4065B">
              <w:rPr>
                <w:rFonts w:ascii="David" w:hAnsi="David" w:cs="David"/>
                <w:color w:val="000000"/>
              </w:rPr>
              <w:t>24:36</w:t>
            </w:r>
          </w:p>
        </w:tc>
        <w:tc>
          <w:tcPr>
            <w:tcW w:w="849" w:type="dxa"/>
            <w:tcBorders>
              <w:top w:val="single" w:sz="4" w:space="0" w:color="auto"/>
              <w:bottom w:val="single" w:sz="4" w:space="0" w:color="auto"/>
            </w:tcBorders>
            <w:vAlign w:val="center"/>
          </w:tcPr>
          <w:p w14:paraId="2A26785E" w14:textId="77777777" w:rsidR="00B4065B" w:rsidRPr="00B4065B" w:rsidRDefault="00B4065B" w:rsidP="00FD5B64">
            <w:pPr>
              <w:spacing w:after="0" w:line="240" w:lineRule="auto"/>
              <w:jc w:val="center"/>
              <w:rPr>
                <w:rFonts w:ascii="David" w:hAnsi="David" w:cs="David"/>
                <w:color w:val="000000"/>
              </w:rPr>
            </w:pPr>
            <w:r w:rsidRPr="00B4065B">
              <w:rPr>
                <w:rFonts w:ascii="David" w:hAnsi="David" w:cs="David" w:hint="cs"/>
                <w:color w:val="000000"/>
                <w:rtl/>
              </w:rPr>
              <w:t>0:22+</w:t>
            </w:r>
          </w:p>
        </w:tc>
      </w:tr>
      <w:tr w:rsidR="00B4065B" w:rsidRPr="00B4065B" w14:paraId="2784A58C" w14:textId="77777777" w:rsidTr="00FD5B64">
        <w:trPr>
          <w:trHeight w:val="300"/>
        </w:trPr>
        <w:tc>
          <w:tcPr>
            <w:tcW w:w="849" w:type="dxa"/>
            <w:tcBorders>
              <w:top w:val="single" w:sz="4" w:space="0" w:color="auto"/>
              <w:bottom w:val="single" w:sz="4" w:space="0" w:color="auto"/>
            </w:tcBorders>
            <w:shd w:val="clear" w:color="auto" w:fill="D9D9D9"/>
            <w:noWrap/>
            <w:vAlign w:val="center"/>
          </w:tcPr>
          <w:p w14:paraId="7736C9A0" w14:textId="77777777" w:rsidR="00B4065B" w:rsidRPr="00B4065B" w:rsidRDefault="00B4065B"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D9D9D9"/>
            <w:noWrap/>
            <w:vAlign w:val="center"/>
          </w:tcPr>
          <w:p w14:paraId="0BE20327" w14:textId="77777777" w:rsidR="00B4065B" w:rsidRPr="00B4065B" w:rsidRDefault="00B4065B" w:rsidP="00FD5B64">
            <w:pPr>
              <w:spacing w:after="0" w:line="240" w:lineRule="auto"/>
              <w:rPr>
                <w:rFonts w:ascii="David" w:hAnsi="David" w:cs="David"/>
                <w:color w:val="000000"/>
              </w:rPr>
            </w:pPr>
            <w:r w:rsidRPr="00B4065B">
              <w:rPr>
                <w:rFonts w:ascii="David" w:hAnsi="David" w:cs="David"/>
                <w:color w:val="000000"/>
                <w:rtl/>
              </w:rPr>
              <w:t>אזרחי</w:t>
            </w:r>
          </w:p>
        </w:tc>
        <w:tc>
          <w:tcPr>
            <w:tcW w:w="2408" w:type="dxa"/>
            <w:tcBorders>
              <w:top w:val="single" w:sz="4" w:space="0" w:color="auto"/>
              <w:bottom w:val="single" w:sz="4" w:space="0" w:color="auto"/>
            </w:tcBorders>
            <w:shd w:val="clear" w:color="auto" w:fill="D9D9D9"/>
            <w:vAlign w:val="center"/>
          </w:tcPr>
          <w:p w14:paraId="789FA4BD" w14:textId="77777777" w:rsidR="00B4065B" w:rsidRPr="00B4065B" w:rsidRDefault="00B4065B" w:rsidP="00FD5B64">
            <w:pPr>
              <w:spacing w:after="0" w:line="240" w:lineRule="auto"/>
              <w:rPr>
                <w:rFonts w:ascii="David" w:hAnsi="David" w:cs="David"/>
                <w:color w:val="000000"/>
                <w:rtl/>
              </w:rPr>
            </w:pPr>
            <w:r w:rsidRPr="00B4065B">
              <w:rPr>
                <w:rFonts w:ascii="David" w:hAnsi="David" w:cs="David"/>
                <w:color w:val="000000"/>
                <w:rtl/>
              </w:rPr>
              <w:t>תיק אזרחי בסדר דין רגיל (ת"א) - נזקי גוף - רשלנות רפואית*</w:t>
            </w:r>
            <w:r w:rsidRPr="00B4065B">
              <w:rPr>
                <w:rFonts w:ascii="David" w:hAnsi="David" w:cs="David" w:hint="cs"/>
                <w:color w:val="000000"/>
                <w:rtl/>
              </w:rPr>
              <w:t>*</w:t>
            </w:r>
          </w:p>
        </w:tc>
        <w:tc>
          <w:tcPr>
            <w:tcW w:w="1417" w:type="dxa"/>
            <w:tcBorders>
              <w:top w:val="single" w:sz="4" w:space="0" w:color="auto"/>
              <w:bottom w:val="single" w:sz="4" w:space="0" w:color="auto"/>
            </w:tcBorders>
            <w:shd w:val="clear" w:color="auto" w:fill="D9D9D9"/>
            <w:vAlign w:val="center"/>
          </w:tcPr>
          <w:p w14:paraId="1F7FE1FF" w14:textId="77777777" w:rsidR="00B4065B" w:rsidRPr="00B4065B" w:rsidRDefault="00B4065B" w:rsidP="00FD5B64">
            <w:pPr>
              <w:spacing w:after="0" w:line="240" w:lineRule="auto"/>
              <w:jc w:val="center"/>
              <w:rPr>
                <w:rFonts w:ascii="David" w:hAnsi="David" w:cs="David"/>
                <w:color w:val="000000"/>
              </w:rPr>
            </w:pPr>
            <w:r w:rsidRPr="00B4065B">
              <w:rPr>
                <w:rFonts w:ascii="David" w:hAnsi="David" w:cs="David"/>
                <w:color w:val="000000"/>
                <w:rtl/>
              </w:rPr>
              <w:t>565</w:t>
            </w:r>
          </w:p>
        </w:tc>
        <w:tc>
          <w:tcPr>
            <w:tcW w:w="1418" w:type="dxa"/>
            <w:tcBorders>
              <w:top w:val="single" w:sz="4" w:space="0" w:color="auto"/>
              <w:bottom w:val="single" w:sz="4" w:space="0" w:color="auto"/>
            </w:tcBorders>
            <w:shd w:val="clear" w:color="auto" w:fill="D9D9D9"/>
            <w:noWrap/>
            <w:vAlign w:val="center"/>
          </w:tcPr>
          <w:p w14:paraId="080DA684" w14:textId="77777777" w:rsidR="00B4065B" w:rsidRPr="00B4065B" w:rsidRDefault="00B4065B" w:rsidP="00FD5B64">
            <w:pPr>
              <w:spacing w:after="0" w:line="240" w:lineRule="auto"/>
              <w:jc w:val="center"/>
              <w:rPr>
                <w:rFonts w:ascii="David" w:hAnsi="David" w:cs="David"/>
                <w:b/>
                <w:bCs/>
                <w:color w:val="000000"/>
              </w:rPr>
            </w:pPr>
            <w:r w:rsidRPr="00B4065B">
              <w:rPr>
                <w:rFonts w:ascii="David" w:hAnsi="David" w:cs="David" w:hint="cs"/>
                <w:b/>
                <w:bCs/>
                <w:color w:val="000000"/>
                <w:rtl/>
              </w:rPr>
              <w:t>23:00</w:t>
            </w:r>
          </w:p>
        </w:tc>
        <w:tc>
          <w:tcPr>
            <w:tcW w:w="1417" w:type="dxa"/>
            <w:tcBorders>
              <w:top w:val="single" w:sz="4" w:space="0" w:color="auto"/>
              <w:bottom w:val="single" w:sz="4" w:space="0" w:color="auto"/>
            </w:tcBorders>
            <w:shd w:val="clear" w:color="auto" w:fill="D9D9D9"/>
            <w:vAlign w:val="center"/>
          </w:tcPr>
          <w:p w14:paraId="0EB9D63F" w14:textId="77777777" w:rsidR="00B4065B" w:rsidRPr="00B4065B" w:rsidRDefault="00B4065B" w:rsidP="00FD5B64">
            <w:pPr>
              <w:spacing w:after="0" w:line="240" w:lineRule="auto"/>
              <w:jc w:val="center"/>
              <w:rPr>
                <w:rFonts w:ascii="David" w:hAnsi="David" w:cs="David"/>
                <w:color w:val="000000"/>
              </w:rPr>
            </w:pPr>
            <w:r w:rsidRPr="00B4065B">
              <w:rPr>
                <w:rFonts w:ascii="David" w:hAnsi="David" w:cs="David"/>
                <w:color w:val="000000"/>
                <w:rtl/>
              </w:rPr>
              <w:t>-</w:t>
            </w:r>
          </w:p>
        </w:tc>
        <w:tc>
          <w:tcPr>
            <w:tcW w:w="849" w:type="dxa"/>
            <w:tcBorders>
              <w:top w:val="single" w:sz="4" w:space="0" w:color="auto"/>
              <w:bottom w:val="single" w:sz="4" w:space="0" w:color="auto"/>
            </w:tcBorders>
            <w:shd w:val="clear" w:color="auto" w:fill="D9D9D9"/>
            <w:vAlign w:val="center"/>
          </w:tcPr>
          <w:p w14:paraId="0A5CDC86" w14:textId="77777777" w:rsidR="00B4065B" w:rsidRPr="00B4065B" w:rsidRDefault="00B4065B" w:rsidP="00FD5B64">
            <w:pPr>
              <w:spacing w:after="0" w:line="240" w:lineRule="auto"/>
              <w:jc w:val="center"/>
              <w:rPr>
                <w:rFonts w:ascii="David" w:hAnsi="David" w:cs="David"/>
                <w:color w:val="000000"/>
              </w:rPr>
            </w:pPr>
            <w:r w:rsidRPr="00B4065B">
              <w:rPr>
                <w:rFonts w:ascii="David" w:hAnsi="David" w:cs="David"/>
                <w:color w:val="000000"/>
                <w:rtl/>
              </w:rPr>
              <w:t>-</w:t>
            </w:r>
          </w:p>
        </w:tc>
      </w:tr>
      <w:tr w:rsidR="00B4065B" w:rsidRPr="00B4065B" w14:paraId="2BA6C701" w14:textId="77777777" w:rsidTr="00FD5B64">
        <w:trPr>
          <w:trHeight w:val="600"/>
        </w:trPr>
        <w:tc>
          <w:tcPr>
            <w:tcW w:w="849" w:type="dxa"/>
            <w:tcBorders>
              <w:top w:val="single" w:sz="4" w:space="0" w:color="auto"/>
              <w:bottom w:val="single" w:sz="4" w:space="0" w:color="auto"/>
            </w:tcBorders>
            <w:shd w:val="clear" w:color="auto" w:fill="auto"/>
            <w:noWrap/>
            <w:vAlign w:val="center"/>
          </w:tcPr>
          <w:p w14:paraId="26CFAD6C" w14:textId="77777777" w:rsidR="00B4065B" w:rsidRPr="00B4065B" w:rsidRDefault="00B4065B"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auto"/>
            <w:noWrap/>
            <w:vAlign w:val="center"/>
          </w:tcPr>
          <w:p w14:paraId="083CDF9B" w14:textId="77777777" w:rsidR="00B4065B" w:rsidRPr="00B4065B" w:rsidRDefault="00B4065B" w:rsidP="00FD5B64">
            <w:pPr>
              <w:spacing w:after="0" w:line="240" w:lineRule="auto"/>
              <w:rPr>
                <w:rFonts w:ascii="David" w:hAnsi="David" w:cs="David"/>
                <w:color w:val="000000"/>
              </w:rPr>
            </w:pPr>
            <w:r w:rsidRPr="00B4065B">
              <w:rPr>
                <w:rFonts w:ascii="David" w:hAnsi="David" w:cs="David"/>
                <w:color w:val="000000"/>
                <w:rtl/>
              </w:rPr>
              <w:t>אזרחי</w:t>
            </w:r>
          </w:p>
        </w:tc>
        <w:tc>
          <w:tcPr>
            <w:tcW w:w="2408" w:type="dxa"/>
            <w:tcBorders>
              <w:top w:val="single" w:sz="4" w:space="0" w:color="auto"/>
              <w:bottom w:val="single" w:sz="4" w:space="0" w:color="auto"/>
            </w:tcBorders>
            <w:shd w:val="clear" w:color="auto" w:fill="auto"/>
            <w:vAlign w:val="center"/>
          </w:tcPr>
          <w:p w14:paraId="225AE8D8" w14:textId="77777777" w:rsidR="00B4065B" w:rsidRPr="00B4065B" w:rsidRDefault="00B4065B" w:rsidP="00FD5B64">
            <w:pPr>
              <w:spacing w:after="0" w:line="240" w:lineRule="auto"/>
              <w:rPr>
                <w:rFonts w:ascii="David" w:hAnsi="David" w:cs="David"/>
                <w:color w:val="000000"/>
                <w:rtl/>
              </w:rPr>
            </w:pPr>
            <w:r w:rsidRPr="00B4065B">
              <w:rPr>
                <w:rFonts w:ascii="David" w:hAnsi="David" w:cs="David"/>
                <w:color w:val="000000"/>
                <w:rtl/>
              </w:rPr>
              <w:t xml:space="preserve">תיק אזרחי בסדר דין רגיל (ת"א) - </w:t>
            </w:r>
            <w:r w:rsidRPr="00B4065B">
              <w:rPr>
                <w:rFonts w:ascii="David" w:hAnsi="David" w:cs="David"/>
                <w:b/>
                <w:bCs/>
                <w:color w:val="000000"/>
                <w:rtl/>
              </w:rPr>
              <w:t>משוקלל</w:t>
            </w:r>
          </w:p>
        </w:tc>
        <w:tc>
          <w:tcPr>
            <w:tcW w:w="1417" w:type="dxa"/>
            <w:tcBorders>
              <w:top w:val="single" w:sz="4" w:space="0" w:color="auto"/>
              <w:bottom w:val="single" w:sz="4" w:space="0" w:color="auto"/>
            </w:tcBorders>
            <w:vAlign w:val="center"/>
          </w:tcPr>
          <w:p w14:paraId="14A36E67" w14:textId="77777777" w:rsidR="00B4065B" w:rsidRPr="00B4065B" w:rsidRDefault="00B4065B" w:rsidP="00FD5B64">
            <w:pPr>
              <w:spacing w:after="0" w:line="240" w:lineRule="auto"/>
              <w:jc w:val="center"/>
              <w:rPr>
                <w:rFonts w:ascii="David" w:hAnsi="David" w:cs="David"/>
                <w:color w:val="000000"/>
              </w:rPr>
            </w:pPr>
            <w:r w:rsidRPr="00B4065B">
              <w:rPr>
                <w:rFonts w:ascii="David" w:hAnsi="David" w:cs="David"/>
                <w:color w:val="000000"/>
                <w:rtl/>
              </w:rPr>
              <w:t>4,881</w:t>
            </w:r>
          </w:p>
        </w:tc>
        <w:tc>
          <w:tcPr>
            <w:tcW w:w="1418" w:type="dxa"/>
            <w:tcBorders>
              <w:top w:val="single" w:sz="4" w:space="0" w:color="auto"/>
              <w:bottom w:val="single" w:sz="4" w:space="0" w:color="auto"/>
            </w:tcBorders>
            <w:shd w:val="clear" w:color="auto" w:fill="auto"/>
            <w:noWrap/>
            <w:vAlign w:val="center"/>
          </w:tcPr>
          <w:p w14:paraId="5CCF2747" w14:textId="77777777" w:rsidR="00B4065B" w:rsidRPr="00B4065B" w:rsidRDefault="00B4065B" w:rsidP="00FD5B64">
            <w:pPr>
              <w:spacing w:after="0" w:line="240" w:lineRule="auto"/>
              <w:jc w:val="center"/>
              <w:rPr>
                <w:rFonts w:ascii="David" w:hAnsi="David" w:cs="David"/>
                <w:b/>
                <w:bCs/>
                <w:color w:val="000000"/>
              </w:rPr>
            </w:pPr>
            <w:r w:rsidRPr="00B4065B">
              <w:rPr>
                <w:rFonts w:ascii="David" w:hAnsi="David" w:cs="David"/>
                <w:b/>
                <w:bCs/>
                <w:color w:val="000000"/>
                <w:rtl/>
              </w:rPr>
              <w:t>2</w:t>
            </w:r>
            <w:r w:rsidRPr="00B4065B">
              <w:rPr>
                <w:rFonts w:ascii="David" w:hAnsi="David" w:cs="David" w:hint="cs"/>
                <w:b/>
                <w:bCs/>
                <w:color w:val="000000"/>
                <w:rtl/>
              </w:rPr>
              <w:t>1</w:t>
            </w:r>
            <w:r w:rsidRPr="00B4065B">
              <w:rPr>
                <w:rFonts w:ascii="David" w:hAnsi="David" w:cs="David"/>
                <w:b/>
                <w:bCs/>
                <w:color w:val="000000"/>
                <w:rtl/>
              </w:rPr>
              <w:t>:</w:t>
            </w:r>
            <w:r w:rsidRPr="00B4065B">
              <w:rPr>
                <w:rFonts w:ascii="David" w:hAnsi="David" w:cs="David" w:hint="cs"/>
                <w:b/>
                <w:bCs/>
                <w:color w:val="000000"/>
                <w:rtl/>
              </w:rPr>
              <w:t>21</w:t>
            </w:r>
          </w:p>
        </w:tc>
        <w:tc>
          <w:tcPr>
            <w:tcW w:w="1417" w:type="dxa"/>
            <w:tcBorders>
              <w:top w:val="single" w:sz="4" w:space="0" w:color="auto"/>
              <w:bottom w:val="single" w:sz="4" w:space="0" w:color="auto"/>
            </w:tcBorders>
            <w:vAlign w:val="center"/>
          </w:tcPr>
          <w:p w14:paraId="1222C209" w14:textId="77777777" w:rsidR="00B4065B" w:rsidRPr="00B4065B" w:rsidRDefault="00B4065B" w:rsidP="00FD5B64">
            <w:pPr>
              <w:spacing w:after="0" w:line="240" w:lineRule="auto"/>
              <w:jc w:val="center"/>
              <w:rPr>
                <w:rFonts w:ascii="David" w:hAnsi="David" w:cs="David"/>
                <w:color w:val="000000"/>
              </w:rPr>
            </w:pPr>
            <w:r w:rsidRPr="00B4065B">
              <w:rPr>
                <w:rFonts w:ascii="David" w:hAnsi="David" w:cs="David"/>
                <w:color w:val="000000"/>
                <w:rtl/>
              </w:rPr>
              <w:t>21:28</w:t>
            </w:r>
          </w:p>
        </w:tc>
        <w:tc>
          <w:tcPr>
            <w:tcW w:w="849" w:type="dxa"/>
            <w:tcBorders>
              <w:top w:val="single" w:sz="4" w:space="0" w:color="auto"/>
              <w:bottom w:val="single" w:sz="4" w:space="0" w:color="auto"/>
            </w:tcBorders>
            <w:vAlign w:val="center"/>
          </w:tcPr>
          <w:p w14:paraId="5A7A94AE" w14:textId="77777777" w:rsidR="00B4065B" w:rsidRPr="00B4065B" w:rsidRDefault="00B4065B" w:rsidP="00FD5B64">
            <w:pPr>
              <w:spacing w:after="0" w:line="240" w:lineRule="auto"/>
              <w:jc w:val="center"/>
              <w:rPr>
                <w:rFonts w:ascii="David" w:hAnsi="David" w:cs="David"/>
                <w:color w:val="000000"/>
              </w:rPr>
            </w:pPr>
            <w:r w:rsidRPr="00B4065B">
              <w:rPr>
                <w:rFonts w:ascii="David" w:hAnsi="David" w:cs="David" w:hint="cs"/>
                <w:color w:val="000000"/>
                <w:rtl/>
              </w:rPr>
              <w:t>0:07-</w:t>
            </w:r>
          </w:p>
        </w:tc>
      </w:tr>
      <w:tr w:rsidR="00B4065B" w:rsidRPr="00B4065B" w14:paraId="0A1B185E" w14:textId="77777777" w:rsidTr="00FD5B64">
        <w:trPr>
          <w:trHeight w:val="471"/>
        </w:trPr>
        <w:tc>
          <w:tcPr>
            <w:tcW w:w="849" w:type="dxa"/>
            <w:tcBorders>
              <w:top w:val="single" w:sz="4" w:space="0" w:color="auto"/>
              <w:bottom w:val="single" w:sz="4" w:space="0" w:color="auto"/>
            </w:tcBorders>
            <w:shd w:val="clear" w:color="auto" w:fill="D9D9D9"/>
            <w:noWrap/>
            <w:vAlign w:val="center"/>
          </w:tcPr>
          <w:p w14:paraId="382D4B81" w14:textId="77777777" w:rsidR="00B4065B" w:rsidRPr="00B4065B" w:rsidRDefault="00B4065B"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D9D9D9"/>
            <w:noWrap/>
            <w:vAlign w:val="center"/>
          </w:tcPr>
          <w:p w14:paraId="3CB65B0C" w14:textId="77777777" w:rsidR="00B4065B" w:rsidRPr="00B4065B" w:rsidRDefault="00B4065B" w:rsidP="00FD5B64">
            <w:pPr>
              <w:spacing w:after="0" w:line="240" w:lineRule="auto"/>
              <w:rPr>
                <w:rFonts w:ascii="David" w:hAnsi="David" w:cs="David"/>
                <w:color w:val="000000"/>
              </w:rPr>
            </w:pPr>
            <w:r w:rsidRPr="00B4065B">
              <w:rPr>
                <w:rFonts w:ascii="David" w:hAnsi="David" w:cs="David"/>
                <w:color w:val="000000"/>
                <w:rtl/>
              </w:rPr>
              <w:t>אזרחי</w:t>
            </w:r>
          </w:p>
        </w:tc>
        <w:tc>
          <w:tcPr>
            <w:tcW w:w="2408" w:type="dxa"/>
            <w:tcBorders>
              <w:top w:val="single" w:sz="4" w:space="0" w:color="auto"/>
              <w:bottom w:val="single" w:sz="4" w:space="0" w:color="auto"/>
            </w:tcBorders>
            <w:shd w:val="clear" w:color="auto" w:fill="D9D9D9"/>
            <w:vAlign w:val="center"/>
          </w:tcPr>
          <w:p w14:paraId="3ACFA444" w14:textId="77777777" w:rsidR="00B4065B" w:rsidRPr="00B4065B" w:rsidRDefault="00B4065B" w:rsidP="00FD5B64">
            <w:pPr>
              <w:spacing w:after="0" w:line="240" w:lineRule="auto"/>
              <w:rPr>
                <w:rFonts w:ascii="David" w:hAnsi="David" w:cs="David"/>
                <w:color w:val="000000"/>
                <w:rtl/>
              </w:rPr>
            </w:pPr>
            <w:r w:rsidRPr="00B4065B">
              <w:rPr>
                <w:rFonts w:ascii="David" w:hAnsi="David" w:cs="David"/>
                <w:color w:val="000000"/>
                <w:rtl/>
              </w:rPr>
              <w:t>תיק אזרחי בסדר דין רגיל (ת"א) - פלת"ד</w:t>
            </w:r>
          </w:p>
        </w:tc>
        <w:tc>
          <w:tcPr>
            <w:tcW w:w="1417" w:type="dxa"/>
            <w:tcBorders>
              <w:top w:val="single" w:sz="4" w:space="0" w:color="auto"/>
              <w:bottom w:val="single" w:sz="4" w:space="0" w:color="auto"/>
            </w:tcBorders>
            <w:shd w:val="clear" w:color="auto" w:fill="D9D9D9"/>
            <w:vAlign w:val="center"/>
          </w:tcPr>
          <w:p w14:paraId="4ADD946D" w14:textId="77777777" w:rsidR="00B4065B" w:rsidRPr="00B4065B" w:rsidRDefault="00B4065B" w:rsidP="00FD5B64">
            <w:pPr>
              <w:spacing w:after="0" w:line="240" w:lineRule="auto"/>
              <w:jc w:val="center"/>
              <w:rPr>
                <w:rFonts w:ascii="David" w:hAnsi="David" w:cs="David"/>
                <w:color w:val="000000"/>
              </w:rPr>
            </w:pPr>
            <w:r w:rsidRPr="00B4065B">
              <w:rPr>
                <w:rFonts w:ascii="David" w:hAnsi="David" w:cs="David"/>
                <w:color w:val="000000"/>
              </w:rPr>
              <w:t>353</w:t>
            </w:r>
          </w:p>
        </w:tc>
        <w:tc>
          <w:tcPr>
            <w:tcW w:w="1418" w:type="dxa"/>
            <w:tcBorders>
              <w:top w:val="single" w:sz="4" w:space="0" w:color="auto"/>
              <w:bottom w:val="single" w:sz="4" w:space="0" w:color="auto"/>
            </w:tcBorders>
            <w:shd w:val="clear" w:color="auto" w:fill="D9D9D9"/>
            <w:noWrap/>
            <w:vAlign w:val="center"/>
          </w:tcPr>
          <w:p w14:paraId="3193FDA1" w14:textId="77777777" w:rsidR="00B4065B" w:rsidRPr="00B4065B" w:rsidRDefault="00B4065B" w:rsidP="00FD5B64">
            <w:pPr>
              <w:spacing w:after="0" w:line="240" w:lineRule="auto"/>
              <w:jc w:val="center"/>
              <w:rPr>
                <w:rFonts w:ascii="David" w:hAnsi="David" w:cs="David"/>
                <w:b/>
                <w:bCs/>
                <w:color w:val="000000"/>
              </w:rPr>
            </w:pPr>
            <w:r w:rsidRPr="00B4065B">
              <w:rPr>
                <w:rFonts w:ascii="David" w:hAnsi="David" w:cs="David"/>
                <w:b/>
                <w:bCs/>
                <w:color w:val="000000"/>
              </w:rPr>
              <w:t>17:49</w:t>
            </w:r>
          </w:p>
        </w:tc>
        <w:tc>
          <w:tcPr>
            <w:tcW w:w="1417" w:type="dxa"/>
            <w:tcBorders>
              <w:top w:val="single" w:sz="4" w:space="0" w:color="auto"/>
              <w:bottom w:val="single" w:sz="4" w:space="0" w:color="auto"/>
            </w:tcBorders>
            <w:shd w:val="clear" w:color="auto" w:fill="D9D9D9"/>
            <w:vAlign w:val="center"/>
          </w:tcPr>
          <w:p w14:paraId="1575CFC6" w14:textId="77777777" w:rsidR="00B4065B" w:rsidRPr="00B4065B" w:rsidRDefault="00B4065B" w:rsidP="00FD5B64">
            <w:pPr>
              <w:spacing w:after="0" w:line="240" w:lineRule="auto"/>
              <w:jc w:val="center"/>
              <w:rPr>
                <w:rFonts w:ascii="David" w:hAnsi="David" w:cs="David"/>
                <w:color w:val="000000"/>
              </w:rPr>
            </w:pPr>
            <w:r w:rsidRPr="00B4065B">
              <w:rPr>
                <w:rFonts w:ascii="David" w:hAnsi="David" w:cs="David"/>
                <w:color w:val="000000"/>
              </w:rPr>
              <w:t>-</w:t>
            </w:r>
          </w:p>
        </w:tc>
        <w:tc>
          <w:tcPr>
            <w:tcW w:w="849" w:type="dxa"/>
            <w:tcBorders>
              <w:top w:val="single" w:sz="4" w:space="0" w:color="auto"/>
              <w:bottom w:val="single" w:sz="4" w:space="0" w:color="auto"/>
            </w:tcBorders>
            <w:shd w:val="clear" w:color="auto" w:fill="D9D9D9"/>
            <w:vAlign w:val="center"/>
          </w:tcPr>
          <w:p w14:paraId="63B0A0F1" w14:textId="77777777" w:rsidR="00B4065B" w:rsidRPr="00B4065B" w:rsidRDefault="00B4065B" w:rsidP="00FD5B64">
            <w:pPr>
              <w:spacing w:after="0" w:line="240" w:lineRule="auto"/>
              <w:jc w:val="center"/>
              <w:rPr>
                <w:rFonts w:ascii="David" w:hAnsi="David" w:cs="David"/>
                <w:color w:val="000000"/>
                <w:rtl/>
              </w:rPr>
            </w:pPr>
            <w:r w:rsidRPr="00B4065B">
              <w:rPr>
                <w:rFonts w:ascii="David" w:hAnsi="David" w:cs="David"/>
                <w:color w:val="000000"/>
              </w:rPr>
              <w:t>-</w:t>
            </w:r>
          </w:p>
        </w:tc>
      </w:tr>
      <w:tr w:rsidR="00B4065B" w:rsidRPr="00B4065B" w14:paraId="1F4C85B0" w14:textId="77777777" w:rsidTr="00FD5B64">
        <w:trPr>
          <w:trHeight w:val="458"/>
        </w:trPr>
        <w:tc>
          <w:tcPr>
            <w:tcW w:w="849" w:type="dxa"/>
            <w:tcBorders>
              <w:top w:val="single" w:sz="4" w:space="0" w:color="auto"/>
              <w:bottom w:val="single" w:sz="4" w:space="0" w:color="auto"/>
            </w:tcBorders>
            <w:shd w:val="clear" w:color="auto" w:fill="auto"/>
            <w:noWrap/>
            <w:vAlign w:val="center"/>
          </w:tcPr>
          <w:p w14:paraId="4C828751" w14:textId="77777777" w:rsidR="00B4065B" w:rsidRPr="00B4065B" w:rsidRDefault="00B4065B"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auto"/>
            <w:noWrap/>
            <w:vAlign w:val="center"/>
          </w:tcPr>
          <w:p w14:paraId="468E1EF8" w14:textId="77777777" w:rsidR="00B4065B" w:rsidRPr="00B4065B" w:rsidRDefault="00B4065B" w:rsidP="00FD5B64">
            <w:pPr>
              <w:spacing w:after="0" w:line="240" w:lineRule="auto"/>
              <w:rPr>
                <w:rFonts w:ascii="David" w:hAnsi="David" w:cs="David"/>
                <w:color w:val="000000"/>
              </w:rPr>
            </w:pPr>
            <w:r w:rsidRPr="00B4065B">
              <w:rPr>
                <w:rFonts w:ascii="David" w:hAnsi="David" w:cs="David"/>
                <w:color w:val="000000"/>
                <w:rtl/>
              </w:rPr>
              <w:t>ערעור פלילי</w:t>
            </w:r>
          </w:p>
        </w:tc>
        <w:tc>
          <w:tcPr>
            <w:tcW w:w="2408" w:type="dxa"/>
            <w:tcBorders>
              <w:top w:val="single" w:sz="4" w:space="0" w:color="auto"/>
              <w:bottom w:val="single" w:sz="4" w:space="0" w:color="auto"/>
            </w:tcBorders>
            <w:shd w:val="clear" w:color="auto" w:fill="auto"/>
            <w:vAlign w:val="center"/>
          </w:tcPr>
          <w:p w14:paraId="5546E330" w14:textId="77777777" w:rsidR="00B4065B" w:rsidRPr="00B4065B" w:rsidRDefault="00B4065B" w:rsidP="00FD5B64">
            <w:pPr>
              <w:spacing w:after="0" w:line="240" w:lineRule="auto"/>
              <w:rPr>
                <w:rFonts w:ascii="David" w:hAnsi="David" w:cs="David"/>
                <w:color w:val="000000"/>
                <w:rtl/>
              </w:rPr>
            </w:pPr>
            <w:r w:rsidRPr="00B4065B">
              <w:rPr>
                <w:rFonts w:ascii="David" w:hAnsi="David" w:cs="David"/>
                <w:color w:val="000000"/>
                <w:rtl/>
              </w:rPr>
              <w:t>ערעור פלילי (ע"פ) - הרכב</w:t>
            </w:r>
          </w:p>
        </w:tc>
        <w:tc>
          <w:tcPr>
            <w:tcW w:w="1417" w:type="dxa"/>
            <w:tcBorders>
              <w:top w:val="single" w:sz="4" w:space="0" w:color="auto"/>
              <w:bottom w:val="single" w:sz="4" w:space="0" w:color="auto"/>
            </w:tcBorders>
            <w:vAlign w:val="center"/>
          </w:tcPr>
          <w:p w14:paraId="1B869323" w14:textId="77777777" w:rsidR="00B4065B" w:rsidRPr="00B4065B" w:rsidRDefault="00B4065B" w:rsidP="00FD5B64">
            <w:pPr>
              <w:spacing w:after="0" w:line="240" w:lineRule="auto"/>
              <w:jc w:val="center"/>
              <w:rPr>
                <w:rFonts w:ascii="David" w:hAnsi="David" w:cs="David"/>
                <w:color w:val="000000"/>
                <w:rtl/>
              </w:rPr>
            </w:pPr>
            <w:r w:rsidRPr="00B4065B">
              <w:rPr>
                <w:rFonts w:ascii="David" w:hAnsi="David" w:cs="David"/>
                <w:color w:val="000000"/>
              </w:rPr>
              <w:t>366</w:t>
            </w:r>
          </w:p>
        </w:tc>
        <w:tc>
          <w:tcPr>
            <w:tcW w:w="1418" w:type="dxa"/>
            <w:tcBorders>
              <w:top w:val="single" w:sz="4" w:space="0" w:color="auto"/>
              <w:bottom w:val="single" w:sz="4" w:space="0" w:color="auto"/>
            </w:tcBorders>
            <w:shd w:val="clear" w:color="auto" w:fill="auto"/>
            <w:noWrap/>
            <w:vAlign w:val="center"/>
          </w:tcPr>
          <w:p w14:paraId="14C7725F" w14:textId="77777777" w:rsidR="00B4065B" w:rsidRPr="00B4065B" w:rsidRDefault="00B4065B" w:rsidP="00FD5B64">
            <w:pPr>
              <w:spacing w:after="0" w:line="240" w:lineRule="auto"/>
              <w:jc w:val="center"/>
              <w:rPr>
                <w:rFonts w:ascii="David" w:hAnsi="David" w:cs="David"/>
                <w:b/>
                <w:bCs/>
                <w:color w:val="000000"/>
              </w:rPr>
            </w:pPr>
            <w:r w:rsidRPr="00B4065B">
              <w:rPr>
                <w:rFonts w:ascii="David" w:hAnsi="David" w:cs="David" w:hint="cs"/>
                <w:b/>
                <w:bCs/>
                <w:color w:val="000000"/>
                <w:rtl/>
              </w:rPr>
              <w:t>15:03</w:t>
            </w:r>
          </w:p>
        </w:tc>
        <w:tc>
          <w:tcPr>
            <w:tcW w:w="1417" w:type="dxa"/>
            <w:tcBorders>
              <w:top w:val="single" w:sz="4" w:space="0" w:color="auto"/>
              <w:bottom w:val="single" w:sz="4" w:space="0" w:color="auto"/>
            </w:tcBorders>
            <w:vAlign w:val="center"/>
          </w:tcPr>
          <w:p w14:paraId="427B5305" w14:textId="77777777" w:rsidR="00B4065B" w:rsidRPr="00B4065B" w:rsidRDefault="00B4065B" w:rsidP="00FD5B64">
            <w:pPr>
              <w:spacing w:after="0" w:line="240" w:lineRule="auto"/>
              <w:jc w:val="center"/>
              <w:rPr>
                <w:rFonts w:ascii="David" w:hAnsi="David" w:cs="David"/>
                <w:color w:val="000000"/>
              </w:rPr>
            </w:pPr>
            <w:r w:rsidRPr="00B4065B">
              <w:rPr>
                <w:rFonts w:ascii="David" w:hAnsi="David" w:cs="David" w:hint="cs"/>
                <w:color w:val="000000"/>
                <w:rtl/>
              </w:rPr>
              <w:t>-</w:t>
            </w:r>
          </w:p>
        </w:tc>
        <w:tc>
          <w:tcPr>
            <w:tcW w:w="849" w:type="dxa"/>
            <w:tcBorders>
              <w:top w:val="single" w:sz="4" w:space="0" w:color="auto"/>
              <w:bottom w:val="single" w:sz="4" w:space="0" w:color="auto"/>
            </w:tcBorders>
            <w:vAlign w:val="center"/>
          </w:tcPr>
          <w:p w14:paraId="102CBC9D" w14:textId="77777777" w:rsidR="00B4065B" w:rsidRPr="00B4065B" w:rsidRDefault="00B4065B" w:rsidP="00FD5B64">
            <w:pPr>
              <w:spacing w:after="0" w:line="240" w:lineRule="auto"/>
              <w:jc w:val="center"/>
              <w:rPr>
                <w:rFonts w:ascii="David" w:hAnsi="David" w:cs="David"/>
                <w:color w:val="000000"/>
              </w:rPr>
            </w:pPr>
            <w:r w:rsidRPr="00B4065B">
              <w:rPr>
                <w:rFonts w:ascii="David" w:hAnsi="David" w:cs="David" w:hint="cs"/>
                <w:color w:val="000000"/>
                <w:rtl/>
              </w:rPr>
              <w:t>-</w:t>
            </w:r>
          </w:p>
        </w:tc>
      </w:tr>
      <w:tr w:rsidR="00B4065B" w:rsidRPr="00B4065B" w14:paraId="43370509" w14:textId="77777777" w:rsidTr="00FD5B64">
        <w:trPr>
          <w:trHeight w:val="788"/>
        </w:trPr>
        <w:tc>
          <w:tcPr>
            <w:tcW w:w="849" w:type="dxa"/>
            <w:tcBorders>
              <w:top w:val="single" w:sz="4" w:space="0" w:color="auto"/>
              <w:bottom w:val="single" w:sz="4" w:space="0" w:color="auto"/>
            </w:tcBorders>
            <w:shd w:val="clear" w:color="auto" w:fill="D9D9D9"/>
            <w:noWrap/>
            <w:vAlign w:val="center"/>
          </w:tcPr>
          <w:p w14:paraId="55B182AF" w14:textId="77777777" w:rsidR="00B4065B" w:rsidRPr="00B4065B" w:rsidRDefault="00B4065B"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D9D9D9"/>
            <w:noWrap/>
            <w:vAlign w:val="center"/>
          </w:tcPr>
          <w:p w14:paraId="15EF53EF" w14:textId="77777777" w:rsidR="00B4065B" w:rsidRPr="00B4065B" w:rsidRDefault="00B4065B" w:rsidP="00FD5B64">
            <w:pPr>
              <w:spacing w:after="0" w:line="240" w:lineRule="auto"/>
              <w:rPr>
                <w:rFonts w:ascii="David" w:hAnsi="David" w:cs="David"/>
                <w:color w:val="000000"/>
              </w:rPr>
            </w:pPr>
            <w:r w:rsidRPr="00B4065B">
              <w:rPr>
                <w:rFonts w:ascii="David" w:hAnsi="David" w:cs="David"/>
                <w:color w:val="000000"/>
                <w:rtl/>
              </w:rPr>
              <w:t>אזרחי</w:t>
            </w:r>
          </w:p>
        </w:tc>
        <w:tc>
          <w:tcPr>
            <w:tcW w:w="2408" w:type="dxa"/>
            <w:tcBorders>
              <w:top w:val="single" w:sz="4" w:space="0" w:color="auto"/>
              <w:bottom w:val="single" w:sz="4" w:space="0" w:color="auto"/>
            </w:tcBorders>
            <w:shd w:val="clear" w:color="auto" w:fill="D9D9D9"/>
            <w:vAlign w:val="center"/>
          </w:tcPr>
          <w:p w14:paraId="1973C1EE" w14:textId="77777777" w:rsidR="00B4065B" w:rsidRPr="00B4065B" w:rsidRDefault="00B4065B" w:rsidP="00FD5B64">
            <w:pPr>
              <w:spacing w:after="0" w:line="240" w:lineRule="auto"/>
              <w:rPr>
                <w:rFonts w:ascii="David" w:hAnsi="David" w:cs="David"/>
                <w:color w:val="000000"/>
                <w:rtl/>
              </w:rPr>
            </w:pPr>
            <w:r w:rsidRPr="00B4065B">
              <w:rPr>
                <w:rFonts w:ascii="David" w:hAnsi="David" w:cs="David"/>
                <w:color w:val="000000"/>
                <w:rtl/>
              </w:rPr>
              <w:t>תיק אזרחי בסדר דין רגיל (ת"א) - תקנה 3 (אגרות)</w:t>
            </w:r>
          </w:p>
        </w:tc>
        <w:tc>
          <w:tcPr>
            <w:tcW w:w="1417" w:type="dxa"/>
            <w:tcBorders>
              <w:top w:val="single" w:sz="4" w:space="0" w:color="auto"/>
              <w:bottom w:val="single" w:sz="4" w:space="0" w:color="auto"/>
            </w:tcBorders>
            <w:shd w:val="clear" w:color="auto" w:fill="D9D9D9"/>
            <w:vAlign w:val="center"/>
          </w:tcPr>
          <w:p w14:paraId="08E39397" w14:textId="77777777" w:rsidR="00B4065B" w:rsidRPr="00B4065B" w:rsidRDefault="00B4065B" w:rsidP="00FD5B64">
            <w:pPr>
              <w:spacing w:after="0" w:line="240" w:lineRule="auto"/>
              <w:jc w:val="center"/>
              <w:rPr>
                <w:rFonts w:ascii="David" w:hAnsi="David" w:cs="David"/>
                <w:color w:val="000000"/>
                <w:rtl/>
              </w:rPr>
            </w:pPr>
            <w:r w:rsidRPr="00B4065B">
              <w:rPr>
                <w:rFonts w:ascii="David" w:hAnsi="David" w:cs="David"/>
                <w:color w:val="000000"/>
              </w:rPr>
              <w:t>1,272</w:t>
            </w:r>
          </w:p>
        </w:tc>
        <w:tc>
          <w:tcPr>
            <w:tcW w:w="1418" w:type="dxa"/>
            <w:tcBorders>
              <w:top w:val="single" w:sz="4" w:space="0" w:color="auto"/>
              <w:bottom w:val="single" w:sz="4" w:space="0" w:color="auto"/>
            </w:tcBorders>
            <w:shd w:val="clear" w:color="auto" w:fill="D9D9D9"/>
            <w:noWrap/>
            <w:vAlign w:val="center"/>
          </w:tcPr>
          <w:p w14:paraId="1DA1D050" w14:textId="77777777" w:rsidR="00B4065B" w:rsidRPr="00FD5B64" w:rsidRDefault="00B4065B" w:rsidP="00FD5B64">
            <w:pPr>
              <w:spacing w:after="0" w:line="240" w:lineRule="auto"/>
              <w:jc w:val="center"/>
              <w:rPr>
                <w:rFonts w:asciiTheme="minorHAnsi" w:hAnsiTheme="minorHAnsi" w:cs="David"/>
                <w:b/>
                <w:bCs/>
                <w:color w:val="000000"/>
              </w:rPr>
            </w:pPr>
            <w:r w:rsidRPr="00B4065B">
              <w:rPr>
                <w:rFonts w:ascii="David" w:hAnsi="David" w:cs="David"/>
                <w:b/>
                <w:bCs/>
                <w:color w:val="000000"/>
              </w:rPr>
              <w:t>14:35</w:t>
            </w:r>
          </w:p>
        </w:tc>
        <w:tc>
          <w:tcPr>
            <w:tcW w:w="1417" w:type="dxa"/>
            <w:tcBorders>
              <w:top w:val="single" w:sz="4" w:space="0" w:color="auto"/>
              <w:bottom w:val="single" w:sz="4" w:space="0" w:color="auto"/>
            </w:tcBorders>
            <w:shd w:val="clear" w:color="auto" w:fill="D9D9D9"/>
            <w:vAlign w:val="center"/>
          </w:tcPr>
          <w:p w14:paraId="63C15956" w14:textId="77777777" w:rsidR="00B4065B" w:rsidRPr="00B4065B" w:rsidRDefault="00B4065B" w:rsidP="00FD5B64">
            <w:pPr>
              <w:spacing w:after="0" w:line="240" w:lineRule="auto"/>
              <w:jc w:val="center"/>
              <w:rPr>
                <w:rFonts w:ascii="David" w:hAnsi="David" w:cs="David"/>
                <w:color w:val="000000"/>
              </w:rPr>
            </w:pPr>
            <w:r w:rsidRPr="00B4065B">
              <w:rPr>
                <w:rFonts w:ascii="David" w:hAnsi="David" w:cs="David"/>
                <w:color w:val="000000"/>
                <w:rtl/>
              </w:rPr>
              <w:t>-</w:t>
            </w:r>
          </w:p>
        </w:tc>
        <w:tc>
          <w:tcPr>
            <w:tcW w:w="849" w:type="dxa"/>
            <w:tcBorders>
              <w:top w:val="single" w:sz="4" w:space="0" w:color="auto"/>
              <w:bottom w:val="single" w:sz="4" w:space="0" w:color="auto"/>
            </w:tcBorders>
            <w:shd w:val="clear" w:color="auto" w:fill="D9D9D9"/>
            <w:vAlign w:val="center"/>
          </w:tcPr>
          <w:p w14:paraId="0B8D3500" w14:textId="77777777" w:rsidR="00B4065B" w:rsidRPr="00B4065B" w:rsidRDefault="00B4065B" w:rsidP="00FD5B64">
            <w:pPr>
              <w:spacing w:after="0" w:line="240" w:lineRule="auto"/>
              <w:jc w:val="center"/>
              <w:rPr>
                <w:rFonts w:ascii="David" w:hAnsi="David" w:cs="David"/>
                <w:color w:val="000000"/>
                <w:rtl/>
              </w:rPr>
            </w:pPr>
            <w:r w:rsidRPr="00B4065B">
              <w:rPr>
                <w:rFonts w:ascii="David" w:hAnsi="David" w:cs="David"/>
                <w:color w:val="000000"/>
                <w:rtl/>
              </w:rPr>
              <w:t>-</w:t>
            </w:r>
          </w:p>
        </w:tc>
      </w:tr>
      <w:tr w:rsidR="00B4065B" w:rsidRPr="00B4065B" w14:paraId="5E7DD678" w14:textId="77777777" w:rsidTr="00FD5B64">
        <w:trPr>
          <w:trHeight w:val="788"/>
        </w:trPr>
        <w:tc>
          <w:tcPr>
            <w:tcW w:w="849" w:type="dxa"/>
            <w:tcBorders>
              <w:top w:val="single" w:sz="4" w:space="0" w:color="auto"/>
              <w:bottom w:val="single" w:sz="4" w:space="0" w:color="auto"/>
            </w:tcBorders>
            <w:shd w:val="clear" w:color="auto" w:fill="auto"/>
            <w:noWrap/>
            <w:vAlign w:val="center"/>
          </w:tcPr>
          <w:p w14:paraId="30C9016A" w14:textId="77777777" w:rsidR="00B4065B" w:rsidRPr="00B4065B" w:rsidRDefault="00B4065B"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auto"/>
            <w:noWrap/>
            <w:vAlign w:val="center"/>
          </w:tcPr>
          <w:p w14:paraId="2A47FC80" w14:textId="77777777" w:rsidR="00B4065B" w:rsidRPr="00B4065B" w:rsidRDefault="00B4065B" w:rsidP="00FD5B64">
            <w:pPr>
              <w:spacing w:after="0" w:line="240" w:lineRule="auto"/>
              <w:rPr>
                <w:rFonts w:ascii="David" w:hAnsi="David" w:cs="David"/>
                <w:color w:val="000000"/>
              </w:rPr>
            </w:pPr>
            <w:r w:rsidRPr="00B4065B">
              <w:rPr>
                <w:rFonts w:ascii="David" w:hAnsi="David" w:cs="David"/>
                <w:color w:val="000000"/>
                <w:rtl/>
              </w:rPr>
              <w:t>ערעור פלילי</w:t>
            </w:r>
          </w:p>
        </w:tc>
        <w:tc>
          <w:tcPr>
            <w:tcW w:w="2408" w:type="dxa"/>
            <w:tcBorders>
              <w:top w:val="single" w:sz="4" w:space="0" w:color="auto"/>
              <w:bottom w:val="single" w:sz="4" w:space="0" w:color="auto"/>
            </w:tcBorders>
            <w:shd w:val="clear" w:color="auto" w:fill="auto"/>
            <w:vAlign w:val="center"/>
          </w:tcPr>
          <w:p w14:paraId="26AE8ECC" w14:textId="77777777" w:rsidR="00B4065B" w:rsidRPr="00B4065B" w:rsidRDefault="00B4065B" w:rsidP="00FD5B64">
            <w:pPr>
              <w:rPr>
                <w:rFonts w:ascii="David" w:hAnsi="David" w:cs="David"/>
                <w:color w:val="000000"/>
                <w:rtl/>
              </w:rPr>
            </w:pPr>
            <w:r w:rsidRPr="00B4065B">
              <w:rPr>
                <w:rFonts w:ascii="David" w:hAnsi="David" w:cs="David"/>
                <w:color w:val="000000"/>
                <w:rtl/>
              </w:rPr>
              <w:t>ערעור פלילי (ע"פ</w:t>
            </w:r>
            <w:r w:rsidRPr="00B4065B">
              <w:rPr>
                <w:rFonts w:ascii="David" w:hAnsi="David" w:cs="David" w:hint="cs"/>
                <w:color w:val="000000"/>
                <w:rtl/>
              </w:rPr>
              <w:t xml:space="preserve">) </w:t>
            </w:r>
            <w:r w:rsidRPr="00B4065B">
              <w:rPr>
                <w:rFonts w:ascii="David" w:hAnsi="David" w:cs="David"/>
                <w:color w:val="000000"/>
                <w:rtl/>
              </w:rPr>
              <w:t xml:space="preserve">– </w:t>
            </w:r>
            <w:r w:rsidRPr="00B4065B">
              <w:rPr>
                <w:rFonts w:ascii="David" w:hAnsi="David" w:cs="David" w:hint="cs"/>
                <w:b/>
                <w:bCs/>
                <w:color w:val="000000"/>
                <w:rtl/>
              </w:rPr>
              <w:t xml:space="preserve">משוקלל </w:t>
            </w:r>
            <w:r w:rsidRPr="00B4065B">
              <w:rPr>
                <w:rStyle w:val="a6"/>
                <w:rFonts w:ascii="David" w:hAnsi="David" w:cs="David"/>
                <w:color w:val="000000"/>
                <w:rtl/>
              </w:rPr>
              <w:footnoteReference w:id="23"/>
            </w:r>
          </w:p>
        </w:tc>
        <w:tc>
          <w:tcPr>
            <w:tcW w:w="1417" w:type="dxa"/>
            <w:tcBorders>
              <w:top w:val="single" w:sz="4" w:space="0" w:color="auto"/>
              <w:bottom w:val="single" w:sz="4" w:space="0" w:color="auto"/>
            </w:tcBorders>
            <w:shd w:val="clear" w:color="auto" w:fill="auto"/>
            <w:vAlign w:val="center"/>
          </w:tcPr>
          <w:p w14:paraId="11A8E8DA" w14:textId="77777777" w:rsidR="00B4065B" w:rsidRPr="00B4065B" w:rsidRDefault="00B4065B" w:rsidP="00FD5B64">
            <w:pPr>
              <w:spacing w:after="0" w:line="240" w:lineRule="auto"/>
              <w:jc w:val="center"/>
              <w:rPr>
                <w:rFonts w:ascii="David" w:hAnsi="David" w:cs="David"/>
                <w:color w:val="000000"/>
              </w:rPr>
            </w:pPr>
            <w:r w:rsidRPr="00B4065B">
              <w:rPr>
                <w:rFonts w:ascii="David" w:hAnsi="David" w:cs="David"/>
                <w:color w:val="000000"/>
              </w:rPr>
              <w:t>462</w:t>
            </w:r>
          </w:p>
        </w:tc>
        <w:tc>
          <w:tcPr>
            <w:tcW w:w="1418" w:type="dxa"/>
            <w:tcBorders>
              <w:top w:val="single" w:sz="4" w:space="0" w:color="auto"/>
              <w:bottom w:val="single" w:sz="4" w:space="0" w:color="auto"/>
            </w:tcBorders>
            <w:shd w:val="clear" w:color="auto" w:fill="auto"/>
            <w:noWrap/>
            <w:vAlign w:val="center"/>
          </w:tcPr>
          <w:p w14:paraId="17F9A447" w14:textId="77777777" w:rsidR="00B4065B" w:rsidRPr="00B4065B" w:rsidRDefault="00B4065B" w:rsidP="00FD5B64">
            <w:pPr>
              <w:spacing w:after="0" w:line="240" w:lineRule="auto"/>
              <w:jc w:val="center"/>
              <w:rPr>
                <w:rFonts w:ascii="David" w:hAnsi="David" w:cs="David"/>
                <w:b/>
                <w:bCs/>
                <w:color w:val="000000"/>
                <w:rtl/>
              </w:rPr>
            </w:pPr>
            <w:r w:rsidRPr="00B4065B">
              <w:rPr>
                <w:rFonts w:ascii="David" w:hAnsi="David" w:cs="David" w:hint="cs"/>
                <w:b/>
                <w:bCs/>
                <w:color w:val="000000"/>
                <w:rtl/>
              </w:rPr>
              <w:t>13:29</w:t>
            </w:r>
          </w:p>
        </w:tc>
        <w:tc>
          <w:tcPr>
            <w:tcW w:w="1417" w:type="dxa"/>
            <w:tcBorders>
              <w:top w:val="single" w:sz="4" w:space="0" w:color="auto"/>
              <w:bottom w:val="single" w:sz="4" w:space="0" w:color="auto"/>
            </w:tcBorders>
            <w:shd w:val="clear" w:color="auto" w:fill="auto"/>
            <w:vAlign w:val="center"/>
          </w:tcPr>
          <w:p w14:paraId="5F1FEA4B" w14:textId="77777777" w:rsidR="00B4065B" w:rsidRPr="00B4065B" w:rsidRDefault="00B4065B" w:rsidP="00FD5B64">
            <w:pPr>
              <w:spacing w:after="0" w:line="240" w:lineRule="auto"/>
              <w:jc w:val="center"/>
              <w:rPr>
                <w:rFonts w:ascii="David" w:hAnsi="David" w:cs="David"/>
                <w:color w:val="000000"/>
              </w:rPr>
            </w:pPr>
            <w:r w:rsidRPr="00B4065B">
              <w:rPr>
                <w:rFonts w:ascii="David" w:hAnsi="David" w:cs="David"/>
                <w:color w:val="000000"/>
              </w:rPr>
              <w:t>9:12</w:t>
            </w:r>
          </w:p>
        </w:tc>
        <w:tc>
          <w:tcPr>
            <w:tcW w:w="849" w:type="dxa"/>
            <w:tcBorders>
              <w:top w:val="single" w:sz="4" w:space="0" w:color="auto"/>
              <w:bottom w:val="single" w:sz="4" w:space="0" w:color="auto"/>
            </w:tcBorders>
            <w:shd w:val="clear" w:color="auto" w:fill="auto"/>
            <w:vAlign w:val="center"/>
          </w:tcPr>
          <w:p w14:paraId="666C296B" w14:textId="77777777" w:rsidR="00B4065B" w:rsidRPr="00B4065B" w:rsidRDefault="00B4065B" w:rsidP="00FD5B64">
            <w:pPr>
              <w:spacing w:after="0" w:line="240" w:lineRule="auto"/>
              <w:jc w:val="center"/>
              <w:rPr>
                <w:rFonts w:ascii="David" w:hAnsi="David" w:cs="David"/>
                <w:color w:val="000000"/>
              </w:rPr>
            </w:pPr>
            <w:r w:rsidRPr="00B4065B">
              <w:rPr>
                <w:rFonts w:ascii="David" w:hAnsi="David" w:cs="David"/>
                <w:color w:val="000000"/>
              </w:rPr>
              <w:t>+4:17</w:t>
            </w:r>
          </w:p>
        </w:tc>
      </w:tr>
      <w:tr w:rsidR="00FD5B64" w:rsidRPr="00B4065B" w14:paraId="684F664E" w14:textId="77777777" w:rsidTr="00FD5B64">
        <w:trPr>
          <w:trHeight w:val="788"/>
        </w:trPr>
        <w:tc>
          <w:tcPr>
            <w:tcW w:w="849" w:type="dxa"/>
            <w:tcBorders>
              <w:top w:val="single" w:sz="4" w:space="0" w:color="auto"/>
              <w:bottom w:val="single" w:sz="4" w:space="0" w:color="auto"/>
            </w:tcBorders>
            <w:shd w:val="clear" w:color="auto" w:fill="auto"/>
            <w:noWrap/>
            <w:vAlign w:val="center"/>
          </w:tcPr>
          <w:p w14:paraId="3C088764" w14:textId="0A016CF3" w:rsidR="00FD5B64" w:rsidRPr="00B4065B" w:rsidRDefault="00FD5B64" w:rsidP="00FD5B64">
            <w:pPr>
              <w:spacing w:after="0" w:line="240" w:lineRule="auto"/>
              <w:rPr>
                <w:rFonts w:ascii="David" w:hAnsi="David" w:cs="David"/>
                <w:color w:val="000000"/>
                <w:rtl/>
              </w:rPr>
            </w:pPr>
            <w:r w:rsidRPr="00B4065B">
              <w:rPr>
                <w:rFonts w:ascii="David" w:eastAsia="Times New Roman" w:hAnsi="David" w:cs="David"/>
                <w:b/>
                <w:bCs/>
                <w:color w:val="000000"/>
                <w:rtl/>
              </w:rPr>
              <w:lastRenderedPageBreak/>
              <w:t>ערכאה</w:t>
            </w:r>
          </w:p>
        </w:tc>
        <w:tc>
          <w:tcPr>
            <w:tcW w:w="1136" w:type="dxa"/>
            <w:tcBorders>
              <w:top w:val="single" w:sz="4" w:space="0" w:color="auto"/>
              <w:bottom w:val="single" w:sz="4" w:space="0" w:color="auto"/>
            </w:tcBorders>
            <w:shd w:val="clear" w:color="auto" w:fill="auto"/>
            <w:noWrap/>
            <w:vAlign w:val="center"/>
          </w:tcPr>
          <w:p w14:paraId="2E3ED9D3" w14:textId="73BD4DD6" w:rsidR="00FD5B64" w:rsidRPr="00B4065B" w:rsidRDefault="00FD5B64" w:rsidP="00FD5B64">
            <w:pPr>
              <w:spacing w:after="0" w:line="240" w:lineRule="auto"/>
              <w:rPr>
                <w:rFonts w:ascii="David" w:hAnsi="David" w:cs="David"/>
                <w:color w:val="000000"/>
                <w:rtl/>
              </w:rPr>
            </w:pPr>
            <w:r w:rsidRPr="00B4065B">
              <w:rPr>
                <w:rFonts w:ascii="David" w:eastAsia="Times New Roman" w:hAnsi="David" w:cs="David"/>
                <w:b/>
                <w:bCs/>
                <w:color w:val="000000"/>
                <w:rtl/>
              </w:rPr>
              <w:t>הליך</w:t>
            </w:r>
          </w:p>
        </w:tc>
        <w:tc>
          <w:tcPr>
            <w:tcW w:w="2408" w:type="dxa"/>
            <w:tcBorders>
              <w:top w:val="single" w:sz="4" w:space="0" w:color="auto"/>
              <w:bottom w:val="single" w:sz="4" w:space="0" w:color="auto"/>
            </w:tcBorders>
            <w:shd w:val="clear" w:color="auto" w:fill="auto"/>
            <w:vAlign w:val="center"/>
          </w:tcPr>
          <w:p w14:paraId="3C374CF8" w14:textId="406012DA" w:rsidR="00FD5B64" w:rsidRPr="00B4065B" w:rsidRDefault="00FD5B64" w:rsidP="00FD5B64">
            <w:pPr>
              <w:spacing w:after="0" w:line="240" w:lineRule="auto"/>
              <w:rPr>
                <w:rFonts w:ascii="David" w:hAnsi="David" w:cs="David"/>
                <w:color w:val="000000"/>
                <w:rtl/>
              </w:rPr>
            </w:pPr>
            <w:r w:rsidRPr="00B4065B">
              <w:rPr>
                <w:rFonts w:ascii="David" w:eastAsia="Times New Roman" w:hAnsi="David" w:cs="David"/>
                <w:b/>
                <w:bCs/>
                <w:color w:val="000000"/>
                <w:rtl/>
              </w:rPr>
              <w:t>סוג תיק</w:t>
            </w:r>
          </w:p>
        </w:tc>
        <w:tc>
          <w:tcPr>
            <w:tcW w:w="1417" w:type="dxa"/>
            <w:tcBorders>
              <w:top w:val="single" w:sz="4" w:space="0" w:color="auto"/>
              <w:bottom w:val="single" w:sz="4" w:space="0" w:color="auto"/>
            </w:tcBorders>
            <w:shd w:val="clear" w:color="auto" w:fill="auto"/>
            <w:vAlign w:val="center"/>
          </w:tcPr>
          <w:p w14:paraId="30908D5A" w14:textId="40BFFA0E" w:rsidR="00FD5B64" w:rsidRPr="00B4065B" w:rsidRDefault="00FD5B64" w:rsidP="00FD5B64">
            <w:pPr>
              <w:spacing w:after="0" w:line="240" w:lineRule="auto"/>
              <w:jc w:val="center"/>
              <w:rPr>
                <w:rFonts w:ascii="David" w:hAnsi="David" w:cs="David"/>
                <w:color w:val="000000"/>
                <w:rtl/>
              </w:rPr>
            </w:pPr>
            <w:r w:rsidRPr="00B4065B">
              <w:rPr>
                <w:rFonts w:ascii="David" w:eastAsia="Times New Roman" w:hAnsi="David" w:cs="David" w:hint="cs"/>
                <w:b/>
                <w:bCs/>
                <w:color w:val="000000"/>
                <w:rtl/>
              </w:rPr>
              <w:t>מספר תיקים שנסגרו ב-2019</w:t>
            </w:r>
          </w:p>
        </w:tc>
        <w:tc>
          <w:tcPr>
            <w:tcW w:w="1418" w:type="dxa"/>
            <w:tcBorders>
              <w:top w:val="single" w:sz="4" w:space="0" w:color="auto"/>
              <w:bottom w:val="single" w:sz="4" w:space="0" w:color="auto"/>
            </w:tcBorders>
            <w:shd w:val="clear" w:color="auto" w:fill="auto"/>
            <w:noWrap/>
            <w:vAlign w:val="center"/>
          </w:tcPr>
          <w:p w14:paraId="348B8592" w14:textId="1FE8C228" w:rsidR="00FD5B64" w:rsidRPr="00B4065B" w:rsidRDefault="00FD5B64" w:rsidP="00FD5B64">
            <w:pPr>
              <w:spacing w:after="0" w:line="240" w:lineRule="auto"/>
              <w:jc w:val="center"/>
              <w:rPr>
                <w:rFonts w:ascii="David" w:hAnsi="David" w:cs="David"/>
                <w:b/>
                <w:bCs/>
                <w:color w:val="000000"/>
                <w:rtl/>
              </w:rPr>
            </w:pPr>
            <w:r w:rsidRPr="00B4065B">
              <w:rPr>
                <w:rFonts w:ascii="David" w:eastAsia="Times New Roman" w:hAnsi="David" w:cs="David"/>
                <w:b/>
                <w:bCs/>
                <w:color w:val="000000"/>
                <w:rtl/>
              </w:rPr>
              <w:t>הזמן השיפוטי הממוצע לט</w:t>
            </w:r>
            <w:r w:rsidRPr="00B4065B">
              <w:rPr>
                <w:rFonts w:ascii="David" w:eastAsia="Times New Roman" w:hAnsi="David" w:cs="David" w:hint="cs"/>
                <w:b/>
                <w:bCs/>
                <w:color w:val="000000"/>
                <w:rtl/>
              </w:rPr>
              <w:t>י</w:t>
            </w:r>
            <w:r w:rsidRPr="00B4065B">
              <w:rPr>
                <w:rFonts w:ascii="David" w:eastAsia="Times New Roman" w:hAnsi="David" w:cs="David"/>
                <w:b/>
                <w:bCs/>
                <w:color w:val="000000"/>
                <w:rtl/>
              </w:rPr>
              <w:t>פ</w:t>
            </w:r>
            <w:r w:rsidRPr="00B4065B">
              <w:rPr>
                <w:rFonts w:ascii="David" w:eastAsia="Times New Roman" w:hAnsi="David" w:cs="David" w:hint="cs"/>
                <w:b/>
                <w:bCs/>
                <w:color w:val="000000"/>
                <w:rtl/>
              </w:rPr>
              <w:t>ו</w:t>
            </w:r>
            <w:r w:rsidRPr="00B4065B">
              <w:rPr>
                <w:rFonts w:ascii="David" w:eastAsia="Times New Roman" w:hAnsi="David" w:cs="David"/>
                <w:b/>
                <w:bCs/>
                <w:color w:val="000000"/>
                <w:rtl/>
              </w:rPr>
              <w:t>ל בתיק</w:t>
            </w:r>
          </w:p>
        </w:tc>
        <w:tc>
          <w:tcPr>
            <w:tcW w:w="1417" w:type="dxa"/>
            <w:tcBorders>
              <w:top w:val="single" w:sz="4" w:space="0" w:color="auto"/>
              <w:bottom w:val="single" w:sz="4" w:space="0" w:color="auto"/>
            </w:tcBorders>
            <w:shd w:val="clear" w:color="auto" w:fill="auto"/>
            <w:vAlign w:val="center"/>
          </w:tcPr>
          <w:p w14:paraId="678FFDA4" w14:textId="3F6D2E8E" w:rsidR="00FD5B64" w:rsidRPr="00B4065B" w:rsidRDefault="00FD5B64" w:rsidP="00FD5B64">
            <w:pPr>
              <w:spacing w:after="0" w:line="240" w:lineRule="auto"/>
              <w:jc w:val="center"/>
              <w:rPr>
                <w:rFonts w:ascii="David" w:hAnsi="David" w:cs="David"/>
                <w:color w:val="000000"/>
              </w:rPr>
            </w:pPr>
            <w:r w:rsidRPr="00B4065B">
              <w:rPr>
                <w:rFonts w:ascii="David" w:eastAsia="Times New Roman" w:hAnsi="David" w:cs="David"/>
                <w:b/>
                <w:bCs/>
                <w:color w:val="000000"/>
                <w:rtl/>
              </w:rPr>
              <w:t xml:space="preserve">הזמן השיפוטי </w:t>
            </w:r>
            <w:r w:rsidRPr="00B4065B">
              <w:rPr>
                <w:rFonts w:ascii="David" w:eastAsia="Times New Roman" w:hAnsi="David" w:cs="David" w:hint="cs"/>
                <w:b/>
                <w:bCs/>
                <w:color w:val="000000"/>
                <w:rtl/>
              </w:rPr>
              <w:t xml:space="preserve">הממוצע </w:t>
            </w:r>
            <w:r w:rsidRPr="00B4065B">
              <w:rPr>
                <w:rFonts w:ascii="David" w:eastAsia="Times New Roman" w:hAnsi="David" w:cs="David"/>
                <w:b/>
                <w:bCs/>
                <w:color w:val="000000"/>
                <w:rtl/>
              </w:rPr>
              <w:t xml:space="preserve">לפי </w:t>
            </w:r>
            <w:r w:rsidRPr="00B4065B">
              <w:rPr>
                <w:rFonts w:ascii="David" w:eastAsia="Times New Roman" w:hAnsi="David" w:cs="David" w:hint="cs"/>
                <w:b/>
                <w:bCs/>
                <w:color w:val="000000"/>
                <w:rtl/>
              </w:rPr>
              <w:t>ה</w:t>
            </w:r>
            <w:r w:rsidRPr="00B4065B">
              <w:rPr>
                <w:rFonts w:ascii="David" w:eastAsia="Times New Roman" w:hAnsi="David" w:cs="David"/>
                <w:b/>
                <w:bCs/>
                <w:color w:val="000000"/>
                <w:rtl/>
              </w:rPr>
              <w:t>מחקר ה</w:t>
            </w:r>
            <w:r w:rsidRPr="00B4065B">
              <w:rPr>
                <w:rFonts w:ascii="David" w:eastAsia="Times New Roman" w:hAnsi="David" w:cs="David" w:hint="cs"/>
                <w:b/>
                <w:bCs/>
                <w:color w:val="000000"/>
                <w:rtl/>
              </w:rPr>
              <w:t>קודם</w:t>
            </w:r>
          </w:p>
        </w:tc>
        <w:tc>
          <w:tcPr>
            <w:tcW w:w="849" w:type="dxa"/>
            <w:tcBorders>
              <w:top w:val="single" w:sz="4" w:space="0" w:color="auto"/>
              <w:bottom w:val="single" w:sz="4" w:space="0" w:color="auto"/>
            </w:tcBorders>
            <w:shd w:val="clear" w:color="auto" w:fill="auto"/>
            <w:vAlign w:val="center"/>
          </w:tcPr>
          <w:p w14:paraId="1A0260FC" w14:textId="5A9FD600" w:rsidR="00FD5B64" w:rsidRPr="00B4065B" w:rsidRDefault="00FD5B64" w:rsidP="00FD5B64">
            <w:pPr>
              <w:spacing w:after="0" w:line="240" w:lineRule="auto"/>
              <w:jc w:val="center"/>
              <w:rPr>
                <w:rFonts w:ascii="David" w:hAnsi="David" w:cs="David"/>
                <w:color w:val="000000"/>
                <w:rtl/>
              </w:rPr>
            </w:pPr>
            <w:r w:rsidRPr="00B4065B">
              <w:rPr>
                <w:rFonts w:ascii="David" w:eastAsia="Times New Roman" w:hAnsi="David" w:cs="David"/>
                <w:b/>
                <w:bCs/>
                <w:color w:val="000000"/>
                <w:rtl/>
              </w:rPr>
              <w:t xml:space="preserve">מגמת </w:t>
            </w:r>
            <w:r w:rsidRPr="00B4065B">
              <w:rPr>
                <w:rFonts w:ascii="David" w:eastAsia="Times New Roman" w:hAnsi="David" w:cs="David" w:hint="cs"/>
                <w:b/>
                <w:bCs/>
                <w:color w:val="000000"/>
                <w:rtl/>
              </w:rPr>
              <w:t>ה</w:t>
            </w:r>
            <w:r w:rsidRPr="00B4065B">
              <w:rPr>
                <w:rFonts w:ascii="David" w:eastAsia="Times New Roman" w:hAnsi="David" w:cs="David"/>
                <w:b/>
                <w:bCs/>
                <w:color w:val="000000"/>
                <w:rtl/>
              </w:rPr>
              <w:t>שינוי</w:t>
            </w:r>
          </w:p>
        </w:tc>
      </w:tr>
      <w:tr w:rsidR="00FD5B64" w:rsidRPr="00B4065B" w14:paraId="3369C40F" w14:textId="77777777" w:rsidTr="00FD5B64">
        <w:trPr>
          <w:trHeight w:val="788"/>
        </w:trPr>
        <w:tc>
          <w:tcPr>
            <w:tcW w:w="849" w:type="dxa"/>
            <w:tcBorders>
              <w:top w:val="single" w:sz="4" w:space="0" w:color="auto"/>
              <w:bottom w:val="single" w:sz="4" w:space="0" w:color="auto"/>
            </w:tcBorders>
            <w:shd w:val="clear" w:color="auto" w:fill="D9D9D9"/>
            <w:noWrap/>
            <w:vAlign w:val="center"/>
          </w:tcPr>
          <w:p w14:paraId="1C99A950"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D9D9D9"/>
            <w:noWrap/>
            <w:vAlign w:val="center"/>
          </w:tcPr>
          <w:p w14:paraId="4E01353B"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ערעור אזרחי</w:t>
            </w:r>
          </w:p>
        </w:tc>
        <w:tc>
          <w:tcPr>
            <w:tcW w:w="2408" w:type="dxa"/>
            <w:tcBorders>
              <w:top w:val="single" w:sz="4" w:space="0" w:color="auto"/>
              <w:bottom w:val="single" w:sz="4" w:space="0" w:color="auto"/>
            </w:tcBorders>
            <w:shd w:val="clear" w:color="auto" w:fill="D9D9D9"/>
            <w:vAlign w:val="center"/>
          </w:tcPr>
          <w:p w14:paraId="1F640A1A"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br/>
              <w:t>ערעור אזרחי (ע"א) - הרכב</w:t>
            </w:r>
          </w:p>
        </w:tc>
        <w:tc>
          <w:tcPr>
            <w:tcW w:w="1417" w:type="dxa"/>
            <w:tcBorders>
              <w:top w:val="single" w:sz="4" w:space="0" w:color="auto"/>
              <w:bottom w:val="single" w:sz="4" w:space="0" w:color="auto"/>
            </w:tcBorders>
            <w:shd w:val="clear" w:color="auto" w:fill="D9D9D9"/>
            <w:vAlign w:val="center"/>
          </w:tcPr>
          <w:p w14:paraId="5BE44FF9"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tl/>
              </w:rPr>
              <w:t>1,286</w:t>
            </w:r>
          </w:p>
        </w:tc>
        <w:tc>
          <w:tcPr>
            <w:tcW w:w="1418" w:type="dxa"/>
            <w:tcBorders>
              <w:top w:val="single" w:sz="4" w:space="0" w:color="auto"/>
              <w:bottom w:val="single" w:sz="4" w:space="0" w:color="auto"/>
            </w:tcBorders>
            <w:shd w:val="clear" w:color="auto" w:fill="D9D9D9"/>
            <w:noWrap/>
            <w:vAlign w:val="center"/>
          </w:tcPr>
          <w:p w14:paraId="60DCFD10" w14:textId="77777777" w:rsidR="00FD5B64" w:rsidRPr="00B4065B" w:rsidRDefault="00FD5B64" w:rsidP="00FD5B64">
            <w:pPr>
              <w:spacing w:after="0" w:line="240" w:lineRule="auto"/>
              <w:jc w:val="center"/>
              <w:rPr>
                <w:rFonts w:ascii="David" w:hAnsi="David" w:cs="David"/>
                <w:b/>
                <w:bCs/>
                <w:color w:val="000000"/>
              </w:rPr>
            </w:pPr>
            <w:r w:rsidRPr="00B4065B">
              <w:rPr>
                <w:rFonts w:ascii="David" w:hAnsi="David" w:cs="David" w:hint="cs"/>
                <w:b/>
                <w:bCs/>
                <w:color w:val="000000"/>
                <w:rtl/>
              </w:rPr>
              <w:t>10:53</w:t>
            </w:r>
          </w:p>
        </w:tc>
        <w:tc>
          <w:tcPr>
            <w:tcW w:w="1417" w:type="dxa"/>
            <w:tcBorders>
              <w:top w:val="single" w:sz="4" w:space="0" w:color="auto"/>
              <w:bottom w:val="single" w:sz="4" w:space="0" w:color="auto"/>
            </w:tcBorders>
            <w:shd w:val="clear" w:color="auto" w:fill="D9D9D9"/>
            <w:vAlign w:val="center"/>
          </w:tcPr>
          <w:p w14:paraId="18E54773"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7:11</w:t>
            </w:r>
          </w:p>
        </w:tc>
        <w:tc>
          <w:tcPr>
            <w:tcW w:w="849" w:type="dxa"/>
            <w:tcBorders>
              <w:top w:val="single" w:sz="4" w:space="0" w:color="auto"/>
              <w:bottom w:val="single" w:sz="4" w:space="0" w:color="auto"/>
            </w:tcBorders>
            <w:shd w:val="clear" w:color="auto" w:fill="D9D9D9"/>
            <w:vAlign w:val="center"/>
          </w:tcPr>
          <w:p w14:paraId="2EF2CB30"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hint="cs"/>
                <w:color w:val="000000"/>
                <w:rtl/>
              </w:rPr>
              <w:t>3</w:t>
            </w:r>
            <w:r w:rsidRPr="00B4065B">
              <w:rPr>
                <w:rFonts w:ascii="David" w:hAnsi="David" w:cs="David"/>
                <w:color w:val="000000"/>
                <w:rtl/>
              </w:rPr>
              <w:t>:</w:t>
            </w:r>
            <w:r w:rsidRPr="00B4065B">
              <w:rPr>
                <w:rFonts w:ascii="David" w:hAnsi="David" w:cs="David" w:hint="cs"/>
                <w:color w:val="000000"/>
                <w:rtl/>
              </w:rPr>
              <w:t>42</w:t>
            </w:r>
            <w:r w:rsidRPr="00B4065B">
              <w:rPr>
                <w:rFonts w:ascii="David" w:hAnsi="David" w:cs="David"/>
                <w:color w:val="000000"/>
                <w:rtl/>
              </w:rPr>
              <w:t>+</w:t>
            </w:r>
          </w:p>
        </w:tc>
      </w:tr>
      <w:tr w:rsidR="00FD5B64" w:rsidRPr="00B4065B" w14:paraId="23348827" w14:textId="77777777" w:rsidTr="00FD5B64">
        <w:trPr>
          <w:trHeight w:val="788"/>
        </w:trPr>
        <w:tc>
          <w:tcPr>
            <w:tcW w:w="849" w:type="dxa"/>
            <w:tcBorders>
              <w:top w:val="single" w:sz="4" w:space="0" w:color="auto"/>
              <w:bottom w:val="single" w:sz="4" w:space="0" w:color="auto"/>
            </w:tcBorders>
            <w:shd w:val="clear" w:color="auto" w:fill="auto"/>
            <w:noWrap/>
            <w:vAlign w:val="center"/>
          </w:tcPr>
          <w:p w14:paraId="7B934232"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auto"/>
            <w:noWrap/>
            <w:vAlign w:val="center"/>
          </w:tcPr>
          <w:p w14:paraId="5B5F74B2"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אזרחי</w:t>
            </w:r>
          </w:p>
        </w:tc>
        <w:tc>
          <w:tcPr>
            <w:tcW w:w="2408" w:type="dxa"/>
            <w:tcBorders>
              <w:top w:val="single" w:sz="4" w:space="0" w:color="auto"/>
              <w:bottom w:val="single" w:sz="4" w:space="0" w:color="auto"/>
            </w:tcBorders>
            <w:shd w:val="clear" w:color="auto" w:fill="auto"/>
            <w:vAlign w:val="center"/>
          </w:tcPr>
          <w:p w14:paraId="780CA64E"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תיק אזרחי בסדר דין רגיל (ת"א) –מקרקעין</w:t>
            </w:r>
          </w:p>
        </w:tc>
        <w:tc>
          <w:tcPr>
            <w:tcW w:w="1417" w:type="dxa"/>
            <w:tcBorders>
              <w:top w:val="single" w:sz="4" w:space="0" w:color="auto"/>
              <w:bottom w:val="single" w:sz="4" w:space="0" w:color="auto"/>
            </w:tcBorders>
            <w:shd w:val="clear" w:color="auto" w:fill="auto"/>
            <w:vAlign w:val="center"/>
          </w:tcPr>
          <w:p w14:paraId="1854EFC8"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tl/>
              </w:rPr>
              <w:t>722</w:t>
            </w:r>
          </w:p>
        </w:tc>
        <w:tc>
          <w:tcPr>
            <w:tcW w:w="1418" w:type="dxa"/>
            <w:tcBorders>
              <w:top w:val="single" w:sz="4" w:space="0" w:color="auto"/>
              <w:bottom w:val="single" w:sz="4" w:space="0" w:color="auto"/>
            </w:tcBorders>
            <w:shd w:val="clear" w:color="auto" w:fill="auto"/>
            <w:noWrap/>
            <w:vAlign w:val="center"/>
          </w:tcPr>
          <w:p w14:paraId="0D7F7F6F" w14:textId="77777777" w:rsidR="00FD5B64" w:rsidRPr="00B4065B" w:rsidRDefault="00FD5B64" w:rsidP="00FD5B64">
            <w:pPr>
              <w:spacing w:after="0" w:line="240" w:lineRule="auto"/>
              <w:jc w:val="center"/>
              <w:rPr>
                <w:rFonts w:ascii="David" w:hAnsi="David" w:cs="David"/>
                <w:b/>
                <w:bCs/>
                <w:color w:val="000000"/>
              </w:rPr>
            </w:pPr>
            <w:r w:rsidRPr="00B4065B">
              <w:rPr>
                <w:rFonts w:ascii="David" w:hAnsi="David" w:cs="David" w:hint="cs"/>
                <w:b/>
                <w:bCs/>
                <w:color w:val="000000"/>
                <w:rtl/>
              </w:rPr>
              <w:t>10:33</w:t>
            </w:r>
          </w:p>
        </w:tc>
        <w:tc>
          <w:tcPr>
            <w:tcW w:w="1417" w:type="dxa"/>
            <w:tcBorders>
              <w:top w:val="single" w:sz="4" w:space="0" w:color="auto"/>
              <w:bottom w:val="single" w:sz="4" w:space="0" w:color="auto"/>
            </w:tcBorders>
            <w:shd w:val="clear" w:color="auto" w:fill="auto"/>
            <w:vAlign w:val="center"/>
          </w:tcPr>
          <w:p w14:paraId="6F488C81"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tl/>
              </w:rPr>
              <w:t>-</w:t>
            </w:r>
          </w:p>
        </w:tc>
        <w:tc>
          <w:tcPr>
            <w:tcW w:w="849" w:type="dxa"/>
            <w:tcBorders>
              <w:top w:val="single" w:sz="4" w:space="0" w:color="auto"/>
              <w:bottom w:val="single" w:sz="4" w:space="0" w:color="auto"/>
            </w:tcBorders>
            <w:shd w:val="clear" w:color="auto" w:fill="auto"/>
            <w:vAlign w:val="center"/>
          </w:tcPr>
          <w:p w14:paraId="4D432022"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tl/>
              </w:rPr>
              <w:t>-</w:t>
            </w:r>
          </w:p>
        </w:tc>
      </w:tr>
      <w:tr w:rsidR="00FD5B64" w:rsidRPr="00B4065B" w14:paraId="6EDFA433" w14:textId="77777777" w:rsidTr="00FD5B64">
        <w:trPr>
          <w:trHeight w:val="788"/>
        </w:trPr>
        <w:tc>
          <w:tcPr>
            <w:tcW w:w="849" w:type="dxa"/>
            <w:tcBorders>
              <w:top w:val="single" w:sz="4" w:space="0" w:color="auto"/>
              <w:bottom w:val="single" w:sz="4" w:space="0" w:color="auto"/>
            </w:tcBorders>
            <w:shd w:val="clear" w:color="auto" w:fill="D9D9D9"/>
            <w:noWrap/>
            <w:vAlign w:val="center"/>
          </w:tcPr>
          <w:p w14:paraId="315804CE"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D9D9D9"/>
            <w:noWrap/>
            <w:vAlign w:val="center"/>
          </w:tcPr>
          <w:p w14:paraId="18BD1500"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ערעור אזרחי</w:t>
            </w:r>
          </w:p>
        </w:tc>
        <w:tc>
          <w:tcPr>
            <w:tcW w:w="2408" w:type="dxa"/>
            <w:tcBorders>
              <w:top w:val="single" w:sz="4" w:space="0" w:color="auto"/>
              <w:bottom w:val="single" w:sz="4" w:space="0" w:color="auto"/>
            </w:tcBorders>
            <w:shd w:val="clear" w:color="auto" w:fill="D9D9D9"/>
            <w:vAlign w:val="center"/>
          </w:tcPr>
          <w:p w14:paraId="28DB6363"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ערעור משפחה (עמ"ש) – הרכב</w:t>
            </w:r>
          </w:p>
        </w:tc>
        <w:tc>
          <w:tcPr>
            <w:tcW w:w="1417" w:type="dxa"/>
            <w:tcBorders>
              <w:top w:val="single" w:sz="4" w:space="0" w:color="auto"/>
              <w:bottom w:val="single" w:sz="4" w:space="0" w:color="auto"/>
            </w:tcBorders>
            <w:shd w:val="clear" w:color="auto" w:fill="D9D9D9"/>
            <w:vAlign w:val="center"/>
          </w:tcPr>
          <w:p w14:paraId="0380A443"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hint="cs"/>
                <w:color w:val="000000"/>
                <w:rtl/>
              </w:rPr>
              <w:t>1,120</w:t>
            </w:r>
          </w:p>
        </w:tc>
        <w:tc>
          <w:tcPr>
            <w:tcW w:w="1418" w:type="dxa"/>
            <w:tcBorders>
              <w:top w:val="single" w:sz="4" w:space="0" w:color="auto"/>
              <w:bottom w:val="single" w:sz="4" w:space="0" w:color="auto"/>
            </w:tcBorders>
            <w:shd w:val="clear" w:color="auto" w:fill="D9D9D9"/>
            <w:noWrap/>
            <w:vAlign w:val="center"/>
          </w:tcPr>
          <w:p w14:paraId="792A42E7" w14:textId="77777777" w:rsidR="00FD5B64" w:rsidRPr="00B4065B" w:rsidRDefault="00FD5B64" w:rsidP="00FD5B64">
            <w:pPr>
              <w:spacing w:after="0" w:line="240" w:lineRule="auto"/>
              <w:jc w:val="center"/>
              <w:rPr>
                <w:rFonts w:ascii="David" w:hAnsi="David" w:cs="David"/>
                <w:b/>
                <w:bCs/>
                <w:color w:val="000000"/>
              </w:rPr>
            </w:pPr>
            <w:r w:rsidRPr="00B4065B">
              <w:rPr>
                <w:rFonts w:ascii="David" w:hAnsi="David" w:cs="David"/>
                <w:b/>
                <w:bCs/>
                <w:color w:val="000000"/>
              </w:rPr>
              <w:t>10:09</w:t>
            </w:r>
          </w:p>
        </w:tc>
        <w:tc>
          <w:tcPr>
            <w:tcW w:w="1417" w:type="dxa"/>
            <w:tcBorders>
              <w:top w:val="single" w:sz="4" w:space="0" w:color="auto"/>
              <w:bottom w:val="single" w:sz="4" w:space="0" w:color="auto"/>
            </w:tcBorders>
            <w:shd w:val="clear" w:color="auto" w:fill="D9D9D9"/>
            <w:vAlign w:val="center"/>
          </w:tcPr>
          <w:p w14:paraId="65558A55"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hint="cs"/>
                <w:color w:val="000000"/>
                <w:rtl/>
              </w:rPr>
              <w:t>10:05</w:t>
            </w:r>
          </w:p>
        </w:tc>
        <w:tc>
          <w:tcPr>
            <w:tcW w:w="849" w:type="dxa"/>
            <w:tcBorders>
              <w:top w:val="single" w:sz="4" w:space="0" w:color="auto"/>
              <w:bottom w:val="single" w:sz="4" w:space="0" w:color="auto"/>
            </w:tcBorders>
            <w:shd w:val="clear" w:color="auto" w:fill="D9D9D9"/>
            <w:vAlign w:val="center"/>
          </w:tcPr>
          <w:p w14:paraId="1DA8C6CF"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hint="cs"/>
                <w:color w:val="000000"/>
                <w:rtl/>
              </w:rPr>
              <w:t>0:04+</w:t>
            </w:r>
          </w:p>
        </w:tc>
      </w:tr>
      <w:tr w:rsidR="00FD5B64" w:rsidRPr="00B4065B" w14:paraId="7832C061" w14:textId="77777777" w:rsidTr="00FD5B64">
        <w:trPr>
          <w:trHeight w:val="746"/>
        </w:trPr>
        <w:tc>
          <w:tcPr>
            <w:tcW w:w="849" w:type="dxa"/>
            <w:tcBorders>
              <w:top w:val="single" w:sz="4" w:space="0" w:color="auto"/>
              <w:bottom w:val="single" w:sz="4" w:space="0" w:color="auto"/>
            </w:tcBorders>
            <w:shd w:val="clear" w:color="auto" w:fill="auto"/>
            <w:noWrap/>
            <w:vAlign w:val="center"/>
          </w:tcPr>
          <w:p w14:paraId="14AB30CA"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auto"/>
            <w:noWrap/>
            <w:vAlign w:val="center"/>
          </w:tcPr>
          <w:p w14:paraId="067B7D65"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ערעור אזרחי</w:t>
            </w:r>
          </w:p>
        </w:tc>
        <w:tc>
          <w:tcPr>
            <w:tcW w:w="2408" w:type="dxa"/>
            <w:tcBorders>
              <w:top w:val="single" w:sz="4" w:space="0" w:color="auto"/>
              <w:bottom w:val="single" w:sz="4" w:space="0" w:color="auto"/>
            </w:tcBorders>
            <w:shd w:val="clear" w:color="auto" w:fill="auto"/>
            <w:vAlign w:val="center"/>
          </w:tcPr>
          <w:p w14:paraId="4A862E28"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br/>
              <w:t xml:space="preserve"> ערעור מסים (ע"מ)</w:t>
            </w:r>
          </w:p>
          <w:p w14:paraId="18A5A3A7" w14:textId="77777777" w:rsidR="00FD5B64" w:rsidRPr="00B4065B" w:rsidRDefault="00FD5B64" w:rsidP="00FD5B64">
            <w:pPr>
              <w:spacing w:after="0" w:line="240" w:lineRule="auto"/>
              <w:rPr>
                <w:rFonts w:ascii="David" w:hAnsi="David" w:cs="David"/>
                <w:color w:val="000000"/>
                <w:rtl/>
              </w:rPr>
            </w:pPr>
          </w:p>
        </w:tc>
        <w:tc>
          <w:tcPr>
            <w:tcW w:w="1417" w:type="dxa"/>
            <w:tcBorders>
              <w:top w:val="single" w:sz="4" w:space="0" w:color="auto"/>
              <w:bottom w:val="single" w:sz="4" w:space="0" w:color="auto"/>
            </w:tcBorders>
            <w:shd w:val="clear" w:color="auto" w:fill="auto"/>
            <w:vAlign w:val="center"/>
          </w:tcPr>
          <w:p w14:paraId="2583FF75"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tl/>
              </w:rPr>
              <w:t>789</w:t>
            </w:r>
          </w:p>
        </w:tc>
        <w:tc>
          <w:tcPr>
            <w:tcW w:w="1418" w:type="dxa"/>
            <w:tcBorders>
              <w:top w:val="single" w:sz="4" w:space="0" w:color="auto"/>
              <w:bottom w:val="single" w:sz="4" w:space="0" w:color="auto"/>
            </w:tcBorders>
            <w:shd w:val="clear" w:color="auto" w:fill="auto"/>
            <w:noWrap/>
            <w:vAlign w:val="center"/>
          </w:tcPr>
          <w:p w14:paraId="53EBF169" w14:textId="77777777" w:rsidR="00FD5B64" w:rsidRPr="00B4065B" w:rsidRDefault="00FD5B64" w:rsidP="00FD5B64">
            <w:pPr>
              <w:spacing w:after="0" w:line="240" w:lineRule="auto"/>
              <w:jc w:val="center"/>
              <w:rPr>
                <w:rFonts w:ascii="David" w:hAnsi="David" w:cs="David"/>
                <w:b/>
                <w:bCs/>
                <w:color w:val="000000"/>
              </w:rPr>
            </w:pPr>
            <w:r w:rsidRPr="00B4065B">
              <w:rPr>
                <w:rFonts w:ascii="David" w:hAnsi="David" w:cs="David" w:hint="cs"/>
                <w:b/>
                <w:bCs/>
                <w:color w:val="000000"/>
                <w:rtl/>
              </w:rPr>
              <w:t>9:33</w:t>
            </w:r>
          </w:p>
        </w:tc>
        <w:tc>
          <w:tcPr>
            <w:tcW w:w="1417" w:type="dxa"/>
            <w:tcBorders>
              <w:top w:val="single" w:sz="4" w:space="0" w:color="auto"/>
              <w:bottom w:val="single" w:sz="4" w:space="0" w:color="auto"/>
            </w:tcBorders>
            <w:shd w:val="clear" w:color="auto" w:fill="auto"/>
            <w:vAlign w:val="center"/>
          </w:tcPr>
          <w:p w14:paraId="1D99350B"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4:12</w:t>
            </w:r>
          </w:p>
        </w:tc>
        <w:tc>
          <w:tcPr>
            <w:tcW w:w="849" w:type="dxa"/>
            <w:tcBorders>
              <w:top w:val="single" w:sz="4" w:space="0" w:color="auto"/>
              <w:bottom w:val="single" w:sz="4" w:space="0" w:color="auto"/>
            </w:tcBorders>
            <w:shd w:val="clear" w:color="auto" w:fill="auto"/>
            <w:vAlign w:val="center"/>
          </w:tcPr>
          <w:p w14:paraId="1994B00E"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:21</w:t>
            </w:r>
            <w:r w:rsidRPr="00B4065B">
              <w:rPr>
                <w:rFonts w:ascii="David" w:hAnsi="David" w:cs="David" w:hint="cs"/>
                <w:color w:val="000000"/>
                <w:rtl/>
              </w:rPr>
              <w:t>5+</w:t>
            </w:r>
          </w:p>
        </w:tc>
      </w:tr>
      <w:tr w:rsidR="00FD5B64" w:rsidRPr="00B4065B" w14:paraId="28B362D5" w14:textId="77777777" w:rsidTr="00FD5B64">
        <w:trPr>
          <w:trHeight w:val="600"/>
        </w:trPr>
        <w:tc>
          <w:tcPr>
            <w:tcW w:w="849" w:type="dxa"/>
            <w:tcBorders>
              <w:top w:val="single" w:sz="4" w:space="0" w:color="auto"/>
              <w:bottom w:val="single" w:sz="4" w:space="0" w:color="auto"/>
            </w:tcBorders>
            <w:shd w:val="clear" w:color="auto" w:fill="D9D9D9"/>
            <w:noWrap/>
            <w:vAlign w:val="center"/>
          </w:tcPr>
          <w:p w14:paraId="4E0B4B63"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D9D9D9"/>
            <w:noWrap/>
            <w:vAlign w:val="center"/>
          </w:tcPr>
          <w:p w14:paraId="22580270"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אזרחי</w:t>
            </w:r>
          </w:p>
        </w:tc>
        <w:tc>
          <w:tcPr>
            <w:tcW w:w="2408" w:type="dxa"/>
            <w:tcBorders>
              <w:top w:val="single" w:sz="4" w:space="0" w:color="auto"/>
              <w:bottom w:val="single" w:sz="4" w:space="0" w:color="auto"/>
            </w:tcBorders>
            <w:shd w:val="clear" w:color="auto" w:fill="D9D9D9"/>
            <w:vAlign w:val="center"/>
          </w:tcPr>
          <w:p w14:paraId="256244A0"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תיק אזרחי בסדר דין רגיל (ת"א) - קניין רוחני</w:t>
            </w:r>
            <w:r w:rsidRPr="00B4065B">
              <w:rPr>
                <w:rFonts w:ascii="David" w:hAnsi="David" w:cs="David" w:hint="cs"/>
                <w:color w:val="000000"/>
                <w:rtl/>
              </w:rPr>
              <w:t>**</w:t>
            </w:r>
          </w:p>
        </w:tc>
        <w:tc>
          <w:tcPr>
            <w:tcW w:w="1417" w:type="dxa"/>
            <w:tcBorders>
              <w:top w:val="single" w:sz="4" w:space="0" w:color="auto"/>
              <w:bottom w:val="single" w:sz="4" w:space="0" w:color="auto"/>
            </w:tcBorders>
            <w:shd w:val="clear" w:color="auto" w:fill="D9D9D9"/>
            <w:vAlign w:val="center"/>
          </w:tcPr>
          <w:p w14:paraId="45EF81F8" w14:textId="77777777" w:rsidR="00FD5B64" w:rsidRPr="00B4065B" w:rsidRDefault="00FD5B64" w:rsidP="00FD5B64">
            <w:pPr>
              <w:spacing w:after="0" w:line="240" w:lineRule="auto"/>
              <w:jc w:val="center"/>
              <w:rPr>
                <w:rFonts w:ascii="David" w:hAnsi="David" w:cs="David"/>
                <w:color w:val="000000"/>
                <w:rtl/>
              </w:rPr>
            </w:pPr>
            <w:r w:rsidRPr="00B4065B">
              <w:rPr>
                <w:rFonts w:ascii="David" w:hAnsi="David" w:cs="David"/>
                <w:color w:val="000000"/>
                <w:rtl/>
              </w:rPr>
              <w:t>3,008</w:t>
            </w:r>
          </w:p>
        </w:tc>
        <w:tc>
          <w:tcPr>
            <w:tcW w:w="1418" w:type="dxa"/>
            <w:tcBorders>
              <w:top w:val="single" w:sz="4" w:space="0" w:color="auto"/>
              <w:bottom w:val="single" w:sz="4" w:space="0" w:color="auto"/>
            </w:tcBorders>
            <w:shd w:val="clear" w:color="auto" w:fill="D9D9D9"/>
            <w:noWrap/>
            <w:vAlign w:val="center"/>
          </w:tcPr>
          <w:p w14:paraId="1059EAC0" w14:textId="77777777" w:rsidR="00FD5B64" w:rsidRPr="00B4065B" w:rsidRDefault="00FD5B64" w:rsidP="00FD5B64">
            <w:pPr>
              <w:spacing w:after="0" w:line="240" w:lineRule="auto"/>
              <w:jc w:val="center"/>
              <w:rPr>
                <w:rFonts w:ascii="David" w:hAnsi="David" w:cs="David"/>
                <w:b/>
                <w:bCs/>
                <w:color w:val="000000"/>
                <w:rtl/>
              </w:rPr>
            </w:pPr>
            <w:r w:rsidRPr="00B4065B">
              <w:rPr>
                <w:rFonts w:asciiTheme="minorHAnsi" w:hAnsiTheme="minorHAnsi" w:cs="David" w:hint="cs"/>
                <w:b/>
                <w:bCs/>
                <w:color w:val="000000"/>
                <w:rtl/>
              </w:rPr>
              <w:t>9:28</w:t>
            </w:r>
          </w:p>
        </w:tc>
        <w:tc>
          <w:tcPr>
            <w:tcW w:w="1417" w:type="dxa"/>
            <w:tcBorders>
              <w:top w:val="single" w:sz="4" w:space="0" w:color="auto"/>
              <w:bottom w:val="single" w:sz="4" w:space="0" w:color="auto"/>
            </w:tcBorders>
            <w:shd w:val="clear" w:color="auto" w:fill="D9D9D9"/>
            <w:vAlign w:val="center"/>
          </w:tcPr>
          <w:p w14:paraId="648F918D"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tl/>
              </w:rPr>
              <w:t>-</w:t>
            </w:r>
          </w:p>
        </w:tc>
        <w:tc>
          <w:tcPr>
            <w:tcW w:w="849" w:type="dxa"/>
            <w:tcBorders>
              <w:top w:val="single" w:sz="4" w:space="0" w:color="auto"/>
              <w:bottom w:val="single" w:sz="4" w:space="0" w:color="auto"/>
            </w:tcBorders>
            <w:shd w:val="clear" w:color="auto" w:fill="D9D9D9"/>
            <w:vAlign w:val="center"/>
          </w:tcPr>
          <w:p w14:paraId="72CFCB33" w14:textId="77777777" w:rsidR="00FD5B64" w:rsidRPr="00B4065B" w:rsidRDefault="00FD5B64" w:rsidP="00FD5B64">
            <w:pPr>
              <w:spacing w:after="0" w:line="240" w:lineRule="auto"/>
              <w:jc w:val="center"/>
              <w:rPr>
                <w:rFonts w:ascii="David" w:hAnsi="David" w:cs="David"/>
                <w:color w:val="000000"/>
                <w:rtl/>
              </w:rPr>
            </w:pPr>
            <w:r w:rsidRPr="00B4065B">
              <w:rPr>
                <w:rFonts w:ascii="David" w:hAnsi="David" w:cs="David"/>
                <w:color w:val="000000"/>
                <w:rtl/>
              </w:rPr>
              <w:t>-</w:t>
            </w:r>
          </w:p>
        </w:tc>
      </w:tr>
      <w:tr w:rsidR="00FD5B64" w:rsidRPr="00B4065B" w14:paraId="5ABA2C61" w14:textId="77777777" w:rsidTr="00FD5B64">
        <w:trPr>
          <w:trHeight w:val="600"/>
        </w:trPr>
        <w:tc>
          <w:tcPr>
            <w:tcW w:w="849" w:type="dxa"/>
            <w:tcBorders>
              <w:top w:val="single" w:sz="4" w:space="0" w:color="auto"/>
              <w:bottom w:val="single" w:sz="4" w:space="0" w:color="auto"/>
            </w:tcBorders>
            <w:shd w:val="clear" w:color="auto" w:fill="auto"/>
            <w:noWrap/>
            <w:vAlign w:val="center"/>
          </w:tcPr>
          <w:p w14:paraId="04E3503C"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auto"/>
            <w:noWrap/>
            <w:vAlign w:val="center"/>
          </w:tcPr>
          <w:p w14:paraId="1F89D2E2"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ערעור פלילי</w:t>
            </w:r>
          </w:p>
        </w:tc>
        <w:tc>
          <w:tcPr>
            <w:tcW w:w="2408" w:type="dxa"/>
            <w:tcBorders>
              <w:top w:val="single" w:sz="4" w:space="0" w:color="auto"/>
              <w:bottom w:val="single" w:sz="4" w:space="0" w:color="auto"/>
            </w:tcBorders>
            <w:shd w:val="clear" w:color="auto" w:fill="auto"/>
            <w:vAlign w:val="center"/>
          </w:tcPr>
          <w:p w14:paraId="056BEDB7"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ערעור פלילי גזר דין (עפ"ג) – הרכב</w:t>
            </w:r>
          </w:p>
        </w:tc>
        <w:tc>
          <w:tcPr>
            <w:tcW w:w="1417" w:type="dxa"/>
            <w:tcBorders>
              <w:top w:val="single" w:sz="4" w:space="0" w:color="auto"/>
              <w:bottom w:val="single" w:sz="4" w:space="0" w:color="auto"/>
            </w:tcBorders>
            <w:shd w:val="clear" w:color="auto" w:fill="auto"/>
            <w:vAlign w:val="center"/>
          </w:tcPr>
          <w:p w14:paraId="188B2F25"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1,092</w:t>
            </w:r>
          </w:p>
        </w:tc>
        <w:tc>
          <w:tcPr>
            <w:tcW w:w="1418" w:type="dxa"/>
            <w:tcBorders>
              <w:top w:val="single" w:sz="4" w:space="0" w:color="auto"/>
              <w:bottom w:val="single" w:sz="4" w:space="0" w:color="auto"/>
            </w:tcBorders>
            <w:shd w:val="clear" w:color="auto" w:fill="auto"/>
            <w:noWrap/>
            <w:vAlign w:val="center"/>
          </w:tcPr>
          <w:p w14:paraId="2E9C519E" w14:textId="77777777" w:rsidR="00FD5B64" w:rsidRPr="00B4065B" w:rsidRDefault="00FD5B64" w:rsidP="00FD5B64">
            <w:pPr>
              <w:spacing w:after="0" w:line="240" w:lineRule="auto"/>
              <w:jc w:val="center"/>
              <w:rPr>
                <w:rFonts w:ascii="David" w:hAnsi="David" w:cs="David"/>
                <w:b/>
                <w:bCs/>
                <w:color w:val="000000"/>
              </w:rPr>
            </w:pPr>
            <w:r w:rsidRPr="00B4065B">
              <w:rPr>
                <w:rFonts w:ascii="David" w:hAnsi="David" w:cs="David"/>
                <w:b/>
                <w:bCs/>
                <w:color w:val="000000"/>
              </w:rPr>
              <w:t>8:14</w:t>
            </w:r>
          </w:p>
        </w:tc>
        <w:tc>
          <w:tcPr>
            <w:tcW w:w="1417" w:type="dxa"/>
            <w:tcBorders>
              <w:top w:val="single" w:sz="4" w:space="0" w:color="auto"/>
              <w:bottom w:val="single" w:sz="4" w:space="0" w:color="auto"/>
            </w:tcBorders>
            <w:shd w:val="clear" w:color="auto" w:fill="auto"/>
            <w:vAlign w:val="center"/>
          </w:tcPr>
          <w:p w14:paraId="3DF3F690" w14:textId="77777777" w:rsidR="00FD5B64" w:rsidRPr="00B4065B" w:rsidRDefault="00FD5B64" w:rsidP="00FD5B64">
            <w:pPr>
              <w:spacing w:after="0" w:line="240" w:lineRule="auto"/>
              <w:jc w:val="center"/>
              <w:rPr>
                <w:rFonts w:ascii="David" w:hAnsi="David" w:cs="David"/>
                <w:color w:val="000000"/>
                <w:rtl/>
              </w:rPr>
            </w:pPr>
            <w:r w:rsidRPr="00B4065B">
              <w:rPr>
                <w:rFonts w:ascii="David" w:hAnsi="David" w:cs="David"/>
                <w:color w:val="000000"/>
              </w:rPr>
              <w:t>8:58</w:t>
            </w:r>
          </w:p>
        </w:tc>
        <w:tc>
          <w:tcPr>
            <w:tcW w:w="849" w:type="dxa"/>
            <w:tcBorders>
              <w:top w:val="single" w:sz="4" w:space="0" w:color="auto"/>
              <w:bottom w:val="single" w:sz="4" w:space="0" w:color="auto"/>
            </w:tcBorders>
            <w:shd w:val="clear" w:color="auto" w:fill="auto"/>
            <w:vAlign w:val="center"/>
          </w:tcPr>
          <w:p w14:paraId="5346B5D2" w14:textId="77777777" w:rsidR="00FD5B64" w:rsidRPr="00B4065B" w:rsidRDefault="00FD5B64" w:rsidP="00FD5B64">
            <w:pPr>
              <w:spacing w:after="0" w:line="240" w:lineRule="auto"/>
              <w:jc w:val="center"/>
              <w:rPr>
                <w:rFonts w:ascii="David" w:hAnsi="David" w:cs="David"/>
                <w:color w:val="000000"/>
                <w:rtl/>
              </w:rPr>
            </w:pPr>
            <w:r w:rsidRPr="00B4065B">
              <w:rPr>
                <w:rFonts w:ascii="David" w:hAnsi="David" w:cs="David" w:hint="cs"/>
                <w:color w:val="000000"/>
                <w:rtl/>
              </w:rPr>
              <w:t>0:44-</w:t>
            </w:r>
          </w:p>
        </w:tc>
      </w:tr>
      <w:tr w:rsidR="00FD5B64" w:rsidRPr="00B4065B" w14:paraId="34F8261F" w14:textId="77777777" w:rsidTr="00FD5B64">
        <w:trPr>
          <w:trHeight w:val="600"/>
        </w:trPr>
        <w:tc>
          <w:tcPr>
            <w:tcW w:w="849" w:type="dxa"/>
            <w:tcBorders>
              <w:top w:val="single" w:sz="4" w:space="0" w:color="auto"/>
              <w:bottom w:val="single" w:sz="4" w:space="0" w:color="auto"/>
            </w:tcBorders>
            <w:shd w:val="clear" w:color="auto" w:fill="D9D9D9"/>
            <w:noWrap/>
            <w:vAlign w:val="center"/>
          </w:tcPr>
          <w:p w14:paraId="33455F14"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D9D9D9"/>
            <w:noWrap/>
            <w:vAlign w:val="center"/>
          </w:tcPr>
          <w:p w14:paraId="075D53F1"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פלילי</w:t>
            </w:r>
          </w:p>
        </w:tc>
        <w:tc>
          <w:tcPr>
            <w:tcW w:w="2408" w:type="dxa"/>
            <w:tcBorders>
              <w:top w:val="single" w:sz="4" w:space="0" w:color="auto"/>
              <w:bottom w:val="single" w:sz="4" w:space="0" w:color="auto"/>
            </w:tcBorders>
            <w:shd w:val="clear" w:color="auto" w:fill="D9D9D9"/>
            <w:vAlign w:val="center"/>
          </w:tcPr>
          <w:p w14:paraId="2269F794"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מעצר עד תום ההליכים (מ"ת)</w:t>
            </w:r>
          </w:p>
        </w:tc>
        <w:tc>
          <w:tcPr>
            <w:tcW w:w="1417" w:type="dxa"/>
            <w:tcBorders>
              <w:top w:val="single" w:sz="4" w:space="0" w:color="auto"/>
              <w:bottom w:val="single" w:sz="4" w:space="0" w:color="auto"/>
            </w:tcBorders>
            <w:shd w:val="clear" w:color="auto" w:fill="D9D9D9"/>
            <w:vAlign w:val="center"/>
          </w:tcPr>
          <w:p w14:paraId="564BB6FD"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tl/>
              </w:rPr>
              <w:t>1,407</w:t>
            </w:r>
          </w:p>
        </w:tc>
        <w:tc>
          <w:tcPr>
            <w:tcW w:w="1418" w:type="dxa"/>
            <w:tcBorders>
              <w:top w:val="single" w:sz="4" w:space="0" w:color="auto"/>
              <w:bottom w:val="single" w:sz="4" w:space="0" w:color="auto"/>
            </w:tcBorders>
            <w:shd w:val="clear" w:color="auto" w:fill="D9D9D9"/>
            <w:noWrap/>
            <w:vAlign w:val="center"/>
          </w:tcPr>
          <w:p w14:paraId="31B7FA07" w14:textId="77777777" w:rsidR="00FD5B64" w:rsidRPr="00B4065B" w:rsidRDefault="00FD5B64" w:rsidP="00FD5B64">
            <w:pPr>
              <w:spacing w:after="0" w:line="240" w:lineRule="auto"/>
              <w:jc w:val="center"/>
              <w:rPr>
                <w:rFonts w:ascii="David" w:hAnsi="David" w:cs="David"/>
                <w:b/>
                <w:bCs/>
                <w:color w:val="000000"/>
              </w:rPr>
            </w:pPr>
            <w:r w:rsidRPr="00B4065B">
              <w:rPr>
                <w:rFonts w:ascii="David" w:hAnsi="David" w:cs="David"/>
                <w:b/>
                <w:bCs/>
                <w:color w:val="000000"/>
              </w:rPr>
              <w:t>8:00</w:t>
            </w:r>
          </w:p>
        </w:tc>
        <w:tc>
          <w:tcPr>
            <w:tcW w:w="1417" w:type="dxa"/>
            <w:tcBorders>
              <w:top w:val="single" w:sz="4" w:space="0" w:color="auto"/>
              <w:bottom w:val="single" w:sz="4" w:space="0" w:color="auto"/>
            </w:tcBorders>
            <w:shd w:val="clear" w:color="auto" w:fill="D9D9D9"/>
            <w:vAlign w:val="center"/>
          </w:tcPr>
          <w:p w14:paraId="79FFAA84"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5:53</w:t>
            </w:r>
          </w:p>
        </w:tc>
        <w:tc>
          <w:tcPr>
            <w:tcW w:w="849" w:type="dxa"/>
            <w:tcBorders>
              <w:top w:val="single" w:sz="4" w:space="0" w:color="auto"/>
              <w:bottom w:val="single" w:sz="4" w:space="0" w:color="auto"/>
            </w:tcBorders>
            <w:shd w:val="clear" w:color="auto" w:fill="D9D9D9"/>
            <w:vAlign w:val="center"/>
          </w:tcPr>
          <w:p w14:paraId="603D9132" w14:textId="77777777" w:rsidR="00FD5B64" w:rsidRPr="00B4065B" w:rsidRDefault="00FD5B64" w:rsidP="00FD5B64">
            <w:pPr>
              <w:spacing w:after="0" w:line="240" w:lineRule="auto"/>
              <w:jc w:val="center"/>
              <w:rPr>
                <w:rFonts w:ascii="David" w:hAnsi="David" w:cs="David"/>
                <w:color w:val="000000"/>
                <w:rtl/>
              </w:rPr>
            </w:pPr>
            <w:r w:rsidRPr="00B4065B">
              <w:rPr>
                <w:rFonts w:ascii="David" w:hAnsi="David" w:cs="David"/>
                <w:color w:val="000000"/>
              </w:rPr>
              <w:t>+2:07</w:t>
            </w:r>
          </w:p>
        </w:tc>
      </w:tr>
      <w:tr w:rsidR="00FD5B64" w:rsidRPr="00B4065B" w14:paraId="5711CDF7" w14:textId="77777777" w:rsidTr="00FD5B64">
        <w:trPr>
          <w:trHeight w:val="300"/>
        </w:trPr>
        <w:tc>
          <w:tcPr>
            <w:tcW w:w="849" w:type="dxa"/>
            <w:tcBorders>
              <w:top w:val="single" w:sz="4" w:space="0" w:color="auto"/>
              <w:bottom w:val="single" w:sz="4" w:space="0" w:color="auto"/>
            </w:tcBorders>
            <w:shd w:val="clear" w:color="auto" w:fill="auto"/>
            <w:noWrap/>
            <w:vAlign w:val="center"/>
          </w:tcPr>
          <w:p w14:paraId="2EDB4FE0"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auto"/>
            <w:noWrap/>
            <w:vAlign w:val="center"/>
          </w:tcPr>
          <w:p w14:paraId="2E940B55" w14:textId="77777777" w:rsidR="00FD5B64" w:rsidRPr="00B4065B" w:rsidRDefault="00FD5B64" w:rsidP="00FD5B64">
            <w:pPr>
              <w:rPr>
                <w:rFonts w:ascii="David" w:hAnsi="David" w:cs="David"/>
                <w:color w:val="000000"/>
              </w:rPr>
            </w:pPr>
            <w:r w:rsidRPr="00B4065B">
              <w:rPr>
                <w:rFonts w:ascii="David" w:hAnsi="David" w:cs="David"/>
                <w:color w:val="000000"/>
                <w:rtl/>
              </w:rPr>
              <w:t>עניינים</w:t>
            </w:r>
            <w:r w:rsidRPr="00B4065B">
              <w:rPr>
                <w:rFonts w:ascii="David" w:hAnsi="David" w:cs="David" w:hint="cs"/>
                <w:color w:val="000000"/>
                <w:rtl/>
              </w:rPr>
              <w:t xml:space="preserve"> </w:t>
            </w:r>
            <w:r w:rsidRPr="00B4065B">
              <w:rPr>
                <w:rFonts w:ascii="David" w:hAnsi="David" w:cs="David"/>
                <w:color w:val="000000"/>
                <w:rtl/>
              </w:rPr>
              <w:t>מנהלים</w:t>
            </w:r>
          </w:p>
        </w:tc>
        <w:tc>
          <w:tcPr>
            <w:tcW w:w="2408" w:type="dxa"/>
            <w:tcBorders>
              <w:top w:val="single" w:sz="4" w:space="0" w:color="auto"/>
              <w:bottom w:val="single" w:sz="4" w:space="0" w:color="auto"/>
            </w:tcBorders>
            <w:shd w:val="clear" w:color="auto" w:fill="auto"/>
            <w:vAlign w:val="center"/>
          </w:tcPr>
          <w:p w14:paraId="0083963F"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ערעור מנהלי (עמ"נ)</w:t>
            </w:r>
          </w:p>
        </w:tc>
        <w:tc>
          <w:tcPr>
            <w:tcW w:w="1417" w:type="dxa"/>
            <w:tcBorders>
              <w:top w:val="single" w:sz="4" w:space="0" w:color="auto"/>
              <w:bottom w:val="single" w:sz="4" w:space="0" w:color="auto"/>
            </w:tcBorders>
            <w:vAlign w:val="center"/>
          </w:tcPr>
          <w:p w14:paraId="5327A49C"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785</w:t>
            </w:r>
          </w:p>
        </w:tc>
        <w:tc>
          <w:tcPr>
            <w:tcW w:w="1418" w:type="dxa"/>
            <w:tcBorders>
              <w:top w:val="single" w:sz="4" w:space="0" w:color="auto"/>
              <w:bottom w:val="single" w:sz="4" w:space="0" w:color="auto"/>
            </w:tcBorders>
            <w:shd w:val="clear" w:color="auto" w:fill="auto"/>
            <w:noWrap/>
            <w:vAlign w:val="center"/>
          </w:tcPr>
          <w:p w14:paraId="32E2D794" w14:textId="77777777" w:rsidR="00FD5B64" w:rsidRPr="00B4065B" w:rsidRDefault="00FD5B64" w:rsidP="00FD5B64">
            <w:pPr>
              <w:spacing w:after="0" w:line="240" w:lineRule="auto"/>
              <w:jc w:val="center"/>
              <w:rPr>
                <w:rFonts w:ascii="David" w:hAnsi="David" w:cs="David"/>
                <w:b/>
                <w:bCs/>
                <w:color w:val="000000"/>
                <w:rtl/>
              </w:rPr>
            </w:pPr>
            <w:r w:rsidRPr="00B4065B">
              <w:rPr>
                <w:rFonts w:ascii="David" w:hAnsi="David" w:cs="David"/>
                <w:b/>
                <w:bCs/>
                <w:color w:val="000000"/>
              </w:rPr>
              <w:t>7:46</w:t>
            </w:r>
          </w:p>
        </w:tc>
        <w:tc>
          <w:tcPr>
            <w:tcW w:w="1417" w:type="dxa"/>
            <w:tcBorders>
              <w:top w:val="single" w:sz="4" w:space="0" w:color="auto"/>
              <w:bottom w:val="single" w:sz="4" w:space="0" w:color="auto"/>
            </w:tcBorders>
            <w:vAlign w:val="center"/>
          </w:tcPr>
          <w:p w14:paraId="43752514"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6:24</w:t>
            </w:r>
          </w:p>
        </w:tc>
        <w:tc>
          <w:tcPr>
            <w:tcW w:w="849" w:type="dxa"/>
            <w:tcBorders>
              <w:top w:val="single" w:sz="4" w:space="0" w:color="auto"/>
              <w:bottom w:val="single" w:sz="4" w:space="0" w:color="auto"/>
            </w:tcBorders>
            <w:vAlign w:val="center"/>
          </w:tcPr>
          <w:p w14:paraId="001C41B8" w14:textId="77777777" w:rsidR="00FD5B64" w:rsidRPr="00B4065B" w:rsidRDefault="00FD5B64" w:rsidP="00FD5B64">
            <w:pPr>
              <w:spacing w:after="0" w:line="240" w:lineRule="auto"/>
              <w:jc w:val="center"/>
              <w:rPr>
                <w:rFonts w:ascii="David" w:hAnsi="David" w:cs="David"/>
                <w:color w:val="000000"/>
                <w:rtl/>
              </w:rPr>
            </w:pPr>
            <w:r w:rsidRPr="00B4065B">
              <w:rPr>
                <w:rFonts w:ascii="David" w:hAnsi="David" w:cs="David"/>
                <w:color w:val="000000"/>
              </w:rPr>
              <w:t>+1:22</w:t>
            </w:r>
          </w:p>
        </w:tc>
      </w:tr>
      <w:tr w:rsidR="00FD5B64" w:rsidRPr="00B4065B" w14:paraId="5C049E29" w14:textId="77777777" w:rsidTr="00FD5B64">
        <w:trPr>
          <w:trHeight w:val="300"/>
        </w:trPr>
        <w:tc>
          <w:tcPr>
            <w:tcW w:w="849" w:type="dxa"/>
            <w:tcBorders>
              <w:top w:val="single" w:sz="4" w:space="0" w:color="auto"/>
              <w:bottom w:val="single" w:sz="4" w:space="0" w:color="auto"/>
            </w:tcBorders>
            <w:shd w:val="clear" w:color="auto" w:fill="D0CECE" w:themeFill="background2" w:themeFillShade="E6"/>
            <w:noWrap/>
            <w:vAlign w:val="center"/>
          </w:tcPr>
          <w:p w14:paraId="61175752"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D0CECE" w:themeFill="background2" w:themeFillShade="E6"/>
            <w:noWrap/>
            <w:vAlign w:val="center"/>
          </w:tcPr>
          <w:p w14:paraId="577DBDCE"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br/>
              <w:t>ערעור אזרחי</w:t>
            </w:r>
          </w:p>
        </w:tc>
        <w:tc>
          <w:tcPr>
            <w:tcW w:w="2408" w:type="dxa"/>
            <w:tcBorders>
              <w:top w:val="single" w:sz="4" w:space="0" w:color="auto"/>
              <w:bottom w:val="single" w:sz="4" w:space="0" w:color="auto"/>
            </w:tcBorders>
            <w:shd w:val="clear" w:color="auto" w:fill="D0CECE" w:themeFill="background2" w:themeFillShade="E6"/>
            <w:vAlign w:val="center"/>
          </w:tcPr>
          <w:p w14:paraId="0DE75996"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 xml:space="preserve">ערעור אזרחי (ע"א) – </w:t>
            </w:r>
            <w:r w:rsidRPr="00B4065B">
              <w:rPr>
                <w:rFonts w:ascii="David" w:hAnsi="David" w:cs="David"/>
                <w:b/>
                <w:bCs/>
                <w:color w:val="000000"/>
                <w:rtl/>
              </w:rPr>
              <w:t>משוקלל</w:t>
            </w:r>
            <w:r w:rsidRPr="00B4065B">
              <w:rPr>
                <w:rFonts w:ascii="David" w:hAnsi="David" w:cs="David" w:hint="cs"/>
                <w:color w:val="000000"/>
                <w:rtl/>
              </w:rPr>
              <w:t xml:space="preserve"> </w:t>
            </w:r>
            <w:r w:rsidRPr="00B4065B">
              <w:rPr>
                <w:rStyle w:val="a6"/>
                <w:rFonts w:ascii="David" w:hAnsi="David" w:cs="David"/>
                <w:color w:val="000000"/>
                <w:rtl/>
              </w:rPr>
              <w:footnoteReference w:id="24"/>
            </w:r>
          </w:p>
        </w:tc>
        <w:tc>
          <w:tcPr>
            <w:tcW w:w="1417" w:type="dxa"/>
            <w:tcBorders>
              <w:top w:val="single" w:sz="4" w:space="0" w:color="auto"/>
              <w:bottom w:val="single" w:sz="4" w:space="0" w:color="auto"/>
            </w:tcBorders>
            <w:shd w:val="clear" w:color="auto" w:fill="D0CECE" w:themeFill="background2" w:themeFillShade="E6"/>
            <w:vAlign w:val="center"/>
          </w:tcPr>
          <w:p w14:paraId="7F64897C" w14:textId="77777777" w:rsidR="00FD5B64" w:rsidRPr="00B4065B" w:rsidRDefault="00FD5B64" w:rsidP="00FD5B64">
            <w:pPr>
              <w:spacing w:after="0" w:line="240" w:lineRule="auto"/>
              <w:jc w:val="center"/>
              <w:rPr>
                <w:rFonts w:ascii="David" w:hAnsi="David" w:cs="David"/>
                <w:color w:val="000000"/>
                <w:rtl/>
              </w:rPr>
            </w:pPr>
            <w:r w:rsidRPr="00B4065B">
              <w:rPr>
                <w:rFonts w:ascii="David" w:hAnsi="David" w:cs="David"/>
                <w:color w:val="000000"/>
                <w:rtl/>
              </w:rPr>
              <w:t>2,680</w:t>
            </w:r>
          </w:p>
        </w:tc>
        <w:tc>
          <w:tcPr>
            <w:tcW w:w="1418" w:type="dxa"/>
            <w:tcBorders>
              <w:top w:val="single" w:sz="4" w:space="0" w:color="auto"/>
              <w:bottom w:val="single" w:sz="4" w:space="0" w:color="auto"/>
            </w:tcBorders>
            <w:shd w:val="clear" w:color="auto" w:fill="D0CECE" w:themeFill="background2" w:themeFillShade="E6"/>
            <w:noWrap/>
            <w:vAlign w:val="center"/>
          </w:tcPr>
          <w:p w14:paraId="4EFB4A83" w14:textId="77777777" w:rsidR="00FD5B64" w:rsidRPr="00B4065B" w:rsidRDefault="00FD5B64" w:rsidP="00FD5B64">
            <w:pPr>
              <w:spacing w:after="0" w:line="240" w:lineRule="auto"/>
              <w:jc w:val="center"/>
              <w:rPr>
                <w:rFonts w:ascii="David" w:hAnsi="David" w:cs="David"/>
                <w:b/>
                <w:bCs/>
                <w:color w:val="000000"/>
              </w:rPr>
            </w:pPr>
            <w:r w:rsidRPr="00B4065B">
              <w:rPr>
                <w:rFonts w:ascii="David" w:hAnsi="David" w:cs="David"/>
                <w:b/>
                <w:bCs/>
                <w:color w:val="000000"/>
              </w:rPr>
              <w:t>7:44</w:t>
            </w:r>
          </w:p>
        </w:tc>
        <w:tc>
          <w:tcPr>
            <w:tcW w:w="1417" w:type="dxa"/>
            <w:tcBorders>
              <w:top w:val="single" w:sz="4" w:space="0" w:color="auto"/>
              <w:bottom w:val="single" w:sz="4" w:space="0" w:color="auto"/>
            </w:tcBorders>
            <w:shd w:val="clear" w:color="auto" w:fill="D0CECE" w:themeFill="background2" w:themeFillShade="E6"/>
            <w:vAlign w:val="center"/>
          </w:tcPr>
          <w:p w14:paraId="19667628"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7:11</w:t>
            </w:r>
          </w:p>
        </w:tc>
        <w:tc>
          <w:tcPr>
            <w:tcW w:w="849" w:type="dxa"/>
            <w:tcBorders>
              <w:top w:val="single" w:sz="4" w:space="0" w:color="auto"/>
              <w:bottom w:val="single" w:sz="4" w:space="0" w:color="auto"/>
            </w:tcBorders>
            <w:shd w:val="clear" w:color="auto" w:fill="D0CECE" w:themeFill="background2" w:themeFillShade="E6"/>
            <w:vAlign w:val="center"/>
          </w:tcPr>
          <w:p w14:paraId="0ACFABF5"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+0:33</w:t>
            </w:r>
          </w:p>
        </w:tc>
      </w:tr>
      <w:tr w:rsidR="00FD5B64" w:rsidRPr="00B4065B" w14:paraId="15CFC2FC" w14:textId="77777777" w:rsidTr="00FD5B64">
        <w:trPr>
          <w:trHeight w:val="586"/>
        </w:trPr>
        <w:tc>
          <w:tcPr>
            <w:tcW w:w="849" w:type="dxa"/>
            <w:tcBorders>
              <w:top w:val="single" w:sz="4" w:space="0" w:color="auto"/>
              <w:bottom w:val="single" w:sz="4" w:space="0" w:color="auto"/>
            </w:tcBorders>
            <w:shd w:val="clear" w:color="auto" w:fill="auto"/>
            <w:noWrap/>
            <w:vAlign w:val="center"/>
          </w:tcPr>
          <w:p w14:paraId="383461AA"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auto"/>
            <w:noWrap/>
            <w:vAlign w:val="center"/>
          </w:tcPr>
          <w:p w14:paraId="4C937745"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ערעור פלילי</w:t>
            </w:r>
          </w:p>
        </w:tc>
        <w:tc>
          <w:tcPr>
            <w:tcW w:w="2408" w:type="dxa"/>
            <w:tcBorders>
              <w:top w:val="single" w:sz="4" w:space="0" w:color="auto"/>
              <w:bottom w:val="single" w:sz="4" w:space="0" w:color="auto"/>
            </w:tcBorders>
            <w:shd w:val="clear" w:color="auto" w:fill="auto"/>
            <w:vAlign w:val="center"/>
          </w:tcPr>
          <w:p w14:paraId="50537AF7"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ערעור נוער פלילי (ענ"פ) – הרכב</w:t>
            </w:r>
          </w:p>
        </w:tc>
        <w:tc>
          <w:tcPr>
            <w:tcW w:w="1417" w:type="dxa"/>
            <w:tcBorders>
              <w:top w:val="single" w:sz="4" w:space="0" w:color="auto"/>
              <w:bottom w:val="single" w:sz="4" w:space="0" w:color="auto"/>
            </w:tcBorders>
            <w:vAlign w:val="center"/>
          </w:tcPr>
          <w:p w14:paraId="2DA13AF6"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tl/>
              </w:rPr>
              <w:t>96</w:t>
            </w:r>
          </w:p>
        </w:tc>
        <w:tc>
          <w:tcPr>
            <w:tcW w:w="1418" w:type="dxa"/>
            <w:tcBorders>
              <w:top w:val="single" w:sz="4" w:space="0" w:color="auto"/>
              <w:bottom w:val="single" w:sz="4" w:space="0" w:color="auto"/>
            </w:tcBorders>
            <w:shd w:val="clear" w:color="auto" w:fill="auto"/>
            <w:noWrap/>
            <w:vAlign w:val="center"/>
          </w:tcPr>
          <w:p w14:paraId="1D5FB20E" w14:textId="77777777" w:rsidR="00FD5B64" w:rsidRPr="00B4065B" w:rsidRDefault="00FD5B64" w:rsidP="00FD5B64">
            <w:pPr>
              <w:spacing w:after="0" w:line="240" w:lineRule="auto"/>
              <w:jc w:val="center"/>
              <w:rPr>
                <w:rFonts w:ascii="David" w:hAnsi="David" w:cs="David"/>
                <w:b/>
                <w:bCs/>
                <w:color w:val="000000"/>
                <w:rtl/>
              </w:rPr>
            </w:pPr>
            <w:r w:rsidRPr="00B4065B">
              <w:rPr>
                <w:rFonts w:ascii="David" w:hAnsi="David" w:cs="David" w:hint="cs"/>
                <w:b/>
                <w:bCs/>
                <w:color w:val="000000"/>
                <w:rtl/>
              </w:rPr>
              <w:t>7:31</w:t>
            </w:r>
          </w:p>
        </w:tc>
        <w:tc>
          <w:tcPr>
            <w:tcW w:w="1417" w:type="dxa"/>
            <w:tcBorders>
              <w:top w:val="single" w:sz="4" w:space="0" w:color="auto"/>
              <w:bottom w:val="single" w:sz="4" w:space="0" w:color="auto"/>
            </w:tcBorders>
            <w:vAlign w:val="center"/>
          </w:tcPr>
          <w:p w14:paraId="7B3E8FE2" w14:textId="77777777" w:rsidR="00FD5B64" w:rsidRPr="00B4065B" w:rsidRDefault="00FD5B64" w:rsidP="00FD5B64">
            <w:pPr>
              <w:spacing w:after="0" w:line="240" w:lineRule="auto"/>
              <w:jc w:val="center"/>
              <w:rPr>
                <w:rFonts w:ascii="David" w:hAnsi="David" w:cs="David"/>
                <w:color w:val="000000"/>
                <w:rtl/>
              </w:rPr>
            </w:pPr>
            <w:r w:rsidRPr="00B4065B">
              <w:rPr>
                <w:rFonts w:ascii="David" w:hAnsi="David" w:cs="David"/>
                <w:color w:val="000000"/>
              </w:rPr>
              <w:t>-</w:t>
            </w:r>
          </w:p>
        </w:tc>
        <w:tc>
          <w:tcPr>
            <w:tcW w:w="849" w:type="dxa"/>
            <w:tcBorders>
              <w:top w:val="single" w:sz="4" w:space="0" w:color="auto"/>
              <w:bottom w:val="single" w:sz="4" w:space="0" w:color="auto"/>
            </w:tcBorders>
            <w:vAlign w:val="center"/>
          </w:tcPr>
          <w:p w14:paraId="2A22D846"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w:t>
            </w:r>
          </w:p>
        </w:tc>
      </w:tr>
      <w:tr w:rsidR="00FD5B64" w:rsidRPr="00B4065B" w14:paraId="4B181FF9" w14:textId="77777777" w:rsidTr="00FD5B64">
        <w:trPr>
          <w:trHeight w:val="536"/>
        </w:trPr>
        <w:tc>
          <w:tcPr>
            <w:tcW w:w="849" w:type="dxa"/>
            <w:tcBorders>
              <w:top w:val="single" w:sz="4" w:space="0" w:color="auto"/>
              <w:bottom w:val="single" w:sz="4" w:space="0" w:color="auto"/>
            </w:tcBorders>
            <w:shd w:val="clear" w:color="auto" w:fill="D9D9D9"/>
            <w:noWrap/>
            <w:vAlign w:val="center"/>
          </w:tcPr>
          <w:p w14:paraId="5E77F0F2"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D9D9D9"/>
            <w:noWrap/>
            <w:vAlign w:val="center"/>
          </w:tcPr>
          <w:p w14:paraId="3A6364FB"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אזרחי</w:t>
            </w:r>
          </w:p>
        </w:tc>
        <w:tc>
          <w:tcPr>
            <w:tcW w:w="2408" w:type="dxa"/>
            <w:tcBorders>
              <w:top w:val="single" w:sz="4" w:space="0" w:color="auto"/>
              <w:bottom w:val="single" w:sz="4" w:space="0" w:color="auto"/>
            </w:tcBorders>
            <w:shd w:val="clear" w:color="auto" w:fill="D9D9D9"/>
            <w:vAlign w:val="center"/>
          </w:tcPr>
          <w:p w14:paraId="1225CEB2"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פירוקים (פר"ק)</w:t>
            </w:r>
          </w:p>
        </w:tc>
        <w:tc>
          <w:tcPr>
            <w:tcW w:w="1417" w:type="dxa"/>
            <w:tcBorders>
              <w:top w:val="single" w:sz="4" w:space="0" w:color="auto"/>
              <w:bottom w:val="single" w:sz="4" w:space="0" w:color="auto"/>
            </w:tcBorders>
            <w:shd w:val="clear" w:color="auto" w:fill="D9D9D9"/>
            <w:vAlign w:val="center"/>
          </w:tcPr>
          <w:p w14:paraId="4F775084"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1,348</w:t>
            </w:r>
          </w:p>
        </w:tc>
        <w:tc>
          <w:tcPr>
            <w:tcW w:w="1418" w:type="dxa"/>
            <w:tcBorders>
              <w:top w:val="single" w:sz="4" w:space="0" w:color="auto"/>
              <w:bottom w:val="single" w:sz="4" w:space="0" w:color="auto"/>
            </w:tcBorders>
            <w:shd w:val="clear" w:color="auto" w:fill="D9D9D9"/>
            <w:noWrap/>
            <w:vAlign w:val="center"/>
          </w:tcPr>
          <w:p w14:paraId="2F58A73B" w14:textId="77777777" w:rsidR="00FD5B64" w:rsidRPr="00B4065B" w:rsidRDefault="00FD5B64" w:rsidP="00FD5B64">
            <w:pPr>
              <w:spacing w:after="0" w:line="240" w:lineRule="auto"/>
              <w:jc w:val="center"/>
              <w:rPr>
                <w:rFonts w:ascii="David" w:hAnsi="David" w:cs="David"/>
                <w:b/>
                <w:bCs/>
                <w:color w:val="000000"/>
              </w:rPr>
            </w:pPr>
            <w:r w:rsidRPr="00B4065B">
              <w:rPr>
                <w:rFonts w:ascii="David" w:hAnsi="David" w:cs="David" w:hint="cs"/>
                <w:b/>
                <w:bCs/>
                <w:color w:val="000000"/>
                <w:rtl/>
              </w:rPr>
              <w:t>7:28</w:t>
            </w:r>
          </w:p>
        </w:tc>
        <w:tc>
          <w:tcPr>
            <w:tcW w:w="1417" w:type="dxa"/>
            <w:tcBorders>
              <w:top w:val="single" w:sz="4" w:space="0" w:color="auto"/>
              <w:bottom w:val="single" w:sz="4" w:space="0" w:color="auto"/>
            </w:tcBorders>
            <w:shd w:val="clear" w:color="auto" w:fill="D9D9D9"/>
            <w:vAlign w:val="center"/>
          </w:tcPr>
          <w:p w14:paraId="77143CA6"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6:29</w:t>
            </w:r>
          </w:p>
        </w:tc>
        <w:tc>
          <w:tcPr>
            <w:tcW w:w="849" w:type="dxa"/>
            <w:tcBorders>
              <w:top w:val="single" w:sz="4" w:space="0" w:color="auto"/>
              <w:bottom w:val="single" w:sz="4" w:space="0" w:color="auto"/>
            </w:tcBorders>
            <w:shd w:val="clear" w:color="auto" w:fill="D9D9D9"/>
            <w:vAlign w:val="center"/>
          </w:tcPr>
          <w:p w14:paraId="5E67B1AD" w14:textId="77777777" w:rsidR="00FD5B64" w:rsidRPr="00B4065B" w:rsidRDefault="00FD5B64" w:rsidP="00FD5B64">
            <w:pPr>
              <w:spacing w:after="0" w:line="240" w:lineRule="auto"/>
              <w:jc w:val="center"/>
              <w:rPr>
                <w:rFonts w:ascii="David" w:hAnsi="David" w:cs="David"/>
                <w:color w:val="000000"/>
                <w:rtl/>
              </w:rPr>
            </w:pPr>
            <w:r w:rsidRPr="00B4065B">
              <w:rPr>
                <w:rFonts w:ascii="David" w:hAnsi="David" w:cs="David"/>
                <w:color w:val="000000"/>
              </w:rPr>
              <w:t>+0:59</w:t>
            </w:r>
          </w:p>
        </w:tc>
      </w:tr>
      <w:tr w:rsidR="00FD5B64" w:rsidRPr="00B4065B" w14:paraId="04EADF9B" w14:textId="77777777" w:rsidTr="00FD5B64">
        <w:trPr>
          <w:trHeight w:val="283"/>
        </w:trPr>
        <w:tc>
          <w:tcPr>
            <w:tcW w:w="849" w:type="dxa"/>
            <w:tcBorders>
              <w:top w:val="single" w:sz="4" w:space="0" w:color="auto"/>
              <w:bottom w:val="single" w:sz="4" w:space="0" w:color="auto"/>
            </w:tcBorders>
            <w:shd w:val="clear" w:color="auto" w:fill="FFFFFF"/>
            <w:noWrap/>
            <w:vAlign w:val="center"/>
          </w:tcPr>
          <w:p w14:paraId="778F8366"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FFFFFF"/>
            <w:noWrap/>
            <w:vAlign w:val="center"/>
          </w:tcPr>
          <w:p w14:paraId="57B0C821"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ערעור פלילי</w:t>
            </w:r>
          </w:p>
        </w:tc>
        <w:tc>
          <w:tcPr>
            <w:tcW w:w="2408" w:type="dxa"/>
            <w:tcBorders>
              <w:top w:val="single" w:sz="4" w:space="0" w:color="auto"/>
              <w:bottom w:val="single" w:sz="4" w:space="0" w:color="auto"/>
            </w:tcBorders>
            <w:shd w:val="clear" w:color="auto" w:fill="FFFFFF"/>
            <w:vAlign w:val="center"/>
          </w:tcPr>
          <w:p w14:paraId="33FA7F5E"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ערעור פלילי אחר (עפ"א)</w:t>
            </w:r>
          </w:p>
        </w:tc>
        <w:tc>
          <w:tcPr>
            <w:tcW w:w="1417" w:type="dxa"/>
            <w:tcBorders>
              <w:top w:val="single" w:sz="4" w:space="0" w:color="auto"/>
              <w:bottom w:val="single" w:sz="4" w:space="0" w:color="auto"/>
            </w:tcBorders>
            <w:shd w:val="clear" w:color="auto" w:fill="FFFFFF"/>
            <w:vAlign w:val="center"/>
          </w:tcPr>
          <w:p w14:paraId="2BF509C6"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tl/>
              </w:rPr>
              <w:t>212</w:t>
            </w:r>
          </w:p>
        </w:tc>
        <w:tc>
          <w:tcPr>
            <w:tcW w:w="1418" w:type="dxa"/>
            <w:tcBorders>
              <w:top w:val="single" w:sz="4" w:space="0" w:color="auto"/>
              <w:bottom w:val="single" w:sz="4" w:space="0" w:color="auto"/>
            </w:tcBorders>
            <w:shd w:val="clear" w:color="auto" w:fill="FFFFFF"/>
            <w:noWrap/>
            <w:vAlign w:val="center"/>
          </w:tcPr>
          <w:p w14:paraId="7284B57C" w14:textId="77777777" w:rsidR="00FD5B64" w:rsidRPr="00B4065B" w:rsidRDefault="00FD5B64" w:rsidP="00FD5B64">
            <w:pPr>
              <w:spacing w:after="0" w:line="240" w:lineRule="auto"/>
              <w:jc w:val="center"/>
              <w:rPr>
                <w:rFonts w:ascii="David" w:hAnsi="David" w:cs="David"/>
                <w:b/>
                <w:bCs/>
                <w:color w:val="000000"/>
                <w:rtl/>
              </w:rPr>
            </w:pPr>
            <w:r w:rsidRPr="00B4065B">
              <w:rPr>
                <w:rFonts w:ascii="David" w:hAnsi="David" w:cs="David"/>
                <w:b/>
                <w:bCs/>
                <w:color w:val="000000"/>
              </w:rPr>
              <w:t>6:37</w:t>
            </w:r>
          </w:p>
        </w:tc>
        <w:tc>
          <w:tcPr>
            <w:tcW w:w="1417" w:type="dxa"/>
            <w:tcBorders>
              <w:top w:val="single" w:sz="4" w:space="0" w:color="auto"/>
              <w:bottom w:val="single" w:sz="4" w:space="0" w:color="auto"/>
            </w:tcBorders>
            <w:shd w:val="clear" w:color="auto" w:fill="FFFFFF"/>
            <w:vAlign w:val="center"/>
          </w:tcPr>
          <w:p w14:paraId="68335DF7"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w:t>
            </w:r>
          </w:p>
        </w:tc>
        <w:tc>
          <w:tcPr>
            <w:tcW w:w="849" w:type="dxa"/>
            <w:tcBorders>
              <w:top w:val="single" w:sz="4" w:space="0" w:color="auto"/>
              <w:bottom w:val="single" w:sz="4" w:space="0" w:color="auto"/>
            </w:tcBorders>
            <w:shd w:val="clear" w:color="auto" w:fill="FFFFFF"/>
            <w:vAlign w:val="center"/>
          </w:tcPr>
          <w:p w14:paraId="15A8B9C1" w14:textId="77777777" w:rsidR="00FD5B64" w:rsidRPr="00B4065B" w:rsidRDefault="00FD5B64" w:rsidP="00FD5B64">
            <w:pPr>
              <w:spacing w:after="0" w:line="240" w:lineRule="auto"/>
              <w:jc w:val="center"/>
              <w:rPr>
                <w:rFonts w:ascii="David" w:hAnsi="David" w:cs="David"/>
                <w:color w:val="000000"/>
                <w:rtl/>
              </w:rPr>
            </w:pPr>
            <w:r w:rsidRPr="00B4065B">
              <w:rPr>
                <w:rFonts w:ascii="David" w:hAnsi="David" w:cs="David"/>
                <w:color w:val="000000"/>
              </w:rPr>
              <w:t>-</w:t>
            </w:r>
          </w:p>
        </w:tc>
      </w:tr>
      <w:tr w:rsidR="00FD5B64" w:rsidRPr="00B4065B" w14:paraId="3B1E7ED2" w14:textId="77777777" w:rsidTr="00FD5B64">
        <w:trPr>
          <w:trHeight w:val="283"/>
        </w:trPr>
        <w:tc>
          <w:tcPr>
            <w:tcW w:w="849" w:type="dxa"/>
            <w:tcBorders>
              <w:top w:val="single" w:sz="4" w:space="0" w:color="auto"/>
              <w:bottom w:val="single" w:sz="4" w:space="0" w:color="auto"/>
            </w:tcBorders>
            <w:shd w:val="clear" w:color="auto" w:fill="D9D9D9"/>
            <w:noWrap/>
            <w:vAlign w:val="center"/>
          </w:tcPr>
          <w:p w14:paraId="41910384"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D9D9D9"/>
            <w:noWrap/>
            <w:vAlign w:val="center"/>
          </w:tcPr>
          <w:p w14:paraId="7340C05B"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עניינים מנהליים</w:t>
            </w:r>
          </w:p>
        </w:tc>
        <w:tc>
          <w:tcPr>
            <w:tcW w:w="2408" w:type="dxa"/>
            <w:tcBorders>
              <w:top w:val="single" w:sz="4" w:space="0" w:color="auto"/>
              <w:bottom w:val="single" w:sz="4" w:space="0" w:color="auto"/>
            </w:tcBorders>
            <w:shd w:val="clear" w:color="auto" w:fill="D9D9D9"/>
            <w:vAlign w:val="center"/>
          </w:tcPr>
          <w:p w14:paraId="1620685C"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עתירות אסירים (עת"א) – הרכב</w:t>
            </w:r>
            <w:r w:rsidRPr="00B4065B">
              <w:rPr>
                <w:rFonts w:ascii="David" w:hAnsi="David" w:cs="David" w:hint="cs"/>
                <w:color w:val="000000"/>
                <w:rtl/>
              </w:rPr>
              <w:t xml:space="preserve">* </w:t>
            </w:r>
            <w:r w:rsidRPr="00B4065B">
              <w:rPr>
                <w:rStyle w:val="a6"/>
                <w:rFonts w:ascii="David" w:hAnsi="David" w:cs="David"/>
                <w:color w:val="000000"/>
                <w:rtl/>
              </w:rPr>
              <w:footnoteReference w:id="25"/>
            </w:r>
          </w:p>
        </w:tc>
        <w:tc>
          <w:tcPr>
            <w:tcW w:w="1417" w:type="dxa"/>
            <w:tcBorders>
              <w:top w:val="single" w:sz="4" w:space="0" w:color="auto"/>
              <w:bottom w:val="single" w:sz="4" w:space="0" w:color="auto"/>
            </w:tcBorders>
            <w:shd w:val="clear" w:color="auto" w:fill="D9D9D9"/>
            <w:vAlign w:val="center"/>
          </w:tcPr>
          <w:p w14:paraId="74504A4A"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tl/>
              </w:rPr>
              <w:t>409</w:t>
            </w:r>
          </w:p>
        </w:tc>
        <w:tc>
          <w:tcPr>
            <w:tcW w:w="1418" w:type="dxa"/>
            <w:tcBorders>
              <w:top w:val="single" w:sz="4" w:space="0" w:color="auto"/>
              <w:bottom w:val="single" w:sz="4" w:space="0" w:color="auto"/>
            </w:tcBorders>
            <w:shd w:val="clear" w:color="auto" w:fill="D9D9D9"/>
            <w:noWrap/>
            <w:vAlign w:val="center"/>
          </w:tcPr>
          <w:p w14:paraId="473EF3EA" w14:textId="77777777" w:rsidR="00FD5B64" w:rsidRPr="00B4065B" w:rsidRDefault="00FD5B64" w:rsidP="00FD5B64">
            <w:pPr>
              <w:spacing w:after="0" w:line="240" w:lineRule="auto"/>
              <w:jc w:val="center"/>
              <w:rPr>
                <w:rFonts w:ascii="David" w:hAnsi="David" w:cs="David"/>
                <w:b/>
                <w:bCs/>
                <w:color w:val="000000"/>
                <w:rtl/>
              </w:rPr>
            </w:pPr>
            <w:r w:rsidRPr="00B4065B">
              <w:rPr>
                <w:rFonts w:ascii="David" w:hAnsi="David" w:cs="David"/>
                <w:b/>
                <w:bCs/>
                <w:color w:val="000000"/>
              </w:rPr>
              <w:t>6:16</w:t>
            </w:r>
          </w:p>
        </w:tc>
        <w:tc>
          <w:tcPr>
            <w:tcW w:w="1417" w:type="dxa"/>
            <w:tcBorders>
              <w:top w:val="single" w:sz="4" w:space="0" w:color="auto"/>
              <w:bottom w:val="single" w:sz="4" w:space="0" w:color="auto"/>
            </w:tcBorders>
            <w:shd w:val="clear" w:color="auto" w:fill="D9D9D9"/>
            <w:vAlign w:val="center"/>
          </w:tcPr>
          <w:p w14:paraId="55203BBD" w14:textId="77777777" w:rsidR="00FD5B64" w:rsidRPr="00B4065B" w:rsidRDefault="00FD5B64" w:rsidP="00FD5B64">
            <w:pPr>
              <w:spacing w:after="0" w:line="240" w:lineRule="auto"/>
              <w:jc w:val="center"/>
              <w:rPr>
                <w:rFonts w:ascii="David" w:hAnsi="David" w:cs="David"/>
                <w:color w:val="000000"/>
                <w:rtl/>
              </w:rPr>
            </w:pPr>
            <w:r w:rsidRPr="00B4065B">
              <w:rPr>
                <w:rFonts w:ascii="David" w:hAnsi="David" w:cs="David"/>
                <w:color w:val="000000"/>
              </w:rPr>
              <w:t>5:58</w:t>
            </w:r>
          </w:p>
        </w:tc>
        <w:tc>
          <w:tcPr>
            <w:tcW w:w="849" w:type="dxa"/>
            <w:tcBorders>
              <w:top w:val="single" w:sz="4" w:space="0" w:color="auto"/>
              <w:bottom w:val="single" w:sz="4" w:space="0" w:color="auto"/>
            </w:tcBorders>
            <w:shd w:val="clear" w:color="auto" w:fill="D9D9D9"/>
            <w:vAlign w:val="center"/>
          </w:tcPr>
          <w:p w14:paraId="50A0926F" w14:textId="77777777" w:rsidR="00FD5B64" w:rsidRPr="00B4065B" w:rsidRDefault="00FD5B64" w:rsidP="00FD5B64">
            <w:pPr>
              <w:spacing w:after="0" w:line="240" w:lineRule="auto"/>
              <w:jc w:val="center"/>
              <w:rPr>
                <w:rFonts w:ascii="David" w:hAnsi="David" w:cs="David"/>
                <w:color w:val="000000"/>
                <w:rtl/>
              </w:rPr>
            </w:pPr>
            <w:r w:rsidRPr="00B4065B">
              <w:rPr>
                <w:rFonts w:ascii="David" w:hAnsi="David" w:cs="David"/>
                <w:color w:val="000000"/>
              </w:rPr>
              <w:t>+0:18</w:t>
            </w:r>
          </w:p>
        </w:tc>
      </w:tr>
      <w:tr w:rsidR="00FD5B64" w:rsidRPr="00B4065B" w14:paraId="2E491F2C" w14:textId="77777777" w:rsidTr="00FD5B64">
        <w:trPr>
          <w:trHeight w:val="300"/>
        </w:trPr>
        <w:tc>
          <w:tcPr>
            <w:tcW w:w="849" w:type="dxa"/>
            <w:tcBorders>
              <w:top w:val="single" w:sz="4" w:space="0" w:color="auto"/>
              <w:bottom w:val="single" w:sz="4" w:space="0" w:color="auto"/>
            </w:tcBorders>
            <w:shd w:val="clear" w:color="auto" w:fill="auto"/>
            <w:noWrap/>
            <w:vAlign w:val="center"/>
          </w:tcPr>
          <w:p w14:paraId="1BF4179B"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auto"/>
            <w:noWrap/>
            <w:vAlign w:val="center"/>
          </w:tcPr>
          <w:p w14:paraId="7E3A5C90"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אזרחי</w:t>
            </w:r>
          </w:p>
        </w:tc>
        <w:tc>
          <w:tcPr>
            <w:tcW w:w="2408" w:type="dxa"/>
            <w:tcBorders>
              <w:top w:val="single" w:sz="4" w:space="0" w:color="auto"/>
              <w:bottom w:val="single" w:sz="4" w:space="0" w:color="auto"/>
            </w:tcBorders>
            <w:shd w:val="clear" w:color="auto" w:fill="auto"/>
            <w:vAlign w:val="center"/>
          </w:tcPr>
          <w:p w14:paraId="1FFDF68D"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המרצת פתיחה (ה"פ)</w:t>
            </w:r>
          </w:p>
        </w:tc>
        <w:tc>
          <w:tcPr>
            <w:tcW w:w="1417" w:type="dxa"/>
            <w:tcBorders>
              <w:top w:val="single" w:sz="4" w:space="0" w:color="auto"/>
              <w:bottom w:val="single" w:sz="4" w:space="0" w:color="auto"/>
            </w:tcBorders>
            <w:vAlign w:val="center"/>
          </w:tcPr>
          <w:p w14:paraId="6CE84AF9" w14:textId="77777777" w:rsidR="00FD5B64" w:rsidRPr="00B4065B" w:rsidRDefault="00FD5B64" w:rsidP="00FD5B64">
            <w:pPr>
              <w:spacing w:after="0" w:line="240" w:lineRule="auto"/>
              <w:jc w:val="center"/>
              <w:rPr>
                <w:rFonts w:ascii="David" w:hAnsi="David" w:cs="David"/>
                <w:color w:val="000000"/>
                <w:rtl/>
              </w:rPr>
            </w:pPr>
            <w:r w:rsidRPr="00B4065B">
              <w:rPr>
                <w:rFonts w:ascii="David" w:hAnsi="David" w:cs="David"/>
                <w:color w:val="000000"/>
              </w:rPr>
              <w:t>2,177</w:t>
            </w:r>
          </w:p>
        </w:tc>
        <w:tc>
          <w:tcPr>
            <w:tcW w:w="1418" w:type="dxa"/>
            <w:tcBorders>
              <w:top w:val="single" w:sz="4" w:space="0" w:color="auto"/>
              <w:bottom w:val="single" w:sz="4" w:space="0" w:color="auto"/>
            </w:tcBorders>
            <w:shd w:val="clear" w:color="auto" w:fill="auto"/>
            <w:noWrap/>
            <w:vAlign w:val="center"/>
          </w:tcPr>
          <w:p w14:paraId="269124CD" w14:textId="77777777" w:rsidR="00FD5B64" w:rsidRPr="00B4065B" w:rsidRDefault="00FD5B64" w:rsidP="00FD5B64">
            <w:pPr>
              <w:spacing w:after="0" w:line="240" w:lineRule="auto"/>
              <w:jc w:val="center"/>
              <w:rPr>
                <w:rFonts w:ascii="David" w:hAnsi="David" w:cs="David"/>
                <w:b/>
                <w:bCs/>
                <w:color w:val="000000"/>
                <w:rtl/>
              </w:rPr>
            </w:pPr>
            <w:r w:rsidRPr="00B4065B">
              <w:rPr>
                <w:rFonts w:ascii="David" w:hAnsi="David" w:cs="David"/>
                <w:b/>
                <w:bCs/>
                <w:color w:val="000000"/>
                <w:rtl/>
              </w:rPr>
              <w:t>6:</w:t>
            </w:r>
            <w:r w:rsidRPr="00B4065B">
              <w:rPr>
                <w:rFonts w:ascii="David" w:hAnsi="David" w:cs="David" w:hint="cs"/>
                <w:b/>
                <w:bCs/>
                <w:color w:val="000000"/>
                <w:rtl/>
              </w:rPr>
              <w:t>12</w:t>
            </w:r>
          </w:p>
        </w:tc>
        <w:tc>
          <w:tcPr>
            <w:tcW w:w="1417" w:type="dxa"/>
            <w:tcBorders>
              <w:top w:val="single" w:sz="4" w:space="0" w:color="auto"/>
              <w:bottom w:val="single" w:sz="4" w:space="0" w:color="auto"/>
            </w:tcBorders>
            <w:vAlign w:val="center"/>
          </w:tcPr>
          <w:p w14:paraId="293D8725"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8:24</w:t>
            </w:r>
          </w:p>
        </w:tc>
        <w:tc>
          <w:tcPr>
            <w:tcW w:w="849" w:type="dxa"/>
            <w:tcBorders>
              <w:top w:val="single" w:sz="4" w:space="0" w:color="auto"/>
              <w:bottom w:val="single" w:sz="4" w:space="0" w:color="auto"/>
            </w:tcBorders>
            <w:vAlign w:val="center"/>
          </w:tcPr>
          <w:p w14:paraId="38765289" w14:textId="77777777" w:rsidR="00FD5B64" w:rsidRPr="00B4065B" w:rsidRDefault="00FD5B64" w:rsidP="00FD5B64">
            <w:pPr>
              <w:spacing w:after="0" w:line="240" w:lineRule="auto"/>
              <w:jc w:val="center"/>
              <w:rPr>
                <w:rFonts w:ascii="David" w:hAnsi="David" w:cs="David"/>
                <w:color w:val="000000"/>
                <w:rtl/>
              </w:rPr>
            </w:pPr>
            <w:r w:rsidRPr="00B4065B">
              <w:rPr>
                <w:rFonts w:ascii="David" w:hAnsi="David" w:cs="David"/>
                <w:color w:val="000000"/>
              </w:rPr>
              <w:t>-2:12</w:t>
            </w:r>
          </w:p>
        </w:tc>
      </w:tr>
      <w:tr w:rsidR="00FD5B64" w:rsidRPr="00B4065B" w14:paraId="07D9CF19" w14:textId="77777777" w:rsidTr="00FD5B64">
        <w:trPr>
          <w:trHeight w:val="274"/>
        </w:trPr>
        <w:tc>
          <w:tcPr>
            <w:tcW w:w="849" w:type="dxa"/>
            <w:tcBorders>
              <w:top w:val="single" w:sz="4" w:space="0" w:color="auto"/>
              <w:bottom w:val="single" w:sz="4" w:space="0" w:color="auto"/>
            </w:tcBorders>
            <w:shd w:val="clear" w:color="auto" w:fill="D9D9D9"/>
            <w:noWrap/>
            <w:vAlign w:val="center"/>
          </w:tcPr>
          <w:p w14:paraId="463DA6D0"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D9D9D9"/>
            <w:noWrap/>
            <w:vAlign w:val="center"/>
          </w:tcPr>
          <w:p w14:paraId="46354C82"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עניינים מנהליים</w:t>
            </w:r>
          </w:p>
        </w:tc>
        <w:tc>
          <w:tcPr>
            <w:tcW w:w="2408" w:type="dxa"/>
            <w:tcBorders>
              <w:top w:val="single" w:sz="4" w:space="0" w:color="auto"/>
              <w:bottom w:val="single" w:sz="4" w:space="0" w:color="auto"/>
            </w:tcBorders>
            <w:shd w:val="clear" w:color="auto" w:fill="D9D9D9"/>
            <w:vAlign w:val="center"/>
          </w:tcPr>
          <w:p w14:paraId="05C4F3FE"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עתירה מנהלית (עת"מ)</w:t>
            </w:r>
          </w:p>
        </w:tc>
        <w:tc>
          <w:tcPr>
            <w:tcW w:w="1417" w:type="dxa"/>
            <w:tcBorders>
              <w:top w:val="single" w:sz="4" w:space="0" w:color="auto"/>
              <w:bottom w:val="single" w:sz="4" w:space="0" w:color="auto"/>
            </w:tcBorders>
            <w:shd w:val="clear" w:color="auto" w:fill="D9D9D9"/>
            <w:vAlign w:val="center"/>
          </w:tcPr>
          <w:p w14:paraId="6FD105CD"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4,971</w:t>
            </w:r>
          </w:p>
        </w:tc>
        <w:tc>
          <w:tcPr>
            <w:tcW w:w="1418" w:type="dxa"/>
            <w:tcBorders>
              <w:top w:val="single" w:sz="4" w:space="0" w:color="auto"/>
              <w:bottom w:val="single" w:sz="4" w:space="0" w:color="auto"/>
            </w:tcBorders>
            <w:shd w:val="clear" w:color="auto" w:fill="D9D9D9"/>
            <w:noWrap/>
            <w:vAlign w:val="center"/>
          </w:tcPr>
          <w:p w14:paraId="40D881F5" w14:textId="77777777" w:rsidR="00FD5B64" w:rsidRPr="00B4065B" w:rsidRDefault="00FD5B64" w:rsidP="00FD5B64">
            <w:pPr>
              <w:spacing w:after="0" w:line="240" w:lineRule="auto"/>
              <w:jc w:val="center"/>
              <w:rPr>
                <w:rFonts w:ascii="David" w:hAnsi="David" w:cs="David"/>
                <w:b/>
                <w:bCs/>
                <w:color w:val="000000"/>
              </w:rPr>
            </w:pPr>
            <w:r w:rsidRPr="00B4065B">
              <w:rPr>
                <w:rFonts w:ascii="David" w:hAnsi="David" w:cs="David"/>
                <w:b/>
                <w:bCs/>
                <w:color w:val="000000"/>
              </w:rPr>
              <w:t>5:51</w:t>
            </w:r>
          </w:p>
        </w:tc>
        <w:tc>
          <w:tcPr>
            <w:tcW w:w="1417" w:type="dxa"/>
            <w:tcBorders>
              <w:top w:val="single" w:sz="4" w:space="0" w:color="auto"/>
              <w:bottom w:val="single" w:sz="4" w:space="0" w:color="auto"/>
            </w:tcBorders>
            <w:shd w:val="clear" w:color="auto" w:fill="D9D9D9"/>
            <w:vAlign w:val="center"/>
          </w:tcPr>
          <w:p w14:paraId="4CFE70D7"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7:25</w:t>
            </w:r>
          </w:p>
        </w:tc>
        <w:tc>
          <w:tcPr>
            <w:tcW w:w="849" w:type="dxa"/>
            <w:tcBorders>
              <w:top w:val="single" w:sz="4" w:space="0" w:color="auto"/>
              <w:bottom w:val="single" w:sz="4" w:space="0" w:color="auto"/>
            </w:tcBorders>
            <w:shd w:val="clear" w:color="auto" w:fill="D9D9D9"/>
            <w:vAlign w:val="center"/>
          </w:tcPr>
          <w:p w14:paraId="583BC3F7"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-1:34</w:t>
            </w:r>
          </w:p>
        </w:tc>
      </w:tr>
      <w:tr w:rsidR="00FD5B64" w:rsidRPr="00B4065B" w14:paraId="338B288C" w14:textId="77777777" w:rsidTr="00FD5B64">
        <w:trPr>
          <w:trHeight w:val="274"/>
        </w:trPr>
        <w:tc>
          <w:tcPr>
            <w:tcW w:w="849" w:type="dxa"/>
            <w:tcBorders>
              <w:top w:val="single" w:sz="4" w:space="0" w:color="auto"/>
              <w:bottom w:val="single" w:sz="4" w:space="0" w:color="auto"/>
            </w:tcBorders>
            <w:shd w:val="clear" w:color="auto" w:fill="auto"/>
            <w:noWrap/>
            <w:vAlign w:val="center"/>
          </w:tcPr>
          <w:p w14:paraId="49EAA8EE"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auto"/>
            <w:noWrap/>
            <w:vAlign w:val="center"/>
          </w:tcPr>
          <w:p w14:paraId="4A5F8ACD"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אזרחי</w:t>
            </w:r>
          </w:p>
        </w:tc>
        <w:tc>
          <w:tcPr>
            <w:tcW w:w="2408" w:type="dxa"/>
            <w:tcBorders>
              <w:top w:val="single" w:sz="4" w:space="0" w:color="auto"/>
              <w:bottom w:val="single" w:sz="4" w:space="0" w:color="auto"/>
            </w:tcBorders>
            <w:shd w:val="clear" w:color="auto" w:fill="auto"/>
            <w:vAlign w:val="center"/>
          </w:tcPr>
          <w:p w14:paraId="4E5CBA3B"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המרצת פתיחה בוררות (הפ"ב)</w:t>
            </w:r>
          </w:p>
        </w:tc>
        <w:tc>
          <w:tcPr>
            <w:tcW w:w="1417" w:type="dxa"/>
            <w:tcBorders>
              <w:top w:val="single" w:sz="4" w:space="0" w:color="auto"/>
              <w:bottom w:val="single" w:sz="4" w:space="0" w:color="auto"/>
            </w:tcBorders>
            <w:vAlign w:val="center"/>
          </w:tcPr>
          <w:p w14:paraId="56614884" w14:textId="77777777" w:rsidR="00FD5B64" w:rsidRPr="00B4065B" w:rsidRDefault="00FD5B64" w:rsidP="00FD5B64">
            <w:pPr>
              <w:spacing w:after="0" w:line="240" w:lineRule="auto"/>
              <w:jc w:val="center"/>
              <w:rPr>
                <w:rFonts w:ascii="David" w:hAnsi="David" w:cs="David"/>
                <w:color w:val="000000"/>
                <w:rtl/>
              </w:rPr>
            </w:pPr>
            <w:r w:rsidRPr="00B4065B">
              <w:rPr>
                <w:rFonts w:ascii="David" w:hAnsi="David" w:cs="David"/>
                <w:color w:val="000000"/>
                <w:rtl/>
              </w:rPr>
              <w:t>697</w:t>
            </w:r>
          </w:p>
        </w:tc>
        <w:tc>
          <w:tcPr>
            <w:tcW w:w="1418" w:type="dxa"/>
            <w:tcBorders>
              <w:top w:val="single" w:sz="4" w:space="0" w:color="auto"/>
              <w:bottom w:val="single" w:sz="4" w:space="0" w:color="auto"/>
            </w:tcBorders>
            <w:shd w:val="clear" w:color="auto" w:fill="auto"/>
            <w:noWrap/>
            <w:vAlign w:val="center"/>
          </w:tcPr>
          <w:p w14:paraId="6D27DD0C" w14:textId="77777777" w:rsidR="00FD5B64" w:rsidRPr="00B4065B" w:rsidRDefault="00FD5B64" w:rsidP="00FD5B64">
            <w:pPr>
              <w:spacing w:after="0" w:line="240" w:lineRule="auto"/>
              <w:jc w:val="center"/>
              <w:rPr>
                <w:rFonts w:ascii="David" w:hAnsi="David" w:cs="David"/>
                <w:b/>
                <w:bCs/>
                <w:color w:val="000000"/>
              </w:rPr>
            </w:pPr>
            <w:r w:rsidRPr="00B4065B">
              <w:rPr>
                <w:rFonts w:ascii="David" w:hAnsi="David" w:cs="David"/>
                <w:b/>
                <w:bCs/>
                <w:color w:val="000000"/>
              </w:rPr>
              <w:t>5:12</w:t>
            </w:r>
          </w:p>
        </w:tc>
        <w:tc>
          <w:tcPr>
            <w:tcW w:w="1417" w:type="dxa"/>
            <w:tcBorders>
              <w:top w:val="single" w:sz="4" w:space="0" w:color="auto"/>
              <w:bottom w:val="single" w:sz="4" w:space="0" w:color="auto"/>
            </w:tcBorders>
            <w:vAlign w:val="center"/>
          </w:tcPr>
          <w:p w14:paraId="2D58012F"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4:46</w:t>
            </w:r>
          </w:p>
        </w:tc>
        <w:tc>
          <w:tcPr>
            <w:tcW w:w="849" w:type="dxa"/>
            <w:tcBorders>
              <w:top w:val="single" w:sz="4" w:space="0" w:color="auto"/>
              <w:bottom w:val="single" w:sz="4" w:space="0" w:color="auto"/>
            </w:tcBorders>
            <w:vAlign w:val="center"/>
          </w:tcPr>
          <w:p w14:paraId="24322A3D"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+0:26</w:t>
            </w:r>
          </w:p>
        </w:tc>
      </w:tr>
      <w:tr w:rsidR="00FD5B64" w:rsidRPr="00B4065B" w14:paraId="4D090DB4" w14:textId="77777777" w:rsidTr="00FD5B64">
        <w:trPr>
          <w:trHeight w:val="300"/>
        </w:trPr>
        <w:tc>
          <w:tcPr>
            <w:tcW w:w="849" w:type="dxa"/>
            <w:tcBorders>
              <w:top w:val="single" w:sz="4" w:space="0" w:color="auto"/>
              <w:bottom w:val="single" w:sz="4" w:space="0" w:color="auto"/>
            </w:tcBorders>
            <w:shd w:val="clear" w:color="auto" w:fill="D9D9D9"/>
            <w:noWrap/>
            <w:vAlign w:val="center"/>
          </w:tcPr>
          <w:p w14:paraId="7C9F5A26"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D9D9D9"/>
            <w:noWrap/>
            <w:vAlign w:val="center"/>
          </w:tcPr>
          <w:p w14:paraId="0852551A"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אזרחי</w:t>
            </w:r>
          </w:p>
        </w:tc>
        <w:tc>
          <w:tcPr>
            <w:tcW w:w="2408" w:type="dxa"/>
            <w:tcBorders>
              <w:top w:val="single" w:sz="4" w:space="0" w:color="auto"/>
              <w:bottom w:val="single" w:sz="4" w:space="0" w:color="auto"/>
            </w:tcBorders>
            <w:shd w:val="clear" w:color="auto" w:fill="D9D9D9"/>
            <w:vAlign w:val="center"/>
          </w:tcPr>
          <w:p w14:paraId="59976C22"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ערעור אזרחי (ע"א) - דן יחיד</w:t>
            </w:r>
          </w:p>
        </w:tc>
        <w:tc>
          <w:tcPr>
            <w:tcW w:w="1417" w:type="dxa"/>
            <w:tcBorders>
              <w:top w:val="single" w:sz="4" w:space="0" w:color="auto"/>
              <w:bottom w:val="single" w:sz="4" w:space="0" w:color="auto"/>
            </w:tcBorders>
            <w:shd w:val="clear" w:color="auto" w:fill="D9D9D9"/>
            <w:vAlign w:val="center"/>
          </w:tcPr>
          <w:p w14:paraId="211C3C34"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tl/>
              </w:rPr>
              <w:t>1,394</w:t>
            </w:r>
          </w:p>
        </w:tc>
        <w:tc>
          <w:tcPr>
            <w:tcW w:w="1418" w:type="dxa"/>
            <w:tcBorders>
              <w:top w:val="single" w:sz="4" w:space="0" w:color="auto"/>
              <w:bottom w:val="single" w:sz="4" w:space="0" w:color="auto"/>
            </w:tcBorders>
            <w:shd w:val="clear" w:color="auto" w:fill="D9D9D9"/>
            <w:noWrap/>
            <w:vAlign w:val="center"/>
          </w:tcPr>
          <w:p w14:paraId="533E674A" w14:textId="77777777" w:rsidR="00FD5B64" w:rsidRPr="00B4065B" w:rsidRDefault="00FD5B64" w:rsidP="00FD5B64">
            <w:pPr>
              <w:spacing w:after="0" w:line="240" w:lineRule="auto"/>
              <w:jc w:val="center"/>
              <w:rPr>
                <w:rFonts w:ascii="David" w:hAnsi="David" w:cs="David"/>
                <w:b/>
                <w:bCs/>
                <w:color w:val="000000"/>
              </w:rPr>
            </w:pPr>
            <w:r w:rsidRPr="00B4065B">
              <w:rPr>
                <w:rFonts w:ascii="David" w:hAnsi="David" w:cs="David"/>
                <w:b/>
                <w:bCs/>
                <w:color w:val="000000"/>
              </w:rPr>
              <w:t>4:35</w:t>
            </w:r>
          </w:p>
        </w:tc>
        <w:tc>
          <w:tcPr>
            <w:tcW w:w="1417" w:type="dxa"/>
            <w:tcBorders>
              <w:top w:val="single" w:sz="4" w:space="0" w:color="auto"/>
              <w:bottom w:val="single" w:sz="4" w:space="0" w:color="auto"/>
            </w:tcBorders>
            <w:shd w:val="clear" w:color="auto" w:fill="D9D9D9"/>
            <w:vAlign w:val="center"/>
          </w:tcPr>
          <w:p w14:paraId="1C0D57E7"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w:t>
            </w:r>
          </w:p>
        </w:tc>
        <w:tc>
          <w:tcPr>
            <w:tcW w:w="849" w:type="dxa"/>
            <w:tcBorders>
              <w:top w:val="single" w:sz="4" w:space="0" w:color="auto"/>
              <w:bottom w:val="single" w:sz="4" w:space="0" w:color="auto"/>
            </w:tcBorders>
            <w:shd w:val="clear" w:color="auto" w:fill="D9D9D9"/>
            <w:vAlign w:val="center"/>
          </w:tcPr>
          <w:p w14:paraId="46F20079"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w:t>
            </w:r>
          </w:p>
        </w:tc>
      </w:tr>
      <w:tr w:rsidR="00FD5B64" w:rsidRPr="00B4065B" w14:paraId="71CBC966" w14:textId="77777777" w:rsidTr="00FD5B64">
        <w:trPr>
          <w:trHeight w:val="300"/>
        </w:trPr>
        <w:tc>
          <w:tcPr>
            <w:tcW w:w="849" w:type="dxa"/>
            <w:tcBorders>
              <w:top w:val="single" w:sz="4" w:space="0" w:color="auto"/>
              <w:bottom w:val="single" w:sz="4" w:space="0" w:color="auto"/>
            </w:tcBorders>
            <w:shd w:val="clear" w:color="auto" w:fill="auto"/>
            <w:noWrap/>
            <w:vAlign w:val="center"/>
          </w:tcPr>
          <w:p w14:paraId="6F5F93DF"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auto"/>
            <w:noWrap/>
            <w:vAlign w:val="center"/>
          </w:tcPr>
          <w:p w14:paraId="40B8B7EA"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אזרחי</w:t>
            </w:r>
          </w:p>
        </w:tc>
        <w:tc>
          <w:tcPr>
            <w:tcW w:w="2408" w:type="dxa"/>
            <w:tcBorders>
              <w:top w:val="single" w:sz="4" w:space="0" w:color="auto"/>
              <w:bottom w:val="single" w:sz="4" w:space="0" w:color="auto"/>
            </w:tcBorders>
            <w:shd w:val="clear" w:color="auto" w:fill="auto"/>
            <w:vAlign w:val="center"/>
          </w:tcPr>
          <w:p w14:paraId="0974670D"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פשיטת רגל (פש"ר)</w:t>
            </w:r>
          </w:p>
        </w:tc>
        <w:tc>
          <w:tcPr>
            <w:tcW w:w="1417" w:type="dxa"/>
            <w:tcBorders>
              <w:top w:val="single" w:sz="4" w:space="0" w:color="auto"/>
              <w:bottom w:val="single" w:sz="4" w:space="0" w:color="auto"/>
            </w:tcBorders>
            <w:vAlign w:val="center"/>
          </w:tcPr>
          <w:p w14:paraId="51A2056F"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18,578</w:t>
            </w:r>
          </w:p>
        </w:tc>
        <w:tc>
          <w:tcPr>
            <w:tcW w:w="1418" w:type="dxa"/>
            <w:tcBorders>
              <w:top w:val="single" w:sz="4" w:space="0" w:color="auto"/>
              <w:bottom w:val="single" w:sz="4" w:space="0" w:color="auto"/>
            </w:tcBorders>
            <w:shd w:val="clear" w:color="auto" w:fill="auto"/>
            <w:noWrap/>
            <w:vAlign w:val="center"/>
          </w:tcPr>
          <w:p w14:paraId="4FB75781" w14:textId="77777777" w:rsidR="00FD5B64" w:rsidRPr="00B4065B" w:rsidRDefault="00FD5B64" w:rsidP="00FD5B64">
            <w:pPr>
              <w:spacing w:after="0" w:line="240" w:lineRule="auto"/>
              <w:jc w:val="center"/>
              <w:rPr>
                <w:rFonts w:ascii="David" w:hAnsi="David" w:cs="David"/>
                <w:b/>
                <w:bCs/>
                <w:color w:val="000000"/>
                <w:rtl/>
              </w:rPr>
            </w:pPr>
            <w:r w:rsidRPr="00B4065B">
              <w:rPr>
                <w:rFonts w:ascii="David" w:hAnsi="David" w:cs="David"/>
                <w:b/>
                <w:bCs/>
                <w:color w:val="000000"/>
              </w:rPr>
              <w:t>4:19</w:t>
            </w:r>
          </w:p>
        </w:tc>
        <w:tc>
          <w:tcPr>
            <w:tcW w:w="1417" w:type="dxa"/>
            <w:tcBorders>
              <w:top w:val="single" w:sz="4" w:space="0" w:color="auto"/>
              <w:bottom w:val="single" w:sz="4" w:space="0" w:color="auto"/>
            </w:tcBorders>
            <w:vAlign w:val="center"/>
          </w:tcPr>
          <w:p w14:paraId="47A4C415" w14:textId="77777777" w:rsidR="00FD5B64" w:rsidRPr="00B4065B" w:rsidRDefault="00FD5B64" w:rsidP="00FD5B64">
            <w:pPr>
              <w:spacing w:after="0" w:line="240" w:lineRule="auto"/>
              <w:jc w:val="center"/>
              <w:rPr>
                <w:rFonts w:ascii="David" w:hAnsi="David" w:cs="David"/>
                <w:color w:val="000000"/>
                <w:rtl/>
              </w:rPr>
            </w:pPr>
            <w:r w:rsidRPr="00B4065B">
              <w:rPr>
                <w:rFonts w:ascii="David" w:hAnsi="David" w:cs="David"/>
                <w:color w:val="000000"/>
              </w:rPr>
              <w:t>4:34</w:t>
            </w:r>
          </w:p>
        </w:tc>
        <w:tc>
          <w:tcPr>
            <w:tcW w:w="849" w:type="dxa"/>
            <w:tcBorders>
              <w:top w:val="single" w:sz="4" w:space="0" w:color="auto"/>
              <w:bottom w:val="single" w:sz="4" w:space="0" w:color="auto"/>
            </w:tcBorders>
            <w:vAlign w:val="center"/>
          </w:tcPr>
          <w:p w14:paraId="170339C4" w14:textId="77777777" w:rsidR="00FD5B64" w:rsidRPr="00B4065B" w:rsidRDefault="00FD5B64" w:rsidP="00FD5B64">
            <w:pPr>
              <w:spacing w:after="0" w:line="240" w:lineRule="auto"/>
              <w:jc w:val="center"/>
              <w:rPr>
                <w:rFonts w:ascii="David" w:hAnsi="David" w:cs="David"/>
                <w:color w:val="000000"/>
                <w:rtl/>
              </w:rPr>
            </w:pPr>
            <w:r w:rsidRPr="00B4065B">
              <w:rPr>
                <w:rFonts w:ascii="David" w:hAnsi="David" w:cs="David"/>
                <w:color w:val="000000"/>
              </w:rPr>
              <w:t>-0:15</w:t>
            </w:r>
          </w:p>
        </w:tc>
      </w:tr>
      <w:tr w:rsidR="00FD5B64" w:rsidRPr="00B4065B" w14:paraId="18998E5C" w14:textId="77777777" w:rsidTr="00FD5B64">
        <w:trPr>
          <w:trHeight w:val="300"/>
        </w:trPr>
        <w:tc>
          <w:tcPr>
            <w:tcW w:w="849" w:type="dxa"/>
            <w:tcBorders>
              <w:top w:val="single" w:sz="4" w:space="0" w:color="auto"/>
              <w:bottom w:val="single" w:sz="4" w:space="0" w:color="auto"/>
            </w:tcBorders>
            <w:shd w:val="clear" w:color="auto" w:fill="D9D9D9"/>
            <w:noWrap/>
            <w:vAlign w:val="center"/>
          </w:tcPr>
          <w:p w14:paraId="31FA4CE9"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D9D9D9"/>
            <w:noWrap/>
            <w:vAlign w:val="center"/>
          </w:tcPr>
          <w:p w14:paraId="6A654E0D"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עניינים מנהליים/</w:t>
            </w:r>
            <w:r w:rsidRPr="00B4065B">
              <w:rPr>
                <w:rFonts w:ascii="David" w:hAnsi="David" w:cs="David" w:hint="cs"/>
                <w:color w:val="000000"/>
                <w:rtl/>
              </w:rPr>
              <w:t xml:space="preserve"> </w:t>
            </w:r>
            <w:r w:rsidRPr="00B4065B">
              <w:rPr>
                <w:rFonts w:ascii="David" w:hAnsi="David" w:cs="David"/>
                <w:color w:val="000000"/>
                <w:rtl/>
              </w:rPr>
              <w:t>אזרחי</w:t>
            </w:r>
          </w:p>
        </w:tc>
        <w:tc>
          <w:tcPr>
            <w:tcW w:w="2408" w:type="dxa"/>
            <w:tcBorders>
              <w:top w:val="single" w:sz="4" w:space="0" w:color="auto"/>
              <w:bottom w:val="single" w:sz="4" w:space="0" w:color="auto"/>
            </w:tcBorders>
            <w:shd w:val="clear" w:color="auto" w:fill="D9D9D9"/>
            <w:vAlign w:val="center"/>
          </w:tcPr>
          <w:p w14:paraId="4B702688"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ועדת ערר (ו"ע)</w:t>
            </w:r>
          </w:p>
        </w:tc>
        <w:tc>
          <w:tcPr>
            <w:tcW w:w="1417" w:type="dxa"/>
            <w:tcBorders>
              <w:top w:val="single" w:sz="4" w:space="0" w:color="auto"/>
              <w:bottom w:val="single" w:sz="4" w:space="0" w:color="auto"/>
            </w:tcBorders>
            <w:shd w:val="clear" w:color="auto" w:fill="D9D9D9"/>
            <w:vAlign w:val="center"/>
          </w:tcPr>
          <w:p w14:paraId="28831922"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tl/>
              </w:rPr>
              <w:t>777</w:t>
            </w:r>
          </w:p>
        </w:tc>
        <w:tc>
          <w:tcPr>
            <w:tcW w:w="1418" w:type="dxa"/>
            <w:tcBorders>
              <w:top w:val="single" w:sz="4" w:space="0" w:color="auto"/>
              <w:bottom w:val="single" w:sz="4" w:space="0" w:color="auto"/>
            </w:tcBorders>
            <w:shd w:val="clear" w:color="auto" w:fill="D9D9D9"/>
            <w:noWrap/>
            <w:vAlign w:val="center"/>
          </w:tcPr>
          <w:p w14:paraId="4867EC24" w14:textId="77777777" w:rsidR="00FD5B64" w:rsidRPr="00B4065B" w:rsidRDefault="00FD5B64" w:rsidP="00FD5B64">
            <w:pPr>
              <w:spacing w:after="0" w:line="240" w:lineRule="auto"/>
              <w:jc w:val="center"/>
              <w:rPr>
                <w:rFonts w:ascii="David" w:hAnsi="David" w:cs="David"/>
                <w:b/>
                <w:bCs/>
                <w:color w:val="000000"/>
              </w:rPr>
            </w:pPr>
            <w:r w:rsidRPr="00B4065B">
              <w:rPr>
                <w:rFonts w:ascii="David" w:hAnsi="David" w:cs="David"/>
                <w:b/>
                <w:bCs/>
                <w:color w:val="000000"/>
              </w:rPr>
              <w:t>4:15</w:t>
            </w:r>
          </w:p>
        </w:tc>
        <w:tc>
          <w:tcPr>
            <w:tcW w:w="1417" w:type="dxa"/>
            <w:tcBorders>
              <w:top w:val="single" w:sz="4" w:space="0" w:color="auto"/>
              <w:bottom w:val="single" w:sz="4" w:space="0" w:color="auto"/>
            </w:tcBorders>
            <w:shd w:val="clear" w:color="auto" w:fill="D9D9D9"/>
            <w:vAlign w:val="center"/>
          </w:tcPr>
          <w:p w14:paraId="55DB0329"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3:36</w:t>
            </w:r>
          </w:p>
        </w:tc>
        <w:tc>
          <w:tcPr>
            <w:tcW w:w="849" w:type="dxa"/>
            <w:tcBorders>
              <w:top w:val="single" w:sz="4" w:space="0" w:color="auto"/>
              <w:bottom w:val="single" w:sz="4" w:space="0" w:color="auto"/>
            </w:tcBorders>
            <w:shd w:val="clear" w:color="auto" w:fill="D9D9D9"/>
            <w:vAlign w:val="center"/>
          </w:tcPr>
          <w:p w14:paraId="4E150CD1"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+0:39</w:t>
            </w:r>
          </w:p>
        </w:tc>
      </w:tr>
      <w:tr w:rsidR="00FD5B64" w:rsidRPr="00B4065B" w14:paraId="31CC3EFE" w14:textId="77777777" w:rsidTr="00FD5B64">
        <w:trPr>
          <w:trHeight w:val="300"/>
        </w:trPr>
        <w:tc>
          <w:tcPr>
            <w:tcW w:w="849" w:type="dxa"/>
            <w:tcBorders>
              <w:top w:val="single" w:sz="4" w:space="0" w:color="auto"/>
              <w:bottom w:val="single" w:sz="4" w:space="0" w:color="auto"/>
            </w:tcBorders>
            <w:shd w:val="clear" w:color="auto" w:fill="FFFFFF"/>
            <w:noWrap/>
            <w:vAlign w:val="center"/>
          </w:tcPr>
          <w:p w14:paraId="55F7307E"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FFFFFF"/>
            <w:noWrap/>
            <w:vAlign w:val="center"/>
          </w:tcPr>
          <w:p w14:paraId="070C4026"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אזרחי</w:t>
            </w:r>
          </w:p>
        </w:tc>
        <w:tc>
          <w:tcPr>
            <w:tcW w:w="2408" w:type="dxa"/>
            <w:tcBorders>
              <w:top w:val="single" w:sz="4" w:space="0" w:color="auto"/>
              <w:bottom w:val="single" w:sz="4" w:space="0" w:color="auto"/>
            </w:tcBorders>
            <w:shd w:val="clear" w:color="auto" w:fill="FFFFFF"/>
            <w:vAlign w:val="center"/>
          </w:tcPr>
          <w:p w14:paraId="7C059445"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ערעור שונה - אזרחי (עש"א)</w:t>
            </w:r>
          </w:p>
        </w:tc>
        <w:tc>
          <w:tcPr>
            <w:tcW w:w="1417" w:type="dxa"/>
            <w:tcBorders>
              <w:top w:val="single" w:sz="4" w:space="0" w:color="auto"/>
              <w:bottom w:val="single" w:sz="4" w:space="0" w:color="auto"/>
            </w:tcBorders>
            <w:shd w:val="clear" w:color="auto" w:fill="FFFFFF"/>
            <w:vAlign w:val="center"/>
          </w:tcPr>
          <w:p w14:paraId="7D160A2F"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tl/>
              </w:rPr>
              <w:t>446</w:t>
            </w:r>
          </w:p>
        </w:tc>
        <w:tc>
          <w:tcPr>
            <w:tcW w:w="1418" w:type="dxa"/>
            <w:tcBorders>
              <w:top w:val="single" w:sz="4" w:space="0" w:color="auto"/>
              <w:bottom w:val="single" w:sz="4" w:space="0" w:color="auto"/>
            </w:tcBorders>
            <w:shd w:val="clear" w:color="auto" w:fill="FFFFFF"/>
            <w:noWrap/>
            <w:vAlign w:val="center"/>
          </w:tcPr>
          <w:p w14:paraId="5191954C" w14:textId="77777777" w:rsidR="00FD5B64" w:rsidRPr="00B4065B" w:rsidRDefault="00FD5B64" w:rsidP="00FD5B64">
            <w:pPr>
              <w:spacing w:after="0" w:line="240" w:lineRule="auto"/>
              <w:jc w:val="center"/>
              <w:rPr>
                <w:rFonts w:ascii="David" w:hAnsi="David" w:cs="David"/>
                <w:b/>
                <w:bCs/>
                <w:color w:val="000000"/>
              </w:rPr>
            </w:pPr>
            <w:r w:rsidRPr="00B4065B">
              <w:rPr>
                <w:rFonts w:ascii="David" w:hAnsi="David" w:cs="David"/>
                <w:b/>
                <w:bCs/>
                <w:color w:val="000000"/>
              </w:rPr>
              <w:t>3:49</w:t>
            </w:r>
          </w:p>
        </w:tc>
        <w:tc>
          <w:tcPr>
            <w:tcW w:w="1417" w:type="dxa"/>
            <w:tcBorders>
              <w:top w:val="single" w:sz="4" w:space="0" w:color="auto"/>
              <w:bottom w:val="single" w:sz="4" w:space="0" w:color="auto"/>
            </w:tcBorders>
            <w:shd w:val="clear" w:color="auto" w:fill="FFFFFF"/>
            <w:vAlign w:val="center"/>
          </w:tcPr>
          <w:p w14:paraId="591977EC"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w:t>
            </w:r>
          </w:p>
        </w:tc>
        <w:tc>
          <w:tcPr>
            <w:tcW w:w="849" w:type="dxa"/>
            <w:tcBorders>
              <w:top w:val="single" w:sz="4" w:space="0" w:color="auto"/>
              <w:bottom w:val="single" w:sz="4" w:space="0" w:color="auto"/>
            </w:tcBorders>
            <w:shd w:val="clear" w:color="auto" w:fill="FFFFFF"/>
            <w:vAlign w:val="center"/>
          </w:tcPr>
          <w:p w14:paraId="411A877B"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w:t>
            </w:r>
          </w:p>
        </w:tc>
      </w:tr>
      <w:tr w:rsidR="00FD5B64" w:rsidRPr="00B4065B" w14:paraId="22000950" w14:textId="77777777" w:rsidTr="00FD5B64">
        <w:trPr>
          <w:trHeight w:val="788"/>
        </w:trPr>
        <w:tc>
          <w:tcPr>
            <w:tcW w:w="849" w:type="dxa"/>
            <w:tcBorders>
              <w:top w:val="single" w:sz="4" w:space="0" w:color="auto"/>
              <w:bottom w:val="single" w:sz="4" w:space="0" w:color="auto"/>
            </w:tcBorders>
            <w:shd w:val="clear" w:color="auto" w:fill="auto"/>
            <w:noWrap/>
            <w:vAlign w:val="center"/>
          </w:tcPr>
          <w:p w14:paraId="42093318" w14:textId="77777777" w:rsidR="00FD5B64" w:rsidRPr="00B4065B" w:rsidRDefault="00FD5B64" w:rsidP="00FD5B64">
            <w:pPr>
              <w:spacing w:after="0" w:line="240" w:lineRule="auto"/>
              <w:rPr>
                <w:rFonts w:ascii="David" w:hAnsi="David" w:cs="David"/>
                <w:color w:val="000000"/>
                <w:rtl/>
              </w:rPr>
            </w:pPr>
            <w:r w:rsidRPr="00B4065B">
              <w:rPr>
                <w:rFonts w:ascii="David" w:eastAsia="Times New Roman" w:hAnsi="David" w:cs="David"/>
                <w:b/>
                <w:bCs/>
                <w:color w:val="000000"/>
                <w:rtl/>
              </w:rPr>
              <w:lastRenderedPageBreak/>
              <w:t>ערכאה</w:t>
            </w:r>
          </w:p>
        </w:tc>
        <w:tc>
          <w:tcPr>
            <w:tcW w:w="1136" w:type="dxa"/>
            <w:tcBorders>
              <w:top w:val="single" w:sz="4" w:space="0" w:color="auto"/>
              <w:bottom w:val="single" w:sz="4" w:space="0" w:color="auto"/>
            </w:tcBorders>
            <w:shd w:val="clear" w:color="auto" w:fill="auto"/>
            <w:noWrap/>
            <w:vAlign w:val="center"/>
          </w:tcPr>
          <w:p w14:paraId="75F9F2D0" w14:textId="77777777" w:rsidR="00FD5B64" w:rsidRPr="00B4065B" w:rsidRDefault="00FD5B64" w:rsidP="00FD5B64">
            <w:pPr>
              <w:spacing w:after="0" w:line="240" w:lineRule="auto"/>
              <w:rPr>
                <w:rFonts w:ascii="David" w:hAnsi="David" w:cs="David"/>
                <w:color w:val="000000"/>
                <w:rtl/>
              </w:rPr>
            </w:pPr>
            <w:r w:rsidRPr="00B4065B">
              <w:rPr>
                <w:rFonts w:ascii="David" w:eastAsia="Times New Roman" w:hAnsi="David" w:cs="David"/>
                <w:b/>
                <w:bCs/>
                <w:color w:val="000000"/>
                <w:rtl/>
              </w:rPr>
              <w:t>הליך</w:t>
            </w:r>
          </w:p>
        </w:tc>
        <w:tc>
          <w:tcPr>
            <w:tcW w:w="2408" w:type="dxa"/>
            <w:tcBorders>
              <w:top w:val="single" w:sz="4" w:space="0" w:color="auto"/>
              <w:bottom w:val="single" w:sz="4" w:space="0" w:color="auto"/>
            </w:tcBorders>
            <w:shd w:val="clear" w:color="auto" w:fill="auto"/>
            <w:vAlign w:val="center"/>
          </w:tcPr>
          <w:p w14:paraId="10E50043" w14:textId="77777777" w:rsidR="00FD5B64" w:rsidRPr="00B4065B" w:rsidRDefault="00FD5B64" w:rsidP="00FD5B64">
            <w:pPr>
              <w:spacing w:after="0" w:line="240" w:lineRule="auto"/>
              <w:rPr>
                <w:rFonts w:ascii="David" w:hAnsi="David" w:cs="David"/>
                <w:color w:val="000000"/>
                <w:rtl/>
              </w:rPr>
            </w:pPr>
            <w:r w:rsidRPr="00B4065B">
              <w:rPr>
                <w:rFonts w:ascii="David" w:eastAsia="Times New Roman" w:hAnsi="David" w:cs="David"/>
                <w:b/>
                <w:bCs/>
                <w:color w:val="000000"/>
                <w:rtl/>
              </w:rPr>
              <w:t>סוג תיק</w:t>
            </w:r>
          </w:p>
        </w:tc>
        <w:tc>
          <w:tcPr>
            <w:tcW w:w="1417" w:type="dxa"/>
            <w:tcBorders>
              <w:top w:val="single" w:sz="4" w:space="0" w:color="auto"/>
              <w:bottom w:val="single" w:sz="4" w:space="0" w:color="auto"/>
            </w:tcBorders>
            <w:shd w:val="clear" w:color="auto" w:fill="auto"/>
            <w:vAlign w:val="center"/>
          </w:tcPr>
          <w:p w14:paraId="3C47D6FE" w14:textId="77777777" w:rsidR="00FD5B64" w:rsidRPr="00B4065B" w:rsidRDefault="00FD5B64" w:rsidP="00FD5B64">
            <w:pPr>
              <w:spacing w:after="0" w:line="240" w:lineRule="auto"/>
              <w:jc w:val="center"/>
              <w:rPr>
                <w:rFonts w:ascii="David" w:hAnsi="David" w:cs="David"/>
                <w:color w:val="000000"/>
                <w:rtl/>
              </w:rPr>
            </w:pPr>
            <w:r w:rsidRPr="00B4065B">
              <w:rPr>
                <w:rFonts w:ascii="David" w:eastAsia="Times New Roman" w:hAnsi="David" w:cs="David" w:hint="cs"/>
                <w:b/>
                <w:bCs/>
                <w:color w:val="000000"/>
                <w:rtl/>
              </w:rPr>
              <w:t>מספר תיקים שנסגרו ב-2019</w:t>
            </w:r>
          </w:p>
        </w:tc>
        <w:tc>
          <w:tcPr>
            <w:tcW w:w="1418" w:type="dxa"/>
            <w:tcBorders>
              <w:top w:val="single" w:sz="4" w:space="0" w:color="auto"/>
              <w:bottom w:val="single" w:sz="4" w:space="0" w:color="auto"/>
            </w:tcBorders>
            <w:shd w:val="clear" w:color="auto" w:fill="auto"/>
            <w:noWrap/>
            <w:vAlign w:val="center"/>
          </w:tcPr>
          <w:p w14:paraId="2B0FA125" w14:textId="77777777" w:rsidR="00FD5B64" w:rsidRPr="00B4065B" w:rsidRDefault="00FD5B64" w:rsidP="00FD5B64">
            <w:pPr>
              <w:spacing w:after="0" w:line="240" w:lineRule="auto"/>
              <w:jc w:val="center"/>
              <w:rPr>
                <w:rFonts w:ascii="David" w:hAnsi="David" w:cs="David"/>
                <w:b/>
                <w:bCs/>
                <w:color w:val="000000"/>
                <w:rtl/>
              </w:rPr>
            </w:pPr>
            <w:r w:rsidRPr="00B4065B">
              <w:rPr>
                <w:rFonts w:ascii="David" w:eastAsia="Times New Roman" w:hAnsi="David" w:cs="David"/>
                <w:b/>
                <w:bCs/>
                <w:color w:val="000000"/>
                <w:rtl/>
              </w:rPr>
              <w:t>הזמן השיפוטי הממוצע לט</w:t>
            </w:r>
            <w:r w:rsidRPr="00B4065B">
              <w:rPr>
                <w:rFonts w:ascii="David" w:eastAsia="Times New Roman" w:hAnsi="David" w:cs="David" w:hint="cs"/>
                <w:b/>
                <w:bCs/>
                <w:color w:val="000000"/>
                <w:rtl/>
              </w:rPr>
              <w:t>י</w:t>
            </w:r>
            <w:r w:rsidRPr="00B4065B">
              <w:rPr>
                <w:rFonts w:ascii="David" w:eastAsia="Times New Roman" w:hAnsi="David" w:cs="David"/>
                <w:b/>
                <w:bCs/>
                <w:color w:val="000000"/>
                <w:rtl/>
              </w:rPr>
              <w:t>פ</w:t>
            </w:r>
            <w:r w:rsidRPr="00B4065B">
              <w:rPr>
                <w:rFonts w:ascii="David" w:eastAsia="Times New Roman" w:hAnsi="David" w:cs="David" w:hint="cs"/>
                <w:b/>
                <w:bCs/>
                <w:color w:val="000000"/>
                <w:rtl/>
              </w:rPr>
              <w:t>ו</w:t>
            </w:r>
            <w:r w:rsidRPr="00B4065B">
              <w:rPr>
                <w:rFonts w:ascii="David" w:eastAsia="Times New Roman" w:hAnsi="David" w:cs="David"/>
                <w:b/>
                <w:bCs/>
                <w:color w:val="000000"/>
                <w:rtl/>
              </w:rPr>
              <w:t>ל בתיק</w:t>
            </w:r>
          </w:p>
        </w:tc>
        <w:tc>
          <w:tcPr>
            <w:tcW w:w="1417" w:type="dxa"/>
            <w:tcBorders>
              <w:top w:val="single" w:sz="4" w:space="0" w:color="auto"/>
              <w:bottom w:val="single" w:sz="4" w:space="0" w:color="auto"/>
            </w:tcBorders>
            <w:shd w:val="clear" w:color="auto" w:fill="auto"/>
            <w:vAlign w:val="center"/>
          </w:tcPr>
          <w:p w14:paraId="11A5DE3D" w14:textId="77777777" w:rsidR="00FD5B64" w:rsidRPr="00B4065B" w:rsidRDefault="00FD5B64" w:rsidP="00FD5B64">
            <w:pPr>
              <w:spacing w:after="0" w:line="240" w:lineRule="auto"/>
              <w:jc w:val="center"/>
              <w:rPr>
                <w:rFonts w:ascii="David" w:hAnsi="David" w:cs="David"/>
                <w:color w:val="000000"/>
              </w:rPr>
            </w:pPr>
            <w:r w:rsidRPr="00B4065B">
              <w:rPr>
                <w:rFonts w:ascii="David" w:eastAsia="Times New Roman" w:hAnsi="David" w:cs="David"/>
                <w:b/>
                <w:bCs/>
                <w:color w:val="000000"/>
                <w:rtl/>
              </w:rPr>
              <w:t xml:space="preserve">הזמן השיפוטי </w:t>
            </w:r>
            <w:r w:rsidRPr="00B4065B">
              <w:rPr>
                <w:rFonts w:ascii="David" w:eastAsia="Times New Roman" w:hAnsi="David" w:cs="David" w:hint="cs"/>
                <w:b/>
                <w:bCs/>
                <w:color w:val="000000"/>
                <w:rtl/>
              </w:rPr>
              <w:t xml:space="preserve">הממוצע </w:t>
            </w:r>
            <w:r w:rsidRPr="00B4065B">
              <w:rPr>
                <w:rFonts w:ascii="David" w:eastAsia="Times New Roman" w:hAnsi="David" w:cs="David"/>
                <w:b/>
                <w:bCs/>
                <w:color w:val="000000"/>
                <w:rtl/>
              </w:rPr>
              <w:t xml:space="preserve">לפי </w:t>
            </w:r>
            <w:r w:rsidRPr="00B4065B">
              <w:rPr>
                <w:rFonts w:ascii="David" w:eastAsia="Times New Roman" w:hAnsi="David" w:cs="David" w:hint="cs"/>
                <w:b/>
                <w:bCs/>
                <w:color w:val="000000"/>
                <w:rtl/>
              </w:rPr>
              <w:t>ה</w:t>
            </w:r>
            <w:r w:rsidRPr="00B4065B">
              <w:rPr>
                <w:rFonts w:ascii="David" w:eastAsia="Times New Roman" w:hAnsi="David" w:cs="David"/>
                <w:b/>
                <w:bCs/>
                <w:color w:val="000000"/>
                <w:rtl/>
              </w:rPr>
              <w:t>מחקר ה</w:t>
            </w:r>
            <w:r w:rsidRPr="00B4065B">
              <w:rPr>
                <w:rFonts w:ascii="David" w:eastAsia="Times New Roman" w:hAnsi="David" w:cs="David" w:hint="cs"/>
                <w:b/>
                <w:bCs/>
                <w:color w:val="000000"/>
                <w:rtl/>
              </w:rPr>
              <w:t>קודם</w:t>
            </w:r>
          </w:p>
        </w:tc>
        <w:tc>
          <w:tcPr>
            <w:tcW w:w="849" w:type="dxa"/>
            <w:tcBorders>
              <w:top w:val="single" w:sz="4" w:space="0" w:color="auto"/>
              <w:bottom w:val="single" w:sz="4" w:space="0" w:color="auto"/>
            </w:tcBorders>
            <w:shd w:val="clear" w:color="auto" w:fill="auto"/>
            <w:vAlign w:val="center"/>
          </w:tcPr>
          <w:p w14:paraId="234B7CD0" w14:textId="77777777" w:rsidR="00FD5B64" w:rsidRPr="00B4065B" w:rsidRDefault="00FD5B64" w:rsidP="00FD5B64">
            <w:pPr>
              <w:spacing w:after="0" w:line="240" w:lineRule="auto"/>
              <w:jc w:val="center"/>
              <w:rPr>
                <w:rFonts w:ascii="David" w:hAnsi="David" w:cs="David"/>
                <w:color w:val="000000"/>
                <w:rtl/>
              </w:rPr>
            </w:pPr>
            <w:r w:rsidRPr="00B4065B">
              <w:rPr>
                <w:rFonts w:ascii="David" w:eastAsia="Times New Roman" w:hAnsi="David" w:cs="David"/>
                <w:b/>
                <w:bCs/>
                <w:color w:val="000000"/>
                <w:rtl/>
              </w:rPr>
              <w:t xml:space="preserve">מגמת </w:t>
            </w:r>
            <w:r w:rsidRPr="00B4065B">
              <w:rPr>
                <w:rFonts w:ascii="David" w:eastAsia="Times New Roman" w:hAnsi="David" w:cs="David" w:hint="cs"/>
                <w:b/>
                <w:bCs/>
                <w:color w:val="000000"/>
                <w:rtl/>
              </w:rPr>
              <w:t>ה</w:t>
            </w:r>
            <w:r w:rsidRPr="00B4065B">
              <w:rPr>
                <w:rFonts w:ascii="David" w:eastAsia="Times New Roman" w:hAnsi="David" w:cs="David"/>
                <w:b/>
                <w:bCs/>
                <w:color w:val="000000"/>
                <w:rtl/>
              </w:rPr>
              <w:t>שינוי</w:t>
            </w:r>
          </w:p>
        </w:tc>
      </w:tr>
      <w:tr w:rsidR="00FD5B64" w:rsidRPr="00B4065B" w14:paraId="562C673E" w14:textId="77777777" w:rsidTr="00FD5B64">
        <w:trPr>
          <w:trHeight w:val="535"/>
        </w:trPr>
        <w:tc>
          <w:tcPr>
            <w:tcW w:w="849" w:type="dxa"/>
            <w:tcBorders>
              <w:top w:val="single" w:sz="4" w:space="0" w:color="auto"/>
              <w:bottom w:val="single" w:sz="4" w:space="0" w:color="auto"/>
            </w:tcBorders>
            <w:shd w:val="clear" w:color="auto" w:fill="D9D9D9"/>
            <w:noWrap/>
            <w:vAlign w:val="center"/>
          </w:tcPr>
          <w:p w14:paraId="039970CA"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D9D9D9"/>
            <w:noWrap/>
            <w:vAlign w:val="center"/>
          </w:tcPr>
          <w:p w14:paraId="3088B90B"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עניינים מנהליים/ אזרחי</w:t>
            </w:r>
          </w:p>
        </w:tc>
        <w:tc>
          <w:tcPr>
            <w:tcW w:w="2408" w:type="dxa"/>
            <w:tcBorders>
              <w:top w:val="single" w:sz="4" w:space="0" w:color="auto"/>
              <w:bottom w:val="single" w:sz="4" w:space="0" w:color="auto"/>
            </w:tcBorders>
            <w:shd w:val="clear" w:color="auto" w:fill="D9D9D9"/>
            <w:vAlign w:val="center"/>
          </w:tcPr>
          <w:p w14:paraId="082FB5AA"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ערעור על ועדה (ע"ו)</w:t>
            </w:r>
          </w:p>
        </w:tc>
        <w:tc>
          <w:tcPr>
            <w:tcW w:w="1417" w:type="dxa"/>
            <w:tcBorders>
              <w:top w:val="single" w:sz="4" w:space="0" w:color="auto"/>
              <w:bottom w:val="single" w:sz="4" w:space="0" w:color="auto"/>
            </w:tcBorders>
            <w:shd w:val="clear" w:color="auto" w:fill="D9D9D9"/>
            <w:vAlign w:val="center"/>
          </w:tcPr>
          <w:p w14:paraId="2958E5FE"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1,034</w:t>
            </w:r>
          </w:p>
        </w:tc>
        <w:tc>
          <w:tcPr>
            <w:tcW w:w="1418" w:type="dxa"/>
            <w:tcBorders>
              <w:top w:val="single" w:sz="4" w:space="0" w:color="auto"/>
              <w:bottom w:val="single" w:sz="4" w:space="0" w:color="auto"/>
            </w:tcBorders>
            <w:shd w:val="clear" w:color="auto" w:fill="D9D9D9"/>
            <w:noWrap/>
            <w:vAlign w:val="center"/>
          </w:tcPr>
          <w:p w14:paraId="527C13B2" w14:textId="77777777" w:rsidR="00FD5B64" w:rsidRPr="00B4065B" w:rsidRDefault="00FD5B64" w:rsidP="00FD5B64">
            <w:pPr>
              <w:spacing w:after="0" w:line="240" w:lineRule="auto"/>
              <w:jc w:val="center"/>
              <w:rPr>
                <w:rFonts w:ascii="David" w:hAnsi="David" w:cs="David"/>
                <w:b/>
                <w:bCs/>
                <w:color w:val="000000"/>
              </w:rPr>
            </w:pPr>
            <w:r w:rsidRPr="00B4065B">
              <w:rPr>
                <w:rFonts w:ascii="David" w:hAnsi="David" w:cs="David"/>
                <w:b/>
                <w:bCs/>
                <w:color w:val="000000"/>
              </w:rPr>
              <w:t>3:16</w:t>
            </w:r>
          </w:p>
        </w:tc>
        <w:tc>
          <w:tcPr>
            <w:tcW w:w="1417" w:type="dxa"/>
            <w:tcBorders>
              <w:top w:val="single" w:sz="4" w:space="0" w:color="auto"/>
              <w:bottom w:val="single" w:sz="4" w:space="0" w:color="auto"/>
            </w:tcBorders>
            <w:shd w:val="clear" w:color="auto" w:fill="D9D9D9"/>
            <w:vAlign w:val="center"/>
          </w:tcPr>
          <w:p w14:paraId="7D0C6602"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5:58</w:t>
            </w:r>
          </w:p>
        </w:tc>
        <w:tc>
          <w:tcPr>
            <w:tcW w:w="849" w:type="dxa"/>
            <w:tcBorders>
              <w:top w:val="single" w:sz="4" w:space="0" w:color="auto"/>
              <w:bottom w:val="single" w:sz="4" w:space="0" w:color="auto"/>
            </w:tcBorders>
            <w:shd w:val="clear" w:color="auto" w:fill="D9D9D9"/>
            <w:vAlign w:val="center"/>
          </w:tcPr>
          <w:p w14:paraId="5FB24C77"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-2:42</w:t>
            </w:r>
          </w:p>
        </w:tc>
      </w:tr>
      <w:tr w:rsidR="00FD5B64" w:rsidRPr="00B4065B" w14:paraId="1F597556" w14:textId="77777777" w:rsidTr="00FD5B64">
        <w:trPr>
          <w:trHeight w:val="535"/>
        </w:trPr>
        <w:tc>
          <w:tcPr>
            <w:tcW w:w="849" w:type="dxa"/>
            <w:tcBorders>
              <w:top w:val="single" w:sz="4" w:space="0" w:color="auto"/>
              <w:bottom w:val="single" w:sz="4" w:space="0" w:color="auto"/>
            </w:tcBorders>
            <w:shd w:val="clear" w:color="auto" w:fill="auto"/>
            <w:noWrap/>
            <w:vAlign w:val="center"/>
          </w:tcPr>
          <w:p w14:paraId="00819297"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auto"/>
            <w:noWrap/>
            <w:vAlign w:val="center"/>
          </w:tcPr>
          <w:p w14:paraId="05E14EE6"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פלילי</w:t>
            </w:r>
          </w:p>
        </w:tc>
        <w:tc>
          <w:tcPr>
            <w:tcW w:w="2408" w:type="dxa"/>
            <w:tcBorders>
              <w:top w:val="single" w:sz="4" w:space="0" w:color="auto"/>
              <w:bottom w:val="single" w:sz="4" w:space="0" w:color="auto"/>
            </w:tcBorders>
            <w:shd w:val="clear" w:color="auto" w:fill="auto"/>
            <w:vAlign w:val="center"/>
          </w:tcPr>
          <w:p w14:paraId="2F9C8F32"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פיקוח על עבריין מין (פע"מ)</w:t>
            </w:r>
          </w:p>
        </w:tc>
        <w:tc>
          <w:tcPr>
            <w:tcW w:w="1417" w:type="dxa"/>
            <w:tcBorders>
              <w:top w:val="single" w:sz="4" w:space="0" w:color="auto"/>
              <w:bottom w:val="single" w:sz="4" w:space="0" w:color="auto"/>
            </w:tcBorders>
            <w:vAlign w:val="center"/>
          </w:tcPr>
          <w:p w14:paraId="242E34A2"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tl/>
              </w:rPr>
              <w:t>350</w:t>
            </w:r>
          </w:p>
        </w:tc>
        <w:tc>
          <w:tcPr>
            <w:tcW w:w="1418" w:type="dxa"/>
            <w:tcBorders>
              <w:top w:val="single" w:sz="4" w:space="0" w:color="auto"/>
              <w:bottom w:val="single" w:sz="4" w:space="0" w:color="auto"/>
            </w:tcBorders>
            <w:shd w:val="clear" w:color="auto" w:fill="auto"/>
            <w:noWrap/>
            <w:vAlign w:val="center"/>
          </w:tcPr>
          <w:p w14:paraId="1BA5FFA3" w14:textId="77777777" w:rsidR="00FD5B64" w:rsidRPr="00B4065B" w:rsidRDefault="00FD5B64" w:rsidP="00FD5B64">
            <w:pPr>
              <w:spacing w:after="0" w:line="240" w:lineRule="auto"/>
              <w:jc w:val="center"/>
              <w:rPr>
                <w:rFonts w:ascii="David" w:hAnsi="David" w:cs="David"/>
                <w:b/>
                <w:bCs/>
                <w:color w:val="000000"/>
              </w:rPr>
            </w:pPr>
            <w:r w:rsidRPr="00B4065B">
              <w:rPr>
                <w:rFonts w:ascii="David" w:hAnsi="David" w:cs="David"/>
                <w:b/>
                <w:bCs/>
                <w:color w:val="000000"/>
              </w:rPr>
              <w:t>3:00</w:t>
            </w:r>
          </w:p>
        </w:tc>
        <w:tc>
          <w:tcPr>
            <w:tcW w:w="1417" w:type="dxa"/>
            <w:tcBorders>
              <w:top w:val="single" w:sz="4" w:space="0" w:color="auto"/>
              <w:bottom w:val="single" w:sz="4" w:space="0" w:color="auto"/>
            </w:tcBorders>
            <w:vAlign w:val="center"/>
          </w:tcPr>
          <w:p w14:paraId="4A4CC4B4"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w:t>
            </w:r>
          </w:p>
        </w:tc>
        <w:tc>
          <w:tcPr>
            <w:tcW w:w="849" w:type="dxa"/>
            <w:tcBorders>
              <w:top w:val="single" w:sz="4" w:space="0" w:color="auto"/>
              <w:bottom w:val="single" w:sz="4" w:space="0" w:color="auto"/>
            </w:tcBorders>
            <w:vAlign w:val="center"/>
          </w:tcPr>
          <w:p w14:paraId="7E22FD39"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w:t>
            </w:r>
          </w:p>
        </w:tc>
      </w:tr>
      <w:tr w:rsidR="00FD5B64" w:rsidRPr="00B4065B" w14:paraId="072469B6" w14:textId="77777777" w:rsidTr="00FD5B64">
        <w:trPr>
          <w:trHeight w:val="600"/>
        </w:trPr>
        <w:tc>
          <w:tcPr>
            <w:tcW w:w="849" w:type="dxa"/>
            <w:tcBorders>
              <w:top w:val="single" w:sz="4" w:space="0" w:color="auto"/>
              <w:bottom w:val="single" w:sz="4" w:space="0" w:color="auto"/>
            </w:tcBorders>
            <w:shd w:val="clear" w:color="auto" w:fill="D9D9D9"/>
            <w:noWrap/>
            <w:vAlign w:val="center"/>
          </w:tcPr>
          <w:p w14:paraId="45F72102"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D9D9D9"/>
            <w:noWrap/>
            <w:vAlign w:val="center"/>
          </w:tcPr>
          <w:p w14:paraId="34BA2F7B"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מעצרים/</w:t>
            </w:r>
            <w:r w:rsidRPr="00B4065B">
              <w:rPr>
                <w:rFonts w:ascii="David" w:hAnsi="David" w:cs="David" w:hint="cs"/>
                <w:color w:val="000000"/>
                <w:rtl/>
              </w:rPr>
              <w:t xml:space="preserve"> </w:t>
            </w:r>
            <w:r w:rsidRPr="00B4065B">
              <w:rPr>
                <w:rFonts w:ascii="David" w:hAnsi="David" w:cs="David"/>
                <w:color w:val="000000"/>
                <w:rtl/>
              </w:rPr>
              <w:t>ערעור פלילי/</w:t>
            </w:r>
            <w:r w:rsidRPr="00B4065B">
              <w:rPr>
                <w:rFonts w:ascii="David" w:hAnsi="David" w:cs="David" w:hint="cs"/>
                <w:color w:val="000000"/>
                <w:rtl/>
              </w:rPr>
              <w:t xml:space="preserve"> </w:t>
            </w:r>
            <w:r w:rsidRPr="00B4065B">
              <w:rPr>
                <w:rFonts w:ascii="David" w:hAnsi="David" w:cs="David"/>
                <w:color w:val="000000"/>
                <w:rtl/>
              </w:rPr>
              <w:t>פלילי</w:t>
            </w:r>
          </w:p>
        </w:tc>
        <w:tc>
          <w:tcPr>
            <w:tcW w:w="2408" w:type="dxa"/>
            <w:tcBorders>
              <w:top w:val="single" w:sz="4" w:space="0" w:color="auto"/>
              <w:bottom w:val="single" w:sz="4" w:space="0" w:color="auto"/>
            </w:tcBorders>
            <w:shd w:val="clear" w:color="auto" w:fill="D9D9D9"/>
            <w:vAlign w:val="center"/>
          </w:tcPr>
          <w:p w14:paraId="65BC4EC8"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ערר אחר (ע"ח)</w:t>
            </w:r>
          </w:p>
        </w:tc>
        <w:tc>
          <w:tcPr>
            <w:tcW w:w="1417" w:type="dxa"/>
            <w:tcBorders>
              <w:top w:val="single" w:sz="4" w:space="0" w:color="auto"/>
              <w:bottom w:val="single" w:sz="4" w:space="0" w:color="auto"/>
            </w:tcBorders>
            <w:shd w:val="clear" w:color="auto" w:fill="D9D9D9"/>
            <w:vAlign w:val="center"/>
          </w:tcPr>
          <w:p w14:paraId="04274B57"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tl/>
              </w:rPr>
              <w:t>624</w:t>
            </w:r>
          </w:p>
        </w:tc>
        <w:tc>
          <w:tcPr>
            <w:tcW w:w="1418" w:type="dxa"/>
            <w:tcBorders>
              <w:top w:val="single" w:sz="4" w:space="0" w:color="auto"/>
              <w:bottom w:val="single" w:sz="4" w:space="0" w:color="auto"/>
            </w:tcBorders>
            <w:shd w:val="clear" w:color="auto" w:fill="D9D9D9"/>
            <w:noWrap/>
            <w:vAlign w:val="center"/>
          </w:tcPr>
          <w:p w14:paraId="728205AB" w14:textId="77777777" w:rsidR="00FD5B64" w:rsidRPr="00B4065B" w:rsidRDefault="00FD5B64" w:rsidP="00FD5B64">
            <w:pPr>
              <w:spacing w:after="0" w:line="240" w:lineRule="auto"/>
              <w:jc w:val="center"/>
              <w:rPr>
                <w:rFonts w:ascii="David" w:hAnsi="David" w:cs="David"/>
                <w:b/>
                <w:bCs/>
                <w:color w:val="000000"/>
              </w:rPr>
            </w:pPr>
            <w:r w:rsidRPr="00B4065B">
              <w:rPr>
                <w:rFonts w:ascii="David" w:hAnsi="David" w:cs="David"/>
                <w:b/>
                <w:bCs/>
                <w:color w:val="000000"/>
              </w:rPr>
              <w:t>2:53</w:t>
            </w:r>
          </w:p>
        </w:tc>
        <w:tc>
          <w:tcPr>
            <w:tcW w:w="1417" w:type="dxa"/>
            <w:tcBorders>
              <w:top w:val="single" w:sz="4" w:space="0" w:color="auto"/>
              <w:bottom w:val="single" w:sz="4" w:space="0" w:color="auto"/>
            </w:tcBorders>
            <w:shd w:val="clear" w:color="auto" w:fill="D9D9D9"/>
            <w:vAlign w:val="center"/>
          </w:tcPr>
          <w:p w14:paraId="012072C0"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w:t>
            </w:r>
          </w:p>
        </w:tc>
        <w:tc>
          <w:tcPr>
            <w:tcW w:w="849" w:type="dxa"/>
            <w:tcBorders>
              <w:top w:val="single" w:sz="4" w:space="0" w:color="auto"/>
              <w:bottom w:val="single" w:sz="4" w:space="0" w:color="auto"/>
            </w:tcBorders>
            <w:shd w:val="clear" w:color="auto" w:fill="D9D9D9"/>
            <w:vAlign w:val="center"/>
          </w:tcPr>
          <w:p w14:paraId="54DEEC84"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w:t>
            </w:r>
          </w:p>
        </w:tc>
      </w:tr>
      <w:tr w:rsidR="00FD5B64" w:rsidRPr="00B4065B" w14:paraId="49B11C2E" w14:textId="77777777" w:rsidTr="00FD5B64">
        <w:trPr>
          <w:trHeight w:val="473"/>
        </w:trPr>
        <w:tc>
          <w:tcPr>
            <w:tcW w:w="849" w:type="dxa"/>
            <w:tcBorders>
              <w:top w:val="single" w:sz="4" w:space="0" w:color="auto"/>
              <w:bottom w:val="single" w:sz="4" w:space="0" w:color="auto"/>
            </w:tcBorders>
            <w:shd w:val="clear" w:color="auto" w:fill="FFFFFF"/>
            <w:noWrap/>
            <w:vAlign w:val="center"/>
          </w:tcPr>
          <w:p w14:paraId="1AF81D52"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FFFFFF"/>
            <w:noWrap/>
            <w:vAlign w:val="center"/>
          </w:tcPr>
          <w:p w14:paraId="3B89A117"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ערעור פלילי</w:t>
            </w:r>
          </w:p>
        </w:tc>
        <w:tc>
          <w:tcPr>
            <w:tcW w:w="2408" w:type="dxa"/>
            <w:tcBorders>
              <w:top w:val="single" w:sz="4" w:space="0" w:color="auto"/>
              <w:bottom w:val="single" w:sz="4" w:space="0" w:color="auto"/>
            </w:tcBorders>
            <w:shd w:val="clear" w:color="auto" w:fill="FFFFFF"/>
            <w:vAlign w:val="center"/>
          </w:tcPr>
          <w:p w14:paraId="29F5C214"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ערעור פלילי תעבורה (עפ"ת)</w:t>
            </w:r>
          </w:p>
        </w:tc>
        <w:tc>
          <w:tcPr>
            <w:tcW w:w="1417" w:type="dxa"/>
            <w:tcBorders>
              <w:top w:val="single" w:sz="4" w:space="0" w:color="auto"/>
              <w:bottom w:val="single" w:sz="4" w:space="0" w:color="auto"/>
            </w:tcBorders>
            <w:shd w:val="clear" w:color="auto" w:fill="FFFFFF"/>
            <w:vAlign w:val="center"/>
          </w:tcPr>
          <w:p w14:paraId="5423411F"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1,289</w:t>
            </w:r>
          </w:p>
        </w:tc>
        <w:tc>
          <w:tcPr>
            <w:tcW w:w="1418" w:type="dxa"/>
            <w:tcBorders>
              <w:top w:val="single" w:sz="4" w:space="0" w:color="auto"/>
              <w:bottom w:val="single" w:sz="4" w:space="0" w:color="auto"/>
            </w:tcBorders>
            <w:shd w:val="clear" w:color="auto" w:fill="FFFFFF"/>
            <w:noWrap/>
            <w:vAlign w:val="center"/>
          </w:tcPr>
          <w:p w14:paraId="67862384" w14:textId="77777777" w:rsidR="00FD5B64" w:rsidRPr="00B4065B" w:rsidRDefault="00FD5B64" w:rsidP="00FD5B64">
            <w:pPr>
              <w:spacing w:after="0" w:line="240" w:lineRule="auto"/>
              <w:jc w:val="center"/>
              <w:rPr>
                <w:rFonts w:ascii="David" w:hAnsi="David" w:cs="David"/>
                <w:b/>
                <w:bCs/>
                <w:color w:val="000000"/>
                <w:rtl/>
              </w:rPr>
            </w:pPr>
            <w:r w:rsidRPr="00B4065B">
              <w:rPr>
                <w:rFonts w:ascii="David" w:hAnsi="David" w:cs="David"/>
                <w:b/>
                <w:bCs/>
                <w:color w:val="000000"/>
              </w:rPr>
              <w:t>2:50</w:t>
            </w:r>
          </w:p>
        </w:tc>
        <w:tc>
          <w:tcPr>
            <w:tcW w:w="1417" w:type="dxa"/>
            <w:tcBorders>
              <w:top w:val="single" w:sz="4" w:space="0" w:color="auto"/>
              <w:bottom w:val="single" w:sz="4" w:space="0" w:color="auto"/>
            </w:tcBorders>
            <w:shd w:val="clear" w:color="auto" w:fill="FFFFFF"/>
            <w:vAlign w:val="center"/>
          </w:tcPr>
          <w:p w14:paraId="200D7651"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4:23</w:t>
            </w:r>
          </w:p>
        </w:tc>
        <w:tc>
          <w:tcPr>
            <w:tcW w:w="849" w:type="dxa"/>
            <w:tcBorders>
              <w:top w:val="single" w:sz="4" w:space="0" w:color="auto"/>
              <w:bottom w:val="single" w:sz="4" w:space="0" w:color="auto"/>
            </w:tcBorders>
            <w:shd w:val="clear" w:color="auto" w:fill="FFFFFF"/>
            <w:vAlign w:val="center"/>
          </w:tcPr>
          <w:p w14:paraId="3F80C277"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tl/>
              </w:rPr>
              <w:t>1:</w:t>
            </w:r>
            <w:r w:rsidRPr="00B4065B">
              <w:rPr>
                <w:rFonts w:ascii="David" w:hAnsi="David" w:cs="David" w:hint="cs"/>
                <w:color w:val="000000"/>
                <w:rtl/>
              </w:rPr>
              <w:t>3</w:t>
            </w:r>
            <w:r w:rsidRPr="00B4065B">
              <w:rPr>
                <w:rFonts w:ascii="David" w:hAnsi="David" w:cs="David"/>
                <w:color w:val="000000"/>
                <w:rtl/>
              </w:rPr>
              <w:t>3-</w:t>
            </w:r>
          </w:p>
        </w:tc>
      </w:tr>
      <w:tr w:rsidR="00FD5B64" w:rsidRPr="00B4065B" w14:paraId="3481374D" w14:textId="77777777" w:rsidTr="00FD5B64">
        <w:trPr>
          <w:trHeight w:val="300"/>
        </w:trPr>
        <w:tc>
          <w:tcPr>
            <w:tcW w:w="849" w:type="dxa"/>
            <w:tcBorders>
              <w:top w:val="single" w:sz="4" w:space="0" w:color="auto"/>
              <w:bottom w:val="single" w:sz="4" w:space="0" w:color="auto"/>
            </w:tcBorders>
            <w:shd w:val="clear" w:color="auto" w:fill="D9D9D9"/>
            <w:noWrap/>
            <w:vAlign w:val="center"/>
          </w:tcPr>
          <w:p w14:paraId="2A92FF75"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D9D9D9"/>
            <w:noWrap/>
            <w:vAlign w:val="center"/>
          </w:tcPr>
          <w:p w14:paraId="645EF0D0"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ערעור אזרחי</w:t>
            </w:r>
          </w:p>
        </w:tc>
        <w:tc>
          <w:tcPr>
            <w:tcW w:w="2408" w:type="dxa"/>
            <w:tcBorders>
              <w:top w:val="single" w:sz="4" w:space="0" w:color="auto"/>
              <w:bottom w:val="single" w:sz="4" w:space="0" w:color="auto"/>
            </w:tcBorders>
            <w:shd w:val="clear" w:color="auto" w:fill="D9D9D9"/>
            <w:vAlign w:val="center"/>
          </w:tcPr>
          <w:p w14:paraId="29493614"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רשות ערעור אזרחי (רע"א) - דן יחיד</w:t>
            </w:r>
          </w:p>
        </w:tc>
        <w:tc>
          <w:tcPr>
            <w:tcW w:w="1417" w:type="dxa"/>
            <w:tcBorders>
              <w:top w:val="single" w:sz="4" w:space="0" w:color="auto"/>
              <w:bottom w:val="single" w:sz="4" w:space="0" w:color="auto"/>
            </w:tcBorders>
            <w:shd w:val="clear" w:color="auto" w:fill="D9D9D9"/>
            <w:vAlign w:val="center"/>
          </w:tcPr>
          <w:p w14:paraId="78AC60EC"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1,268</w:t>
            </w:r>
          </w:p>
        </w:tc>
        <w:tc>
          <w:tcPr>
            <w:tcW w:w="1418" w:type="dxa"/>
            <w:tcBorders>
              <w:top w:val="single" w:sz="4" w:space="0" w:color="auto"/>
              <w:bottom w:val="single" w:sz="4" w:space="0" w:color="auto"/>
            </w:tcBorders>
            <w:shd w:val="clear" w:color="auto" w:fill="D9D9D9"/>
            <w:noWrap/>
            <w:vAlign w:val="center"/>
          </w:tcPr>
          <w:p w14:paraId="080F3EC4" w14:textId="77777777" w:rsidR="00FD5B64" w:rsidRPr="00B4065B" w:rsidRDefault="00FD5B64" w:rsidP="00FD5B64">
            <w:pPr>
              <w:spacing w:after="0" w:line="240" w:lineRule="auto"/>
              <w:jc w:val="center"/>
              <w:rPr>
                <w:rFonts w:ascii="David" w:hAnsi="David" w:cs="David"/>
                <w:b/>
                <w:bCs/>
                <w:color w:val="000000"/>
                <w:rtl/>
              </w:rPr>
            </w:pPr>
            <w:r w:rsidRPr="00B4065B">
              <w:rPr>
                <w:rFonts w:ascii="David" w:hAnsi="David" w:cs="David"/>
                <w:b/>
                <w:bCs/>
                <w:color w:val="000000"/>
              </w:rPr>
              <w:t>2:31</w:t>
            </w:r>
          </w:p>
        </w:tc>
        <w:tc>
          <w:tcPr>
            <w:tcW w:w="1417" w:type="dxa"/>
            <w:tcBorders>
              <w:top w:val="single" w:sz="4" w:space="0" w:color="auto"/>
              <w:bottom w:val="single" w:sz="4" w:space="0" w:color="auto"/>
            </w:tcBorders>
            <w:shd w:val="clear" w:color="auto" w:fill="D9D9D9"/>
            <w:vAlign w:val="center"/>
          </w:tcPr>
          <w:p w14:paraId="4BE79096" w14:textId="77777777" w:rsidR="00FD5B64" w:rsidRPr="00B4065B" w:rsidRDefault="00FD5B64" w:rsidP="00FD5B64">
            <w:pPr>
              <w:spacing w:after="0" w:line="240" w:lineRule="auto"/>
              <w:jc w:val="center"/>
              <w:rPr>
                <w:rFonts w:ascii="David" w:hAnsi="David" w:cs="David"/>
                <w:color w:val="000000"/>
                <w:rtl/>
              </w:rPr>
            </w:pPr>
            <w:r w:rsidRPr="00B4065B">
              <w:rPr>
                <w:rFonts w:ascii="David" w:hAnsi="David" w:cs="David"/>
                <w:color w:val="000000"/>
              </w:rPr>
              <w:t>1:07</w:t>
            </w:r>
          </w:p>
        </w:tc>
        <w:tc>
          <w:tcPr>
            <w:tcW w:w="849" w:type="dxa"/>
            <w:tcBorders>
              <w:top w:val="single" w:sz="4" w:space="0" w:color="auto"/>
              <w:bottom w:val="single" w:sz="4" w:space="0" w:color="auto"/>
            </w:tcBorders>
            <w:shd w:val="clear" w:color="auto" w:fill="D9D9D9"/>
            <w:vAlign w:val="center"/>
          </w:tcPr>
          <w:p w14:paraId="0DA2AADA"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+1:24</w:t>
            </w:r>
          </w:p>
        </w:tc>
      </w:tr>
      <w:tr w:rsidR="00FD5B64" w:rsidRPr="00B4065B" w14:paraId="543487B0" w14:textId="77777777" w:rsidTr="00FD5B64">
        <w:trPr>
          <w:trHeight w:val="300"/>
        </w:trPr>
        <w:tc>
          <w:tcPr>
            <w:tcW w:w="849" w:type="dxa"/>
            <w:tcBorders>
              <w:top w:val="single" w:sz="4" w:space="0" w:color="auto"/>
              <w:bottom w:val="single" w:sz="4" w:space="0" w:color="auto"/>
            </w:tcBorders>
            <w:shd w:val="clear" w:color="auto" w:fill="auto"/>
            <w:noWrap/>
            <w:vAlign w:val="center"/>
          </w:tcPr>
          <w:p w14:paraId="5C335119"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auto"/>
            <w:noWrap/>
            <w:vAlign w:val="center"/>
          </w:tcPr>
          <w:p w14:paraId="37BB1AE7"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פלילי</w:t>
            </w:r>
          </w:p>
        </w:tc>
        <w:tc>
          <w:tcPr>
            <w:tcW w:w="2408" w:type="dxa"/>
            <w:tcBorders>
              <w:top w:val="single" w:sz="4" w:space="0" w:color="auto"/>
              <w:bottom w:val="single" w:sz="4" w:space="0" w:color="auto"/>
            </w:tcBorders>
            <w:shd w:val="clear" w:color="auto" w:fill="auto"/>
            <w:vAlign w:val="center"/>
          </w:tcPr>
          <w:p w14:paraId="2003DC32"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בקשה לעיון בחומר חקירה (בע"ח)</w:t>
            </w:r>
          </w:p>
        </w:tc>
        <w:tc>
          <w:tcPr>
            <w:tcW w:w="1417" w:type="dxa"/>
            <w:tcBorders>
              <w:top w:val="single" w:sz="4" w:space="0" w:color="auto"/>
              <w:bottom w:val="single" w:sz="4" w:space="0" w:color="auto"/>
            </w:tcBorders>
            <w:vAlign w:val="center"/>
          </w:tcPr>
          <w:p w14:paraId="4F23408E"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tl/>
              </w:rPr>
              <w:t>354</w:t>
            </w:r>
          </w:p>
        </w:tc>
        <w:tc>
          <w:tcPr>
            <w:tcW w:w="1418" w:type="dxa"/>
            <w:tcBorders>
              <w:top w:val="single" w:sz="4" w:space="0" w:color="auto"/>
              <w:bottom w:val="single" w:sz="4" w:space="0" w:color="auto"/>
            </w:tcBorders>
            <w:shd w:val="clear" w:color="auto" w:fill="auto"/>
            <w:noWrap/>
            <w:vAlign w:val="center"/>
          </w:tcPr>
          <w:p w14:paraId="167071FD" w14:textId="77777777" w:rsidR="00FD5B64" w:rsidRPr="00B4065B" w:rsidRDefault="00FD5B64" w:rsidP="00FD5B64">
            <w:pPr>
              <w:spacing w:after="0" w:line="240" w:lineRule="auto"/>
              <w:jc w:val="center"/>
              <w:rPr>
                <w:rFonts w:ascii="David" w:hAnsi="David" w:cs="David"/>
                <w:b/>
                <w:bCs/>
                <w:color w:val="000000"/>
              </w:rPr>
            </w:pPr>
            <w:r w:rsidRPr="00B4065B">
              <w:rPr>
                <w:rFonts w:ascii="David" w:hAnsi="David" w:cs="David" w:hint="cs"/>
                <w:b/>
                <w:bCs/>
                <w:color w:val="000000"/>
                <w:rtl/>
              </w:rPr>
              <w:t>2:20</w:t>
            </w:r>
          </w:p>
        </w:tc>
        <w:tc>
          <w:tcPr>
            <w:tcW w:w="1417" w:type="dxa"/>
            <w:tcBorders>
              <w:top w:val="single" w:sz="4" w:space="0" w:color="auto"/>
              <w:bottom w:val="single" w:sz="4" w:space="0" w:color="auto"/>
            </w:tcBorders>
            <w:vAlign w:val="center"/>
          </w:tcPr>
          <w:p w14:paraId="72D1A7B0"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w:t>
            </w:r>
          </w:p>
        </w:tc>
        <w:tc>
          <w:tcPr>
            <w:tcW w:w="849" w:type="dxa"/>
            <w:tcBorders>
              <w:top w:val="single" w:sz="4" w:space="0" w:color="auto"/>
              <w:bottom w:val="single" w:sz="4" w:space="0" w:color="auto"/>
            </w:tcBorders>
            <w:vAlign w:val="center"/>
          </w:tcPr>
          <w:p w14:paraId="701AEE4A"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w:t>
            </w:r>
          </w:p>
        </w:tc>
      </w:tr>
      <w:tr w:rsidR="00FD5B64" w:rsidRPr="00B4065B" w14:paraId="792757CA" w14:textId="77777777" w:rsidTr="00FD5B64">
        <w:trPr>
          <w:trHeight w:val="414"/>
        </w:trPr>
        <w:tc>
          <w:tcPr>
            <w:tcW w:w="849" w:type="dxa"/>
            <w:tcBorders>
              <w:top w:val="single" w:sz="4" w:space="0" w:color="auto"/>
              <w:bottom w:val="single" w:sz="4" w:space="0" w:color="auto"/>
            </w:tcBorders>
            <w:shd w:val="clear" w:color="auto" w:fill="D9D9D9"/>
            <w:noWrap/>
            <w:vAlign w:val="center"/>
          </w:tcPr>
          <w:p w14:paraId="7E46600C"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D9D9D9"/>
            <w:noWrap/>
            <w:vAlign w:val="center"/>
          </w:tcPr>
          <w:p w14:paraId="6CDFA8E3"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ערעור אזרחי</w:t>
            </w:r>
          </w:p>
        </w:tc>
        <w:tc>
          <w:tcPr>
            <w:tcW w:w="2408" w:type="dxa"/>
            <w:tcBorders>
              <w:top w:val="single" w:sz="4" w:space="0" w:color="auto"/>
              <w:bottom w:val="single" w:sz="4" w:space="0" w:color="auto"/>
            </w:tcBorders>
            <w:shd w:val="clear" w:color="auto" w:fill="D9D9D9"/>
            <w:vAlign w:val="center"/>
          </w:tcPr>
          <w:p w14:paraId="5B5F0878"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רשות ערעור משפחה (רמ"ש) - דן יחיד</w:t>
            </w:r>
          </w:p>
        </w:tc>
        <w:tc>
          <w:tcPr>
            <w:tcW w:w="1417" w:type="dxa"/>
            <w:tcBorders>
              <w:top w:val="single" w:sz="4" w:space="0" w:color="auto"/>
              <w:bottom w:val="single" w:sz="4" w:space="0" w:color="auto"/>
            </w:tcBorders>
            <w:shd w:val="clear" w:color="auto" w:fill="D9D9D9"/>
            <w:vAlign w:val="center"/>
          </w:tcPr>
          <w:p w14:paraId="67D4D51C"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869</w:t>
            </w:r>
          </w:p>
        </w:tc>
        <w:tc>
          <w:tcPr>
            <w:tcW w:w="1418" w:type="dxa"/>
            <w:tcBorders>
              <w:top w:val="single" w:sz="4" w:space="0" w:color="auto"/>
              <w:bottom w:val="single" w:sz="4" w:space="0" w:color="auto"/>
            </w:tcBorders>
            <w:shd w:val="clear" w:color="auto" w:fill="D9D9D9"/>
            <w:noWrap/>
            <w:vAlign w:val="center"/>
          </w:tcPr>
          <w:p w14:paraId="6B007420" w14:textId="77777777" w:rsidR="00FD5B64" w:rsidRPr="00B4065B" w:rsidRDefault="00FD5B64" w:rsidP="00FD5B64">
            <w:pPr>
              <w:spacing w:after="0" w:line="240" w:lineRule="auto"/>
              <w:jc w:val="center"/>
              <w:rPr>
                <w:rFonts w:ascii="David" w:hAnsi="David" w:cs="David"/>
                <w:b/>
                <w:bCs/>
                <w:color w:val="000000"/>
              </w:rPr>
            </w:pPr>
            <w:r w:rsidRPr="00B4065B">
              <w:rPr>
                <w:rFonts w:ascii="David" w:hAnsi="David" w:cs="David"/>
                <w:b/>
                <w:bCs/>
                <w:color w:val="000000"/>
              </w:rPr>
              <w:t>2:03</w:t>
            </w:r>
          </w:p>
        </w:tc>
        <w:tc>
          <w:tcPr>
            <w:tcW w:w="1417" w:type="dxa"/>
            <w:tcBorders>
              <w:top w:val="single" w:sz="4" w:space="0" w:color="auto"/>
              <w:bottom w:val="single" w:sz="4" w:space="0" w:color="auto"/>
            </w:tcBorders>
            <w:shd w:val="clear" w:color="auto" w:fill="D9D9D9"/>
            <w:vAlign w:val="center"/>
          </w:tcPr>
          <w:p w14:paraId="0B73F17B"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w:t>
            </w:r>
          </w:p>
        </w:tc>
        <w:tc>
          <w:tcPr>
            <w:tcW w:w="849" w:type="dxa"/>
            <w:tcBorders>
              <w:top w:val="single" w:sz="4" w:space="0" w:color="auto"/>
              <w:bottom w:val="single" w:sz="4" w:space="0" w:color="auto"/>
            </w:tcBorders>
            <w:shd w:val="clear" w:color="auto" w:fill="D9D9D9"/>
            <w:vAlign w:val="center"/>
          </w:tcPr>
          <w:p w14:paraId="7A03A6EA"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w:t>
            </w:r>
          </w:p>
        </w:tc>
      </w:tr>
      <w:tr w:rsidR="00FD5B64" w:rsidRPr="00B4065B" w14:paraId="5A1831D4" w14:textId="77777777" w:rsidTr="00FD5B64">
        <w:trPr>
          <w:trHeight w:val="595"/>
        </w:trPr>
        <w:tc>
          <w:tcPr>
            <w:tcW w:w="849" w:type="dxa"/>
            <w:tcBorders>
              <w:top w:val="single" w:sz="4" w:space="0" w:color="auto"/>
              <w:bottom w:val="single" w:sz="4" w:space="0" w:color="auto"/>
            </w:tcBorders>
            <w:shd w:val="clear" w:color="auto" w:fill="auto"/>
            <w:noWrap/>
            <w:vAlign w:val="center"/>
          </w:tcPr>
          <w:p w14:paraId="755FD917"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auto"/>
            <w:noWrap/>
            <w:vAlign w:val="center"/>
          </w:tcPr>
          <w:p w14:paraId="7918392B"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ערעור אזרחי</w:t>
            </w:r>
          </w:p>
        </w:tc>
        <w:tc>
          <w:tcPr>
            <w:tcW w:w="2408" w:type="dxa"/>
            <w:tcBorders>
              <w:top w:val="single" w:sz="4" w:space="0" w:color="auto"/>
              <w:bottom w:val="single" w:sz="4" w:space="0" w:color="auto"/>
            </w:tcBorders>
            <w:shd w:val="clear" w:color="auto" w:fill="auto"/>
            <w:vAlign w:val="center"/>
          </w:tcPr>
          <w:p w14:paraId="31562387"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רשות ערעור תביעות קטנות (רת"ק)</w:t>
            </w:r>
          </w:p>
        </w:tc>
        <w:tc>
          <w:tcPr>
            <w:tcW w:w="1417" w:type="dxa"/>
            <w:tcBorders>
              <w:top w:val="single" w:sz="4" w:space="0" w:color="auto"/>
              <w:bottom w:val="single" w:sz="4" w:space="0" w:color="auto"/>
            </w:tcBorders>
            <w:vAlign w:val="center"/>
          </w:tcPr>
          <w:p w14:paraId="509DC417"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tl/>
              </w:rPr>
              <w:t>537</w:t>
            </w:r>
          </w:p>
        </w:tc>
        <w:tc>
          <w:tcPr>
            <w:tcW w:w="1418" w:type="dxa"/>
            <w:tcBorders>
              <w:top w:val="single" w:sz="4" w:space="0" w:color="auto"/>
              <w:bottom w:val="single" w:sz="4" w:space="0" w:color="auto"/>
            </w:tcBorders>
            <w:shd w:val="clear" w:color="auto" w:fill="auto"/>
            <w:noWrap/>
            <w:vAlign w:val="center"/>
          </w:tcPr>
          <w:p w14:paraId="4F787C39" w14:textId="77777777" w:rsidR="00FD5B64" w:rsidRPr="00B4065B" w:rsidRDefault="00FD5B64" w:rsidP="00FD5B64">
            <w:pPr>
              <w:spacing w:after="0" w:line="240" w:lineRule="auto"/>
              <w:jc w:val="center"/>
              <w:rPr>
                <w:rFonts w:ascii="David" w:hAnsi="David" w:cs="David"/>
                <w:b/>
                <w:bCs/>
                <w:color w:val="000000"/>
                <w:rtl/>
              </w:rPr>
            </w:pPr>
            <w:r w:rsidRPr="00B4065B">
              <w:rPr>
                <w:rFonts w:ascii="David" w:hAnsi="David" w:cs="David"/>
                <w:b/>
                <w:bCs/>
                <w:color w:val="000000"/>
              </w:rPr>
              <w:t>1:50</w:t>
            </w:r>
          </w:p>
        </w:tc>
        <w:tc>
          <w:tcPr>
            <w:tcW w:w="1417" w:type="dxa"/>
            <w:tcBorders>
              <w:top w:val="single" w:sz="4" w:space="0" w:color="auto"/>
              <w:bottom w:val="single" w:sz="4" w:space="0" w:color="auto"/>
            </w:tcBorders>
            <w:vAlign w:val="center"/>
          </w:tcPr>
          <w:p w14:paraId="5C4276B0" w14:textId="77777777" w:rsidR="00FD5B64" w:rsidRPr="00B4065B" w:rsidRDefault="00FD5B64" w:rsidP="00FD5B64">
            <w:pPr>
              <w:spacing w:after="0" w:line="240" w:lineRule="auto"/>
              <w:jc w:val="center"/>
              <w:rPr>
                <w:rFonts w:ascii="David" w:hAnsi="David" w:cs="David"/>
                <w:color w:val="000000"/>
                <w:rtl/>
              </w:rPr>
            </w:pPr>
            <w:r w:rsidRPr="00B4065B">
              <w:rPr>
                <w:rFonts w:ascii="David" w:hAnsi="David" w:cs="David"/>
                <w:color w:val="000000"/>
              </w:rPr>
              <w:t>-</w:t>
            </w:r>
          </w:p>
        </w:tc>
        <w:tc>
          <w:tcPr>
            <w:tcW w:w="849" w:type="dxa"/>
            <w:tcBorders>
              <w:top w:val="single" w:sz="4" w:space="0" w:color="auto"/>
              <w:bottom w:val="single" w:sz="4" w:space="0" w:color="auto"/>
            </w:tcBorders>
            <w:vAlign w:val="center"/>
          </w:tcPr>
          <w:p w14:paraId="7CD031EC"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w:t>
            </w:r>
          </w:p>
        </w:tc>
      </w:tr>
      <w:tr w:rsidR="00FD5B64" w:rsidRPr="00B4065B" w14:paraId="16270D80" w14:textId="77777777" w:rsidTr="00FD5B64">
        <w:trPr>
          <w:trHeight w:val="405"/>
        </w:trPr>
        <w:tc>
          <w:tcPr>
            <w:tcW w:w="849" w:type="dxa"/>
            <w:tcBorders>
              <w:top w:val="single" w:sz="4" w:space="0" w:color="auto"/>
              <w:bottom w:val="single" w:sz="4" w:space="0" w:color="auto"/>
            </w:tcBorders>
            <w:shd w:val="clear" w:color="auto" w:fill="D9D9D9"/>
            <w:noWrap/>
            <w:vAlign w:val="center"/>
          </w:tcPr>
          <w:p w14:paraId="6D3C7F09"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D9D9D9"/>
            <w:noWrap/>
            <w:vAlign w:val="center"/>
          </w:tcPr>
          <w:p w14:paraId="44E26120"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ערעור פלילי</w:t>
            </w:r>
          </w:p>
        </w:tc>
        <w:tc>
          <w:tcPr>
            <w:tcW w:w="2408" w:type="dxa"/>
            <w:tcBorders>
              <w:top w:val="single" w:sz="4" w:space="0" w:color="auto"/>
              <w:bottom w:val="single" w:sz="4" w:space="0" w:color="auto"/>
            </w:tcBorders>
            <w:shd w:val="clear" w:color="auto" w:fill="D9D9D9"/>
            <w:vAlign w:val="center"/>
          </w:tcPr>
          <w:p w14:paraId="3BB4CEFC"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ערעור פלילי על בימ"ש לעניינים מקומיים (עפמ"ק)</w:t>
            </w:r>
          </w:p>
        </w:tc>
        <w:tc>
          <w:tcPr>
            <w:tcW w:w="1417" w:type="dxa"/>
            <w:tcBorders>
              <w:top w:val="single" w:sz="4" w:space="0" w:color="auto"/>
              <w:bottom w:val="single" w:sz="4" w:space="0" w:color="auto"/>
            </w:tcBorders>
            <w:shd w:val="clear" w:color="auto" w:fill="D9D9D9"/>
            <w:vAlign w:val="center"/>
          </w:tcPr>
          <w:p w14:paraId="22756287"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tl/>
              </w:rPr>
              <w:t>450</w:t>
            </w:r>
          </w:p>
        </w:tc>
        <w:tc>
          <w:tcPr>
            <w:tcW w:w="1418" w:type="dxa"/>
            <w:tcBorders>
              <w:top w:val="single" w:sz="4" w:space="0" w:color="auto"/>
              <w:bottom w:val="single" w:sz="4" w:space="0" w:color="auto"/>
            </w:tcBorders>
            <w:shd w:val="clear" w:color="auto" w:fill="D9D9D9"/>
            <w:noWrap/>
            <w:vAlign w:val="center"/>
          </w:tcPr>
          <w:p w14:paraId="0C51ABBD" w14:textId="77777777" w:rsidR="00FD5B64" w:rsidRPr="00B4065B" w:rsidRDefault="00FD5B64" w:rsidP="00FD5B64">
            <w:pPr>
              <w:spacing w:after="0" w:line="240" w:lineRule="auto"/>
              <w:jc w:val="center"/>
              <w:rPr>
                <w:rFonts w:ascii="David" w:hAnsi="David" w:cs="David"/>
                <w:b/>
                <w:bCs/>
                <w:color w:val="000000"/>
              </w:rPr>
            </w:pPr>
            <w:r w:rsidRPr="00B4065B">
              <w:rPr>
                <w:rFonts w:ascii="David" w:hAnsi="David" w:cs="David"/>
                <w:b/>
                <w:bCs/>
                <w:color w:val="000000"/>
              </w:rPr>
              <w:t>1:30</w:t>
            </w:r>
          </w:p>
        </w:tc>
        <w:tc>
          <w:tcPr>
            <w:tcW w:w="1417" w:type="dxa"/>
            <w:tcBorders>
              <w:top w:val="single" w:sz="4" w:space="0" w:color="auto"/>
              <w:bottom w:val="single" w:sz="4" w:space="0" w:color="auto"/>
            </w:tcBorders>
            <w:shd w:val="clear" w:color="auto" w:fill="D9D9D9"/>
            <w:vAlign w:val="center"/>
          </w:tcPr>
          <w:p w14:paraId="34362B35"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w:t>
            </w:r>
          </w:p>
        </w:tc>
        <w:tc>
          <w:tcPr>
            <w:tcW w:w="849" w:type="dxa"/>
            <w:tcBorders>
              <w:top w:val="single" w:sz="4" w:space="0" w:color="auto"/>
              <w:bottom w:val="single" w:sz="4" w:space="0" w:color="auto"/>
            </w:tcBorders>
            <w:shd w:val="clear" w:color="auto" w:fill="D9D9D9"/>
            <w:vAlign w:val="center"/>
          </w:tcPr>
          <w:p w14:paraId="1D2456EA" w14:textId="77777777" w:rsidR="00FD5B64" w:rsidRPr="00B4065B" w:rsidRDefault="00FD5B64" w:rsidP="00FD5B64">
            <w:pPr>
              <w:spacing w:after="0" w:line="240" w:lineRule="auto"/>
              <w:jc w:val="center"/>
              <w:rPr>
                <w:rFonts w:ascii="David" w:hAnsi="David" w:cs="David"/>
                <w:color w:val="000000"/>
                <w:rtl/>
              </w:rPr>
            </w:pPr>
            <w:r w:rsidRPr="00B4065B">
              <w:rPr>
                <w:rFonts w:ascii="David" w:hAnsi="David" w:cs="David"/>
                <w:color w:val="000000"/>
              </w:rPr>
              <w:t>-</w:t>
            </w:r>
          </w:p>
        </w:tc>
      </w:tr>
      <w:tr w:rsidR="00FD5B64" w:rsidRPr="00B4065B" w14:paraId="2BB88919" w14:textId="77777777" w:rsidTr="00FD5B64">
        <w:trPr>
          <w:trHeight w:val="300"/>
        </w:trPr>
        <w:tc>
          <w:tcPr>
            <w:tcW w:w="849" w:type="dxa"/>
            <w:tcBorders>
              <w:top w:val="single" w:sz="4" w:space="0" w:color="auto"/>
              <w:bottom w:val="single" w:sz="4" w:space="0" w:color="auto"/>
            </w:tcBorders>
            <w:shd w:val="clear" w:color="auto" w:fill="auto"/>
            <w:noWrap/>
            <w:vAlign w:val="center"/>
          </w:tcPr>
          <w:p w14:paraId="733DADB4"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auto"/>
            <w:noWrap/>
            <w:vAlign w:val="center"/>
          </w:tcPr>
          <w:p w14:paraId="203DDA2A"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עניינים מנהליים</w:t>
            </w:r>
          </w:p>
        </w:tc>
        <w:tc>
          <w:tcPr>
            <w:tcW w:w="2408" w:type="dxa"/>
            <w:tcBorders>
              <w:top w:val="single" w:sz="4" w:space="0" w:color="auto"/>
              <w:bottom w:val="single" w:sz="4" w:space="0" w:color="auto"/>
            </w:tcBorders>
            <w:shd w:val="clear" w:color="auto" w:fill="auto"/>
            <w:vAlign w:val="center"/>
          </w:tcPr>
          <w:p w14:paraId="7FE735D3"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עתירות אסירים (עת"א) - דן יחיד</w:t>
            </w:r>
          </w:p>
        </w:tc>
        <w:tc>
          <w:tcPr>
            <w:tcW w:w="1417" w:type="dxa"/>
            <w:tcBorders>
              <w:top w:val="single" w:sz="4" w:space="0" w:color="auto"/>
              <w:bottom w:val="single" w:sz="4" w:space="0" w:color="auto"/>
            </w:tcBorders>
            <w:vAlign w:val="center"/>
          </w:tcPr>
          <w:p w14:paraId="6408E52C"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hint="cs"/>
                <w:color w:val="000000"/>
                <w:rtl/>
              </w:rPr>
              <w:t>4,132</w:t>
            </w:r>
          </w:p>
        </w:tc>
        <w:tc>
          <w:tcPr>
            <w:tcW w:w="1418" w:type="dxa"/>
            <w:tcBorders>
              <w:top w:val="single" w:sz="4" w:space="0" w:color="auto"/>
              <w:bottom w:val="single" w:sz="4" w:space="0" w:color="auto"/>
            </w:tcBorders>
            <w:shd w:val="clear" w:color="auto" w:fill="auto"/>
            <w:noWrap/>
            <w:vAlign w:val="center"/>
          </w:tcPr>
          <w:p w14:paraId="444CBD33" w14:textId="77777777" w:rsidR="00FD5B64" w:rsidRPr="00B4065B" w:rsidRDefault="00FD5B64" w:rsidP="00FD5B64">
            <w:pPr>
              <w:spacing w:after="0" w:line="240" w:lineRule="auto"/>
              <w:jc w:val="center"/>
              <w:rPr>
                <w:rFonts w:ascii="David" w:hAnsi="David" w:cs="David"/>
                <w:b/>
                <w:bCs/>
                <w:color w:val="000000"/>
              </w:rPr>
            </w:pPr>
            <w:r w:rsidRPr="00B4065B">
              <w:rPr>
                <w:rFonts w:ascii="David" w:hAnsi="David" w:cs="David"/>
                <w:b/>
                <w:bCs/>
                <w:color w:val="000000"/>
              </w:rPr>
              <w:t>1:24</w:t>
            </w:r>
          </w:p>
        </w:tc>
        <w:tc>
          <w:tcPr>
            <w:tcW w:w="1417" w:type="dxa"/>
            <w:tcBorders>
              <w:top w:val="single" w:sz="4" w:space="0" w:color="auto"/>
              <w:bottom w:val="single" w:sz="4" w:space="0" w:color="auto"/>
            </w:tcBorders>
            <w:vAlign w:val="center"/>
          </w:tcPr>
          <w:p w14:paraId="4F031CCD"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1:02</w:t>
            </w:r>
          </w:p>
        </w:tc>
        <w:tc>
          <w:tcPr>
            <w:tcW w:w="849" w:type="dxa"/>
            <w:tcBorders>
              <w:top w:val="single" w:sz="4" w:space="0" w:color="auto"/>
              <w:bottom w:val="single" w:sz="4" w:space="0" w:color="auto"/>
            </w:tcBorders>
            <w:vAlign w:val="center"/>
          </w:tcPr>
          <w:p w14:paraId="4574C50E"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+0:22</w:t>
            </w:r>
          </w:p>
        </w:tc>
      </w:tr>
      <w:tr w:rsidR="00FD5B64" w:rsidRPr="00B4065B" w14:paraId="3DD4A49A" w14:textId="77777777" w:rsidTr="00FD5B64">
        <w:trPr>
          <w:trHeight w:val="402"/>
        </w:trPr>
        <w:tc>
          <w:tcPr>
            <w:tcW w:w="849" w:type="dxa"/>
            <w:tcBorders>
              <w:top w:val="single" w:sz="4" w:space="0" w:color="auto"/>
              <w:bottom w:val="single" w:sz="4" w:space="0" w:color="auto"/>
            </w:tcBorders>
            <w:shd w:val="clear" w:color="auto" w:fill="D9D9D9"/>
            <w:noWrap/>
            <w:vAlign w:val="center"/>
          </w:tcPr>
          <w:p w14:paraId="617043D8"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D9D9D9"/>
            <w:noWrap/>
            <w:vAlign w:val="center"/>
          </w:tcPr>
          <w:p w14:paraId="2AE7A56A"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מעצרים/</w:t>
            </w:r>
            <w:r w:rsidRPr="00B4065B">
              <w:rPr>
                <w:rFonts w:ascii="David" w:hAnsi="David" w:cs="David" w:hint="cs"/>
                <w:color w:val="000000"/>
                <w:rtl/>
              </w:rPr>
              <w:t xml:space="preserve"> </w:t>
            </w:r>
            <w:r w:rsidRPr="00B4065B">
              <w:rPr>
                <w:rFonts w:ascii="David" w:hAnsi="David" w:cs="David"/>
                <w:color w:val="000000"/>
                <w:rtl/>
              </w:rPr>
              <w:t>ערעור פלילי/</w:t>
            </w:r>
            <w:r w:rsidRPr="00B4065B">
              <w:rPr>
                <w:rFonts w:ascii="David" w:hAnsi="David" w:cs="David" w:hint="cs"/>
                <w:color w:val="000000"/>
                <w:rtl/>
              </w:rPr>
              <w:t xml:space="preserve"> </w:t>
            </w:r>
            <w:r w:rsidRPr="00B4065B">
              <w:rPr>
                <w:rFonts w:ascii="David" w:hAnsi="David" w:cs="David"/>
                <w:color w:val="000000"/>
                <w:rtl/>
              </w:rPr>
              <w:t>פלילי</w:t>
            </w:r>
          </w:p>
        </w:tc>
        <w:tc>
          <w:tcPr>
            <w:tcW w:w="2408" w:type="dxa"/>
            <w:tcBorders>
              <w:top w:val="single" w:sz="4" w:space="0" w:color="auto"/>
              <w:bottom w:val="single" w:sz="4" w:space="0" w:color="auto"/>
            </w:tcBorders>
            <w:shd w:val="clear" w:color="auto" w:fill="D9D9D9"/>
            <w:vAlign w:val="center"/>
          </w:tcPr>
          <w:p w14:paraId="13C19539"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ערר מ"ת (עמ"ת)</w:t>
            </w:r>
          </w:p>
        </w:tc>
        <w:tc>
          <w:tcPr>
            <w:tcW w:w="1417" w:type="dxa"/>
            <w:tcBorders>
              <w:top w:val="single" w:sz="4" w:space="0" w:color="auto"/>
              <w:bottom w:val="single" w:sz="4" w:space="0" w:color="auto"/>
            </w:tcBorders>
            <w:shd w:val="clear" w:color="auto" w:fill="D9D9D9"/>
            <w:vAlign w:val="center"/>
          </w:tcPr>
          <w:p w14:paraId="04866AA7"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tl/>
              </w:rPr>
              <w:t>2,029</w:t>
            </w:r>
          </w:p>
        </w:tc>
        <w:tc>
          <w:tcPr>
            <w:tcW w:w="1418" w:type="dxa"/>
            <w:tcBorders>
              <w:top w:val="single" w:sz="4" w:space="0" w:color="auto"/>
              <w:bottom w:val="single" w:sz="4" w:space="0" w:color="auto"/>
            </w:tcBorders>
            <w:shd w:val="clear" w:color="auto" w:fill="D9D9D9"/>
            <w:noWrap/>
            <w:vAlign w:val="center"/>
          </w:tcPr>
          <w:p w14:paraId="33B62BF6" w14:textId="77777777" w:rsidR="00FD5B64" w:rsidRPr="00B4065B" w:rsidRDefault="00FD5B64" w:rsidP="00FD5B64">
            <w:pPr>
              <w:spacing w:after="0" w:line="240" w:lineRule="auto"/>
              <w:jc w:val="center"/>
              <w:rPr>
                <w:rFonts w:ascii="David" w:hAnsi="David" w:cs="David"/>
                <w:b/>
                <w:bCs/>
                <w:color w:val="000000"/>
                <w:rtl/>
              </w:rPr>
            </w:pPr>
            <w:r w:rsidRPr="00B4065B">
              <w:rPr>
                <w:rFonts w:ascii="David" w:hAnsi="David" w:cs="David"/>
                <w:b/>
                <w:bCs/>
                <w:color w:val="000000"/>
              </w:rPr>
              <w:t>1:16</w:t>
            </w:r>
          </w:p>
        </w:tc>
        <w:tc>
          <w:tcPr>
            <w:tcW w:w="1417" w:type="dxa"/>
            <w:tcBorders>
              <w:top w:val="single" w:sz="4" w:space="0" w:color="auto"/>
              <w:bottom w:val="single" w:sz="4" w:space="0" w:color="auto"/>
            </w:tcBorders>
            <w:shd w:val="clear" w:color="auto" w:fill="D9D9D9"/>
            <w:vAlign w:val="center"/>
          </w:tcPr>
          <w:p w14:paraId="6EC1450C"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1:27</w:t>
            </w:r>
          </w:p>
        </w:tc>
        <w:tc>
          <w:tcPr>
            <w:tcW w:w="849" w:type="dxa"/>
            <w:tcBorders>
              <w:top w:val="single" w:sz="4" w:space="0" w:color="auto"/>
              <w:bottom w:val="single" w:sz="4" w:space="0" w:color="auto"/>
            </w:tcBorders>
            <w:shd w:val="clear" w:color="auto" w:fill="D9D9D9"/>
            <w:vAlign w:val="center"/>
          </w:tcPr>
          <w:p w14:paraId="0782BE8C"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0:11</w:t>
            </w:r>
            <w:r w:rsidRPr="00B4065B">
              <w:rPr>
                <w:rFonts w:ascii="David" w:hAnsi="David" w:cs="David" w:hint="cs"/>
                <w:color w:val="000000"/>
                <w:rtl/>
              </w:rPr>
              <w:t>+</w:t>
            </w:r>
          </w:p>
        </w:tc>
      </w:tr>
      <w:tr w:rsidR="00FD5B64" w:rsidRPr="00B4065B" w14:paraId="68AA3CF7" w14:textId="77777777" w:rsidTr="00FD5B64">
        <w:trPr>
          <w:trHeight w:val="803"/>
        </w:trPr>
        <w:tc>
          <w:tcPr>
            <w:tcW w:w="849" w:type="dxa"/>
            <w:tcBorders>
              <w:top w:val="single" w:sz="4" w:space="0" w:color="auto"/>
              <w:bottom w:val="single" w:sz="4" w:space="0" w:color="auto"/>
            </w:tcBorders>
            <w:shd w:val="clear" w:color="auto" w:fill="auto"/>
            <w:noWrap/>
            <w:vAlign w:val="center"/>
          </w:tcPr>
          <w:p w14:paraId="21BB7413"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auto"/>
            <w:noWrap/>
            <w:vAlign w:val="center"/>
          </w:tcPr>
          <w:p w14:paraId="2F60C55C"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מעצרים/</w:t>
            </w:r>
            <w:r w:rsidRPr="00B4065B">
              <w:rPr>
                <w:rFonts w:ascii="David" w:hAnsi="David" w:cs="David" w:hint="cs"/>
                <w:color w:val="000000"/>
                <w:rtl/>
              </w:rPr>
              <w:t xml:space="preserve"> </w:t>
            </w:r>
            <w:r w:rsidRPr="00B4065B">
              <w:rPr>
                <w:rFonts w:ascii="David" w:hAnsi="David" w:cs="David"/>
                <w:color w:val="000000"/>
                <w:rtl/>
              </w:rPr>
              <w:t>ערעור פלילי/</w:t>
            </w:r>
            <w:r w:rsidRPr="00B4065B">
              <w:rPr>
                <w:rFonts w:ascii="David" w:hAnsi="David" w:cs="David" w:hint="cs"/>
                <w:color w:val="000000"/>
                <w:rtl/>
              </w:rPr>
              <w:t xml:space="preserve"> </w:t>
            </w:r>
            <w:r w:rsidRPr="00B4065B">
              <w:rPr>
                <w:rFonts w:ascii="David" w:hAnsi="David" w:cs="David"/>
                <w:color w:val="000000"/>
                <w:rtl/>
              </w:rPr>
              <w:t>פלילי</w:t>
            </w:r>
          </w:p>
        </w:tc>
        <w:tc>
          <w:tcPr>
            <w:tcW w:w="2408" w:type="dxa"/>
            <w:tcBorders>
              <w:top w:val="single" w:sz="4" w:space="0" w:color="auto"/>
              <w:bottom w:val="single" w:sz="4" w:space="0" w:color="auto"/>
            </w:tcBorders>
            <w:shd w:val="clear" w:color="auto" w:fill="auto"/>
            <w:vAlign w:val="center"/>
          </w:tcPr>
          <w:p w14:paraId="2E8026B3"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ערר מ"י (עמ"י)</w:t>
            </w:r>
          </w:p>
        </w:tc>
        <w:tc>
          <w:tcPr>
            <w:tcW w:w="1417" w:type="dxa"/>
            <w:tcBorders>
              <w:top w:val="single" w:sz="4" w:space="0" w:color="auto"/>
              <w:bottom w:val="single" w:sz="4" w:space="0" w:color="auto"/>
            </w:tcBorders>
            <w:vAlign w:val="center"/>
          </w:tcPr>
          <w:p w14:paraId="0559776C"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hint="cs"/>
                <w:color w:val="000000"/>
                <w:rtl/>
              </w:rPr>
              <w:t>5,194</w:t>
            </w:r>
          </w:p>
        </w:tc>
        <w:tc>
          <w:tcPr>
            <w:tcW w:w="1418" w:type="dxa"/>
            <w:tcBorders>
              <w:top w:val="single" w:sz="4" w:space="0" w:color="auto"/>
              <w:bottom w:val="single" w:sz="4" w:space="0" w:color="auto"/>
            </w:tcBorders>
            <w:shd w:val="clear" w:color="auto" w:fill="auto"/>
            <w:noWrap/>
            <w:vAlign w:val="center"/>
          </w:tcPr>
          <w:p w14:paraId="54472E45" w14:textId="77777777" w:rsidR="00FD5B64" w:rsidRPr="00B4065B" w:rsidRDefault="00FD5B64" w:rsidP="00FD5B64">
            <w:pPr>
              <w:spacing w:after="0" w:line="240" w:lineRule="auto"/>
              <w:jc w:val="center"/>
              <w:rPr>
                <w:rFonts w:ascii="David" w:hAnsi="David" w:cs="David"/>
                <w:b/>
                <w:bCs/>
                <w:color w:val="000000"/>
              </w:rPr>
            </w:pPr>
            <w:r w:rsidRPr="00B4065B">
              <w:rPr>
                <w:rFonts w:ascii="David" w:hAnsi="David" w:cs="David"/>
                <w:b/>
                <w:bCs/>
                <w:color w:val="000000"/>
              </w:rPr>
              <w:t>0:52</w:t>
            </w:r>
          </w:p>
        </w:tc>
        <w:tc>
          <w:tcPr>
            <w:tcW w:w="1417" w:type="dxa"/>
            <w:tcBorders>
              <w:top w:val="single" w:sz="4" w:space="0" w:color="auto"/>
              <w:bottom w:val="single" w:sz="4" w:space="0" w:color="auto"/>
            </w:tcBorders>
            <w:vAlign w:val="center"/>
          </w:tcPr>
          <w:p w14:paraId="49C6E435"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0:53</w:t>
            </w:r>
          </w:p>
        </w:tc>
        <w:tc>
          <w:tcPr>
            <w:tcW w:w="849" w:type="dxa"/>
            <w:tcBorders>
              <w:top w:val="single" w:sz="4" w:space="0" w:color="auto"/>
              <w:bottom w:val="single" w:sz="4" w:space="0" w:color="auto"/>
            </w:tcBorders>
            <w:vAlign w:val="center"/>
          </w:tcPr>
          <w:p w14:paraId="6E2DA89B" w14:textId="77777777" w:rsidR="00FD5B64" w:rsidRPr="00B4065B" w:rsidRDefault="00FD5B64" w:rsidP="00FD5B64">
            <w:pPr>
              <w:spacing w:after="0" w:line="240" w:lineRule="auto"/>
              <w:jc w:val="center"/>
              <w:rPr>
                <w:rFonts w:ascii="David" w:hAnsi="David" w:cs="David"/>
                <w:color w:val="000000"/>
                <w:rtl/>
              </w:rPr>
            </w:pPr>
            <w:r w:rsidRPr="00B4065B">
              <w:rPr>
                <w:rFonts w:ascii="David" w:hAnsi="David" w:cs="David" w:hint="cs"/>
                <w:color w:val="000000"/>
                <w:rtl/>
              </w:rPr>
              <w:t>0:01-</w:t>
            </w:r>
          </w:p>
        </w:tc>
      </w:tr>
      <w:tr w:rsidR="00FD5B64" w:rsidRPr="00B4065B" w14:paraId="25FD60B2" w14:textId="77777777" w:rsidTr="00FD5B64">
        <w:trPr>
          <w:trHeight w:val="389"/>
        </w:trPr>
        <w:tc>
          <w:tcPr>
            <w:tcW w:w="849" w:type="dxa"/>
            <w:tcBorders>
              <w:top w:val="single" w:sz="4" w:space="0" w:color="auto"/>
              <w:bottom w:val="single" w:sz="4" w:space="0" w:color="auto"/>
            </w:tcBorders>
            <w:shd w:val="clear" w:color="auto" w:fill="D9D9D9"/>
            <w:noWrap/>
            <w:vAlign w:val="center"/>
          </w:tcPr>
          <w:p w14:paraId="65F1B6E8"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D9D9D9"/>
            <w:noWrap/>
            <w:vAlign w:val="center"/>
          </w:tcPr>
          <w:p w14:paraId="0502C0B2"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פלילי</w:t>
            </w:r>
          </w:p>
        </w:tc>
        <w:tc>
          <w:tcPr>
            <w:tcW w:w="2408" w:type="dxa"/>
            <w:tcBorders>
              <w:top w:val="single" w:sz="4" w:space="0" w:color="auto"/>
              <w:bottom w:val="single" w:sz="4" w:space="0" w:color="auto"/>
            </w:tcBorders>
            <w:shd w:val="clear" w:color="auto" w:fill="D9D9D9"/>
            <w:vAlign w:val="center"/>
          </w:tcPr>
          <w:p w14:paraId="55A71B0B"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האזנת סתר (הס"ת)</w:t>
            </w:r>
          </w:p>
        </w:tc>
        <w:tc>
          <w:tcPr>
            <w:tcW w:w="1417" w:type="dxa"/>
            <w:tcBorders>
              <w:top w:val="single" w:sz="4" w:space="0" w:color="auto"/>
              <w:bottom w:val="single" w:sz="4" w:space="0" w:color="auto"/>
            </w:tcBorders>
            <w:shd w:val="clear" w:color="auto" w:fill="D9D9D9"/>
            <w:vAlign w:val="center"/>
          </w:tcPr>
          <w:p w14:paraId="06C55F8C"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4,572</w:t>
            </w:r>
          </w:p>
        </w:tc>
        <w:tc>
          <w:tcPr>
            <w:tcW w:w="1418" w:type="dxa"/>
            <w:tcBorders>
              <w:top w:val="single" w:sz="4" w:space="0" w:color="auto"/>
              <w:bottom w:val="single" w:sz="4" w:space="0" w:color="auto"/>
            </w:tcBorders>
            <w:shd w:val="clear" w:color="auto" w:fill="D9D9D9"/>
            <w:noWrap/>
            <w:vAlign w:val="center"/>
          </w:tcPr>
          <w:p w14:paraId="5CEF3C93" w14:textId="77777777" w:rsidR="00FD5B64" w:rsidRPr="00B4065B" w:rsidRDefault="00FD5B64" w:rsidP="00FD5B64">
            <w:pPr>
              <w:spacing w:after="0" w:line="240" w:lineRule="auto"/>
              <w:jc w:val="center"/>
              <w:rPr>
                <w:rFonts w:ascii="David" w:hAnsi="David" w:cs="David"/>
                <w:b/>
                <w:bCs/>
                <w:color w:val="000000"/>
              </w:rPr>
            </w:pPr>
            <w:r w:rsidRPr="00B4065B">
              <w:rPr>
                <w:rFonts w:ascii="David" w:hAnsi="David" w:cs="David"/>
                <w:b/>
                <w:bCs/>
                <w:color w:val="000000"/>
              </w:rPr>
              <w:t>0:15</w:t>
            </w:r>
          </w:p>
        </w:tc>
        <w:tc>
          <w:tcPr>
            <w:tcW w:w="1417" w:type="dxa"/>
            <w:tcBorders>
              <w:top w:val="single" w:sz="4" w:space="0" w:color="auto"/>
              <w:bottom w:val="single" w:sz="4" w:space="0" w:color="auto"/>
            </w:tcBorders>
            <w:shd w:val="clear" w:color="auto" w:fill="D9D9D9"/>
            <w:vAlign w:val="center"/>
          </w:tcPr>
          <w:p w14:paraId="60F3AE83"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w:t>
            </w:r>
          </w:p>
        </w:tc>
        <w:tc>
          <w:tcPr>
            <w:tcW w:w="849" w:type="dxa"/>
            <w:tcBorders>
              <w:top w:val="single" w:sz="4" w:space="0" w:color="auto"/>
              <w:bottom w:val="single" w:sz="4" w:space="0" w:color="auto"/>
            </w:tcBorders>
            <w:shd w:val="clear" w:color="auto" w:fill="D9D9D9"/>
            <w:vAlign w:val="center"/>
          </w:tcPr>
          <w:p w14:paraId="7F7AD2FE"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w:t>
            </w:r>
          </w:p>
        </w:tc>
      </w:tr>
      <w:tr w:rsidR="00FD5B64" w:rsidRPr="00B4065B" w14:paraId="4D5F764B" w14:textId="77777777" w:rsidTr="00FD5B64">
        <w:trPr>
          <w:trHeight w:val="367"/>
        </w:trPr>
        <w:tc>
          <w:tcPr>
            <w:tcW w:w="849" w:type="dxa"/>
            <w:tcBorders>
              <w:top w:val="single" w:sz="4" w:space="0" w:color="auto"/>
              <w:bottom w:val="single" w:sz="4" w:space="0" w:color="auto"/>
            </w:tcBorders>
            <w:shd w:val="clear" w:color="auto" w:fill="auto"/>
            <w:noWrap/>
            <w:vAlign w:val="center"/>
          </w:tcPr>
          <w:p w14:paraId="04736169"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מחוזי</w:t>
            </w:r>
          </w:p>
        </w:tc>
        <w:tc>
          <w:tcPr>
            <w:tcW w:w="1136" w:type="dxa"/>
            <w:tcBorders>
              <w:top w:val="single" w:sz="4" w:space="0" w:color="auto"/>
              <w:bottom w:val="single" w:sz="4" w:space="0" w:color="auto"/>
            </w:tcBorders>
            <w:shd w:val="clear" w:color="auto" w:fill="auto"/>
            <w:noWrap/>
            <w:vAlign w:val="center"/>
          </w:tcPr>
          <w:p w14:paraId="596CBD54" w14:textId="77777777" w:rsidR="00FD5B64" w:rsidRPr="00B4065B" w:rsidRDefault="00FD5B64" w:rsidP="00FD5B64">
            <w:pPr>
              <w:spacing w:after="0" w:line="240" w:lineRule="auto"/>
              <w:rPr>
                <w:rFonts w:ascii="David" w:hAnsi="David" w:cs="David"/>
                <w:color w:val="000000"/>
              </w:rPr>
            </w:pPr>
            <w:r w:rsidRPr="00B4065B">
              <w:rPr>
                <w:rFonts w:ascii="David" w:hAnsi="David" w:cs="David"/>
                <w:color w:val="000000"/>
                <w:rtl/>
              </w:rPr>
              <w:t>אזרחי</w:t>
            </w:r>
          </w:p>
        </w:tc>
        <w:tc>
          <w:tcPr>
            <w:tcW w:w="2408" w:type="dxa"/>
            <w:tcBorders>
              <w:top w:val="single" w:sz="4" w:space="0" w:color="auto"/>
              <w:bottom w:val="single" w:sz="4" w:space="0" w:color="auto"/>
            </w:tcBorders>
            <w:shd w:val="clear" w:color="auto" w:fill="auto"/>
            <w:vAlign w:val="center"/>
          </w:tcPr>
          <w:p w14:paraId="3BA82498" w14:textId="77777777" w:rsidR="00FD5B64" w:rsidRPr="00B4065B" w:rsidRDefault="00FD5B64" w:rsidP="00FD5B64">
            <w:pPr>
              <w:spacing w:after="0" w:line="240" w:lineRule="auto"/>
              <w:rPr>
                <w:rFonts w:ascii="David" w:hAnsi="David" w:cs="David"/>
                <w:color w:val="000000"/>
                <w:rtl/>
              </w:rPr>
            </w:pPr>
            <w:r w:rsidRPr="00B4065B">
              <w:rPr>
                <w:rFonts w:ascii="David" w:hAnsi="David" w:cs="David"/>
                <w:color w:val="000000"/>
                <w:rtl/>
              </w:rPr>
              <w:t>ניהול רכושם של נעדרים או שבויים (נע"ד)</w:t>
            </w:r>
          </w:p>
        </w:tc>
        <w:tc>
          <w:tcPr>
            <w:tcW w:w="1417" w:type="dxa"/>
            <w:tcBorders>
              <w:top w:val="single" w:sz="4" w:space="0" w:color="auto"/>
              <w:bottom w:val="single" w:sz="4" w:space="0" w:color="auto"/>
            </w:tcBorders>
            <w:vAlign w:val="center"/>
          </w:tcPr>
          <w:p w14:paraId="3C90B655"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hint="cs"/>
                <w:color w:val="000000"/>
                <w:rtl/>
              </w:rPr>
              <w:t>219</w:t>
            </w:r>
          </w:p>
        </w:tc>
        <w:tc>
          <w:tcPr>
            <w:tcW w:w="1418" w:type="dxa"/>
            <w:tcBorders>
              <w:top w:val="single" w:sz="4" w:space="0" w:color="auto"/>
              <w:bottom w:val="single" w:sz="4" w:space="0" w:color="auto"/>
            </w:tcBorders>
            <w:shd w:val="clear" w:color="auto" w:fill="auto"/>
            <w:noWrap/>
            <w:vAlign w:val="center"/>
          </w:tcPr>
          <w:p w14:paraId="16AFAFED" w14:textId="77777777" w:rsidR="00FD5B64" w:rsidRPr="00B4065B" w:rsidRDefault="00FD5B64" w:rsidP="00FD5B64">
            <w:pPr>
              <w:spacing w:after="0" w:line="240" w:lineRule="auto"/>
              <w:jc w:val="center"/>
              <w:rPr>
                <w:rFonts w:ascii="David" w:hAnsi="David" w:cs="David"/>
                <w:b/>
                <w:bCs/>
                <w:color w:val="000000"/>
              </w:rPr>
            </w:pPr>
            <w:r w:rsidRPr="00B4065B">
              <w:rPr>
                <w:rFonts w:ascii="David" w:hAnsi="David" w:cs="David"/>
                <w:b/>
                <w:bCs/>
                <w:color w:val="000000"/>
              </w:rPr>
              <w:t>0:04</w:t>
            </w:r>
          </w:p>
        </w:tc>
        <w:tc>
          <w:tcPr>
            <w:tcW w:w="1417" w:type="dxa"/>
            <w:tcBorders>
              <w:top w:val="single" w:sz="4" w:space="0" w:color="auto"/>
              <w:bottom w:val="single" w:sz="4" w:space="0" w:color="auto"/>
            </w:tcBorders>
            <w:vAlign w:val="center"/>
          </w:tcPr>
          <w:p w14:paraId="6CFCD0CA"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w:t>
            </w:r>
          </w:p>
        </w:tc>
        <w:tc>
          <w:tcPr>
            <w:tcW w:w="849" w:type="dxa"/>
            <w:tcBorders>
              <w:top w:val="single" w:sz="4" w:space="0" w:color="auto"/>
              <w:bottom w:val="single" w:sz="4" w:space="0" w:color="auto"/>
            </w:tcBorders>
            <w:vAlign w:val="center"/>
          </w:tcPr>
          <w:p w14:paraId="39E2D057" w14:textId="77777777" w:rsidR="00FD5B64" w:rsidRPr="00B4065B" w:rsidRDefault="00FD5B64" w:rsidP="00FD5B64">
            <w:pPr>
              <w:spacing w:after="0" w:line="240" w:lineRule="auto"/>
              <w:jc w:val="center"/>
              <w:rPr>
                <w:rFonts w:ascii="David" w:hAnsi="David" w:cs="David"/>
                <w:color w:val="000000"/>
              </w:rPr>
            </w:pPr>
            <w:r w:rsidRPr="00B4065B">
              <w:rPr>
                <w:rFonts w:ascii="David" w:hAnsi="David" w:cs="David"/>
                <w:color w:val="000000"/>
              </w:rPr>
              <w:t>-</w:t>
            </w:r>
          </w:p>
        </w:tc>
      </w:tr>
    </w:tbl>
    <w:p w14:paraId="30E30EA0" w14:textId="72D696C3" w:rsidR="00B84B64" w:rsidRDefault="00B84B64" w:rsidP="005F6AF1">
      <w:pPr>
        <w:rPr>
          <w:rtl/>
        </w:rPr>
      </w:pPr>
    </w:p>
    <w:p w14:paraId="2D62AA88" w14:textId="77777777" w:rsidR="00FD5B64" w:rsidRDefault="00FD5B64" w:rsidP="005F6AF1">
      <w:pPr>
        <w:rPr>
          <w:rtl/>
        </w:rPr>
      </w:pPr>
    </w:p>
    <w:p w14:paraId="05D464CB" w14:textId="54C04914" w:rsidR="00552432" w:rsidRPr="00F25744" w:rsidRDefault="00E25AE7" w:rsidP="00A54D82">
      <w:pPr>
        <w:pStyle w:val="4"/>
        <w:ind w:left="994"/>
        <w:rPr>
          <w:rtl/>
        </w:rPr>
      </w:pPr>
      <w:bookmarkStart w:id="380" w:name="_Toc46226055"/>
      <w:bookmarkStart w:id="381" w:name="_Toc46226199"/>
      <w:bookmarkStart w:id="382" w:name="_Toc46228366"/>
      <w:bookmarkStart w:id="383" w:name="_Toc46228464"/>
      <w:bookmarkStart w:id="384" w:name="_Toc46230391"/>
      <w:bookmarkStart w:id="385" w:name="_Toc46230489"/>
      <w:bookmarkStart w:id="386" w:name="_Toc46310379"/>
      <w:bookmarkStart w:id="387" w:name="_Toc46414021"/>
      <w:bookmarkStart w:id="388" w:name="_Toc74750985"/>
      <w:r w:rsidRPr="00F25744">
        <w:rPr>
          <w:rFonts w:hint="cs"/>
          <w:rtl/>
        </w:rPr>
        <w:t>זמני הטיפול בתיקי ערכאת המחוזי בחלוקה לסוג ההליך</w:t>
      </w:r>
      <w:bookmarkEnd w:id="380"/>
      <w:bookmarkEnd w:id="381"/>
      <w:bookmarkEnd w:id="382"/>
      <w:bookmarkEnd w:id="383"/>
      <w:bookmarkEnd w:id="384"/>
      <w:bookmarkEnd w:id="385"/>
      <w:bookmarkEnd w:id="386"/>
      <w:bookmarkEnd w:id="387"/>
      <w:bookmarkEnd w:id="388"/>
    </w:p>
    <w:p w14:paraId="402B7BFD" w14:textId="206A2D1F" w:rsidR="00552432" w:rsidRDefault="00E25AE7" w:rsidP="00F900D7">
      <w:pPr>
        <w:spacing w:before="120" w:after="0" w:line="360" w:lineRule="auto"/>
        <w:jc w:val="both"/>
        <w:rPr>
          <w:rFonts w:cs="David"/>
          <w:sz w:val="24"/>
          <w:szCs w:val="24"/>
          <w:rtl/>
        </w:rPr>
      </w:pPr>
      <w:r w:rsidRPr="00F25744">
        <w:rPr>
          <w:rFonts w:cs="David" w:hint="cs"/>
          <w:sz w:val="24"/>
          <w:szCs w:val="24"/>
          <w:rtl/>
        </w:rPr>
        <w:t>להלן נציג את זמני הטיפול השיפוטי בתיקי ערכאת המחוזי בחלוקה לסוגי ההליך</w:t>
      </w:r>
      <w:r w:rsidR="00A925CB" w:rsidRPr="00F25744">
        <w:rPr>
          <w:rFonts w:cs="David" w:hint="cs"/>
          <w:sz w:val="24"/>
          <w:szCs w:val="24"/>
          <w:rtl/>
        </w:rPr>
        <w:t xml:space="preserve"> - אזרחי/</w:t>
      </w:r>
      <w:r w:rsidR="007675BC" w:rsidRPr="00F25744">
        <w:rPr>
          <w:rFonts w:cs="David" w:hint="cs"/>
          <w:sz w:val="24"/>
          <w:szCs w:val="24"/>
          <w:rtl/>
        </w:rPr>
        <w:t xml:space="preserve"> </w:t>
      </w:r>
      <w:r w:rsidR="00A925CB" w:rsidRPr="00F25744">
        <w:rPr>
          <w:rFonts w:cs="David" w:hint="cs"/>
          <w:sz w:val="24"/>
          <w:szCs w:val="24"/>
          <w:rtl/>
        </w:rPr>
        <w:t>מנהלי ופלילי</w:t>
      </w:r>
      <w:r w:rsidRPr="00F25744">
        <w:rPr>
          <w:rFonts w:cs="David" w:hint="cs"/>
          <w:sz w:val="24"/>
          <w:szCs w:val="24"/>
          <w:rtl/>
        </w:rPr>
        <w:t>, על מנת לתת תמונה מעמיקה ומובנת יותר לגבי הזמנים הדרושים לטיפול שיפוטי בכל אחד מההליכים</w:t>
      </w:r>
      <w:r w:rsidR="004B78A2" w:rsidRPr="00F25744">
        <w:rPr>
          <w:rFonts w:cs="David" w:hint="cs"/>
          <w:sz w:val="24"/>
          <w:szCs w:val="24"/>
          <w:rtl/>
        </w:rPr>
        <w:t>.</w:t>
      </w:r>
    </w:p>
    <w:p w14:paraId="2451CA9E" w14:textId="553A815A" w:rsidR="00565297" w:rsidRDefault="00565297" w:rsidP="00F900D7">
      <w:pPr>
        <w:spacing w:before="120" w:after="0" w:line="360" w:lineRule="auto"/>
        <w:jc w:val="both"/>
        <w:rPr>
          <w:rFonts w:cs="David"/>
          <w:sz w:val="24"/>
          <w:szCs w:val="24"/>
          <w:rtl/>
        </w:rPr>
      </w:pPr>
    </w:p>
    <w:p w14:paraId="408131F6" w14:textId="6050854D" w:rsidR="00FD5B64" w:rsidRDefault="00FD5B64" w:rsidP="00F900D7">
      <w:pPr>
        <w:spacing w:before="120" w:after="0" w:line="360" w:lineRule="auto"/>
        <w:jc w:val="both"/>
        <w:rPr>
          <w:rFonts w:cs="David"/>
          <w:sz w:val="24"/>
          <w:szCs w:val="24"/>
          <w:rtl/>
        </w:rPr>
      </w:pPr>
    </w:p>
    <w:p w14:paraId="0C16CB25" w14:textId="12207A2C" w:rsidR="00FD5B64" w:rsidRDefault="00FD5B64" w:rsidP="00F900D7">
      <w:pPr>
        <w:spacing w:before="120" w:after="0" w:line="360" w:lineRule="auto"/>
        <w:jc w:val="both"/>
        <w:rPr>
          <w:rFonts w:cs="David"/>
          <w:sz w:val="24"/>
          <w:szCs w:val="24"/>
          <w:rtl/>
        </w:rPr>
      </w:pPr>
    </w:p>
    <w:p w14:paraId="02FB9406" w14:textId="77777777" w:rsidR="00FD5B64" w:rsidRPr="00F25744" w:rsidRDefault="00FD5B64" w:rsidP="00F900D7">
      <w:pPr>
        <w:spacing w:before="120" w:after="0" w:line="360" w:lineRule="auto"/>
        <w:jc w:val="both"/>
        <w:rPr>
          <w:rFonts w:cs="David"/>
          <w:sz w:val="24"/>
          <w:szCs w:val="24"/>
          <w:rtl/>
        </w:rPr>
      </w:pPr>
    </w:p>
    <w:p w14:paraId="46B87ED6" w14:textId="1E42DDC7" w:rsidR="004B78A2" w:rsidRDefault="00E25AE7" w:rsidP="00A54D82">
      <w:pPr>
        <w:pStyle w:val="5"/>
        <w:ind w:left="1419" w:hanging="936"/>
        <w:rPr>
          <w:rtl/>
        </w:rPr>
      </w:pPr>
      <w:bookmarkStart w:id="389" w:name="_Toc46226056"/>
      <w:bookmarkStart w:id="390" w:name="_Toc46226200"/>
      <w:bookmarkStart w:id="391" w:name="_Toc46228367"/>
      <w:bookmarkStart w:id="392" w:name="_Toc46228465"/>
      <w:bookmarkStart w:id="393" w:name="_Toc46230392"/>
      <w:bookmarkStart w:id="394" w:name="_Toc46230490"/>
      <w:bookmarkStart w:id="395" w:name="_Toc46310380"/>
      <w:bookmarkStart w:id="396" w:name="_Toc46414022"/>
      <w:bookmarkStart w:id="397" w:name="_Toc74750986"/>
      <w:r w:rsidRPr="00F25744">
        <w:rPr>
          <w:rFonts w:hint="cs"/>
          <w:rtl/>
        </w:rPr>
        <w:lastRenderedPageBreak/>
        <w:t>זמני הטיפול בתיקים אזרחיים/מנהליים בערכאת המחוזי</w:t>
      </w:r>
      <w:bookmarkEnd w:id="389"/>
      <w:bookmarkEnd w:id="390"/>
      <w:bookmarkEnd w:id="391"/>
      <w:bookmarkEnd w:id="392"/>
      <w:bookmarkEnd w:id="393"/>
      <w:bookmarkEnd w:id="394"/>
      <w:bookmarkEnd w:id="395"/>
      <w:bookmarkEnd w:id="396"/>
      <w:bookmarkEnd w:id="397"/>
    </w:p>
    <w:p w14:paraId="624BBD67" w14:textId="2220DCFA" w:rsidR="00552432" w:rsidRPr="00F25744" w:rsidRDefault="00E25AE7" w:rsidP="00706796">
      <w:pPr>
        <w:pStyle w:val="af6"/>
        <w:rPr>
          <w:rFonts w:ascii="David" w:hAnsi="David"/>
          <w:sz w:val="24"/>
          <w:rtl/>
        </w:rPr>
      </w:pPr>
      <w:bookmarkStart w:id="398" w:name="_Toc76988901"/>
      <w:r w:rsidRPr="00F25744">
        <w:rPr>
          <w:rtl/>
        </w:rPr>
        <w:t xml:space="preserve">טבלה </w:t>
      </w:r>
      <w:r w:rsidRPr="00F25744">
        <w:rPr>
          <w:rFonts w:ascii="David" w:hAnsi="David"/>
          <w:sz w:val="24"/>
          <w:rtl/>
        </w:rPr>
        <w:fldChar w:fldCharType="begin"/>
      </w:r>
      <w:r w:rsidRPr="00F25744">
        <w:rPr>
          <w:rFonts w:ascii="David" w:hAnsi="David"/>
          <w:sz w:val="24"/>
          <w:rtl/>
        </w:rPr>
        <w:instrText xml:space="preserve"> </w:instrText>
      </w:r>
      <w:r w:rsidRPr="00F25744">
        <w:rPr>
          <w:rFonts w:ascii="David" w:hAnsi="David" w:hint="cs"/>
          <w:sz w:val="24"/>
        </w:rPr>
        <w:instrText>SEQ</w:instrText>
      </w:r>
      <w:r w:rsidRPr="00F25744">
        <w:rPr>
          <w:rFonts w:ascii="David" w:hAnsi="David" w:hint="cs"/>
          <w:sz w:val="24"/>
          <w:rtl/>
        </w:rPr>
        <w:instrText xml:space="preserve"> טבלה \* </w:instrText>
      </w:r>
      <w:r w:rsidRPr="00F25744">
        <w:rPr>
          <w:rFonts w:ascii="David" w:hAnsi="David" w:hint="cs"/>
          <w:sz w:val="24"/>
        </w:rPr>
        <w:instrText>ARABIC</w:instrText>
      </w:r>
      <w:r w:rsidRPr="00F25744">
        <w:rPr>
          <w:rFonts w:ascii="David" w:hAnsi="David"/>
          <w:sz w:val="24"/>
          <w:rtl/>
        </w:rPr>
        <w:instrText xml:space="preserve"> </w:instrText>
      </w:r>
      <w:r w:rsidRPr="00F25744">
        <w:rPr>
          <w:rFonts w:ascii="David" w:hAnsi="David"/>
          <w:sz w:val="24"/>
          <w:rtl/>
        </w:rPr>
        <w:fldChar w:fldCharType="separate"/>
      </w:r>
      <w:r w:rsidR="008F1BC3">
        <w:rPr>
          <w:rFonts w:ascii="David" w:hAnsi="David"/>
          <w:noProof/>
          <w:sz w:val="24"/>
          <w:rtl/>
        </w:rPr>
        <w:t>6</w:t>
      </w:r>
      <w:r w:rsidRPr="00F25744">
        <w:rPr>
          <w:rFonts w:ascii="David" w:hAnsi="David"/>
          <w:sz w:val="24"/>
          <w:rtl/>
        </w:rPr>
        <w:fldChar w:fldCharType="end"/>
      </w:r>
      <w:r w:rsidR="004B78A2" w:rsidRPr="00F25744">
        <w:rPr>
          <w:rFonts w:ascii="David" w:hAnsi="David" w:hint="cs"/>
          <w:sz w:val="24"/>
          <w:rtl/>
        </w:rPr>
        <w:t xml:space="preserve">: זמני הטיפול בתיקים </w:t>
      </w:r>
      <w:r w:rsidR="007F3A52" w:rsidRPr="00F25744">
        <w:rPr>
          <w:rFonts w:ascii="David" w:hAnsi="David" w:hint="cs"/>
          <w:sz w:val="24"/>
          <w:rtl/>
        </w:rPr>
        <w:t>אזרחי</w:t>
      </w:r>
      <w:r w:rsidR="004B78A2" w:rsidRPr="00F25744">
        <w:rPr>
          <w:rFonts w:ascii="David" w:hAnsi="David" w:hint="cs"/>
          <w:sz w:val="24"/>
          <w:rtl/>
        </w:rPr>
        <w:t>ים</w:t>
      </w:r>
      <w:r w:rsidR="007F3A52" w:rsidRPr="00F25744">
        <w:rPr>
          <w:rFonts w:ascii="David" w:hAnsi="David" w:hint="cs"/>
          <w:sz w:val="24"/>
          <w:rtl/>
        </w:rPr>
        <w:t>/ מנהלי</w:t>
      </w:r>
      <w:r w:rsidR="004B78A2" w:rsidRPr="00F25744">
        <w:rPr>
          <w:rFonts w:ascii="David" w:hAnsi="David" w:hint="cs"/>
          <w:sz w:val="24"/>
          <w:rtl/>
        </w:rPr>
        <w:t>ים בערכאת המחוזי</w:t>
      </w:r>
      <w:bookmarkEnd w:id="398"/>
    </w:p>
    <w:tbl>
      <w:tblPr>
        <w:tblpPr w:rightFromText="85" w:vertAnchor="text" w:tblpXSpec="right" w:tblpY="1"/>
        <w:bidiVisual/>
        <w:tblW w:w="9489" w:type="dxa"/>
        <w:tblLayout w:type="fixed"/>
        <w:tblLook w:val="04A0" w:firstRow="1" w:lastRow="0" w:firstColumn="1" w:lastColumn="0" w:noHBand="0" w:noVBand="1"/>
      </w:tblPr>
      <w:tblGrid>
        <w:gridCol w:w="848"/>
        <w:gridCol w:w="1275"/>
        <w:gridCol w:w="2263"/>
        <w:gridCol w:w="1276"/>
        <w:gridCol w:w="1418"/>
        <w:gridCol w:w="1559"/>
        <w:gridCol w:w="850"/>
      </w:tblGrid>
      <w:tr w:rsidR="00E0162E" w:rsidRPr="00731337" w14:paraId="0FF30373" w14:textId="77777777" w:rsidTr="008D6C28">
        <w:trPr>
          <w:trHeight w:val="522"/>
        </w:trPr>
        <w:tc>
          <w:tcPr>
            <w:tcW w:w="848" w:type="dxa"/>
            <w:tcBorders>
              <w:bottom w:val="single" w:sz="4" w:space="0" w:color="auto"/>
            </w:tcBorders>
            <w:shd w:val="clear" w:color="auto" w:fill="auto"/>
            <w:vAlign w:val="center"/>
            <w:hideMark/>
          </w:tcPr>
          <w:p w14:paraId="0EAE10D5" w14:textId="77777777" w:rsidR="000340C9" w:rsidRPr="00731337" w:rsidRDefault="00E25AE7" w:rsidP="00565297">
            <w:pPr>
              <w:spacing w:after="0" w:line="240" w:lineRule="auto"/>
              <w:jc w:val="center"/>
              <w:rPr>
                <w:rFonts w:ascii="David" w:eastAsia="Times New Roman" w:hAnsi="David" w:cs="David"/>
                <w:b/>
                <w:bCs/>
                <w:color w:val="000000"/>
              </w:rPr>
            </w:pPr>
            <w:r w:rsidRPr="00731337">
              <w:rPr>
                <w:rFonts w:ascii="David" w:eastAsia="Times New Roman" w:hAnsi="David" w:cs="David"/>
                <w:b/>
                <w:bCs/>
                <w:color w:val="000000"/>
                <w:rtl/>
              </w:rPr>
              <w:t>ערכאה</w:t>
            </w:r>
          </w:p>
        </w:tc>
        <w:tc>
          <w:tcPr>
            <w:tcW w:w="1275" w:type="dxa"/>
            <w:tcBorders>
              <w:bottom w:val="single" w:sz="4" w:space="0" w:color="auto"/>
            </w:tcBorders>
            <w:shd w:val="clear" w:color="auto" w:fill="auto"/>
            <w:vAlign w:val="center"/>
            <w:hideMark/>
          </w:tcPr>
          <w:p w14:paraId="46C86AE2" w14:textId="77777777" w:rsidR="000340C9" w:rsidRPr="00731337" w:rsidRDefault="00E25AE7" w:rsidP="00565297">
            <w:pPr>
              <w:spacing w:after="0" w:line="240" w:lineRule="auto"/>
              <w:jc w:val="center"/>
              <w:rPr>
                <w:rFonts w:ascii="David" w:eastAsia="Times New Roman" w:hAnsi="David" w:cs="David"/>
                <w:b/>
                <w:bCs/>
                <w:color w:val="000000"/>
                <w:rtl/>
              </w:rPr>
            </w:pPr>
            <w:r w:rsidRPr="00731337">
              <w:rPr>
                <w:rFonts w:ascii="David" w:eastAsia="Times New Roman" w:hAnsi="David" w:cs="David"/>
                <w:b/>
                <w:bCs/>
                <w:color w:val="000000"/>
                <w:rtl/>
              </w:rPr>
              <w:t>הליך</w:t>
            </w:r>
          </w:p>
        </w:tc>
        <w:tc>
          <w:tcPr>
            <w:tcW w:w="2263" w:type="dxa"/>
            <w:tcBorders>
              <w:bottom w:val="single" w:sz="4" w:space="0" w:color="auto"/>
            </w:tcBorders>
            <w:shd w:val="clear" w:color="auto" w:fill="auto"/>
            <w:vAlign w:val="center"/>
            <w:hideMark/>
          </w:tcPr>
          <w:p w14:paraId="11B94016" w14:textId="77777777" w:rsidR="000340C9" w:rsidRPr="00731337" w:rsidRDefault="00E25AE7" w:rsidP="00565297">
            <w:pPr>
              <w:spacing w:after="0" w:line="240" w:lineRule="auto"/>
              <w:rPr>
                <w:rFonts w:ascii="David" w:eastAsia="Times New Roman" w:hAnsi="David" w:cs="David"/>
                <w:b/>
                <w:bCs/>
                <w:color w:val="000000"/>
                <w:rtl/>
              </w:rPr>
            </w:pPr>
            <w:r w:rsidRPr="00731337">
              <w:rPr>
                <w:rFonts w:ascii="David" w:eastAsia="Times New Roman" w:hAnsi="David" w:cs="David"/>
                <w:b/>
                <w:bCs/>
                <w:color w:val="000000"/>
                <w:rtl/>
              </w:rPr>
              <w:t>סוג תיק</w:t>
            </w:r>
          </w:p>
        </w:tc>
        <w:tc>
          <w:tcPr>
            <w:tcW w:w="1276" w:type="dxa"/>
            <w:tcBorders>
              <w:bottom w:val="single" w:sz="4" w:space="0" w:color="auto"/>
            </w:tcBorders>
            <w:vAlign w:val="center"/>
          </w:tcPr>
          <w:p w14:paraId="0ADC599F" w14:textId="77777777" w:rsidR="000340C9" w:rsidRPr="00731337" w:rsidRDefault="00E25AE7" w:rsidP="00565297">
            <w:pPr>
              <w:spacing w:after="0" w:line="240" w:lineRule="auto"/>
              <w:jc w:val="center"/>
              <w:rPr>
                <w:rFonts w:ascii="David" w:eastAsia="Times New Roman" w:hAnsi="David" w:cs="David"/>
                <w:b/>
                <w:bCs/>
                <w:color w:val="000000"/>
                <w:rtl/>
              </w:rPr>
            </w:pPr>
            <w:r w:rsidRPr="00731337">
              <w:rPr>
                <w:rFonts w:ascii="David" w:eastAsia="Times New Roman" w:hAnsi="David" w:cs="David" w:hint="cs"/>
                <w:b/>
                <w:bCs/>
                <w:color w:val="000000"/>
                <w:rtl/>
              </w:rPr>
              <w:t>מספר תיקים שנסגרו ב-2019</w:t>
            </w:r>
          </w:p>
        </w:tc>
        <w:tc>
          <w:tcPr>
            <w:tcW w:w="1418" w:type="dxa"/>
            <w:tcBorders>
              <w:bottom w:val="single" w:sz="4" w:space="0" w:color="auto"/>
            </w:tcBorders>
            <w:shd w:val="clear" w:color="auto" w:fill="auto"/>
            <w:vAlign w:val="center"/>
            <w:hideMark/>
          </w:tcPr>
          <w:p w14:paraId="4266E322" w14:textId="77777777" w:rsidR="000340C9" w:rsidRPr="00731337" w:rsidRDefault="00E25AE7" w:rsidP="00565297">
            <w:pPr>
              <w:spacing w:after="0" w:line="240" w:lineRule="auto"/>
              <w:jc w:val="center"/>
              <w:rPr>
                <w:rFonts w:ascii="David" w:eastAsia="Times New Roman" w:hAnsi="David" w:cs="David"/>
                <w:b/>
                <w:bCs/>
                <w:color w:val="000000"/>
                <w:rtl/>
              </w:rPr>
            </w:pPr>
            <w:r w:rsidRPr="00731337">
              <w:rPr>
                <w:rFonts w:ascii="David" w:eastAsia="Times New Roman" w:hAnsi="David" w:cs="David"/>
                <w:b/>
                <w:bCs/>
                <w:color w:val="000000"/>
                <w:rtl/>
              </w:rPr>
              <w:t>הזמן השיפוטי הממוצע לט</w:t>
            </w:r>
            <w:r w:rsidRPr="00731337">
              <w:rPr>
                <w:rFonts w:ascii="David" w:eastAsia="Times New Roman" w:hAnsi="David" w:cs="David" w:hint="cs"/>
                <w:b/>
                <w:bCs/>
                <w:color w:val="000000"/>
                <w:rtl/>
              </w:rPr>
              <w:t>י</w:t>
            </w:r>
            <w:r w:rsidRPr="00731337">
              <w:rPr>
                <w:rFonts w:ascii="David" w:eastAsia="Times New Roman" w:hAnsi="David" w:cs="David"/>
                <w:b/>
                <w:bCs/>
                <w:color w:val="000000"/>
                <w:rtl/>
              </w:rPr>
              <w:t>פ</w:t>
            </w:r>
            <w:r w:rsidRPr="00731337">
              <w:rPr>
                <w:rFonts w:ascii="David" w:eastAsia="Times New Roman" w:hAnsi="David" w:cs="David" w:hint="cs"/>
                <w:b/>
                <w:bCs/>
                <w:color w:val="000000"/>
                <w:rtl/>
              </w:rPr>
              <w:t>ו</w:t>
            </w:r>
            <w:r w:rsidRPr="00731337">
              <w:rPr>
                <w:rFonts w:ascii="David" w:eastAsia="Times New Roman" w:hAnsi="David" w:cs="David"/>
                <w:b/>
                <w:bCs/>
                <w:color w:val="000000"/>
                <w:rtl/>
              </w:rPr>
              <w:t>ל בתיק</w:t>
            </w:r>
          </w:p>
        </w:tc>
        <w:tc>
          <w:tcPr>
            <w:tcW w:w="1559" w:type="dxa"/>
            <w:tcBorders>
              <w:bottom w:val="single" w:sz="4" w:space="0" w:color="auto"/>
            </w:tcBorders>
            <w:vAlign w:val="center"/>
          </w:tcPr>
          <w:p w14:paraId="002455F0" w14:textId="77777777" w:rsidR="000340C9" w:rsidRPr="00731337" w:rsidRDefault="00E25AE7" w:rsidP="00565297">
            <w:pPr>
              <w:spacing w:after="0" w:line="240" w:lineRule="auto"/>
              <w:jc w:val="center"/>
              <w:rPr>
                <w:rFonts w:ascii="David" w:eastAsia="Times New Roman" w:hAnsi="David" w:cs="David"/>
                <w:b/>
                <w:bCs/>
                <w:color w:val="000000"/>
                <w:rtl/>
              </w:rPr>
            </w:pPr>
            <w:r w:rsidRPr="00731337">
              <w:rPr>
                <w:rFonts w:ascii="David" w:eastAsia="Times New Roman" w:hAnsi="David" w:cs="David"/>
                <w:b/>
                <w:bCs/>
                <w:color w:val="000000"/>
                <w:rtl/>
              </w:rPr>
              <w:t xml:space="preserve">הזמן השיפוטי </w:t>
            </w:r>
            <w:r w:rsidRPr="00731337">
              <w:rPr>
                <w:rFonts w:ascii="David" w:eastAsia="Times New Roman" w:hAnsi="David" w:cs="David" w:hint="cs"/>
                <w:b/>
                <w:bCs/>
                <w:color w:val="000000"/>
                <w:rtl/>
              </w:rPr>
              <w:t xml:space="preserve">הממוצע </w:t>
            </w:r>
            <w:r w:rsidRPr="00731337">
              <w:rPr>
                <w:rFonts w:ascii="David" w:eastAsia="Times New Roman" w:hAnsi="David" w:cs="David"/>
                <w:b/>
                <w:bCs/>
                <w:color w:val="000000"/>
                <w:rtl/>
              </w:rPr>
              <w:t xml:space="preserve">לפי </w:t>
            </w:r>
            <w:r w:rsidRPr="00731337">
              <w:rPr>
                <w:rFonts w:ascii="David" w:eastAsia="Times New Roman" w:hAnsi="David" w:cs="David" w:hint="cs"/>
                <w:b/>
                <w:bCs/>
                <w:color w:val="000000"/>
                <w:rtl/>
              </w:rPr>
              <w:t>ה</w:t>
            </w:r>
            <w:r w:rsidRPr="00731337">
              <w:rPr>
                <w:rFonts w:ascii="David" w:eastAsia="Times New Roman" w:hAnsi="David" w:cs="David"/>
                <w:b/>
                <w:bCs/>
                <w:color w:val="000000"/>
                <w:rtl/>
              </w:rPr>
              <w:t>מחקר ה</w:t>
            </w:r>
            <w:r w:rsidRPr="00731337">
              <w:rPr>
                <w:rFonts w:ascii="David" w:eastAsia="Times New Roman" w:hAnsi="David" w:cs="David" w:hint="cs"/>
                <w:b/>
                <w:bCs/>
                <w:color w:val="000000"/>
                <w:rtl/>
              </w:rPr>
              <w:t>קודם</w:t>
            </w:r>
          </w:p>
        </w:tc>
        <w:tc>
          <w:tcPr>
            <w:tcW w:w="850" w:type="dxa"/>
            <w:tcBorders>
              <w:bottom w:val="single" w:sz="4" w:space="0" w:color="auto"/>
            </w:tcBorders>
            <w:vAlign w:val="center"/>
          </w:tcPr>
          <w:p w14:paraId="0D018FB6" w14:textId="77777777" w:rsidR="000340C9" w:rsidRPr="00731337" w:rsidRDefault="00E25AE7" w:rsidP="00565297">
            <w:pPr>
              <w:spacing w:after="0" w:line="240" w:lineRule="auto"/>
              <w:jc w:val="center"/>
              <w:rPr>
                <w:rFonts w:ascii="David" w:eastAsia="Times New Roman" w:hAnsi="David" w:cs="David"/>
                <w:b/>
                <w:bCs/>
                <w:color w:val="000000"/>
                <w:rtl/>
              </w:rPr>
            </w:pPr>
            <w:r w:rsidRPr="00731337">
              <w:rPr>
                <w:rFonts w:ascii="David" w:eastAsia="Times New Roman" w:hAnsi="David" w:cs="David"/>
                <w:b/>
                <w:bCs/>
                <w:color w:val="000000"/>
                <w:rtl/>
              </w:rPr>
              <w:t xml:space="preserve">מגמת </w:t>
            </w:r>
            <w:r w:rsidRPr="00731337">
              <w:rPr>
                <w:rFonts w:ascii="David" w:eastAsia="Times New Roman" w:hAnsi="David" w:cs="David" w:hint="cs"/>
                <w:b/>
                <w:bCs/>
                <w:color w:val="000000"/>
                <w:rtl/>
              </w:rPr>
              <w:t>ה</w:t>
            </w:r>
            <w:r w:rsidRPr="00731337">
              <w:rPr>
                <w:rFonts w:ascii="David" w:eastAsia="Times New Roman" w:hAnsi="David" w:cs="David"/>
                <w:b/>
                <w:bCs/>
                <w:color w:val="000000"/>
                <w:rtl/>
              </w:rPr>
              <w:t>שינוי</w:t>
            </w:r>
          </w:p>
        </w:tc>
      </w:tr>
      <w:tr w:rsidR="00E0162E" w:rsidRPr="00731337" w14:paraId="2B53505B" w14:textId="77777777" w:rsidTr="008D6C28">
        <w:trPr>
          <w:trHeight w:val="321"/>
        </w:trPr>
        <w:tc>
          <w:tcPr>
            <w:tcW w:w="848" w:type="dxa"/>
            <w:tcBorders>
              <w:top w:val="single" w:sz="4" w:space="0" w:color="auto"/>
              <w:bottom w:val="single" w:sz="4" w:space="0" w:color="auto"/>
            </w:tcBorders>
            <w:shd w:val="clear" w:color="auto" w:fill="D9D9D9"/>
            <w:noWrap/>
            <w:vAlign w:val="center"/>
          </w:tcPr>
          <w:p w14:paraId="78D81BD2" w14:textId="77777777" w:rsidR="000340C9" w:rsidRPr="00731337" w:rsidRDefault="00E25AE7" w:rsidP="00565297">
            <w:pPr>
              <w:spacing w:after="0" w:line="240" w:lineRule="auto"/>
              <w:rPr>
                <w:rFonts w:ascii="David" w:hAnsi="David" w:cs="David"/>
                <w:color w:val="000000"/>
              </w:rPr>
            </w:pPr>
            <w:r w:rsidRPr="00731337">
              <w:rPr>
                <w:rFonts w:ascii="David" w:hAnsi="David" w:cs="David"/>
                <w:color w:val="000000"/>
                <w:rtl/>
              </w:rPr>
              <w:t>מחוזי</w:t>
            </w:r>
          </w:p>
        </w:tc>
        <w:tc>
          <w:tcPr>
            <w:tcW w:w="1275" w:type="dxa"/>
            <w:tcBorders>
              <w:top w:val="single" w:sz="4" w:space="0" w:color="auto"/>
              <w:bottom w:val="single" w:sz="4" w:space="0" w:color="auto"/>
            </w:tcBorders>
            <w:shd w:val="clear" w:color="auto" w:fill="D9D9D9"/>
            <w:noWrap/>
            <w:vAlign w:val="center"/>
          </w:tcPr>
          <w:p w14:paraId="15B03C11" w14:textId="77777777" w:rsidR="000340C9" w:rsidRPr="00731337" w:rsidRDefault="00E25AE7" w:rsidP="00565297">
            <w:pPr>
              <w:spacing w:after="0" w:line="240" w:lineRule="auto"/>
              <w:rPr>
                <w:rFonts w:ascii="David" w:hAnsi="David" w:cs="David"/>
                <w:color w:val="000000"/>
              </w:rPr>
            </w:pPr>
            <w:r w:rsidRPr="00731337">
              <w:rPr>
                <w:rFonts w:ascii="David" w:hAnsi="David" w:cs="David"/>
                <w:color w:val="000000"/>
                <w:rtl/>
              </w:rPr>
              <w:t>אזרחי</w:t>
            </w:r>
          </w:p>
        </w:tc>
        <w:tc>
          <w:tcPr>
            <w:tcW w:w="2263" w:type="dxa"/>
            <w:tcBorders>
              <w:top w:val="single" w:sz="4" w:space="0" w:color="auto"/>
              <w:bottom w:val="single" w:sz="4" w:space="0" w:color="auto"/>
            </w:tcBorders>
            <w:shd w:val="clear" w:color="auto" w:fill="D9D9D9"/>
            <w:vAlign w:val="center"/>
          </w:tcPr>
          <w:p w14:paraId="24FD2248" w14:textId="77777777" w:rsidR="000340C9" w:rsidRPr="00731337" w:rsidRDefault="00E25AE7" w:rsidP="00565297">
            <w:pPr>
              <w:spacing w:after="0" w:line="240" w:lineRule="auto"/>
              <w:rPr>
                <w:rFonts w:ascii="David" w:hAnsi="David" w:cs="David"/>
                <w:color w:val="000000"/>
                <w:rtl/>
              </w:rPr>
            </w:pPr>
            <w:r w:rsidRPr="00731337">
              <w:rPr>
                <w:rFonts w:ascii="David" w:hAnsi="David" w:cs="David"/>
                <w:color w:val="000000"/>
                <w:rtl/>
              </w:rPr>
              <w:t>תביעה נגזרת (תנ"ג)</w:t>
            </w:r>
            <w:r w:rsidR="00B748A1" w:rsidRPr="00731337">
              <w:rPr>
                <w:rFonts w:ascii="David" w:hAnsi="David" w:cs="David" w:hint="cs"/>
                <w:color w:val="000000"/>
                <w:rtl/>
              </w:rPr>
              <w:t>**</w:t>
            </w:r>
          </w:p>
        </w:tc>
        <w:tc>
          <w:tcPr>
            <w:tcW w:w="1276" w:type="dxa"/>
            <w:tcBorders>
              <w:top w:val="single" w:sz="4" w:space="0" w:color="auto"/>
              <w:bottom w:val="single" w:sz="4" w:space="0" w:color="auto"/>
            </w:tcBorders>
            <w:shd w:val="clear" w:color="auto" w:fill="D9D9D9"/>
            <w:vAlign w:val="center"/>
          </w:tcPr>
          <w:p w14:paraId="1E18F049" w14:textId="77777777" w:rsidR="000340C9" w:rsidRPr="00731337" w:rsidRDefault="00E25AE7" w:rsidP="00565297">
            <w:pPr>
              <w:spacing w:after="0" w:line="240" w:lineRule="auto"/>
              <w:jc w:val="center"/>
              <w:rPr>
                <w:rFonts w:ascii="David" w:hAnsi="David" w:cs="David"/>
                <w:color w:val="000000"/>
              </w:rPr>
            </w:pPr>
            <w:r w:rsidRPr="00731337">
              <w:rPr>
                <w:rFonts w:ascii="David" w:hAnsi="David" w:cs="David" w:hint="cs"/>
                <w:color w:val="000000"/>
                <w:rtl/>
              </w:rPr>
              <w:t>48</w:t>
            </w:r>
          </w:p>
        </w:tc>
        <w:tc>
          <w:tcPr>
            <w:tcW w:w="1418" w:type="dxa"/>
            <w:tcBorders>
              <w:top w:val="single" w:sz="4" w:space="0" w:color="auto"/>
              <w:bottom w:val="single" w:sz="4" w:space="0" w:color="auto"/>
            </w:tcBorders>
            <w:shd w:val="clear" w:color="auto" w:fill="D9D9D9"/>
            <w:noWrap/>
            <w:vAlign w:val="center"/>
          </w:tcPr>
          <w:p w14:paraId="3DC6E8FA" w14:textId="77777777" w:rsidR="000340C9" w:rsidRPr="00731337" w:rsidRDefault="00063241" w:rsidP="00565297">
            <w:pPr>
              <w:spacing w:after="0" w:line="240" w:lineRule="auto"/>
              <w:jc w:val="center"/>
              <w:rPr>
                <w:rFonts w:asciiTheme="minorHAnsi" w:hAnsiTheme="minorHAnsi" w:cs="David"/>
                <w:b/>
                <w:bCs/>
                <w:color w:val="000000"/>
              </w:rPr>
            </w:pPr>
            <w:r w:rsidRPr="00731337">
              <w:rPr>
                <w:rFonts w:ascii="David" w:hAnsi="David" w:cs="David" w:hint="cs"/>
                <w:b/>
                <w:bCs/>
                <w:color w:val="000000"/>
                <w:rtl/>
              </w:rPr>
              <w:t>33:03</w:t>
            </w:r>
          </w:p>
        </w:tc>
        <w:tc>
          <w:tcPr>
            <w:tcW w:w="1559" w:type="dxa"/>
            <w:tcBorders>
              <w:top w:val="single" w:sz="4" w:space="0" w:color="auto"/>
              <w:bottom w:val="single" w:sz="4" w:space="0" w:color="auto"/>
            </w:tcBorders>
            <w:shd w:val="clear" w:color="auto" w:fill="D9D9D9"/>
            <w:vAlign w:val="center"/>
          </w:tcPr>
          <w:p w14:paraId="12E48B1A" w14:textId="77777777" w:rsidR="000340C9" w:rsidRPr="00731337" w:rsidRDefault="00E25AE7" w:rsidP="00565297">
            <w:pPr>
              <w:spacing w:after="0" w:line="240" w:lineRule="auto"/>
              <w:jc w:val="center"/>
              <w:rPr>
                <w:rFonts w:ascii="David" w:hAnsi="David" w:cs="David"/>
                <w:color w:val="000000"/>
              </w:rPr>
            </w:pPr>
            <w:r w:rsidRPr="00731337">
              <w:rPr>
                <w:rFonts w:ascii="David" w:hAnsi="David" w:cs="David"/>
                <w:color w:val="000000"/>
              </w:rPr>
              <w:t>6:40</w:t>
            </w:r>
          </w:p>
        </w:tc>
        <w:tc>
          <w:tcPr>
            <w:tcW w:w="850" w:type="dxa"/>
            <w:tcBorders>
              <w:top w:val="single" w:sz="4" w:space="0" w:color="auto"/>
              <w:bottom w:val="single" w:sz="4" w:space="0" w:color="auto"/>
            </w:tcBorders>
            <w:shd w:val="clear" w:color="auto" w:fill="D9D9D9"/>
            <w:vAlign w:val="center"/>
          </w:tcPr>
          <w:p w14:paraId="64B91479" w14:textId="77777777" w:rsidR="000340C9" w:rsidRPr="00731337" w:rsidRDefault="00E25AE7" w:rsidP="00565297">
            <w:pPr>
              <w:spacing w:after="0" w:line="240" w:lineRule="auto"/>
              <w:jc w:val="center"/>
              <w:rPr>
                <w:rFonts w:ascii="David" w:hAnsi="David" w:cs="David"/>
                <w:color w:val="000000"/>
                <w:rtl/>
              </w:rPr>
            </w:pPr>
            <w:r w:rsidRPr="00731337">
              <w:rPr>
                <w:rFonts w:ascii="David" w:hAnsi="David" w:cs="David"/>
                <w:color w:val="000000"/>
              </w:rPr>
              <w:t>+2</w:t>
            </w:r>
            <w:r w:rsidR="00EA7264" w:rsidRPr="00731337">
              <w:rPr>
                <w:rFonts w:ascii="David" w:hAnsi="David" w:cs="David"/>
                <w:color w:val="000000"/>
              </w:rPr>
              <w:t>6</w:t>
            </w:r>
            <w:r w:rsidRPr="00731337">
              <w:rPr>
                <w:rFonts w:ascii="David" w:hAnsi="David" w:cs="David"/>
                <w:color w:val="000000"/>
              </w:rPr>
              <w:t>:</w:t>
            </w:r>
            <w:r w:rsidR="00EA7264" w:rsidRPr="00731337">
              <w:rPr>
                <w:rFonts w:ascii="David" w:hAnsi="David" w:cs="David"/>
                <w:color w:val="000000"/>
              </w:rPr>
              <w:t>23</w:t>
            </w:r>
          </w:p>
        </w:tc>
      </w:tr>
      <w:tr w:rsidR="00063241" w:rsidRPr="00731337" w14:paraId="5558650B" w14:textId="77777777" w:rsidTr="008D6C28">
        <w:trPr>
          <w:trHeight w:val="300"/>
        </w:trPr>
        <w:tc>
          <w:tcPr>
            <w:tcW w:w="848" w:type="dxa"/>
            <w:tcBorders>
              <w:top w:val="single" w:sz="4" w:space="0" w:color="auto"/>
              <w:bottom w:val="single" w:sz="4" w:space="0" w:color="auto"/>
            </w:tcBorders>
            <w:shd w:val="clear" w:color="auto" w:fill="auto"/>
            <w:noWrap/>
            <w:vAlign w:val="center"/>
          </w:tcPr>
          <w:p w14:paraId="363E8A33" w14:textId="77777777" w:rsidR="00063241" w:rsidRPr="00731337" w:rsidRDefault="00063241" w:rsidP="00565297">
            <w:pPr>
              <w:spacing w:after="0" w:line="240" w:lineRule="auto"/>
              <w:rPr>
                <w:rFonts w:ascii="David" w:hAnsi="David" w:cs="David"/>
                <w:color w:val="000000"/>
              </w:rPr>
            </w:pPr>
            <w:r w:rsidRPr="00731337">
              <w:rPr>
                <w:rFonts w:ascii="David" w:hAnsi="David" w:cs="David"/>
                <w:color w:val="000000"/>
                <w:rtl/>
              </w:rPr>
              <w:t>מחוזי</w:t>
            </w:r>
          </w:p>
        </w:tc>
        <w:tc>
          <w:tcPr>
            <w:tcW w:w="1275" w:type="dxa"/>
            <w:tcBorders>
              <w:top w:val="single" w:sz="4" w:space="0" w:color="auto"/>
              <w:bottom w:val="single" w:sz="4" w:space="0" w:color="auto"/>
            </w:tcBorders>
            <w:shd w:val="clear" w:color="auto" w:fill="auto"/>
            <w:noWrap/>
            <w:vAlign w:val="center"/>
          </w:tcPr>
          <w:p w14:paraId="1848A9E3" w14:textId="77777777" w:rsidR="00063241" w:rsidRPr="00731337" w:rsidRDefault="00063241" w:rsidP="00565297">
            <w:pPr>
              <w:spacing w:after="0" w:line="240" w:lineRule="auto"/>
              <w:rPr>
                <w:rFonts w:ascii="David" w:hAnsi="David" w:cs="David"/>
                <w:color w:val="000000"/>
              </w:rPr>
            </w:pPr>
            <w:r w:rsidRPr="00731337">
              <w:rPr>
                <w:rFonts w:ascii="David" w:hAnsi="David" w:cs="David"/>
                <w:color w:val="000000"/>
                <w:rtl/>
              </w:rPr>
              <w:t>עניינים מנהליים/</w:t>
            </w:r>
            <w:r w:rsidRPr="00731337">
              <w:rPr>
                <w:rFonts w:ascii="David" w:hAnsi="David" w:cs="David" w:hint="cs"/>
                <w:color w:val="000000"/>
                <w:rtl/>
              </w:rPr>
              <w:t xml:space="preserve"> </w:t>
            </w:r>
            <w:r w:rsidRPr="00731337">
              <w:rPr>
                <w:rFonts w:ascii="David" w:hAnsi="David" w:cs="David"/>
                <w:color w:val="000000"/>
                <w:rtl/>
              </w:rPr>
              <w:t>אזרחי</w:t>
            </w:r>
          </w:p>
        </w:tc>
        <w:tc>
          <w:tcPr>
            <w:tcW w:w="2263" w:type="dxa"/>
            <w:tcBorders>
              <w:top w:val="single" w:sz="4" w:space="0" w:color="auto"/>
              <w:bottom w:val="single" w:sz="4" w:space="0" w:color="auto"/>
            </w:tcBorders>
            <w:shd w:val="clear" w:color="auto" w:fill="auto"/>
            <w:vAlign w:val="center"/>
          </w:tcPr>
          <w:p w14:paraId="36AA1766" w14:textId="77777777" w:rsidR="00063241" w:rsidRPr="00731337" w:rsidRDefault="00063241" w:rsidP="00565297">
            <w:pPr>
              <w:spacing w:after="0" w:line="240" w:lineRule="auto"/>
              <w:rPr>
                <w:rFonts w:ascii="David" w:hAnsi="David" w:cs="David"/>
                <w:color w:val="000000"/>
                <w:rtl/>
              </w:rPr>
            </w:pPr>
            <w:r w:rsidRPr="00731337">
              <w:rPr>
                <w:rFonts w:ascii="David" w:hAnsi="David" w:cs="David"/>
                <w:color w:val="000000"/>
                <w:rtl/>
              </w:rPr>
              <w:t>תובענה ייצוגית (ת"צ)</w:t>
            </w:r>
          </w:p>
        </w:tc>
        <w:tc>
          <w:tcPr>
            <w:tcW w:w="1276" w:type="dxa"/>
            <w:tcBorders>
              <w:top w:val="single" w:sz="4" w:space="0" w:color="auto"/>
              <w:bottom w:val="single" w:sz="4" w:space="0" w:color="auto"/>
            </w:tcBorders>
            <w:vAlign w:val="center"/>
          </w:tcPr>
          <w:p w14:paraId="365064CB" w14:textId="77777777" w:rsidR="00063241" w:rsidRPr="00731337" w:rsidRDefault="00063241" w:rsidP="00565297">
            <w:pPr>
              <w:spacing w:after="0" w:line="240" w:lineRule="auto"/>
              <w:jc w:val="center"/>
              <w:rPr>
                <w:rFonts w:ascii="David" w:hAnsi="David" w:cs="David"/>
                <w:color w:val="000000"/>
              </w:rPr>
            </w:pPr>
            <w:r w:rsidRPr="00731337">
              <w:rPr>
                <w:rFonts w:ascii="David" w:hAnsi="David" w:cs="David" w:hint="cs"/>
                <w:color w:val="000000"/>
                <w:rtl/>
              </w:rPr>
              <w:t>922</w:t>
            </w:r>
          </w:p>
        </w:tc>
        <w:tc>
          <w:tcPr>
            <w:tcW w:w="1418" w:type="dxa"/>
            <w:tcBorders>
              <w:top w:val="single" w:sz="4" w:space="0" w:color="auto"/>
              <w:bottom w:val="single" w:sz="4" w:space="0" w:color="auto"/>
            </w:tcBorders>
            <w:shd w:val="clear" w:color="auto" w:fill="auto"/>
            <w:noWrap/>
            <w:vAlign w:val="center"/>
          </w:tcPr>
          <w:p w14:paraId="45379730" w14:textId="77777777" w:rsidR="00063241" w:rsidRPr="00731337" w:rsidRDefault="00063241" w:rsidP="00565297">
            <w:pPr>
              <w:spacing w:after="0" w:line="240" w:lineRule="auto"/>
              <w:jc w:val="center"/>
              <w:rPr>
                <w:rFonts w:ascii="David" w:hAnsi="David" w:cs="David"/>
                <w:b/>
                <w:bCs/>
                <w:color w:val="000000"/>
              </w:rPr>
            </w:pPr>
            <w:r w:rsidRPr="00731337">
              <w:rPr>
                <w:rFonts w:ascii="David" w:hAnsi="David" w:cs="David"/>
                <w:b/>
                <w:bCs/>
                <w:color w:val="000000"/>
              </w:rPr>
              <w:t>24:58</w:t>
            </w:r>
          </w:p>
        </w:tc>
        <w:tc>
          <w:tcPr>
            <w:tcW w:w="1559" w:type="dxa"/>
            <w:tcBorders>
              <w:top w:val="single" w:sz="4" w:space="0" w:color="auto"/>
              <w:bottom w:val="single" w:sz="4" w:space="0" w:color="auto"/>
            </w:tcBorders>
            <w:vAlign w:val="center"/>
          </w:tcPr>
          <w:p w14:paraId="00AFE54F" w14:textId="77777777" w:rsidR="00063241" w:rsidRPr="00731337" w:rsidRDefault="00063241" w:rsidP="00565297">
            <w:pPr>
              <w:spacing w:after="0" w:line="240" w:lineRule="auto"/>
              <w:jc w:val="center"/>
              <w:rPr>
                <w:rFonts w:ascii="David" w:hAnsi="David" w:cs="David"/>
                <w:color w:val="000000"/>
              </w:rPr>
            </w:pPr>
            <w:r w:rsidRPr="00731337">
              <w:rPr>
                <w:rFonts w:ascii="David" w:hAnsi="David" w:cs="David"/>
                <w:color w:val="000000"/>
              </w:rPr>
              <w:t>24:36</w:t>
            </w:r>
          </w:p>
        </w:tc>
        <w:tc>
          <w:tcPr>
            <w:tcW w:w="850" w:type="dxa"/>
            <w:tcBorders>
              <w:top w:val="single" w:sz="4" w:space="0" w:color="auto"/>
              <w:bottom w:val="single" w:sz="4" w:space="0" w:color="auto"/>
            </w:tcBorders>
            <w:vAlign w:val="center"/>
          </w:tcPr>
          <w:p w14:paraId="76FCA525" w14:textId="77777777" w:rsidR="00063241" w:rsidRPr="00731337" w:rsidRDefault="00063241" w:rsidP="00565297">
            <w:pPr>
              <w:spacing w:after="0" w:line="240" w:lineRule="auto"/>
              <w:jc w:val="center"/>
              <w:rPr>
                <w:rFonts w:ascii="David" w:hAnsi="David" w:cs="David"/>
                <w:color w:val="000000"/>
              </w:rPr>
            </w:pPr>
            <w:r w:rsidRPr="00731337">
              <w:rPr>
                <w:rFonts w:ascii="David" w:hAnsi="David" w:cs="David" w:hint="cs"/>
                <w:color w:val="000000"/>
                <w:rtl/>
              </w:rPr>
              <w:t>0:22+</w:t>
            </w:r>
          </w:p>
        </w:tc>
      </w:tr>
      <w:tr w:rsidR="00063241" w:rsidRPr="00731337" w14:paraId="4158A409" w14:textId="77777777" w:rsidTr="008D6C28">
        <w:trPr>
          <w:trHeight w:val="574"/>
        </w:trPr>
        <w:tc>
          <w:tcPr>
            <w:tcW w:w="848" w:type="dxa"/>
            <w:tcBorders>
              <w:top w:val="single" w:sz="4" w:space="0" w:color="auto"/>
              <w:bottom w:val="single" w:sz="4" w:space="0" w:color="auto"/>
            </w:tcBorders>
            <w:shd w:val="clear" w:color="auto" w:fill="D9D9D9"/>
            <w:noWrap/>
            <w:vAlign w:val="center"/>
          </w:tcPr>
          <w:p w14:paraId="3B292BE4" w14:textId="77777777" w:rsidR="00063241" w:rsidRPr="00731337" w:rsidRDefault="00063241" w:rsidP="00565297">
            <w:pPr>
              <w:spacing w:after="0" w:line="240" w:lineRule="auto"/>
              <w:rPr>
                <w:rFonts w:ascii="David" w:hAnsi="David" w:cs="David"/>
                <w:color w:val="000000"/>
              </w:rPr>
            </w:pPr>
            <w:r w:rsidRPr="00731337">
              <w:rPr>
                <w:rFonts w:ascii="David" w:hAnsi="David" w:cs="David"/>
                <w:color w:val="000000"/>
                <w:rtl/>
              </w:rPr>
              <w:t>מחוזי</w:t>
            </w:r>
          </w:p>
        </w:tc>
        <w:tc>
          <w:tcPr>
            <w:tcW w:w="1275" w:type="dxa"/>
            <w:tcBorders>
              <w:top w:val="single" w:sz="4" w:space="0" w:color="auto"/>
              <w:bottom w:val="single" w:sz="4" w:space="0" w:color="auto"/>
            </w:tcBorders>
            <w:shd w:val="clear" w:color="auto" w:fill="D9D9D9"/>
            <w:noWrap/>
            <w:vAlign w:val="center"/>
          </w:tcPr>
          <w:p w14:paraId="35859BF3" w14:textId="77777777" w:rsidR="00063241" w:rsidRPr="00731337" w:rsidRDefault="00063241" w:rsidP="00565297">
            <w:pPr>
              <w:spacing w:after="0" w:line="240" w:lineRule="auto"/>
              <w:rPr>
                <w:rFonts w:ascii="David" w:hAnsi="David" w:cs="David"/>
                <w:color w:val="000000"/>
              </w:rPr>
            </w:pPr>
            <w:r w:rsidRPr="00731337">
              <w:rPr>
                <w:rFonts w:ascii="David" w:hAnsi="David" w:cs="David"/>
                <w:color w:val="000000"/>
                <w:rtl/>
              </w:rPr>
              <w:t>אזרחי</w:t>
            </w:r>
          </w:p>
        </w:tc>
        <w:tc>
          <w:tcPr>
            <w:tcW w:w="2263" w:type="dxa"/>
            <w:tcBorders>
              <w:top w:val="single" w:sz="4" w:space="0" w:color="auto"/>
              <w:bottom w:val="single" w:sz="4" w:space="0" w:color="auto"/>
            </w:tcBorders>
            <w:shd w:val="clear" w:color="auto" w:fill="D9D9D9"/>
            <w:vAlign w:val="center"/>
          </w:tcPr>
          <w:p w14:paraId="61BC961D" w14:textId="77777777" w:rsidR="00063241" w:rsidRPr="00731337" w:rsidRDefault="00063241" w:rsidP="00565297">
            <w:pPr>
              <w:spacing w:after="0" w:line="240" w:lineRule="auto"/>
              <w:rPr>
                <w:rFonts w:ascii="David" w:hAnsi="David" w:cs="David"/>
                <w:color w:val="000000"/>
                <w:rtl/>
              </w:rPr>
            </w:pPr>
            <w:r w:rsidRPr="00731337">
              <w:rPr>
                <w:rFonts w:ascii="David" w:hAnsi="David" w:cs="David"/>
                <w:color w:val="000000"/>
                <w:rtl/>
              </w:rPr>
              <w:t>תיק אזרחי בסדר דין רגיל (ת"א) –</w:t>
            </w:r>
            <w:r w:rsidRPr="00731337">
              <w:rPr>
                <w:rFonts w:ascii="David" w:hAnsi="David" w:cs="David" w:hint="cs"/>
                <w:b/>
                <w:bCs/>
                <w:color w:val="000000"/>
                <w:rtl/>
              </w:rPr>
              <w:t>משוקלל</w:t>
            </w:r>
          </w:p>
        </w:tc>
        <w:tc>
          <w:tcPr>
            <w:tcW w:w="1276" w:type="dxa"/>
            <w:tcBorders>
              <w:top w:val="single" w:sz="4" w:space="0" w:color="auto"/>
              <w:bottom w:val="single" w:sz="4" w:space="0" w:color="auto"/>
            </w:tcBorders>
            <w:shd w:val="clear" w:color="auto" w:fill="D9D9D9"/>
            <w:vAlign w:val="center"/>
          </w:tcPr>
          <w:p w14:paraId="1AD7B266" w14:textId="77777777" w:rsidR="00063241" w:rsidRPr="00731337" w:rsidRDefault="00063241" w:rsidP="00565297">
            <w:pPr>
              <w:spacing w:after="0" w:line="240" w:lineRule="auto"/>
              <w:jc w:val="center"/>
              <w:rPr>
                <w:rFonts w:ascii="David" w:hAnsi="David" w:cs="David"/>
                <w:color w:val="000000"/>
                <w:rtl/>
              </w:rPr>
            </w:pPr>
            <w:r w:rsidRPr="00731337">
              <w:rPr>
                <w:rFonts w:ascii="David" w:hAnsi="David" w:cs="David" w:hint="cs"/>
                <w:color w:val="000000"/>
                <w:rtl/>
              </w:rPr>
              <w:t>4,881</w:t>
            </w:r>
          </w:p>
        </w:tc>
        <w:tc>
          <w:tcPr>
            <w:tcW w:w="1418" w:type="dxa"/>
            <w:tcBorders>
              <w:top w:val="single" w:sz="4" w:space="0" w:color="auto"/>
              <w:bottom w:val="single" w:sz="4" w:space="0" w:color="auto"/>
            </w:tcBorders>
            <w:shd w:val="clear" w:color="auto" w:fill="D9D9D9"/>
            <w:noWrap/>
            <w:vAlign w:val="center"/>
          </w:tcPr>
          <w:p w14:paraId="5FE3C10E" w14:textId="77777777" w:rsidR="00063241" w:rsidRPr="00731337" w:rsidRDefault="00063241" w:rsidP="00565297">
            <w:pPr>
              <w:spacing w:after="0" w:line="240" w:lineRule="auto"/>
              <w:jc w:val="center"/>
              <w:rPr>
                <w:rFonts w:ascii="David" w:hAnsi="David" w:cs="David"/>
                <w:b/>
                <w:bCs/>
                <w:color w:val="000000"/>
                <w:rtl/>
              </w:rPr>
            </w:pPr>
            <w:r w:rsidRPr="00731337">
              <w:rPr>
                <w:rFonts w:ascii="David" w:hAnsi="David" w:cs="David" w:hint="cs"/>
                <w:b/>
                <w:bCs/>
                <w:color w:val="000000"/>
                <w:rtl/>
              </w:rPr>
              <w:t>21:21</w:t>
            </w:r>
          </w:p>
        </w:tc>
        <w:tc>
          <w:tcPr>
            <w:tcW w:w="1559" w:type="dxa"/>
            <w:tcBorders>
              <w:top w:val="single" w:sz="4" w:space="0" w:color="auto"/>
              <w:bottom w:val="single" w:sz="4" w:space="0" w:color="auto"/>
            </w:tcBorders>
            <w:shd w:val="clear" w:color="auto" w:fill="D9D9D9"/>
            <w:vAlign w:val="center"/>
          </w:tcPr>
          <w:p w14:paraId="3F72134C" w14:textId="77777777" w:rsidR="00063241" w:rsidRPr="00731337" w:rsidRDefault="00063241" w:rsidP="00565297">
            <w:pPr>
              <w:spacing w:after="0" w:line="240" w:lineRule="auto"/>
              <w:jc w:val="center"/>
              <w:rPr>
                <w:rFonts w:ascii="David" w:hAnsi="David" w:cs="David"/>
                <w:color w:val="000000"/>
              </w:rPr>
            </w:pPr>
            <w:r w:rsidRPr="00731337">
              <w:rPr>
                <w:rFonts w:ascii="David" w:hAnsi="David" w:cs="David" w:hint="cs"/>
                <w:color w:val="000000"/>
                <w:rtl/>
              </w:rPr>
              <w:t>21:28</w:t>
            </w:r>
          </w:p>
        </w:tc>
        <w:tc>
          <w:tcPr>
            <w:tcW w:w="850" w:type="dxa"/>
            <w:tcBorders>
              <w:top w:val="single" w:sz="4" w:space="0" w:color="auto"/>
              <w:bottom w:val="single" w:sz="4" w:space="0" w:color="auto"/>
            </w:tcBorders>
            <w:shd w:val="clear" w:color="auto" w:fill="D9D9D9"/>
            <w:vAlign w:val="center"/>
          </w:tcPr>
          <w:p w14:paraId="165B22F4" w14:textId="77777777" w:rsidR="00063241" w:rsidRPr="00731337" w:rsidRDefault="00063241" w:rsidP="00565297">
            <w:pPr>
              <w:spacing w:after="0" w:line="240" w:lineRule="auto"/>
              <w:jc w:val="center"/>
              <w:rPr>
                <w:rFonts w:ascii="David" w:hAnsi="David" w:cs="David"/>
                <w:color w:val="000000"/>
              </w:rPr>
            </w:pPr>
            <w:r w:rsidRPr="00731337">
              <w:rPr>
                <w:rFonts w:ascii="David" w:hAnsi="David" w:cs="David" w:hint="cs"/>
                <w:color w:val="000000"/>
                <w:rtl/>
              </w:rPr>
              <w:t>0:07</w:t>
            </w:r>
            <w:r w:rsidRPr="00731337">
              <w:rPr>
                <w:rFonts w:ascii="David" w:hAnsi="David" w:cs="David"/>
                <w:color w:val="000000"/>
              </w:rPr>
              <w:t>-</w:t>
            </w:r>
          </w:p>
        </w:tc>
      </w:tr>
      <w:tr w:rsidR="00063241" w:rsidRPr="00731337" w14:paraId="1BDCC769" w14:textId="77777777" w:rsidTr="008D6C28">
        <w:trPr>
          <w:trHeight w:val="630"/>
        </w:trPr>
        <w:tc>
          <w:tcPr>
            <w:tcW w:w="848" w:type="dxa"/>
            <w:tcBorders>
              <w:top w:val="single" w:sz="4" w:space="0" w:color="auto"/>
              <w:bottom w:val="single" w:sz="4" w:space="0" w:color="auto"/>
            </w:tcBorders>
            <w:shd w:val="clear" w:color="auto" w:fill="auto"/>
            <w:noWrap/>
            <w:vAlign w:val="center"/>
          </w:tcPr>
          <w:p w14:paraId="0099CC5C" w14:textId="77777777" w:rsidR="00063241" w:rsidRPr="00731337" w:rsidRDefault="00063241" w:rsidP="00565297">
            <w:pPr>
              <w:spacing w:after="0" w:line="240" w:lineRule="auto"/>
              <w:rPr>
                <w:rFonts w:ascii="David" w:hAnsi="David" w:cs="David"/>
                <w:color w:val="000000"/>
              </w:rPr>
            </w:pPr>
            <w:r w:rsidRPr="00731337">
              <w:rPr>
                <w:rFonts w:ascii="David" w:hAnsi="David" w:cs="David"/>
                <w:color w:val="000000"/>
                <w:rtl/>
              </w:rPr>
              <w:t>מחוזי</w:t>
            </w:r>
          </w:p>
        </w:tc>
        <w:tc>
          <w:tcPr>
            <w:tcW w:w="1275" w:type="dxa"/>
            <w:tcBorders>
              <w:top w:val="single" w:sz="4" w:space="0" w:color="auto"/>
              <w:bottom w:val="single" w:sz="4" w:space="0" w:color="auto"/>
            </w:tcBorders>
            <w:shd w:val="clear" w:color="auto" w:fill="auto"/>
            <w:noWrap/>
            <w:vAlign w:val="center"/>
          </w:tcPr>
          <w:p w14:paraId="274185CB" w14:textId="77777777" w:rsidR="00063241" w:rsidRPr="00731337" w:rsidRDefault="00063241" w:rsidP="00565297">
            <w:pPr>
              <w:spacing w:after="0" w:line="240" w:lineRule="auto"/>
              <w:rPr>
                <w:rFonts w:ascii="David" w:hAnsi="David" w:cs="David"/>
                <w:color w:val="000000"/>
              </w:rPr>
            </w:pPr>
            <w:r w:rsidRPr="00731337">
              <w:rPr>
                <w:rFonts w:ascii="David" w:hAnsi="David" w:cs="David"/>
                <w:color w:val="000000"/>
                <w:rtl/>
              </w:rPr>
              <w:t>ערעור אזרחי</w:t>
            </w:r>
          </w:p>
        </w:tc>
        <w:tc>
          <w:tcPr>
            <w:tcW w:w="2263" w:type="dxa"/>
            <w:tcBorders>
              <w:top w:val="single" w:sz="4" w:space="0" w:color="auto"/>
              <w:bottom w:val="single" w:sz="4" w:space="0" w:color="auto"/>
            </w:tcBorders>
            <w:shd w:val="clear" w:color="auto" w:fill="auto"/>
            <w:vAlign w:val="center"/>
          </w:tcPr>
          <w:p w14:paraId="17B68235" w14:textId="77777777" w:rsidR="00063241" w:rsidRPr="00731337" w:rsidRDefault="00063241" w:rsidP="00565297">
            <w:pPr>
              <w:spacing w:after="0" w:line="240" w:lineRule="auto"/>
              <w:rPr>
                <w:rFonts w:ascii="David" w:hAnsi="David" w:cs="David"/>
                <w:color w:val="000000"/>
                <w:rtl/>
              </w:rPr>
            </w:pPr>
            <w:r w:rsidRPr="00731337">
              <w:rPr>
                <w:rFonts w:ascii="David" w:hAnsi="David" w:cs="David"/>
                <w:color w:val="000000"/>
                <w:rtl/>
              </w:rPr>
              <w:t>ערעור אזרחי (ע"א) – הרכב</w:t>
            </w:r>
          </w:p>
        </w:tc>
        <w:tc>
          <w:tcPr>
            <w:tcW w:w="1276" w:type="dxa"/>
            <w:tcBorders>
              <w:top w:val="single" w:sz="4" w:space="0" w:color="auto"/>
              <w:bottom w:val="single" w:sz="4" w:space="0" w:color="auto"/>
            </w:tcBorders>
            <w:vAlign w:val="center"/>
          </w:tcPr>
          <w:p w14:paraId="4FADF8D7" w14:textId="77777777" w:rsidR="00063241" w:rsidRPr="00731337" w:rsidRDefault="00063241" w:rsidP="00565297">
            <w:pPr>
              <w:spacing w:after="0" w:line="240" w:lineRule="auto"/>
              <w:jc w:val="center"/>
              <w:rPr>
                <w:rFonts w:ascii="David" w:hAnsi="David" w:cs="David"/>
                <w:color w:val="000000"/>
              </w:rPr>
            </w:pPr>
            <w:r w:rsidRPr="00731337">
              <w:rPr>
                <w:rFonts w:ascii="David" w:hAnsi="David" w:cs="David" w:hint="cs"/>
                <w:color w:val="000000"/>
                <w:rtl/>
              </w:rPr>
              <w:t>1,286</w:t>
            </w:r>
          </w:p>
        </w:tc>
        <w:tc>
          <w:tcPr>
            <w:tcW w:w="1418" w:type="dxa"/>
            <w:tcBorders>
              <w:top w:val="single" w:sz="4" w:space="0" w:color="auto"/>
              <w:bottom w:val="single" w:sz="4" w:space="0" w:color="auto"/>
            </w:tcBorders>
            <w:shd w:val="clear" w:color="auto" w:fill="auto"/>
            <w:noWrap/>
            <w:vAlign w:val="center"/>
          </w:tcPr>
          <w:p w14:paraId="60304089" w14:textId="77777777" w:rsidR="00063241" w:rsidRPr="00731337" w:rsidRDefault="00063241" w:rsidP="00565297">
            <w:pPr>
              <w:spacing w:after="0" w:line="240" w:lineRule="auto"/>
              <w:jc w:val="center"/>
              <w:rPr>
                <w:rFonts w:ascii="David" w:hAnsi="David" w:cs="David"/>
                <w:b/>
                <w:bCs/>
                <w:color w:val="000000"/>
                <w:rtl/>
              </w:rPr>
            </w:pPr>
            <w:r w:rsidRPr="00731337">
              <w:rPr>
                <w:rFonts w:ascii="David" w:hAnsi="David" w:cs="David" w:hint="cs"/>
                <w:b/>
                <w:bCs/>
                <w:color w:val="000000"/>
                <w:rtl/>
              </w:rPr>
              <w:t>10:53</w:t>
            </w:r>
          </w:p>
        </w:tc>
        <w:tc>
          <w:tcPr>
            <w:tcW w:w="1559" w:type="dxa"/>
            <w:tcBorders>
              <w:top w:val="single" w:sz="4" w:space="0" w:color="auto"/>
              <w:bottom w:val="single" w:sz="4" w:space="0" w:color="auto"/>
            </w:tcBorders>
            <w:vAlign w:val="center"/>
          </w:tcPr>
          <w:p w14:paraId="3628A3A2" w14:textId="77777777" w:rsidR="00063241" w:rsidRPr="00731337" w:rsidRDefault="00063241" w:rsidP="00565297">
            <w:pPr>
              <w:spacing w:after="0" w:line="240" w:lineRule="auto"/>
              <w:jc w:val="center"/>
              <w:rPr>
                <w:rFonts w:ascii="David" w:hAnsi="David" w:cs="David"/>
                <w:color w:val="000000"/>
              </w:rPr>
            </w:pPr>
            <w:r w:rsidRPr="00731337">
              <w:rPr>
                <w:rFonts w:ascii="David" w:hAnsi="David" w:cs="David" w:hint="cs"/>
                <w:color w:val="000000"/>
                <w:rtl/>
              </w:rPr>
              <w:t>-</w:t>
            </w:r>
          </w:p>
        </w:tc>
        <w:tc>
          <w:tcPr>
            <w:tcW w:w="850" w:type="dxa"/>
            <w:tcBorders>
              <w:top w:val="single" w:sz="4" w:space="0" w:color="auto"/>
              <w:bottom w:val="single" w:sz="4" w:space="0" w:color="auto"/>
            </w:tcBorders>
            <w:vAlign w:val="center"/>
          </w:tcPr>
          <w:p w14:paraId="501A4BDA" w14:textId="77777777" w:rsidR="00063241" w:rsidRPr="00731337" w:rsidRDefault="00063241" w:rsidP="00565297">
            <w:pPr>
              <w:spacing w:after="0" w:line="240" w:lineRule="auto"/>
              <w:jc w:val="center"/>
              <w:rPr>
                <w:rFonts w:ascii="David" w:hAnsi="David" w:cs="David"/>
                <w:color w:val="000000"/>
                <w:rtl/>
              </w:rPr>
            </w:pPr>
            <w:r w:rsidRPr="00731337">
              <w:rPr>
                <w:rFonts w:ascii="David" w:hAnsi="David" w:cs="David" w:hint="cs"/>
                <w:color w:val="000000"/>
                <w:rtl/>
              </w:rPr>
              <w:t>-</w:t>
            </w:r>
          </w:p>
        </w:tc>
      </w:tr>
      <w:tr w:rsidR="00063241" w:rsidRPr="00731337" w14:paraId="57243147" w14:textId="77777777" w:rsidTr="008D6C28">
        <w:trPr>
          <w:trHeight w:val="300"/>
        </w:trPr>
        <w:tc>
          <w:tcPr>
            <w:tcW w:w="848" w:type="dxa"/>
            <w:tcBorders>
              <w:top w:val="single" w:sz="4" w:space="0" w:color="auto"/>
              <w:bottom w:val="single" w:sz="4" w:space="0" w:color="auto"/>
            </w:tcBorders>
            <w:shd w:val="clear" w:color="auto" w:fill="D9D9D9"/>
            <w:noWrap/>
            <w:vAlign w:val="center"/>
          </w:tcPr>
          <w:p w14:paraId="7FDAB91E" w14:textId="77777777" w:rsidR="00063241" w:rsidRPr="00731337" w:rsidRDefault="00063241" w:rsidP="00565297">
            <w:pPr>
              <w:spacing w:after="0" w:line="240" w:lineRule="auto"/>
              <w:rPr>
                <w:rFonts w:ascii="David" w:hAnsi="David" w:cs="David"/>
                <w:color w:val="000000"/>
              </w:rPr>
            </w:pPr>
            <w:r w:rsidRPr="00731337">
              <w:rPr>
                <w:rFonts w:ascii="David" w:hAnsi="David" w:cs="David"/>
                <w:color w:val="000000"/>
                <w:rtl/>
              </w:rPr>
              <w:t>מחוזי</w:t>
            </w:r>
          </w:p>
        </w:tc>
        <w:tc>
          <w:tcPr>
            <w:tcW w:w="1275" w:type="dxa"/>
            <w:tcBorders>
              <w:top w:val="single" w:sz="4" w:space="0" w:color="auto"/>
              <w:bottom w:val="single" w:sz="4" w:space="0" w:color="auto"/>
            </w:tcBorders>
            <w:shd w:val="clear" w:color="auto" w:fill="D9D9D9"/>
            <w:noWrap/>
            <w:vAlign w:val="center"/>
          </w:tcPr>
          <w:p w14:paraId="04FCBA06" w14:textId="77777777" w:rsidR="00063241" w:rsidRPr="00731337" w:rsidRDefault="00063241" w:rsidP="00565297">
            <w:pPr>
              <w:spacing w:after="0" w:line="240" w:lineRule="auto"/>
              <w:rPr>
                <w:rFonts w:ascii="David" w:hAnsi="David" w:cs="David"/>
                <w:color w:val="000000"/>
              </w:rPr>
            </w:pPr>
            <w:r w:rsidRPr="00731337">
              <w:rPr>
                <w:rFonts w:ascii="David" w:hAnsi="David" w:cs="David"/>
                <w:color w:val="000000"/>
                <w:rtl/>
              </w:rPr>
              <w:t>ערעור אזרחי</w:t>
            </w:r>
          </w:p>
        </w:tc>
        <w:tc>
          <w:tcPr>
            <w:tcW w:w="2263" w:type="dxa"/>
            <w:tcBorders>
              <w:top w:val="single" w:sz="4" w:space="0" w:color="auto"/>
              <w:bottom w:val="single" w:sz="4" w:space="0" w:color="auto"/>
            </w:tcBorders>
            <w:shd w:val="clear" w:color="auto" w:fill="D9D9D9"/>
            <w:vAlign w:val="center"/>
          </w:tcPr>
          <w:p w14:paraId="6E79310C" w14:textId="77777777" w:rsidR="00063241" w:rsidRPr="00731337" w:rsidRDefault="00063241" w:rsidP="00565297">
            <w:pPr>
              <w:spacing w:after="0" w:line="240" w:lineRule="auto"/>
              <w:rPr>
                <w:rFonts w:ascii="David" w:hAnsi="David" w:cs="David"/>
                <w:color w:val="000000"/>
                <w:rtl/>
              </w:rPr>
            </w:pPr>
            <w:r w:rsidRPr="00731337">
              <w:rPr>
                <w:rFonts w:ascii="David" w:hAnsi="David" w:cs="David"/>
                <w:color w:val="000000"/>
                <w:rtl/>
              </w:rPr>
              <w:t>ערעור משפחה (עמ"ש) – הרכב</w:t>
            </w:r>
          </w:p>
        </w:tc>
        <w:tc>
          <w:tcPr>
            <w:tcW w:w="1276" w:type="dxa"/>
            <w:tcBorders>
              <w:top w:val="single" w:sz="4" w:space="0" w:color="auto"/>
              <w:bottom w:val="single" w:sz="4" w:space="0" w:color="auto"/>
            </w:tcBorders>
            <w:shd w:val="clear" w:color="auto" w:fill="D9D9D9"/>
            <w:vAlign w:val="center"/>
          </w:tcPr>
          <w:p w14:paraId="3A5B9464" w14:textId="77777777" w:rsidR="00063241" w:rsidRPr="00731337" w:rsidRDefault="00063241" w:rsidP="00565297">
            <w:pPr>
              <w:spacing w:after="0" w:line="240" w:lineRule="auto"/>
              <w:jc w:val="center"/>
              <w:rPr>
                <w:rFonts w:ascii="David" w:hAnsi="David" w:cs="David"/>
                <w:color w:val="000000"/>
              </w:rPr>
            </w:pPr>
            <w:r w:rsidRPr="00731337">
              <w:rPr>
                <w:rFonts w:ascii="David" w:hAnsi="David" w:cs="David" w:hint="cs"/>
                <w:color w:val="000000"/>
                <w:rtl/>
              </w:rPr>
              <w:t>1,120</w:t>
            </w:r>
          </w:p>
        </w:tc>
        <w:tc>
          <w:tcPr>
            <w:tcW w:w="1418" w:type="dxa"/>
            <w:tcBorders>
              <w:top w:val="single" w:sz="4" w:space="0" w:color="auto"/>
              <w:bottom w:val="single" w:sz="4" w:space="0" w:color="auto"/>
            </w:tcBorders>
            <w:shd w:val="clear" w:color="auto" w:fill="D9D9D9"/>
            <w:noWrap/>
            <w:vAlign w:val="center"/>
          </w:tcPr>
          <w:p w14:paraId="6658A40E" w14:textId="77777777" w:rsidR="00063241" w:rsidRPr="00731337" w:rsidRDefault="00063241" w:rsidP="00565297">
            <w:pPr>
              <w:spacing w:after="0" w:line="240" w:lineRule="auto"/>
              <w:jc w:val="center"/>
              <w:rPr>
                <w:rFonts w:ascii="David" w:hAnsi="David" w:cs="David"/>
                <w:b/>
                <w:bCs/>
                <w:color w:val="000000"/>
                <w:rtl/>
              </w:rPr>
            </w:pPr>
            <w:r w:rsidRPr="00731337">
              <w:rPr>
                <w:rFonts w:ascii="David" w:hAnsi="David" w:cs="David" w:hint="cs"/>
                <w:b/>
                <w:bCs/>
                <w:color w:val="000000"/>
                <w:rtl/>
              </w:rPr>
              <w:t>10:09</w:t>
            </w:r>
          </w:p>
        </w:tc>
        <w:tc>
          <w:tcPr>
            <w:tcW w:w="1559" w:type="dxa"/>
            <w:tcBorders>
              <w:top w:val="single" w:sz="4" w:space="0" w:color="auto"/>
              <w:bottom w:val="single" w:sz="4" w:space="0" w:color="auto"/>
            </w:tcBorders>
            <w:shd w:val="clear" w:color="auto" w:fill="D9D9D9"/>
            <w:vAlign w:val="center"/>
          </w:tcPr>
          <w:p w14:paraId="719AA438" w14:textId="77777777" w:rsidR="00063241" w:rsidRPr="00731337" w:rsidRDefault="00063241" w:rsidP="00565297">
            <w:pPr>
              <w:spacing w:after="0" w:line="240" w:lineRule="auto"/>
              <w:jc w:val="center"/>
              <w:rPr>
                <w:rFonts w:ascii="David" w:hAnsi="David" w:cs="David"/>
                <w:color w:val="000000"/>
              </w:rPr>
            </w:pPr>
            <w:r w:rsidRPr="00731337">
              <w:rPr>
                <w:rFonts w:ascii="David" w:hAnsi="David" w:cs="David"/>
                <w:color w:val="000000"/>
              </w:rPr>
              <w:t>10:05</w:t>
            </w:r>
          </w:p>
        </w:tc>
        <w:tc>
          <w:tcPr>
            <w:tcW w:w="850" w:type="dxa"/>
            <w:tcBorders>
              <w:top w:val="single" w:sz="4" w:space="0" w:color="auto"/>
              <w:bottom w:val="single" w:sz="4" w:space="0" w:color="auto"/>
            </w:tcBorders>
            <w:shd w:val="clear" w:color="auto" w:fill="D9D9D9"/>
            <w:vAlign w:val="center"/>
          </w:tcPr>
          <w:p w14:paraId="549AF134" w14:textId="77777777" w:rsidR="00063241" w:rsidRPr="00731337" w:rsidRDefault="00063241" w:rsidP="00565297">
            <w:pPr>
              <w:spacing w:after="0" w:line="240" w:lineRule="auto"/>
              <w:jc w:val="center"/>
              <w:rPr>
                <w:rFonts w:ascii="David" w:hAnsi="David" w:cs="David"/>
                <w:color w:val="000000"/>
              </w:rPr>
            </w:pPr>
            <w:r w:rsidRPr="00731337">
              <w:rPr>
                <w:rFonts w:ascii="David" w:hAnsi="David" w:cs="David" w:hint="cs"/>
                <w:color w:val="000000"/>
                <w:rtl/>
              </w:rPr>
              <w:t>0:04+</w:t>
            </w:r>
          </w:p>
        </w:tc>
      </w:tr>
      <w:tr w:rsidR="00063241" w:rsidRPr="00731337" w14:paraId="25E5C073" w14:textId="77777777" w:rsidTr="008D6C28">
        <w:trPr>
          <w:trHeight w:val="375"/>
        </w:trPr>
        <w:tc>
          <w:tcPr>
            <w:tcW w:w="848" w:type="dxa"/>
            <w:tcBorders>
              <w:top w:val="single" w:sz="4" w:space="0" w:color="auto"/>
              <w:bottom w:val="single" w:sz="4" w:space="0" w:color="auto"/>
            </w:tcBorders>
            <w:shd w:val="clear" w:color="auto" w:fill="auto"/>
            <w:noWrap/>
            <w:vAlign w:val="center"/>
          </w:tcPr>
          <w:p w14:paraId="22836562" w14:textId="77777777" w:rsidR="00063241" w:rsidRPr="00731337" w:rsidRDefault="00063241" w:rsidP="00565297">
            <w:pPr>
              <w:spacing w:after="0" w:line="240" w:lineRule="auto"/>
              <w:rPr>
                <w:rFonts w:ascii="David" w:hAnsi="David" w:cs="David"/>
                <w:color w:val="000000"/>
              </w:rPr>
            </w:pPr>
            <w:r w:rsidRPr="00731337">
              <w:rPr>
                <w:rFonts w:ascii="David" w:hAnsi="David" w:cs="David"/>
                <w:color w:val="000000"/>
                <w:rtl/>
              </w:rPr>
              <w:t>מחוזי</w:t>
            </w:r>
          </w:p>
        </w:tc>
        <w:tc>
          <w:tcPr>
            <w:tcW w:w="1275" w:type="dxa"/>
            <w:tcBorders>
              <w:top w:val="single" w:sz="4" w:space="0" w:color="auto"/>
              <w:bottom w:val="single" w:sz="4" w:space="0" w:color="auto"/>
            </w:tcBorders>
            <w:shd w:val="clear" w:color="auto" w:fill="auto"/>
            <w:noWrap/>
            <w:vAlign w:val="center"/>
          </w:tcPr>
          <w:p w14:paraId="25D52C5B" w14:textId="77777777" w:rsidR="00063241" w:rsidRPr="00731337" w:rsidRDefault="00063241" w:rsidP="00565297">
            <w:pPr>
              <w:spacing w:after="0" w:line="240" w:lineRule="auto"/>
              <w:rPr>
                <w:rFonts w:ascii="David" w:hAnsi="David" w:cs="David"/>
                <w:color w:val="000000"/>
              </w:rPr>
            </w:pPr>
            <w:r w:rsidRPr="00731337">
              <w:rPr>
                <w:rFonts w:ascii="David" w:hAnsi="David" w:cs="David"/>
                <w:color w:val="000000"/>
                <w:rtl/>
              </w:rPr>
              <w:t>ערע</w:t>
            </w:r>
            <w:r w:rsidRPr="00731337">
              <w:rPr>
                <w:rFonts w:ascii="David" w:hAnsi="David" w:cs="David" w:hint="cs"/>
                <w:color w:val="000000"/>
                <w:rtl/>
              </w:rPr>
              <w:t>ו</w:t>
            </w:r>
            <w:r w:rsidRPr="00731337">
              <w:rPr>
                <w:rFonts w:ascii="David" w:hAnsi="David" w:cs="David"/>
                <w:color w:val="000000"/>
                <w:rtl/>
              </w:rPr>
              <w:t>ר אזרחי</w:t>
            </w:r>
          </w:p>
        </w:tc>
        <w:tc>
          <w:tcPr>
            <w:tcW w:w="2263" w:type="dxa"/>
            <w:tcBorders>
              <w:top w:val="single" w:sz="4" w:space="0" w:color="auto"/>
              <w:bottom w:val="single" w:sz="4" w:space="0" w:color="auto"/>
            </w:tcBorders>
            <w:shd w:val="clear" w:color="auto" w:fill="auto"/>
            <w:vAlign w:val="center"/>
          </w:tcPr>
          <w:p w14:paraId="7E136B08" w14:textId="77777777" w:rsidR="00063241" w:rsidRPr="00731337" w:rsidRDefault="00063241" w:rsidP="00565297">
            <w:pPr>
              <w:spacing w:after="0" w:line="240" w:lineRule="auto"/>
              <w:rPr>
                <w:rFonts w:ascii="David" w:hAnsi="David" w:cs="David"/>
                <w:color w:val="000000"/>
                <w:rtl/>
              </w:rPr>
            </w:pPr>
            <w:r w:rsidRPr="00731337">
              <w:rPr>
                <w:rFonts w:ascii="David" w:hAnsi="David" w:cs="David"/>
                <w:color w:val="000000"/>
                <w:rtl/>
              </w:rPr>
              <w:t>ערעור מסים (ע"מ)</w:t>
            </w:r>
          </w:p>
        </w:tc>
        <w:tc>
          <w:tcPr>
            <w:tcW w:w="1276" w:type="dxa"/>
            <w:tcBorders>
              <w:top w:val="single" w:sz="4" w:space="0" w:color="auto"/>
              <w:bottom w:val="single" w:sz="4" w:space="0" w:color="auto"/>
            </w:tcBorders>
            <w:vAlign w:val="center"/>
          </w:tcPr>
          <w:p w14:paraId="49FE1927" w14:textId="77777777" w:rsidR="00063241" w:rsidRPr="00731337" w:rsidRDefault="00063241" w:rsidP="00565297">
            <w:pPr>
              <w:spacing w:after="0" w:line="240" w:lineRule="auto"/>
              <w:jc w:val="center"/>
              <w:rPr>
                <w:rFonts w:ascii="David" w:hAnsi="David" w:cs="David"/>
                <w:color w:val="000000"/>
              </w:rPr>
            </w:pPr>
            <w:r w:rsidRPr="00731337">
              <w:rPr>
                <w:rFonts w:ascii="David" w:hAnsi="David" w:cs="David" w:hint="cs"/>
                <w:color w:val="000000"/>
                <w:rtl/>
              </w:rPr>
              <w:t>789</w:t>
            </w:r>
          </w:p>
        </w:tc>
        <w:tc>
          <w:tcPr>
            <w:tcW w:w="1418" w:type="dxa"/>
            <w:tcBorders>
              <w:top w:val="single" w:sz="4" w:space="0" w:color="auto"/>
              <w:bottom w:val="single" w:sz="4" w:space="0" w:color="auto"/>
            </w:tcBorders>
            <w:shd w:val="clear" w:color="auto" w:fill="auto"/>
            <w:noWrap/>
            <w:vAlign w:val="center"/>
          </w:tcPr>
          <w:p w14:paraId="3417C1C3" w14:textId="77777777" w:rsidR="00063241" w:rsidRPr="00731337" w:rsidRDefault="00063241" w:rsidP="00565297">
            <w:pPr>
              <w:spacing w:after="0" w:line="240" w:lineRule="auto"/>
              <w:jc w:val="center"/>
              <w:rPr>
                <w:rFonts w:ascii="David" w:hAnsi="David" w:cs="David"/>
                <w:b/>
                <w:bCs/>
                <w:color w:val="000000"/>
                <w:rtl/>
              </w:rPr>
            </w:pPr>
            <w:r w:rsidRPr="00731337">
              <w:rPr>
                <w:rFonts w:ascii="David" w:hAnsi="David" w:cs="David" w:hint="cs"/>
                <w:b/>
                <w:bCs/>
                <w:color w:val="000000"/>
                <w:rtl/>
              </w:rPr>
              <w:t>9:33</w:t>
            </w:r>
          </w:p>
        </w:tc>
        <w:tc>
          <w:tcPr>
            <w:tcW w:w="1559" w:type="dxa"/>
            <w:tcBorders>
              <w:top w:val="single" w:sz="4" w:space="0" w:color="auto"/>
              <w:bottom w:val="single" w:sz="4" w:space="0" w:color="auto"/>
            </w:tcBorders>
            <w:vAlign w:val="center"/>
          </w:tcPr>
          <w:p w14:paraId="0E713274" w14:textId="77777777" w:rsidR="00063241" w:rsidRPr="00731337" w:rsidRDefault="00063241" w:rsidP="00565297">
            <w:pPr>
              <w:spacing w:after="0" w:line="240" w:lineRule="auto"/>
              <w:jc w:val="center"/>
              <w:rPr>
                <w:rFonts w:ascii="David" w:hAnsi="David" w:cs="David"/>
                <w:color w:val="000000"/>
              </w:rPr>
            </w:pPr>
            <w:r w:rsidRPr="00731337">
              <w:rPr>
                <w:rFonts w:ascii="David" w:hAnsi="David" w:cs="David"/>
                <w:color w:val="000000"/>
              </w:rPr>
              <w:t>4:12</w:t>
            </w:r>
          </w:p>
        </w:tc>
        <w:tc>
          <w:tcPr>
            <w:tcW w:w="850" w:type="dxa"/>
            <w:tcBorders>
              <w:top w:val="single" w:sz="4" w:space="0" w:color="auto"/>
              <w:bottom w:val="single" w:sz="4" w:space="0" w:color="auto"/>
            </w:tcBorders>
            <w:vAlign w:val="center"/>
          </w:tcPr>
          <w:p w14:paraId="27A95319" w14:textId="77777777" w:rsidR="00063241" w:rsidRPr="00731337" w:rsidRDefault="00063241" w:rsidP="00565297">
            <w:pPr>
              <w:spacing w:after="0" w:line="240" w:lineRule="auto"/>
              <w:jc w:val="center"/>
              <w:rPr>
                <w:rFonts w:ascii="David" w:hAnsi="David" w:cs="David"/>
                <w:color w:val="000000"/>
                <w:rtl/>
              </w:rPr>
            </w:pPr>
            <w:r w:rsidRPr="00731337">
              <w:rPr>
                <w:rFonts w:ascii="David" w:hAnsi="David" w:cs="David" w:hint="cs"/>
                <w:color w:val="000000"/>
                <w:rtl/>
              </w:rPr>
              <w:t>5:21+</w:t>
            </w:r>
          </w:p>
        </w:tc>
      </w:tr>
      <w:tr w:rsidR="00063241" w:rsidRPr="00731337" w14:paraId="150DE06F" w14:textId="77777777" w:rsidTr="008D6C28">
        <w:trPr>
          <w:trHeight w:val="375"/>
        </w:trPr>
        <w:tc>
          <w:tcPr>
            <w:tcW w:w="848" w:type="dxa"/>
            <w:tcBorders>
              <w:top w:val="single" w:sz="4" w:space="0" w:color="auto"/>
              <w:bottom w:val="single" w:sz="4" w:space="0" w:color="auto"/>
            </w:tcBorders>
            <w:shd w:val="clear" w:color="auto" w:fill="D0CECE"/>
            <w:noWrap/>
            <w:vAlign w:val="center"/>
          </w:tcPr>
          <w:p w14:paraId="7A14B17F" w14:textId="77777777" w:rsidR="00063241" w:rsidRPr="00731337" w:rsidRDefault="00063241" w:rsidP="00565297">
            <w:pPr>
              <w:spacing w:after="0" w:line="240" w:lineRule="auto"/>
              <w:rPr>
                <w:rFonts w:ascii="David" w:hAnsi="David" w:cs="David"/>
                <w:color w:val="000000"/>
              </w:rPr>
            </w:pPr>
            <w:r w:rsidRPr="00731337">
              <w:rPr>
                <w:rFonts w:ascii="David" w:hAnsi="David" w:cs="David"/>
                <w:color w:val="000000"/>
                <w:rtl/>
              </w:rPr>
              <w:t>מחוזי</w:t>
            </w:r>
          </w:p>
        </w:tc>
        <w:tc>
          <w:tcPr>
            <w:tcW w:w="1275" w:type="dxa"/>
            <w:tcBorders>
              <w:top w:val="single" w:sz="4" w:space="0" w:color="auto"/>
              <w:bottom w:val="single" w:sz="4" w:space="0" w:color="auto"/>
            </w:tcBorders>
            <w:shd w:val="clear" w:color="auto" w:fill="D0CECE"/>
            <w:noWrap/>
            <w:vAlign w:val="center"/>
          </w:tcPr>
          <w:p w14:paraId="06EA5E69" w14:textId="77777777" w:rsidR="00063241" w:rsidRPr="00731337" w:rsidRDefault="00063241" w:rsidP="00565297">
            <w:pPr>
              <w:spacing w:after="0" w:line="240" w:lineRule="auto"/>
              <w:rPr>
                <w:rFonts w:ascii="David" w:hAnsi="David" w:cs="David"/>
                <w:color w:val="000000"/>
              </w:rPr>
            </w:pPr>
            <w:r w:rsidRPr="00731337">
              <w:rPr>
                <w:rFonts w:ascii="David" w:hAnsi="David" w:cs="David"/>
                <w:color w:val="000000"/>
                <w:rtl/>
              </w:rPr>
              <w:t>עניינים מנהליים</w:t>
            </w:r>
          </w:p>
        </w:tc>
        <w:tc>
          <w:tcPr>
            <w:tcW w:w="2263" w:type="dxa"/>
            <w:tcBorders>
              <w:top w:val="single" w:sz="4" w:space="0" w:color="auto"/>
              <w:bottom w:val="single" w:sz="4" w:space="0" w:color="auto"/>
            </w:tcBorders>
            <w:shd w:val="clear" w:color="auto" w:fill="D0CECE"/>
            <w:vAlign w:val="center"/>
          </w:tcPr>
          <w:p w14:paraId="68348CA0" w14:textId="77777777" w:rsidR="00063241" w:rsidRPr="00731337" w:rsidRDefault="00063241" w:rsidP="00565297">
            <w:pPr>
              <w:spacing w:after="0" w:line="240" w:lineRule="auto"/>
              <w:rPr>
                <w:rFonts w:ascii="David" w:hAnsi="David" w:cs="David"/>
                <w:color w:val="000000"/>
                <w:rtl/>
              </w:rPr>
            </w:pPr>
            <w:r w:rsidRPr="00731337">
              <w:rPr>
                <w:rFonts w:ascii="David" w:hAnsi="David" w:cs="David"/>
                <w:color w:val="000000"/>
                <w:rtl/>
              </w:rPr>
              <w:t>ערעור מנהלי (עמ"נ)</w:t>
            </w:r>
          </w:p>
        </w:tc>
        <w:tc>
          <w:tcPr>
            <w:tcW w:w="1276" w:type="dxa"/>
            <w:tcBorders>
              <w:top w:val="single" w:sz="4" w:space="0" w:color="auto"/>
              <w:bottom w:val="single" w:sz="4" w:space="0" w:color="auto"/>
            </w:tcBorders>
            <w:shd w:val="clear" w:color="auto" w:fill="D0CECE"/>
            <w:vAlign w:val="center"/>
          </w:tcPr>
          <w:p w14:paraId="4303D5F4" w14:textId="77777777" w:rsidR="00063241" w:rsidRPr="00731337" w:rsidRDefault="00063241" w:rsidP="00565297">
            <w:pPr>
              <w:spacing w:after="0" w:line="240" w:lineRule="auto"/>
              <w:jc w:val="center"/>
              <w:rPr>
                <w:rFonts w:ascii="David" w:hAnsi="David" w:cs="David"/>
                <w:color w:val="000000"/>
              </w:rPr>
            </w:pPr>
            <w:r w:rsidRPr="00731337">
              <w:rPr>
                <w:rFonts w:ascii="David" w:hAnsi="David" w:cs="David" w:hint="cs"/>
                <w:color w:val="000000"/>
                <w:rtl/>
              </w:rPr>
              <w:t>785</w:t>
            </w:r>
          </w:p>
        </w:tc>
        <w:tc>
          <w:tcPr>
            <w:tcW w:w="1418" w:type="dxa"/>
            <w:tcBorders>
              <w:top w:val="single" w:sz="4" w:space="0" w:color="auto"/>
              <w:bottom w:val="single" w:sz="4" w:space="0" w:color="auto"/>
            </w:tcBorders>
            <w:shd w:val="clear" w:color="auto" w:fill="D0CECE"/>
            <w:noWrap/>
            <w:vAlign w:val="center"/>
          </w:tcPr>
          <w:p w14:paraId="0533C6D7" w14:textId="77777777" w:rsidR="00063241" w:rsidRPr="00731337" w:rsidRDefault="00063241" w:rsidP="00565297">
            <w:pPr>
              <w:spacing w:after="0" w:line="240" w:lineRule="auto"/>
              <w:jc w:val="center"/>
              <w:rPr>
                <w:rFonts w:ascii="David" w:hAnsi="David" w:cs="David"/>
                <w:b/>
                <w:bCs/>
                <w:color w:val="000000"/>
              </w:rPr>
            </w:pPr>
            <w:r w:rsidRPr="00731337">
              <w:rPr>
                <w:rFonts w:ascii="David" w:hAnsi="David" w:cs="David"/>
                <w:b/>
                <w:bCs/>
                <w:color w:val="000000"/>
              </w:rPr>
              <w:t>7:46</w:t>
            </w:r>
          </w:p>
        </w:tc>
        <w:tc>
          <w:tcPr>
            <w:tcW w:w="1559" w:type="dxa"/>
            <w:tcBorders>
              <w:top w:val="single" w:sz="4" w:space="0" w:color="auto"/>
              <w:bottom w:val="single" w:sz="4" w:space="0" w:color="auto"/>
            </w:tcBorders>
            <w:shd w:val="clear" w:color="auto" w:fill="D0CECE"/>
            <w:vAlign w:val="center"/>
          </w:tcPr>
          <w:p w14:paraId="2E5FC760" w14:textId="77777777" w:rsidR="00063241" w:rsidRPr="00731337" w:rsidRDefault="00063241" w:rsidP="00565297">
            <w:pPr>
              <w:spacing w:after="0" w:line="240" w:lineRule="auto"/>
              <w:jc w:val="center"/>
              <w:rPr>
                <w:rFonts w:ascii="David" w:hAnsi="David" w:cs="David"/>
                <w:color w:val="000000"/>
              </w:rPr>
            </w:pPr>
            <w:r w:rsidRPr="00731337">
              <w:rPr>
                <w:rFonts w:ascii="David" w:hAnsi="David" w:cs="David"/>
                <w:color w:val="000000"/>
              </w:rPr>
              <w:t>6:24</w:t>
            </w:r>
          </w:p>
        </w:tc>
        <w:tc>
          <w:tcPr>
            <w:tcW w:w="850" w:type="dxa"/>
            <w:tcBorders>
              <w:top w:val="single" w:sz="4" w:space="0" w:color="auto"/>
              <w:bottom w:val="single" w:sz="4" w:space="0" w:color="auto"/>
            </w:tcBorders>
            <w:shd w:val="clear" w:color="auto" w:fill="D0CECE"/>
            <w:vAlign w:val="center"/>
          </w:tcPr>
          <w:p w14:paraId="2B707A3A" w14:textId="77777777" w:rsidR="00063241" w:rsidRPr="00731337" w:rsidRDefault="00063241" w:rsidP="00565297">
            <w:pPr>
              <w:spacing w:after="0" w:line="240" w:lineRule="auto"/>
              <w:jc w:val="center"/>
              <w:rPr>
                <w:rFonts w:ascii="David" w:hAnsi="David" w:cs="David"/>
                <w:color w:val="000000"/>
              </w:rPr>
            </w:pPr>
            <w:r w:rsidRPr="00731337">
              <w:rPr>
                <w:rFonts w:ascii="David" w:hAnsi="David" w:cs="David"/>
                <w:color w:val="000000"/>
              </w:rPr>
              <w:t>+1:22</w:t>
            </w:r>
          </w:p>
        </w:tc>
      </w:tr>
      <w:tr w:rsidR="00063241" w:rsidRPr="00731337" w14:paraId="5B367B75" w14:textId="77777777" w:rsidTr="008D6C28">
        <w:trPr>
          <w:trHeight w:val="300"/>
        </w:trPr>
        <w:tc>
          <w:tcPr>
            <w:tcW w:w="848" w:type="dxa"/>
            <w:tcBorders>
              <w:top w:val="single" w:sz="4" w:space="0" w:color="auto"/>
              <w:bottom w:val="single" w:sz="4" w:space="0" w:color="auto"/>
            </w:tcBorders>
            <w:shd w:val="clear" w:color="auto" w:fill="FFFFFF"/>
            <w:noWrap/>
            <w:vAlign w:val="center"/>
          </w:tcPr>
          <w:p w14:paraId="5067C23D" w14:textId="77777777" w:rsidR="00063241" w:rsidRPr="00731337" w:rsidRDefault="00063241" w:rsidP="00565297">
            <w:pPr>
              <w:spacing w:after="0" w:line="240" w:lineRule="auto"/>
              <w:rPr>
                <w:rFonts w:ascii="David" w:hAnsi="David" w:cs="David"/>
                <w:color w:val="000000"/>
              </w:rPr>
            </w:pPr>
            <w:r w:rsidRPr="00731337">
              <w:rPr>
                <w:rFonts w:ascii="David" w:hAnsi="David" w:cs="David"/>
                <w:color w:val="000000"/>
                <w:rtl/>
              </w:rPr>
              <w:t>מחוזי</w:t>
            </w:r>
          </w:p>
        </w:tc>
        <w:tc>
          <w:tcPr>
            <w:tcW w:w="1275" w:type="dxa"/>
            <w:tcBorders>
              <w:top w:val="single" w:sz="4" w:space="0" w:color="auto"/>
              <w:bottom w:val="single" w:sz="4" w:space="0" w:color="auto"/>
            </w:tcBorders>
            <w:shd w:val="clear" w:color="auto" w:fill="FFFFFF"/>
            <w:noWrap/>
            <w:vAlign w:val="center"/>
          </w:tcPr>
          <w:p w14:paraId="379375AD" w14:textId="77777777" w:rsidR="00063241" w:rsidRPr="00731337" w:rsidRDefault="00063241" w:rsidP="00565297">
            <w:pPr>
              <w:spacing w:after="0" w:line="240" w:lineRule="auto"/>
              <w:rPr>
                <w:rFonts w:ascii="David" w:hAnsi="David" w:cs="David"/>
                <w:color w:val="000000"/>
              </w:rPr>
            </w:pPr>
            <w:r w:rsidRPr="00731337">
              <w:rPr>
                <w:rFonts w:ascii="David" w:hAnsi="David" w:cs="David"/>
                <w:color w:val="000000"/>
                <w:rtl/>
              </w:rPr>
              <w:t>ערעור אזרחי</w:t>
            </w:r>
          </w:p>
        </w:tc>
        <w:tc>
          <w:tcPr>
            <w:tcW w:w="2263" w:type="dxa"/>
            <w:tcBorders>
              <w:top w:val="single" w:sz="4" w:space="0" w:color="auto"/>
              <w:bottom w:val="single" w:sz="4" w:space="0" w:color="auto"/>
            </w:tcBorders>
            <w:shd w:val="clear" w:color="auto" w:fill="FFFFFF"/>
            <w:vAlign w:val="center"/>
          </w:tcPr>
          <w:p w14:paraId="2F164DAF" w14:textId="77777777" w:rsidR="00063241" w:rsidRPr="00731337" w:rsidRDefault="00063241" w:rsidP="00565297">
            <w:pPr>
              <w:spacing w:after="0" w:line="240" w:lineRule="auto"/>
              <w:rPr>
                <w:rFonts w:ascii="David" w:hAnsi="David" w:cs="David"/>
                <w:color w:val="000000"/>
                <w:rtl/>
              </w:rPr>
            </w:pPr>
            <w:r w:rsidRPr="00731337">
              <w:rPr>
                <w:rFonts w:ascii="David" w:hAnsi="David" w:cs="David"/>
                <w:color w:val="000000"/>
                <w:rtl/>
              </w:rPr>
              <w:t xml:space="preserve">ערעור אזרחי (ע"א) – </w:t>
            </w:r>
            <w:r w:rsidRPr="00731337">
              <w:rPr>
                <w:rFonts w:ascii="David" w:hAnsi="David" w:cs="David" w:hint="cs"/>
                <w:b/>
                <w:bCs/>
                <w:color w:val="000000"/>
                <w:rtl/>
              </w:rPr>
              <w:t>משוקלל</w:t>
            </w:r>
          </w:p>
        </w:tc>
        <w:tc>
          <w:tcPr>
            <w:tcW w:w="1276" w:type="dxa"/>
            <w:tcBorders>
              <w:top w:val="single" w:sz="4" w:space="0" w:color="auto"/>
              <w:bottom w:val="single" w:sz="4" w:space="0" w:color="auto"/>
            </w:tcBorders>
            <w:shd w:val="clear" w:color="auto" w:fill="FFFFFF"/>
            <w:vAlign w:val="center"/>
          </w:tcPr>
          <w:p w14:paraId="05AEF244" w14:textId="77777777" w:rsidR="00063241" w:rsidRPr="00731337" w:rsidRDefault="00063241" w:rsidP="00565297">
            <w:pPr>
              <w:spacing w:after="0" w:line="240" w:lineRule="auto"/>
              <w:jc w:val="center"/>
              <w:rPr>
                <w:rFonts w:ascii="David" w:hAnsi="David" w:cs="David"/>
                <w:color w:val="000000"/>
              </w:rPr>
            </w:pPr>
            <w:r w:rsidRPr="00731337">
              <w:rPr>
                <w:rFonts w:ascii="David" w:hAnsi="David" w:cs="David" w:hint="cs"/>
                <w:color w:val="000000"/>
                <w:rtl/>
              </w:rPr>
              <w:t>2,680</w:t>
            </w:r>
          </w:p>
        </w:tc>
        <w:tc>
          <w:tcPr>
            <w:tcW w:w="1418" w:type="dxa"/>
            <w:tcBorders>
              <w:top w:val="single" w:sz="4" w:space="0" w:color="auto"/>
              <w:bottom w:val="single" w:sz="4" w:space="0" w:color="auto"/>
            </w:tcBorders>
            <w:shd w:val="clear" w:color="auto" w:fill="FFFFFF"/>
            <w:noWrap/>
            <w:vAlign w:val="center"/>
          </w:tcPr>
          <w:p w14:paraId="2390DD51" w14:textId="77777777" w:rsidR="00063241" w:rsidRPr="00731337" w:rsidRDefault="00063241" w:rsidP="00565297">
            <w:pPr>
              <w:spacing w:after="0" w:line="240" w:lineRule="auto"/>
              <w:jc w:val="center"/>
              <w:rPr>
                <w:rFonts w:ascii="David" w:hAnsi="David" w:cs="David"/>
                <w:b/>
                <w:bCs/>
                <w:color w:val="000000"/>
              </w:rPr>
            </w:pPr>
            <w:r w:rsidRPr="00731337">
              <w:rPr>
                <w:rFonts w:ascii="David" w:hAnsi="David" w:cs="David" w:hint="cs"/>
                <w:b/>
                <w:bCs/>
                <w:color w:val="000000"/>
                <w:rtl/>
              </w:rPr>
              <w:t>7:44</w:t>
            </w:r>
          </w:p>
        </w:tc>
        <w:tc>
          <w:tcPr>
            <w:tcW w:w="1559" w:type="dxa"/>
            <w:tcBorders>
              <w:top w:val="single" w:sz="4" w:space="0" w:color="auto"/>
              <w:bottom w:val="single" w:sz="4" w:space="0" w:color="auto"/>
            </w:tcBorders>
            <w:shd w:val="clear" w:color="auto" w:fill="FFFFFF"/>
            <w:vAlign w:val="center"/>
          </w:tcPr>
          <w:p w14:paraId="07873243" w14:textId="77777777" w:rsidR="00063241" w:rsidRPr="00731337" w:rsidRDefault="00063241" w:rsidP="00565297">
            <w:pPr>
              <w:spacing w:after="0" w:line="240" w:lineRule="auto"/>
              <w:jc w:val="center"/>
              <w:rPr>
                <w:rFonts w:ascii="David" w:hAnsi="David" w:cs="David"/>
                <w:color w:val="000000"/>
              </w:rPr>
            </w:pPr>
            <w:r w:rsidRPr="00731337">
              <w:rPr>
                <w:rFonts w:ascii="David" w:hAnsi="David" w:cs="David"/>
                <w:color w:val="000000"/>
              </w:rPr>
              <w:t>7:11</w:t>
            </w:r>
          </w:p>
        </w:tc>
        <w:tc>
          <w:tcPr>
            <w:tcW w:w="850" w:type="dxa"/>
            <w:tcBorders>
              <w:top w:val="single" w:sz="4" w:space="0" w:color="auto"/>
              <w:bottom w:val="single" w:sz="4" w:space="0" w:color="auto"/>
            </w:tcBorders>
            <w:shd w:val="clear" w:color="auto" w:fill="FFFFFF"/>
            <w:vAlign w:val="center"/>
          </w:tcPr>
          <w:p w14:paraId="689FF2E7" w14:textId="77777777" w:rsidR="00063241" w:rsidRPr="00731337" w:rsidRDefault="00063241" w:rsidP="00565297">
            <w:pPr>
              <w:spacing w:after="0" w:line="240" w:lineRule="auto"/>
              <w:jc w:val="center"/>
              <w:rPr>
                <w:rFonts w:ascii="David" w:hAnsi="David" w:cs="David"/>
                <w:color w:val="000000"/>
                <w:rtl/>
              </w:rPr>
            </w:pPr>
            <w:r w:rsidRPr="00731337">
              <w:rPr>
                <w:rFonts w:ascii="David" w:hAnsi="David" w:cs="David"/>
                <w:color w:val="000000"/>
              </w:rPr>
              <w:t>+0:33</w:t>
            </w:r>
          </w:p>
        </w:tc>
      </w:tr>
      <w:tr w:rsidR="00731337" w:rsidRPr="00731337" w14:paraId="4CA3D416" w14:textId="77777777" w:rsidTr="008D6C28">
        <w:trPr>
          <w:trHeight w:val="600"/>
        </w:trPr>
        <w:tc>
          <w:tcPr>
            <w:tcW w:w="848" w:type="dxa"/>
            <w:tcBorders>
              <w:top w:val="single" w:sz="4" w:space="0" w:color="auto"/>
              <w:bottom w:val="single" w:sz="4" w:space="0" w:color="auto"/>
            </w:tcBorders>
            <w:shd w:val="clear" w:color="auto" w:fill="D9D9D9"/>
            <w:noWrap/>
            <w:vAlign w:val="center"/>
          </w:tcPr>
          <w:p w14:paraId="542B14CA"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מחוזי</w:t>
            </w:r>
          </w:p>
        </w:tc>
        <w:tc>
          <w:tcPr>
            <w:tcW w:w="1275" w:type="dxa"/>
            <w:tcBorders>
              <w:top w:val="single" w:sz="4" w:space="0" w:color="auto"/>
              <w:bottom w:val="single" w:sz="4" w:space="0" w:color="auto"/>
            </w:tcBorders>
            <w:shd w:val="clear" w:color="auto" w:fill="D9D9D9"/>
            <w:noWrap/>
            <w:vAlign w:val="center"/>
          </w:tcPr>
          <w:p w14:paraId="13C968B2" w14:textId="77777777" w:rsidR="00731337" w:rsidRPr="00731337" w:rsidRDefault="00731337" w:rsidP="00731337">
            <w:pPr>
              <w:spacing w:after="0" w:line="240" w:lineRule="auto"/>
              <w:rPr>
                <w:rFonts w:ascii="David" w:hAnsi="David" w:cs="David"/>
                <w:color w:val="000000"/>
                <w:rtl/>
              </w:rPr>
            </w:pPr>
            <w:r w:rsidRPr="00731337">
              <w:rPr>
                <w:rFonts w:ascii="David" w:hAnsi="David" w:cs="David"/>
                <w:color w:val="000000"/>
                <w:rtl/>
              </w:rPr>
              <w:t>אזרחי</w:t>
            </w:r>
          </w:p>
        </w:tc>
        <w:tc>
          <w:tcPr>
            <w:tcW w:w="2263" w:type="dxa"/>
            <w:tcBorders>
              <w:top w:val="single" w:sz="4" w:space="0" w:color="auto"/>
              <w:bottom w:val="single" w:sz="4" w:space="0" w:color="auto"/>
            </w:tcBorders>
            <w:shd w:val="clear" w:color="auto" w:fill="D9D9D9"/>
            <w:vAlign w:val="center"/>
          </w:tcPr>
          <w:p w14:paraId="30C229F0" w14:textId="77777777" w:rsidR="00731337" w:rsidRPr="00731337" w:rsidRDefault="00731337" w:rsidP="00731337">
            <w:pPr>
              <w:spacing w:after="0" w:line="240" w:lineRule="auto"/>
              <w:rPr>
                <w:rFonts w:ascii="David" w:hAnsi="David" w:cs="David"/>
                <w:color w:val="000000"/>
                <w:rtl/>
              </w:rPr>
            </w:pPr>
            <w:r w:rsidRPr="00731337">
              <w:rPr>
                <w:rFonts w:ascii="David" w:hAnsi="David" w:cs="David"/>
                <w:color w:val="000000"/>
                <w:rtl/>
              </w:rPr>
              <w:t>פירוקים (פר"ק)</w:t>
            </w:r>
          </w:p>
        </w:tc>
        <w:tc>
          <w:tcPr>
            <w:tcW w:w="1276" w:type="dxa"/>
            <w:tcBorders>
              <w:top w:val="single" w:sz="4" w:space="0" w:color="auto"/>
              <w:bottom w:val="single" w:sz="4" w:space="0" w:color="auto"/>
            </w:tcBorders>
            <w:shd w:val="clear" w:color="auto" w:fill="D9D9D9"/>
            <w:vAlign w:val="center"/>
          </w:tcPr>
          <w:p w14:paraId="23CFBBA6"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1,348</w:t>
            </w:r>
          </w:p>
        </w:tc>
        <w:tc>
          <w:tcPr>
            <w:tcW w:w="1418" w:type="dxa"/>
            <w:tcBorders>
              <w:top w:val="single" w:sz="4" w:space="0" w:color="auto"/>
              <w:bottom w:val="single" w:sz="4" w:space="0" w:color="auto"/>
            </w:tcBorders>
            <w:shd w:val="clear" w:color="auto" w:fill="D9D9D9"/>
            <w:noWrap/>
            <w:vAlign w:val="center"/>
          </w:tcPr>
          <w:p w14:paraId="735E9283" w14:textId="77777777" w:rsidR="00731337" w:rsidRPr="00731337" w:rsidRDefault="00731337" w:rsidP="00731337">
            <w:pPr>
              <w:spacing w:after="0" w:line="240" w:lineRule="auto"/>
              <w:jc w:val="center"/>
              <w:rPr>
                <w:rFonts w:ascii="David" w:hAnsi="David" w:cs="David"/>
                <w:b/>
                <w:bCs/>
                <w:color w:val="000000"/>
                <w:rtl/>
              </w:rPr>
            </w:pPr>
            <w:r w:rsidRPr="00731337">
              <w:rPr>
                <w:rFonts w:asciiTheme="minorHAnsi" w:hAnsiTheme="minorHAnsi" w:cs="David" w:hint="cs"/>
                <w:b/>
                <w:bCs/>
                <w:color w:val="000000"/>
                <w:rtl/>
              </w:rPr>
              <w:t>7:28</w:t>
            </w:r>
          </w:p>
        </w:tc>
        <w:tc>
          <w:tcPr>
            <w:tcW w:w="1559" w:type="dxa"/>
            <w:tcBorders>
              <w:top w:val="single" w:sz="4" w:space="0" w:color="auto"/>
              <w:bottom w:val="single" w:sz="4" w:space="0" w:color="auto"/>
            </w:tcBorders>
            <w:shd w:val="clear" w:color="auto" w:fill="D9D9D9"/>
            <w:vAlign w:val="center"/>
          </w:tcPr>
          <w:p w14:paraId="0E27A92C"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6:29</w:t>
            </w:r>
          </w:p>
        </w:tc>
        <w:tc>
          <w:tcPr>
            <w:tcW w:w="850" w:type="dxa"/>
            <w:tcBorders>
              <w:top w:val="single" w:sz="4" w:space="0" w:color="auto"/>
              <w:bottom w:val="single" w:sz="4" w:space="0" w:color="auto"/>
            </w:tcBorders>
            <w:shd w:val="clear" w:color="auto" w:fill="D9D9D9"/>
            <w:vAlign w:val="center"/>
          </w:tcPr>
          <w:p w14:paraId="2291C0F2"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+0:59</w:t>
            </w:r>
          </w:p>
        </w:tc>
      </w:tr>
      <w:tr w:rsidR="00731337" w:rsidRPr="00731337" w14:paraId="52EE4351" w14:textId="77777777" w:rsidTr="008D6C28">
        <w:trPr>
          <w:trHeight w:val="438"/>
        </w:trPr>
        <w:tc>
          <w:tcPr>
            <w:tcW w:w="848" w:type="dxa"/>
            <w:tcBorders>
              <w:top w:val="single" w:sz="4" w:space="0" w:color="auto"/>
              <w:bottom w:val="single" w:sz="4" w:space="0" w:color="auto"/>
            </w:tcBorders>
            <w:shd w:val="clear" w:color="auto" w:fill="FFFFFF"/>
            <w:noWrap/>
            <w:vAlign w:val="center"/>
          </w:tcPr>
          <w:p w14:paraId="440C3778"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מחוזי</w:t>
            </w:r>
          </w:p>
        </w:tc>
        <w:tc>
          <w:tcPr>
            <w:tcW w:w="1275" w:type="dxa"/>
            <w:tcBorders>
              <w:top w:val="single" w:sz="4" w:space="0" w:color="auto"/>
              <w:bottom w:val="single" w:sz="4" w:space="0" w:color="auto"/>
            </w:tcBorders>
            <w:shd w:val="clear" w:color="auto" w:fill="FFFFFF"/>
            <w:noWrap/>
            <w:vAlign w:val="center"/>
          </w:tcPr>
          <w:p w14:paraId="23B8CA84"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עניינים מנהליים</w:t>
            </w:r>
          </w:p>
        </w:tc>
        <w:tc>
          <w:tcPr>
            <w:tcW w:w="2263" w:type="dxa"/>
            <w:tcBorders>
              <w:top w:val="single" w:sz="4" w:space="0" w:color="auto"/>
              <w:bottom w:val="single" w:sz="4" w:space="0" w:color="auto"/>
            </w:tcBorders>
            <w:shd w:val="clear" w:color="auto" w:fill="FFFFFF"/>
            <w:vAlign w:val="center"/>
          </w:tcPr>
          <w:p w14:paraId="033DEE38" w14:textId="77777777" w:rsidR="00731337" w:rsidRPr="00731337" w:rsidRDefault="00731337" w:rsidP="00731337">
            <w:pPr>
              <w:spacing w:after="0" w:line="240" w:lineRule="auto"/>
              <w:rPr>
                <w:rFonts w:ascii="David" w:hAnsi="David" w:cs="David"/>
                <w:color w:val="000000"/>
                <w:rtl/>
              </w:rPr>
            </w:pPr>
            <w:r w:rsidRPr="00731337">
              <w:rPr>
                <w:rFonts w:ascii="David" w:hAnsi="David" w:cs="David"/>
                <w:color w:val="000000"/>
                <w:rtl/>
              </w:rPr>
              <w:t>עתירות אסירים (עת"א) - הרכב</w:t>
            </w:r>
          </w:p>
        </w:tc>
        <w:tc>
          <w:tcPr>
            <w:tcW w:w="1276" w:type="dxa"/>
            <w:tcBorders>
              <w:top w:val="single" w:sz="4" w:space="0" w:color="auto"/>
              <w:bottom w:val="single" w:sz="4" w:space="0" w:color="auto"/>
            </w:tcBorders>
            <w:shd w:val="clear" w:color="auto" w:fill="FFFFFF"/>
            <w:vAlign w:val="center"/>
          </w:tcPr>
          <w:p w14:paraId="79E879A9" w14:textId="77777777" w:rsidR="00731337" w:rsidRPr="00731337" w:rsidRDefault="00731337" w:rsidP="00731337">
            <w:pPr>
              <w:spacing w:after="0" w:line="240" w:lineRule="auto"/>
              <w:jc w:val="center"/>
              <w:rPr>
                <w:rFonts w:ascii="David" w:hAnsi="David" w:cs="David"/>
                <w:color w:val="000000"/>
                <w:rtl/>
              </w:rPr>
            </w:pPr>
            <w:r w:rsidRPr="00731337">
              <w:rPr>
                <w:rFonts w:ascii="David" w:hAnsi="David" w:cs="David" w:hint="cs"/>
                <w:color w:val="000000"/>
                <w:rtl/>
              </w:rPr>
              <w:t>409</w:t>
            </w:r>
          </w:p>
        </w:tc>
        <w:tc>
          <w:tcPr>
            <w:tcW w:w="1418" w:type="dxa"/>
            <w:tcBorders>
              <w:top w:val="single" w:sz="4" w:space="0" w:color="auto"/>
              <w:bottom w:val="single" w:sz="4" w:space="0" w:color="auto"/>
            </w:tcBorders>
            <w:shd w:val="clear" w:color="auto" w:fill="FFFFFF"/>
            <w:noWrap/>
            <w:vAlign w:val="center"/>
          </w:tcPr>
          <w:p w14:paraId="669045C0" w14:textId="77777777" w:rsidR="00731337" w:rsidRPr="00731337" w:rsidRDefault="00731337" w:rsidP="00731337">
            <w:pPr>
              <w:spacing w:after="0" w:line="240" w:lineRule="auto"/>
              <w:jc w:val="center"/>
              <w:rPr>
                <w:rFonts w:ascii="David" w:hAnsi="David" w:cs="David"/>
                <w:b/>
                <w:bCs/>
                <w:color w:val="000000"/>
              </w:rPr>
            </w:pPr>
            <w:r w:rsidRPr="00731337">
              <w:rPr>
                <w:rFonts w:ascii="David" w:hAnsi="David" w:cs="David"/>
                <w:b/>
                <w:bCs/>
                <w:color w:val="000000"/>
              </w:rPr>
              <w:t>6:16</w:t>
            </w:r>
          </w:p>
        </w:tc>
        <w:tc>
          <w:tcPr>
            <w:tcW w:w="1559" w:type="dxa"/>
            <w:tcBorders>
              <w:top w:val="single" w:sz="4" w:space="0" w:color="auto"/>
              <w:bottom w:val="single" w:sz="4" w:space="0" w:color="auto"/>
            </w:tcBorders>
            <w:shd w:val="clear" w:color="auto" w:fill="FFFFFF"/>
            <w:vAlign w:val="center"/>
          </w:tcPr>
          <w:p w14:paraId="47D0C32C" w14:textId="77777777" w:rsidR="00731337" w:rsidRPr="00731337" w:rsidRDefault="00731337" w:rsidP="00731337">
            <w:pPr>
              <w:spacing w:after="0" w:line="240" w:lineRule="auto"/>
              <w:jc w:val="center"/>
              <w:rPr>
                <w:rFonts w:ascii="David" w:hAnsi="David" w:cs="David"/>
                <w:color w:val="000000"/>
                <w:rtl/>
              </w:rPr>
            </w:pPr>
            <w:r w:rsidRPr="00731337">
              <w:rPr>
                <w:rFonts w:ascii="David" w:hAnsi="David" w:cs="David"/>
                <w:color w:val="000000"/>
              </w:rPr>
              <w:t>5:58</w:t>
            </w:r>
          </w:p>
        </w:tc>
        <w:tc>
          <w:tcPr>
            <w:tcW w:w="850" w:type="dxa"/>
            <w:tcBorders>
              <w:top w:val="single" w:sz="4" w:space="0" w:color="auto"/>
              <w:bottom w:val="single" w:sz="4" w:space="0" w:color="auto"/>
            </w:tcBorders>
            <w:shd w:val="clear" w:color="auto" w:fill="FFFFFF"/>
            <w:vAlign w:val="center"/>
          </w:tcPr>
          <w:p w14:paraId="2EDC4275"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hint="cs"/>
                <w:color w:val="000000"/>
                <w:rtl/>
              </w:rPr>
              <w:t>0:18+</w:t>
            </w:r>
          </w:p>
        </w:tc>
      </w:tr>
      <w:tr w:rsidR="00731337" w:rsidRPr="00731337" w14:paraId="2D414772" w14:textId="77777777" w:rsidTr="008D6C28">
        <w:trPr>
          <w:trHeight w:val="600"/>
        </w:trPr>
        <w:tc>
          <w:tcPr>
            <w:tcW w:w="848" w:type="dxa"/>
            <w:tcBorders>
              <w:top w:val="single" w:sz="4" w:space="0" w:color="auto"/>
              <w:bottom w:val="single" w:sz="4" w:space="0" w:color="auto"/>
            </w:tcBorders>
            <w:shd w:val="clear" w:color="auto" w:fill="D9D9D9"/>
            <w:noWrap/>
            <w:vAlign w:val="center"/>
          </w:tcPr>
          <w:p w14:paraId="199958D7"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מחוזי</w:t>
            </w:r>
          </w:p>
        </w:tc>
        <w:tc>
          <w:tcPr>
            <w:tcW w:w="1275" w:type="dxa"/>
            <w:tcBorders>
              <w:top w:val="single" w:sz="4" w:space="0" w:color="auto"/>
              <w:bottom w:val="single" w:sz="4" w:space="0" w:color="auto"/>
            </w:tcBorders>
            <w:shd w:val="clear" w:color="auto" w:fill="D9D9D9"/>
            <w:noWrap/>
            <w:vAlign w:val="center"/>
          </w:tcPr>
          <w:p w14:paraId="2AF1DE7D"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אזרחי</w:t>
            </w:r>
          </w:p>
        </w:tc>
        <w:tc>
          <w:tcPr>
            <w:tcW w:w="2263" w:type="dxa"/>
            <w:tcBorders>
              <w:top w:val="single" w:sz="4" w:space="0" w:color="auto"/>
              <w:bottom w:val="single" w:sz="4" w:space="0" w:color="auto"/>
            </w:tcBorders>
            <w:shd w:val="clear" w:color="auto" w:fill="D9D9D9"/>
            <w:vAlign w:val="center"/>
          </w:tcPr>
          <w:p w14:paraId="1BF12599" w14:textId="77777777" w:rsidR="00731337" w:rsidRPr="00731337" w:rsidRDefault="00731337" w:rsidP="00731337">
            <w:pPr>
              <w:spacing w:after="0" w:line="240" w:lineRule="auto"/>
              <w:rPr>
                <w:rFonts w:ascii="David" w:hAnsi="David" w:cs="David"/>
                <w:color w:val="000000"/>
                <w:rtl/>
              </w:rPr>
            </w:pPr>
            <w:r w:rsidRPr="00731337">
              <w:rPr>
                <w:rFonts w:ascii="David" w:hAnsi="David" w:cs="David"/>
                <w:color w:val="000000"/>
                <w:rtl/>
              </w:rPr>
              <w:t>המרצת פתיחה (ה"פ)</w:t>
            </w:r>
          </w:p>
        </w:tc>
        <w:tc>
          <w:tcPr>
            <w:tcW w:w="1276" w:type="dxa"/>
            <w:tcBorders>
              <w:top w:val="single" w:sz="4" w:space="0" w:color="auto"/>
              <w:bottom w:val="single" w:sz="4" w:space="0" w:color="auto"/>
            </w:tcBorders>
            <w:shd w:val="clear" w:color="auto" w:fill="D9D9D9"/>
            <w:vAlign w:val="center"/>
          </w:tcPr>
          <w:p w14:paraId="0D3C1D4D" w14:textId="77777777" w:rsidR="00731337" w:rsidRPr="00731337" w:rsidRDefault="00731337" w:rsidP="00731337">
            <w:pPr>
              <w:spacing w:after="0" w:line="240" w:lineRule="auto"/>
              <w:jc w:val="center"/>
              <w:rPr>
                <w:rFonts w:ascii="David" w:hAnsi="David" w:cs="David"/>
                <w:color w:val="000000"/>
                <w:rtl/>
              </w:rPr>
            </w:pPr>
            <w:r w:rsidRPr="00731337">
              <w:rPr>
                <w:rFonts w:ascii="David" w:hAnsi="David" w:cs="David" w:hint="cs"/>
                <w:color w:val="000000"/>
                <w:rtl/>
              </w:rPr>
              <w:t>2,177</w:t>
            </w:r>
          </w:p>
        </w:tc>
        <w:tc>
          <w:tcPr>
            <w:tcW w:w="1418" w:type="dxa"/>
            <w:tcBorders>
              <w:top w:val="single" w:sz="4" w:space="0" w:color="auto"/>
              <w:bottom w:val="single" w:sz="4" w:space="0" w:color="auto"/>
            </w:tcBorders>
            <w:shd w:val="clear" w:color="auto" w:fill="D9D9D9"/>
            <w:noWrap/>
            <w:vAlign w:val="center"/>
          </w:tcPr>
          <w:p w14:paraId="563CC7B9" w14:textId="77777777" w:rsidR="00731337" w:rsidRPr="00731337" w:rsidRDefault="00731337" w:rsidP="00731337">
            <w:pPr>
              <w:spacing w:after="0" w:line="240" w:lineRule="auto"/>
              <w:jc w:val="center"/>
              <w:rPr>
                <w:rFonts w:ascii="David" w:hAnsi="David" w:cs="David"/>
                <w:b/>
                <w:bCs/>
                <w:color w:val="000000"/>
              </w:rPr>
            </w:pPr>
            <w:r w:rsidRPr="00731337">
              <w:rPr>
                <w:rFonts w:ascii="David" w:hAnsi="David" w:cs="David" w:hint="cs"/>
                <w:b/>
                <w:bCs/>
                <w:color w:val="000000"/>
                <w:rtl/>
              </w:rPr>
              <w:t>6:12</w:t>
            </w:r>
          </w:p>
        </w:tc>
        <w:tc>
          <w:tcPr>
            <w:tcW w:w="1559" w:type="dxa"/>
            <w:tcBorders>
              <w:top w:val="single" w:sz="4" w:space="0" w:color="auto"/>
              <w:bottom w:val="single" w:sz="4" w:space="0" w:color="auto"/>
            </w:tcBorders>
            <w:shd w:val="clear" w:color="auto" w:fill="D9D9D9"/>
            <w:vAlign w:val="center"/>
          </w:tcPr>
          <w:p w14:paraId="74C6D93F" w14:textId="77777777" w:rsidR="00731337" w:rsidRPr="00731337" w:rsidRDefault="00731337" w:rsidP="00731337">
            <w:pPr>
              <w:spacing w:after="0" w:line="240" w:lineRule="auto"/>
              <w:jc w:val="center"/>
              <w:rPr>
                <w:rFonts w:ascii="David" w:hAnsi="David" w:cs="David"/>
                <w:color w:val="000000"/>
                <w:rtl/>
              </w:rPr>
            </w:pPr>
            <w:r w:rsidRPr="00731337">
              <w:rPr>
                <w:rFonts w:ascii="David" w:hAnsi="David" w:cs="David"/>
                <w:color w:val="000000"/>
              </w:rPr>
              <w:t>8:24</w:t>
            </w:r>
          </w:p>
        </w:tc>
        <w:tc>
          <w:tcPr>
            <w:tcW w:w="850" w:type="dxa"/>
            <w:tcBorders>
              <w:top w:val="single" w:sz="4" w:space="0" w:color="auto"/>
              <w:bottom w:val="single" w:sz="4" w:space="0" w:color="auto"/>
            </w:tcBorders>
            <w:shd w:val="clear" w:color="auto" w:fill="D9D9D9"/>
            <w:vAlign w:val="center"/>
          </w:tcPr>
          <w:p w14:paraId="0B894C50" w14:textId="77777777" w:rsidR="00731337" w:rsidRPr="00731337" w:rsidRDefault="00731337" w:rsidP="00731337">
            <w:pPr>
              <w:spacing w:after="0" w:line="240" w:lineRule="auto"/>
              <w:jc w:val="center"/>
              <w:rPr>
                <w:rFonts w:ascii="David" w:hAnsi="David" w:cs="David"/>
                <w:color w:val="000000"/>
                <w:rtl/>
              </w:rPr>
            </w:pPr>
            <w:r w:rsidRPr="00731337">
              <w:rPr>
                <w:rFonts w:ascii="David" w:hAnsi="David" w:cs="David"/>
                <w:color w:val="000000"/>
              </w:rPr>
              <w:t>-2:12</w:t>
            </w:r>
          </w:p>
        </w:tc>
      </w:tr>
      <w:tr w:rsidR="00731337" w:rsidRPr="00731337" w14:paraId="55FD4CF6" w14:textId="77777777" w:rsidTr="008D6C28">
        <w:trPr>
          <w:trHeight w:val="274"/>
        </w:trPr>
        <w:tc>
          <w:tcPr>
            <w:tcW w:w="848" w:type="dxa"/>
            <w:tcBorders>
              <w:top w:val="single" w:sz="4" w:space="0" w:color="auto"/>
              <w:bottom w:val="single" w:sz="4" w:space="0" w:color="auto"/>
            </w:tcBorders>
            <w:shd w:val="clear" w:color="auto" w:fill="auto"/>
            <w:noWrap/>
            <w:vAlign w:val="center"/>
          </w:tcPr>
          <w:p w14:paraId="3C5EA499"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מחוזי</w:t>
            </w:r>
          </w:p>
        </w:tc>
        <w:tc>
          <w:tcPr>
            <w:tcW w:w="1275" w:type="dxa"/>
            <w:tcBorders>
              <w:top w:val="single" w:sz="4" w:space="0" w:color="auto"/>
              <w:bottom w:val="single" w:sz="4" w:space="0" w:color="auto"/>
            </w:tcBorders>
            <w:shd w:val="clear" w:color="auto" w:fill="auto"/>
            <w:noWrap/>
            <w:vAlign w:val="center"/>
          </w:tcPr>
          <w:p w14:paraId="15DD66AA"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עניינים מנהליים</w:t>
            </w:r>
          </w:p>
        </w:tc>
        <w:tc>
          <w:tcPr>
            <w:tcW w:w="2263" w:type="dxa"/>
            <w:tcBorders>
              <w:top w:val="single" w:sz="4" w:space="0" w:color="auto"/>
              <w:bottom w:val="single" w:sz="4" w:space="0" w:color="auto"/>
            </w:tcBorders>
            <w:shd w:val="clear" w:color="auto" w:fill="auto"/>
            <w:vAlign w:val="center"/>
          </w:tcPr>
          <w:p w14:paraId="69B83C81" w14:textId="77777777" w:rsidR="00731337" w:rsidRPr="00731337" w:rsidRDefault="00731337" w:rsidP="00731337">
            <w:pPr>
              <w:spacing w:after="0" w:line="240" w:lineRule="auto"/>
              <w:rPr>
                <w:rFonts w:ascii="David" w:hAnsi="David" w:cs="David"/>
                <w:color w:val="000000"/>
                <w:rtl/>
              </w:rPr>
            </w:pPr>
            <w:r w:rsidRPr="00731337">
              <w:rPr>
                <w:rFonts w:ascii="David" w:hAnsi="David" w:cs="David"/>
                <w:color w:val="000000"/>
                <w:rtl/>
              </w:rPr>
              <w:t>עתירה מנהלית (עת"מ)</w:t>
            </w:r>
          </w:p>
        </w:tc>
        <w:tc>
          <w:tcPr>
            <w:tcW w:w="1276" w:type="dxa"/>
            <w:tcBorders>
              <w:top w:val="single" w:sz="4" w:space="0" w:color="auto"/>
              <w:bottom w:val="single" w:sz="4" w:space="0" w:color="auto"/>
            </w:tcBorders>
            <w:shd w:val="clear" w:color="auto" w:fill="auto"/>
            <w:vAlign w:val="center"/>
          </w:tcPr>
          <w:p w14:paraId="5BF61C45"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4,971</w:t>
            </w:r>
          </w:p>
        </w:tc>
        <w:tc>
          <w:tcPr>
            <w:tcW w:w="1418" w:type="dxa"/>
            <w:tcBorders>
              <w:top w:val="single" w:sz="4" w:space="0" w:color="auto"/>
              <w:bottom w:val="single" w:sz="4" w:space="0" w:color="auto"/>
            </w:tcBorders>
            <w:shd w:val="clear" w:color="auto" w:fill="auto"/>
            <w:noWrap/>
            <w:vAlign w:val="center"/>
          </w:tcPr>
          <w:p w14:paraId="0BA76321" w14:textId="77777777" w:rsidR="00731337" w:rsidRPr="00731337" w:rsidRDefault="00731337" w:rsidP="00731337">
            <w:pPr>
              <w:spacing w:after="0" w:line="240" w:lineRule="auto"/>
              <w:jc w:val="center"/>
              <w:rPr>
                <w:rFonts w:ascii="David" w:hAnsi="David" w:cs="David"/>
                <w:b/>
                <w:bCs/>
                <w:color w:val="000000"/>
              </w:rPr>
            </w:pPr>
            <w:r w:rsidRPr="00731337">
              <w:rPr>
                <w:rFonts w:ascii="David" w:hAnsi="David" w:cs="David"/>
                <w:b/>
                <w:bCs/>
                <w:color w:val="000000"/>
              </w:rPr>
              <w:t>5:51</w:t>
            </w:r>
          </w:p>
        </w:tc>
        <w:tc>
          <w:tcPr>
            <w:tcW w:w="1559" w:type="dxa"/>
            <w:tcBorders>
              <w:top w:val="single" w:sz="4" w:space="0" w:color="auto"/>
              <w:bottom w:val="single" w:sz="4" w:space="0" w:color="auto"/>
            </w:tcBorders>
            <w:shd w:val="clear" w:color="auto" w:fill="auto"/>
            <w:vAlign w:val="center"/>
          </w:tcPr>
          <w:p w14:paraId="2F929738"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7:25</w:t>
            </w:r>
          </w:p>
        </w:tc>
        <w:tc>
          <w:tcPr>
            <w:tcW w:w="850" w:type="dxa"/>
            <w:tcBorders>
              <w:top w:val="single" w:sz="4" w:space="0" w:color="auto"/>
              <w:bottom w:val="single" w:sz="4" w:space="0" w:color="auto"/>
            </w:tcBorders>
            <w:shd w:val="clear" w:color="auto" w:fill="auto"/>
            <w:vAlign w:val="center"/>
          </w:tcPr>
          <w:p w14:paraId="25C01BF5"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-1:34</w:t>
            </w:r>
          </w:p>
        </w:tc>
      </w:tr>
      <w:tr w:rsidR="00731337" w:rsidRPr="00731337" w14:paraId="124E5920" w14:textId="77777777" w:rsidTr="008D6C28">
        <w:trPr>
          <w:trHeight w:val="300"/>
        </w:trPr>
        <w:tc>
          <w:tcPr>
            <w:tcW w:w="848" w:type="dxa"/>
            <w:tcBorders>
              <w:top w:val="single" w:sz="4" w:space="0" w:color="auto"/>
              <w:bottom w:val="single" w:sz="4" w:space="0" w:color="auto"/>
            </w:tcBorders>
            <w:shd w:val="clear" w:color="auto" w:fill="D9D9D9"/>
            <w:noWrap/>
            <w:vAlign w:val="center"/>
          </w:tcPr>
          <w:p w14:paraId="717E53BA"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מחוזי</w:t>
            </w:r>
          </w:p>
        </w:tc>
        <w:tc>
          <w:tcPr>
            <w:tcW w:w="1275" w:type="dxa"/>
            <w:tcBorders>
              <w:top w:val="single" w:sz="4" w:space="0" w:color="auto"/>
              <w:bottom w:val="single" w:sz="4" w:space="0" w:color="auto"/>
            </w:tcBorders>
            <w:shd w:val="clear" w:color="auto" w:fill="D9D9D9"/>
            <w:noWrap/>
            <w:vAlign w:val="center"/>
          </w:tcPr>
          <w:p w14:paraId="165F0906"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אזרחי</w:t>
            </w:r>
          </w:p>
        </w:tc>
        <w:tc>
          <w:tcPr>
            <w:tcW w:w="2263" w:type="dxa"/>
            <w:tcBorders>
              <w:top w:val="single" w:sz="4" w:space="0" w:color="auto"/>
              <w:bottom w:val="single" w:sz="4" w:space="0" w:color="auto"/>
            </w:tcBorders>
            <w:shd w:val="clear" w:color="auto" w:fill="D9D9D9"/>
            <w:vAlign w:val="center"/>
          </w:tcPr>
          <w:p w14:paraId="56E9E7CC" w14:textId="77777777" w:rsidR="00731337" w:rsidRPr="00731337" w:rsidRDefault="00731337" w:rsidP="00731337">
            <w:pPr>
              <w:spacing w:after="0" w:line="240" w:lineRule="auto"/>
              <w:rPr>
                <w:rFonts w:ascii="David" w:hAnsi="David" w:cs="David"/>
                <w:color w:val="000000"/>
                <w:rtl/>
              </w:rPr>
            </w:pPr>
            <w:r w:rsidRPr="00731337">
              <w:rPr>
                <w:rFonts w:ascii="David" w:hAnsi="David" w:cs="David"/>
                <w:color w:val="000000"/>
                <w:rtl/>
              </w:rPr>
              <w:t>המרצת פתיחה בוררות (הפ"ב)</w:t>
            </w:r>
          </w:p>
        </w:tc>
        <w:tc>
          <w:tcPr>
            <w:tcW w:w="1276" w:type="dxa"/>
            <w:tcBorders>
              <w:top w:val="single" w:sz="4" w:space="0" w:color="auto"/>
              <w:bottom w:val="single" w:sz="4" w:space="0" w:color="auto"/>
            </w:tcBorders>
            <w:shd w:val="clear" w:color="auto" w:fill="D9D9D9"/>
            <w:vAlign w:val="center"/>
          </w:tcPr>
          <w:p w14:paraId="666E54EC" w14:textId="77777777" w:rsidR="00731337" w:rsidRPr="00731337" w:rsidRDefault="00731337" w:rsidP="00731337">
            <w:pPr>
              <w:spacing w:after="0" w:line="240" w:lineRule="auto"/>
              <w:jc w:val="center"/>
              <w:rPr>
                <w:rFonts w:ascii="David" w:hAnsi="David" w:cs="David"/>
                <w:color w:val="000000"/>
                <w:rtl/>
              </w:rPr>
            </w:pPr>
            <w:r w:rsidRPr="00731337">
              <w:rPr>
                <w:rFonts w:ascii="David" w:hAnsi="David" w:cs="David" w:hint="cs"/>
                <w:color w:val="000000"/>
                <w:rtl/>
              </w:rPr>
              <w:t>697</w:t>
            </w:r>
          </w:p>
        </w:tc>
        <w:tc>
          <w:tcPr>
            <w:tcW w:w="1418" w:type="dxa"/>
            <w:tcBorders>
              <w:top w:val="single" w:sz="4" w:space="0" w:color="auto"/>
              <w:bottom w:val="single" w:sz="4" w:space="0" w:color="auto"/>
            </w:tcBorders>
            <w:shd w:val="clear" w:color="auto" w:fill="D9D9D9"/>
            <w:noWrap/>
            <w:vAlign w:val="center"/>
          </w:tcPr>
          <w:p w14:paraId="31BCDD71" w14:textId="77777777" w:rsidR="00731337" w:rsidRPr="00731337" w:rsidRDefault="00731337" w:rsidP="00731337">
            <w:pPr>
              <w:spacing w:after="0" w:line="240" w:lineRule="auto"/>
              <w:jc w:val="center"/>
              <w:rPr>
                <w:rFonts w:asciiTheme="minorHAnsi" w:hAnsiTheme="minorHAnsi"/>
                <w:b/>
                <w:color w:val="000000"/>
              </w:rPr>
            </w:pPr>
            <w:r w:rsidRPr="00731337">
              <w:rPr>
                <w:rFonts w:ascii="David" w:hAnsi="David" w:cs="David"/>
                <w:b/>
                <w:bCs/>
                <w:color w:val="000000"/>
              </w:rPr>
              <w:t>5:12</w:t>
            </w:r>
          </w:p>
        </w:tc>
        <w:tc>
          <w:tcPr>
            <w:tcW w:w="1559" w:type="dxa"/>
            <w:tcBorders>
              <w:top w:val="single" w:sz="4" w:space="0" w:color="auto"/>
              <w:bottom w:val="single" w:sz="4" w:space="0" w:color="auto"/>
            </w:tcBorders>
            <w:shd w:val="clear" w:color="auto" w:fill="D9D9D9"/>
            <w:vAlign w:val="center"/>
          </w:tcPr>
          <w:p w14:paraId="35880D9F"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4:46</w:t>
            </w:r>
          </w:p>
        </w:tc>
        <w:tc>
          <w:tcPr>
            <w:tcW w:w="850" w:type="dxa"/>
            <w:tcBorders>
              <w:top w:val="single" w:sz="4" w:space="0" w:color="auto"/>
              <w:bottom w:val="single" w:sz="4" w:space="0" w:color="auto"/>
            </w:tcBorders>
            <w:shd w:val="clear" w:color="auto" w:fill="D9D9D9"/>
            <w:vAlign w:val="center"/>
          </w:tcPr>
          <w:p w14:paraId="3F7F50DF"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+0:26</w:t>
            </w:r>
          </w:p>
        </w:tc>
      </w:tr>
      <w:tr w:rsidR="00731337" w:rsidRPr="00731337" w14:paraId="5B64FBBE" w14:textId="77777777" w:rsidTr="008D6C28">
        <w:trPr>
          <w:trHeight w:val="300"/>
        </w:trPr>
        <w:tc>
          <w:tcPr>
            <w:tcW w:w="848" w:type="dxa"/>
            <w:tcBorders>
              <w:top w:val="single" w:sz="4" w:space="0" w:color="auto"/>
              <w:bottom w:val="single" w:sz="4" w:space="0" w:color="auto"/>
            </w:tcBorders>
            <w:shd w:val="clear" w:color="auto" w:fill="auto"/>
            <w:noWrap/>
            <w:vAlign w:val="center"/>
          </w:tcPr>
          <w:p w14:paraId="62BDD97E"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מחוזי</w:t>
            </w:r>
          </w:p>
        </w:tc>
        <w:tc>
          <w:tcPr>
            <w:tcW w:w="1275" w:type="dxa"/>
            <w:tcBorders>
              <w:top w:val="single" w:sz="4" w:space="0" w:color="auto"/>
              <w:bottom w:val="single" w:sz="4" w:space="0" w:color="auto"/>
            </w:tcBorders>
            <w:shd w:val="clear" w:color="auto" w:fill="auto"/>
            <w:noWrap/>
            <w:vAlign w:val="center"/>
          </w:tcPr>
          <w:p w14:paraId="284DB1CF"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אזרחי</w:t>
            </w:r>
          </w:p>
        </w:tc>
        <w:tc>
          <w:tcPr>
            <w:tcW w:w="2263" w:type="dxa"/>
            <w:tcBorders>
              <w:top w:val="single" w:sz="4" w:space="0" w:color="auto"/>
              <w:bottom w:val="single" w:sz="4" w:space="0" w:color="auto"/>
            </w:tcBorders>
            <w:shd w:val="clear" w:color="auto" w:fill="auto"/>
            <w:vAlign w:val="center"/>
          </w:tcPr>
          <w:p w14:paraId="47AB0F6A" w14:textId="77777777" w:rsidR="00731337" w:rsidRPr="00731337" w:rsidRDefault="00731337" w:rsidP="00731337">
            <w:pPr>
              <w:spacing w:after="0" w:line="240" w:lineRule="auto"/>
              <w:rPr>
                <w:rFonts w:ascii="David" w:hAnsi="David" w:cs="David"/>
                <w:color w:val="000000"/>
                <w:rtl/>
              </w:rPr>
            </w:pPr>
            <w:r w:rsidRPr="00731337">
              <w:rPr>
                <w:rFonts w:ascii="David" w:hAnsi="David" w:cs="David"/>
                <w:color w:val="000000"/>
                <w:rtl/>
              </w:rPr>
              <w:t>ערעור אזרחי (ע"א) - דן יחיד</w:t>
            </w:r>
          </w:p>
        </w:tc>
        <w:tc>
          <w:tcPr>
            <w:tcW w:w="1276" w:type="dxa"/>
            <w:tcBorders>
              <w:top w:val="single" w:sz="4" w:space="0" w:color="auto"/>
              <w:bottom w:val="single" w:sz="4" w:space="0" w:color="auto"/>
            </w:tcBorders>
            <w:shd w:val="clear" w:color="auto" w:fill="auto"/>
            <w:vAlign w:val="center"/>
          </w:tcPr>
          <w:p w14:paraId="087B3EB6" w14:textId="77777777" w:rsidR="00731337" w:rsidRPr="00731337" w:rsidRDefault="00731337" w:rsidP="00731337">
            <w:pPr>
              <w:spacing w:after="0" w:line="240" w:lineRule="auto"/>
              <w:jc w:val="center"/>
              <w:rPr>
                <w:rFonts w:ascii="David" w:hAnsi="David" w:cs="David"/>
                <w:color w:val="000000"/>
                <w:rtl/>
              </w:rPr>
            </w:pPr>
            <w:r w:rsidRPr="00731337">
              <w:rPr>
                <w:rFonts w:ascii="David" w:hAnsi="David" w:cs="David" w:hint="cs"/>
                <w:color w:val="000000"/>
                <w:rtl/>
              </w:rPr>
              <w:t>1,394</w:t>
            </w:r>
          </w:p>
        </w:tc>
        <w:tc>
          <w:tcPr>
            <w:tcW w:w="1418" w:type="dxa"/>
            <w:tcBorders>
              <w:top w:val="single" w:sz="4" w:space="0" w:color="auto"/>
              <w:bottom w:val="single" w:sz="4" w:space="0" w:color="auto"/>
            </w:tcBorders>
            <w:shd w:val="clear" w:color="auto" w:fill="auto"/>
            <w:noWrap/>
            <w:vAlign w:val="center"/>
          </w:tcPr>
          <w:p w14:paraId="7B21807D" w14:textId="77777777" w:rsidR="00731337" w:rsidRPr="00731337" w:rsidRDefault="00731337" w:rsidP="00731337">
            <w:pPr>
              <w:spacing w:after="0" w:line="240" w:lineRule="auto"/>
              <w:jc w:val="center"/>
              <w:rPr>
                <w:rFonts w:ascii="David" w:hAnsi="David" w:cs="David"/>
                <w:b/>
                <w:bCs/>
                <w:color w:val="000000"/>
                <w:rtl/>
              </w:rPr>
            </w:pPr>
            <w:r w:rsidRPr="00731337">
              <w:rPr>
                <w:rFonts w:ascii="David" w:hAnsi="David" w:cs="David" w:hint="cs"/>
                <w:b/>
                <w:bCs/>
                <w:color w:val="000000"/>
                <w:rtl/>
              </w:rPr>
              <w:t>4:35</w:t>
            </w:r>
          </w:p>
        </w:tc>
        <w:tc>
          <w:tcPr>
            <w:tcW w:w="1559" w:type="dxa"/>
            <w:tcBorders>
              <w:top w:val="single" w:sz="4" w:space="0" w:color="auto"/>
              <w:bottom w:val="single" w:sz="4" w:space="0" w:color="auto"/>
            </w:tcBorders>
            <w:shd w:val="clear" w:color="auto" w:fill="auto"/>
            <w:vAlign w:val="center"/>
          </w:tcPr>
          <w:p w14:paraId="4F4B3A57"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w:t>
            </w:r>
          </w:p>
        </w:tc>
        <w:tc>
          <w:tcPr>
            <w:tcW w:w="850" w:type="dxa"/>
            <w:tcBorders>
              <w:top w:val="single" w:sz="4" w:space="0" w:color="auto"/>
              <w:bottom w:val="single" w:sz="4" w:space="0" w:color="auto"/>
            </w:tcBorders>
            <w:shd w:val="clear" w:color="auto" w:fill="auto"/>
            <w:vAlign w:val="center"/>
          </w:tcPr>
          <w:p w14:paraId="1409EA0F" w14:textId="77777777" w:rsidR="00731337" w:rsidRPr="00731337" w:rsidRDefault="00731337" w:rsidP="00731337">
            <w:pPr>
              <w:spacing w:after="0" w:line="240" w:lineRule="auto"/>
              <w:jc w:val="center"/>
              <w:rPr>
                <w:rFonts w:ascii="David" w:hAnsi="David" w:cs="David"/>
                <w:color w:val="000000"/>
                <w:rtl/>
              </w:rPr>
            </w:pPr>
            <w:r w:rsidRPr="00731337">
              <w:rPr>
                <w:rFonts w:ascii="David" w:hAnsi="David" w:cs="David"/>
                <w:color w:val="000000"/>
              </w:rPr>
              <w:t>-</w:t>
            </w:r>
          </w:p>
        </w:tc>
      </w:tr>
      <w:tr w:rsidR="00731337" w:rsidRPr="00731337" w14:paraId="199B838B" w14:textId="77777777" w:rsidTr="008D6C28">
        <w:trPr>
          <w:trHeight w:val="300"/>
        </w:trPr>
        <w:tc>
          <w:tcPr>
            <w:tcW w:w="848" w:type="dxa"/>
            <w:tcBorders>
              <w:top w:val="single" w:sz="4" w:space="0" w:color="auto"/>
              <w:bottom w:val="single" w:sz="4" w:space="0" w:color="auto"/>
            </w:tcBorders>
            <w:shd w:val="clear" w:color="auto" w:fill="D9D9D9"/>
            <w:noWrap/>
            <w:vAlign w:val="center"/>
          </w:tcPr>
          <w:p w14:paraId="4C1A8E00"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מחוזי</w:t>
            </w:r>
          </w:p>
        </w:tc>
        <w:tc>
          <w:tcPr>
            <w:tcW w:w="1275" w:type="dxa"/>
            <w:tcBorders>
              <w:top w:val="single" w:sz="4" w:space="0" w:color="auto"/>
              <w:bottom w:val="single" w:sz="4" w:space="0" w:color="auto"/>
            </w:tcBorders>
            <w:shd w:val="clear" w:color="auto" w:fill="D9D9D9"/>
            <w:noWrap/>
            <w:vAlign w:val="center"/>
          </w:tcPr>
          <w:p w14:paraId="31C67802"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אזרחי</w:t>
            </w:r>
          </w:p>
        </w:tc>
        <w:tc>
          <w:tcPr>
            <w:tcW w:w="2263" w:type="dxa"/>
            <w:tcBorders>
              <w:top w:val="single" w:sz="4" w:space="0" w:color="auto"/>
              <w:bottom w:val="single" w:sz="4" w:space="0" w:color="auto"/>
            </w:tcBorders>
            <w:shd w:val="clear" w:color="auto" w:fill="D9D9D9"/>
            <w:vAlign w:val="center"/>
          </w:tcPr>
          <w:p w14:paraId="25F6AEAF" w14:textId="77777777" w:rsidR="00731337" w:rsidRPr="00731337" w:rsidRDefault="00731337" w:rsidP="00731337">
            <w:pPr>
              <w:spacing w:after="0" w:line="240" w:lineRule="auto"/>
              <w:rPr>
                <w:rFonts w:ascii="David" w:hAnsi="David" w:cs="David"/>
                <w:color w:val="000000"/>
                <w:rtl/>
              </w:rPr>
            </w:pPr>
            <w:r w:rsidRPr="00731337">
              <w:rPr>
                <w:rFonts w:ascii="David" w:hAnsi="David" w:cs="David"/>
                <w:color w:val="000000"/>
                <w:rtl/>
              </w:rPr>
              <w:t>פשיטת רגל (פש"ר)</w:t>
            </w:r>
          </w:p>
        </w:tc>
        <w:tc>
          <w:tcPr>
            <w:tcW w:w="1276" w:type="dxa"/>
            <w:tcBorders>
              <w:top w:val="single" w:sz="4" w:space="0" w:color="auto"/>
              <w:bottom w:val="single" w:sz="4" w:space="0" w:color="auto"/>
            </w:tcBorders>
            <w:shd w:val="clear" w:color="auto" w:fill="D9D9D9"/>
            <w:vAlign w:val="center"/>
          </w:tcPr>
          <w:p w14:paraId="03982DC5" w14:textId="77777777" w:rsidR="00731337" w:rsidRPr="00731337" w:rsidRDefault="00731337" w:rsidP="00731337">
            <w:pPr>
              <w:spacing w:after="0" w:line="240" w:lineRule="auto"/>
              <w:jc w:val="center"/>
              <w:rPr>
                <w:rFonts w:ascii="David" w:hAnsi="David" w:cs="David"/>
                <w:color w:val="000000"/>
                <w:rtl/>
              </w:rPr>
            </w:pPr>
            <w:r w:rsidRPr="00731337">
              <w:rPr>
                <w:rFonts w:ascii="David" w:hAnsi="David" w:cs="David"/>
                <w:color w:val="000000"/>
              </w:rPr>
              <w:t>18,578</w:t>
            </w:r>
          </w:p>
        </w:tc>
        <w:tc>
          <w:tcPr>
            <w:tcW w:w="1418" w:type="dxa"/>
            <w:tcBorders>
              <w:top w:val="single" w:sz="4" w:space="0" w:color="auto"/>
              <w:bottom w:val="single" w:sz="4" w:space="0" w:color="auto"/>
            </w:tcBorders>
            <w:shd w:val="clear" w:color="auto" w:fill="D9D9D9"/>
            <w:noWrap/>
            <w:vAlign w:val="center"/>
          </w:tcPr>
          <w:p w14:paraId="002088E8" w14:textId="77777777" w:rsidR="00731337" w:rsidRPr="00731337" w:rsidRDefault="00731337" w:rsidP="00731337">
            <w:pPr>
              <w:spacing w:after="0" w:line="240" w:lineRule="auto"/>
              <w:jc w:val="center"/>
              <w:rPr>
                <w:rFonts w:ascii="David" w:hAnsi="David" w:cs="David"/>
                <w:b/>
                <w:bCs/>
                <w:color w:val="000000"/>
                <w:rtl/>
              </w:rPr>
            </w:pPr>
            <w:r w:rsidRPr="00731337">
              <w:rPr>
                <w:rFonts w:ascii="David" w:hAnsi="David" w:cs="David" w:hint="cs"/>
                <w:b/>
                <w:bCs/>
                <w:color w:val="000000"/>
                <w:rtl/>
              </w:rPr>
              <w:t>4:19</w:t>
            </w:r>
          </w:p>
        </w:tc>
        <w:tc>
          <w:tcPr>
            <w:tcW w:w="1559" w:type="dxa"/>
            <w:tcBorders>
              <w:top w:val="single" w:sz="4" w:space="0" w:color="auto"/>
              <w:bottom w:val="single" w:sz="4" w:space="0" w:color="auto"/>
            </w:tcBorders>
            <w:shd w:val="clear" w:color="auto" w:fill="D9D9D9"/>
            <w:vAlign w:val="center"/>
          </w:tcPr>
          <w:p w14:paraId="7B30D171"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4:34</w:t>
            </w:r>
          </w:p>
        </w:tc>
        <w:tc>
          <w:tcPr>
            <w:tcW w:w="850" w:type="dxa"/>
            <w:tcBorders>
              <w:top w:val="single" w:sz="4" w:space="0" w:color="auto"/>
              <w:bottom w:val="single" w:sz="4" w:space="0" w:color="auto"/>
            </w:tcBorders>
            <w:shd w:val="clear" w:color="auto" w:fill="D9D9D9"/>
            <w:vAlign w:val="center"/>
          </w:tcPr>
          <w:p w14:paraId="1ADFDFDB"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-0:15</w:t>
            </w:r>
          </w:p>
        </w:tc>
      </w:tr>
      <w:tr w:rsidR="00731337" w:rsidRPr="00731337" w14:paraId="26AD9AE2" w14:textId="77777777" w:rsidTr="008D6C28">
        <w:trPr>
          <w:trHeight w:val="540"/>
        </w:trPr>
        <w:tc>
          <w:tcPr>
            <w:tcW w:w="848" w:type="dxa"/>
            <w:tcBorders>
              <w:top w:val="single" w:sz="4" w:space="0" w:color="auto"/>
              <w:bottom w:val="single" w:sz="4" w:space="0" w:color="auto"/>
            </w:tcBorders>
            <w:shd w:val="clear" w:color="auto" w:fill="FFFFFF"/>
            <w:noWrap/>
            <w:vAlign w:val="center"/>
          </w:tcPr>
          <w:p w14:paraId="7E121AB3"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מחוזי</w:t>
            </w:r>
          </w:p>
        </w:tc>
        <w:tc>
          <w:tcPr>
            <w:tcW w:w="1275" w:type="dxa"/>
            <w:tcBorders>
              <w:top w:val="single" w:sz="4" w:space="0" w:color="auto"/>
              <w:bottom w:val="single" w:sz="4" w:space="0" w:color="auto"/>
            </w:tcBorders>
            <w:shd w:val="clear" w:color="auto" w:fill="FFFFFF"/>
            <w:noWrap/>
            <w:vAlign w:val="center"/>
          </w:tcPr>
          <w:p w14:paraId="17972F81"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עניינים מנהליים/</w:t>
            </w:r>
            <w:r w:rsidRPr="00731337">
              <w:rPr>
                <w:rFonts w:ascii="David" w:hAnsi="David" w:cs="David" w:hint="cs"/>
                <w:color w:val="000000"/>
                <w:rtl/>
              </w:rPr>
              <w:t xml:space="preserve"> </w:t>
            </w:r>
            <w:r w:rsidRPr="00731337">
              <w:rPr>
                <w:rFonts w:ascii="David" w:hAnsi="David" w:cs="David"/>
                <w:color w:val="000000"/>
                <w:rtl/>
              </w:rPr>
              <w:t>אזרחי</w:t>
            </w:r>
          </w:p>
        </w:tc>
        <w:tc>
          <w:tcPr>
            <w:tcW w:w="2263" w:type="dxa"/>
            <w:tcBorders>
              <w:top w:val="single" w:sz="4" w:space="0" w:color="auto"/>
              <w:bottom w:val="single" w:sz="4" w:space="0" w:color="auto"/>
            </w:tcBorders>
            <w:shd w:val="clear" w:color="auto" w:fill="FFFFFF"/>
            <w:vAlign w:val="center"/>
          </w:tcPr>
          <w:p w14:paraId="1E061FB0" w14:textId="77777777" w:rsidR="00731337" w:rsidRPr="00731337" w:rsidRDefault="00731337" w:rsidP="00731337">
            <w:pPr>
              <w:spacing w:after="0" w:line="240" w:lineRule="auto"/>
              <w:rPr>
                <w:rFonts w:ascii="David" w:hAnsi="David" w:cs="David"/>
                <w:color w:val="000000"/>
                <w:rtl/>
              </w:rPr>
            </w:pPr>
            <w:r w:rsidRPr="00731337">
              <w:rPr>
                <w:rFonts w:ascii="David" w:hAnsi="David" w:cs="David"/>
                <w:color w:val="000000"/>
                <w:rtl/>
              </w:rPr>
              <w:t>ועדת ערר (ו"ע)</w:t>
            </w:r>
          </w:p>
        </w:tc>
        <w:tc>
          <w:tcPr>
            <w:tcW w:w="1276" w:type="dxa"/>
            <w:tcBorders>
              <w:top w:val="single" w:sz="4" w:space="0" w:color="auto"/>
              <w:bottom w:val="single" w:sz="4" w:space="0" w:color="auto"/>
            </w:tcBorders>
            <w:shd w:val="clear" w:color="auto" w:fill="FFFFFF"/>
            <w:vAlign w:val="center"/>
          </w:tcPr>
          <w:p w14:paraId="6BFA62C6"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hint="cs"/>
                <w:color w:val="000000"/>
                <w:rtl/>
              </w:rPr>
              <w:t>777</w:t>
            </w:r>
          </w:p>
        </w:tc>
        <w:tc>
          <w:tcPr>
            <w:tcW w:w="1418" w:type="dxa"/>
            <w:tcBorders>
              <w:top w:val="single" w:sz="4" w:space="0" w:color="auto"/>
              <w:bottom w:val="single" w:sz="4" w:space="0" w:color="auto"/>
            </w:tcBorders>
            <w:shd w:val="clear" w:color="auto" w:fill="FFFFFF"/>
            <w:noWrap/>
            <w:vAlign w:val="center"/>
          </w:tcPr>
          <w:p w14:paraId="7FAC3CD6" w14:textId="77777777" w:rsidR="00731337" w:rsidRPr="00731337" w:rsidRDefault="00731337" w:rsidP="00731337">
            <w:pPr>
              <w:spacing w:after="0" w:line="240" w:lineRule="auto"/>
              <w:jc w:val="center"/>
              <w:rPr>
                <w:rFonts w:ascii="David" w:hAnsi="David" w:cs="David"/>
                <w:b/>
                <w:bCs/>
                <w:color w:val="000000"/>
              </w:rPr>
            </w:pPr>
            <w:r w:rsidRPr="00731337">
              <w:rPr>
                <w:rFonts w:ascii="David" w:hAnsi="David" w:cs="David"/>
                <w:b/>
                <w:bCs/>
                <w:color w:val="000000"/>
              </w:rPr>
              <w:t>4:15</w:t>
            </w:r>
          </w:p>
        </w:tc>
        <w:tc>
          <w:tcPr>
            <w:tcW w:w="1559" w:type="dxa"/>
            <w:tcBorders>
              <w:top w:val="single" w:sz="4" w:space="0" w:color="auto"/>
              <w:bottom w:val="single" w:sz="4" w:space="0" w:color="auto"/>
            </w:tcBorders>
            <w:shd w:val="clear" w:color="auto" w:fill="FFFFFF"/>
            <w:vAlign w:val="center"/>
          </w:tcPr>
          <w:p w14:paraId="0DA6E823"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3:36</w:t>
            </w:r>
          </w:p>
        </w:tc>
        <w:tc>
          <w:tcPr>
            <w:tcW w:w="850" w:type="dxa"/>
            <w:tcBorders>
              <w:top w:val="single" w:sz="4" w:space="0" w:color="auto"/>
              <w:bottom w:val="single" w:sz="4" w:space="0" w:color="auto"/>
            </w:tcBorders>
            <w:shd w:val="clear" w:color="auto" w:fill="FFFFFF"/>
            <w:vAlign w:val="center"/>
          </w:tcPr>
          <w:p w14:paraId="57244D12"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+0:39</w:t>
            </w:r>
          </w:p>
        </w:tc>
      </w:tr>
      <w:tr w:rsidR="00731337" w:rsidRPr="00731337" w14:paraId="17941E69" w14:textId="77777777" w:rsidTr="008D6C28">
        <w:trPr>
          <w:trHeight w:val="540"/>
        </w:trPr>
        <w:tc>
          <w:tcPr>
            <w:tcW w:w="848" w:type="dxa"/>
            <w:tcBorders>
              <w:top w:val="single" w:sz="4" w:space="0" w:color="auto"/>
              <w:bottom w:val="single" w:sz="4" w:space="0" w:color="auto"/>
            </w:tcBorders>
            <w:shd w:val="clear" w:color="auto" w:fill="D9D9D9"/>
            <w:noWrap/>
            <w:vAlign w:val="center"/>
          </w:tcPr>
          <w:p w14:paraId="6D1BA6CB"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מחוזי</w:t>
            </w:r>
          </w:p>
        </w:tc>
        <w:tc>
          <w:tcPr>
            <w:tcW w:w="1275" w:type="dxa"/>
            <w:tcBorders>
              <w:top w:val="single" w:sz="4" w:space="0" w:color="auto"/>
              <w:bottom w:val="single" w:sz="4" w:space="0" w:color="auto"/>
            </w:tcBorders>
            <w:shd w:val="clear" w:color="auto" w:fill="D9D9D9"/>
            <w:noWrap/>
            <w:vAlign w:val="center"/>
          </w:tcPr>
          <w:p w14:paraId="58DA99A7"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אזרחי</w:t>
            </w:r>
          </w:p>
        </w:tc>
        <w:tc>
          <w:tcPr>
            <w:tcW w:w="2263" w:type="dxa"/>
            <w:tcBorders>
              <w:top w:val="single" w:sz="4" w:space="0" w:color="auto"/>
              <w:bottom w:val="single" w:sz="4" w:space="0" w:color="auto"/>
            </w:tcBorders>
            <w:shd w:val="clear" w:color="auto" w:fill="D9D9D9"/>
            <w:vAlign w:val="center"/>
          </w:tcPr>
          <w:p w14:paraId="554588B0" w14:textId="77777777" w:rsidR="00731337" w:rsidRPr="00731337" w:rsidRDefault="00731337" w:rsidP="00731337">
            <w:pPr>
              <w:rPr>
                <w:rFonts w:ascii="David" w:hAnsi="David" w:cs="David"/>
                <w:color w:val="000000"/>
                <w:rtl/>
              </w:rPr>
            </w:pPr>
            <w:r w:rsidRPr="00731337">
              <w:rPr>
                <w:rFonts w:ascii="David" w:hAnsi="David" w:cs="David"/>
                <w:color w:val="000000"/>
                <w:rtl/>
              </w:rPr>
              <w:t>ערעור שונה - אזרחי (עש"א)</w:t>
            </w:r>
          </w:p>
        </w:tc>
        <w:tc>
          <w:tcPr>
            <w:tcW w:w="1276" w:type="dxa"/>
            <w:tcBorders>
              <w:top w:val="single" w:sz="4" w:space="0" w:color="auto"/>
              <w:bottom w:val="single" w:sz="4" w:space="0" w:color="auto"/>
            </w:tcBorders>
            <w:shd w:val="clear" w:color="auto" w:fill="D9D9D9"/>
            <w:vAlign w:val="center"/>
          </w:tcPr>
          <w:p w14:paraId="6799ACCA"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hint="cs"/>
                <w:color w:val="000000"/>
                <w:rtl/>
              </w:rPr>
              <w:t>446</w:t>
            </w:r>
          </w:p>
        </w:tc>
        <w:tc>
          <w:tcPr>
            <w:tcW w:w="1418" w:type="dxa"/>
            <w:tcBorders>
              <w:top w:val="single" w:sz="4" w:space="0" w:color="auto"/>
              <w:bottom w:val="single" w:sz="4" w:space="0" w:color="auto"/>
            </w:tcBorders>
            <w:shd w:val="clear" w:color="auto" w:fill="D9D9D9"/>
            <w:noWrap/>
            <w:vAlign w:val="center"/>
          </w:tcPr>
          <w:p w14:paraId="0D86ADF5" w14:textId="77777777" w:rsidR="00731337" w:rsidRPr="00731337" w:rsidRDefault="00731337" w:rsidP="00731337">
            <w:pPr>
              <w:spacing w:after="0" w:line="240" w:lineRule="auto"/>
              <w:jc w:val="center"/>
              <w:rPr>
                <w:rFonts w:ascii="David" w:hAnsi="David" w:cs="David"/>
                <w:b/>
                <w:bCs/>
                <w:color w:val="000000"/>
              </w:rPr>
            </w:pPr>
            <w:r w:rsidRPr="00731337">
              <w:rPr>
                <w:rFonts w:ascii="David" w:hAnsi="David" w:cs="David" w:hint="cs"/>
                <w:b/>
                <w:bCs/>
                <w:color w:val="000000"/>
                <w:rtl/>
              </w:rPr>
              <w:t>3:49</w:t>
            </w:r>
          </w:p>
        </w:tc>
        <w:tc>
          <w:tcPr>
            <w:tcW w:w="1559" w:type="dxa"/>
            <w:tcBorders>
              <w:top w:val="single" w:sz="4" w:space="0" w:color="auto"/>
              <w:bottom w:val="single" w:sz="4" w:space="0" w:color="auto"/>
            </w:tcBorders>
            <w:shd w:val="clear" w:color="auto" w:fill="D9D9D9"/>
            <w:vAlign w:val="center"/>
          </w:tcPr>
          <w:p w14:paraId="02CC4B0D"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w:t>
            </w:r>
          </w:p>
        </w:tc>
        <w:tc>
          <w:tcPr>
            <w:tcW w:w="850" w:type="dxa"/>
            <w:tcBorders>
              <w:top w:val="single" w:sz="4" w:space="0" w:color="auto"/>
              <w:bottom w:val="single" w:sz="4" w:space="0" w:color="auto"/>
            </w:tcBorders>
            <w:shd w:val="clear" w:color="auto" w:fill="D9D9D9"/>
            <w:vAlign w:val="center"/>
          </w:tcPr>
          <w:p w14:paraId="7267EA4A"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w:t>
            </w:r>
          </w:p>
        </w:tc>
      </w:tr>
      <w:tr w:rsidR="00731337" w:rsidRPr="00731337" w14:paraId="34B232E4" w14:textId="77777777" w:rsidTr="008D6C28">
        <w:trPr>
          <w:trHeight w:val="600"/>
        </w:trPr>
        <w:tc>
          <w:tcPr>
            <w:tcW w:w="848" w:type="dxa"/>
            <w:tcBorders>
              <w:top w:val="single" w:sz="4" w:space="0" w:color="auto"/>
              <w:bottom w:val="single" w:sz="4" w:space="0" w:color="auto"/>
            </w:tcBorders>
            <w:shd w:val="clear" w:color="auto" w:fill="auto"/>
            <w:noWrap/>
            <w:vAlign w:val="center"/>
          </w:tcPr>
          <w:p w14:paraId="285F6090"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מחוזי</w:t>
            </w:r>
          </w:p>
        </w:tc>
        <w:tc>
          <w:tcPr>
            <w:tcW w:w="1275" w:type="dxa"/>
            <w:tcBorders>
              <w:top w:val="single" w:sz="4" w:space="0" w:color="auto"/>
              <w:bottom w:val="single" w:sz="4" w:space="0" w:color="auto"/>
            </w:tcBorders>
            <w:shd w:val="clear" w:color="auto" w:fill="auto"/>
            <w:noWrap/>
            <w:vAlign w:val="center"/>
          </w:tcPr>
          <w:p w14:paraId="6E08338D"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עניינים מנהליים/ אזרחי</w:t>
            </w:r>
          </w:p>
        </w:tc>
        <w:tc>
          <w:tcPr>
            <w:tcW w:w="2263" w:type="dxa"/>
            <w:tcBorders>
              <w:top w:val="single" w:sz="4" w:space="0" w:color="auto"/>
              <w:bottom w:val="single" w:sz="4" w:space="0" w:color="auto"/>
            </w:tcBorders>
            <w:shd w:val="clear" w:color="auto" w:fill="auto"/>
            <w:vAlign w:val="center"/>
          </w:tcPr>
          <w:p w14:paraId="4BAE8DC0" w14:textId="77777777" w:rsidR="00731337" w:rsidRPr="00731337" w:rsidRDefault="00731337" w:rsidP="00731337">
            <w:pPr>
              <w:spacing w:after="0" w:line="240" w:lineRule="auto"/>
              <w:rPr>
                <w:rFonts w:ascii="David" w:hAnsi="David" w:cs="David"/>
                <w:color w:val="000000"/>
                <w:rtl/>
              </w:rPr>
            </w:pPr>
            <w:r w:rsidRPr="00731337">
              <w:rPr>
                <w:rFonts w:ascii="David" w:hAnsi="David" w:cs="David"/>
                <w:color w:val="000000"/>
                <w:rtl/>
              </w:rPr>
              <w:t>ערעור על ועדה (ע"ו)</w:t>
            </w:r>
          </w:p>
        </w:tc>
        <w:tc>
          <w:tcPr>
            <w:tcW w:w="1276" w:type="dxa"/>
            <w:tcBorders>
              <w:top w:val="single" w:sz="4" w:space="0" w:color="auto"/>
              <w:bottom w:val="single" w:sz="4" w:space="0" w:color="auto"/>
            </w:tcBorders>
            <w:shd w:val="clear" w:color="auto" w:fill="auto"/>
            <w:vAlign w:val="center"/>
          </w:tcPr>
          <w:p w14:paraId="0280DD63"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1,034</w:t>
            </w:r>
          </w:p>
        </w:tc>
        <w:tc>
          <w:tcPr>
            <w:tcW w:w="1418" w:type="dxa"/>
            <w:tcBorders>
              <w:top w:val="single" w:sz="4" w:space="0" w:color="auto"/>
              <w:bottom w:val="single" w:sz="4" w:space="0" w:color="auto"/>
            </w:tcBorders>
            <w:shd w:val="clear" w:color="auto" w:fill="auto"/>
            <w:noWrap/>
            <w:vAlign w:val="center"/>
          </w:tcPr>
          <w:p w14:paraId="24B9E241" w14:textId="77777777" w:rsidR="00731337" w:rsidRPr="00731337" w:rsidRDefault="00731337" w:rsidP="00731337">
            <w:pPr>
              <w:spacing w:after="0" w:line="240" w:lineRule="auto"/>
              <w:jc w:val="center"/>
              <w:rPr>
                <w:rFonts w:ascii="David" w:hAnsi="David" w:cs="David"/>
                <w:b/>
                <w:bCs/>
                <w:color w:val="000000"/>
              </w:rPr>
            </w:pPr>
            <w:r w:rsidRPr="00731337">
              <w:rPr>
                <w:rFonts w:ascii="David" w:hAnsi="David" w:cs="David"/>
                <w:b/>
                <w:bCs/>
                <w:color w:val="000000"/>
              </w:rPr>
              <w:t>3:16</w:t>
            </w:r>
          </w:p>
        </w:tc>
        <w:tc>
          <w:tcPr>
            <w:tcW w:w="1559" w:type="dxa"/>
            <w:tcBorders>
              <w:top w:val="single" w:sz="4" w:space="0" w:color="auto"/>
              <w:bottom w:val="single" w:sz="4" w:space="0" w:color="auto"/>
            </w:tcBorders>
            <w:shd w:val="clear" w:color="auto" w:fill="auto"/>
            <w:vAlign w:val="center"/>
          </w:tcPr>
          <w:p w14:paraId="0A298F71"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hint="cs"/>
                <w:color w:val="000000"/>
                <w:rtl/>
              </w:rPr>
              <w:t>5:58</w:t>
            </w:r>
          </w:p>
        </w:tc>
        <w:tc>
          <w:tcPr>
            <w:tcW w:w="850" w:type="dxa"/>
            <w:tcBorders>
              <w:top w:val="single" w:sz="4" w:space="0" w:color="auto"/>
              <w:bottom w:val="single" w:sz="4" w:space="0" w:color="auto"/>
            </w:tcBorders>
            <w:shd w:val="clear" w:color="auto" w:fill="auto"/>
            <w:vAlign w:val="center"/>
          </w:tcPr>
          <w:p w14:paraId="77709287"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hint="cs"/>
                <w:color w:val="000000"/>
                <w:rtl/>
              </w:rPr>
              <w:t>2:42-</w:t>
            </w:r>
          </w:p>
        </w:tc>
      </w:tr>
      <w:tr w:rsidR="00731337" w:rsidRPr="00731337" w14:paraId="75B3E66C" w14:textId="77777777" w:rsidTr="008D6C28">
        <w:trPr>
          <w:trHeight w:val="300"/>
        </w:trPr>
        <w:tc>
          <w:tcPr>
            <w:tcW w:w="848" w:type="dxa"/>
            <w:tcBorders>
              <w:top w:val="single" w:sz="4" w:space="0" w:color="auto"/>
              <w:bottom w:val="single" w:sz="4" w:space="0" w:color="auto"/>
            </w:tcBorders>
            <w:shd w:val="clear" w:color="auto" w:fill="D9D9D9"/>
            <w:noWrap/>
            <w:vAlign w:val="center"/>
          </w:tcPr>
          <w:p w14:paraId="33571365"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מחוזי</w:t>
            </w:r>
          </w:p>
        </w:tc>
        <w:tc>
          <w:tcPr>
            <w:tcW w:w="1275" w:type="dxa"/>
            <w:tcBorders>
              <w:top w:val="single" w:sz="4" w:space="0" w:color="auto"/>
              <w:bottom w:val="single" w:sz="4" w:space="0" w:color="auto"/>
            </w:tcBorders>
            <w:shd w:val="clear" w:color="auto" w:fill="D9D9D9"/>
            <w:noWrap/>
            <w:vAlign w:val="center"/>
          </w:tcPr>
          <w:p w14:paraId="2E8FD6DE"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ערעור אזרחי</w:t>
            </w:r>
          </w:p>
        </w:tc>
        <w:tc>
          <w:tcPr>
            <w:tcW w:w="2263" w:type="dxa"/>
            <w:tcBorders>
              <w:top w:val="single" w:sz="4" w:space="0" w:color="auto"/>
              <w:bottom w:val="single" w:sz="4" w:space="0" w:color="auto"/>
            </w:tcBorders>
            <w:shd w:val="clear" w:color="auto" w:fill="D9D9D9"/>
            <w:vAlign w:val="center"/>
          </w:tcPr>
          <w:p w14:paraId="5F32DFEF" w14:textId="77777777" w:rsidR="00731337" w:rsidRPr="00731337" w:rsidRDefault="00731337" w:rsidP="00731337">
            <w:pPr>
              <w:spacing w:after="0" w:line="240" w:lineRule="auto"/>
              <w:rPr>
                <w:rFonts w:ascii="David" w:hAnsi="David" w:cs="David"/>
                <w:color w:val="000000"/>
                <w:rtl/>
              </w:rPr>
            </w:pPr>
            <w:r w:rsidRPr="00731337">
              <w:rPr>
                <w:rFonts w:ascii="David" w:hAnsi="David" w:cs="David"/>
                <w:color w:val="000000"/>
                <w:rtl/>
              </w:rPr>
              <w:t>רשות ערעור אזרחי (רע"א) - דן יחיד</w:t>
            </w:r>
          </w:p>
        </w:tc>
        <w:tc>
          <w:tcPr>
            <w:tcW w:w="1276" w:type="dxa"/>
            <w:tcBorders>
              <w:top w:val="single" w:sz="4" w:space="0" w:color="auto"/>
              <w:bottom w:val="single" w:sz="4" w:space="0" w:color="auto"/>
            </w:tcBorders>
            <w:shd w:val="clear" w:color="auto" w:fill="D9D9D9"/>
            <w:vAlign w:val="center"/>
          </w:tcPr>
          <w:p w14:paraId="3DC5B322"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1,268</w:t>
            </w:r>
          </w:p>
        </w:tc>
        <w:tc>
          <w:tcPr>
            <w:tcW w:w="1418" w:type="dxa"/>
            <w:tcBorders>
              <w:top w:val="single" w:sz="4" w:space="0" w:color="auto"/>
              <w:bottom w:val="single" w:sz="4" w:space="0" w:color="auto"/>
            </w:tcBorders>
            <w:shd w:val="clear" w:color="auto" w:fill="D9D9D9"/>
            <w:noWrap/>
            <w:vAlign w:val="center"/>
          </w:tcPr>
          <w:p w14:paraId="6475FAFD" w14:textId="77777777" w:rsidR="00731337" w:rsidRPr="00731337" w:rsidRDefault="00731337" w:rsidP="00731337">
            <w:pPr>
              <w:spacing w:after="0" w:line="240" w:lineRule="auto"/>
              <w:jc w:val="center"/>
              <w:rPr>
                <w:rFonts w:ascii="David" w:hAnsi="David" w:cs="David"/>
                <w:b/>
                <w:bCs/>
                <w:color w:val="000000"/>
              </w:rPr>
            </w:pPr>
            <w:r w:rsidRPr="00731337">
              <w:rPr>
                <w:rFonts w:ascii="David" w:hAnsi="David" w:cs="David"/>
                <w:b/>
                <w:bCs/>
                <w:color w:val="000000"/>
              </w:rPr>
              <w:t>2:31</w:t>
            </w:r>
          </w:p>
        </w:tc>
        <w:tc>
          <w:tcPr>
            <w:tcW w:w="1559" w:type="dxa"/>
            <w:tcBorders>
              <w:top w:val="single" w:sz="4" w:space="0" w:color="auto"/>
              <w:bottom w:val="single" w:sz="4" w:space="0" w:color="auto"/>
            </w:tcBorders>
            <w:shd w:val="clear" w:color="auto" w:fill="D9D9D9"/>
            <w:vAlign w:val="center"/>
          </w:tcPr>
          <w:p w14:paraId="1D2A9B5F" w14:textId="77777777" w:rsidR="00731337" w:rsidRPr="00731337" w:rsidRDefault="00731337" w:rsidP="00731337">
            <w:pPr>
              <w:spacing w:after="0" w:line="240" w:lineRule="auto"/>
              <w:jc w:val="center"/>
              <w:rPr>
                <w:rFonts w:ascii="David" w:hAnsi="David" w:cs="David"/>
                <w:color w:val="000000"/>
                <w:rtl/>
              </w:rPr>
            </w:pPr>
            <w:r w:rsidRPr="00731337">
              <w:rPr>
                <w:rFonts w:ascii="David" w:hAnsi="David" w:cs="David"/>
                <w:color w:val="000000"/>
              </w:rPr>
              <w:t>1:07</w:t>
            </w:r>
          </w:p>
        </w:tc>
        <w:tc>
          <w:tcPr>
            <w:tcW w:w="850" w:type="dxa"/>
            <w:tcBorders>
              <w:top w:val="single" w:sz="4" w:space="0" w:color="auto"/>
              <w:bottom w:val="single" w:sz="4" w:space="0" w:color="auto"/>
            </w:tcBorders>
            <w:shd w:val="clear" w:color="auto" w:fill="D9D9D9"/>
            <w:vAlign w:val="center"/>
          </w:tcPr>
          <w:p w14:paraId="06974EBA" w14:textId="77777777" w:rsidR="00731337" w:rsidRPr="00731337" w:rsidRDefault="00731337" w:rsidP="00731337">
            <w:pPr>
              <w:spacing w:after="0" w:line="240" w:lineRule="auto"/>
              <w:jc w:val="center"/>
              <w:rPr>
                <w:rFonts w:ascii="David" w:hAnsi="David" w:cs="David"/>
                <w:color w:val="000000"/>
                <w:rtl/>
              </w:rPr>
            </w:pPr>
            <w:r w:rsidRPr="00731337">
              <w:rPr>
                <w:rFonts w:ascii="David" w:hAnsi="David" w:cs="David"/>
                <w:color w:val="000000"/>
              </w:rPr>
              <w:t>+1:24</w:t>
            </w:r>
          </w:p>
        </w:tc>
      </w:tr>
      <w:tr w:rsidR="00731337" w:rsidRPr="00731337" w14:paraId="605FCA33" w14:textId="77777777" w:rsidTr="008D6C28">
        <w:trPr>
          <w:trHeight w:val="473"/>
        </w:trPr>
        <w:tc>
          <w:tcPr>
            <w:tcW w:w="848" w:type="dxa"/>
            <w:tcBorders>
              <w:top w:val="single" w:sz="4" w:space="0" w:color="auto"/>
              <w:bottom w:val="single" w:sz="4" w:space="0" w:color="auto"/>
            </w:tcBorders>
            <w:shd w:val="clear" w:color="auto" w:fill="auto"/>
            <w:noWrap/>
            <w:vAlign w:val="center"/>
          </w:tcPr>
          <w:p w14:paraId="119BA790"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מחוזי</w:t>
            </w:r>
          </w:p>
        </w:tc>
        <w:tc>
          <w:tcPr>
            <w:tcW w:w="1275" w:type="dxa"/>
            <w:tcBorders>
              <w:top w:val="single" w:sz="4" w:space="0" w:color="auto"/>
              <w:bottom w:val="single" w:sz="4" w:space="0" w:color="auto"/>
            </w:tcBorders>
            <w:shd w:val="clear" w:color="auto" w:fill="auto"/>
            <w:noWrap/>
            <w:vAlign w:val="center"/>
          </w:tcPr>
          <w:p w14:paraId="1B77E933"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ערעור אזרחי</w:t>
            </w:r>
          </w:p>
        </w:tc>
        <w:tc>
          <w:tcPr>
            <w:tcW w:w="2263" w:type="dxa"/>
            <w:tcBorders>
              <w:top w:val="single" w:sz="4" w:space="0" w:color="auto"/>
              <w:bottom w:val="single" w:sz="4" w:space="0" w:color="auto"/>
            </w:tcBorders>
            <w:shd w:val="clear" w:color="auto" w:fill="auto"/>
            <w:vAlign w:val="center"/>
          </w:tcPr>
          <w:p w14:paraId="623A119B" w14:textId="77777777" w:rsidR="00731337" w:rsidRPr="00731337" w:rsidRDefault="00731337" w:rsidP="00731337">
            <w:pPr>
              <w:spacing w:after="0" w:line="240" w:lineRule="auto"/>
              <w:rPr>
                <w:rFonts w:ascii="David" w:hAnsi="David" w:cs="David"/>
                <w:color w:val="000000"/>
                <w:rtl/>
              </w:rPr>
            </w:pPr>
            <w:r w:rsidRPr="00731337">
              <w:rPr>
                <w:rFonts w:ascii="David" w:hAnsi="David" w:cs="David"/>
                <w:color w:val="000000"/>
                <w:rtl/>
              </w:rPr>
              <w:t>רשות ערעור משפחה (רמ"ש) - דן יחיד</w:t>
            </w:r>
          </w:p>
        </w:tc>
        <w:tc>
          <w:tcPr>
            <w:tcW w:w="1276" w:type="dxa"/>
            <w:tcBorders>
              <w:top w:val="single" w:sz="4" w:space="0" w:color="auto"/>
              <w:bottom w:val="single" w:sz="4" w:space="0" w:color="auto"/>
            </w:tcBorders>
            <w:shd w:val="clear" w:color="auto" w:fill="auto"/>
            <w:vAlign w:val="center"/>
          </w:tcPr>
          <w:p w14:paraId="68C25D78" w14:textId="77777777" w:rsidR="00731337" w:rsidRPr="00731337" w:rsidRDefault="00731337" w:rsidP="00731337">
            <w:pPr>
              <w:spacing w:after="0" w:line="240" w:lineRule="auto"/>
              <w:jc w:val="center"/>
              <w:rPr>
                <w:rFonts w:ascii="David" w:hAnsi="David" w:cs="David"/>
                <w:color w:val="000000"/>
                <w:rtl/>
              </w:rPr>
            </w:pPr>
            <w:r w:rsidRPr="00731337">
              <w:rPr>
                <w:rFonts w:ascii="David" w:hAnsi="David" w:cs="David" w:hint="cs"/>
                <w:color w:val="000000"/>
                <w:rtl/>
              </w:rPr>
              <w:t>869</w:t>
            </w:r>
          </w:p>
        </w:tc>
        <w:tc>
          <w:tcPr>
            <w:tcW w:w="1418" w:type="dxa"/>
            <w:tcBorders>
              <w:top w:val="single" w:sz="4" w:space="0" w:color="auto"/>
              <w:bottom w:val="single" w:sz="4" w:space="0" w:color="auto"/>
            </w:tcBorders>
            <w:shd w:val="clear" w:color="auto" w:fill="auto"/>
            <w:noWrap/>
            <w:vAlign w:val="center"/>
          </w:tcPr>
          <w:p w14:paraId="0388AF98" w14:textId="77777777" w:rsidR="00731337" w:rsidRPr="00731337" w:rsidRDefault="00731337" w:rsidP="00731337">
            <w:pPr>
              <w:spacing w:after="0" w:line="240" w:lineRule="auto"/>
              <w:jc w:val="center"/>
              <w:rPr>
                <w:rFonts w:ascii="David" w:hAnsi="David" w:cs="David"/>
                <w:b/>
                <w:bCs/>
                <w:color w:val="000000"/>
                <w:rtl/>
              </w:rPr>
            </w:pPr>
            <w:r w:rsidRPr="00731337">
              <w:rPr>
                <w:rFonts w:ascii="David" w:hAnsi="David" w:cs="David" w:hint="cs"/>
                <w:b/>
                <w:bCs/>
                <w:color w:val="000000"/>
                <w:rtl/>
              </w:rPr>
              <w:t>2:03</w:t>
            </w:r>
          </w:p>
        </w:tc>
        <w:tc>
          <w:tcPr>
            <w:tcW w:w="1559" w:type="dxa"/>
            <w:tcBorders>
              <w:top w:val="single" w:sz="4" w:space="0" w:color="auto"/>
              <w:bottom w:val="single" w:sz="4" w:space="0" w:color="auto"/>
            </w:tcBorders>
            <w:shd w:val="clear" w:color="auto" w:fill="auto"/>
            <w:vAlign w:val="center"/>
          </w:tcPr>
          <w:p w14:paraId="2DC51C62"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w:t>
            </w:r>
          </w:p>
        </w:tc>
        <w:tc>
          <w:tcPr>
            <w:tcW w:w="850" w:type="dxa"/>
            <w:tcBorders>
              <w:top w:val="single" w:sz="4" w:space="0" w:color="auto"/>
              <w:bottom w:val="single" w:sz="4" w:space="0" w:color="auto"/>
            </w:tcBorders>
            <w:shd w:val="clear" w:color="auto" w:fill="auto"/>
            <w:vAlign w:val="center"/>
          </w:tcPr>
          <w:p w14:paraId="7DDE9DFC"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w:t>
            </w:r>
          </w:p>
        </w:tc>
      </w:tr>
      <w:tr w:rsidR="00731337" w:rsidRPr="00731337" w14:paraId="4ACC1ADD" w14:textId="77777777" w:rsidTr="008D6C28">
        <w:trPr>
          <w:trHeight w:val="300"/>
        </w:trPr>
        <w:tc>
          <w:tcPr>
            <w:tcW w:w="848" w:type="dxa"/>
            <w:tcBorders>
              <w:top w:val="single" w:sz="4" w:space="0" w:color="auto"/>
              <w:bottom w:val="single" w:sz="4" w:space="0" w:color="auto"/>
            </w:tcBorders>
            <w:shd w:val="clear" w:color="auto" w:fill="D9D9D9"/>
            <w:noWrap/>
            <w:vAlign w:val="center"/>
          </w:tcPr>
          <w:p w14:paraId="55DCF7E5"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מחוזי</w:t>
            </w:r>
          </w:p>
        </w:tc>
        <w:tc>
          <w:tcPr>
            <w:tcW w:w="1275" w:type="dxa"/>
            <w:tcBorders>
              <w:top w:val="single" w:sz="4" w:space="0" w:color="auto"/>
              <w:bottom w:val="single" w:sz="4" w:space="0" w:color="auto"/>
            </w:tcBorders>
            <w:shd w:val="clear" w:color="auto" w:fill="D9D9D9"/>
            <w:noWrap/>
            <w:vAlign w:val="center"/>
          </w:tcPr>
          <w:p w14:paraId="191EDF37"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ערעור אזרחי</w:t>
            </w:r>
          </w:p>
        </w:tc>
        <w:tc>
          <w:tcPr>
            <w:tcW w:w="2263" w:type="dxa"/>
            <w:tcBorders>
              <w:top w:val="single" w:sz="4" w:space="0" w:color="auto"/>
              <w:bottom w:val="single" w:sz="4" w:space="0" w:color="auto"/>
            </w:tcBorders>
            <w:shd w:val="clear" w:color="auto" w:fill="D9D9D9"/>
            <w:vAlign w:val="center"/>
          </w:tcPr>
          <w:p w14:paraId="5065FE59" w14:textId="77777777" w:rsidR="00731337" w:rsidRPr="00731337" w:rsidRDefault="00731337" w:rsidP="00731337">
            <w:pPr>
              <w:spacing w:after="0" w:line="240" w:lineRule="auto"/>
              <w:rPr>
                <w:rFonts w:ascii="David" w:hAnsi="David" w:cs="David"/>
                <w:color w:val="000000"/>
                <w:rtl/>
              </w:rPr>
            </w:pPr>
            <w:r w:rsidRPr="00731337">
              <w:rPr>
                <w:rFonts w:ascii="David" w:hAnsi="David" w:cs="David"/>
                <w:color w:val="000000"/>
                <w:rtl/>
              </w:rPr>
              <w:t>רשות ערעור תביעות קטנות (רת"ק)</w:t>
            </w:r>
          </w:p>
        </w:tc>
        <w:tc>
          <w:tcPr>
            <w:tcW w:w="1276" w:type="dxa"/>
            <w:tcBorders>
              <w:top w:val="single" w:sz="4" w:space="0" w:color="auto"/>
              <w:bottom w:val="single" w:sz="4" w:space="0" w:color="auto"/>
            </w:tcBorders>
            <w:shd w:val="clear" w:color="auto" w:fill="D9D9D9"/>
            <w:vAlign w:val="center"/>
          </w:tcPr>
          <w:p w14:paraId="73DB6D1A"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hint="cs"/>
                <w:color w:val="000000"/>
                <w:rtl/>
              </w:rPr>
              <w:t>537</w:t>
            </w:r>
          </w:p>
        </w:tc>
        <w:tc>
          <w:tcPr>
            <w:tcW w:w="1418" w:type="dxa"/>
            <w:tcBorders>
              <w:top w:val="single" w:sz="4" w:space="0" w:color="auto"/>
              <w:bottom w:val="single" w:sz="4" w:space="0" w:color="auto"/>
            </w:tcBorders>
            <w:shd w:val="clear" w:color="auto" w:fill="D9D9D9"/>
            <w:noWrap/>
            <w:vAlign w:val="center"/>
          </w:tcPr>
          <w:p w14:paraId="43F5774E" w14:textId="77777777" w:rsidR="00731337" w:rsidRPr="00731337" w:rsidRDefault="00731337" w:rsidP="00731337">
            <w:pPr>
              <w:spacing w:after="0" w:line="240" w:lineRule="auto"/>
              <w:jc w:val="center"/>
              <w:rPr>
                <w:rFonts w:ascii="David" w:hAnsi="David" w:cs="David"/>
                <w:b/>
                <w:bCs/>
                <w:color w:val="000000"/>
              </w:rPr>
            </w:pPr>
            <w:r w:rsidRPr="00731337">
              <w:rPr>
                <w:rFonts w:ascii="David" w:hAnsi="David" w:cs="David"/>
                <w:b/>
                <w:bCs/>
                <w:color w:val="000000"/>
              </w:rPr>
              <w:t>1:50</w:t>
            </w:r>
          </w:p>
        </w:tc>
        <w:tc>
          <w:tcPr>
            <w:tcW w:w="1559" w:type="dxa"/>
            <w:tcBorders>
              <w:top w:val="single" w:sz="4" w:space="0" w:color="auto"/>
              <w:bottom w:val="single" w:sz="4" w:space="0" w:color="auto"/>
            </w:tcBorders>
            <w:shd w:val="clear" w:color="auto" w:fill="D9D9D9"/>
            <w:vAlign w:val="center"/>
          </w:tcPr>
          <w:p w14:paraId="3AEEC4BA"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w:t>
            </w:r>
          </w:p>
        </w:tc>
        <w:tc>
          <w:tcPr>
            <w:tcW w:w="850" w:type="dxa"/>
            <w:tcBorders>
              <w:top w:val="single" w:sz="4" w:space="0" w:color="auto"/>
              <w:bottom w:val="single" w:sz="4" w:space="0" w:color="auto"/>
            </w:tcBorders>
            <w:shd w:val="clear" w:color="auto" w:fill="D9D9D9"/>
            <w:vAlign w:val="center"/>
          </w:tcPr>
          <w:p w14:paraId="74FDE1CB" w14:textId="77777777" w:rsidR="00731337" w:rsidRPr="00731337" w:rsidRDefault="00731337" w:rsidP="00731337">
            <w:pPr>
              <w:spacing w:after="0" w:line="240" w:lineRule="auto"/>
              <w:jc w:val="center"/>
              <w:rPr>
                <w:rFonts w:ascii="David" w:hAnsi="David" w:cs="David"/>
                <w:color w:val="000000"/>
                <w:rtl/>
              </w:rPr>
            </w:pPr>
            <w:r w:rsidRPr="00731337">
              <w:rPr>
                <w:rFonts w:ascii="David" w:hAnsi="David" w:cs="David"/>
                <w:color w:val="000000"/>
              </w:rPr>
              <w:t>-</w:t>
            </w:r>
          </w:p>
        </w:tc>
      </w:tr>
      <w:tr w:rsidR="00731337" w:rsidRPr="00731337" w14:paraId="4B5537EC" w14:textId="77777777" w:rsidTr="008D6C28">
        <w:trPr>
          <w:trHeight w:val="414"/>
        </w:trPr>
        <w:tc>
          <w:tcPr>
            <w:tcW w:w="848" w:type="dxa"/>
            <w:tcBorders>
              <w:top w:val="single" w:sz="4" w:space="0" w:color="auto"/>
              <w:bottom w:val="single" w:sz="4" w:space="0" w:color="auto"/>
            </w:tcBorders>
            <w:shd w:val="clear" w:color="auto" w:fill="auto"/>
            <w:noWrap/>
            <w:vAlign w:val="center"/>
          </w:tcPr>
          <w:p w14:paraId="132F5C57"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מחוזי</w:t>
            </w:r>
          </w:p>
        </w:tc>
        <w:tc>
          <w:tcPr>
            <w:tcW w:w="1275" w:type="dxa"/>
            <w:tcBorders>
              <w:top w:val="single" w:sz="4" w:space="0" w:color="auto"/>
              <w:bottom w:val="single" w:sz="4" w:space="0" w:color="auto"/>
            </w:tcBorders>
            <w:shd w:val="clear" w:color="auto" w:fill="auto"/>
            <w:noWrap/>
            <w:vAlign w:val="center"/>
          </w:tcPr>
          <w:p w14:paraId="1AF63718"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עניינים מנהליים</w:t>
            </w:r>
          </w:p>
        </w:tc>
        <w:tc>
          <w:tcPr>
            <w:tcW w:w="2263" w:type="dxa"/>
            <w:tcBorders>
              <w:top w:val="single" w:sz="4" w:space="0" w:color="auto"/>
              <w:bottom w:val="single" w:sz="4" w:space="0" w:color="auto"/>
            </w:tcBorders>
            <w:shd w:val="clear" w:color="auto" w:fill="auto"/>
            <w:vAlign w:val="center"/>
          </w:tcPr>
          <w:p w14:paraId="72AC641D" w14:textId="77777777" w:rsidR="00731337" w:rsidRPr="00731337" w:rsidRDefault="00731337" w:rsidP="00731337">
            <w:pPr>
              <w:spacing w:after="0" w:line="240" w:lineRule="auto"/>
              <w:rPr>
                <w:rFonts w:ascii="David" w:hAnsi="David" w:cs="David"/>
                <w:color w:val="000000"/>
                <w:rtl/>
              </w:rPr>
            </w:pPr>
            <w:r w:rsidRPr="00731337">
              <w:rPr>
                <w:rFonts w:ascii="David" w:hAnsi="David" w:cs="David"/>
                <w:color w:val="000000"/>
                <w:rtl/>
              </w:rPr>
              <w:t>עתירות אסירים (עת"א) - דן יחיד</w:t>
            </w:r>
          </w:p>
        </w:tc>
        <w:tc>
          <w:tcPr>
            <w:tcW w:w="1276" w:type="dxa"/>
            <w:tcBorders>
              <w:top w:val="single" w:sz="4" w:space="0" w:color="auto"/>
              <w:bottom w:val="single" w:sz="4" w:space="0" w:color="auto"/>
            </w:tcBorders>
            <w:shd w:val="clear" w:color="auto" w:fill="auto"/>
            <w:vAlign w:val="center"/>
          </w:tcPr>
          <w:p w14:paraId="5A89A8EA" w14:textId="77777777" w:rsidR="00731337" w:rsidRPr="00731337" w:rsidRDefault="00731337" w:rsidP="00731337">
            <w:pPr>
              <w:spacing w:after="0" w:line="240" w:lineRule="auto"/>
              <w:jc w:val="center"/>
              <w:rPr>
                <w:rFonts w:ascii="David" w:hAnsi="David" w:cs="David"/>
                <w:color w:val="000000"/>
                <w:rtl/>
              </w:rPr>
            </w:pPr>
            <w:r w:rsidRPr="00731337">
              <w:rPr>
                <w:rFonts w:ascii="David" w:hAnsi="David" w:cs="David" w:hint="cs"/>
                <w:color w:val="000000"/>
                <w:rtl/>
              </w:rPr>
              <w:t>4,132</w:t>
            </w:r>
          </w:p>
        </w:tc>
        <w:tc>
          <w:tcPr>
            <w:tcW w:w="1418" w:type="dxa"/>
            <w:tcBorders>
              <w:top w:val="single" w:sz="4" w:space="0" w:color="auto"/>
              <w:bottom w:val="single" w:sz="4" w:space="0" w:color="auto"/>
            </w:tcBorders>
            <w:shd w:val="clear" w:color="auto" w:fill="auto"/>
            <w:noWrap/>
            <w:vAlign w:val="center"/>
          </w:tcPr>
          <w:p w14:paraId="6E2206ED" w14:textId="77777777" w:rsidR="00731337" w:rsidRPr="00731337" w:rsidRDefault="00731337" w:rsidP="00731337">
            <w:pPr>
              <w:spacing w:after="0" w:line="240" w:lineRule="auto"/>
              <w:jc w:val="center"/>
              <w:rPr>
                <w:rFonts w:ascii="David" w:hAnsi="David" w:cs="David"/>
                <w:b/>
                <w:bCs/>
                <w:color w:val="000000"/>
              </w:rPr>
            </w:pPr>
            <w:r w:rsidRPr="00731337">
              <w:rPr>
                <w:rFonts w:ascii="David" w:hAnsi="David" w:cs="David"/>
                <w:b/>
                <w:bCs/>
                <w:color w:val="000000"/>
              </w:rPr>
              <w:t>1:24</w:t>
            </w:r>
          </w:p>
        </w:tc>
        <w:tc>
          <w:tcPr>
            <w:tcW w:w="1559" w:type="dxa"/>
            <w:tcBorders>
              <w:top w:val="single" w:sz="4" w:space="0" w:color="auto"/>
              <w:bottom w:val="single" w:sz="4" w:space="0" w:color="auto"/>
            </w:tcBorders>
            <w:shd w:val="clear" w:color="auto" w:fill="auto"/>
            <w:vAlign w:val="center"/>
          </w:tcPr>
          <w:p w14:paraId="2A709DD9"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1:02</w:t>
            </w:r>
          </w:p>
        </w:tc>
        <w:tc>
          <w:tcPr>
            <w:tcW w:w="850" w:type="dxa"/>
            <w:tcBorders>
              <w:top w:val="single" w:sz="4" w:space="0" w:color="auto"/>
              <w:bottom w:val="single" w:sz="4" w:space="0" w:color="auto"/>
            </w:tcBorders>
            <w:shd w:val="clear" w:color="auto" w:fill="auto"/>
            <w:vAlign w:val="center"/>
          </w:tcPr>
          <w:p w14:paraId="3D64491A"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+0:22</w:t>
            </w:r>
          </w:p>
        </w:tc>
      </w:tr>
      <w:tr w:rsidR="00731337" w:rsidRPr="00731337" w14:paraId="5598B3B4" w14:textId="77777777" w:rsidTr="008D6C28">
        <w:trPr>
          <w:trHeight w:val="595"/>
        </w:trPr>
        <w:tc>
          <w:tcPr>
            <w:tcW w:w="848" w:type="dxa"/>
            <w:tcBorders>
              <w:top w:val="single" w:sz="4" w:space="0" w:color="auto"/>
              <w:bottom w:val="single" w:sz="4" w:space="0" w:color="auto"/>
            </w:tcBorders>
            <w:shd w:val="clear" w:color="auto" w:fill="D9D9D9"/>
            <w:noWrap/>
            <w:vAlign w:val="center"/>
          </w:tcPr>
          <w:p w14:paraId="1F4F2B88"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מחוזי</w:t>
            </w:r>
          </w:p>
        </w:tc>
        <w:tc>
          <w:tcPr>
            <w:tcW w:w="1275" w:type="dxa"/>
            <w:tcBorders>
              <w:top w:val="single" w:sz="4" w:space="0" w:color="auto"/>
              <w:bottom w:val="single" w:sz="4" w:space="0" w:color="auto"/>
            </w:tcBorders>
            <w:shd w:val="clear" w:color="auto" w:fill="D9D9D9"/>
            <w:noWrap/>
            <w:vAlign w:val="center"/>
          </w:tcPr>
          <w:p w14:paraId="3B45CF3B"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אזרחי</w:t>
            </w:r>
          </w:p>
        </w:tc>
        <w:tc>
          <w:tcPr>
            <w:tcW w:w="2263" w:type="dxa"/>
            <w:tcBorders>
              <w:top w:val="single" w:sz="4" w:space="0" w:color="auto"/>
              <w:bottom w:val="single" w:sz="4" w:space="0" w:color="auto"/>
            </w:tcBorders>
            <w:shd w:val="clear" w:color="auto" w:fill="D9D9D9"/>
            <w:vAlign w:val="center"/>
          </w:tcPr>
          <w:p w14:paraId="002BE793" w14:textId="77777777" w:rsidR="00731337" w:rsidRPr="00731337" w:rsidRDefault="00731337" w:rsidP="00731337">
            <w:pPr>
              <w:spacing w:after="0" w:line="240" w:lineRule="auto"/>
              <w:rPr>
                <w:rFonts w:ascii="David" w:hAnsi="David" w:cs="David"/>
                <w:color w:val="000000"/>
                <w:rtl/>
              </w:rPr>
            </w:pPr>
            <w:r w:rsidRPr="00731337">
              <w:rPr>
                <w:rFonts w:ascii="David" w:hAnsi="David" w:cs="David"/>
                <w:color w:val="000000"/>
                <w:rtl/>
              </w:rPr>
              <w:t>ניהול רכושם של נעדרים או שבויים (נע"ד)</w:t>
            </w:r>
          </w:p>
        </w:tc>
        <w:tc>
          <w:tcPr>
            <w:tcW w:w="1276" w:type="dxa"/>
            <w:tcBorders>
              <w:top w:val="single" w:sz="4" w:space="0" w:color="auto"/>
              <w:bottom w:val="single" w:sz="4" w:space="0" w:color="auto"/>
            </w:tcBorders>
            <w:shd w:val="clear" w:color="auto" w:fill="D9D9D9"/>
            <w:vAlign w:val="center"/>
          </w:tcPr>
          <w:p w14:paraId="2F5F9D6A" w14:textId="77777777" w:rsidR="00731337" w:rsidRPr="00731337" w:rsidRDefault="00731337" w:rsidP="00731337">
            <w:pPr>
              <w:spacing w:after="0" w:line="240" w:lineRule="auto"/>
              <w:jc w:val="center"/>
              <w:rPr>
                <w:rFonts w:ascii="David" w:hAnsi="David" w:cs="David"/>
                <w:color w:val="000000"/>
                <w:rtl/>
              </w:rPr>
            </w:pPr>
            <w:r w:rsidRPr="00731337">
              <w:rPr>
                <w:rFonts w:ascii="David" w:hAnsi="David" w:cs="David" w:hint="cs"/>
                <w:color w:val="000000"/>
                <w:rtl/>
              </w:rPr>
              <w:t>219</w:t>
            </w:r>
          </w:p>
        </w:tc>
        <w:tc>
          <w:tcPr>
            <w:tcW w:w="1418" w:type="dxa"/>
            <w:tcBorders>
              <w:top w:val="single" w:sz="4" w:space="0" w:color="auto"/>
              <w:bottom w:val="single" w:sz="4" w:space="0" w:color="auto"/>
            </w:tcBorders>
            <w:shd w:val="clear" w:color="auto" w:fill="D9D9D9"/>
            <w:noWrap/>
            <w:vAlign w:val="center"/>
          </w:tcPr>
          <w:p w14:paraId="0226A908" w14:textId="77777777" w:rsidR="00731337" w:rsidRPr="00731337" w:rsidRDefault="00731337" w:rsidP="00731337">
            <w:pPr>
              <w:spacing w:after="0" w:line="240" w:lineRule="auto"/>
              <w:jc w:val="center"/>
              <w:rPr>
                <w:rFonts w:ascii="David" w:hAnsi="David" w:cs="David"/>
                <w:b/>
                <w:bCs/>
                <w:color w:val="000000"/>
                <w:rtl/>
              </w:rPr>
            </w:pPr>
            <w:r w:rsidRPr="00731337">
              <w:rPr>
                <w:rFonts w:ascii="David" w:hAnsi="David" w:cs="David"/>
                <w:b/>
                <w:bCs/>
                <w:color w:val="000000"/>
              </w:rPr>
              <w:t>0:04</w:t>
            </w:r>
          </w:p>
        </w:tc>
        <w:tc>
          <w:tcPr>
            <w:tcW w:w="1559" w:type="dxa"/>
            <w:tcBorders>
              <w:top w:val="single" w:sz="4" w:space="0" w:color="auto"/>
              <w:bottom w:val="single" w:sz="4" w:space="0" w:color="auto"/>
            </w:tcBorders>
            <w:shd w:val="clear" w:color="auto" w:fill="D9D9D9"/>
            <w:vAlign w:val="center"/>
          </w:tcPr>
          <w:p w14:paraId="202F3847"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w:t>
            </w:r>
          </w:p>
        </w:tc>
        <w:tc>
          <w:tcPr>
            <w:tcW w:w="850" w:type="dxa"/>
            <w:tcBorders>
              <w:top w:val="single" w:sz="4" w:space="0" w:color="auto"/>
              <w:bottom w:val="single" w:sz="4" w:space="0" w:color="auto"/>
            </w:tcBorders>
            <w:shd w:val="clear" w:color="auto" w:fill="D9D9D9"/>
            <w:vAlign w:val="center"/>
          </w:tcPr>
          <w:p w14:paraId="4E8EC141"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w:t>
            </w:r>
          </w:p>
        </w:tc>
      </w:tr>
    </w:tbl>
    <w:p w14:paraId="5E32D91B" w14:textId="77777777" w:rsidR="009A0F0A" w:rsidRPr="00F25744" w:rsidRDefault="009A0F0A" w:rsidP="0061172C">
      <w:pPr>
        <w:spacing w:after="0" w:line="240" w:lineRule="auto"/>
        <w:rPr>
          <w:rFonts w:ascii="David" w:hAnsi="David" w:cs="David"/>
          <w:color w:val="000000"/>
          <w:sz w:val="24"/>
          <w:szCs w:val="24"/>
          <w:rtl/>
        </w:rPr>
      </w:pPr>
    </w:p>
    <w:p w14:paraId="5FBFBD0B" w14:textId="03AC5FC2" w:rsidR="00590A70" w:rsidRDefault="00590A70" w:rsidP="0061172C">
      <w:pPr>
        <w:spacing w:after="0" w:line="240" w:lineRule="auto"/>
        <w:rPr>
          <w:rFonts w:ascii="David" w:hAnsi="David" w:cs="David"/>
          <w:color w:val="000000"/>
          <w:sz w:val="24"/>
          <w:szCs w:val="24"/>
          <w:rtl/>
        </w:rPr>
      </w:pPr>
    </w:p>
    <w:p w14:paraId="59C43FD6" w14:textId="77777777" w:rsidR="004B78A2" w:rsidRPr="00F25744" w:rsidRDefault="00E25AE7" w:rsidP="00A54D82">
      <w:pPr>
        <w:pStyle w:val="5"/>
        <w:spacing w:line="240" w:lineRule="auto"/>
        <w:ind w:left="1561"/>
        <w:rPr>
          <w:rtl/>
        </w:rPr>
      </w:pPr>
      <w:bookmarkStart w:id="399" w:name="_Toc46226057"/>
      <w:bookmarkStart w:id="400" w:name="_Toc46226201"/>
      <w:bookmarkStart w:id="401" w:name="_Toc46228368"/>
      <w:bookmarkStart w:id="402" w:name="_Toc46228466"/>
      <w:bookmarkStart w:id="403" w:name="_Toc46230393"/>
      <w:bookmarkStart w:id="404" w:name="_Toc46230491"/>
      <w:bookmarkStart w:id="405" w:name="_Toc46310381"/>
      <w:bookmarkStart w:id="406" w:name="_Toc46414023"/>
      <w:bookmarkStart w:id="407" w:name="_Toc74750987"/>
      <w:r w:rsidRPr="00F25744">
        <w:rPr>
          <w:rFonts w:hint="cs"/>
          <w:rtl/>
        </w:rPr>
        <w:t>זמני הטיפול בתיקים פליליים</w:t>
      </w:r>
      <w:r w:rsidR="008D44BF" w:rsidRPr="00F25744">
        <w:rPr>
          <w:rFonts w:hint="cs"/>
          <w:rtl/>
        </w:rPr>
        <w:t xml:space="preserve"> בערכאת המחוזי</w:t>
      </w:r>
      <w:bookmarkEnd w:id="399"/>
      <w:bookmarkEnd w:id="400"/>
      <w:bookmarkEnd w:id="401"/>
      <w:bookmarkEnd w:id="402"/>
      <w:bookmarkEnd w:id="403"/>
      <w:bookmarkEnd w:id="404"/>
      <w:bookmarkEnd w:id="405"/>
      <w:bookmarkEnd w:id="406"/>
      <w:bookmarkEnd w:id="407"/>
    </w:p>
    <w:p w14:paraId="58D1E3B6" w14:textId="77777777" w:rsidR="00A925CB" w:rsidRPr="00F25744" w:rsidRDefault="00A925CB" w:rsidP="00A925CB">
      <w:pPr>
        <w:spacing w:after="0"/>
        <w:rPr>
          <w:rtl/>
        </w:rPr>
      </w:pPr>
    </w:p>
    <w:p w14:paraId="07199756" w14:textId="2CA6C3DC" w:rsidR="004B78A2" w:rsidRPr="00F25744" w:rsidRDefault="00E25AE7" w:rsidP="00706796">
      <w:pPr>
        <w:pStyle w:val="af6"/>
        <w:rPr>
          <w:rFonts w:ascii="David" w:hAnsi="David"/>
          <w:sz w:val="24"/>
          <w:rtl/>
        </w:rPr>
      </w:pPr>
      <w:bookmarkStart w:id="408" w:name="_Toc76988902"/>
      <w:r w:rsidRPr="00F25744">
        <w:rPr>
          <w:rtl/>
        </w:rPr>
        <w:t xml:space="preserve">טבלה </w:t>
      </w:r>
      <w:r w:rsidRPr="00F25744">
        <w:rPr>
          <w:rFonts w:ascii="David" w:hAnsi="David"/>
          <w:sz w:val="24"/>
          <w:rtl/>
        </w:rPr>
        <w:fldChar w:fldCharType="begin"/>
      </w:r>
      <w:r w:rsidRPr="00F25744">
        <w:rPr>
          <w:rFonts w:ascii="David" w:hAnsi="David"/>
          <w:sz w:val="24"/>
          <w:rtl/>
        </w:rPr>
        <w:instrText xml:space="preserve"> </w:instrText>
      </w:r>
      <w:r w:rsidRPr="00F25744">
        <w:rPr>
          <w:rFonts w:ascii="David" w:hAnsi="David" w:hint="cs"/>
          <w:sz w:val="24"/>
        </w:rPr>
        <w:instrText>SEQ</w:instrText>
      </w:r>
      <w:r w:rsidRPr="00F25744">
        <w:rPr>
          <w:rFonts w:ascii="David" w:hAnsi="David" w:hint="cs"/>
          <w:sz w:val="24"/>
          <w:rtl/>
        </w:rPr>
        <w:instrText xml:space="preserve"> טבלה \* </w:instrText>
      </w:r>
      <w:r w:rsidRPr="00F25744">
        <w:rPr>
          <w:rFonts w:ascii="David" w:hAnsi="David" w:hint="cs"/>
          <w:sz w:val="24"/>
        </w:rPr>
        <w:instrText>ARABIC</w:instrText>
      </w:r>
      <w:r w:rsidRPr="00F25744">
        <w:rPr>
          <w:rFonts w:ascii="David" w:hAnsi="David"/>
          <w:sz w:val="24"/>
          <w:rtl/>
        </w:rPr>
        <w:instrText xml:space="preserve"> </w:instrText>
      </w:r>
      <w:r w:rsidRPr="00F25744">
        <w:rPr>
          <w:rFonts w:ascii="David" w:hAnsi="David"/>
          <w:sz w:val="24"/>
          <w:rtl/>
        </w:rPr>
        <w:fldChar w:fldCharType="separate"/>
      </w:r>
      <w:r w:rsidR="008F1BC3">
        <w:rPr>
          <w:rFonts w:ascii="David" w:hAnsi="David"/>
          <w:noProof/>
          <w:sz w:val="24"/>
          <w:rtl/>
        </w:rPr>
        <w:t>7</w:t>
      </w:r>
      <w:r w:rsidRPr="00F25744">
        <w:rPr>
          <w:rFonts w:ascii="David" w:hAnsi="David"/>
          <w:sz w:val="24"/>
          <w:rtl/>
        </w:rPr>
        <w:fldChar w:fldCharType="end"/>
      </w:r>
      <w:r w:rsidR="007F3A52" w:rsidRPr="00F25744">
        <w:rPr>
          <w:rFonts w:ascii="David" w:hAnsi="David" w:hint="cs"/>
          <w:sz w:val="24"/>
          <w:rtl/>
        </w:rPr>
        <w:t>: זמני הטיפול בתיקים פליליים בערכאת המחוזי</w:t>
      </w:r>
      <w:bookmarkEnd w:id="408"/>
    </w:p>
    <w:tbl>
      <w:tblPr>
        <w:tblpPr w:rightFromText="85" w:vertAnchor="text" w:tblpXSpec="right" w:tblpY="1"/>
        <w:bidiVisual/>
        <w:tblW w:w="9504" w:type="dxa"/>
        <w:tblLayout w:type="fixed"/>
        <w:tblLook w:val="04A0" w:firstRow="1" w:lastRow="0" w:firstColumn="1" w:lastColumn="0" w:noHBand="0" w:noVBand="1"/>
      </w:tblPr>
      <w:tblGrid>
        <w:gridCol w:w="856"/>
        <w:gridCol w:w="1412"/>
        <w:gridCol w:w="2133"/>
        <w:gridCol w:w="1276"/>
        <w:gridCol w:w="1559"/>
        <w:gridCol w:w="1418"/>
        <w:gridCol w:w="850"/>
      </w:tblGrid>
      <w:tr w:rsidR="00E0162E" w:rsidRPr="00731337" w14:paraId="4F3BAFBA" w14:textId="77777777" w:rsidTr="008D6C28">
        <w:trPr>
          <w:trHeight w:val="605"/>
        </w:trPr>
        <w:tc>
          <w:tcPr>
            <w:tcW w:w="856" w:type="dxa"/>
            <w:tcBorders>
              <w:bottom w:val="single" w:sz="4" w:space="0" w:color="auto"/>
            </w:tcBorders>
            <w:shd w:val="clear" w:color="auto" w:fill="auto"/>
            <w:vAlign w:val="center"/>
            <w:hideMark/>
          </w:tcPr>
          <w:p w14:paraId="7BCF6607" w14:textId="77777777" w:rsidR="000340C9" w:rsidRPr="00731337" w:rsidRDefault="00E25AE7" w:rsidP="008C54E1">
            <w:pPr>
              <w:spacing w:after="0" w:line="240" w:lineRule="auto"/>
              <w:jc w:val="center"/>
              <w:rPr>
                <w:rFonts w:ascii="David" w:eastAsia="Times New Roman" w:hAnsi="David" w:cs="David"/>
                <w:b/>
                <w:bCs/>
                <w:color w:val="000000"/>
              </w:rPr>
            </w:pPr>
            <w:r w:rsidRPr="00731337">
              <w:rPr>
                <w:rFonts w:ascii="David" w:eastAsia="Times New Roman" w:hAnsi="David" w:cs="David"/>
                <w:b/>
                <w:bCs/>
                <w:color w:val="000000"/>
                <w:rtl/>
              </w:rPr>
              <w:t>ערכאה</w:t>
            </w:r>
          </w:p>
        </w:tc>
        <w:tc>
          <w:tcPr>
            <w:tcW w:w="1412" w:type="dxa"/>
            <w:tcBorders>
              <w:bottom w:val="single" w:sz="4" w:space="0" w:color="auto"/>
            </w:tcBorders>
            <w:shd w:val="clear" w:color="auto" w:fill="auto"/>
            <w:vAlign w:val="center"/>
            <w:hideMark/>
          </w:tcPr>
          <w:p w14:paraId="5E8A05B0" w14:textId="77777777" w:rsidR="000340C9" w:rsidRPr="00731337" w:rsidRDefault="00E25AE7" w:rsidP="008C54E1">
            <w:pPr>
              <w:spacing w:after="0" w:line="240" w:lineRule="auto"/>
              <w:jc w:val="center"/>
              <w:rPr>
                <w:rFonts w:ascii="David" w:eastAsia="Times New Roman" w:hAnsi="David" w:cs="David"/>
                <w:b/>
                <w:bCs/>
                <w:color w:val="000000"/>
                <w:rtl/>
              </w:rPr>
            </w:pPr>
            <w:r w:rsidRPr="00731337">
              <w:rPr>
                <w:rFonts w:ascii="David" w:eastAsia="Times New Roman" w:hAnsi="David" w:cs="David"/>
                <w:b/>
                <w:bCs/>
                <w:color w:val="000000"/>
                <w:rtl/>
              </w:rPr>
              <w:t>הליך</w:t>
            </w:r>
          </w:p>
        </w:tc>
        <w:tc>
          <w:tcPr>
            <w:tcW w:w="2133" w:type="dxa"/>
            <w:tcBorders>
              <w:bottom w:val="single" w:sz="4" w:space="0" w:color="auto"/>
            </w:tcBorders>
            <w:shd w:val="clear" w:color="auto" w:fill="auto"/>
            <w:vAlign w:val="center"/>
            <w:hideMark/>
          </w:tcPr>
          <w:p w14:paraId="7009278C" w14:textId="77777777" w:rsidR="000340C9" w:rsidRPr="00731337" w:rsidRDefault="00E25AE7" w:rsidP="008C54E1">
            <w:pPr>
              <w:spacing w:after="0" w:line="240" w:lineRule="auto"/>
              <w:jc w:val="center"/>
              <w:rPr>
                <w:rFonts w:ascii="David" w:eastAsia="Times New Roman" w:hAnsi="David" w:cs="David"/>
                <w:b/>
                <w:bCs/>
                <w:color w:val="000000"/>
                <w:rtl/>
              </w:rPr>
            </w:pPr>
            <w:r w:rsidRPr="00731337">
              <w:rPr>
                <w:rFonts w:ascii="David" w:eastAsia="Times New Roman" w:hAnsi="David" w:cs="David"/>
                <w:b/>
                <w:bCs/>
                <w:color w:val="000000"/>
                <w:rtl/>
              </w:rPr>
              <w:t>סוג תיק</w:t>
            </w:r>
          </w:p>
        </w:tc>
        <w:tc>
          <w:tcPr>
            <w:tcW w:w="1276" w:type="dxa"/>
            <w:tcBorders>
              <w:bottom w:val="single" w:sz="4" w:space="0" w:color="auto"/>
            </w:tcBorders>
            <w:vAlign w:val="center"/>
          </w:tcPr>
          <w:p w14:paraId="2A3F144E" w14:textId="77777777" w:rsidR="000340C9" w:rsidRPr="00731337" w:rsidRDefault="000340C9" w:rsidP="008C54E1">
            <w:pPr>
              <w:spacing w:after="0" w:line="240" w:lineRule="auto"/>
              <w:jc w:val="center"/>
              <w:rPr>
                <w:rFonts w:ascii="David" w:eastAsia="Times New Roman" w:hAnsi="David" w:cs="David"/>
                <w:b/>
                <w:bCs/>
                <w:color w:val="000000"/>
                <w:rtl/>
              </w:rPr>
            </w:pPr>
          </w:p>
          <w:p w14:paraId="50FAC449" w14:textId="77777777" w:rsidR="000340C9" w:rsidRPr="00731337" w:rsidRDefault="00E25AE7" w:rsidP="008C54E1">
            <w:pPr>
              <w:spacing w:after="0" w:line="240" w:lineRule="auto"/>
              <w:jc w:val="center"/>
              <w:rPr>
                <w:rFonts w:ascii="David" w:eastAsia="Times New Roman" w:hAnsi="David" w:cs="David"/>
                <w:b/>
                <w:bCs/>
                <w:color w:val="000000"/>
                <w:rtl/>
              </w:rPr>
            </w:pPr>
            <w:r w:rsidRPr="00731337">
              <w:rPr>
                <w:rFonts w:ascii="David" w:eastAsia="Times New Roman" w:hAnsi="David" w:cs="David" w:hint="cs"/>
                <w:b/>
                <w:bCs/>
                <w:color w:val="000000"/>
                <w:rtl/>
              </w:rPr>
              <w:t>מספר תיקים שנסגרו ב-2019</w:t>
            </w:r>
          </w:p>
        </w:tc>
        <w:tc>
          <w:tcPr>
            <w:tcW w:w="1559" w:type="dxa"/>
            <w:tcBorders>
              <w:bottom w:val="single" w:sz="4" w:space="0" w:color="auto"/>
            </w:tcBorders>
            <w:shd w:val="clear" w:color="auto" w:fill="auto"/>
            <w:vAlign w:val="center"/>
            <w:hideMark/>
          </w:tcPr>
          <w:p w14:paraId="3F48F717" w14:textId="77777777" w:rsidR="000340C9" w:rsidRPr="00731337" w:rsidRDefault="00E25AE7" w:rsidP="008C54E1">
            <w:pPr>
              <w:spacing w:after="0" w:line="240" w:lineRule="auto"/>
              <w:jc w:val="center"/>
              <w:rPr>
                <w:rFonts w:ascii="David" w:eastAsia="Times New Roman" w:hAnsi="David" w:cs="David"/>
                <w:b/>
                <w:bCs/>
                <w:color w:val="000000"/>
                <w:rtl/>
              </w:rPr>
            </w:pPr>
            <w:r w:rsidRPr="00731337">
              <w:rPr>
                <w:rFonts w:ascii="David" w:eastAsia="Times New Roman" w:hAnsi="David" w:cs="David"/>
                <w:b/>
                <w:bCs/>
                <w:color w:val="000000"/>
                <w:rtl/>
              </w:rPr>
              <w:t>הזמן השיפוטי הממוצע לט</w:t>
            </w:r>
            <w:r w:rsidRPr="00731337">
              <w:rPr>
                <w:rFonts w:ascii="David" w:eastAsia="Times New Roman" w:hAnsi="David" w:cs="David" w:hint="cs"/>
                <w:b/>
                <w:bCs/>
                <w:color w:val="000000"/>
                <w:rtl/>
              </w:rPr>
              <w:t>י</w:t>
            </w:r>
            <w:r w:rsidRPr="00731337">
              <w:rPr>
                <w:rFonts w:ascii="David" w:eastAsia="Times New Roman" w:hAnsi="David" w:cs="David"/>
                <w:b/>
                <w:bCs/>
                <w:color w:val="000000"/>
                <w:rtl/>
              </w:rPr>
              <w:t>פ</w:t>
            </w:r>
            <w:r w:rsidRPr="00731337">
              <w:rPr>
                <w:rFonts w:ascii="David" w:eastAsia="Times New Roman" w:hAnsi="David" w:cs="David" w:hint="cs"/>
                <w:b/>
                <w:bCs/>
                <w:color w:val="000000"/>
                <w:rtl/>
              </w:rPr>
              <w:t>ו</w:t>
            </w:r>
            <w:r w:rsidRPr="00731337">
              <w:rPr>
                <w:rFonts w:ascii="David" w:eastAsia="Times New Roman" w:hAnsi="David" w:cs="David"/>
                <w:b/>
                <w:bCs/>
                <w:color w:val="000000"/>
                <w:rtl/>
              </w:rPr>
              <w:t>ל בתיק</w:t>
            </w:r>
          </w:p>
        </w:tc>
        <w:tc>
          <w:tcPr>
            <w:tcW w:w="1418" w:type="dxa"/>
            <w:tcBorders>
              <w:bottom w:val="single" w:sz="4" w:space="0" w:color="auto"/>
            </w:tcBorders>
            <w:vAlign w:val="center"/>
          </w:tcPr>
          <w:p w14:paraId="6D3C0DA3" w14:textId="77777777" w:rsidR="000340C9" w:rsidRPr="00731337" w:rsidRDefault="00E25AE7" w:rsidP="008C54E1">
            <w:pPr>
              <w:spacing w:after="0" w:line="240" w:lineRule="auto"/>
              <w:jc w:val="center"/>
              <w:rPr>
                <w:rFonts w:ascii="David" w:eastAsia="Times New Roman" w:hAnsi="David" w:cs="David"/>
                <w:b/>
                <w:bCs/>
                <w:color w:val="000000"/>
                <w:rtl/>
              </w:rPr>
            </w:pPr>
            <w:r w:rsidRPr="00731337">
              <w:rPr>
                <w:rFonts w:ascii="David" w:eastAsia="Times New Roman" w:hAnsi="David" w:cs="David"/>
                <w:b/>
                <w:bCs/>
                <w:color w:val="000000"/>
                <w:rtl/>
              </w:rPr>
              <w:t xml:space="preserve">הזמן השיפוטי </w:t>
            </w:r>
            <w:r w:rsidRPr="00731337">
              <w:rPr>
                <w:rFonts w:ascii="David" w:eastAsia="Times New Roman" w:hAnsi="David" w:cs="David" w:hint="cs"/>
                <w:b/>
                <w:bCs/>
                <w:color w:val="000000"/>
                <w:rtl/>
              </w:rPr>
              <w:t xml:space="preserve">הממוצע </w:t>
            </w:r>
            <w:r w:rsidRPr="00731337">
              <w:rPr>
                <w:rFonts w:ascii="David" w:eastAsia="Times New Roman" w:hAnsi="David" w:cs="David"/>
                <w:b/>
                <w:bCs/>
                <w:color w:val="000000"/>
                <w:rtl/>
              </w:rPr>
              <w:t>לפי מחקר ה</w:t>
            </w:r>
            <w:r w:rsidRPr="00731337">
              <w:rPr>
                <w:rFonts w:ascii="David" w:eastAsia="Times New Roman" w:hAnsi="David" w:cs="David" w:hint="cs"/>
                <w:b/>
                <w:bCs/>
                <w:color w:val="000000"/>
                <w:rtl/>
              </w:rPr>
              <w:t>קודם</w:t>
            </w:r>
          </w:p>
        </w:tc>
        <w:tc>
          <w:tcPr>
            <w:tcW w:w="850" w:type="dxa"/>
            <w:tcBorders>
              <w:bottom w:val="single" w:sz="4" w:space="0" w:color="auto"/>
            </w:tcBorders>
            <w:vAlign w:val="center"/>
          </w:tcPr>
          <w:p w14:paraId="33E40FB7" w14:textId="77777777" w:rsidR="000340C9" w:rsidRPr="00731337" w:rsidRDefault="00E25AE7" w:rsidP="008C54E1">
            <w:pPr>
              <w:spacing w:after="0" w:line="240" w:lineRule="auto"/>
              <w:jc w:val="center"/>
              <w:rPr>
                <w:rFonts w:ascii="David" w:eastAsia="Times New Roman" w:hAnsi="David" w:cs="David"/>
                <w:b/>
                <w:bCs/>
                <w:color w:val="000000"/>
                <w:rtl/>
              </w:rPr>
            </w:pPr>
            <w:r w:rsidRPr="00731337">
              <w:rPr>
                <w:rFonts w:ascii="David" w:eastAsia="Times New Roman" w:hAnsi="David" w:cs="David"/>
                <w:b/>
                <w:bCs/>
                <w:color w:val="000000"/>
                <w:rtl/>
              </w:rPr>
              <w:t xml:space="preserve">מגמת </w:t>
            </w:r>
            <w:r w:rsidRPr="00731337">
              <w:rPr>
                <w:rFonts w:ascii="David" w:eastAsia="Times New Roman" w:hAnsi="David" w:cs="David" w:hint="cs"/>
                <w:b/>
                <w:bCs/>
                <w:color w:val="000000"/>
                <w:rtl/>
              </w:rPr>
              <w:t>ה</w:t>
            </w:r>
            <w:r w:rsidRPr="00731337">
              <w:rPr>
                <w:rFonts w:ascii="David" w:eastAsia="Times New Roman" w:hAnsi="David" w:cs="David"/>
                <w:b/>
                <w:bCs/>
                <w:color w:val="000000"/>
                <w:rtl/>
              </w:rPr>
              <w:t>שינוי</w:t>
            </w:r>
          </w:p>
        </w:tc>
      </w:tr>
      <w:tr w:rsidR="00E0162E" w:rsidRPr="00731337" w14:paraId="5752EB13" w14:textId="77777777" w:rsidTr="008D6C28">
        <w:trPr>
          <w:trHeight w:val="600"/>
        </w:trPr>
        <w:tc>
          <w:tcPr>
            <w:tcW w:w="856" w:type="dxa"/>
            <w:tcBorders>
              <w:top w:val="single" w:sz="4" w:space="0" w:color="auto"/>
              <w:bottom w:val="single" w:sz="4" w:space="0" w:color="auto"/>
            </w:tcBorders>
            <w:shd w:val="clear" w:color="auto" w:fill="D9D9D9"/>
            <w:noWrap/>
            <w:vAlign w:val="center"/>
            <w:hideMark/>
          </w:tcPr>
          <w:p w14:paraId="3FD16104" w14:textId="77777777" w:rsidR="000340C9" w:rsidRPr="00731337" w:rsidRDefault="00E25AE7" w:rsidP="008C54E1">
            <w:pPr>
              <w:spacing w:after="0" w:line="240" w:lineRule="auto"/>
              <w:jc w:val="center"/>
              <w:rPr>
                <w:rFonts w:ascii="David" w:hAnsi="David" w:cs="David"/>
                <w:color w:val="000000"/>
                <w:rtl/>
              </w:rPr>
            </w:pPr>
            <w:r w:rsidRPr="00731337">
              <w:rPr>
                <w:rFonts w:ascii="David" w:hAnsi="David" w:cs="David"/>
                <w:color w:val="000000"/>
                <w:rtl/>
              </w:rPr>
              <w:t>מחוזי</w:t>
            </w:r>
          </w:p>
        </w:tc>
        <w:tc>
          <w:tcPr>
            <w:tcW w:w="1412" w:type="dxa"/>
            <w:tcBorders>
              <w:top w:val="single" w:sz="4" w:space="0" w:color="auto"/>
              <w:bottom w:val="single" w:sz="4" w:space="0" w:color="auto"/>
            </w:tcBorders>
            <w:shd w:val="clear" w:color="auto" w:fill="D9D9D9"/>
            <w:noWrap/>
            <w:vAlign w:val="center"/>
          </w:tcPr>
          <w:p w14:paraId="5E83A640" w14:textId="77777777" w:rsidR="000340C9" w:rsidRPr="00731337" w:rsidRDefault="00E25AE7" w:rsidP="008C54E1">
            <w:pPr>
              <w:spacing w:after="0" w:line="240" w:lineRule="auto"/>
              <w:rPr>
                <w:rFonts w:ascii="David" w:hAnsi="David" w:cs="David"/>
                <w:color w:val="000000"/>
              </w:rPr>
            </w:pPr>
            <w:r w:rsidRPr="00731337">
              <w:rPr>
                <w:rFonts w:ascii="David" w:hAnsi="David" w:cs="David"/>
                <w:color w:val="000000"/>
                <w:rtl/>
              </w:rPr>
              <w:t>פלילי</w:t>
            </w:r>
          </w:p>
        </w:tc>
        <w:tc>
          <w:tcPr>
            <w:tcW w:w="2133" w:type="dxa"/>
            <w:tcBorders>
              <w:top w:val="single" w:sz="4" w:space="0" w:color="auto"/>
              <w:bottom w:val="single" w:sz="4" w:space="0" w:color="auto"/>
            </w:tcBorders>
            <w:shd w:val="clear" w:color="auto" w:fill="D9D9D9"/>
            <w:vAlign w:val="center"/>
          </w:tcPr>
          <w:p w14:paraId="7B8DD03F" w14:textId="77777777" w:rsidR="000340C9" w:rsidRPr="00731337" w:rsidRDefault="00E25AE7" w:rsidP="008C54E1">
            <w:pPr>
              <w:spacing w:after="0" w:line="240" w:lineRule="auto"/>
              <w:rPr>
                <w:rFonts w:ascii="David" w:hAnsi="David" w:cs="David"/>
                <w:color w:val="000000"/>
                <w:rtl/>
              </w:rPr>
            </w:pPr>
            <w:r w:rsidRPr="00731337">
              <w:rPr>
                <w:rFonts w:ascii="David" w:hAnsi="David" w:cs="David"/>
                <w:color w:val="000000"/>
                <w:rtl/>
              </w:rPr>
              <w:t>תיק פשעים חמורים (תפ"ח) – הרכב</w:t>
            </w:r>
          </w:p>
        </w:tc>
        <w:tc>
          <w:tcPr>
            <w:tcW w:w="1276" w:type="dxa"/>
            <w:tcBorders>
              <w:top w:val="single" w:sz="4" w:space="0" w:color="auto"/>
              <w:bottom w:val="single" w:sz="4" w:space="0" w:color="auto"/>
            </w:tcBorders>
            <w:shd w:val="clear" w:color="auto" w:fill="D9D9D9"/>
            <w:vAlign w:val="center"/>
          </w:tcPr>
          <w:p w14:paraId="0A7AE96A" w14:textId="77777777" w:rsidR="000340C9" w:rsidRPr="00731337" w:rsidRDefault="00E25AE7" w:rsidP="008C54E1">
            <w:pPr>
              <w:spacing w:after="0" w:line="240" w:lineRule="auto"/>
              <w:jc w:val="center"/>
              <w:rPr>
                <w:rFonts w:ascii="David" w:hAnsi="David" w:cs="David"/>
                <w:color w:val="000000"/>
              </w:rPr>
            </w:pPr>
            <w:r w:rsidRPr="00731337">
              <w:rPr>
                <w:rFonts w:ascii="David" w:hAnsi="David" w:cs="David" w:hint="cs"/>
                <w:color w:val="000000"/>
                <w:rtl/>
              </w:rPr>
              <w:t>274</w:t>
            </w:r>
          </w:p>
        </w:tc>
        <w:tc>
          <w:tcPr>
            <w:tcW w:w="1559" w:type="dxa"/>
            <w:tcBorders>
              <w:top w:val="single" w:sz="4" w:space="0" w:color="auto"/>
              <w:bottom w:val="single" w:sz="4" w:space="0" w:color="auto"/>
            </w:tcBorders>
            <w:shd w:val="clear" w:color="auto" w:fill="D9D9D9"/>
            <w:noWrap/>
            <w:vAlign w:val="center"/>
          </w:tcPr>
          <w:p w14:paraId="285949F9" w14:textId="77777777" w:rsidR="000340C9" w:rsidRPr="00731337" w:rsidRDefault="00E25AE7" w:rsidP="008C54E1">
            <w:pPr>
              <w:spacing w:after="0" w:line="240" w:lineRule="auto"/>
              <w:jc w:val="center"/>
              <w:rPr>
                <w:rFonts w:ascii="David" w:hAnsi="David" w:cs="David"/>
                <w:b/>
                <w:bCs/>
                <w:color w:val="000000"/>
              </w:rPr>
            </w:pPr>
            <w:r w:rsidRPr="00731337">
              <w:rPr>
                <w:rFonts w:ascii="David" w:hAnsi="David" w:cs="David" w:hint="cs"/>
                <w:b/>
                <w:bCs/>
                <w:color w:val="000000"/>
                <w:rtl/>
              </w:rPr>
              <w:t>1</w:t>
            </w:r>
            <w:r w:rsidR="002D00AA" w:rsidRPr="00731337">
              <w:rPr>
                <w:rFonts w:ascii="David" w:hAnsi="David" w:cs="David" w:hint="cs"/>
                <w:b/>
                <w:bCs/>
                <w:color w:val="000000"/>
                <w:rtl/>
              </w:rPr>
              <w:t>48</w:t>
            </w:r>
            <w:r w:rsidR="001D1F2C" w:rsidRPr="00731337">
              <w:rPr>
                <w:rFonts w:ascii="David" w:hAnsi="David" w:cs="David" w:hint="cs"/>
                <w:b/>
                <w:bCs/>
                <w:color w:val="000000"/>
                <w:rtl/>
              </w:rPr>
              <w:t>:</w:t>
            </w:r>
            <w:r w:rsidR="002D00AA" w:rsidRPr="00731337">
              <w:rPr>
                <w:rFonts w:ascii="David" w:hAnsi="David" w:cs="David" w:hint="cs"/>
                <w:b/>
                <w:bCs/>
                <w:color w:val="000000"/>
                <w:rtl/>
              </w:rPr>
              <w:t>41</w:t>
            </w:r>
          </w:p>
        </w:tc>
        <w:tc>
          <w:tcPr>
            <w:tcW w:w="1418" w:type="dxa"/>
            <w:tcBorders>
              <w:top w:val="single" w:sz="4" w:space="0" w:color="auto"/>
              <w:bottom w:val="single" w:sz="4" w:space="0" w:color="auto"/>
            </w:tcBorders>
            <w:shd w:val="clear" w:color="auto" w:fill="D9D9D9"/>
            <w:vAlign w:val="center"/>
          </w:tcPr>
          <w:p w14:paraId="04778D5C" w14:textId="77777777" w:rsidR="000340C9" w:rsidRPr="00731337" w:rsidRDefault="00E25AE7" w:rsidP="008C54E1">
            <w:pPr>
              <w:spacing w:after="0" w:line="240" w:lineRule="auto"/>
              <w:jc w:val="center"/>
              <w:rPr>
                <w:rFonts w:ascii="David" w:hAnsi="David" w:cs="David"/>
                <w:color w:val="000000"/>
              </w:rPr>
            </w:pPr>
            <w:r w:rsidRPr="00731337">
              <w:rPr>
                <w:rFonts w:ascii="David" w:hAnsi="David" w:cs="David"/>
                <w:color w:val="000000"/>
              </w:rPr>
              <w:t>85:13</w:t>
            </w:r>
          </w:p>
        </w:tc>
        <w:tc>
          <w:tcPr>
            <w:tcW w:w="850" w:type="dxa"/>
            <w:tcBorders>
              <w:top w:val="single" w:sz="4" w:space="0" w:color="auto"/>
              <w:bottom w:val="single" w:sz="4" w:space="0" w:color="auto"/>
            </w:tcBorders>
            <w:shd w:val="clear" w:color="auto" w:fill="D9D9D9"/>
            <w:vAlign w:val="center"/>
          </w:tcPr>
          <w:p w14:paraId="7976A2DD" w14:textId="1879331D" w:rsidR="000340C9" w:rsidRPr="00731337" w:rsidRDefault="008C54E1" w:rsidP="008C54E1">
            <w:pPr>
              <w:spacing w:after="0" w:line="240" w:lineRule="auto"/>
              <w:jc w:val="center"/>
              <w:rPr>
                <w:rFonts w:asciiTheme="minorHAnsi" w:hAnsiTheme="minorHAnsi" w:cs="David"/>
                <w:color w:val="000000"/>
                <w:rtl/>
              </w:rPr>
            </w:pPr>
            <w:r w:rsidRPr="00731337">
              <w:rPr>
                <w:rFonts w:asciiTheme="minorHAnsi" w:hAnsiTheme="minorHAnsi" w:cs="David" w:hint="cs"/>
                <w:color w:val="000000"/>
                <w:rtl/>
              </w:rPr>
              <w:t>63:28+</w:t>
            </w:r>
          </w:p>
        </w:tc>
      </w:tr>
      <w:tr w:rsidR="00E0162E" w:rsidRPr="00731337" w14:paraId="5862D53A" w14:textId="77777777" w:rsidTr="008D6C28">
        <w:trPr>
          <w:trHeight w:val="467"/>
        </w:trPr>
        <w:tc>
          <w:tcPr>
            <w:tcW w:w="856" w:type="dxa"/>
            <w:tcBorders>
              <w:top w:val="single" w:sz="4" w:space="0" w:color="auto"/>
              <w:bottom w:val="single" w:sz="4" w:space="0" w:color="auto"/>
            </w:tcBorders>
            <w:shd w:val="clear" w:color="auto" w:fill="auto"/>
            <w:noWrap/>
            <w:vAlign w:val="center"/>
          </w:tcPr>
          <w:p w14:paraId="23111C3C" w14:textId="77777777" w:rsidR="000340C9" w:rsidRPr="00731337" w:rsidRDefault="00E25AE7" w:rsidP="008C54E1">
            <w:pPr>
              <w:spacing w:after="0" w:line="240" w:lineRule="auto"/>
              <w:jc w:val="center"/>
              <w:rPr>
                <w:rFonts w:ascii="David" w:hAnsi="David" w:cs="David"/>
                <w:color w:val="000000"/>
              </w:rPr>
            </w:pPr>
            <w:r w:rsidRPr="00731337">
              <w:rPr>
                <w:rFonts w:ascii="David" w:hAnsi="David" w:cs="David"/>
                <w:color w:val="000000"/>
                <w:rtl/>
              </w:rPr>
              <w:t>מחוזי</w:t>
            </w:r>
          </w:p>
        </w:tc>
        <w:tc>
          <w:tcPr>
            <w:tcW w:w="1412" w:type="dxa"/>
            <w:tcBorders>
              <w:top w:val="single" w:sz="4" w:space="0" w:color="auto"/>
              <w:bottom w:val="single" w:sz="4" w:space="0" w:color="auto"/>
            </w:tcBorders>
            <w:shd w:val="clear" w:color="auto" w:fill="auto"/>
            <w:noWrap/>
            <w:vAlign w:val="center"/>
          </w:tcPr>
          <w:p w14:paraId="6274E596" w14:textId="77777777" w:rsidR="000340C9" w:rsidRPr="00731337" w:rsidRDefault="00E25AE7" w:rsidP="008C54E1">
            <w:pPr>
              <w:spacing w:after="0" w:line="240" w:lineRule="auto"/>
              <w:rPr>
                <w:rFonts w:ascii="David" w:hAnsi="David" w:cs="David"/>
                <w:color w:val="000000"/>
              </w:rPr>
            </w:pPr>
            <w:r w:rsidRPr="00731337">
              <w:rPr>
                <w:rFonts w:ascii="David" w:hAnsi="David" w:cs="David"/>
                <w:color w:val="000000"/>
                <w:rtl/>
              </w:rPr>
              <w:t>פלילי</w:t>
            </w:r>
          </w:p>
        </w:tc>
        <w:tc>
          <w:tcPr>
            <w:tcW w:w="2133" w:type="dxa"/>
            <w:tcBorders>
              <w:top w:val="single" w:sz="4" w:space="0" w:color="auto"/>
              <w:bottom w:val="single" w:sz="4" w:space="0" w:color="auto"/>
            </w:tcBorders>
            <w:shd w:val="clear" w:color="auto" w:fill="auto"/>
            <w:vAlign w:val="center"/>
          </w:tcPr>
          <w:p w14:paraId="3998A9BF" w14:textId="77777777" w:rsidR="000340C9" w:rsidRPr="00731337" w:rsidRDefault="00E25AE7" w:rsidP="008C54E1">
            <w:pPr>
              <w:spacing w:after="0" w:line="240" w:lineRule="auto"/>
              <w:rPr>
                <w:rFonts w:ascii="David" w:hAnsi="David" w:cs="David"/>
                <w:color w:val="000000"/>
                <w:rtl/>
              </w:rPr>
            </w:pPr>
            <w:r w:rsidRPr="00731337">
              <w:rPr>
                <w:rFonts w:ascii="David" w:hAnsi="David" w:cs="David"/>
                <w:color w:val="000000"/>
                <w:rtl/>
              </w:rPr>
              <w:t>תיק פלילי (ת"פ)</w:t>
            </w:r>
          </w:p>
        </w:tc>
        <w:tc>
          <w:tcPr>
            <w:tcW w:w="1276" w:type="dxa"/>
            <w:tcBorders>
              <w:top w:val="single" w:sz="4" w:space="0" w:color="auto"/>
              <w:bottom w:val="single" w:sz="4" w:space="0" w:color="auto"/>
            </w:tcBorders>
            <w:vAlign w:val="center"/>
          </w:tcPr>
          <w:p w14:paraId="30B4E0B3" w14:textId="77777777" w:rsidR="000340C9" w:rsidRPr="00731337" w:rsidRDefault="00E25AE7" w:rsidP="008C54E1">
            <w:pPr>
              <w:spacing w:after="0" w:line="240" w:lineRule="auto"/>
              <w:jc w:val="center"/>
              <w:rPr>
                <w:rFonts w:ascii="David" w:hAnsi="David" w:cs="David"/>
                <w:color w:val="000000"/>
              </w:rPr>
            </w:pPr>
            <w:r w:rsidRPr="00731337">
              <w:rPr>
                <w:rFonts w:ascii="David" w:hAnsi="David" w:cs="David" w:hint="cs"/>
                <w:color w:val="000000"/>
                <w:rtl/>
              </w:rPr>
              <w:t>1,308</w:t>
            </w:r>
          </w:p>
        </w:tc>
        <w:tc>
          <w:tcPr>
            <w:tcW w:w="1559" w:type="dxa"/>
            <w:tcBorders>
              <w:top w:val="single" w:sz="4" w:space="0" w:color="auto"/>
              <w:bottom w:val="single" w:sz="4" w:space="0" w:color="auto"/>
            </w:tcBorders>
            <w:shd w:val="clear" w:color="auto" w:fill="auto"/>
            <w:noWrap/>
            <w:vAlign w:val="center"/>
          </w:tcPr>
          <w:p w14:paraId="261D047A" w14:textId="77777777" w:rsidR="000340C9" w:rsidRPr="00731337" w:rsidRDefault="002D00AA" w:rsidP="008C54E1">
            <w:pPr>
              <w:spacing w:after="0" w:line="240" w:lineRule="auto"/>
              <w:jc w:val="center"/>
              <w:rPr>
                <w:rFonts w:ascii="David" w:hAnsi="David" w:cs="David"/>
                <w:b/>
                <w:bCs/>
                <w:color w:val="000000"/>
              </w:rPr>
            </w:pPr>
            <w:r w:rsidRPr="00731337">
              <w:rPr>
                <w:rFonts w:ascii="David" w:hAnsi="David" w:cs="David"/>
                <w:b/>
                <w:bCs/>
                <w:color w:val="000000"/>
              </w:rPr>
              <w:t>31:39</w:t>
            </w:r>
          </w:p>
        </w:tc>
        <w:tc>
          <w:tcPr>
            <w:tcW w:w="1418" w:type="dxa"/>
            <w:tcBorders>
              <w:top w:val="single" w:sz="4" w:space="0" w:color="auto"/>
              <w:bottom w:val="single" w:sz="4" w:space="0" w:color="auto"/>
            </w:tcBorders>
            <w:vAlign w:val="center"/>
          </w:tcPr>
          <w:p w14:paraId="424180CE" w14:textId="77777777" w:rsidR="000340C9" w:rsidRPr="00731337" w:rsidRDefault="00E25AE7" w:rsidP="008C54E1">
            <w:pPr>
              <w:spacing w:after="0" w:line="240" w:lineRule="auto"/>
              <w:jc w:val="center"/>
              <w:rPr>
                <w:rFonts w:ascii="David" w:hAnsi="David" w:cs="David"/>
                <w:color w:val="000000"/>
              </w:rPr>
            </w:pPr>
            <w:r w:rsidRPr="00731337">
              <w:rPr>
                <w:rFonts w:ascii="David" w:hAnsi="David" w:cs="David"/>
                <w:color w:val="000000"/>
              </w:rPr>
              <w:t>11:18</w:t>
            </w:r>
          </w:p>
        </w:tc>
        <w:tc>
          <w:tcPr>
            <w:tcW w:w="850" w:type="dxa"/>
            <w:tcBorders>
              <w:top w:val="single" w:sz="4" w:space="0" w:color="auto"/>
              <w:bottom w:val="single" w:sz="4" w:space="0" w:color="auto"/>
            </w:tcBorders>
            <w:vAlign w:val="center"/>
          </w:tcPr>
          <w:p w14:paraId="65F7396C" w14:textId="77777777" w:rsidR="000340C9" w:rsidRPr="00731337" w:rsidRDefault="00E25AE7" w:rsidP="008C54E1">
            <w:pPr>
              <w:spacing w:after="0" w:line="240" w:lineRule="auto"/>
              <w:jc w:val="center"/>
              <w:rPr>
                <w:rFonts w:ascii="David" w:hAnsi="David" w:cs="David"/>
                <w:color w:val="000000"/>
              </w:rPr>
            </w:pPr>
            <w:r w:rsidRPr="00731337">
              <w:rPr>
                <w:rFonts w:ascii="David" w:hAnsi="David" w:cs="David"/>
                <w:color w:val="000000"/>
              </w:rPr>
              <w:t>+2</w:t>
            </w:r>
            <w:r w:rsidR="002D00AA" w:rsidRPr="00731337">
              <w:rPr>
                <w:rFonts w:ascii="David" w:hAnsi="David" w:cs="David"/>
                <w:color w:val="000000"/>
              </w:rPr>
              <w:t>0</w:t>
            </w:r>
            <w:r w:rsidRPr="00731337">
              <w:rPr>
                <w:rFonts w:ascii="David" w:hAnsi="David" w:cs="David"/>
                <w:color w:val="000000"/>
              </w:rPr>
              <w:t>:</w:t>
            </w:r>
            <w:r w:rsidR="002D00AA" w:rsidRPr="00731337">
              <w:rPr>
                <w:rFonts w:ascii="David" w:hAnsi="David" w:cs="David"/>
                <w:color w:val="000000"/>
              </w:rPr>
              <w:t>21</w:t>
            </w:r>
          </w:p>
        </w:tc>
      </w:tr>
      <w:tr w:rsidR="004405AC" w:rsidRPr="00731337" w14:paraId="24E18D46" w14:textId="77777777" w:rsidTr="008D6C28">
        <w:trPr>
          <w:trHeight w:val="507"/>
        </w:trPr>
        <w:tc>
          <w:tcPr>
            <w:tcW w:w="856" w:type="dxa"/>
            <w:tcBorders>
              <w:top w:val="single" w:sz="4" w:space="0" w:color="auto"/>
              <w:bottom w:val="single" w:sz="4" w:space="0" w:color="auto"/>
            </w:tcBorders>
            <w:shd w:val="clear" w:color="auto" w:fill="D9D9D9"/>
            <w:noWrap/>
            <w:vAlign w:val="center"/>
            <w:hideMark/>
          </w:tcPr>
          <w:p w14:paraId="629AE89C" w14:textId="77777777" w:rsidR="004405AC" w:rsidRPr="00731337" w:rsidRDefault="004405AC" w:rsidP="008C54E1">
            <w:pPr>
              <w:spacing w:after="0" w:line="240" w:lineRule="auto"/>
              <w:jc w:val="center"/>
              <w:rPr>
                <w:rFonts w:ascii="David" w:hAnsi="David" w:cs="David"/>
                <w:color w:val="000000"/>
              </w:rPr>
            </w:pPr>
            <w:r w:rsidRPr="00731337">
              <w:rPr>
                <w:rFonts w:ascii="David" w:hAnsi="David" w:cs="David"/>
                <w:color w:val="000000"/>
                <w:rtl/>
              </w:rPr>
              <w:t>מחוזי</w:t>
            </w:r>
          </w:p>
        </w:tc>
        <w:tc>
          <w:tcPr>
            <w:tcW w:w="1412" w:type="dxa"/>
            <w:tcBorders>
              <w:top w:val="single" w:sz="4" w:space="0" w:color="auto"/>
              <w:bottom w:val="single" w:sz="4" w:space="0" w:color="auto"/>
            </w:tcBorders>
            <w:shd w:val="clear" w:color="auto" w:fill="D9D9D9"/>
            <w:noWrap/>
            <w:vAlign w:val="center"/>
          </w:tcPr>
          <w:p w14:paraId="6BDAA101" w14:textId="77777777" w:rsidR="004405AC" w:rsidRPr="00731337" w:rsidRDefault="004405AC" w:rsidP="008C54E1">
            <w:pPr>
              <w:spacing w:after="0" w:line="240" w:lineRule="auto"/>
              <w:rPr>
                <w:rFonts w:ascii="David" w:hAnsi="David" w:cs="David"/>
                <w:color w:val="000000"/>
              </w:rPr>
            </w:pPr>
            <w:r w:rsidRPr="00731337">
              <w:rPr>
                <w:rFonts w:ascii="David" w:hAnsi="David" w:cs="David" w:hint="cs"/>
                <w:color w:val="000000"/>
                <w:rtl/>
              </w:rPr>
              <w:t>ערעור</w:t>
            </w:r>
            <w:r w:rsidRPr="00731337">
              <w:rPr>
                <w:rFonts w:ascii="David" w:hAnsi="David" w:cs="David"/>
                <w:color w:val="000000"/>
                <w:rtl/>
              </w:rPr>
              <w:t xml:space="preserve"> פל</w:t>
            </w:r>
            <w:r w:rsidRPr="00731337">
              <w:rPr>
                <w:rFonts w:ascii="David" w:hAnsi="David" w:cs="David" w:hint="cs"/>
                <w:color w:val="000000"/>
                <w:rtl/>
              </w:rPr>
              <w:t>ילי</w:t>
            </w:r>
          </w:p>
        </w:tc>
        <w:tc>
          <w:tcPr>
            <w:tcW w:w="2133" w:type="dxa"/>
            <w:tcBorders>
              <w:top w:val="single" w:sz="4" w:space="0" w:color="auto"/>
              <w:bottom w:val="single" w:sz="4" w:space="0" w:color="auto"/>
            </w:tcBorders>
            <w:shd w:val="clear" w:color="auto" w:fill="D9D9D9"/>
            <w:vAlign w:val="center"/>
          </w:tcPr>
          <w:p w14:paraId="3D5F98A0" w14:textId="77777777" w:rsidR="004405AC" w:rsidRPr="00731337" w:rsidRDefault="004405AC" w:rsidP="008C54E1">
            <w:pPr>
              <w:spacing w:after="0" w:line="240" w:lineRule="auto"/>
              <w:rPr>
                <w:rFonts w:ascii="David" w:hAnsi="David" w:cs="David"/>
                <w:color w:val="000000"/>
                <w:rtl/>
              </w:rPr>
            </w:pPr>
            <w:r w:rsidRPr="00731337">
              <w:rPr>
                <w:rFonts w:ascii="David" w:hAnsi="David" w:cs="David"/>
                <w:color w:val="000000"/>
                <w:rtl/>
              </w:rPr>
              <w:t>ערעור פלילי (ע"פ) – הרכב</w:t>
            </w:r>
          </w:p>
        </w:tc>
        <w:tc>
          <w:tcPr>
            <w:tcW w:w="1276" w:type="dxa"/>
            <w:tcBorders>
              <w:top w:val="single" w:sz="4" w:space="0" w:color="auto"/>
              <w:bottom w:val="single" w:sz="4" w:space="0" w:color="auto"/>
            </w:tcBorders>
            <w:shd w:val="clear" w:color="auto" w:fill="D9D9D9"/>
            <w:vAlign w:val="center"/>
          </w:tcPr>
          <w:p w14:paraId="176F164F" w14:textId="77777777" w:rsidR="004405AC" w:rsidRPr="00731337" w:rsidRDefault="004405AC" w:rsidP="008C54E1">
            <w:pPr>
              <w:spacing w:after="0" w:line="240" w:lineRule="auto"/>
              <w:jc w:val="center"/>
              <w:rPr>
                <w:rFonts w:ascii="David" w:hAnsi="David" w:cs="David"/>
                <w:color w:val="000000"/>
              </w:rPr>
            </w:pPr>
            <w:r w:rsidRPr="00731337">
              <w:rPr>
                <w:rFonts w:ascii="David" w:hAnsi="David" w:cs="David" w:hint="cs"/>
                <w:color w:val="000000"/>
                <w:rtl/>
              </w:rPr>
              <w:t>366</w:t>
            </w:r>
          </w:p>
        </w:tc>
        <w:tc>
          <w:tcPr>
            <w:tcW w:w="1559" w:type="dxa"/>
            <w:tcBorders>
              <w:top w:val="single" w:sz="4" w:space="0" w:color="auto"/>
              <w:bottom w:val="single" w:sz="4" w:space="0" w:color="auto"/>
            </w:tcBorders>
            <w:shd w:val="clear" w:color="auto" w:fill="D9D9D9"/>
            <w:noWrap/>
            <w:vAlign w:val="center"/>
          </w:tcPr>
          <w:p w14:paraId="1BB7828F" w14:textId="77777777" w:rsidR="004405AC" w:rsidRPr="00731337" w:rsidRDefault="004405AC" w:rsidP="008C54E1">
            <w:pPr>
              <w:spacing w:after="0" w:line="240" w:lineRule="auto"/>
              <w:jc w:val="center"/>
              <w:rPr>
                <w:rFonts w:ascii="David" w:hAnsi="David" w:cs="David"/>
                <w:b/>
                <w:bCs/>
                <w:color w:val="000000"/>
              </w:rPr>
            </w:pPr>
            <w:r w:rsidRPr="00731337">
              <w:rPr>
                <w:rFonts w:ascii="David" w:hAnsi="David" w:cs="David" w:hint="cs"/>
                <w:b/>
                <w:bCs/>
                <w:color w:val="000000"/>
                <w:rtl/>
              </w:rPr>
              <w:t>15:03</w:t>
            </w:r>
          </w:p>
        </w:tc>
        <w:tc>
          <w:tcPr>
            <w:tcW w:w="1418" w:type="dxa"/>
            <w:tcBorders>
              <w:top w:val="single" w:sz="4" w:space="0" w:color="auto"/>
              <w:bottom w:val="single" w:sz="4" w:space="0" w:color="auto"/>
            </w:tcBorders>
            <w:shd w:val="clear" w:color="auto" w:fill="D9D9D9"/>
            <w:vAlign w:val="center"/>
          </w:tcPr>
          <w:p w14:paraId="6A1861B7" w14:textId="77777777" w:rsidR="004405AC" w:rsidRPr="00731337" w:rsidRDefault="004405AC" w:rsidP="008C54E1">
            <w:pPr>
              <w:spacing w:after="0" w:line="240" w:lineRule="auto"/>
              <w:jc w:val="center"/>
              <w:rPr>
                <w:rFonts w:ascii="David" w:hAnsi="David" w:cs="David"/>
                <w:color w:val="000000"/>
              </w:rPr>
            </w:pPr>
            <w:r w:rsidRPr="00731337">
              <w:rPr>
                <w:rFonts w:ascii="David" w:hAnsi="David" w:cs="David" w:hint="cs"/>
                <w:color w:val="000000"/>
                <w:rtl/>
              </w:rPr>
              <w:t>-</w:t>
            </w:r>
          </w:p>
        </w:tc>
        <w:tc>
          <w:tcPr>
            <w:tcW w:w="850" w:type="dxa"/>
            <w:tcBorders>
              <w:top w:val="single" w:sz="4" w:space="0" w:color="auto"/>
              <w:bottom w:val="single" w:sz="4" w:space="0" w:color="auto"/>
            </w:tcBorders>
            <w:shd w:val="clear" w:color="auto" w:fill="D9D9D9"/>
            <w:vAlign w:val="center"/>
          </w:tcPr>
          <w:p w14:paraId="4469AB68" w14:textId="77777777" w:rsidR="004405AC" w:rsidRPr="00731337" w:rsidRDefault="004405AC" w:rsidP="008C54E1">
            <w:pPr>
              <w:spacing w:after="0" w:line="240" w:lineRule="auto"/>
              <w:jc w:val="center"/>
              <w:rPr>
                <w:rFonts w:ascii="David" w:hAnsi="David" w:cs="David"/>
                <w:color w:val="000000"/>
              </w:rPr>
            </w:pPr>
            <w:r w:rsidRPr="00731337">
              <w:rPr>
                <w:rFonts w:ascii="David" w:hAnsi="David" w:cs="David" w:hint="cs"/>
                <w:color w:val="000000"/>
                <w:rtl/>
              </w:rPr>
              <w:t>-</w:t>
            </w:r>
          </w:p>
        </w:tc>
      </w:tr>
      <w:tr w:rsidR="004405AC" w:rsidRPr="00731337" w14:paraId="5860B8F7" w14:textId="77777777" w:rsidTr="008D6C28">
        <w:trPr>
          <w:trHeight w:val="507"/>
        </w:trPr>
        <w:tc>
          <w:tcPr>
            <w:tcW w:w="856" w:type="dxa"/>
            <w:tcBorders>
              <w:top w:val="single" w:sz="4" w:space="0" w:color="auto"/>
              <w:bottom w:val="single" w:sz="4" w:space="0" w:color="auto"/>
            </w:tcBorders>
            <w:shd w:val="clear" w:color="auto" w:fill="auto"/>
            <w:noWrap/>
            <w:vAlign w:val="center"/>
          </w:tcPr>
          <w:p w14:paraId="7BF57DC2" w14:textId="77777777" w:rsidR="004405AC" w:rsidRPr="00731337" w:rsidRDefault="004405AC" w:rsidP="008C54E1">
            <w:pPr>
              <w:spacing w:after="0" w:line="240" w:lineRule="auto"/>
              <w:rPr>
                <w:rFonts w:ascii="David" w:hAnsi="David" w:cs="David"/>
                <w:color w:val="000000"/>
              </w:rPr>
            </w:pPr>
            <w:r w:rsidRPr="00731337">
              <w:rPr>
                <w:rFonts w:ascii="David" w:hAnsi="David" w:cs="David"/>
                <w:color w:val="000000"/>
                <w:rtl/>
              </w:rPr>
              <w:t>מחוזי</w:t>
            </w:r>
          </w:p>
        </w:tc>
        <w:tc>
          <w:tcPr>
            <w:tcW w:w="1412" w:type="dxa"/>
            <w:tcBorders>
              <w:top w:val="single" w:sz="4" w:space="0" w:color="auto"/>
              <w:bottom w:val="single" w:sz="4" w:space="0" w:color="auto"/>
            </w:tcBorders>
            <w:shd w:val="clear" w:color="auto" w:fill="auto"/>
            <w:noWrap/>
            <w:vAlign w:val="center"/>
          </w:tcPr>
          <w:p w14:paraId="13E678AF" w14:textId="77777777" w:rsidR="004405AC" w:rsidRPr="00731337" w:rsidRDefault="004405AC" w:rsidP="008C54E1">
            <w:pPr>
              <w:spacing w:after="0" w:line="240" w:lineRule="auto"/>
              <w:rPr>
                <w:rFonts w:ascii="David" w:hAnsi="David" w:cs="David"/>
                <w:color w:val="000000"/>
              </w:rPr>
            </w:pPr>
            <w:r w:rsidRPr="00731337">
              <w:rPr>
                <w:rFonts w:ascii="David" w:hAnsi="David" w:cs="David"/>
                <w:color w:val="000000"/>
                <w:rtl/>
              </w:rPr>
              <w:t>ערעור פלילי</w:t>
            </w:r>
          </w:p>
        </w:tc>
        <w:tc>
          <w:tcPr>
            <w:tcW w:w="2133" w:type="dxa"/>
            <w:tcBorders>
              <w:top w:val="single" w:sz="4" w:space="0" w:color="auto"/>
              <w:bottom w:val="single" w:sz="4" w:space="0" w:color="auto"/>
            </w:tcBorders>
            <w:shd w:val="clear" w:color="auto" w:fill="auto"/>
            <w:vAlign w:val="center"/>
          </w:tcPr>
          <w:p w14:paraId="0BB09922" w14:textId="77777777" w:rsidR="004405AC" w:rsidRPr="00731337" w:rsidRDefault="004405AC" w:rsidP="008C54E1">
            <w:pPr>
              <w:spacing w:after="0" w:line="240" w:lineRule="auto"/>
              <w:rPr>
                <w:rFonts w:ascii="David" w:hAnsi="David" w:cs="David"/>
                <w:color w:val="000000"/>
                <w:rtl/>
              </w:rPr>
            </w:pPr>
            <w:r w:rsidRPr="00731337">
              <w:rPr>
                <w:rFonts w:ascii="David" w:hAnsi="David" w:cs="David"/>
                <w:color w:val="000000"/>
                <w:rtl/>
              </w:rPr>
              <w:t xml:space="preserve">ערעור פלילי (ע"פ) – </w:t>
            </w:r>
            <w:r w:rsidRPr="00731337">
              <w:rPr>
                <w:rFonts w:ascii="David" w:hAnsi="David" w:cs="David" w:hint="cs"/>
                <w:b/>
                <w:bCs/>
                <w:color w:val="000000"/>
                <w:rtl/>
              </w:rPr>
              <w:t>משוקלל</w:t>
            </w:r>
          </w:p>
        </w:tc>
        <w:tc>
          <w:tcPr>
            <w:tcW w:w="1276" w:type="dxa"/>
            <w:tcBorders>
              <w:top w:val="single" w:sz="4" w:space="0" w:color="auto"/>
              <w:bottom w:val="single" w:sz="4" w:space="0" w:color="auto"/>
            </w:tcBorders>
            <w:shd w:val="clear" w:color="auto" w:fill="auto"/>
            <w:vAlign w:val="center"/>
          </w:tcPr>
          <w:p w14:paraId="10EF72BD" w14:textId="77777777" w:rsidR="004405AC" w:rsidRPr="00731337" w:rsidRDefault="004405AC" w:rsidP="008C54E1">
            <w:pPr>
              <w:spacing w:after="0" w:line="240" w:lineRule="auto"/>
              <w:jc w:val="center"/>
              <w:rPr>
                <w:rFonts w:ascii="David" w:hAnsi="David" w:cs="David"/>
                <w:color w:val="000000"/>
              </w:rPr>
            </w:pPr>
            <w:r w:rsidRPr="00731337">
              <w:rPr>
                <w:rFonts w:ascii="David" w:hAnsi="David" w:cs="David"/>
                <w:color w:val="000000"/>
              </w:rPr>
              <w:t>462</w:t>
            </w:r>
          </w:p>
        </w:tc>
        <w:tc>
          <w:tcPr>
            <w:tcW w:w="1559" w:type="dxa"/>
            <w:tcBorders>
              <w:top w:val="single" w:sz="4" w:space="0" w:color="auto"/>
              <w:bottom w:val="single" w:sz="4" w:space="0" w:color="auto"/>
            </w:tcBorders>
            <w:shd w:val="clear" w:color="auto" w:fill="auto"/>
            <w:noWrap/>
            <w:vAlign w:val="center"/>
          </w:tcPr>
          <w:p w14:paraId="4D1177C7" w14:textId="77777777" w:rsidR="004405AC" w:rsidRPr="00731337" w:rsidRDefault="004405AC" w:rsidP="008C54E1">
            <w:pPr>
              <w:spacing w:after="0" w:line="240" w:lineRule="auto"/>
              <w:jc w:val="center"/>
              <w:rPr>
                <w:rFonts w:ascii="David" w:hAnsi="David" w:cs="David"/>
                <w:b/>
                <w:bCs/>
                <w:color w:val="000000"/>
              </w:rPr>
            </w:pPr>
            <w:r w:rsidRPr="00731337">
              <w:rPr>
                <w:rFonts w:ascii="David" w:hAnsi="David" w:cs="David" w:hint="cs"/>
                <w:b/>
                <w:bCs/>
                <w:color w:val="000000"/>
                <w:rtl/>
              </w:rPr>
              <w:t>13:29</w:t>
            </w:r>
          </w:p>
        </w:tc>
        <w:tc>
          <w:tcPr>
            <w:tcW w:w="1418" w:type="dxa"/>
            <w:tcBorders>
              <w:top w:val="single" w:sz="4" w:space="0" w:color="auto"/>
              <w:bottom w:val="single" w:sz="4" w:space="0" w:color="auto"/>
            </w:tcBorders>
            <w:shd w:val="clear" w:color="auto" w:fill="auto"/>
            <w:vAlign w:val="center"/>
          </w:tcPr>
          <w:p w14:paraId="322CF332" w14:textId="77777777" w:rsidR="004405AC" w:rsidRPr="00731337" w:rsidRDefault="004405AC" w:rsidP="008C54E1">
            <w:pPr>
              <w:spacing w:after="0" w:line="240" w:lineRule="auto"/>
              <w:jc w:val="center"/>
              <w:rPr>
                <w:rFonts w:ascii="David" w:hAnsi="David" w:cs="David"/>
                <w:color w:val="000000"/>
              </w:rPr>
            </w:pPr>
            <w:r w:rsidRPr="00731337">
              <w:rPr>
                <w:rFonts w:ascii="David" w:hAnsi="David" w:cs="David"/>
                <w:color w:val="000000"/>
              </w:rPr>
              <w:t>9:12</w:t>
            </w:r>
          </w:p>
        </w:tc>
        <w:tc>
          <w:tcPr>
            <w:tcW w:w="850" w:type="dxa"/>
            <w:tcBorders>
              <w:top w:val="single" w:sz="4" w:space="0" w:color="auto"/>
              <w:bottom w:val="single" w:sz="4" w:space="0" w:color="auto"/>
            </w:tcBorders>
            <w:shd w:val="clear" w:color="auto" w:fill="auto"/>
            <w:vAlign w:val="center"/>
          </w:tcPr>
          <w:p w14:paraId="017AA035" w14:textId="77777777" w:rsidR="004405AC" w:rsidRPr="00731337" w:rsidRDefault="004405AC" w:rsidP="008C54E1">
            <w:pPr>
              <w:spacing w:after="0" w:line="240" w:lineRule="auto"/>
              <w:jc w:val="center"/>
              <w:rPr>
                <w:rFonts w:ascii="David" w:hAnsi="David" w:cs="David"/>
                <w:color w:val="000000"/>
              </w:rPr>
            </w:pPr>
            <w:r w:rsidRPr="00731337">
              <w:rPr>
                <w:rFonts w:ascii="David" w:hAnsi="David" w:cs="David" w:hint="cs"/>
                <w:color w:val="000000"/>
                <w:rtl/>
              </w:rPr>
              <w:t>4:17+</w:t>
            </w:r>
          </w:p>
        </w:tc>
      </w:tr>
      <w:tr w:rsidR="00731337" w:rsidRPr="00731337" w14:paraId="51552F67" w14:textId="77777777" w:rsidTr="008D6C28">
        <w:trPr>
          <w:trHeight w:val="507"/>
        </w:trPr>
        <w:tc>
          <w:tcPr>
            <w:tcW w:w="856" w:type="dxa"/>
            <w:tcBorders>
              <w:top w:val="single" w:sz="4" w:space="0" w:color="auto"/>
              <w:bottom w:val="single" w:sz="4" w:space="0" w:color="auto"/>
            </w:tcBorders>
            <w:shd w:val="clear" w:color="auto" w:fill="D9D9D9"/>
            <w:noWrap/>
            <w:vAlign w:val="center"/>
          </w:tcPr>
          <w:p w14:paraId="11A4BFEA"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tl/>
              </w:rPr>
              <w:t>מחוזי</w:t>
            </w:r>
          </w:p>
        </w:tc>
        <w:tc>
          <w:tcPr>
            <w:tcW w:w="1412" w:type="dxa"/>
            <w:tcBorders>
              <w:top w:val="single" w:sz="4" w:space="0" w:color="auto"/>
              <w:bottom w:val="single" w:sz="4" w:space="0" w:color="auto"/>
            </w:tcBorders>
            <w:shd w:val="clear" w:color="auto" w:fill="D9D9D9"/>
            <w:noWrap/>
            <w:vAlign w:val="center"/>
          </w:tcPr>
          <w:p w14:paraId="78632D53"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ערעור פלילי</w:t>
            </w:r>
          </w:p>
        </w:tc>
        <w:tc>
          <w:tcPr>
            <w:tcW w:w="2133" w:type="dxa"/>
            <w:tcBorders>
              <w:top w:val="single" w:sz="4" w:space="0" w:color="auto"/>
              <w:bottom w:val="single" w:sz="4" w:space="0" w:color="auto"/>
            </w:tcBorders>
            <w:shd w:val="clear" w:color="auto" w:fill="D9D9D9"/>
            <w:vAlign w:val="center"/>
          </w:tcPr>
          <w:p w14:paraId="0FCEC7A2" w14:textId="77777777" w:rsidR="00731337" w:rsidRPr="00731337" w:rsidRDefault="00731337" w:rsidP="00731337">
            <w:pPr>
              <w:spacing w:after="0" w:line="240" w:lineRule="auto"/>
              <w:rPr>
                <w:rFonts w:ascii="David" w:hAnsi="David" w:cs="David"/>
                <w:color w:val="000000"/>
                <w:rtl/>
              </w:rPr>
            </w:pPr>
            <w:r w:rsidRPr="00731337">
              <w:rPr>
                <w:rFonts w:ascii="David" w:hAnsi="David" w:cs="David"/>
                <w:color w:val="000000"/>
                <w:rtl/>
              </w:rPr>
              <w:t>ערעור פלילי גזר דין (עפ"ג) – הרכב</w:t>
            </w:r>
          </w:p>
        </w:tc>
        <w:tc>
          <w:tcPr>
            <w:tcW w:w="1276" w:type="dxa"/>
            <w:tcBorders>
              <w:top w:val="single" w:sz="4" w:space="0" w:color="auto"/>
              <w:bottom w:val="single" w:sz="4" w:space="0" w:color="auto"/>
            </w:tcBorders>
            <w:shd w:val="clear" w:color="auto" w:fill="D9D9D9"/>
            <w:vAlign w:val="center"/>
          </w:tcPr>
          <w:p w14:paraId="0ACD5CB5" w14:textId="77777777" w:rsidR="00731337" w:rsidRPr="00731337" w:rsidRDefault="00731337" w:rsidP="00731337">
            <w:pPr>
              <w:spacing w:after="0" w:line="240" w:lineRule="auto"/>
              <w:jc w:val="center"/>
              <w:rPr>
                <w:rFonts w:ascii="David" w:hAnsi="David" w:cs="David"/>
                <w:color w:val="000000"/>
                <w:rtl/>
              </w:rPr>
            </w:pPr>
            <w:r w:rsidRPr="00731337">
              <w:rPr>
                <w:rFonts w:ascii="David" w:hAnsi="David" w:cs="David" w:hint="cs"/>
                <w:color w:val="000000"/>
                <w:rtl/>
              </w:rPr>
              <w:t>1,092</w:t>
            </w:r>
          </w:p>
        </w:tc>
        <w:tc>
          <w:tcPr>
            <w:tcW w:w="1559" w:type="dxa"/>
            <w:tcBorders>
              <w:top w:val="single" w:sz="4" w:space="0" w:color="auto"/>
              <w:bottom w:val="single" w:sz="4" w:space="0" w:color="auto"/>
            </w:tcBorders>
            <w:shd w:val="clear" w:color="auto" w:fill="D9D9D9"/>
            <w:noWrap/>
            <w:vAlign w:val="center"/>
          </w:tcPr>
          <w:p w14:paraId="036A50D8" w14:textId="77777777" w:rsidR="00731337" w:rsidRPr="00731337" w:rsidRDefault="00731337" w:rsidP="00731337">
            <w:pPr>
              <w:spacing w:after="0" w:line="240" w:lineRule="auto"/>
              <w:jc w:val="center"/>
              <w:rPr>
                <w:rFonts w:asciiTheme="minorHAnsi" w:hAnsiTheme="minorHAnsi" w:cs="David"/>
                <w:b/>
                <w:bCs/>
                <w:color w:val="000000"/>
                <w:rtl/>
              </w:rPr>
            </w:pPr>
            <w:r w:rsidRPr="00731337">
              <w:rPr>
                <w:rFonts w:ascii="David" w:hAnsi="David" w:cs="David" w:hint="cs"/>
                <w:b/>
                <w:bCs/>
                <w:color w:val="000000"/>
                <w:rtl/>
              </w:rPr>
              <w:t>8:14</w:t>
            </w:r>
          </w:p>
        </w:tc>
        <w:tc>
          <w:tcPr>
            <w:tcW w:w="1418" w:type="dxa"/>
            <w:tcBorders>
              <w:top w:val="single" w:sz="4" w:space="0" w:color="auto"/>
              <w:bottom w:val="single" w:sz="4" w:space="0" w:color="auto"/>
            </w:tcBorders>
            <w:shd w:val="clear" w:color="auto" w:fill="D9D9D9"/>
            <w:vAlign w:val="center"/>
          </w:tcPr>
          <w:p w14:paraId="20AC0DB7"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8:58</w:t>
            </w:r>
          </w:p>
        </w:tc>
        <w:tc>
          <w:tcPr>
            <w:tcW w:w="850" w:type="dxa"/>
            <w:tcBorders>
              <w:top w:val="single" w:sz="4" w:space="0" w:color="auto"/>
              <w:bottom w:val="single" w:sz="4" w:space="0" w:color="auto"/>
            </w:tcBorders>
            <w:shd w:val="clear" w:color="auto" w:fill="D9D9D9"/>
            <w:vAlign w:val="center"/>
          </w:tcPr>
          <w:p w14:paraId="0396F582" w14:textId="5DE90DAB" w:rsidR="00731337" w:rsidRPr="00731337" w:rsidRDefault="00731337" w:rsidP="00731337">
            <w:pPr>
              <w:spacing w:after="0" w:line="240" w:lineRule="auto"/>
              <w:jc w:val="center"/>
              <w:rPr>
                <w:rFonts w:ascii="David" w:hAnsi="David" w:cs="David"/>
                <w:color w:val="000000"/>
              </w:rPr>
            </w:pPr>
            <w:r w:rsidRPr="00731337">
              <w:rPr>
                <w:rFonts w:ascii="David" w:hAnsi="David" w:cs="David" w:hint="cs"/>
                <w:color w:val="000000"/>
                <w:rtl/>
              </w:rPr>
              <w:t>0:07+</w:t>
            </w:r>
          </w:p>
        </w:tc>
      </w:tr>
      <w:tr w:rsidR="00731337" w:rsidRPr="00731337" w14:paraId="74FE0D6F" w14:textId="77777777" w:rsidTr="008D6C28">
        <w:trPr>
          <w:trHeight w:val="507"/>
        </w:trPr>
        <w:tc>
          <w:tcPr>
            <w:tcW w:w="856" w:type="dxa"/>
            <w:tcBorders>
              <w:top w:val="single" w:sz="4" w:space="0" w:color="auto"/>
              <w:bottom w:val="single" w:sz="4" w:space="0" w:color="auto"/>
            </w:tcBorders>
            <w:shd w:val="clear" w:color="auto" w:fill="auto"/>
            <w:noWrap/>
            <w:vAlign w:val="center"/>
          </w:tcPr>
          <w:p w14:paraId="4C085E94"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tl/>
              </w:rPr>
              <w:t>מחוזי</w:t>
            </w:r>
          </w:p>
        </w:tc>
        <w:tc>
          <w:tcPr>
            <w:tcW w:w="1412" w:type="dxa"/>
            <w:tcBorders>
              <w:top w:val="single" w:sz="4" w:space="0" w:color="auto"/>
              <w:bottom w:val="single" w:sz="4" w:space="0" w:color="auto"/>
            </w:tcBorders>
            <w:shd w:val="clear" w:color="auto" w:fill="auto"/>
            <w:noWrap/>
            <w:vAlign w:val="center"/>
          </w:tcPr>
          <w:p w14:paraId="78213DA3"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פלילי</w:t>
            </w:r>
          </w:p>
        </w:tc>
        <w:tc>
          <w:tcPr>
            <w:tcW w:w="2133" w:type="dxa"/>
            <w:tcBorders>
              <w:top w:val="single" w:sz="4" w:space="0" w:color="auto"/>
              <w:bottom w:val="single" w:sz="4" w:space="0" w:color="auto"/>
            </w:tcBorders>
            <w:shd w:val="clear" w:color="auto" w:fill="auto"/>
            <w:vAlign w:val="center"/>
          </w:tcPr>
          <w:p w14:paraId="2E46894E" w14:textId="77777777" w:rsidR="00731337" w:rsidRPr="00731337" w:rsidRDefault="00731337" w:rsidP="00731337">
            <w:pPr>
              <w:spacing w:after="0" w:line="240" w:lineRule="auto"/>
              <w:rPr>
                <w:rFonts w:ascii="David" w:hAnsi="David" w:cs="David"/>
                <w:color w:val="000000"/>
                <w:rtl/>
              </w:rPr>
            </w:pPr>
            <w:r w:rsidRPr="00731337">
              <w:rPr>
                <w:rFonts w:ascii="David" w:hAnsi="David" w:cs="David"/>
                <w:color w:val="000000"/>
                <w:rtl/>
              </w:rPr>
              <w:t>מעצר עד תום ההליכים (מ"ת)</w:t>
            </w:r>
          </w:p>
        </w:tc>
        <w:tc>
          <w:tcPr>
            <w:tcW w:w="1276" w:type="dxa"/>
            <w:tcBorders>
              <w:top w:val="single" w:sz="4" w:space="0" w:color="auto"/>
              <w:bottom w:val="single" w:sz="4" w:space="0" w:color="auto"/>
            </w:tcBorders>
            <w:shd w:val="clear" w:color="auto" w:fill="auto"/>
            <w:vAlign w:val="center"/>
          </w:tcPr>
          <w:p w14:paraId="630E4F2C"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hint="cs"/>
                <w:color w:val="000000"/>
                <w:rtl/>
              </w:rPr>
              <w:t>1,407</w:t>
            </w:r>
          </w:p>
        </w:tc>
        <w:tc>
          <w:tcPr>
            <w:tcW w:w="1559" w:type="dxa"/>
            <w:tcBorders>
              <w:top w:val="single" w:sz="4" w:space="0" w:color="auto"/>
              <w:bottom w:val="single" w:sz="4" w:space="0" w:color="auto"/>
            </w:tcBorders>
            <w:shd w:val="clear" w:color="auto" w:fill="auto"/>
            <w:noWrap/>
            <w:vAlign w:val="center"/>
          </w:tcPr>
          <w:p w14:paraId="37004305" w14:textId="77777777" w:rsidR="00731337" w:rsidRPr="00731337" w:rsidRDefault="00731337" w:rsidP="00731337">
            <w:pPr>
              <w:spacing w:after="0" w:line="240" w:lineRule="auto"/>
              <w:jc w:val="center"/>
              <w:rPr>
                <w:rFonts w:ascii="David" w:hAnsi="David" w:cs="David"/>
                <w:b/>
                <w:bCs/>
                <w:color w:val="000000"/>
                <w:rtl/>
              </w:rPr>
            </w:pPr>
            <w:r w:rsidRPr="00731337">
              <w:rPr>
                <w:rFonts w:ascii="David" w:hAnsi="David" w:cs="David" w:hint="cs"/>
                <w:b/>
                <w:bCs/>
                <w:color w:val="000000"/>
                <w:rtl/>
              </w:rPr>
              <w:t>8:00</w:t>
            </w:r>
          </w:p>
        </w:tc>
        <w:tc>
          <w:tcPr>
            <w:tcW w:w="1418" w:type="dxa"/>
            <w:tcBorders>
              <w:top w:val="single" w:sz="4" w:space="0" w:color="auto"/>
              <w:bottom w:val="single" w:sz="4" w:space="0" w:color="auto"/>
            </w:tcBorders>
            <w:shd w:val="clear" w:color="auto" w:fill="auto"/>
            <w:vAlign w:val="center"/>
          </w:tcPr>
          <w:p w14:paraId="2017F035" w14:textId="77777777" w:rsidR="00731337" w:rsidRPr="00731337" w:rsidRDefault="00731337" w:rsidP="00731337">
            <w:pPr>
              <w:spacing w:after="0" w:line="240" w:lineRule="auto"/>
              <w:jc w:val="center"/>
              <w:rPr>
                <w:rFonts w:asciiTheme="minorHAnsi" w:hAnsiTheme="minorHAnsi" w:cs="David"/>
                <w:color w:val="000000"/>
              </w:rPr>
            </w:pPr>
            <w:r w:rsidRPr="00731337">
              <w:rPr>
                <w:rFonts w:ascii="David" w:hAnsi="David" w:cs="David"/>
                <w:color w:val="000000"/>
              </w:rPr>
              <w:t>5:53</w:t>
            </w:r>
          </w:p>
        </w:tc>
        <w:tc>
          <w:tcPr>
            <w:tcW w:w="850" w:type="dxa"/>
            <w:tcBorders>
              <w:top w:val="single" w:sz="4" w:space="0" w:color="auto"/>
              <w:bottom w:val="single" w:sz="4" w:space="0" w:color="auto"/>
            </w:tcBorders>
            <w:shd w:val="clear" w:color="auto" w:fill="auto"/>
            <w:vAlign w:val="center"/>
          </w:tcPr>
          <w:p w14:paraId="5166EF7A"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hint="cs"/>
                <w:color w:val="000000"/>
                <w:rtl/>
              </w:rPr>
              <w:t>2:07+</w:t>
            </w:r>
          </w:p>
        </w:tc>
      </w:tr>
      <w:tr w:rsidR="00731337" w:rsidRPr="00731337" w14:paraId="53DB90C1" w14:textId="77777777" w:rsidTr="008D6C28">
        <w:trPr>
          <w:trHeight w:val="507"/>
        </w:trPr>
        <w:tc>
          <w:tcPr>
            <w:tcW w:w="856" w:type="dxa"/>
            <w:tcBorders>
              <w:top w:val="single" w:sz="4" w:space="0" w:color="auto"/>
              <w:bottom w:val="single" w:sz="4" w:space="0" w:color="auto"/>
            </w:tcBorders>
            <w:shd w:val="clear" w:color="auto" w:fill="D0CECE"/>
            <w:noWrap/>
            <w:vAlign w:val="center"/>
          </w:tcPr>
          <w:p w14:paraId="51564DAA"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tl/>
              </w:rPr>
              <w:t>מחוזי</w:t>
            </w:r>
          </w:p>
        </w:tc>
        <w:tc>
          <w:tcPr>
            <w:tcW w:w="1412" w:type="dxa"/>
            <w:tcBorders>
              <w:top w:val="single" w:sz="4" w:space="0" w:color="auto"/>
              <w:bottom w:val="single" w:sz="4" w:space="0" w:color="auto"/>
            </w:tcBorders>
            <w:shd w:val="clear" w:color="auto" w:fill="D0CECE"/>
            <w:noWrap/>
            <w:vAlign w:val="center"/>
          </w:tcPr>
          <w:p w14:paraId="76EE53C9"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ערעור פלילי</w:t>
            </w:r>
          </w:p>
        </w:tc>
        <w:tc>
          <w:tcPr>
            <w:tcW w:w="2133" w:type="dxa"/>
            <w:tcBorders>
              <w:top w:val="single" w:sz="4" w:space="0" w:color="auto"/>
              <w:bottom w:val="single" w:sz="4" w:space="0" w:color="auto"/>
            </w:tcBorders>
            <w:shd w:val="clear" w:color="auto" w:fill="D0CECE"/>
            <w:vAlign w:val="center"/>
          </w:tcPr>
          <w:p w14:paraId="30114ED7" w14:textId="77777777" w:rsidR="00731337" w:rsidRPr="00731337" w:rsidRDefault="00731337" w:rsidP="00731337">
            <w:pPr>
              <w:spacing w:after="0" w:line="240" w:lineRule="auto"/>
              <w:rPr>
                <w:rFonts w:ascii="David" w:hAnsi="David" w:cs="David"/>
                <w:color w:val="000000"/>
                <w:rtl/>
              </w:rPr>
            </w:pPr>
            <w:r w:rsidRPr="00731337">
              <w:rPr>
                <w:rFonts w:ascii="David" w:hAnsi="David" w:cs="David"/>
                <w:color w:val="000000"/>
                <w:rtl/>
              </w:rPr>
              <w:t>ערעור נוער פלילי (ענ"פ) – הרכב</w:t>
            </w:r>
          </w:p>
        </w:tc>
        <w:tc>
          <w:tcPr>
            <w:tcW w:w="1276" w:type="dxa"/>
            <w:tcBorders>
              <w:top w:val="single" w:sz="4" w:space="0" w:color="auto"/>
              <w:bottom w:val="single" w:sz="4" w:space="0" w:color="auto"/>
            </w:tcBorders>
            <w:shd w:val="clear" w:color="auto" w:fill="D0CECE"/>
            <w:vAlign w:val="center"/>
          </w:tcPr>
          <w:p w14:paraId="230A5BA9"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hint="cs"/>
                <w:color w:val="000000"/>
                <w:rtl/>
              </w:rPr>
              <w:t>96</w:t>
            </w:r>
          </w:p>
        </w:tc>
        <w:tc>
          <w:tcPr>
            <w:tcW w:w="1559" w:type="dxa"/>
            <w:tcBorders>
              <w:top w:val="single" w:sz="4" w:space="0" w:color="auto"/>
              <w:bottom w:val="single" w:sz="4" w:space="0" w:color="auto"/>
            </w:tcBorders>
            <w:shd w:val="clear" w:color="auto" w:fill="D0CECE"/>
            <w:noWrap/>
            <w:vAlign w:val="center"/>
          </w:tcPr>
          <w:p w14:paraId="5F6B15CB" w14:textId="77777777" w:rsidR="00731337" w:rsidRPr="00731337" w:rsidRDefault="00731337" w:rsidP="00731337">
            <w:pPr>
              <w:spacing w:after="0" w:line="240" w:lineRule="auto"/>
              <w:jc w:val="center"/>
              <w:rPr>
                <w:rFonts w:ascii="David" w:hAnsi="David" w:cs="David"/>
                <w:b/>
                <w:bCs/>
                <w:color w:val="000000"/>
              </w:rPr>
            </w:pPr>
            <w:r w:rsidRPr="00731337">
              <w:rPr>
                <w:rFonts w:ascii="David" w:hAnsi="David" w:cs="David" w:hint="cs"/>
                <w:b/>
                <w:bCs/>
                <w:color w:val="000000"/>
                <w:rtl/>
              </w:rPr>
              <w:t>7:31</w:t>
            </w:r>
          </w:p>
        </w:tc>
        <w:tc>
          <w:tcPr>
            <w:tcW w:w="1418" w:type="dxa"/>
            <w:tcBorders>
              <w:top w:val="single" w:sz="4" w:space="0" w:color="auto"/>
              <w:bottom w:val="single" w:sz="4" w:space="0" w:color="auto"/>
            </w:tcBorders>
            <w:shd w:val="clear" w:color="auto" w:fill="D0CECE"/>
            <w:vAlign w:val="center"/>
          </w:tcPr>
          <w:p w14:paraId="2A2FFDD1"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w:t>
            </w:r>
          </w:p>
        </w:tc>
        <w:tc>
          <w:tcPr>
            <w:tcW w:w="850" w:type="dxa"/>
            <w:tcBorders>
              <w:top w:val="single" w:sz="4" w:space="0" w:color="auto"/>
              <w:bottom w:val="single" w:sz="4" w:space="0" w:color="auto"/>
            </w:tcBorders>
            <w:shd w:val="clear" w:color="auto" w:fill="D0CECE"/>
            <w:vAlign w:val="center"/>
          </w:tcPr>
          <w:p w14:paraId="0E28F214"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w:t>
            </w:r>
          </w:p>
        </w:tc>
      </w:tr>
      <w:tr w:rsidR="00731337" w:rsidRPr="00731337" w14:paraId="3D670844" w14:textId="77777777" w:rsidTr="008D6C28">
        <w:trPr>
          <w:trHeight w:val="536"/>
        </w:trPr>
        <w:tc>
          <w:tcPr>
            <w:tcW w:w="856" w:type="dxa"/>
            <w:tcBorders>
              <w:top w:val="single" w:sz="4" w:space="0" w:color="auto"/>
              <w:bottom w:val="single" w:sz="4" w:space="0" w:color="auto"/>
            </w:tcBorders>
            <w:shd w:val="clear" w:color="auto" w:fill="auto"/>
            <w:noWrap/>
            <w:vAlign w:val="center"/>
          </w:tcPr>
          <w:p w14:paraId="294D0B64"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tl/>
              </w:rPr>
              <w:t>מחוזי</w:t>
            </w:r>
          </w:p>
        </w:tc>
        <w:tc>
          <w:tcPr>
            <w:tcW w:w="1412" w:type="dxa"/>
            <w:tcBorders>
              <w:top w:val="single" w:sz="4" w:space="0" w:color="auto"/>
              <w:bottom w:val="single" w:sz="4" w:space="0" w:color="auto"/>
            </w:tcBorders>
            <w:shd w:val="clear" w:color="auto" w:fill="auto"/>
            <w:noWrap/>
            <w:vAlign w:val="center"/>
          </w:tcPr>
          <w:p w14:paraId="0BBAB58D"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ערעור פלילי</w:t>
            </w:r>
          </w:p>
        </w:tc>
        <w:tc>
          <w:tcPr>
            <w:tcW w:w="2133" w:type="dxa"/>
            <w:tcBorders>
              <w:top w:val="single" w:sz="4" w:space="0" w:color="auto"/>
              <w:bottom w:val="single" w:sz="4" w:space="0" w:color="auto"/>
            </w:tcBorders>
            <w:shd w:val="clear" w:color="auto" w:fill="auto"/>
            <w:vAlign w:val="center"/>
          </w:tcPr>
          <w:p w14:paraId="14D39ADF" w14:textId="77777777" w:rsidR="00731337" w:rsidRPr="00731337" w:rsidRDefault="00731337" w:rsidP="00731337">
            <w:pPr>
              <w:spacing w:after="0" w:line="240" w:lineRule="auto"/>
              <w:rPr>
                <w:rFonts w:ascii="David" w:hAnsi="David" w:cs="David"/>
                <w:color w:val="000000"/>
                <w:rtl/>
              </w:rPr>
            </w:pPr>
            <w:r w:rsidRPr="00731337">
              <w:rPr>
                <w:rFonts w:ascii="David" w:hAnsi="David" w:cs="David"/>
                <w:color w:val="000000"/>
                <w:rtl/>
              </w:rPr>
              <w:t>ערעור פלילי אחר (עפ"א)</w:t>
            </w:r>
          </w:p>
        </w:tc>
        <w:tc>
          <w:tcPr>
            <w:tcW w:w="1276" w:type="dxa"/>
            <w:tcBorders>
              <w:top w:val="single" w:sz="4" w:space="0" w:color="auto"/>
              <w:bottom w:val="single" w:sz="4" w:space="0" w:color="auto"/>
            </w:tcBorders>
            <w:vAlign w:val="center"/>
          </w:tcPr>
          <w:p w14:paraId="14E91CC7" w14:textId="77777777" w:rsidR="00731337" w:rsidRPr="00731337" w:rsidRDefault="00731337" w:rsidP="00731337">
            <w:pPr>
              <w:spacing w:after="0" w:line="240" w:lineRule="auto"/>
              <w:jc w:val="center"/>
              <w:rPr>
                <w:rFonts w:ascii="David" w:hAnsi="David" w:cs="David"/>
                <w:color w:val="000000"/>
                <w:rtl/>
              </w:rPr>
            </w:pPr>
            <w:r w:rsidRPr="00731337">
              <w:rPr>
                <w:rFonts w:ascii="David" w:hAnsi="David" w:cs="David" w:hint="cs"/>
                <w:color w:val="000000"/>
                <w:rtl/>
              </w:rPr>
              <w:t>212</w:t>
            </w:r>
          </w:p>
        </w:tc>
        <w:tc>
          <w:tcPr>
            <w:tcW w:w="1559" w:type="dxa"/>
            <w:tcBorders>
              <w:top w:val="single" w:sz="4" w:space="0" w:color="auto"/>
              <w:bottom w:val="single" w:sz="4" w:space="0" w:color="auto"/>
            </w:tcBorders>
            <w:shd w:val="clear" w:color="auto" w:fill="auto"/>
            <w:noWrap/>
            <w:vAlign w:val="center"/>
          </w:tcPr>
          <w:p w14:paraId="4E01C7DF" w14:textId="77777777" w:rsidR="00731337" w:rsidRPr="00731337" w:rsidRDefault="00731337" w:rsidP="00731337">
            <w:pPr>
              <w:spacing w:after="0" w:line="240" w:lineRule="auto"/>
              <w:jc w:val="center"/>
              <w:rPr>
                <w:rFonts w:asciiTheme="minorHAnsi" w:hAnsiTheme="minorHAnsi" w:cs="David"/>
                <w:b/>
                <w:bCs/>
                <w:color w:val="000000"/>
              </w:rPr>
            </w:pPr>
            <w:r w:rsidRPr="00731337">
              <w:rPr>
                <w:rFonts w:ascii="David" w:hAnsi="David" w:cs="David" w:hint="cs"/>
                <w:b/>
                <w:bCs/>
                <w:color w:val="000000"/>
                <w:rtl/>
              </w:rPr>
              <w:t>6:37</w:t>
            </w:r>
          </w:p>
        </w:tc>
        <w:tc>
          <w:tcPr>
            <w:tcW w:w="1418" w:type="dxa"/>
            <w:tcBorders>
              <w:top w:val="single" w:sz="4" w:space="0" w:color="auto"/>
              <w:bottom w:val="single" w:sz="4" w:space="0" w:color="auto"/>
            </w:tcBorders>
            <w:vAlign w:val="center"/>
          </w:tcPr>
          <w:p w14:paraId="355D9E17"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w:t>
            </w:r>
          </w:p>
        </w:tc>
        <w:tc>
          <w:tcPr>
            <w:tcW w:w="850" w:type="dxa"/>
            <w:tcBorders>
              <w:top w:val="single" w:sz="4" w:space="0" w:color="auto"/>
              <w:bottom w:val="single" w:sz="4" w:space="0" w:color="auto"/>
            </w:tcBorders>
            <w:vAlign w:val="center"/>
          </w:tcPr>
          <w:p w14:paraId="6386974B"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w:t>
            </w:r>
          </w:p>
        </w:tc>
      </w:tr>
      <w:tr w:rsidR="00731337" w:rsidRPr="00731337" w14:paraId="671B486A" w14:textId="77777777" w:rsidTr="008D6C28">
        <w:trPr>
          <w:trHeight w:val="552"/>
        </w:trPr>
        <w:tc>
          <w:tcPr>
            <w:tcW w:w="856" w:type="dxa"/>
            <w:tcBorders>
              <w:top w:val="single" w:sz="4" w:space="0" w:color="auto"/>
              <w:bottom w:val="single" w:sz="4" w:space="0" w:color="auto"/>
            </w:tcBorders>
            <w:shd w:val="clear" w:color="auto" w:fill="D9D9D9"/>
            <w:noWrap/>
            <w:vAlign w:val="center"/>
          </w:tcPr>
          <w:p w14:paraId="34B4E162"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tl/>
              </w:rPr>
              <w:t>מחוזי</w:t>
            </w:r>
          </w:p>
        </w:tc>
        <w:tc>
          <w:tcPr>
            <w:tcW w:w="1412" w:type="dxa"/>
            <w:tcBorders>
              <w:top w:val="single" w:sz="4" w:space="0" w:color="auto"/>
              <w:bottom w:val="single" w:sz="4" w:space="0" w:color="auto"/>
            </w:tcBorders>
            <w:shd w:val="clear" w:color="auto" w:fill="D9D9D9"/>
            <w:noWrap/>
            <w:vAlign w:val="center"/>
          </w:tcPr>
          <w:p w14:paraId="1A374DC9"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פלילי</w:t>
            </w:r>
          </w:p>
        </w:tc>
        <w:tc>
          <w:tcPr>
            <w:tcW w:w="2133" w:type="dxa"/>
            <w:tcBorders>
              <w:top w:val="single" w:sz="4" w:space="0" w:color="auto"/>
              <w:bottom w:val="single" w:sz="4" w:space="0" w:color="auto"/>
            </w:tcBorders>
            <w:shd w:val="clear" w:color="auto" w:fill="D9D9D9"/>
            <w:vAlign w:val="center"/>
          </w:tcPr>
          <w:p w14:paraId="56AFE20C" w14:textId="77777777" w:rsidR="00731337" w:rsidRPr="00731337" w:rsidRDefault="00731337" w:rsidP="00731337">
            <w:pPr>
              <w:spacing w:after="0" w:line="240" w:lineRule="auto"/>
              <w:rPr>
                <w:rFonts w:ascii="David" w:hAnsi="David" w:cs="David"/>
                <w:color w:val="000000"/>
                <w:rtl/>
              </w:rPr>
            </w:pPr>
            <w:r w:rsidRPr="00731337">
              <w:rPr>
                <w:rFonts w:ascii="David" w:hAnsi="David" w:cs="David"/>
                <w:color w:val="000000"/>
                <w:rtl/>
              </w:rPr>
              <w:t>פיקוח על עבריין מין (פע"מ)</w:t>
            </w:r>
          </w:p>
        </w:tc>
        <w:tc>
          <w:tcPr>
            <w:tcW w:w="1276" w:type="dxa"/>
            <w:tcBorders>
              <w:top w:val="single" w:sz="4" w:space="0" w:color="auto"/>
              <w:bottom w:val="single" w:sz="4" w:space="0" w:color="auto"/>
            </w:tcBorders>
            <w:shd w:val="clear" w:color="auto" w:fill="D9D9D9"/>
            <w:vAlign w:val="center"/>
          </w:tcPr>
          <w:p w14:paraId="347FD1E2"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hint="cs"/>
                <w:color w:val="000000"/>
                <w:rtl/>
              </w:rPr>
              <w:t>350</w:t>
            </w:r>
          </w:p>
        </w:tc>
        <w:tc>
          <w:tcPr>
            <w:tcW w:w="1559" w:type="dxa"/>
            <w:tcBorders>
              <w:top w:val="single" w:sz="4" w:space="0" w:color="auto"/>
              <w:bottom w:val="single" w:sz="4" w:space="0" w:color="auto"/>
            </w:tcBorders>
            <w:shd w:val="clear" w:color="auto" w:fill="D9D9D9"/>
            <w:noWrap/>
            <w:vAlign w:val="center"/>
          </w:tcPr>
          <w:p w14:paraId="26A397AE" w14:textId="77777777" w:rsidR="00731337" w:rsidRPr="00731337" w:rsidRDefault="00731337" w:rsidP="00731337">
            <w:pPr>
              <w:spacing w:after="0" w:line="240" w:lineRule="auto"/>
              <w:jc w:val="center"/>
              <w:rPr>
                <w:rFonts w:ascii="David" w:hAnsi="David" w:cs="David"/>
                <w:b/>
                <w:bCs/>
                <w:color w:val="000000"/>
                <w:rtl/>
              </w:rPr>
            </w:pPr>
            <w:r w:rsidRPr="00731337">
              <w:rPr>
                <w:rFonts w:ascii="David" w:hAnsi="David" w:cs="David" w:hint="cs"/>
                <w:b/>
                <w:bCs/>
                <w:color w:val="000000"/>
                <w:rtl/>
              </w:rPr>
              <w:t>3:00</w:t>
            </w:r>
          </w:p>
        </w:tc>
        <w:tc>
          <w:tcPr>
            <w:tcW w:w="1418" w:type="dxa"/>
            <w:tcBorders>
              <w:top w:val="single" w:sz="4" w:space="0" w:color="auto"/>
              <w:bottom w:val="single" w:sz="4" w:space="0" w:color="auto"/>
            </w:tcBorders>
            <w:shd w:val="clear" w:color="auto" w:fill="D9D9D9"/>
            <w:vAlign w:val="center"/>
          </w:tcPr>
          <w:p w14:paraId="6CFEBA1C"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w:t>
            </w:r>
          </w:p>
        </w:tc>
        <w:tc>
          <w:tcPr>
            <w:tcW w:w="850" w:type="dxa"/>
            <w:tcBorders>
              <w:top w:val="single" w:sz="4" w:space="0" w:color="auto"/>
              <w:bottom w:val="single" w:sz="4" w:space="0" w:color="auto"/>
            </w:tcBorders>
            <w:shd w:val="clear" w:color="auto" w:fill="D9D9D9"/>
            <w:vAlign w:val="center"/>
          </w:tcPr>
          <w:p w14:paraId="0336C474" w14:textId="77777777" w:rsidR="00731337" w:rsidRPr="00731337" w:rsidRDefault="00731337" w:rsidP="00731337">
            <w:pPr>
              <w:spacing w:after="0" w:line="240" w:lineRule="auto"/>
              <w:jc w:val="center"/>
              <w:rPr>
                <w:rFonts w:ascii="David" w:hAnsi="David" w:cs="David"/>
                <w:color w:val="000000"/>
                <w:rtl/>
              </w:rPr>
            </w:pPr>
            <w:r w:rsidRPr="00731337">
              <w:rPr>
                <w:rFonts w:ascii="David" w:hAnsi="David" w:cs="David"/>
                <w:color w:val="000000"/>
              </w:rPr>
              <w:t>-</w:t>
            </w:r>
          </w:p>
        </w:tc>
      </w:tr>
      <w:tr w:rsidR="00731337" w:rsidRPr="00731337" w14:paraId="089CBD36" w14:textId="77777777" w:rsidTr="008D6C28">
        <w:trPr>
          <w:trHeight w:val="552"/>
        </w:trPr>
        <w:tc>
          <w:tcPr>
            <w:tcW w:w="856" w:type="dxa"/>
            <w:tcBorders>
              <w:top w:val="single" w:sz="4" w:space="0" w:color="auto"/>
              <w:bottom w:val="single" w:sz="4" w:space="0" w:color="auto"/>
            </w:tcBorders>
            <w:shd w:val="clear" w:color="auto" w:fill="FFFFFF"/>
            <w:noWrap/>
            <w:vAlign w:val="center"/>
          </w:tcPr>
          <w:p w14:paraId="1CB60625"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tl/>
              </w:rPr>
              <w:t>מחוזי</w:t>
            </w:r>
          </w:p>
        </w:tc>
        <w:tc>
          <w:tcPr>
            <w:tcW w:w="1412" w:type="dxa"/>
            <w:tcBorders>
              <w:top w:val="single" w:sz="4" w:space="0" w:color="auto"/>
              <w:bottom w:val="single" w:sz="4" w:space="0" w:color="auto"/>
            </w:tcBorders>
            <w:shd w:val="clear" w:color="auto" w:fill="FFFFFF"/>
            <w:noWrap/>
            <w:vAlign w:val="center"/>
          </w:tcPr>
          <w:p w14:paraId="0E1678AF"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מעצרים/</w:t>
            </w:r>
            <w:r w:rsidRPr="00731337">
              <w:rPr>
                <w:rFonts w:ascii="David" w:hAnsi="David" w:cs="David" w:hint="cs"/>
                <w:color w:val="000000"/>
                <w:rtl/>
              </w:rPr>
              <w:t xml:space="preserve"> </w:t>
            </w:r>
            <w:r w:rsidRPr="00731337">
              <w:rPr>
                <w:rFonts w:ascii="David" w:hAnsi="David" w:cs="David"/>
                <w:color w:val="000000"/>
                <w:rtl/>
              </w:rPr>
              <w:t>ערעור פלילי/</w:t>
            </w:r>
            <w:r w:rsidRPr="00731337">
              <w:rPr>
                <w:rFonts w:ascii="David" w:hAnsi="David" w:cs="David" w:hint="cs"/>
                <w:color w:val="000000"/>
                <w:rtl/>
              </w:rPr>
              <w:t xml:space="preserve"> </w:t>
            </w:r>
            <w:r w:rsidRPr="00731337">
              <w:rPr>
                <w:rFonts w:ascii="David" w:hAnsi="David" w:cs="David"/>
                <w:color w:val="000000"/>
                <w:rtl/>
              </w:rPr>
              <w:t>פלילי</w:t>
            </w:r>
          </w:p>
        </w:tc>
        <w:tc>
          <w:tcPr>
            <w:tcW w:w="2133" w:type="dxa"/>
            <w:tcBorders>
              <w:top w:val="single" w:sz="4" w:space="0" w:color="auto"/>
              <w:bottom w:val="single" w:sz="4" w:space="0" w:color="auto"/>
            </w:tcBorders>
            <w:shd w:val="clear" w:color="auto" w:fill="FFFFFF"/>
            <w:vAlign w:val="center"/>
          </w:tcPr>
          <w:p w14:paraId="0F2090BE" w14:textId="77777777" w:rsidR="00731337" w:rsidRPr="00731337" w:rsidRDefault="00731337" w:rsidP="00731337">
            <w:pPr>
              <w:spacing w:after="0" w:line="240" w:lineRule="auto"/>
              <w:rPr>
                <w:rFonts w:ascii="David" w:hAnsi="David" w:cs="David"/>
                <w:color w:val="000000"/>
                <w:rtl/>
              </w:rPr>
            </w:pPr>
            <w:r w:rsidRPr="00731337">
              <w:rPr>
                <w:rFonts w:ascii="David" w:hAnsi="David" w:cs="David"/>
                <w:color w:val="000000"/>
                <w:rtl/>
              </w:rPr>
              <w:t>ערר אחר (ע"ח)</w:t>
            </w:r>
          </w:p>
        </w:tc>
        <w:tc>
          <w:tcPr>
            <w:tcW w:w="1276" w:type="dxa"/>
            <w:tcBorders>
              <w:top w:val="single" w:sz="4" w:space="0" w:color="auto"/>
              <w:bottom w:val="single" w:sz="4" w:space="0" w:color="auto"/>
            </w:tcBorders>
            <w:shd w:val="clear" w:color="auto" w:fill="FFFFFF"/>
            <w:vAlign w:val="center"/>
          </w:tcPr>
          <w:p w14:paraId="6F5D8138"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hint="cs"/>
                <w:color w:val="000000"/>
                <w:rtl/>
              </w:rPr>
              <w:t>624</w:t>
            </w:r>
          </w:p>
        </w:tc>
        <w:tc>
          <w:tcPr>
            <w:tcW w:w="1559" w:type="dxa"/>
            <w:tcBorders>
              <w:top w:val="single" w:sz="4" w:space="0" w:color="auto"/>
              <w:bottom w:val="single" w:sz="4" w:space="0" w:color="auto"/>
            </w:tcBorders>
            <w:shd w:val="clear" w:color="auto" w:fill="FFFFFF"/>
            <w:noWrap/>
            <w:vAlign w:val="center"/>
          </w:tcPr>
          <w:p w14:paraId="71332406" w14:textId="77777777" w:rsidR="00731337" w:rsidRPr="00731337" w:rsidRDefault="00731337" w:rsidP="00731337">
            <w:pPr>
              <w:spacing w:after="0" w:line="240" w:lineRule="auto"/>
              <w:jc w:val="center"/>
              <w:rPr>
                <w:rFonts w:ascii="David" w:hAnsi="David" w:cs="David"/>
                <w:b/>
                <w:bCs/>
                <w:color w:val="000000"/>
              </w:rPr>
            </w:pPr>
            <w:r w:rsidRPr="00731337">
              <w:rPr>
                <w:rFonts w:ascii="David" w:hAnsi="David" w:cs="David" w:hint="cs"/>
                <w:b/>
                <w:bCs/>
                <w:color w:val="000000"/>
                <w:rtl/>
              </w:rPr>
              <w:t>2:53</w:t>
            </w:r>
          </w:p>
        </w:tc>
        <w:tc>
          <w:tcPr>
            <w:tcW w:w="1418" w:type="dxa"/>
            <w:tcBorders>
              <w:top w:val="single" w:sz="4" w:space="0" w:color="auto"/>
              <w:bottom w:val="single" w:sz="4" w:space="0" w:color="auto"/>
            </w:tcBorders>
            <w:shd w:val="clear" w:color="auto" w:fill="FFFFFF"/>
            <w:vAlign w:val="center"/>
          </w:tcPr>
          <w:p w14:paraId="51F9DC8F"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w:t>
            </w:r>
          </w:p>
        </w:tc>
        <w:tc>
          <w:tcPr>
            <w:tcW w:w="850" w:type="dxa"/>
            <w:tcBorders>
              <w:top w:val="single" w:sz="4" w:space="0" w:color="auto"/>
              <w:bottom w:val="single" w:sz="4" w:space="0" w:color="auto"/>
            </w:tcBorders>
            <w:shd w:val="clear" w:color="auto" w:fill="FFFFFF"/>
            <w:vAlign w:val="center"/>
          </w:tcPr>
          <w:p w14:paraId="798F46D1"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w:t>
            </w:r>
          </w:p>
        </w:tc>
      </w:tr>
      <w:tr w:rsidR="00731337" w:rsidRPr="00731337" w14:paraId="063BAE04" w14:textId="77777777" w:rsidTr="008D6C28">
        <w:trPr>
          <w:trHeight w:val="300"/>
        </w:trPr>
        <w:tc>
          <w:tcPr>
            <w:tcW w:w="856" w:type="dxa"/>
            <w:tcBorders>
              <w:top w:val="single" w:sz="4" w:space="0" w:color="auto"/>
              <w:bottom w:val="single" w:sz="4" w:space="0" w:color="auto"/>
            </w:tcBorders>
            <w:shd w:val="clear" w:color="auto" w:fill="D9D9D9"/>
            <w:noWrap/>
            <w:vAlign w:val="center"/>
          </w:tcPr>
          <w:p w14:paraId="001368B5"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מחוזי</w:t>
            </w:r>
          </w:p>
        </w:tc>
        <w:tc>
          <w:tcPr>
            <w:tcW w:w="1412" w:type="dxa"/>
            <w:tcBorders>
              <w:top w:val="single" w:sz="4" w:space="0" w:color="auto"/>
              <w:bottom w:val="single" w:sz="4" w:space="0" w:color="auto"/>
            </w:tcBorders>
            <w:shd w:val="clear" w:color="auto" w:fill="D9D9D9"/>
            <w:noWrap/>
            <w:vAlign w:val="center"/>
          </w:tcPr>
          <w:p w14:paraId="03A4A20D"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ערעור פלילי</w:t>
            </w:r>
          </w:p>
        </w:tc>
        <w:tc>
          <w:tcPr>
            <w:tcW w:w="2133" w:type="dxa"/>
            <w:tcBorders>
              <w:top w:val="single" w:sz="4" w:space="0" w:color="auto"/>
              <w:bottom w:val="single" w:sz="4" w:space="0" w:color="auto"/>
            </w:tcBorders>
            <w:shd w:val="clear" w:color="auto" w:fill="D9D9D9"/>
            <w:vAlign w:val="center"/>
          </w:tcPr>
          <w:p w14:paraId="5DE98C56" w14:textId="77777777" w:rsidR="00731337" w:rsidRPr="00731337" w:rsidRDefault="00731337" w:rsidP="00731337">
            <w:pPr>
              <w:spacing w:after="0" w:line="240" w:lineRule="auto"/>
              <w:rPr>
                <w:rFonts w:ascii="David" w:hAnsi="David" w:cs="David"/>
                <w:color w:val="000000"/>
                <w:rtl/>
              </w:rPr>
            </w:pPr>
            <w:r w:rsidRPr="00731337">
              <w:rPr>
                <w:rFonts w:ascii="David" w:hAnsi="David" w:cs="David"/>
                <w:color w:val="000000"/>
                <w:rtl/>
              </w:rPr>
              <w:t>ערעור פלילי תעבורה (עפ"ת)</w:t>
            </w:r>
          </w:p>
        </w:tc>
        <w:tc>
          <w:tcPr>
            <w:tcW w:w="1276" w:type="dxa"/>
            <w:tcBorders>
              <w:top w:val="single" w:sz="4" w:space="0" w:color="auto"/>
              <w:bottom w:val="single" w:sz="4" w:space="0" w:color="auto"/>
            </w:tcBorders>
            <w:shd w:val="clear" w:color="auto" w:fill="D9D9D9"/>
            <w:vAlign w:val="center"/>
          </w:tcPr>
          <w:p w14:paraId="63B9AEE7" w14:textId="77777777" w:rsidR="00731337" w:rsidRPr="00731337" w:rsidRDefault="00731337" w:rsidP="00731337">
            <w:pPr>
              <w:spacing w:after="0" w:line="240" w:lineRule="auto"/>
              <w:jc w:val="center"/>
              <w:rPr>
                <w:rFonts w:ascii="David" w:hAnsi="David" w:cs="David"/>
                <w:color w:val="000000"/>
                <w:rtl/>
              </w:rPr>
            </w:pPr>
            <w:r w:rsidRPr="00731337">
              <w:rPr>
                <w:rFonts w:ascii="David" w:hAnsi="David" w:cs="David"/>
                <w:color w:val="000000"/>
              </w:rPr>
              <w:t>1,289</w:t>
            </w:r>
          </w:p>
        </w:tc>
        <w:tc>
          <w:tcPr>
            <w:tcW w:w="1559" w:type="dxa"/>
            <w:tcBorders>
              <w:top w:val="single" w:sz="4" w:space="0" w:color="auto"/>
              <w:bottom w:val="single" w:sz="4" w:space="0" w:color="auto"/>
            </w:tcBorders>
            <w:shd w:val="clear" w:color="auto" w:fill="D9D9D9"/>
            <w:noWrap/>
            <w:vAlign w:val="center"/>
          </w:tcPr>
          <w:p w14:paraId="6577BE9D" w14:textId="77777777" w:rsidR="00731337" w:rsidRPr="00731337" w:rsidRDefault="00731337" w:rsidP="00731337">
            <w:pPr>
              <w:spacing w:after="0" w:line="240" w:lineRule="auto"/>
              <w:jc w:val="center"/>
              <w:rPr>
                <w:rFonts w:asciiTheme="minorHAnsi" w:hAnsiTheme="minorHAnsi" w:cs="David"/>
                <w:b/>
                <w:bCs/>
                <w:color w:val="000000"/>
              </w:rPr>
            </w:pPr>
            <w:r w:rsidRPr="00731337">
              <w:rPr>
                <w:rFonts w:ascii="David" w:hAnsi="David" w:cs="David" w:hint="cs"/>
                <w:b/>
                <w:bCs/>
                <w:color w:val="000000"/>
                <w:rtl/>
              </w:rPr>
              <w:t>2:50</w:t>
            </w:r>
          </w:p>
        </w:tc>
        <w:tc>
          <w:tcPr>
            <w:tcW w:w="1418" w:type="dxa"/>
            <w:tcBorders>
              <w:top w:val="single" w:sz="4" w:space="0" w:color="auto"/>
              <w:bottom w:val="single" w:sz="4" w:space="0" w:color="auto"/>
            </w:tcBorders>
            <w:shd w:val="clear" w:color="auto" w:fill="D9D9D9"/>
            <w:vAlign w:val="center"/>
          </w:tcPr>
          <w:p w14:paraId="3DD8800D"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4:23</w:t>
            </w:r>
          </w:p>
        </w:tc>
        <w:tc>
          <w:tcPr>
            <w:tcW w:w="850" w:type="dxa"/>
            <w:tcBorders>
              <w:top w:val="single" w:sz="4" w:space="0" w:color="auto"/>
              <w:bottom w:val="single" w:sz="4" w:space="0" w:color="auto"/>
            </w:tcBorders>
            <w:shd w:val="clear" w:color="auto" w:fill="D9D9D9"/>
            <w:vAlign w:val="center"/>
          </w:tcPr>
          <w:p w14:paraId="35B54598"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hint="cs"/>
                <w:color w:val="000000"/>
                <w:rtl/>
              </w:rPr>
              <w:t>1:33-</w:t>
            </w:r>
          </w:p>
        </w:tc>
      </w:tr>
      <w:tr w:rsidR="00731337" w:rsidRPr="00731337" w14:paraId="4C70EEC6" w14:textId="77777777" w:rsidTr="008D6C28">
        <w:trPr>
          <w:trHeight w:val="405"/>
        </w:trPr>
        <w:tc>
          <w:tcPr>
            <w:tcW w:w="856" w:type="dxa"/>
            <w:tcBorders>
              <w:top w:val="single" w:sz="4" w:space="0" w:color="auto"/>
              <w:bottom w:val="single" w:sz="4" w:space="0" w:color="auto"/>
            </w:tcBorders>
            <w:shd w:val="clear" w:color="auto" w:fill="auto"/>
            <w:noWrap/>
            <w:vAlign w:val="center"/>
          </w:tcPr>
          <w:p w14:paraId="3A8F821B"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tl/>
              </w:rPr>
              <w:t>מחוזי</w:t>
            </w:r>
          </w:p>
        </w:tc>
        <w:tc>
          <w:tcPr>
            <w:tcW w:w="1412" w:type="dxa"/>
            <w:tcBorders>
              <w:top w:val="single" w:sz="4" w:space="0" w:color="auto"/>
              <w:bottom w:val="single" w:sz="4" w:space="0" w:color="auto"/>
            </w:tcBorders>
            <w:shd w:val="clear" w:color="auto" w:fill="auto"/>
            <w:noWrap/>
            <w:vAlign w:val="center"/>
          </w:tcPr>
          <w:p w14:paraId="2E7F178F"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פלילי</w:t>
            </w:r>
          </w:p>
        </w:tc>
        <w:tc>
          <w:tcPr>
            <w:tcW w:w="2133" w:type="dxa"/>
            <w:tcBorders>
              <w:top w:val="single" w:sz="4" w:space="0" w:color="auto"/>
              <w:bottom w:val="single" w:sz="4" w:space="0" w:color="auto"/>
            </w:tcBorders>
            <w:shd w:val="clear" w:color="auto" w:fill="auto"/>
            <w:vAlign w:val="center"/>
          </w:tcPr>
          <w:p w14:paraId="5CB782F1" w14:textId="77777777" w:rsidR="00731337" w:rsidRPr="00731337" w:rsidRDefault="00731337" w:rsidP="00731337">
            <w:pPr>
              <w:spacing w:after="0" w:line="240" w:lineRule="auto"/>
              <w:rPr>
                <w:rFonts w:ascii="David" w:hAnsi="David" w:cs="David"/>
                <w:color w:val="000000"/>
                <w:rtl/>
              </w:rPr>
            </w:pPr>
            <w:r w:rsidRPr="00731337">
              <w:rPr>
                <w:rFonts w:ascii="David" w:hAnsi="David" w:cs="David"/>
                <w:color w:val="000000"/>
                <w:rtl/>
              </w:rPr>
              <w:t>בקשה לעיון בחומר חקירה (בע"ח)</w:t>
            </w:r>
          </w:p>
        </w:tc>
        <w:tc>
          <w:tcPr>
            <w:tcW w:w="1276" w:type="dxa"/>
            <w:tcBorders>
              <w:top w:val="single" w:sz="4" w:space="0" w:color="auto"/>
              <w:bottom w:val="single" w:sz="4" w:space="0" w:color="auto"/>
            </w:tcBorders>
            <w:vAlign w:val="center"/>
          </w:tcPr>
          <w:p w14:paraId="07274806"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hint="cs"/>
                <w:color w:val="000000"/>
                <w:rtl/>
              </w:rPr>
              <w:t>354</w:t>
            </w:r>
          </w:p>
        </w:tc>
        <w:tc>
          <w:tcPr>
            <w:tcW w:w="1559" w:type="dxa"/>
            <w:tcBorders>
              <w:top w:val="single" w:sz="4" w:space="0" w:color="auto"/>
              <w:bottom w:val="single" w:sz="4" w:space="0" w:color="auto"/>
            </w:tcBorders>
            <w:shd w:val="clear" w:color="auto" w:fill="auto"/>
            <w:noWrap/>
            <w:vAlign w:val="center"/>
          </w:tcPr>
          <w:p w14:paraId="0902B3F2" w14:textId="77777777" w:rsidR="00731337" w:rsidRPr="00731337" w:rsidRDefault="00731337" w:rsidP="00731337">
            <w:pPr>
              <w:spacing w:after="0" w:line="240" w:lineRule="auto"/>
              <w:jc w:val="center"/>
              <w:rPr>
                <w:rFonts w:ascii="David" w:hAnsi="David" w:cs="David"/>
                <w:b/>
                <w:bCs/>
                <w:color w:val="000000"/>
                <w:rtl/>
              </w:rPr>
            </w:pPr>
            <w:r w:rsidRPr="00731337">
              <w:rPr>
                <w:rFonts w:ascii="David" w:hAnsi="David" w:cs="David" w:hint="cs"/>
                <w:b/>
                <w:bCs/>
                <w:color w:val="000000"/>
                <w:rtl/>
              </w:rPr>
              <w:t>2:20</w:t>
            </w:r>
          </w:p>
        </w:tc>
        <w:tc>
          <w:tcPr>
            <w:tcW w:w="1418" w:type="dxa"/>
            <w:tcBorders>
              <w:top w:val="single" w:sz="4" w:space="0" w:color="auto"/>
              <w:bottom w:val="single" w:sz="4" w:space="0" w:color="auto"/>
            </w:tcBorders>
            <w:vAlign w:val="center"/>
          </w:tcPr>
          <w:p w14:paraId="47BE135F"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w:t>
            </w:r>
          </w:p>
        </w:tc>
        <w:tc>
          <w:tcPr>
            <w:tcW w:w="850" w:type="dxa"/>
            <w:tcBorders>
              <w:top w:val="single" w:sz="4" w:space="0" w:color="auto"/>
              <w:bottom w:val="single" w:sz="4" w:space="0" w:color="auto"/>
            </w:tcBorders>
            <w:vAlign w:val="center"/>
          </w:tcPr>
          <w:p w14:paraId="61F9EFC9" w14:textId="77777777" w:rsidR="00731337" w:rsidRPr="00731337" w:rsidRDefault="00731337" w:rsidP="00731337">
            <w:pPr>
              <w:spacing w:after="0" w:line="240" w:lineRule="auto"/>
              <w:jc w:val="center"/>
              <w:rPr>
                <w:rFonts w:ascii="David" w:hAnsi="David" w:cs="David"/>
                <w:color w:val="000000"/>
                <w:rtl/>
              </w:rPr>
            </w:pPr>
            <w:r w:rsidRPr="00731337">
              <w:rPr>
                <w:rFonts w:ascii="David" w:hAnsi="David" w:cs="David"/>
                <w:color w:val="000000"/>
              </w:rPr>
              <w:t>-</w:t>
            </w:r>
          </w:p>
        </w:tc>
      </w:tr>
      <w:tr w:rsidR="00731337" w:rsidRPr="00731337" w14:paraId="0992E793" w14:textId="77777777" w:rsidTr="008D6C28">
        <w:trPr>
          <w:trHeight w:val="402"/>
        </w:trPr>
        <w:tc>
          <w:tcPr>
            <w:tcW w:w="856" w:type="dxa"/>
            <w:tcBorders>
              <w:top w:val="single" w:sz="4" w:space="0" w:color="auto"/>
              <w:bottom w:val="single" w:sz="4" w:space="0" w:color="auto"/>
            </w:tcBorders>
            <w:shd w:val="clear" w:color="auto" w:fill="D9D9D9"/>
            <w:noWrap/>
            <w:vAlign w:val="center"/>
          </w:tcPr>
          <w:p w14:paraId="23850C54"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tl/>
              </w:rPr>
              <w:t>מחוזי</w:t>
            </w:r>
          </w:p>
        </w:tc>
        <w:tc>
          <w:tcPr>
            <w:tcW w:w="1412" w:type="dxa"/>
            <w:tcBorders>
              <w:top w:val="single" w:sz="4" w:space="0" w:color="auto"/>
              <w:bottom w:val="single" w:sz="4" w:space="0" w:color="auto"/>
            </w:tcBorders>
            <w:shd w:val="clear" w:color="auto" w:fill="D9D9D9"/>
            <w:noWrap/>
            <w:vAlign w:val="center"/>
          </w:tcPr>
          <w:p w14:paraId="4236C9A8"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ערעור פלילי</w:t>
            </w:r>
          </w:p>
        </w:tc>
        <w:tc>
          <w:tcPr>
            <w:tcW w:w="2133" w:type="dxa"/>
            <w:tcBorders>
              <w:top w:val="single" w:sz="4" w:space="0" w:color="auto"/>
              <w:bottom w:val="single" w:sz="4" w:space="0" w:color="auto"/>
            </w:tcBorders>
            <w:shd w:val="clear" w:color="auto" w:fill="D9D9D9"/>
            <w:vAlign w:val="center"/>
          </w:tcPr>
          <w:p w14:paraId="4AE31563" w14:textId="77777777" w:rsidR="00731337" w:rsidRPr="00731337" w:rsidRDefault="00731337" w:rsidP="00731337">
            <w:pPr>
              <w:spacing w:after="0" w:line="240" w:lineRule="auto"/>
              <w:rPr>
                <w:rFonts w:ascii="David" w:hAnsi="David" w:cs="David"/>
                <w:color w:val="000000"/>
                <w:rtl/>
              </w:rPr>
            </w:pPr>
            <w:r w:rsidRPr="00731337">
              <w:rPr>
                <w:rFonts w:ascii="David" w:hAnsi="David" w:cs="David"/>
                <w:color w:val="000000"/>
                <w:rtl/>
              </w:rPr>
              <w:t>ערעור פלילי על בימ"ש לעניינים מקומיים (עפמ"ק)</w:t>
            </w:r>
          </w:p>
        </w:tc>
        <w:tc>
          <w:tcPr>
            <w:tcW w:w="1276" w:type="dxa"/>
            <w:tcBorders>
              <w:top w:val="single" w:sz="4" w:space="0" w:color="auto"/>
              <w:bottom w:val="single" w:sz="4" w:space="0" w:color="auto"/>
            </w:tcBorders>
            <w:shd w:val="clear" w:color="auto" w:fill="D9D9D9"/>
            <w:vAlign w:val="center"/>
          </w:tcPr>
          <w:p w14:paraId="04B84B43"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hint="cs"/>
                <w:color w:val="000000"/>
                <w:rtl/>
              </w:rPr>
              <w:t>450</w:t>
            </w:r>
          </w:p>
        </w:tc>
        <w:tc>
          <w:tcPr>
            <w:tcW w:w="1559" w:type="dxa"/>
            <w:tcBorders>
              <w:top w:val="single" w:sz="4" w:space="0" w:color="auto"/>
              <w:bottom w:val="single" w:sz="4" w:space="0" w:color="auto"/>
            </w:tcBorders>
            <w:shd w:val="clear" w:color="auto" w:fill="D9D9D9"/>
            <w:noWrap/>
            <w:vAlign w:val="center"/>
          </w:tcPr>
          <w:p w14:paraId="2D2C0A14" w14:textId="77777777" w:rsidR="00731337" w:rsidRPr="00731337" w:rsidRDefault="00731337" w:rsidP="00731337">
            <w:pPr>
              <w:spacing w:after="0" w:line="240" w:lineRule="auto"/>
              <w:jc w:val="center"/>
              <w:rPr>
                <w:rFonts w:ascii="David" w:hAnsi="David" w:cs="David"/>
                <w:b/>
                <w:bCs/>
                <w:color w:val="000000"/>
              </w:rPr>
            </w:pPr>
            <w:r w:rsidRPr="00731337">
              <w:rPr>
                <w:rFonts w:ascii="David" w:hAnsi="David" w:cs="David" w:hint="cs"/>
                <w:b/>
                <w:bCs/>
                <w:color w:val="000000"/>
                <w:rtl/>
              </w:rPr>
              <w:t>1:30</w:t>
            </w:r>
          </w:p>
        </w:tc>
        <w:tc>
          <w:tcPr>
            <w:tcW w:w="1418" w:type="dxa"/>
            <w:tcBorders>
              <w:top w:val="single" w:sz="4" w:space="0" w:color="auto"/>
              <w:bottom w:val="single" w:sz="4" w:space="0" w:color="auto"/>
            </w:tcBorders>
            <w:shd w:val="clear" w:color="auto" w:fill="D9D9D9"/>
            <w:vAlign w:val="center"/>
          </w:tcPr>
          <w:p w14:paraId="0D8B78B6"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w:t>
            </w:r>
          </w:p>
        </w:tc>
        <w:tc>
          <w:tcPr>
            <w:tcW w:w="850" w:type="dxa"/>
            <w:tcBorders>
              <w:top w:val="single" w:sz="4" w:space="0" w:color="auto"/>
              <w:bottom w:val="single" w:sz="4" w:space="0" w:color="auto"/>
            </w:tcBorders>
            <w:shd w:val="clear" w:color="auto" w:fill="D9D9D9"/>
            <w:vAlign w:val="center"/>
          </w:tcPr>
          <w:p w14:paraId="3AA2909F"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w:t>
            </w:r>
          </w:p>
        </w:tc>
      </w:tr>
      <w:tr w:rsidR="00731337" w:rsidRPr="00731337" w14:paraId="5C94D852" w14:textId="77777777" w:rsidTr="008D6C28">
        <w:trPr>
          <w:trHeight w:val="402"/>
        </w:trPr>
        <w:tc>
          <w:tcPr>
            <w:tcW w:w="856" w:type="dxa"/>
            <w:tcBorders>
              <w:top w:val="single" w:sz="4" w:space="0" w:color="auto"/>
              <w:bottom w:val="single" w:sz="4" w:space="0" w:color="auto"/>
            </w:tcBorders>
            <w:shd w:val="clear" w:color="auto" w:fill="auto"/>
            <w:noWrap/>
            <w:vAlign w:val="center"/>
          </w:tcPr>
          <w:p w14:paraId="63CAB4A3"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tl/>
              </w:rPr>
              <w:t>מחוזי</w:t>
            </w:r>
          </w:p>
        </w:tc>
        <w:tc>
          <w:tcPr>
            <w:tcW w:w="1412" w:type="dxa"/>
            <w:tcBorders>
              <w:top w:val="single" w:sz="4" w:space="0" w:color="auto"/>
              <w:bottom w:val="single" w:sz="4" w:space="0" w:color="auto"/>
            </w:tcBorders>
            <w:shd w:val="clear" w:color="auto" w:fill="auto"/>
            <w:noWrap/>
            <w:vAlign w:val="center"/>
          </w:tcPr>
          <w:p w14:paraId="7280C0EE"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מעצרים/</w:t>
            </w:r>
            <w:r w:rsidRPr="00731337">
              <w:rPr>
                <w:rFonts w:ascii="David" w:hAnsi="David" w:cs="David" w:hint="cs"/>
                <w:color w:val="000000"/>
                <w:rtl/>
              </w:rPr>
              <w:t xml:space="preserve"> </w:t>
            </w:r>
            <w:r w:rsidRPr="00731337">
              <w:rPr>
                <w:rFonts w:ascii="David" w:hAnsi="David" w:cs="David"/>
                <w:color w:val="000000"/>
                <w:rtl/>
              </w:rPr>
              <w:t>ערעור פלילי/</w:t>
            </w:r>
            <w:r w:rsidRPr="00731337">
              <w:rPr>
                <w:rFonts w:ascii="David" w:hAnsi="David" w:cs="David" w:hint="cs"/>
                <w:color w:val="000000"/>
                <w:rtl/>
              </w:rPr>
              <w:t xml:space="preserve"> </w:t>
            </w:r>
            <w:r w:rsidRPr="00731337">
              <w:rPr>
                <w:rFonts w:ascii="David" w:hAnsi="David" w:cs="David"/>
                <w:color w:val="000000"/>
                <w:rtl/>
              </w:rPr>
              <w:t>פלילי</w:t>
            </w:r>
          </w:p>
        </w:tc>
        <w:tc>
          <w:tcPr>
            <w:tcW w:w="2133" w:type="dxa"/>
            <w:tcBorders>
              <w:top w:val="single" w:sz="4" w:space="0" w:color="auto"/>
              <w:bottom w:val="single" w:sz="4" w:space="0" w:color="auto"/>
            </w:tcBorders>
            <w:shd w:val="clear" w:color="auto" w:fill="auto"/>
            <w:vAlign w:val="center"/>
          </w:tcPr>
          <w:p w14:paraId="507663FE" w14:textId="77777777" w:rsidR="00731337" w:rsidRPr="00731337" w:rsidRDefault="00731337" w:rsidP="00731337">
            <w:pPr>
              <w:spacing w:after="0" w:line="240" w:lineRule="auto"/>
              <w:rPr>
                <w:rFonts w:ascii="David" w:hAnsi="David" w:cs="David"/>
                <w:color w:val="000000"/>
                <w:rtl/>
              </w:rPr>
            </w:pPr>
            <w:r w:rsidRPr="00731337">
              <w:rPr>
                <w:rFonts w:ascii="David" w:hAnsi="David" w:cs="David"/>
                <w:color w:val="000000"/>
                <w:rtl/>
              </w:rPr>
              <w:t>ערר מ"ת (עמ"ת)</w:t>
            </w:r>
          </w:p>
        </w:tc>
        <w:tc>
          <w:tcPr>
            <w:tcW w:w="1276" w:type="dxa"/>
            <w:tcBorders>
              <w:top w:val="single" w:sz="4" w:space="0" w:color="auto"/>
              <w:bottom w:val="single" w:sz="4" w:space="0" w:color="auto"/>
            </w:tcBorders>
            <w:shd w:val="clear" w:color="auto" w:fill="auto"/>
            <w:vAlign w:val="center"/>
          </w:tcPr>
          <w:p w14:paraId="68E6F916"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hint="cs"/>
                <w:color w:val="000000"/>
                <w:rtl/>
              </w:rPr>
              <w:t>2,029</w:t>
            </w:r>
          </w:p>
        </w:tc>
        <w:tc>
          <w:tcPr>
            <w:tcW w:w="1559" w:type="dxa"/>
            <w:tcBorders>
              <w:top w:val="single" w:sz="4" w:space="0" w:color="auto"/>
              <w:bottom w:val="single" w:sz="4" w:space="0" w:color="auto"/>
            </w:tcBorders>
            <w:shd w:val="clear" w:color="auto" w:fill="auto"/>
            <w:noWrap/>
            <w:vAlign w:val="center"/>
          </w:tcPr>
          <w:p w14:paraId="7FEEBDD2" w14:textId="77777777" w:rsidR="00731337" w:rsidRPr="00731337" w:rsidRDefault="00731337" w:rsidP="00731337">
            <w:pPr>
              <w:spacing w:after="0" w:line="240" w:lineRule="auto"/>
              <w:jc w:val="center"/>
              <w:rPr>
                <w:rFonts w:asciiTheme="minorHAnsi" w:hAnsiTheme="minorHAnsi" w:cs="David"/>
                <w:b/>
                <w:bCs/>
                <w:color w:val="000000"/>
              </w:rPr>
            </w:pPr>
            <w:r w:rsidRPr="00731337">
              <w:rPr>
                <w:rFonts w:ascii="David" w:hAnsi="David" w:cs="David"/>
                <w:b/>
                <w:bCs/>
                <w:color w:val="000000"/>
              </w:rPr>
              <w:t>1:16</w:t>
            </w:r>
          </w:p>
        </w:tc>
        <w:tc>
          <w:tcPr>
            <w:tcW w:w="1418" w:type="dxa"/>
            <w:tcBorders>
              <w:top w:val="single" w:sz="4" w:space="0" w:color="auto"/>
              <w:bottom w:val="single" w:sz="4" w:space="0" w:color="auto"/>
            </w:tcBorders>
            <w:shd w:val="clear" w:color="auto" w:fill="auto"/>
            <w:vAlign w:val="center"/>
          </w:tcPr>
          <w:p w14:paraId="04F512A9"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1:27</w:t>
            </w:r>
          </w:p>
        </w:tc>
        <w:tc>
          <w:tcPr>
            <w:tcW w:w="850" w:type="dxa"/>
            <w:tcBorders>
              <w:top w:val="single" w:sz="4" w:space="0" w:color="auto"/>
              <w:bottom w:val="single" w:sz="4" w:space="0" w:color="auto"/>
            </w:tcBorders>
            <w:shd w:val="clear" w:color="auto" w:fill="auto"/>
            <w:vAlign w:val="center"/>
          </w:tcPr>
          <w:p w14:paraId="48D98A20"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0:11</w:t>
            </w:r>
          </w:p>
        </w:tc>
      </w:tr>
      <w:tr w:rsidR="00731337" w:rsidRPr="00731337" w14:paraId="618E6E25" w14:textId="77777777" w:rsidTr="008D6C28">
        <w:trPr>
          <w:trHeight w:val="402"/>
        </w:trPr>
        <w:tc>
          <w:tcPr>
            <w:tcW w:w="856" w:type="dxa"/>
            <w:tcBorders>
              <w:top w:val="single" w:sz="4" w:space="0" w:color="auto"/>
              <w:bottom w:val="single" w:sz="4" w:space="0" w:color="auto"/>
            </w:tcBorders>
            <w:shd w:val="clear" w:color="auto" w:fill="D9D9D9"/>
            <w:noWrap/>
            <w:vAlign w:val="center"/>
          </w:tcPr>
          <w:p w14:paraId="553BB4CE"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tl/>
              </w:rPr>
              <w:t>מחוזי</w:t>
            </w:r>
          </w:p>
        </w:tc>
        <w:tc>
          <w:tcPr>
            <w:tcW w:w="1412" w:type="dxa"/>
            <w:tcBorders>
              <w:top w:val="single" w:sz="4" w:space="0" w:color="auto"/>
              <w:bottom w:val="single" w:sz="4" w:space="0" w:color="auto"/>
            </w:tcBorders>
            <w:shd w:val="clear" w:color="auto" w:fill="D9D9D9"/>
            <w:noWrap/>
            <w:vAlign w:val="center"/>
          </w:tcPr>
          <w:p w14:paraId="6E9415B4"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מעצרים/</w:t>
            </w:r>
            <w:r w:rsidRPr="00731337">
              <w:rPr>
                <w:rFonts w:ascii="David" w:hAnsi="David" w:cs="David" w:hint="cs"/>
                <w:color w:val="000000"/>
                <w:rtl/>
              </w:rPr>
              <w:t xml:space="preserve"> </w:t>
            </w:r>
            <w:r w:rsidRPr="00731337">
              <w:rPr>
                <w:rFonts w:ascii="David" w:hAnsi="David" w:cs="David"/>
                <w:color w:val="000000"/>
                <w:rtl/>
              </w:rPr>
              <w:t>ערעור פלילי/</w:t>
            </w:r>
            <w:r w:rsidRPr="00731337">
              <w:rPr>
                <w:rFonts w:ascii="David" w:hAnsi="David" w:cs="David" w:hint="cs"/>
                <w:color w:val="000000"/>
                <w:rtl/>
              </w:rPr>
              <w:t xml:space="preserve"> </w:t>
            </w:r>
            <w:r w:rsidRPr="00731337">
              <w:rPr>
                <w:rFonts w:ascii="David" w:hAnsi="David" w:cs="David"/>
                <w:color w:val="000000"/>
                <w:rtl/>
              </w:rPr>
              <w:t>פלילי</w:t>
            </w:r>
          </w:p>
        </w:tc>
        <w:tc>
          <w:tcPr>
            <w:tcW w:w="2133" w:type="dxa"/>
            <w:tcBorders>
              <w:top w:val="single" w:sz="4" w:space="0" w:color="auto"/>
              <w:bottom w:val="single" w:sz="4" w:space="0" w:color="auto"/>
            </w:tcBorders>
            <w:shd w:val="clear" w:color="auto" w:fill="D9D9D9"/>
            <w:vAlign w:val="center"/>
          </w:tcPr>
          <w:p w14:paraId="4211968C" w14:textId="77777777" w:rsidR="00731337" w:rsidRPr="00731337" w:rsidRDefault="00731337" w:rsidP="00731337">
            <w:pPr>
              <w:spacing w:after="0" w:line="240" w:lineRule="auto"/>
              <w:rPr>
                <w:rFonts w:ascii="David" w:hAnsi="David" w:cs="David"/>
                <w:color w:val="000000"/>
                <w:rtl/>
              </w:rPr>
            </w:pPr>
            <w:r w:rsidRPr="00731337">
              <w:rPr>
                <w:rFonts w:ascii="David" w:hAnsi="David" w:cs="David"/>
                <w:color w:val="000000"/>
                <w:rtl/>
              </w:rPr>
              <w:t>ערר מ"י (עמ"י)</w:t>
            </w:r>
          </w:p>
        </w:tc>
        <w:tc>
          <w:tcPr>
            <w:tcW w:w="1276" w:type="dxa"/>
            <w:tcBorders>
              <w:top w:val="single" w:sz="4" w:space="0" w:color="auto"/>
              <w:bottom w:val="single" w:sz="4" w:space="0" w:color="auto"/>
            </w:tcBorders>
            <w:shd w:val="clear" w:color="auto" w:fill="D9D9D9"/>
            <w:vAlign w:val="center"/>
          </w:tcPr>
          <w:p w14:paraId="37C951F3"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hint="cs"/>
                <w:color w:val="000000"/>
                <w:rtl/>
              </w:rPr>
              <w:t>5,194</w:t>
            </w:r>
          </w:p>
        </w:tc>
        <w:tc>
          <w:tcPr>
            <w:tcW w:w="1559" w:type="dxa"/>
            <w:tcBorders>
              <w:top w:val="single" w:sz="4" w:space="0" w:color="auto"/>
              <w:bottom w:val="single" w:sz="4" w:space="0" w:color="auto"/>
            </w:tcBorders>
            <w:shd w:val="clear" w:color="auto" w:fill="D9D9D9"/>
            <w:noWrap/>
            <w:vAlign w:val="center"/>
          </w:tcPr>
          <w:p w14:paraId="4159AFFE" w14:textId="77777777" w:rsidR="00731337" w:rsidRPr="00731337" w:rsidRDefault="00731337" w:rsidP="00731337">
            <w:pPr>
              <w:spacing w:after="0" w:line="240" w:lineRule="auto"/>
              <w:jc w:val="center"/>
              <w:rPr>
                <w:rFonts w:ascii="David" w:hAnsi="David" w:cs="David"/>
                <w:b/>
                <w:bCs/>
                <w:color w:val="000000"/>
                <w:rtl/>
              </w:rPr>
            </w:pPr>
            <w:r w:rsidRPr="00731337">
              <w:rPr>
                <w:rFonts w:ascii="David" w:hAnsi="David" w:cs="David"/>
                <w:b/>
                <w:bCs/>
                <w:color w:val="000000"/>
              </w:rPr>
              <w:t>0:52</w:t>
            </w:r>
          </w:p>
        </w:tc>
        <w:tc>
          <w:tcPr>
            <w:tcW w:w="1418" w:type="dxa"/>
            <w:tcBorders>
              <w:top w:val="single" w:sz="4" w:space="0" w:color="auto"/>
              <w:bottom w:val="single" w:sz="4" w:space="0" w:color="auto"/>
            </w:tcBorders>
            <w:shd w:val="clear" w:color="auto" w:fill="D9D9D9"/>
            <w:vAlign w:val="center"/>
          </w:tcPr>
          <w:p w14:paraId="28C17F83" w14:textId="77777777" w:rsidR="00731337" w:rsidRPr="00731337" w:rsidRDefault="00731337" w:rsidP="00731337">
            <w:pPr>
              <w:spacing w:after="0" w:line="240" w:lineRule="auto"/>
              <w:jc w:val="center"/>
              <w:rPr>
                <w:rFonts w:ascii="David" w:hAnsi="David" w:cs="David"/>
                <w:color w:val="000000"/>
                <w:rtl/>
              </w:rPr>
            </w:pPr>
            <w:r w:rsidRPr="00731337">
              <w:rPr>
                <w:rFonts w:ascii="David" w:hAnsi="David" w:cs="David"/>
                <w:color w:val="000000"/>
              </w:rPr>
              <w:t>0:53</w:t>
            </w:r>
          </w:p>
        </w:tc>
        <w:tc>
          <w:tcPr>
            <w:tcW w:w="850" w:type="dxa"/>
            <w:tcBorders>
              <w:top w:val="single" w:sz="4" w:space="0" w:color="auto"/>
              <w:bottom w:val="single" w:sz="4" w:space="0" w:color="auto"/>
            </w:tcBorders>
            <w:shd w:val="clear" w:color="auto" w:fill="D9D9D9"/>
            <w:vAlign w:val="center"/>
          </w:tcPr>
          <w:p w14:paraId="22458F12" w14:textId="77777777" w:rsidR="00731337" w:rsidRPr="00731337" w:rsidRDefault="00731337" w:rsidP="00731337">
            <w:pPr>
              <w:spacing w:after="0" w:line="240" w:lineRule="auto"/>
              <w:jc w:val="center"/>
              <w:rPr>
                <w:rFonts w:cs="David"/>
                <w:color w:val="000000"/>
              </w:rPr>
            </w:pPr>
            <w:r w:rsidRPr="00731337">
              <w:rPr>
                <w:rFonts w:ascii="David" w:hAnsi="David" w:cs="David"/>
                <w:color w:val="000000"/>
              </w:rPr>
              <w:t>+0:01</w:t>
            </w:r>
          </w:p>
        </w:tc>
      </w:tr>
      <w:tr w:rsidR="00731337" w:rsidRPr="00731337" w14:paraId="35A9D18A" w14:textId="77777777" w:rsidTr="008D6C28">
        <w:trPr>
          <w:trHeight w:val="409"/>
        </w:trPr>
        <w:tc>
          <w:tcPr>
            <w:tcW w:w="856" w:type="dxa"/>
            <w:tcBorders>
              <w:top w:val="single" w:sz="4" w:space="0" w:color="auto"/>
              <w:bottom w:val="single" w:sz="4" w:space="0" w:color="auto"/>
            </w:tcBorders>
            <w:shd w:val="clear" w:color="auto" w:fill="auto"/>
            <w:noWrap/>
            <w:vAlign w:val="center"/>
          </w:tcPr>
          <w:p w14:paraId="30245BA8" w14:textId="77777777" w:rsidR="00731337" w:rsidRPr="00731337" w:rsidRDefault="00731337" w:rsidP="00731337">
            <w:pPr>
              <w:spacing w:after="0" w:line="240" w:lineRule="auto"/>
              <w:jc w:val="center"/>
              <w:rPr>
                <w:rFonts w:ascii="David" w:hAnsi="David" w:cs="David"/>
                <w:color w:val="000000"/>
                <w:rtl/>
              </w:rPr>
            </w:pPr>
            <w:r w:rsidRPr="00731337">
              <w:rPr>
                <w:rFonts w:ascii="David" w:hAnsi="David" w:cs="David"/>
                <w:color w:val="000000"/>
                <w:rtl/>
              </w:rPr>
              <w:t>מחוזי</w:t>
            </w:r>
          </w:p>
        </w:tc>
        <w:tc>
          <w:tcPr>
            <w:tcW w:w="1412" w:type="dxa"/>
            <w:tcBorders>
              <w:top w:val="single" w:sz="4" w:space="0" w:color="auto"/>
              <w:bottom w:val="single" w:sz="4" w:space="0" w:color="auto"/>
            </w:tcBorders>
            <w:shd w:val="clear" w:color="auto" w:fill="auto"/>
            <w:noWrap/>
            <w:vAlign w:val="center"/>
          </w:tcPr>
          <w:p w14:paraId="7DDD0A2E" w14:textId="77777777" w:rsidR="00731337" w:rsidRPr="00731337" w:rsidRDefault="00731337" w:rsidP="00731337">
            <w:pPr>
              <w:spacing w:after="0" w:line="240" w:lineRule="auto"/>
              <w:rPr>
                <w:rFonts w:ascii="David" w:hAnsi="David" w:cs="David"/>
                <w:color w:val="000000"/>
              </w:rPr>
            </w:pPr>
            <w:r w:rsidRPr="00731337">
              <w:rPr>
                <w:rFonts w:ascii="David" w:hAnsi="David" w:cs="David"/>
                <w:color w:val="000000"/>
                <w:rtl/>
              </w:rPr>
              <w:t>פלילי</w:t>
            </w:r>
          </w:p>
        </w:tc>
        <w:tc>
          <w:tcPr>
            <w:tcW w:w="2133" w:type="dxa"/>
            <w:tcBorders>
              <w:top w:val="single" w:sz="4" w:space="0" w:color="auto"/>
              <w:bottom w:val="single" w:sz="4" w:space="0" w:color="auto"/>
            </w:tcBorders>
            <w:shd w:val="clear" w:color="auto" w:fill="auto"/>
            <w:vAlign w:val="center"/>
          </w:tcPr>
          <w:p w14:paraId="23DC71DC" w14:textId="77777777" w:rsidR="00731337" w:rsidRPr="00731337" w:rsidRDefault="00731337" w:rsidP="00731337">
            <w:pPr>
              <w:spacing w:after="0" w:line="240" w:lineRule="auto"/>
              <w:rPr>
                <w:rFonts w:ascii="David" w:hAnsi="David" w:cs="David"/>
                <w:color w:val="000000"/>
                <w:rtl/>
              </w:rPr>
            </w:pPr>
            <w:r w:rsidRPr="00731337">
              <w:rPr>
                <w:rFonts w:ascii="David" w:hAnsi="David" w:cs="David"/>
                <w:color w:val="000000"/>
                <w:rtl/>
              </w:rPr>
              <w:t>האזנת סתר (הס"ת)</w:t>
            </w:r>
          </w:p>
        </w:tc>
        <w:tc>
          <w:tcPr>
            <w:tcW w:w="1276" w:type="dxa"/>
            <w:tcBorders>
              <w:top w:val="single" w:sz="4" w:space="0" w:color="auto"/>
              <w:bottom w:val="single" w:sz="4" w:space="0" w:color="auto"/>
            </w:tcBorders>
            <w:vAlign w:val="center"/>
          </w:tcPr>
          <w:p w14:paraId="5B08D52B"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4,572</w:t>
            </w:r>
          </w:p>
        </w:tc>
        <w:tc>
          <w:tcPr>
            <w:tcW w:w="1559" w:type="dxa"/>
            <w:tcBorders>
              <w:top w:val="single" w:sz="4" w:space="0" w:color="auto"/>
              <w:bottom w:val="single" w:sz="4" w:space="0" w:color="auto"/>
            </w:tcBorders>
            <w:shd w:val="clear" w:color="auto" w:fill="auto"/>
            <w:noWrap/>
            <w:vAlign w:val="center"/>
          </w:tcPr>
          <w:p w14:paraId="7CE6C110" w14:textId="77777777" w:rsidR="00731337" w:rsidRPr="00731337" w:rsidRDefault="00731337" w:rsidP="00731337">
            <w:pPr>
              <w:spacing w:after="0" w:line="240" w:lineRule="auto"/>
              <w:jc w:val="center"/>
              <w:rPr>
                <w:rFonts w:ascii="David" w:hAnsi="David" w:cs="David"/>
                <w:b/>
                <w:bCs/>
                <w:color w:val="000000"/>
              </w:rPr>
            </w:pPr>
            <w:r w:rsidRPr="00731337">
              <w:rPr>
                <w:rFonts w:ascii="David" w:hAnsi="David" w:cs="David"/>
                <w:b/>
                <w:bCs/>
                <w:color w:val="000000"/>
              </w:rPr>
              <w:t>0:15</w:t>
            </w:r>
          </w:p>
        </w:tc>
        <w:tc>
          <w:tcPr>
            <w:tcW w:w="1418" w:type="dxa"/>
            <w:tcBorders>
              <w:top w:val="single" w:sz="4" w:space="0" w:color="auto"/>
              <w:bottom w:val="single" w:sz="4" w:space="0" w:color="auto"/>
            </w:tcBorders>
            <w:vAlign w:val="center"/>
          </w:tcPr>
          <w:p w14:paraId="3B8978FA"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w:t>
            </w:r>
          </w:p>
        </w:tc>
        <w:tc>
          <w:tcPr>
            <w:tcW w:w="850" w:type="dxa"/>
            <w:tcBorders>
              <w:top w:val="single" w:sz="4" w:space="0" w:color="auto"/>
              <w:bottom w:val="single" w:sz="4" w:space="0" w:color="auto"/>
            </w:tcBorders>
            <w:vAlign w:val="center"/>
          </w:tcPr>
          <w:p w14:paraId="23F2D388" w14:textId="77777777" w:rsidR="00731337" w:rsidRPr="00731337" w:rsidRDefault="00731337" w:rsidP="00731337">
            <w:pPr>
              <w:spacing w:after="0" w:line="240" w:lineRule="auto"/>
              <w:jc w:val="center"/>
              <w:rPr>
                <w:rFonts w:ascii="David" w:hAnsi="David" w:cs="David"/>
                <w:color w:val="000000"/>
              </w:rPr>
            </w:pPr>
            <w:r w:rsidRPr="00731337">
              <w:rPr>
                <w:rFonts w:ascii="David" w:hAnsi="David" w:cs="David"/>
                <w:color w:val="000000"/>
              </w:rPr>
              <w:t>-</w:t>
            </w:r>
          </w:p>
        </w:tc>
      </w:tr>
    </w:tbl>
    <w:p w14:paraId="4ED85966" w14:textId="77777777" w:rsidR="00EC7DB3" w:rsidRPr="00F25744" w:rsidRDefault="00EC7DB3" w:rsidP="00994423">
      <w:pPr>
        <w:pStyle w:val="a3"/>
        <w:widowControl w:val="0"/>
        <w:autoSpaceDE w:val="0"/>
        <w:autoSpaceDN w:val="0"/>
        <w:bidi/>
        <w:adjustRightInd w:val="0"/>
        <w:spacing w:before="60" w:after="60" w:line="360" w:lineRule="auto"/>
        <w:ind w:left="0"/>
        <w:rPr>
          <w:rFonts w:ascii="David" w:hAnsi="David" w:cs="David"/>
          <w:b/>
          <w:bCs/>
          <w:sz w:val="24"/>
          <w:szCs w:val="24"/>
          <w:rtl/>
        </w:rPr>
      </w:pPr>
    </w:p>
    <w:p w14:paraId="5CEA75B8" w14:textId="589CFACB" w:rsidR="00AE6BC1" w:rsidRDefault="00E25AE7" w:rsidP="00EC7DB3">
      <w:pPr>
        <w:pStyle w:val="a3"/>
        <w:widowControl w:val="0"/>
        <w:autoSpaceDE w:val="0"/>
        <w:autoSpaceDN w:val="0"/>
        <w:bidi/>
        <w:adjustRightInd w:val="0"/>
        <w:spacing w:before="60" w:after="60" w:line="360" w:lineRule="auto"/>
        <w:ind w:left="0"/>
        <w:rPr>
          <w:rFonts w:ascii="David" w:hAnsi="David" w:cs="David"/>
          <w:sz w:val="24"/>
          <w:szCs w:val="24"/>
          <w:rtl/>
        </w:rPr>
      </w:pPr>
      <w:r w:rsidRPr="00F25744">
        <w:rPr>
          <w:rFonts w:ascii="David" w:hAnsi="David" w:cs="David" w:hint="cs"/>
          <w:b/>
          <w:bCs/>
          <w:sz w:val="24"/>
          <w:szCs w:val="24"/>
          <w:rtl/>
        </w:rPr>
        <w:t>הערה</w:t>
      </w:r>
      <w:r w:rsidRPr="00F25744">
        <w:rPr>
          <w:rFonts w:ascii="David" w:hAnsi="David" w:cs="David" w:hint="cs"/>
          <w:sz w:val="24"/>
          <w:szCs w:val="24"/>
          <w:rtl/>
        </w:rPr>
        <w:t xml:space="preserve"> - מעבר להצגת הממצאים לגבי זמני הטיפול השיפוטי בתיקים השונים, ולצרכים הניהוליים של הערכאות השונות, ניתן למצוא בנספחים טבלה המראה את משקלות התיקים של ערכאת המחוזי ברמה </w:t>
      </w:r>
      <w:r w:rsidRPr="00F25744">
        <w:rPr>
          <w:rFonts w:ascii="David" w:hAnsi="David" w:cs="David" w:hint="cs"/>
          <w:b/>
          <w:bCs/>
          <w:sz w:val="24"/>
          <w:szCs w:val="24"/>
          <w:rtl/>
        </w:rPr>
        <w:t>הערכאתית</w:t>
      </w:r>
      <w:r w:rsidRPr="00F25744">
        <w:rPr>
          <w:rFonts w:ascii="David" w:hAnsi="David" w:cs="David" w:hint="cs"/>
          <w:sz w:val="24"/>
          <w:szCs w:val="24"/>
          <w:rtl/>
        </w:rPr>
        <w:t xml:space="preserve"> (כלומר, את הזמנים היחסיים של כל סוג תיק ביחס לתיקים האחרים בערכאת המחוזי בלבד) ובחלוקה להליך אזרחי ופלילי, ב</w:t>
      </w:r>
      <w:r w:rsidRPr="00F25744">
        <w:rPr>
          <w:rFonts w:ascii="David" w:hAnsi="David" w:cs="David" w:hint="cs"/>
          <w:b/>
          <w:bCs/>
          <w:sz w:val="24"/>
          <w:szCs w:val="24"/>
          <w:rtl/>
        </w:rPr>
        <w:t>נספחים ה1 ו-ה2</w:t>
      </w:r>
      <w:r w:rsidRPr="00F25744">
        <w:rPr>
          <w:rFonts w:ascii="David" w:hAnsi="David" w:cs="David" w:hint="cs"/>
          <w:sz w:val="24"/>
          <w:szCs w:val="24"/>
          <w:rtl/>
        </w:rPr>
        <w:t>.</w:t>
      </w:r>
    </w:p>
    <w:p w14:paraId="194E12DE" w14:textId="58C7FEEE" w:rsidR="008D6C28" w:rsidRDefault="008D6C28" w:rsidP="008D6C28">
      <w:pPr>
        <w:pStyle w:val="a3"/>
        <w:widowControl w:val="0"/>
        <w:autoSpaceDE w:val="0"/>
        <w:autoSpaceDN w:val="0"/>
        <w:bidi/>
        <w:adjustRightInd w:val="0"/>
        <w:spacing w:before="60" w:after="60" w:line="360" w:lineRule="auto"/>
        <w:ind w:left="0"/>
        <w:rPr>
          <w:rFonts w:ascii="David" w:hAnsi="David" w:cs="David"/>
          <w:sz w:val="24"/>
          <w:szCs w:val="24"/>
          <w:rtl/>
        </w:rPr>
      </w:pPr>
    </w:p>
    <w:p w14:paraId="0B8BDFE2" w14:textId="77777777" w:rsidR="008D6C28" w:rsidRPr="00F25744" w:rsidRDefault="008D6C28" w:rsidP="008D6C28">
      <w:pPr>
        <w:pStyle w:val="a3"/>
        <w:widowControl w:val="0"/>
        <w:autoSpaceDE w:val="0"/>
        <w:autoSpaceDN w:val="0"/>
        <w:bidi/>
        <w:adjustRightInd w:val="0"/>
        <w:spacing w:before="60" w:after="60" w:line="360" w:lineRule="auto"/>
        <w:ind w:left="0"/>
        <w:rPr>
          <w:rFonts w:ascii="David" w:hAnsi="David" w:cs="David"/>
          <w:sz w:val="24"/>
          <w:szCs w:val="24"/>
          <w:rtl/>
        </w:rPr>
      </w:pPr>
    </w:p>
    <w:p w14:paraId="5351C1D8" w14:textId="77777777" w:rsidR="00840519" w:rsidRPr="00F25744" w:rsidRDefault="00E25AE7" w:rsidP="00A54D82">
      <w:pPr>
        <w:pStyle w:val="5"/>
        <w:ind w:left="1561"/>
      </w:pPr>
      <w:bookmarkStart w:id="409" w:name="_Toc74750988"/>
      <w:bookmarkStart w:id="410" w:name="_Toc46226058"/>
      <w:bookmarkStart w:id="411" w:name="_Toc46226202"/>
      <w:bookmarkStart w:id="412" w:name="_Toc46228369"/>
      <w:bookmarkStart w:id="413" w:name="_Toc46228467"/>
      <w:bookmarkStart w:id="414" w:name="_Toc46230394"/>
      <w:bookmarkStart w:id="415" w:name="_Toc46230492"/>
      <w:bookmarkStart w:id="416" w:name="_Toc46310382"/>
      <w:bookmarkStart w:id="417" w:name="_Toc46414024"/>
      <w:r w:rsidRPr="00F25744">
        <w:rPr>
          <w:rFonts w:hint="cs"/>
          <w:rtl/>
        </w:rPr>
        <w:lastRenderedPageBreak/>
        <w:t>זמני הטיפול השיפוטי בתיק מסוג ת"א, בחלוקה לסוגי העניין המרכזיים</w:t>
      </w:r>
      <w:bookmarkEnd w:id="409"/>
      <w:r w:rsidRPr="00F25744">
        <w:rPr>
          <w:rFonts w:hint="cs"/>
          <w:rtl/>
        </w:rPr>
        <w:t xml:space="preserve"> </w:t>
      </w:r>
      <w:bookmarkEnd w:id="410"/>
      <w:bookmarkEnd w:id="411"/>
      <w:bookmarkEnd w:id="412"/>
      <w:bookmarkEnd w:id="413"/>
      <w:bookmarkEnd w:id="414"/>
      <w:bookmarkEnd w:id="415"/>
      <w:bookmarkEnd w:id="416"/>
      <w:bookmarkEnd w:id="417"/>
    </w:p>
    <w:p w14:paraId="02866532" w14:textId="77777777" w:rsidR="00043701" w:rsidRPr="00F25744" w:rsidRDefault="00E25AE7" w:rsidP="00F900D7">
      <w:pPr>
        <w:spacing w:before="120" w:after="0" w:line="360" w:lineRule="auto"/>
        <w:jc w:val="both"/>
        <w:rPr>
          <w:rFonts w:cs="David"/>
          <w:sz w:val="24"/>
          <w:szCs w:val="24"/>
          <w:rtl/>
        </w:rPr>
      </w:pPr>
      <w:r w:rsidRPr="00F25744">
        <w:rPr>
          <w:rFonts w:cs="David" w:hint="cs"/>
          <w:sz w:val="24"/>
          <w:szCs w:val="24"/>
          <w:rtl/>
        </w:rPr>
        <w:t>כאמור לעיל, אחת מה</w:t>
      </w:r>
      <w:r w:rsidR="00437FB7" w:rsidRPr="00F25744">
        <w:rPr>
          <w:rFonts w:cs="David" w:hint="cs"/>
          <w:sz w:val="24"/>
          <w:szCs w:val="24"/>
          <w:rtl/>
        </w:rPr>
        <w:t>הערו</w:t>
      </w:r>
      <w:r w:rsidRPr="00F25744">
        <w:rPr>
          <w:rFonts w:cs="David" w:hint="cs"/>
          <w:sz w:val="24"/>
          <w:szCs w:val="24"/>
          <w:rtl/>
        </w:rPr>
        <w:t xml:space="preserve">ת שעלו מצד שופטים ונשיאים רבים בערכאת המחוזי לגבי המחקר הקודם הייתה המשקל הכולל </w:t>
      </w:r>
      <w:r w:rsidR="001336E4" w:rsidRPr="00F25744">
        <w:rPr>
          <w:rFonts w:cs="David" w:hint="cs"/>
          <w:sz w:val="24"/>
          <w:szCs w:val="24"/>
          <w:rtl/>
        </w:rPr>
        <w:t>המשוקלל</w:t>
      </w:r>
      <w:r w:rsidR="00BC4578" w:rsidRPr="00F25744">
        <w:rPr>
          <w:rFonts w:cs="David" w:hint="cs"/>
          <w:sz w:val="24"/>
          <w:szCs w:val="24"/>
          <w:rtl/>
        </w:rPr>
        <w:t xml:space="preserve"> </w:t>
      </w:r>
      <w:r w:rsidRPr="00F25744">
        <w:rPr>
          <w:rFonts w:cs="David" w:hint="cs"/>
          <w:sz w:val="24"/>
          <w:szCs w:val="24"/>
          <w:rtl/>
        </w:rPr>
        <w:t>שניתן לתיקי ת"א</w:t>
      </w:r>
      <w:r w:rsidR="00BC4578" w:rsidRPr="00F25744">
        <w:rPr>
          <w:rFonts w:cs="David" w:hint="cs"/>
          <w:sz w:val="24"/>
          <w:szCs w:val="24"/>
          <w:rtl/>
        </w:rPr>
        <w:t xml:space="preserve"> (אשר עמד על 21:28 שעות עבודה)</w:t>
      </w:r>
      <w:r w:rsidRPr="00F25744">
        <w:rPr>
          <w:rFonts w:cs="David" w:hint="cs"/>
          <w:sz w:val="24"/>
          <w:szCs w:val="24"/>
          <w:rtl/>
        </w:rPr>
        <w:t>, מבלי להתחשב בסוגי העניין השונים. על כן, כאמור, במסגרת מחקר זה הצלחנו</w:t>
      </w:r>
      <w:r w:rsidR="007A136C" w:rsidRPr="00F25744">
        <w:rPr>
          <w:rFonts w:cs="David" w:hint="cs"/>
          <w:sz w:val="24"/>
          <w:szCs w:val="24"/>
          <w:rtl/>
        </w:rPr>
        <w:t xml:space="preserve"> למדוד את זמני הטיפול ב</w:t>
      </w:r>
      <w:r w:rsidR="00524D16" w:rsidRPr="00F25744">
        <w:rPr>
          <w:rFonts w:cs="David" w:hint="cs"/>
          <w:b/>
          <w:bCs/>
          <w:sz w:val="24"/>
          <w:szCs w:val="24"/>
          <w:rtl/>
        </w:rPr>
        <w:t>שבעה</w:t>
      </w:r>
      <w:r w:rsidR="00524D16" w:rsidRPr="00F25744">
        <w:rPr>
          <w:rFonts w:cs="David" w:hint="cs"/>
          <w:sz w:val="24"/>
          <w:szCs w:val="24"/>
          <w:rtl/>
        </w:rPr>
        <w:t xml:space="preserve"> </w:t>
      </w:r>
      <w:r w:rsidRPr="00F25744">
        <w:rPr>
          <w:rFonts w:cs="David" w:hint="cs"/>
          <w:b/>
          <w:bCs/>
          <w:sz w:val="24"/>
          <w:szCs w:val="24"/>
          <w:rtl/>
        </w:rPr>
        <w:t>סוגי העניין המרכזיים</w:t>
      </w:r>
      <w:r w:rsidRPr="00F25744">
        <w:rPr>
          <w:rFonts w:cs="David" w:hint="cs"/>
          <w:sz w:val="24"/>
          <w:szCs w:val="24"/>
          <w:rtl/>
        </w:rPr>
        <w:t xml:space="preserve"> בתיק מסוג ת"א. </w:t>
      </w:r>
      <w:r w:rsidR="00EE2F67" w:rsidRPr="00F25744">
        <w:rPr>
          <w:rFonts w:cs="David" w:hint="cs"/>
          <w:sz w:val="24"/>
          <w:szCs w:val="24"/>
          <w:rtl/>
        </w:rPr>
        <w:t xml:space="preserve">ניתן לראות את הקטגוריות </w:t>
      </w:r>
      <w:r w:rsidR="000B2278" w:rsidRPr="00F25744">
        <w:rPr>
          <w:rFonts w:cs="David" w:hint="cs"/>
          <w:sz w:val="24"/>
          <w:szCs w:val="24"/>
          <w:rtl/>
        </w:rPr>
        <w:t xml:space="preserve">שלפיהן קובצו </w:t>
      </w:r>
      <w:r w:rsidR="00EE2F67" w:rsidRPr="00F25744">
        <w:rPr>
          <w:rFonts w:cs="David" w:hint="cs"/>
          <w:sz w:val="24"/>
          <w:szCs w:val="24"/>
          <w:rtl/>
        </w:rPr>
        <w:t xml:space="preserve">סוגי העניין השונים בתיק ת"א </w:t>
      </w:r>
      <w:r w:rsidR="000B2278" w:rsidRPr="00F25744">
        <w:rPr>
          <w:rFonts w:cs="David" w:hint="cs"/>
          <w:sz w:val="24"/>
          <w:szCs w:val="24"/>
          <w:rtl/>
        </w:rPr>
        <w:t>מחוזי ב</w:t>
      </w:r>
      <w:r w:rsidR="000B2278" w:rsidRPr="00F25744">
        <w:rPr>
          <w:rFonts w:cs="David" w:hint="cs"/>
          <w:b/>
          <w:bCs/>
          <w:sz w:val="24"/>
          <w:szCs w:val="24"/>
          <w:rtl/>
        </w:rPr>
        <w:t>נספח ו'</w:t>
      </w:r>
      <w:r w:rsidR="000B2278" w:rsidRPr="00F25744">
        <w:rPr>
          <w:rFonts w:cs="David" w:hint="cs"/>
          <w:sz w:val="24"/>
          <w:szCs w:val="24"/>
          <w:rtl/>
        </w:rPr>
        <w:t xml:space="preserve">. </w:t>
      </w:r>
    </w:p>
    <w:p w14:paraId="78E4EDF3" w14:textId="69FB86A2" w:rsidR="00EC7DB3" w:rsidRPr="00F25744" w:rsidRDefault="00E25AE7" w:rsidP="00F900D7">
      <w:pPr>
        <w:spacing w:before="120" w:after="0" w:line="360" w:lineRule="auto"/>
        <w:jc w:val="both"/>
        <w:rPr>
          <w:rFonts w:cs="David"/>
          <w:sz w:val="24"/>
          <w:szCs w:val="24"/>
          <w:rtl/>
        </w:rPr>
      </w:pPr>
      <w:r w:rsidRPr="00F25744">
        <w:rPr>
          <w:rFonts w:cs="David" w:hint="cs"/>
          <w:sz w:val="24"/>
          <w:szCs w:val="24"/>
          <w:rtl/>
        </w:rPr>
        <w:t xml:space="preserve">נזכיר, כי הזמן השיפוטי הממוצע המשוקלל שנמדד במחקר זה לגבי תיקי ת"א הנדונים במחוזי עומד על 24:12 שעות, לעומת הזמן המשוקלל שנמדד במחקר הקודם שעמד על 21:28 שעות. </w:t>
      </w:r>
      <w:r w:rsidR="007F3A52" w:rsidRPr="00F25744">
        <w:rPr>
          <w:rFonts w:cs="David" w:hint="cs"/>
          <w:sz w:val="24"/>
          <w:szCs w:val="24"/>
          <w:rtl/>
        </w:rPr>
        <w:t>בטבלה שלהלן נציג את זמני הטיפול בסוגי העניין השונים, לעומת הזמן המשוקלל שניתן לתיק מסוג ת"א במחקר הקודם. כמו כן, נציג את מגמת העלייה או הירידה מאז המחקר הקודם. ניתן לראות עלייה משמעותית ב</w:t>
      </w:r>
      <w:r w:rsidR="00437FB7" w:rsidRPr="00F25744">
        <w:rPr>
          <w:rFonts w:cs="David" w:hint="cs"/>
          <w:sz w:val="24"/>
          <w:szCs w:val="24"/>
          <w:rtl/>
        </w:rPr>
        <w:t>זמני הטיפול ב</w:t>
      </w:r>
      <w:r w:rsidR="007F3A52" w:rsidRPr="00F25744">
        <w:rPr>
          <w:rFonts w:cs="David" w:hint="cs"/>
          <w:sz w:val="24"/>
          <w:szCs w:val="24"/>
          <w:rtl/>
        </w:rPr>
        <w:t xml:space="preserve">חלק מסוגי העניין לעומת הזמן המשוקלל שניתן במסגרת המחקר הקודם, וירידה בזמני </w:t>
      </w:r>
      <w:r w:rsidR="004F3AF7" w:rsidRPr="00F25744">
        <w:rPr>
          <w:rFonts w:cs="David" w:hint="cs"/>
          <w:sz w:val="24"/>
          <w:szCs w:val="24"/>
          <w:rtl/>
        </w:rPr>
        <w:t>ה</w:t>
      </w:r>
      <w:r w:rsidR="00437FB7" w:rsidRPr="00F25744">
        <w:rPr>
          <w:rFonts w:cs="David" w:hint="cs"/>
          <w:sz w:val="24"/>
          <w:szCs w:val="24"/>
          <w:rtl/>
        </w:rPr>
        <w:t>טיפול ב</w:t>
      </w:r>
      <w:r w:rsidR="007F3A52" w:rsidRPr="00F25744">
        <w:rPr>
          <w:rFonts w:cs="David" w:hint="cs"/>
          <w:sz w:val="24"/>
          <w:szCs w:val="24"/>
          <w:rtl/>
        </w:rPr>
        <w:t>סוגי העניין האחרים</w:t>
      </w:r>
      <w:r w:rsidR="00E15A0B" w:rsidRPr="00F25744">
        <w:rPr>
          <w:rFonts w:cs="David" w:hint="cs"/>
          <w:sz w:val="24"/>
          <w:szCs w:val="24"/>
          <w:rtl/>
        </w:rPr>
        <w:t>.</w:t>
      </w:r>
      <w:r w:rsidR="007F3A52" w:rsidRPr="00F25744">
        <w:rPr>
          <w:rFonts w:cs="David" w:hint="cs"/>
          <w:sz w:val="24"/>
          <w:szCs w:val="24"/>
          <w:rtl/>
        </w:rPr>
        <w:t xml:space="preserve"> מגמה </w:t>
      </w:r>
      <w:r w:rsidR="00524D16" w:rsidRPr="00F25744">
        <w:rPr>
          <w:rFonts w:cs="David" w:hint="cs"/>
          <w:sz w:val="24"/>
          <w:szCs w:val="24"/>
          <w:rtl/>
        </w:rPr>
        <w:t xml:space="preserve">זו </w:t>
      </w:r>
      <w:r w:rsidR="007F3A52" w:rsidRPr="00F25744">
        <w:rPr>
          <w:rFonts w:cs="David" w:hint="cs"/>
          <w:sz w:val="24"/>
          <w:szCs w:val="24"/>
          <w:rtl/>
        </w:rPr>
        <w:t xml:space="preserve">מדגימה את הדיוק שהושג במחקר </w:t>
      </w:r>
      <w:r w:rsidR="00524D16" w:rsidRPr="00F25744">
        <w:rPr>
          <w:rFonts w:cs="David" w:hint="cs"/>
          <w:sz w:val="24"/>
          <w:szCs w:val="24"/>
          <w:rtl/>
        </w:rPr>
        <w:t xml:space="preserve">הנוכחי </w:t>
      </w:r>
      <w:r w:rsidR="007F3A52" w:rsidRPr="00F25744">
        <w:rPr>
          <w:rFonts w:cs="David" w:hint="cs"/>
          <w:sz w:val="24"/>
          <w:szCs w:val="24"/>
          <w:rtl/>
        </w:rPr>
        <w:t>במדידת זמני הטיפול בתיק ת"א</w:t>
      </w:r>
      <w:r w:rsidRPr="00F25744">
        <w:rPr>
          <w:rFonts w:cs="David" w:hint="cs"/>
          <w:sz w:val="24"/>
          <w:szCs w:val="24"/>
          <w:rtl/>
        </w:rPr>
        <w:t xml:space="preserve"> באמצעות הירידה לרזולוציה של סוגי העניין השונים</w:t>
      </w:r>
      <w:r w:rsidR="007F3A52" w:rsidRPr="00F25744">
        <w:rPr>
          <w:rFonts w:cs="David" w:hint="cs"/>
          <w:sz w:val="24"/>
          <w:szCs w:val="24"/>
          <w:rtl/>
        </w:rPr>
        <w:t xml:space="preserve">, </w:t>
      </w:r>
      <w:r w:rsidRPr="00F25744">
        <w:rPr>
          <w:rFonts w:cs="David" w:hint="cs"/>
          <w:sz w:val="24"/>
          <w:szCs w:val="24"/>
          <w:rtl/>
        </w:rPr>
        <w:t xml:space="preserve">ואת שיקוף השוני האמתי בטיפול בסוגי העניין השונים, ובכך גם מסבירה את העלייה בזמן המשוקלל הנוכחי לעומת הזמן המשוקלל במחקר הקודם. </w:t>
      </w:r>
    </w:p>
    <w:p w14:paraId="6DA7692E" w14:textId="77777777" w:rsidR="00A54D82" w:rsidRDefault="00A54D82" w:rsidP="00706796">
      <w:pPr>
        <w:pStyle w:val="af6"/>
        <w:rPr>
          <w:rtl/>
        </w:rPr>
      </w:pPr>
    </w:p>
    <w:p w14:paraId="14C22023" w14:textId="278A9830" w:rsidR="004B78A2" w:rsidRPr="00F25744" w:rsidRDefault="00E25AE7" w:rsidP="00706796">
      <w:pPr>
        <w:pStyle w:val="af6"/>
        <w:rPr>
          <w:rFonts w:ascii="David" w:hAnsi="David"/>
          <w:sz w:val="24"/>
          <w:rtl/>
        </w:rPr>
      </w:pPr>
      <w:bookmarkStart w:id="418" w:name="_Toc76988903"/>
      <w:r w:rsidRPr="00F25744">
        <w:rPr>
          <w:rtl/>
        </w:rPr>
        <w:t xml:space="preserve">טבלה </w:t>
      </w:r>
      <w:r w:rsidRPr="00F25744">
        <w:rPr>
          <w:rFonts w:ascii="David" w:hAnsi="David"/>
          <w:sz w:val="24"/>
          <w:rtl/>
        </w:rPr>
        <w:fldChar w:fldCharType="begin"/>
      </w:r>
      <w:r w:rsidRPr="00F25744">
        <w:rPr>
          <w:rFonts w:ascii="David" w:hAnsi="David"/>
          <w:sz w:val="24"/>
          <w:rtl/>
        </w:rPr>
        <w:instrText xml:space="preserve"> </w:instrText>
      </w:r>
      <w:r w:rsidRPr="00F25744">
        <w:rPr>
          <w:rFonts w:ascii="David" w:hAnsi="David" w:hint="cs"/>
          <w:sz w:val="24"/>
        </w:rPr>
        <w:instrText>SEQ</w:instrText>
      </w:r>
      <w:r w:rsidRPr="00F25744">
        <w:rPr>
          <w:rFonts w:ascii="David" w:hAnsi="David" w:hint="cs"/>
          <w:sz w:val="24"/>
          <w:rtl/>
        </w:rPr>
        <w:instrText xml:space="preserve"> טבלה \* </w:instrText>
      </w:r>
      <w:r w:rsidRPr="00F25744">
        <w:rPr>
          <w:rFonts w:ascii="David" w:hAnsi="David" w:hint="cs"/>
          <w:sz w:val="24"/>
        </w:rPr>
        <w:instrText>ARABIC</w:instrText>
      </w:r>
      <w:r w:rsidRPr="00F25744">
        <w:rPr>
          <w:rFonts w:ascii="David" w:hAnsi="David"/>
          <w:sz w:val="24"/>
          <w:rtl/>
        </w:rPr>
        <w:instrText xml:space="preserve"> </w:instrText>
      </w:r>
      <w:r w:rsidRPr="00F25744">
        <w:rPr>
          <w:rFonts w:ascii="David" w:hAnsi="David"/>
          <w:sz w:val="24"/>
          <w:rtl/>
        </w:rPr>
        <w:fldChar w:fldCharType="separate"/>
      </w:r>
      <w:r w:rsidR="008F1BC3">
        <w:rPr>
          <w:rFonts w:ascii="David" w:hAnsi="David"/>
          <w:noProof/>
          <w:sz w:val="24"/>
          <w:rtl/>
        </w:rPr>
        <w:t>8</w:t>
      </w:r>
      <w:r w:rsidRPr="00F25744">
        <w:rPr>
          <w:rFonts w:ascii="David" w:hAnsi="David"/>
          <w:sz w:val="24"/>
          <w:rtl/>
        </w:rPr>
        <w:fldChar w:fldCharType="end"/>
      </w:r>
      <w:r w:rsidR="007F3A52" w:rsidRPr="00F25744">
        <w:rPr>
          <w:rFonts w:ascii="David" w:hAnsi="David" w:hint="cs"/>
          <w:sz w:val="24"/>
          <w:rtl/>
        </w:rPr>
        <w:t>: זמני הטיפול בתיק ת"א בערכאת המחוזי בחלוקה לסוגי עניין</w:t>
      </w:r>
      <w:bookmarkEnd w:id="418"/>
    </w:p>
    <w:tbl>
      <w:tblPr>
        <w:tblpPr w:rightFromText="85" w:vertAnchor="text" w:tblpXSpec="right" w:tblpY="1"/>
        <w:bidiVisual/>
        <w:tblW w:w="9219" w:type="dxa"/>
        <w:tblLayout w:type="fixed"/>
        <w:tblLook w:val="04A0" w:firstRow="1" w:lastRow="0" w:firstColumn="1" w:lastColumn="0" w:noHBand="0" w:noVBand="1"/>
      </w:tblPr>
      <w:tblGrid>
        <w:gridCol w:w="851"/>
        <w:gridCol w:w="850"/>
        <w:gridCol w:w="2274"/>
        <w:gridCol w:w="1417"/>
        <w:gridCol w:w="1418"/>
        <w:gridCol w:w="1559"/>
        <w:gridCol w:w="850"/>
      </w:tblGrid>
      <w:tr w:rsidR="00E0162E" w:rsidRPr="00982FBA" w14:paraId="339B7192" w14:textId="77777777" w:rsidTr="008D6C28">
        <w:trPr>
          <w:trHeight w:val="616"/>
        </w:trPr>
        <w:tc>
          <w:tcPr>
            <w:tcW w:w="851" w:type="dxa"/>
            <w:tcBorders>
              <w:bottom w:val="single" w:sz="4" w:space="0" w:color="auto"/>
            </w:tcBorders>
            <w:shd w:val="clear" w:color="auto" w:fill="auto"/>
            <w:vAlign w:val="center"/>
            <w:hideMark/>
          </w:tcPr>
          <w:p w14:paraId="76578FB7" w14:textId="77777777" w:rsidR="00437FB7" w:rsidRPr="00982FBA" w:rsidRDefault="00E25AE7" w:rsidP="008C54E1">
            <w:pPr>
              <w:spacing w:after="0" w:line="240" w:lineRule="auto"/>
              <w:jc w:val="center"/>
              <w:rPr>
                <w:rFonts w:ascii="David" w:eastAsia="Times New Roman" w:hAnsi="David" w:cs="David"/>
                <w:b/>
                <w:bCs/>
              </w:rPr>
            </w:pPr>
            <w:r w:rsidRPr="00982FBA">
              <w:rPr>
                <w:rFonts w:ascii="David" w:eastAsia="Times New Roman" w:hAnsi="David" w:cs="David"/>
                <w:b/>
                <w:bCs/>
                <w:rtl/>
              </w:rPr>
              <w:t>ערכאה</w:t>
            </w:r>
          </w:p>
        </w:tc>
        <w:tc>
          <w:tcPr>
            <w:tcW w:w="850" w:type="dxa"/>
            <w:tcBorders>
              <w:bottom w:val="single" w:sz="4" w:space="0" w:color="auto"/>
            </w:tcBorders>
            <w:shd w:val="clear" w:color="auto" w:fill="auto"/>
            <w:vAlign w:val="center"/>
            <w:hideMark/>
          </w:tcPr>
          <w:p w14:paraId="1831633F" w14:textId="77777777" w:rsidR="00437FB7" w:rsidRPr="00982FBA" w:rsidRDefault="00E25AE7" w:rsidP="008C54E1">
            <w:pPr>
              <w:spacing w:after="0" w:line="240" w:lineRule="auto"/>
              <w:jc w:val="center"/>
              <w:rPr>
                <w:rFonts w:ascii="David" w:eastAsia="Times New Roman" w:hAnsi="David" w:cs="David"/>
                <w:b/>
                <w:bCs/>
                <w:rtl/>
              </w:rPr>
            </w:pPr>
            <w:r w:rsidRPr="00982FBA">
              <w:rPr>
                <w:rFonts w:ascii="David" w:eastAsia="Times New Roman" w:hAnsi="David" w:cs="David"/>
                <w:b/>
                <w:bCs/>
                <w:rtl/>
              </w:rPr>
              <w:t>הליך</w:t>
            </w:r>
          </w:p>
        </w:tc>
        <w:tc>
          <w:tcPr>
            <w:tcW w:w="2274" w:type="dxa"/>
            <w:tcBorders>
              <w:bottom w:val="single" w:sz="4" w:space="0" w:color="auto"/>
            </w:tcBorders>
            <w:shd w:val="clear" w:color="auto" w:fill="auto"/>
            <w:vAlign w:val="center"/>
            <w:hideMark/>
          </w:tcPr>
          <w:p w14:paraId="39B91837" w14:textId="77777777" w:rsidR="00437FB7" w:rsidRPr="00982FBA" w:rsidRDefault="00E25AE7" w:rsidP="008C54E1">
            <w:pPr>
              <w:spacing w:after="0" w:line="240" w:lineRule="auto"/>
              <w:jc w:val="center"/>
              <w:rPr>
                <w:rFonts w:ascii="David" w:eastAsia="Times New Roman" w:hAnsi="David" w:cs="David"/>
                <w:b/>
                <w:bCs/>
                <w:rtl/>
              </w:rPr>
            </w:pPr>
            <w:r w:rsidRPr="00982FBA">
              <w:rPr>
                <w:rFonts w:ascii="David" w:eastAsia="Times New Roman" w:hAnsi="David" w:cs="David"/>
                <w:b/>
                <w:bCs/>
                <w:rtl/>
              </w:rPr>
              <w:t>סוג תיק</w:t>
            </w:r>
          </w:p>
        </w:tc>
        <w:tc>
          <w:tcPr>
            <w:tcW w:w="1417" w:type="dxa"/>
            <w:tcBorders>
              <w:bottom w:val="single" w:sz="4" w:space="0" w:color="auto"/>
            </w:tcBorders>
            <w:vAlign w:val="center"/>
          </w:tcPr>
          <w:p w14:paraId="0CE2D5E4" w14:textId="77777777" w:rsidR="00437FB7" w:rsidRPr="00982FBA" w:rsidRDefault="00437FB7" w:rsidP="008C54E1">
            <w:pPr>
              <w:spacing w:after="0" w:line="240" w:lineRule="auto"/>
              <w:jc w:val="center"/>
              <w:rPr>
                <w:rFonts w:ascii="David" w:eastAsia="Times New Roman" w:hAnsi="David" w:cs="David"/>
                <w:b/>
                <w:bCs/>
                <w:rtl/>
              </w:rPr>
            </w:pPr>
          </w:p>
          <w:p w14:paraId="7534527C" w14:textId="77777777" w:rsidR="00437FB7" w:rsidRPr="00982FBA" w:rsidRDefault="00E25AE7" w:rsidP="008C54E1">
            <w:pPr>
              <w:spacing w:after="0" w:line="240" w:lineRule="auto"/>
              <w:jc w:val="center"/>
              <w:rPr>
                <w:rFonts w:ascii="David" w:eastAsia="Times New Roman" w:hAnsi="David" w:cs="David"/>
                <w:b/>
                <w:bCs/>
                <w:rtl/>
              </w:rPr>
            </w:pPr>
            <w:r w:rsidRPr="00982FBA">
              <w:rPr>
                <w:rFonts w:ascii="David" w:eastAsia="Times New Roman" w:hAnsi="David" w:cs="David" w:hint="cs"/>
                <w:b/>
                <w:bCs/>
                <w:rtl/>
              </w:rPr>
              <w:t>מספר תיקים שנסגרו ב-2019</w:t>
            </w:r>
          </w:p>
        </w:tc>
        <w:tc>
          <w:tcPr>
            <w:tcW w:w="1418" w:type="dxa"/>
            <w:tcBorders>
              <w:bottom w:val="single" w:sz="4" w:space="0" w:color="auto"/>
            </w:tcBorders>
            <w:shd w:val="clear" w:color="auto" w:fill="auto"/>
            <w:vAlign w:val="center"/>
            <w:hideMark/>
          </w:tcPr>
          <w:p w14:paraId="734D43E6" w14:textId="77777777" w:rsidR="00437FB7" w:rsidRPr="00982FBA" w:rsidRDefault="00E25AE7" w:rsidP="008C54E1">
            <w:pPr>
              <w:spacing w:after="0" w:line="240" w:lineRule="auto"/>
              <w:jc w:val="center"/>
              <w:rPr>
                <w:rFonts w:ascii="David" w:eastAsia="Times New Roman" w:hAnsi="David" w:cs="David"/>
                <w:b/>
                <w:bCs/>
                <w:rtl/>
              </w:rPr>
            </w:pPr>
            <w:r w:rsidRPr="00982FBA">
              <w:rPr>
                <w:rFonts w:ascii="David" w:eastAsia="Times New Roman" w:hAnsi="David" w:cs="David"/>
                <w:b/>
                <w:bCs/>
                <w:rtl/>
              </w:rPr>
              <w:t>הזמן השיפוטי הממוצע לט</w:t>
            </w:r>
            <w:r w:rsidRPr="00982FBA">
              <w:rPr>
                <w:rFonts w:ascii="David" w:eastAsia="Times New Roman" w:hAnsi="David" w:cs="David" w:hint="cs"/>
                <w:b/>
                <w:bCs/>
                <w:rtl/>
              </w:rPr>
              <w:t>י</w:t>
            </w:r>
            <w:r w:rsidRPr="00982FBA">
              <w:rPr>
                <w:rFonts w:ascii="David" w:eastAsia="Times New Roman" w:hAnsi="David" w:cs="David"/>
                <w:b/>
                <w:bCs/>
                <w:rtl/>
              </w:rPr>
              <w:t>פ</w:t>
            </w:r>
            <w:r w:rsidRPr="00982FBA">
              <w:rPr>
                <w:rFonts w:ascii="David" w:eastAsia="Times New Roman" w:hAnsi="David" w:cs="David" w:hint="cs"/>
                <w:b/>
                <w:bCs/>
                <w:rtl/>
              </w:rPr>
              <w:t>ו</w:t>
            </w:r>
            <w:r w:rsidRPr="00982FBA">
              <w:rPr>
                <w:rFonts w:ascii="David" w:eastAsia="Times New Roman" w:hAnsi="David" w:cs="David"/>
                <w:b/>
                <w:bCs/>
                <w:rtl/>
              </w:rPr>
              <w:t>ל בתיק</w:t>
            </w:r>
          </w:p>
        </w:tc>
        <w:tc>
          <w:tcPr>
            <w:tcW w:w="1559" w:type="dxa"/>
            <w:tcBorders>
              <w:bottom w:val="single" w:sz="4" w:space="0" w:color="auto"/>
            </w:tcBorders>
            <w:vAlign w:val="center"/>
          </w:tcPr>
          <w:p w14:paraId="7632BB46" w14:textId="77777777" w:rsidR="00437FB7" w:rsidRPr="00982FBA" w:rsidRDefault="00E25AE7" w:rsidP="008C54E1">
            <w:pPr>
              <w:spacing w:after="0" w:line="240" w:lineRule="auto"/>
              <w:jc w:val="center"/>
              <w:rPr>
                <w:rFonts w:ascii="David" w:eastAsia="Times New Roman" w:hAnsi="David" w:cs="David"/>
                <w:b/>
                <w:bCs/>
                <w:rtl/>
              </w:rPr>
            </w:pPr>
            <w:r w:rsidRPr="00982FBA">
              <w:rPr>
                <w:rFonts w:ascii="David" w:eastAsia="Times New Roman" w:hAnsi="David" w:cs="David"/>
                <w:b/>
                <w:bCs/>
                <w:rtl/>
              </w:rPr>
              <w:t xml:space="preserve">הזמן השיפוטי </w:t>
            </w:r>
            <w:r w:rsidRPr="00982FBA">
              <w:rPr>
                <w:rFonts w:ascii="David" w:eastAsia="Times New Roman" w:hAnsi="David" w:cs="David" w:hint="cs"/>
                <w:b/>
                <w:bCs/>
                <w:rtl/>
              </w:rPr>
              <w:t xml:space="preserve">הממוצע </w:t>
            </w:r>
            <w:r w:rsidR="004F3AF7" w:rsidRPr="00982FBA">
              <w:rPr>
                <w:rFonts w:ascii="David" w:eastAsia="Times New Roman" w:hAnsi="David" w:cs="David" w:hint="cs"/>
                <w:b/>
                <w:bCs/>
                <w:u w:val="single"/>
                <w:rtl/>
              </w:rPr>
              <w:t>המשוקלל</w:t>
            </w:r>
            <w:r w:rsidR="004F3AF7" w:rsidRPr="00982FBA">
              <w:rPr>
                <w:rFonts w:ascii="David" w:eastAsia="Times New Roman" w:hAnsi="David" w:cs="David" w:hint="cs"/>
                <w:b/>
                <w:bCs/>
                <w:rtl/>
              </w:rPr>
              <w:t xml:space="preserve"> </w:t>
            </w:r>
            <w:r w:rsidRPr="00982FBA">
              <w:rPr>
                <w:rFonts w:ascii="David" w:eastAsia="Times New Roman" w:hAnsi="David" w:cs="David"/>
                <w:b/>
                <w:bCs/>
                <w:rtl/>
              </w:rPr>
              <w:t xml:space="preserve">לפי </w:t>
            </w:r>
            <w:r w:rsidRPr="00982FBA">
              <w:rPr>
                <w:rFonts w:ascii="David" w:eastAsia="Times New Roman" w:hAnsi="David" w:cs="David" w:hint="cs"/>
                <w:b/>
                <w:bCs/>
                <w:rtl/>
              </w:rPr>
              <w:t>ה</w:t>
            </w:r>
            <w:r w:rsidRPr="00982FBA">
              <w:rPr>
                <w:rFonts w:ascii="David" w:eastAsia="Times New Roman" w:hAnsi="David" w:cs="David"/>
                <w:b/>
                <w:bCs/>
                <w:rtl/>
              </w:rPr>
              <w:t>מחקר ה</w:t>
            </w:r>
            <w:r w:rsidRPr="00982FBA">
              <w:rPr>
                <w:rFonts w:ascii="David" w:eastAsia="Times New Roman" w:hAnsi="David" w:cs="David" w:hint="cs"/>
                <w:b/>
                <w:bCs/>
                <w:rtl/>
              </w:rPr>
              <w:t>קודם</w:t>
            </w:r>
          </w:p>
        </w:tc>
        <w:tc>
          <w:tcPr>
            <w:tcW w:w="850" w:type="dxa"/>
            <w:tcBorders>
              <w:bottom w:val="single" w:sz="4" w:space="0" w:color="auto"/>
            </w:tcBorders>
            <w:vAlign w:val="center"/>
          </w:tcPr>
          <w:p w14:paraId="13475BDA" w14:textId="77777777" w:rsidR="00437FB7" w:rsidRPr="00982FBA" w:rsidRDefault="00E25AE7" w:rsidP="008C54E1">
            <w:pPr>
              <w:spacing w:after="0" w:line="240" w:lineRule="auto"/>
              <w:jc w:val="center"/>
              <w:rPr>
                <w:rFonts w:ascii="David" w:eastAsia="Times New Roman" w:hAnsi="David" w:cs="David"/>
                <w:b/>
                <w:bCs/>
                <w:rtl/>
              </w:rPr>
            </w:pPr>
            <w:r w:rsidRPr="00982FBA">
              <w:rPr>
                <w:rFonts w:ascii="David" w:eastAsia="Times New Roman" w:hAnsi="David" w:cs="David"/>
                <w:b/>
                <w:bCs/>
                <w:rtl/>
              </w:rPr>
              <w:t xml:space="preserve">מגמת </w:t>
            </w:r>
            <w:r w:rsidRPr="00982FBA">
              <w:rPr>
                <w:rFonts w:ascii="David" w:eastAsia="Times New Roman" w:hAnsi="David" w:cs="David" w:hint="cs"/>
                <w:b/>
                <w:bCs/>
                <w:rtl/>
              </w:rPr>
              <w:t>ה</w:t>
            </w:r>
            <w:r w:rsidRPr="00982FBA">
              <w:rPr>
                <w:rFonts w:ascii="David" w:eastAsia="Times New Roman" w:hAnsi="David" w:cs="David"/>
                <w:b/>
                <w:bCs/>
                <w:rtl/>
              </w:rPr>
              <w:t>שינוי</w:t>
            </w:r>
          </w:p>
        </w:tc>
      </w:tr>
      <w:tr w:rsidR="00E0162E" w:rsidRPr="00982FBA" w14:paraId="3764CDFE" w14:textId="77777777" w:rsidTr="008D6C28">
        <w:trPr>
          <w:trHeight w:val="77"/>
        </w:trPr>
        <w:tc>
          <w:tcPr>
            <w:tcW w:w="851" w:type="dxa"/>
            <w:tcBorders>
              <w:top w:val="single" w:sz="4" w:space="0" w:color="auto"/>
              <w:bottom w:val="single" w:sz="4" w:space="0" w:color="auto"/>
            </w:tcBorders>
            <w:shd w:val="clear" w:color="auto" w:fill="D9D9D9"/>
            <w:noWrap/>
            <w:vAlign w:val="center"/>
          </w:tcPr>
          <w:p w14:paraId="6D60AA6E" w14:textId="77777777" w:rsidR="00437FB7" w:rsidRPr="00982FBA" w:rsidRDefault="00E25AE7" w:rsidP="008C54E1">
            <w:pPr>
              <w:spacing w:after="0" w:line="240" w:lineRule="auto"/>
              <w:rPr>
                <w:rFonts w:ascii="David" w:hAnsi="David" w:cs="David"/>
              </w:rPr>
            </w:pPr>
            <w:r w:rsidRPr="00982FBA">
              <w:rPr>
                <w:rFonts w:ascii="David" w:hAnsi="David" w:cs="David"/>
                <w:rtl/>
              </w:rPr>
              <w:t>מחוזי</w:t>
            </w:r>
          </w:p>
        </w:tc>
        <w:tc>
          <w:tcPr>
            <w:tcW w:w="850" w:type="dxa"/>
            <w:tcBorders>
              <w:top w:val="single" w:sz="4" w:space="0" w:color="auto"/>
              <w:bottom w:val="single" w:sz="4" w:space="0" w:color="auto"/>
            </w:tcBorders>
            <w:shd w:val="clear" w:color="auto" w:fill="D9D9D9"/>
            <w:noWrap/>
            <w:vAlign w:val="center"/>
          </w:tcPr>
          <w:p w14:paraId="3077273D" w14:textId="77777777" w:rsidR="00437FB7" w:rsidRPr="00982FBA" w:rsidRDefault="00E25AE7" w:rsidP="008C54E1">
            <w:pPr>
              <w:rPr>
                <w:rFonts w:ascii="David" w:hAnsi="David" w:cs="David"/>
                <w:rtl/>
              </w:rPr>
            </w:pPr>
            <w:r w:rsidRPr="00982FBA">
              <w:rPr>
                <w:rFonts w:ascii="David" w:hAnsi="David" w:cs="David"/>
                <w:rtl/>
              </w:rPr>
              <w:t>אזרחי</w:t>
            </w:r>
          </w:p>
        </w:tc>
        <w:tc>
          <w:tcPr>
            <w:tcW w:w="2274" w:type="dxa"/>
            <w:tcBorders>
              <w:top w:val="single" w:sz="4" w:space="0" w:color="auto"/>
              <w:bottom w:val="single" w:sz="4" w:space="0" w:color="auto"/>
            </w:tcBorders>
            <w:shd w:val="clear" w:color="auto" w:fill="D9D9D9"/>
            <w:vAlign w:val="center"/>
          </w:tcPr>
          <w:p w14:paraId="66290A94" w14:textId="77777777" w:rsidR="00437FB7" w:rsidRPr="00982FBA" w:rsidRDefault="00E25AE7" w:rsidP="008C54E1">
            <w:pPr>
              <w:spacing w:after="0" w:line="240" w:lineRule="auto"/>
              <w:rPr>
                <w:rFonts w:ascii="David" w:hAnsi="David" w:cs="David"/>
                <w:rtl/>
              </w:rPr>
            </w:pPr>
            <w:r w:rsidRPr="00982FBA">
              <w:rPr>
                <w:rFonts w:ascii="David" w:hAnsi="David" w:cs="David"/>
                <w:rtl/>
              </w:rPr>
              <w:t xml:space="preserve">תיק אזרחי בסדר דין רגיל (ת"א) - </w:t>
            </w:r>
            <w:r w:rsidRPr="00982FBA">
              <w:rPr>
                <w:rFonts w:ascii="David" w:hAnsi="David" w:cs="David"/>
                <w:b/>
                <w:bCs/>
                <w:rtl/>
              </w:rPr>
              <w:t>תביעה כספית</w:t>
            </w:r>
          </w:p>
        </w:tc>
        <w:tc>
          <w:tcPr>
            <w:tcW w:w="1417" w:type="dxa"/>
            <w:tcBorders>
              <w:top w:val="single" w:sz="4" w:space="0" w:color="auto"/>
              <w:bottom w:val="single" w:sz="4" w:space="0" w:color="auto"/>
            </w:tcBorders>
            <w:shd w:val="clear" w:color="auto" w:fill="D9D9D9"/>
            <w:vAlign w:val="center"/>
          </w:tcPr>
          <w:p w14:paraId="4F87AB2D" w14:textId="77777777" w:rsidR="00437FB7" w:rsidRPr="00982FBA" w:rsidRDefault="00E25AE7" w:rsidP="008C54E1">
            <w:pPr>
              <w:spacing w:after="0" w:line="240" w:lineRule="auto"/>
              <w:jc w:val="center"/>
              <w:rPr>
                <w:rFonts w:ascii="David" w:hAnsi="David" w:cs="David"/>
              </w:rPr>
            </w:pPr>
            <w:r w:rsidRPr="00982FBA">
              <w:rPr>
                <w:rFonts w:ascii="David" w:hAnsi="David" w:cs="David"/>
              </w:rPr>
              <w:t>1</w:t>
            </w:r>
            <w:r w:rsidR="001777A9" w:rsidRPr="00982FBA">
              <w:rPr>
                <w:rFonts w:ascii="David" w:hAnsi="David" w:cs="David"/>
              </w:rPr>
              <w:t>,</w:t>
            </w:r>
            <w:r w:rsidRPr="00982FBA">
              <w:rPr>
                <w:rFonts w:ascii="David" w:hAnsi="David" w:cs="David"/>
              </w:rPr>
              <w:t>191</w:t>
            </w:r>
          </w:p>
        </w:tc>
        <w:tc>
          <w:tcPr>
            <w:tcW w:w="1418" w:type="dxa"/>
            <w:tcBorders>
              <w:top w:val="single" w:sz="4" w:space="0" w:color="auto"/>
              <w:bottom w:val="single" w:sz="4" w:space="0" w:color="auto"/>
            </w:tcBorders>
            <w:shd w:val="clear" w:color="auto" w:fill="D9D9D9"/>
            <w:noWrap/>
            <w:vAlign w:val="center"/>
          </w:tcPr>
          <w:p w14:paraId="22BECE44" w14:textId="77777777" w:rsidR="00437FB7" w:rsidRPr="00982FBA" w:rsidRDefault="005B3BC2" w:rsidP="008C54E1">
            <w:pPr>
              <w:spacing w:after="0" w:line="240" w:lineRule="auto"/>
              <w:jc w:val="center"/>
              <w:rPr>
                <w:rFonts w:ascii="David" w:hAnsi="David" w:cs="David"/>
                <w:b/>
                <w:bCs/>
              </w:rPr>
            </w:pPr>
            <w:r w:rsidRPr="00982FBA">
              <w:rPr>
                <w:rFonts w:ascii="David" w:hAnsi="David" w:cs="David" w:hint="cs"/>
                <w:b/>
                <w:bCs/>
                <w:rtl/>
              </w:rPr>
              <w:t>36:17</w:t>
            </w:r>
          </w:p>
        </w:tc>
        <w:tc>
          <w:tcPr>
            <w:tcW w:w="1559" w:type="dxa"/>
            <w:tcBorders>
              <w:top w:val="single" w:sz="4" w:space="0" w:color="auto"/>
              <w:bottom w:val="single" w:sz="4" w:space="0" w:color="auto"/>
            </w:tcBorders>
            <w:shd w:val="clear" w:color="auto" w:fill="D9D9D9"/>
            <w:vAlign w:val="center"/>
          </w:tcPr>
          <w:p w14:paraId="0CFBD648" w14:textId="77777777" w:rsidR="00437FB7" w:rsidRPr="00982FBA" w:rsidRDefault="00E25AE7" w:rsidP="008C54E1">
            <w:pPr>
              <w:spacing w:after="0" w:line="240" w:lineRule="auto"/>
              <w:jc w:val="center"/>
              <w:rPr>
                <w:rFonts w:ascii="David" w:hAnsi="David" w:cs="David"/>
              </w:rPr>
            </w:pPr>
            <w:r w:rsidRPr="00982FBA">
              <w:rPr>
                <w:rFonts w:ascii="David" w:hAnsi="David" w:cs="David"/>
              </w:rPr>
              <w:t>21:28</w:t>
            </w:r>
          </w:p>
        </w:tc>
        <w:tc>
          <w:tcPr>
            <w:tcW w:w="850" w:type="dxa"/>
            <w:tcBorders>
              <w:top w:val="single" w:sz="4" w:space="0" w:color="auto"/>
              <w:bottom w:val="single" w:sz="4" w:space="0" w:color="auto"/>
            </w:tcBorders>
            <w:shd w:val="clear" w:color="auto" w:fill="D9D9D9"/>
            <w:vAlign w:val="center"/>
          </w:tcPr>
          <w:p w14:paraId="345837E3" w14:textId="77777777" w:rsidR="00437FB7" w:rsidRPr="00982FBA" w:rsidRDefault="00E25AE7" w:rsidP="008C54E1">
            <w:pPr>
              <w:spacing w:after="0" w:line="240" w:lineRule="auto"/>
              <w:jc w:val="center"/>
              <w:rPr>
                <w:rFonts w:ascii="David" w:hAnsi="David" w:cs="David"/>
              </w:rPr>
            </w:pPr>
            <w:r w:rsidRPr="00982FBA">
              <w:rPr>
                <w:rFonts w:ascii="David" w:hAnsi="David" w:cs="David"/>
              </w:rPr>
              <w:t>+</w:t>
            </w:r>
            <w:r w:rsidR="005956C6" w:rsidRPr="00982FBA">
              <w:rPr>
                <w:rFonts w:ascii="David" w:hAnsi="David" w:cs="David"/>
              </w:rPr>
              <w:t>14</w:t>
            </w:r>
            <w:r w:rsidRPr="00982FBA">
              <w:rPr>
                <w:rFonts w:ascii="David" w:hAnsi="David" w:cs="David"/>
              </w:rPr>
              <w:t>:</w:t>
            </w:r>
            <w:r w:rsidR="005956C6" w:rsidRPr="00982FBA">
              <w:rPr>
                <w:rFonts w:ascii="David" w:hAnsi="David" w:cs="David"/>
              </w:rPr>
              <w:t>49</w:t>
            </w:r>
          </w:p>
        </w:tc>
      </w:tr>
      <w:tr w:rsidR="00E0162E" w:rsidRPr="00982FBA" w14:paraId="7B23CA02" w14:textId="77777777" w:rsidTr="008D6C28">
        <w:trPr>
          <w:trHeight w:val="300"/>
        </w:trPr>
        <w:tc>
          <w:tcPr>
            <w:tcW w:w="851" w:type="dxa"/>
            <w:tcBorders>
              <w:top w:val="single" w:sz="4" w:space="0" w:color="auto"/>
              <w:bottom w:val="single" w:sz="4" w:space="0" w:color="auto"/>
            </w:tcBorders>
            <w:shd w:val="clear" w:color="auto" w:fill="auto"/>
            <w:noWrap/>
            <w:vAlign w:val="center"/>
          </w:tcPr>
          <w:p w14:paraId="313F4A8A" w14:textId="77777777" w:rsidR="00437FB7" w:rsidRPr="00982FBA" w:rsidRDefault="00E25AE7" w:rsidP="008C54E1">
            <w:pPr>
              <w:spacing w:after="0" w:line="240" w:lineRule="auto"/>
              <w:rPr>
                <w:rFonts w:ascii="David" w:hAnsi="David" w:cs="David"/>
              </w:rPr>
            </w:pPr>
            <w:r w:rsidRPr="00982FBA">
              <w:rPr>
                <w:rFonts w:ascii="David" w:hAnsi="David" w:cs="David"/>
                <w:rtl/>
              </w:rPr>
              <w:t>מחוזי</w:t>
            </w:r>
          </w:p>
        </w:tc>
        <w:tc>
          <w:tcPr>
            <w:tcW w:w="850" w:type="dxa"/>
            <w:tcBorders>
              <w:top w:val="single" w:sz="4" w:space="0" w:color="auto"/>
              <w:bottom w:val="single" w:sz="4" w:space="0" w:color="auto"/>
            </w:tcBorders>
            <w:shd w:val="clear" w:color="auto" w:fill="auto"/>
            <w:noWrap/>
            <w:vAlign w:val="center"/>
          </w:tcPr>
          <w:p w14:paraId="641B4BA0" w14:textId="77777777" w:rsidR="00437FB7" w:rsidRPr="00982FBA" w:rsidRDefault="00E25AE7" w:rsidP="008C54E1">
            <w:pPr>
              <w:rPr>
                <w:rFonts w:ascii="David" w:hAnsi="David" w:cs="David"/>
              </w:rPr>
            </w:pPr>
            <w:r w:rsidRPr="00982FBA">
              <w:rPr>
                <w:rFonts w:ascii="David" w:hAnsi="David" w:cs="David"/>
                <w:rtl/>
              </w:rPr>
              <w:t>אזרחי</w:t>
            </w:r>
          </w:p>
        </w:tc>
        <w:tc>
          <w:tcPr>
            <w:tcW w:w="2274" w:type="dxa"/>
            <w:tcBorders>
              <w:top w:val="single" w:sz="4" w:space="0" w:color="auto"/>
              <w:bottom w:val="single" w:sz="4" w:space="0" w:color="auto"/>
            </w:tcBorders>
            <w:shd w:val="clear" w:color="auto" w:fill="auto"/>
            <w:vAlign w:val="center"/>
          </w:tcPr>
          <w:p w14:paraId="06311B82" w14:textId="77777777" w:rsidR="00437FB7" w:rsidRPr="00982FBA" w:rsidRDefault="00E25AE7" w:rsidP="008C54E1">
            <w:pPr>
              <w:spacing w:after="0" w:line="240" w:lineRule="auto"/>
              <w:rPr>
                <w:rFonts w:ascii="David" w:hAnsi="David" w:cs="David"/>
                <w:rtl/>
              </w:rPr>
            </w:pPr>
            <w:r w:rsidRPr="00982FBA">
              <w:rPr>
                <w:rFonts w:ascii="David" w:hAnsi="David" w:cs="David"/>
                <w:rtl/>
              </w:rPr>
              <w:t xml:space="preserve">תיק אזרחי בסדר דין רגיל (ת"א) - </w:t>
            </w:r>
            <w:r w:rsidRPr="00982FBA">
              <w:rPr>
                <w:rFonts w:ascii="David" w:hAnsi="David" w:cs="David"/>
                <w:b/>
                <w:bCs/>
                <w:rtl/>
              </w:rPr>
              <w:t>נזקי גוף - חבויות</w:t>
            </w:r>
          </w:p>
        </w:tc>
        <w:tc>
          <w:tcPr>
            <w:tcW w:w="1417" w:type="dxa"/>
            <w:tcBorders>
              <w:top w:val="single" w:sz="4" w:space="0" w:color="auto"/>
              <w:bottom w:val="single" w:sz="4" w:space="0" w:color="auto"/>
            </w:tcBorders>
            <w:vAlign w:val="center"/>
          </w:tcPr>
          <w:p w14:paraId="24F910A9" w14:textId="77777777" w:rsidR="00437FB7" w:rsidRPr="00982FBA" w:rsidRDefault="00E25AE7" w:rsidP="008C54E1">
            <w:pPr>
              <w:spacing w:after="0" w:line="240" w:lineRule="auto"/>
              <w:jc w:val="center"/>
              <w:rPr>
                <w:rFonts w:ascii="David" w:hAnsi="David" w:cs="David"/>
                <w:rtl/>
              </w:rPr>
            </w:pPr>
            <w:r w:rsidRPr="00982FBA">
              <w:rPr>
                <w:rFonts w:ascii="David" w:hAnsi="David" w:cs="David" w:hint="cs"/>
                <w:rtl/>
              </w:rPr>
              <w:t>453</w:t>
            </w:r>
          </w:p>
        </w:tc>
        <w:tc>
          <w:tcPr>
            <w:tcW w:w="1418" w:type="dxa"/>
            <w:tcBorders>
              <w:top w:val="single" w:sz="4" w:space="0" w:color="auto"/>
              <w:bottom w:val="single" w:sz="4" w:space="0" w:color="auto"/>
            </w:tcBorders>
            <w:shd w:val="clear" w:color="auto" w:fill="auto"/>
            <w:noWrap/>
            <w:vAlign w:val="center"/>
          </w:tcPr>
          <w:p w14:paraId="0200F359" w14:textId="77777777" w:rsidR="00437FB7" w:rsidRPr="00982FBA" w:rsidRDefault="00E25AE7" w:rsidP="008C54E1">
            <w:pPr>
              <w:spacing w:after="0" w:line="240" w:lineRule="auto"/>
              <w:jc w:val="center"/>
              <w:rPr>
                <w:rFonts w:ascii="David" w:hAnsi="David" w:cs="David"/>
                <w:b/>
                <w:bCs/>
              </w:rPr>
            </w:pPr>
            <w:r w:rsidRPr="00982FBA">
              <w:rPr>
                <w:rFonts w:ascii="David" w:hAnsi="David" w:cs="David"/>
                <w:b/>
                <w:bCs/>
              </w:rPr>
              <w:t>2</w:t>
            </w:r>
            <w:r w:rsidR="005B3BC2" w:rsidRPr="00982FBA">
              <w:rPr>
                <w:rFonts w:ascii="David" w:hAnsi="David" w:cs="David"/>
                <w:b/>
                <w:bCs/>
              </w:rPr>
              <w:t>7</w:t>
            </w:r>
            <w:r w:rsidRPr="00982FBA">
              <w:rPr>
                <w:rFonts w:ascii="David" w:hAnsi="David" w:cs="David"/>
                <w:b/>
                <w:bCs/>
              </w:rPr>
              <w:t>:2</w:t>
            </w:r>
            <w:r w:rsidR="005956C6" w:rsidRPr="00982FBA">
              <w:rPr>
                <w:rFonts w:ascii="David" w:hAnsi="David" w:cs="David"/>
                <w:b/>
                <w:bCs/>
              </w:rPr>
              <w:t>7</w:t>
            </w:r>
          </w:p>
        </w:tc>
        <w:tc>
          <w:tcPr>
            <w:tcW w:w="1559" w:type="dxa"/>
            <w:tcBorders>
              <w:top w:val="single" w:sz="4" w:space="0" w:color="auto"/>
              <w:bottom w:val="single" w:sz="4" w:space="0" w:color="auto"/>
            </w:tcBorders>
            <w:vAlign w:val="center"/>
          </w:tcPr>
          <w:p w14:paraId="79844989" w14:textId="77777777" w:rsidR="00437FB7" w:rsidRPr="00982FBA" w:rsidRDefault="00E25AE7" w:rsidP="008C54E1">
            <w:pPr>
              <w:spacing w:after="0" w:line="240" w:lineRule="auto"/>
              <w:jc w:val="center"/>
              <w:rPr>
                <w:rFonts w:ascii="David" w:hAnsi="David" w:cs="David"/>
              </w:rPr>
            </w:pPr>
            <w:r w:rsidRPr="00982FBA">
              <w:rPr>
                <w:rFonts w:ascii="David" w:hAnsi="David" w:cs="David"/>
              </w:rPr>
              <w:t>21:28</w:t>
            </w:r>
          </w:p>
        </w:tc>
        <w:tc>
          <w:tcPr>
            <w:tcW w:w="850" w:type="dxa"/>
            <w:tcBorders>
              <w:top w:val="single" w:sz="4" w:space="0" w:color="auto"/>
              <w:bottom w:val="single" w:sz="4" w:space="0" w:color="auto"/>
            </w:tcBorders>
            <w:vAlign w:val="center"/>
          </w:tcPr>
          <w:p w14:paraId="6306136B" w14:textId="77777777" w:rsidR="00437FB7" w:rsidRPr="00982FBA" w:rsidRDefault="00E25AE7" w:rsidP="008C54E1">
            <w:pPr>
              <w:spacing w:after="0" w:line="240" w:lineRule="auto"/>
              <w:jc w:val="center"/>
              <w:rPr>
                <w:rFonts w:ascii="David" w:hAnsi="David" w:cs="David"/>
              </w:rPr>
            </w:pPr>
            <w:r w:rsidRPr="00982FBA">
              <w:rPr>
                <w:rFonts w:ascii="David" w:hAnsi="David" w:cs="David"/>
              </w:rPr>
              <w:t>+</w:t>
            </w:r>
            <w:r w:rsidR="005956C6" w:rsidRPr="00982FBA">
              <w:rPr>
                <w:rFonts w:ascii="David" w:hAnsi="David" w:cs="David"/>
              </w:rPr>
              <w:t>5</w:t>
            </w:r>
            <w:r w:rsidRPr="00982FBA">
              <w:rPr>
                <w:rFonts w:ascii="David" w:hAnsi="David" w:cs="David"/>
              </w:rPr>
              <w:t>:5</w:t>
            </w:r>
            <w:r w:rsidR="005956C6" w:rsidRPr="00982FBA">
              <w:rPr>
                <w:rFonts w:ascii="David" w:hAnsi="David" w:cs="David"/>
              </w:rPr>
              <w:t>9</w:t>
            </w:r>
          </w:p>
        </w:tc>
      </w:tr>
      <w:tr w:rsidR="00EB7454" w:rsidRPr="00982FBA" w14:paraId="13A14763" w14:textId="77777777" w:rsidTr="008D6C28">
        <w:trPr>
          <w:trHeight w:val="300"/>
        </w:trPr>
        <w:tc>
          <w:tcPr>
            <w:tcW w:w="851" w:type="dxa"/>
            <w:tcBorders>
              <w:top w:val="single" w:sz="4" w:space="0" w:color="auto"/>
              <w:bottom w:val="single" w:sz="4" w:space="0" w:color="auto"/>
            </w:tcBorders>
            <w:shd w:val="clear" w:color="auto" w:fill="DBDBDB" w:themeFill="accent3" w:themeFillTint="66"/>
            <w:noWrap/>
            <w:vAlign w:val="center"/>
          </w:tcPr>
          <w:p w14:paraId="27099C46" w14:textId="77777777" w:rsidR="00EB7454" w:rsidRPr="00982FBA" w:rsidRDefault="00EB7454" w:rsidP="008C54E1">
            <w:pPr>
              <w:spacing w:after="0" w:line="240" w:lineRule="auto"/>
              <w:rPr>
                <w:rFonts w:ascii="David" w:hAnsi="David" w:cs="David"/>
                <w:rtl/>
              </w:rPr>
            </w:pPr>
            <w:r w:rsidRPr="00982FBA">
              <w:rPr>
                <w:rFonts w:ascii="David" w:hAnsi="David" w:cs="David"/>
                <w:rtl/>
              </w:rPr>
              <w:t>מחוזי</w:t>
            </w:r>
          </w:p>
        </w:tc>
        <w:tc>
          <w:tcPr>
            <w:tcW w:w="850" w:type="dxa"/>
            <w:tcBorders>
              <w:top w:val="single" w:sz="4" w:space="0" w:color="auto"/>
              <w:bottom w:val="single" w:sz="4" w:space="0" w:color="auto"/>
            </w:tcBorders>
            <w:shd w:val="clear" w:color="auto" w:fill="DBDBDB" w:themeFill="accent3" w:themeFillTint="66"/>
            <w:noWrap/>
            <w:vAlign w:val="center"/>
          </w:tcPr>
          <w:p w14:paraId="36BCF27C" w14:textId="77777777" w:rsidR="00EB7454" w:rsidRPr="00982FBA" w:rsidRDefault="00EB7454" w:rsidP="008C54E1">
            <w:pPr>
              <w:rPr>
                <w:rFonts w:ascii="David" w:hAnsi="David" w:cs="David"/>
                <w:rtl/>
              </w:rPr>
            </w:pPr>
            <w:r w:rsidRPr="00982FBA">
              <w:rPr>
                <w:rFonts w:ascii="David" w:hAnsi="David" w:cs="David"/>
                <w:rtl/>
              </w:rPr>
              <w:t>אזרחי</w:t>
            </w:r>
          </w:p>
        </w:tc>
        <w:tc>
          <w:tcPr>
            <w:tcW w:w="2274" w:type="dxa"/>
            <w:tcBorders>
              <w:top w:val="single" w:sz="4" w:space="0" w:color="auto"/>
              <w:bottom w:val="single" w:sz="4" w:space="0" w:color="auto"/>
            </w:tcBorders>
            <w:shd w:val="clear" w:color="auto" w:fill="DBDBDB" w:themeFill="accent3" w:themeFillTint="66"/>
            <w:vAlign w:val="center"/>
          </w:tcPr>
          <w:p w14:paraId="09AF5CB6" w14:textId="77777777" w:rsidR="00EB7454" w:rsidRPr="00982FBA" w:rsidRDefault="00EB7454" w:rsidP="008C54E1">
            <w:pPr>
              <w:spacing w:after="0" w:line="240" w:lineRule="auto"/>
              <w:rPr>
                <w:rFonts w:ascii="David" w:hAnsi="David" w:cs="David"/>
                <w:rtl/>
              </w:rPr>
            </w:pPr>
            <w:r w:rsidRPr="00982FBA">
              <w:rPr>
                <w:rFonts w:ascii="David" w:hAnsi="David" w:cs="David"/>
                <w:rtl/>
              </w:rPr>
              <w:t xml:space="preserve">תיק אזרחי בסדר דין רגיל (ת"א) - </w:t>
            </w:r>
            <w:r w:rsidRPr="00982FBA">
              <w:rPr>
                <w:rFonts w:ascii="David" w:hAnsi="David" w:cs="David"/>
                <w:b/>
                <w:bCs/>
                <w:rtl/>
              </w:rPr>
              <w:t>נזקי גוף - רשלנות רפואית</w:t>
            </w:r>
            <w:r w:rsidR="00AB17E5" w:rsidRPr="00982FBA">
              <w:rPr>
                <w:rFonts w:ascii="David" w:hAnsi="David" w:cs="David" w:hint="cs"/>
                <w:rtl/>
              </w:rPr>
              <w:t>**</w:t>
            </w:r>
          </w:p>
        </w:tc>
        <w:tc>
          <w:tcPr>
            <w:tcW w:w="1417" w:type="dxa"/>
            <w:tcBorders>
              <w:top w:val="single" w:sz="4" w:space="0" w:color="auto"/>
              <w:bottom w:val="single" w:sz="4" w:space="0" w:color="auto"/>
            </w:tcBorders>
            <w:shd w:val="clear" w:color="auto" w:fill="DBDBDB" w:themeFill="accent3" w:themeFillTint="66"/>
            <w:vAlign w:val="center"/>
          </w:tcPr>
          <w:p w14:paraId="2784678B" w14:textId="77777777" w:rsidR="00EB7454" w:rsidRPr="00982FBA" w:rsidRDefault="00EB7454" w:rsidP="008C54E1">
            <w:pPr>
              <w:spacing w:after="0" w:line="240" w:lineRule="auto"/>
              <w:jc w:val="center"/>
              <w:rPr>
                <w:rFonts w:ascii="David" w:hAnsi="David" w:cs="David"/>
                <w:rtl/>
              </w:rPr>
            </w:pPr>
            <w:r w:rsidRPr="00982FBA">
              <w:rPr>
                <w:rFonts w:ascii="David" w:hAnsi="David" w:cs="David" w:hint="cs"/>
                <w:rtl/>
              </w:rPr>
              <w:t>565</w:t>
            </w:r>
          </w:p>
        </w:tc>
        <w:tc>
          <w:tcPr>
            <w:tcW w:w="1418" w:type="dxa"/>
            <w:tcBorders>
              <w:top w:val="single" w:sz="4" w:space="0" w:color="auto"/>
              <w:bottom w:val="single" w:sz="4" w:space="0" w:color="auto"/>
            </w:tcBorders>
            <w:shd w:val="clear" w:color="auto" w:fill="DBDBDB" w:themeFill="accent3" w:themeFillTint="66"/>
            <w:noWrap/>
            <w:vAlign w:val="center"/>
          </w:tcPr>
          <w:p w14:paraId="1D850688" w14:textId="77777777" w:rsidR="00EB7454" w:rsidRPr="00982FBA" w:rsidRDefault="00EB7454" w:rsidP="008C54E1">
            <w:pPr>
              <w:spacing w:after="0" w:line="240" w:lineRule="auto"/>
              <w:jc w:val="center"/>
              <w:rPr>
                <w:rFonts w:ascii="David" w:hAnsi="David" w:cs="David"/>
              </w:rPr>
            </w:pPr>
            <w:r w:rsidRPr="00982FBA">
              <w:rPr>
                <w:rFonts w:ascii="David" w:hAnsi="David" w:cs="David" w:hint="cs"/>
                <w:b/>
                <w:bCs/>
                <w:rtl/>
              </w:rPr>
              <w:t>23:00</w:t>
            </w:r>
          </w:p>
        </w:tc>
        <w:tc>
          <w:tcPr>
            <w:tcW w:w="1559" w:type="dxa"/>
            <w:tcBorders>
              <w:top w:val="single" w:sz="4" w:space="0" w:color="auto"/>
              <w:bottom w:val="single" w:sz="4" w:space="0" w:color="auto"/>
            </w:tcBorders>
            <w:shd w:val="clear" w:color="auto" w:fill="DBDBDB" w:themeFill="accent3" w:themeFillTint="66"/>
            <w:vAlign w:val="center"/>
          </w:tcPr>
          <w:p w14:paraId="13584A61" w14:textId="77777777" w:rsidR="00EB7454" w:rsidRPr="00982FBA" w:rsidRDefault="00EB7454" w:rsidP="008C54E1">
            <w:pPr>
              <w:spacing w:after="0" w:line="240" w:lineRule="auto"/>
              <w:jc w:val="center"/>
              <w:rPr>
                <w:rFonts w:ascii="David" w:hAnsi="David" w:cs="David"/>
              </w:rPr>
            </w:pPr>
            <w:r w:rsidRPr="00982FBA">
              <w:rPr>
                <w:rFonts w:ascii="David" w:hAnsi="David" w:cs="David"/>
              </w:rPr>
              <w:t>21:28</w:t>
            </w:r>
          </w:p>
        </w:tc>
        <w:tc>
          <w:tcPr>
            <w:tcW w:w="850" w:type="dxa"/>
            <w:tcBorders>
              <w:top w:val="single" w:sz="4" w:space="0" w:color="auto"/>
              <w:bottom w:val="single" w:sz="4" w:space="0" w:color="auto"/>
            </w:tcBorders>
            <w:shd w:val="clear" w:color="auto" w:fill="DBDBDB" w:themeFill="accent3" w:themeFillTint="66"/>
            <w:vAlign w:val="center"/>
          </w:tcPr>
          <w:p w14:paraId="3D2A1CD7" w14:textId="77777777" w:rsidR="00EB7454" w:rsidRPr="00982FBA" w:rsidRDefault="00EB7454" w:rsidP="008C54E1">
            <w:pPr>
              <w:spacing w:after="0" w:line="240" w:lineRule="auto"/>
              <w:jc w:val="center"/>
              <w:rPr>
                <w:rFonts w:ascii="David" w:hAnsi="David" w:cs="David"/>
              </w:rPr>
            </w:pPr>
            <w:r w:rsidRPr="00982FBA">
              <w:rPr>
                <w:rFonts w:ascii="David" w:hAnsi="David" w:cs="David"/>
              </w:rPr>
              <w:t>+1:32</w:t>
            </w:r>
          </w:p>
        </w:tc>
      </w:tr>
      <w:tr w:rsidR="00EB7454" w:rsidRPr="00982FBA" w14:paraId="1C163266" w14:textId="77777777" w:rsidTr="008D6C28">
        <w:trPr>
          <w:trHeight w:val="300"/>
        </w:trPr>
        <w:tc>
          <w:tcPr>
            <w:tcW w:w="851" w:type="dxa"/>
            <w:tcBorders>
              <w:top w:val="single" w:sz="4" w:space="0" w:color="auto"/>
              <w:bottom w:val="single" w:sz="4" w:space="0" w:color="auto"/>
            </w:tcBorders>
            <w:shd w:val="clear" w:color="auto" w:fill="auto"/>
            <w:noWrap/>
            <w:vAlign w:val="center"/>
          </w:tcPr>
          <w:p w14:paraId="2D3C6E4B" w14:textId="77777777" w:rsidR="00EB7454" w:rsidRPr="00982FBA" w:rsidRDefault="00EB7454" w:rsidP="008C54E1">
            <w:pPr>
              <w:spacing w:after="0" w:line="240" w:lineRule="auto"/>
              <w:rPr>
                <w:rFonts w:ascii="David" w:hAnsi="David" w:cs="David"/>
                <w:rtl/>
              </w:rPr>
            </w:pPr>
            <w:r w:rsidRPr="00982FBA">
              <w:rPr>
                <w:rFonts w:ascii="David" w:hAnsi="David" w:cs="David"/>
                <w:rtl/>
              </w:rPr>
              <w:t>מחוזי</w:t>
            </w:r>
          </w:p>
        </w:tc>
        <w:tc>
          <w:tcPr>
            <w:tcW w:w="850" w:type="dxa"/>
            <w:tcBorders>
              <w:top w:val="single" w:sz="4" w:space="0" w:color="auto"/>
              <w:bottom w:val="single" w:sz="4" w:space="0" w:color="auto"/>
            </w:tcBorders>
            <w:shd w:val="clear" w:color="auto" w:fill="auto"/>
            <w:noWrap/>
            <w:vAlign w:val="center"/>
          </w:tcPr>
          <w:p w14:paraId="025FF81C" w14:textId="77777777" w:rsidR="00EB7454" w:rsidRPr="00982FBA" w:rsidRDefault="00EB7454" w:rsidP="008C54E1">
            <w:pPr>
              <w:rPr>
                <w:rFonts w:ascii="David" w:hAnsi="David" w:cs="David"/>
                <w:rtl/>
              </w:rPr>
            </w:pPr>
            <w:r w:rsidRPr="00982FBA">
              <w:rPr>
                <w:rFonts w:ascii="David" w:hAnsi="David" w:cs="David"/>
                <w:rtl/>
              </w:rPr>
              <w:t>אזרחי</w:t>
            </w:r>
          </w:p>
        </w:tc>
        <w:tc>
          <w:tcPr>
            <w:tcW w:w="2274" w:type="dxa"/>
            <w:tcBorders>
              <w:top w:val="single" w:sz="4" w:space="0" w:color="auto"/>
              <w:bottom w:val="single" w:sz="4" w:space="0" w:color="auto"/>
            </w:tcBorders>
            <w:shd w:val="clear" w:color="auto" w:fill="auto"/>
            <w:vAlign w:val="center"/>
          </w:tcPr>
          <w:p w14:paraId="36BDFAE0" w14:textId="77777777" w:rsidR="00EB7454" w:rsidRPr="00982FBA" w:rsidRDefault="00EB7454" w:rsidP="008C54E1">
            <w:pPr>
              <w:spacing w:after="0" w:line="240" w:lineRule="auto"/>
              <w:rPr>
                <w:rFonts w:ascii="David" w:hAnsi="David" w:cs="David"/>
                <w:rtl/>
              </w:rPr>
            </w:pPr>
            <w:r w:rsidRPr="00982FBA">
              <w:rPr>
                <w:rFonts w:ascii="David" w:hAnsi="David" w:cs="David"/>
                <w:rtl/>
              </w:rPr>
              <w:t xml:space="preserve">תיק אזרחי בסדר דין רגיל (ת"א) - </w:t>
            </w:r>
            <w:r w:rsidRPr="00982FBA">
              <w:rPr>
                <w:rFonts w:ascii="David" w:hAnsi="David" w:cs="David"/>
                <w:b/>
                <w:bCs/>
                <w:rtl/>
              </w:rPr>
              <w:t>פלת"ד</w:t>
            </w:r>
          </w:p>
        </w:tc>
        <w:tc>
          <w:tcPr>
            <w:tcW w:w="1417" w:type="dxa"/>
            <w:tcBorders>
              <w:top w:val="single" w:sz="4" w:space="0" w:color="auto"/>
              <w:bottom w:val="single" w:sz="4" w:space="0" w:color="auto"/>
            </w:tcBorders>
            <w:vAlign w:val="center"/>
          </w:tcPr>
          <w:p w14:paraId="314E3FC4" w14:textId="77777777" w:rsidR="00EB7454" w:rsidRPr="00982FBA" w:rsidRDefault="00EB7454" w:rsidP="008C54E1">
            <w:pPr>
              <w:spacing w:after="0" w:line="240" w:lineRule="auto"/>
              <w:jc w:val="center"/>
              <w:rPr>
                <w:rFonts w:ascii="David" w:hAnsi="David" w:cs="David"/>
                <w:rtl/>
              </w:rPr>
            </w:pPr>
            <w:r w:rsidRPr="00982FBA">
              <w:rPr>
                <w:rFonts w:ascii="David" w:hAnsi="David" w:cs="David" w:hint="cs"/>
                <w:rtl/>
              </w:rPr>
              <w:t>353</w:t>
            </w:r>
          </w:p>
        </w:tc>
        <w:tc>
          <w:tcPr>
            <w:tcW w:w="1418" w:type="dxa"/>
            <w:tcBorders>
              <w:top w:val="single" w:sz="4" w:space="0" w:color="auto"/>
              <w:bottom w:val="single" w:sz="4" w:space="0" w:color="auto"/>
            </w:tcBorders>
            <w:shd w:val="clear" w:color="auto" w:fill="auto"/>
            <w:noWrap/>
            <w:vAlign w:val="center"/>
          </w:tcPr>
          <w:p w14:paraId="21F10B43" w14:textId="77777777" w:rsidR="00EB7454" w:rsidRPr="00982FBA" w:rsidRDefault="00EB7454" w:rsidP="008C54E1">
            <w:pPr>
              <w:spacing w:after="0" w:line="240" w:lineRule="auto"/>
              <w:jc w:val="center"/>
              <w:rPr>
                <w:rFonts w:ascii="David" w:hAnsi="David" w:cs="David"/>
                <w:b/>
                <w:bCs/>
              </w:rPr>
            </w:pPr>
            <w:r w:rsidRPr="00982FBA">
              <w:rPr>
                <w:rFonts w:ascii="David" w:hAnsi="David" w:cs="David"/>
                <w:b/>
                <w:bCs/>
              </w:rPr>
              <w:t>17:49</w:t>
            </w:r>
          </w:p>
        </w:tc>
        <w:tc>
          <w:tcPr>
            <w:tcW w:w="1559" w:type="dxa"/>
            <w:tcBorders>
              <w:top w:val="single" w:sz="4" w:space="0" w:color="auto"/>
              <w:bottom w:val="single" w:sz="4" w:space="0" w:color="auto"/>
            </w:tcBorders>
            <w:vAlign w:val="center"/>
          </w:tcPr>
          <w:p w14:paraId="3749C0A3" w14:textId="77777777" w:rsidR="00EB7454" w:rsidRPr="00982FBA" w:rsidRDefault="00EB7454" w:rsidP="008C54E1">
            <w:pPr>
              <w:spacing w:after="0" w:line="240" w:lineRule="auto"/>
              <w:jc w:val="center"/>
              <w:rPr>
                <w:rFonts w:ascii="David" w:hAnsi="David" w:cs="David"/>
              </w:rPr>
            </w:pPr>
            <w:r w:rsidRPr="00982FBA">
              <w:rPr>
                <w:rFonts w:ascii="David" w:hAnsi="David" w:cs="David"/>
              </w:rPr>
              <w:t>21:28</w:t>
            </w:r>
          </w:p>
        </w:tc>
        <w:tc>
          <w:tcPr>
            <w:tcW w:w="850" w:type="dxa"/>
            <w:tcBorders>
              <w:top w:val="single" w:sz="4" w:space="0" w:color="auto"/>
              <w:bottom w:val="single" w:sz="4" w:space="0" w:color="auto"/>
            </w:tcBorders>
            <w:vAlign w:val="center"/>
          </w:tcPr>
          <w:p w14:paraId="23700901" w14:textId="77777777" w:rsidR="00EB7454" w:rsidRPr="00982FBA" w:rsidRDefault="00EB7454" w:rsidP="008C54E1">
            <w:pPr>
              <w:spacing w:after="0" w:line="240" w:lineRule="auto"/>
              <w:jc w:val="center"/>
              <w:rPr>
                <w:rFonts w:ascii="David" w:hAnsi="David" w:cs="David"/>
              </w:rPr>
            </w:pPr>
            <w:r w:rsidRPr="00982FBA">
              <w:rPr>
                <w:rFonts w:ascii="David" w:hAnsi="David" w:cs="David"/>
              </w:rPr>
              <w:t>+3:39</w:t>
            </w:r>
          </w:p>
        </w:tc>
      </w:tr>
      <w:tr w:rsidR="00EB7454" w:rsidRPr="00982FBA" w14:paraId="5A749A9D" w14:textId="77777777" w:rsidTr="008D6C28">
        <w:trPr>
          <w:trHeight w:val="600"/>
        </w:trPr>
        <w:tc>
          <w:tcPr>
            <w:tcW w:w="851" w:type="dxa"/>
            <w:tcBorders>
              <w:top w:val="single" w:sz="4" w:space="0" w:color="auto"/>
              <w:bottom w:val="single" w:sz="4" w:space="0" w:color="auto"/>
            </w:tcBorders>
            <w:shd w:val="clear" w:color="auto" w:fill="D9D9D9"/>
            <w:noWrap/>
            <w:vAlign w:val="center"/>
          </w:tcPr>
          <w:p w14:paraId="1A982E07" w14:textId="77777777" w:rsidR="00EB7454" w:rsidRPr="00982FBA" w:rsidRDefault="00EB7454" w:rsidP="008C54E1">
            <w:pPr>
              <w:spacing w:after="0" w:line="240" w:lineRule="auto"/>
              <w:rPr>
                <w:rFonts w:ascii="David" w:hAnsi="David" w:cs="David"/>
              </w:rPr>
            </w:pPr>
            <w:r w:rsidRPr="00982FBA">
              <w:rPr>
                <w:rFonts w:ascii="David" w:hAnsi="David" w:cs="David"/>
                <w:rtl/>
              </w:rPr>
              <w:t>מחוזי</w:t>
            </w:r>
          </w:p>
        </w:tc>
        <w:tc>
          <w:tcPr>
            <w:tcW w:w="850" w:type="dxa"/>
            <w:tcBorders>
              <w:top w:val="single" w:sz="4" w:space="0" w:color="auto"/>
              <w:bottom w:val="single" w:sz="4" w:space="0" w:color="auto"/>
            </w:tcBorders>
            <w:shd w:val="clear" w:color="auto" w:fill="D9D9D9"/>
            <w:noWrap/>
            <w:vAlign w:val="center"/>
          </w:tcPr>
          <w:p w14:paraId="5B2A7425" w14:textId="77777777" w:rsidR="00EB7454" w:rsidRPr="00982FBA" w:rsidRDefault="00EB7454" w:rsidP="008C54E1">
            <w:pPr>
              <w:rPr>
                <w:rFonts w:ascii="David" w:hAnsi="David" w:cs="David"/>
              </w:rPr>
            </w:pPr>
            <w:r w:rsidRPr="00982FBA">
              <w:rPr>
                <w:rFonts w:ascii="David" w:hAnsi="David" w:cs="David"/>
                <w:rtl/>
              </w:rPr>
              <w:t>אזרחי</w:t>
            </w:r>
          </w:p>
        </w:tc>
        <w:tc>
          <w:tcPr>
            <w:tcW w:w="2274" w:type="dxa"/>
            <w:tcBorders>
              <w:top w:val="single" w:sz="4" w:space="0" w:color="auto"/>
              <w:bottom w:val="single" w:sz="4" w:space="0" w:color="auto"/>
            </w:tcBorders>
            <w:shd w:val="clear" w:color="auto" w:fill="D9D9D9"/>
            <w:vAlign w:val="center"/>
          </w:tcPr>
          <w:p w14:paraId="06B692BA" w14:textId="77777777" w:rsidR="00EB7454" w:rsidRPr="00982FBA" w:rsidRDefault="00EB7454" w:rsidP="008C54E1">
            <w:pPr>
              <w:spacing w:after="0" w:line="240" w:lineRule="auto"/>
              <w:rPr>
                <w:rFonts w:ascii="David" w:hAnsi="David" w:cs="David"/>
                <w:rtl/>
              </w:rPr>
            </w:pPr>
            <w:r w:rsidRPr="00982FBA">
              <w:rPr>
                <w:rFonts w:ascii="David" w:hAnsi="David" w:cs="David"/>
                <w:rtl/>
              </w:rPr>
              <w:t xml:space="preserve">תיק אזרחי בסדר דין רגיל (ת"א) - </w:t>
            </w:r>
            <w:r w:rsidRPr="00982FBA">
              <w:rPr>
                <w:rFonts w:ascii="David" w:hAnsi="David" w:cs="David"/>
                <w:b/>
                <w:bCs/>
                <w:rtl/>
              </w:rPr>
              <w:t>תקנה 3 (אגרות)</w:t>
            </w:r>
          </w:p>
        </w:tc>
        <w:tc>
          <w:tcPr>
            <w:tcW w:w="1417" w:type="dxa"/>
            <w:tcBorders>
              <w:top w:val="single" w:sz="4" w:space="0" w:color="auto"/>
              <w:bottom w:val="single" w:sz="4" w:space="0" w:color="auto"/>
            </w:tcBorders>
            <w:shd w:val="clear" w:color="auto" w:fill="D9D9D9"/>
            <w:vAlign w:val="center"/>
          </w:tcPr>
          <w:p w14:paraId="25279089" w14:textId="77777777" w:rsidR="00EB7454" w:rsidRPr="00982FBA" w:rsidRDefault="00EB7454" w:rsidP="008C54E1">
            <w:pPr>
              <w:spacing w:after="0" w:line="240" w:lineRule="auto"/>
              <w:jc w:val="center"/>
              <w:rPr>
                <w:rFonts w:ascii="David" w:hAnsi="David" w:cs="David"/>
              </w:rPr>
            </w:pPr>
            <w:r w:rsidRPr="00982FBA">
              <w:rPr>
                <w:rFonts w:ascii="David" w:hAnsi="David" w:cs="David"/>
              </w:rPr>
              <w:t>1,272</w:t>
            </w:r>
          </w:p>
        </w:tc>
        <w:tc>
          <w:tcPr>
            <w:tcW w:w="1418" w:type="dxa"/>
            <w:tcBorders>
              <w:top w:val="single" w:sz="4" w:space="0" w:color="auto"/>
              <w:bottom w:val="single" w:sz="4" w:space="0" w:color="auto"/>
            </w:tcBorders>
            <w:shd w:val="clear" w:color="auto" w:fill="D9D9D9"/>
            <w:noWrap/>
            <w:vAlign w:val="center"/>
          </w:tcPr>
          <w:p w14:paraId="79E09CA0" w14:textId="77777777" w:rsidR="00EB7454" w:rsidRPr="00982FBA" w:rsidRDefault="00EB7454" w:rsidP="008C54E1">
            <w:pPr>
              <w:spacing w:after="0" w:line="240" w:lineRule="auto"/>
              <w:jc w:val="center"/>
              <w:rPr>
                <w:rFonts w:ascii="David" w:hAnsi="David" w:cs="David"/>
                <w:b/>
                <w:bCs/>
              </w:rPr>
            </w:pPr>
            <w:r w:rsidRPr="00982FBA">
              <w:rPr>
                <w:rFonts w:ascii="David" w:hAnsi="David" w:cs="David"/>
                <w:b/>
                <w:bCs/>
              </w:rPr>
              <w:t>14:35</w:t>
            </w:r>
          </w:p>
        </w:tc>
        <w:tc>
          <w:tcPr>
            <w:tcW w:w="1559" w:type="dxa"/>
            <w:tcBorders>
              <w:top w:val="single" w:sz="4" w:space="0" w:color="auto"/>
              <w:bottom w:val="single" w:sz="4" w:space="0" w:color="auto"/>
            </w:tcBorders>
            <w:shd w:val="clear" w:color="auto" w:fill="D9D9D9"/>
            <w:vAlign w:val="center"/>
          </w:tcPr>
          <w:p w14:paraId="38E5A38E" w14:textId="77777777" w:rsidR="00EB7454" w:rsidRPr="00982FBA" w:rsidRDefault="00EB7454" w:rsidP="008C54E1">
            <w:pPr>
              <w:spacing w:after="0" w:line="240" w:lineRule="auto"/>
              <w:jc w:val="center"/>
              <w:rPr>
                <w:rFonts w:ascii="David" w:hAnsi="David" w:cs="David"/>
              </w:rPr>
            </w:pPr>
            <w:r w:rsidRPr="00982FBA">
              <w:rPr>
                <w:rFonts w:ascii="David" w:hAnsi="David" w:cs="David"/>
              </w:rPr>
              <w:t>21:28</w:t>
            </w:r>
          </w:p>
        </w:tc>
        <w:tc>
          <w:tcPr>
            <w:tcW w:w="850" w:type="dxa"/>
            <w:tcBorders>
              <w:top w:val="single" w:sz="4" w:space="0" w:color="auto"/>
              <w:bottom w:val="single" w:sz="4" w:space="0" w:color="auto"/>
            </w:tcBorders>
            <w:shd w:val="clear" w:color="auto" w:fill="D9D9D9"/>
            <w:vAlign w:val="center"/>
          </w:tcPr>
          <w:p w14:paraId="5CC05B1F" w14:textId="77777777" w:rsidR="00EB7454" w:rsidRPr="00982FBA" w:rsidRDefault="00EB7454" w:rsidP="008C54E1">
            <w:pPr>
              <w:spacing w:after="0" w:line="240" w:lineRule="auto"/>
              <w:jc w:val="center"/>
              <w:rPr>
                <w:rFonts w:ascii="David" w:hAnsi="David" w:cs="David"/>
              </w:rPr>
            </w:pPr>
            <w:r w:rsidRPr="00982FBA">
              <w:rPr>
                <w:rFonts w:ascii="David" w:hAnsi="David" w:cs="David"/>
              </w:rPr>
              <w:t>-6:53</w:t>
            </w:r>
          </w:p>
        </w:tc>
      </w:tr>
      <w:tr w:rsidR="00EB7454" w:rsidRPr="00982FBA" w14:paraId="092864E8" w14:textId="77777777" w:rsidTr="008D6C28">
        <w:trPr>
          <w:trHeight w:val="600"/>
        </w:trPr>
        <w:tc>
          <w:tcPr>
            <w:tcW w:w="851" w:type="dxa"/>
            <w:tcBorders>
              <w:top w:val="single" w:sz="4" w:space="0" w:color="auto"/>
              <w:bottom w:val="single" w:sz="4" w:space="0" w:color="auto"/>
            </w:tcBorders>
            <w:shd w:val="clear" w:color="auto" w:fill="auto"/>
            <w:noWrap/>
            <w:vAlign w:val="center"/>
          </w:tcPr>
          <w:p w14:paraId="465C5785" w14:textId="77777777" w:rsidR="00EB7454" w:rsidRPr="00982FBA" w:rsidRDefault="00EB7454" w:rsidP="008C54E1">
            <w:pPr>
              <w:spacing w:after="0" w:line="240" w:lineRule="auto"/>
              <w:rPr>
                <w:rFonts w:ascii="David" w:hAnsi="David" w:cs="David"/>
              </w:rPr>
            </w:pPr>
            <w:r w:rsidRPr="00982FBA">
              <w:rPr>
                <w:rFonts w:ascii="David" w:hAnsi="David" w:cs="David"/>
                <w:rtl/>
              </w:rPr>
              <w:t>מחוזי</w:t>
            </w:r>
          </w:p>
        </w:tc>
        <w:tc>
          <w:tcPr>
            <w:tcW w:w="850" w:type="dxa"/>
            <w:tcBorders>
              <w:top w:val="single" w:sz="4" w:space="0" w:color="auto"/>
              <w:bottom w:val="single" w:sz="4" w:space="0" w:color="auto"/>
            </w:tcBorders>
            <w:shd w:val="clear" w:color="auto" w:fill="auto"/>
            <w:noWrap/>
            <w:vAlign w:val="center"/>
          </w:tcPr>
          <w:p w14:paraId="5F966507" w14:textId="77777777" w:rsidR="00EB7454" w:rsidRPr="00982FBA" w:rsidRDefault="00EB7454" w:rsidP="008C54E1">
            <w:pPr>
              <w:rPr>
                <w:rFonts w:ascii="David" w:hAnsi="David" w:cs="David"/>
              </w:rPr>
            </w:pPr>
            <w:r w:rsidRPr="00982FBA">
              <w:rPr>
                <w:rFonts w:ascii="David" w:hAnsi="David" w:cs="David"/>
                <w:rtl/>
              </w:rPr>
              <w:t>אזרחי</w:t>
            </w:r>
          </w:p>
        </w:tc>
        <w:tc>
          <w:tcPr>
            <w:tcW w:w="2274" w:type="dxa"/>
            <w:tcBorders>
              <w:top w:val="single" w:sz="4" w:space="0" w:color="auto"/>
              <w:bottom w:val="single" w:sz="4" w:space="0" w:color="auto"/>
            </w:tcBorders>
            <w:shd w:val="clear" w:color="auto" w:fill="auto"/>
            <w:vAlign w:val="center"/>
          </w:tcPr>
          <w:p w14:paraId="27AEA3F9" w14:textId="77777777" w:rsidR="00EB7454" w:rsidRPr="00982FBA" w:rsidRDefault="00EB7454" w:rsidP="008C54E1">
            <w:pPr>
              <w:spacing w:after="0" w:line="240" w:lineRule="auto"/>
              <w:rPr>
                <w:rFonts w:ascii="David" w:hAnsi="David" w:cs="David"/>
                <w:rtl/>
              </w:rPr>
            </w:pPr>
            <w:r w:rsidRPr="00982FBA">
              <w:rPr>
                <w:rFonts w:ascii="David" w:hAnsi="David" w:cs="David"/>
                <w:rtl/>
              </w:rPr>
              <w:t>תיק אזרחי בסדר דין רגיל (ת"א) -</w:t>
            </w:r>
            <w:r w:rsidRPr="00982FBA">
              <w:rPr>
                <w:rFonts w:ascii="David" w:hAnsi="David" w:cs="David" w:hint="cs"/>
                <w:rtl/>
              </w:rPr>
              <w:t xml:space="preserve"> </w:t>
            </w:r>
            <w:r w:rsidRPr="00982FBA">
              <w:rPr>
                <w:rFonts w:ascii="David" w:hAnsi="David" w:cs="David"/>
                <w:b/>
                <w:bCs/>
                <w:rtl/>
              </w:rPr>
              <w:t>מקרקעין</w:t>
            </w:r>
          </w:p>
        </w:tc>
        <w:tc>
          <w:tcPr>
            <w:tcW w:w="1417" w:type="dxa"/>
            <w:tcBorders>
              <w:top w:val="single" w:sz="4" w:space="0" w:color="auto"/>
              <w:bottom w:val="single" w:sz="4" w:space="0" w:color="auto"/>
            </w:tcBorders>
            <w:vAlign w:val="center"/>
          </w:tcPr>
          <w:p w14:paraId="71D5468B" w14:textId="77777777" w:rsidR="00EB7454" w:rsidRPr="00982FBA" w:rsidRDefault="00EB7454" w:rsidP="008C54E1">
            <w:pPr>
              <w:spacing w:after="0" w:line="240" w:lineRule="auto"/>
              <w:jc w:val="center"/>
              <w:rPr>
                <w:rFonts w:ascii="David" w:hAnsi="David" w:cs="David"/>
              </w:rPr>
            </w:pPr>
            <w:r w:rsidRPr="00982FBA">
              <w:rPr>
                <w:rFonts w:ascii="David" w:hAnsi="David" w:cs="David" w:hint="cs"/>
                <w:rtl/>
              </w:rPr>
              <w:t>722</w:t>
            </w:r>
          </w:p>
        </w:tc>
        <w:tc>
          <w:tcPr>
            <w:tcW w:w="1418" w:type="dxa"/>
            <w:tcBorders>
              <w:top w:val="single" w:sz="4" w:space="0" w:color="auto"/>
              <w:bottom w:val="single" w:sz="4" w:space="0" w:color="auto"/>
            </w:tcBorders>
            <w:shd w:val="clear" w:color="auto" w:fill="auto"/>
            <w:noWrap/>
            <w:vAlign w:val="center"/>
          </w:tcPr>
          <w:p w14:paraId="1E004074" w14:textId="77777777" w:rsidR="00EB7454" w:rsidRPr="00982FBA" w:rsidRDefault="00EB7454" w:rsidP="008C54E1">
            <w:pPr>
              <w:spacing w:after="0" w:line="240" w:lineRule="auto"/>
              <w:jc w:val="center"/>
              <w:rPr>
                <w:rFonts w:ascii="David" w:hAnsi="David" w:cs="David"/>
                <w:b/>
                <w:bCs/>
              </w:rPr>
            </w:pPr>
            <w:r w:rsidRPr="00982FBA">
              <w:rPr>
                <w:rFonts w:ascii="David" w:hAnsi="David" w:cs="David"/>
                <w:b/>
                <w:bCs/>
              </w:rPr>
              <w:t>10:33</w:t>
            </w:r>
          </w:p>
        </w:tc>
        <w:tc>
          <w:tcPr>
            <w:tcW w:w="1559" w:type="dxa"/>
            <w:tcBorders>
              <w:top w:val="single" w:sz="4" w:space="0" w:color="auto"/>
              <w:bottom w:val="single" w:sz="4" w:space="0" w:color="auto"/>
            </w:tcBorders>
            <w:vAlign w:val="center"/>
          </w:tcPr>
          <w:p w14:paraId="0AB562A8" w14:textId="77777777" w:rsidR="00EB7454" w:rsidRPr="00982FBA" w:rsidRDefault="00EB7454" w:rsidP="008C54E1">
            <w:pPr>
              <w:spacing w:after="0" w:line="240" w:lineRule="auto"/>
              <w:jc w:val="center"/>
              <w:rPr>
                <w:rFonts w:ascii="David" w:hAnsi="David" w:cs="David"/>
              </w:rPr>
            </w:pPr>
            <w:r w:rsidRPr="00982FBA">
              <w:rPr>
                <w:rFonts w:ascii="David" w:hAnsi="David" w:cs="David"/>
              </w:rPr>
              <w:t>21:28</w:t>
            </w:r>
          </w:p>
        </w:tc>
        <w:tc>
          <w:tcPr>
            <w:tcW w:w="850" w:type="dxa"/>
            <w:tcBorders>
              <w:top w:val="single" w:sz="4" w:space="0" w:color="auto"/>
              <w:bottom w:val="single" w:sz="4" w:space="0" w:color="auto"/>
            </w:tcBorders>
            <w:vAlign w:val="center"/>
          </w:tcPr>
          <w:p w14:paraId="6B968991" w14:textId="77777777" w:rsidR="00EB7454" w:rsidRPr="00982FBA" w:rsidRDefault="00EB7454" w:rsidP="008C54E1">
            <w:pPr>
              <w:spacing w:after="0" w:line="240" w:lineRule="auto"/>
              <w:jc w:val="center"/>
              <w:rPr>
                <w:rFonts w:ascii="David" w:hAnsi="David" w:cs="David"/>
              </w:rPr>
            </w:pPr>
            <w:r w:rsidRPr="00982FBA">
              <w:rPr>
                <w:rFonts w:ascii="David" w:hAnsi="David" w:cs="David"/>
              </w:rPr>
              <w:t>-10:55</w:t>
            </w:r>
          </w:p>
        </w:tc>
      </w:tr>
      <w:tr w:rsidR="00EB7454" w:rsidRPr="00982FBA" w14:paraId="29DB1486" w14:textId="77777777" w:rsidTr="008D6C28">
        <w:trPr>
          <w:trHeight w:val="300"/>
        </w:trPr>
        <w:tc>
          <w:tcPr>
            <w:tcW w:w="851" w:type="dxa"/>
            <w:tcBorders>
              <w:top w:val="single" w:sz="4" w:space="0" w:color="auto"/>
              <w:bottom w:val="single" w:sz="4" w:space="0" w:color="auto"/>
            </w:tcBorders>
            <w:shd w:val="clear" w:color="auto" w:fill="D9D9D9"/>
            <w:noWrap/>
            <w:vAlign w:val="center"/>
          </w:tcPr>
          <w:p w14:paraId="6DB3DB0A" w14:textId="77777777" w:rsidR="00EB7454" w:rsidRPr="00982FBA" w:rsidRDefault="00EB7454" w:rsidP="008C54E1">
            <w:pPr>
              <w:spacing w:after="0" w:line="240" w:lineRule="auto"/>
              <w:rPr>
                <w:rFonts w:ascii="David" w:hAnsi="David" w:cs="David"/>
              </w:rPr>
            </w:pPr>
            <w:r w:rsidRPr="00982FBA">
              <w:rPr>
                <w:rFonts w:ascii="David" w:hAnsi="David" w:cs="David"/>
                <w:rtl/>
              </w:rPr>
              <w:t>מחוזי</w:t>
            </w:r>
          </w:p>
        </w:tc>
        <w:tc>
          <w:tcPr>
            <w:tcW w:w="850" w:type="dxa"/>
            <w:tcBorders>
              <w:top w:val="single" w:sz="4" w:space="0" w:color="auto"/>
              <w:bottom w:val="single" w:sz="4" w:space="0" w:color="auto"/>
            </w:tcBorders>
            <w:shd w:val="clear" w:color="auto" w:fill="D9D9D9"/>
            <w:noWrap/>
            <w:vAlign w:val="center"/>
          </w:tcPr>
          <w:p w14:paraId="27E708C5" w14:textId="77777777" w:rsidR="00EB7454" w:rsidRPr="00982FBA" w:rsidRDefault="00EB7454" w:rsidP="008C54E1">
            <w:pPr>
              <w:rPr>
                <w:rFonts w:ascii="David" w:hAnsi="David" w:cs="David"/>
              </w:rPr>
            </w:pPr>
            <w:r w:rsidRPr="00982FBA">
              <w:rPr>
                <w:rFonts w:ascii="David" w:hAnsi="David" w:cs="David"/>
                <w:rtl/>
              </w:rPr>
              <w:t>אזרחי</w:t>
            </w:r>
          </w:p>
        </w:tc>
        <w:tc>
          <w:tcPr>
            <w:tcW w:w="2274" w:type="dxa"/>
            <w:tcBorders>
              <w:top w:val="single" w:sz="4" w:space="0" w:color="auto"/>
              <w:bottom w:val="single" w:sz="4" w:space="0" w:color="auto"/>
            </w:tcBorders>
            <w:shd w:val="clear" w:color="auto" w:fill="D9D9D9"/>
            <w:vAlign w:val="center"/>
          </w:tcPr>
          <w:p w14:paraId="6548240A" w14:textId="77777777" w:rsidR="00EB7454" w:rsidRPr="00982FBA" w:rsidRDefault="00EB7454" w:rsidP="008C54E1">
            <w:pPr>
              <w:spacing w:after="0" w:line="240" w:lineRule="auto"/>
              <w:rPr>
                <w:rFonts w:ascii="David" w:hAnsi="David" w:cs="David"/>
                <w:rtl/>
              </w:rPr>
            </w:pPr>
            <w:r w:rsidRPr="00982FBA">
              <w:rPr>
                <w:rFonts w:ascii="David" w:hAnsi="David" w:cs="David"/>
                <w:rtl/>
              </w:rPr>
              <w:t xml:space="preserve">תיק אזרחי בסדר דין רגיל (ת"א) - </w:t>
            </w:r>
            <w:r w:rsidRPr="00982FBA">
              <w:rPr>
                <w:rFonts w:ascii="David" w:hAnsi="David" w:cs="David"/>
                <w:b/>
                <w:bCs/>
                <w:rtl/>
              </w:rPr>
              <w:t>קניין רוחני</w:t>
            </w:r>
            <w:r w:rsidR="00AB17E5" w:rsidRPr="00982FBA">
              <w:rPr>
                <w:rFonts w:ascii="David" w:hAnsi="David" w:cs="David" w:hint="cs"/>
                <w:rtl/>
              </w:rPr>
              <w:t>**</w:t>
            </w:r>
          </w:p>
        </w:tc>
        <w:tc>
          <w:tcPr>
            <w:tcW w:w="1417" w:type="dxa"/>
            <w:tcBorders>
              <w:top w:val="single" w:sz="4" w:space="0" w:color="auto"/>
              <w:bottom w:val="single" w:sz="4" w:space="0" w:color="auto"/>
            </w:tcBorders>
            <w:shd w:val="clear" w:color="auto" w:fill="D9D9D9"/>
            <w:vAlign w:val="center"/>
          </w:tcPr>
          <w:p w14:paraId="1B9B6F7F" w14:textId="77777777" w:rsidR="00EB7454" w:rsidRPr="00982FBA" w:rsidRDefault="00EB7454" w:rsidP="008C54E1">
            <w:pPr>
              <w:spacing w:after="0" w:line="240" w:lineRule="auto"/>
              <w:jc w:val="center"/>
              <w:rPr>
                <w:rFonts w:ascii="David" w:hAnsi="David" w:cs="David"/>
                <w:rtl/>
              </w:rPr>
            </w:pPr>
            <w:r w:rsidRPr="00982FBA">
              <w:rPr>
                <w:rFonts w:ascii="David" w:hAnsi="David" w:cs="David" w:hint="cs"/>
                <w:rtl/>
              </w:rPr>
              <w:t>308</w:t>
            </w:r>
          </w:p>
        </w:tc>
        <w:tc>
          <w:tcPr>
            <w:tcW w:w="1418" w:type="dxa"/>
            <w:tcBorders>
              <w:top w:val="single" w:sz="4" w:space="0" w:color="auto"/>
              <w:bottom w:val="single" w:sz="4" w:space="0" w:color="auto"/>
            </w:tcBorders>
            <w:shd w:val="clear" w:color="auto" w:fill="D9D9D9"/>
            <w:noWrap/>
            <w:vAlign w:val="center"/>
          </w:tcPr>
          <w:p w14:paraId="35112923" w14:textId="77777777" w:rsidR="00EB7454" w:rsidRPr="00982FBA" w:rsidRDefault="00EB7454" w:rsidP="008C54E1">
            <w:pPr>
              <w:spacing w:after="0" w:line="240" w:lineRule="auto"/>
              <w:jc w:val="center"/>
              <w:rPr>
                <w:rFonts w:ascii="David" w:hAnsi="David" w:cs="David"/>
                <w:b/>
                <w:bCs/>
              </w:rPr>
            </w:pPr>
            <w:r w:rsidRPr="00982FBA">
              <w:rPr>
                <w:rFonts w:ascii="David" w:hAnsi="David" w:cs="David" w:hint="cs"/>
                <w:b/>
                <w:bCs/>
                <w:rtl/>
              </w:rPr>
              <w:t>9:28</w:t>
            </w:r>
          </w:p>
        </w:tc>
        <w:tc>
          <w:tcPr>
            <w:tcW w:w="1559" w:type="dxa"/>
            <w:tcBorders>
              <w:top w:val="single" w:sz="4" w:space="0" w:color="auto"/>
              <w:bottom w:val="single" w:sz="4" w:space="0" w:color="auto"/>
            </w:tcBorders>
            <w:shd w:val="clear" w:color="auto" w:fill="D9D9D9"/>
            <w:vAlign w:val="center"/>
          </w:tcPr>
          <w:p w14:paraId="6E6400EC" w14:textId="77777777" w:rsidR="00EB7454" w:rsidRPr="00982FBA" w:rsidRDefault="00EB7454" w:rsidP="008C54E1">
            <w:pPr>
              <w:spacing w:after="0" w:line="240" w:lineRule="auto"/>
              <w:jc w:val="center"/>
              <w:rPr>
                <w:rFonts w:ascii="David" w:hAnsi="David" w:cs="David"/>
              </w:rPr>
            </w:pPr>
            <w:r w:rsidRPr="00982FBA">
              <w:rPr>
                <w:rFonts w:ascii="David" w:hAnsi="David" w:cs="David"/>
              </w:rPr>
              <w:t>21:28</w:t>
            </w:r>
          </w:p>
        </w:tc>
        <w:tc>
          <w:tcPr>
            <w:tcW w:w="850" w:type="dxa"/>
            <w:tcBorders>
              <w:top w:val="single" w:sz="4" w:space="0" w:color="auto"/>
              <w:bottom w:val="single" w:sz="4" w:space="0" w:color="auto"/>
            </w:tcBorders>
            <w:shd w:val="clear" w:color="auto" w:fill="D9D9D9"/>
            <w:vAlign w:val="center"/>
          </w:tcPr>
          <w:p w14:paraId="0D845C71" w14:textId="77777777" w:rsidR="00EB7454" w:rsidRPr="00982FBA" w:rsidRDefault="00EB7454" w:rsidP="008C54E1">
            <w:pPr>
              <w:spacing w:after="0" w:line="240" w:lineRule="auto"/>
              <w:jc w:val="center"/>
              <w:rPr>
                <w:rFonts w:ascii="David" w:hAnsi="David" w:cs="David"/>
              </w:rPr>
            </w:pPr>
            <w:r w:rsidRPr="00982FBA">
              <w:rPr>
                <w:rFonts w:ascii="David" w:hAnsi="David" w:cs="David" w:hint="cs"/>
                <w:rtl/>
              </w:rPr>
              <w:t>12:00-</w:t>
            </w:r>
          </w:p>
        </w:tc>
      </w:tr>
    </w:tbl>
    <w:p w14:paraId="54AF185E" w14:textId="77777777" w:rsidR="001E2E61" w:rsidRPr="00F25744" w:rsidRDefault="001E2E61" w:rsidP="00043701">
      <w:pPr>
        <w:spacing w:after="0" w:line="360" w:lineRule="auto"/>
        <w:ind w:left="-1"/>
        <w:jc w:val="both"/>
        <w:rPr>
          <w:rFonts w:cs="David"/>
          <w:sz w:val="24"/>
          <w:szCs w:val="24"/>
          <w:rtl/>
        </w:rPr>
      </w:pPr>
    </w:p>
    <w:p w14:paraId="5C46B71F" w14:textId="77777777" w:rsidR="003C67BC" w:rsidRPr="00F25744" w:rsidRDefault="00E25AE7" w:rsidP="00483E36">
      <w:pPr>
        <w:spacing w:before="120" w:after="0" w:line="360" w:lineRule="auto"/>
        <w:ind w:left="-1"/>
        <w:jc w:val="both"/>
        <w:rPr>
          <w:rFonts w:cs="David"/>
          <w:sz w:val="24"/>
          <w:szCs w:val="24"/>
          <w:rtl/>
        </w:rPr>
      </w:pPr>
      <w:r w:rsidRPr="00F25744">
        <w:rPr>
          <w:rFonts w:cs="David" w:hint="cs"/>
          <w:sz w:val="24"/>
          <w:szCs w:val="24"/>
          <w:rtl/>
        </w:rPr>
        <w:t xml:space="preserve">כאן המקום לציין, כי במסגרת השאלון המסכם התבקשו השופטים לדרג את התיקים שבטיפולם מן הכבד אל הקל. ככלל, ראינו התאמה בין דירוגים אלו לזמנים שנמדדו במסגרת המחקר. </w:t>
      </w:r>
      <w:r w:rsidR="00294368" w:rsidRPr="00F25744">
        <w:rPr>
          <w:rFonts w:cs="David" w:hint="cs"/>
          <w:sz w:val="24"/>
          <w:szCs w:val="24"/>
          <w:rtl/>
        </w:rPr>
        <w:t xml:space="preserve">אולם, חשוב להבין, כי </w:t>
      </w:r>
      <w:r w:rsidR="003C67BC" w:rsidRPr="00F25744">
        <w:rPr>
          <w:rFonts w:cs="David" w:hint="cs"/>
          <w:sz w:val="24"/>
          <w:szCs w:val="24"/>
          <w:rtl/>
        </w:rPr>
        <w:t xml:space="preserve">מכיוון שהשופטים דירגו רק את התיקים שהם מטפלים בהם, הדירוג למעשה משקף רק את </w:t>
      </w:r>
      <w:r w:rsidR="006C27BF" w:rsidRPr="00F25744">
        <w:rPr>
          <w:rFonts w:cs="David" w:hint="cs"/>
          <w:sz w:val="24"/>
          <w:szCs w:val="24"/>
          <w:rtl/>
        </w:rPr>
        <w:t xml:space="preserve">היחס בין </w:t>
      </w:r>
      <w:r w:rsidR="003C67BC" w:rsidRPr="00F25744">
        <w:rPr>
          <w:rFonts w:cs="David" w:hint="cs"/>
          <w:sz w:val="24"/>
          <w:szCs w:val="24"/>
          <w:rtl/>
        </w:rPr>
        <w:t xml:space="preserve">אותם תיקים, ולא את היחס בין כל התיקים באותה ערכאה. על כן, </w:t>
      </w:r>
      <w:r w:rsidR="00C4775D" w:rsidRPr="00F25744">
        <w:rPr>
          <w:rFonts w:cs="David" w:hint="cs"/>
          <w:sz w:val="24"/>
          <w:szCs w:val="24"/>
          <w:rtl/>
        </w:rPr>
        <w:t xml:space="preserve">נראה כי </w:t>
      </w:r>
      <w:r w:rsidR="003C67BC" w:rsidRPr="00F25744">
        <w:rPr>
          <w:rFonts w:cs="David" w:hint="cs"/>
          <w:sz w:val="24"/>
          <w:szCs w:val="24"/>
          <w:rtl/>
        </w:rPr>
        <w:t>דירוג השופטים משקף טוב יותר את ה</w:t>
      </w:r>
      <w:r w:rsidR="00C4775D" w:rsidRPr="00F25744">
        <w:rPr>
          <w:rFonts w:cs="David" w:hint="cs"/>
          <w:sz w:val="24"/>
          <w:szCs w:val="24"/>
          <w:rtl/>
        </w:rPr>
        <w:t>יחס בין סוגי התיקים</w:t>
      </w:r>
      <w:r w:rsidR="003F4FC7" w:rsidRPr="00F25744">
        <w:rPr>
          <w:rFonts w:cs="David" w:hint="cs"/>
          <w:sz w:val="24"/>
          <w:szCs w:val="24"/>
          <w:rtl/>
        </w:rPr>
        <w:t xml:space="preserve"> </w:t>
      </w:r>
      <w:r w:rsidR="003C67BC" w:rsidRPr="00F25744">
        <w:rPr>
          <w:rFonts w:cs="David" w:hint="cs"/>
          <w:sz w:val="24"/>
          <w:szCs w:val="24"/>
          <w:rtl/>
        </w:rPr>
        <w:t>בערכאות</w:t>
      </w:r>
      <w:r w:rsidR="004E7786" w:rsidRPr="00F25744">
        <w:rPr>
          <w:rFonts w:cs="David" w:hint="cs"/>
          <w:sz w:val="24"/>
          <w:szCs w:val="24"/>
          <w:rtl/>
        </w:rPr>
        <w:t xml:space="preserve"> המתמחות בסוגי תיקים מסוימים, כדוגמת</w:t>
      </w:r>
      <w:r w:rsidR="003C67BC" w:rsidRPr="00F25744">
        <w:rPr>
          <w:rFonts w:cs="David" w:hint="cs"/>
          <w:sz w:val="24"/>
          <w:szCs w:val="24"/>
          <w:rtl/>
        </w:rPr>
        <w:t xml:space="preserve"> בתי </w:t>
      </w:r>
      <w:r w:rsidR="003C67BC" w:rsidRPr="00F25744">
        <w:rPr>
          <w:rFonts w:cs="David" w:hint="cs"/>
          <w:sz w:val="24"/>
          <w:szCs w:val="24"/>
          <w:rtl/>
        </w:rPr>
        <w:lastRenderedPageBreak/>
        <w:t xml:space="preserve">המשפט לנוער, למשפחה ולתעבורה, </w:t>
      </w:r>
      <w:r w:rsidR="0036523A" w:rsidRPr="00F25744">
        <w:rPr>
          <w:rFonts w:cs="David" w:hint="cs"/>
          <w:sz w:val="24"/>
          <w:szCs w:val="24"/>
          <w:rtl/>
        </w:rPr>
        <w:t>כאשר</w:t>
      </w:r>
      <w:r w:rsidR="003C67BC" w:rsidRPr="00F25744">
        <w:rPr>
          <w:rFonts w:cs="David" w:hint="cs"/>
          <w:sz w:val="24"/>
          <w:szCs w:val="24"/>
          <w:rtl/>
        </w:rPr>
        <w:t xml:space="preserve"> רוב השופטים מטפלים ברוב סוגי ה</w:t>
      </w:r>
      <w:r w:rsidR="00483E36" w:rsidRPr="00F25744">
        <w:rPr>
          <w:rFonts w:cs="David" w:hint="cs"/>
          <w:sz w:val="24"/>
          <w:szCs w:val="24"/>
          <w:rtl/>
        </w:rPr>
        <w:t xml:space="preserve">תיקים של אותה ערכאה. ואכן לגבי </w:t>
      </w:r>
      <w:r w:rsidR="003C67BC" w:rsidRPr="00F25744">
        <w:rPr>
          <w:rFonts w:cs="David" w:hint="cs"/>
          <w:sz w:val="24"/>
          <w:szCs w:val="24"/>
          <w:rtl/>
        </w:rPr>
        <w:t xml:space="preserve">ערכאות </w:t>
      </w:r>
      <w:r w:rsidR="00483E36" w:rsidRPr="00F25744">
        <w:rPr>
          <w:rFonts w:cs="David" w:hint="cs"/>
          <w:sz w:val="24"/>
          <w:szCs w:val="24"/>
          <w:rtl/>
        </w:rPr>
        <w:t>אלו</w:t>
      </w:r>
      <w:r w:rsidR="003C67BC" w:rsidRPr="00F25744">
        <w:rPr>
          <w:rFonts w:cs="David" w:hint="cs"/>
          <w:sz w:val="24"/>
          <w:szCs w:val="24"/>
          <w:rtl/>
        </w:rPr>
        <w:t xml:space="preserve"> דירוג השופטים</w:t>
      </w:r>
      <w:r w:rsidR="00FE1027" w:rsidRPr="00F25744">
        <w:rPr>
          <w:rFonts w:cs="David" w:hint="cs"/>
          <w:sz w:val="24"/>
          <w:szCs w:val="24"/>
          <w:rtl/>
        </w:rPr>
        <w:t>,</w:t>
      </w:r>
      <w:r w:rsidR="003C67BC" w:rsidRPr="00F25744">
        <w:rPr>
          <w:rFonts w:cs="David" w:hint="cs"/>
          <w:sz w:val="24"/>
          <w:szCs w:val="24"/>
          <w:rtl/>
        </w:rPr>
        <w:t xml:space="preserve"> </w:t>
      </w:r>
      <w:r w:rsidR="00FE1027" w:rsidRPr="00F25744">
        <w:rPr>
          <w:rFonts w:cs="David" w:hint="cs"/>
          <w:sz w:val="24"/>
          <w:szCs w:val="24"/>
          <w:rtl/>
        </w:rPr>
        <w:t xml:space="preserve">ככלל, </w:t>
      </w:r>
      <w:r w:rsidR="003C67BC" w:rsidRPr="00F25744">
        <w:rPr>
          <w:rFonts w:cs="David" w:hint="cs"/>
          <w:sz w:val="24"/>
          <w:szCs w:val="24"/>
          <w:rtl/>
        </w:rPr>
        <w:t xml:space="preserve">תאם את תוצאות המחקר. </w:t>
      </w:r>
      <w:r w:rsidR="001D5027" w:rsidRPr="00F25744">
        <w:rPr>
          <w:rFonts w:cs="David" w:hint="cs"/>
          <w:sz w:val="24"/>
          <w:szCs w:val="24"/>
          <w:rtl/>
        </w:rPr>
        <w:t>לעומת זאת</w:t>
      </w:r>
      <w:r w:rsidR="003C67BC" w:rsidRPr="00F25744">
        <w:rPr>
          <w:rFonts w:cs="David" w:hint="cs"/>
          <w:sz w:val="24"/>
          <w:szCs w:val="24"/>
          <w:rtl/>
        </w:rPr>
        <w:t xml:space="preserve"> בערכאות המחוזי והשלום, שם כל שופט עוסק בכמות מצומצמת יותר של סוגי תיקים, ודירוג התיקים בשאלון המסכם נעשה רק ביחס לאותם תיקים שבהם אותו שופט מטפל, הדירוג הכללי </w:t>
      </w:r>
      <w:r w:rsidR="00FE1027" w:rsidRPr="00F25744">
        <w:rPr>
          <w:rFonts w:cs="David" w:hint="cs"/>
          <w:sz w:val="24"/>
          <w:szCs w:val="24"/>
          <w:rtl/>
        </w:rPr>
        <w:t>לא תאם</w:t>
      </w:r>
      <w:r w:rsidR="003C67BC" w:rsidRPr="00F25744">
        <w:rPr>
          <w:rFonts w:cs="David" w:hint="cs"/>
          <w:sz w:val="24"/>
          <w:szCs w:val="24"/>
          <w:rtl/>
        </w:rPr>
        <w:t xml:space="preserve"> בדיוק את התוצאות שהתקבלו, אם כי </w:t>
      </w:r>
      <w:r w:rsidR="00064637" w:rsidRPr="00F25744">
        <w:rPr>
          <w:rFonts w:cs="David" w:hint="cs"/>
          <w:sz w:val="24"/>
          <w:szCs w:val="24"/>
          <w:rtl/>
        </w:rPr>
        <w:t xml:space="preserve">כאמור </w:t>
      </w:r>
      <w:r w:rsidR="003C67BC" w:rsidRPr="00F25744">
        <w:rPr>
          <w:rFonts w:cs="David" w:hint="cs"/>
          <w:sz w:val="24"/>
          <w:szCs w:val="24"/>
          <w:rtl/>
        </w:rPr>
        <w:t xml:space="preserve">ביחס למרבית סוגי התיקים ניתן היה לראות מתאם בין הדירוג לתוצאות המחקר. </w:t>
      </w:r>
    </w:p>
    <w:p w14:paraId="1FEC0C76" w14:textId="77777777" w:rsidR="00043701" w:rsidRPr="00F25744" w:rsidRDefault="003C67BC" w:rsidP="00F900D7">
      <w:pPr>
        <w:spacing w:before="120" w:after="0" w:line="360" w:lineRule="auto"/>
        <w:ind w:left="-1"/>
        <w:jc w:val="both"/>
        <w:rPr>
          <w:rFonts w:cs="David"/>
          <w:sz w:val="24"/>
          <w:szCs w:val="24"/>
          <w:rtl/>
        </w:rPr>
      </w:pPr>
      <w:r w:rsidRPr="00F25744">
        <w:rPr>
          <w:rFonts w:cs="David" w:hint="cs"/>
          <w:sz w:val="24"/>
          <w:szCs w:val="24"/>
          <w:rtl/>
        </w:rPr>
        <w:t>את עיקר ה</w:t>
      </w:r>
      <w:r w:rsidR="00E25AE7" w:rsidRPr="00F25744">
        <w:rPr>
          <w:rFonts w:cs="David" w:hint="cs"/>
          <w:sz w:val="24"/>
          <w:szCs w:val="24"/>
          <w:rtl/>
        </w:rPr>
        <w:t xml:space="preserve">שונות </w:t>
      </w:r>
      <w:r w:rsidRPr="00F25744">
        <w:rPr>
          <w:rFonts w:cs="David" w:hint="cs"/>
          <w:sz w:val="24"/>
          <w:szCs w:val="24"/>
          <w:rtl/>
        </w:rPr>
        <w:t>ראינו ב</w:t>
      </w:r>
      <w:r w:rsidR="00E25AE7" w:rsidRPr="00F25744">
        <w:rPr>
          <w:rFonts w:cs="David" w:hint="cs"/>
          <w:sz w:val="24"/>
          <w:szCs w:val="24"/>
          <w:rtl/>
        </w:rPr>
        <w:t xml:space="preserve">דירוג סוגי העניין השונים בתיקי ת"א. כך, למשל, שופטי המחוזי דירגו את תיק ת"א </w:t>
      </w:r>
      <w:r w:rsidR="00E25AE7" w:rsidRPr="00F25744">
        <w:rPr>
          <w:rFonts w:cs="David"/>
          <w:sz w:val="24"/>
          <w:szCs w:val="24"/>
          <w:rtl/>
        </w:rPr>
        <w:t>–</w:t>
      </w:r>
      <w:r w:rsidR="00E25AE7" w:rsidRPr="00F25744">
        <w:rPr>
          <w:rFonts w:cs="David" w:hint="cs"/>
          <w:sz w:val="24"/>
          <w:szCs w:val="24"/>
          <w:rtl/>
        </w:rPr>
        <w:t xml:space="preserve"> פלת"ד, כנמוך ביותר מבין סוגי העניין האחרים</w:t>
      </w:r>
      <w:r w:rsidR="003667E1" w:rsidRPr="00F25744">
        <w:rPr>
          <w:rFonts w:cs="David" w:hint="cs"/>
          <w:sz w:val="24"/>
          <w:szCs w:val="24"/>
          <w:rtl/>
        </w:rPr>
        <w:t xml:space="preserve"> בתיקי ת"א</w:t>
      </w:r>
      <w:r w:rsidR="00E25AE7" w:rsidRPr="00F25744">
        <w:rPr>
          <w:rFonts w:cs="David" w:hint="cs"/>
          <w:sz w:val="24"/>
          <w:szCs w:val="24"/>
          <w:rtl/>
        </w:rPr>
        <w:t xml:space="preserve">, בעוד </w:t>
      </w:r>
      <w:r w:rsidR="003667E1" w:rsidRPr="00F25744">
        <w:rPr>
          <w:rFonts w:cs="David" w:hint="cs"/>
          <w:sz w:val="24"/>
          <w:szCs w:val="24"/>
          <w:rtl/>
        </w:rPr>
        <w:t xml:space="preserve">שבהתאם לטבלת הזמנים המוצגת לעיל, פלת"ד נמצא בערך באמצע. </w:t>
      </w:r>
      <w:r w:rsidR="00E25AE7" w:rsidRPr="00F25744">
        <w:rPr>
          <w:rFonts w:cs="David" w:hint="cs"/>
          <w:sz w:val="24"/>
          <w:szCs w:val="24"/>
          <w:rtl/>
        </w:rPr>
        <w:t xml:space="preserve">לעומת זאת, תיק ת"א </w:t>
      </w:r>
      <w:r w:rsidR="00E25AE7" w:rsidRPr="00F25744">
        <w:rPr>
          <w:rFonts w:cs="David"/>
          <w:sz w:val="24"/>
          <w:szCs w:val="24"/>
          <w:rtl/>
        </w:rPr>
        <w:t>–</w:t>
      </w:r>
      <w:r w:rsidR="00E25AE7" w:rsidRPr="00F25744">
        <w:rPr>
          <w:rFonts w:cs="David" w:hint="cs"/>
          <w:sz w:val="24"/>
          <w:szCs w:val="24"/>
          <w:rtl/>
        </w:rPr>
        <w:t xml:space="preserve"> קניין רוחני, אשר דורג גבוה בדירוג השופטים, נמצא אחרון בטבלה שלעיל מבחינת הזמן השיפוטי שנמדד לגביו.</w:t>
      </w:r>
    </w:p>
    <w:p w14:paraId="3DA6C96F" w14:textId="77777777" w:rsidR="00043701" w:rsidRPr="00F25744" w:rsidRDefault="00E25AE7" w:rsidP="00F900D7">
      <w:pPr>
        <w:spacing w:before="120" w:after="0" w:line="360" w:lineRule="auto"/>
        <w:ind w:left="-1"/>
        <w:jc w:val="both"/>
        <w:rPr>
          <w:rFonts w:cs="David"/>
          <w:sz w:val="24"/>
          <w:szCs w:val="24"/>
          <w:rtl/>
        </w:rPr>
      </w:pPr>
      <w:r w:rsidRPr="00F25744">
        <w:rPr>
          <w:rFonts w:cs="David" w:hint="cs"/>
          <w:sz w:val="24"/>
          <w:szCs w:val="24"/>
          <w:rtl/>
        </w:rPr>
        <w:t xml:space="preserve">כפי שהסברנו בפתיחה לפרק הממצאים, הזמנים המוצגים משקפים את שקלול </w:t>
      </w:r>
      <w:r w:rsidRPr="00F25744">
        <w:rPr>
          <w:rFonts w:cs="David" w:hint="cs"/>
          <w:b/>
          <w:bCs/>
          <w:sz w:val="24"/>
          <w:szCs w:val="24"/>
          <w:rtl/>
        </w:rPr>
        <w:t>הזמנים</w:t>
      </w:r>
      <w:r w:rsidRPr="00F25744">
        <w:rPr>
          <w:rFonts w:cs="David" w:hint="cs"/>
          <w:sz w:val="24"/>
          <w:szCs w:val="24"/>
          <w:rtl/>
        </w:rPr>
        <w:t xml:space="preserve"> שנמדדו באירועים השונים בכל תיק </w:t>
      </w:r>
      <w:r w:rsidRPr="00F25744">
        <w:rPr>
          <w:rFonts w:cs="David"/>
          <w:sz w:val="24"/>
          <w:szCs w:val="24"/>
          <w:rtl/>
        </w:rPr>
        <w:t>–</w:t>
      </w:r>
      <w:r w:rsidRPr="00F25744">
        <w:rPr>
          <w:rFonts w:cs="David" w:hint="cs"/>
          <w:sz w:val="24"/>
          <w:szCs w:val="24"/>
          <w:rtl/>
        </w:rPr>
        <w:t xml:space="preserve"> זמני ההכנה לדיונים, זמני הדיונים וזמני הכתיבה, כפי שאלו דווחו על ידי השופטים והקלדניות, </w:t>
      </w:r>
      <w:r w:rsidR="00B5608F" w:rsidRPr="00F25744">
        <w:rPr>
          <w:rFonts w:cs="David" w:hint="cs"/>
          <w:sz w:val="24"/>
          <w:szCs w:val="24"/>
          <w:rtl/>
        </w:rPr>
        <w:t xml:space="preserve">במכפלה של </w:t>
      </w:r>
      <w:r w:rsidRPr="00F25744">
        <w:rPr>
          <w:rFonts w:cs="David" w:hint="cs"/>
          <w:sz w:val="24"/>
          <w:szCs w:val="24"/>
          <w:rtl/>
        </w:rPr>
        <w:t xml:space="preserve">השכיחות להתרחשותם של אותם אירועים, אשר לקוחה מנתוני המחשב (כפי שפורט בהרחבה בפרק המתודולוגיה). </w:t>
      </w:r>
      <w:r w:rsidRPr="00F25744">
        <w:rPr>
          <w:rFonts w:cs="David" w:hint="cs"/>
          <w:b/>
          <w:bCs/>
          <w:sz w:val="24"/>
          <w:szCs w:val="24"/>
          <w:rtl/>
        </w:rPr>
        <w:t>אין בזמנים אלו כדי למצות את מלוא העומס השיפוטי אשר מטיל כל סוג תיק על השופט המטפל בו</w:t>
      </w:r>
      <w:r w:rsidRPr="00F25744">
        <w:rPr>
          <w:rFonts w:cs="David" w:hint="cs"/>
          <w:sz w:val="24"/>
          <w:szCs w:val="24"/>
          <w:rtl/>
        </w:rPr>
        <w:t>, בין היתר, בשל כובד ומהות הסוגיה המשפטית הנדונה בו.</w:t>
      </w:r>
      <w:r w:rsidRPr="00F25744">
        <w:rPr>
          <w:rFonts w:cs="David" w:hint="cs"/>
          <w:b/>
          <w:bCs/>
          <w:sz w:val="24"/>
          <w:szCs w:val="24"/>
          <w:rtl/>
        </w:rPr>
        <w:t xml:space="preserve"> </w:t>
      </w:r>
    </w:p>
    <w:p w14:paraId="428A7480" w14:textId="77777777" w:rsidR="00DF1617" w:rsidRPr="00F25744" w:rsidRDefault="00E25AE7" w:rsidP="00C64155">
      <w:pPr>
        <w:spacing w:before="120" w:after="0" w:line="360" w:lineRule="auto"/>
        <w:ind w:left="-1"/>
        <w:jc w:val="both"/>
        <w:rPr>
          <w:rFonts w:cs="David"/>
          <w:sz w:val="24"/>
          <w:szCs w:val="24"/>
          <w:rtl/>
        </w:rPr>
      </w:pPr>
      <w:r w:rsidRPr="00F25744">
        <w:rPr>
          <w:rFonts w:cs="David" w:hint="cs"/>
          <w:sz w:val="24"/>
          <w:szCs w:val="24"/>
          <w:rtl/>
        </w:rPr>
        <w:t xml:space="preserve">כעת </w:t>
      </w:r>
      <w:r w:rsidRPr="00F25744">
        <w:rPr>
          <w:rFonts w:cs="David" w:hint="cs"/>
          <w:b/>
          <w:bCs/>
          <w:sz w:val="24"/>
          <w:szCs w:val="24"/>
          <w:rtl/>
        </w:rPr>
        <w:t>נדגים</w:t>
      </w:r>
      <w:r w:rsidRPr="00F25744">
        <w:rPr>
          <w:rFonts w:cs="David" w:hint="cs"/>
          <w:sz w:val="24"/>
          <w:szCs w:val="24"/>
          <w:rtl/>
        </w:rPr>
        <w:t xml:space="preserve"> הסבר זה על הדוגמאות שהבאנו לעיל: תיק ת"א </w:t>
      </w:r>
      <w:r w:rsidRPr="00F25744">
        <w:rPr>
          <w:rFonts w:cs="David"/>
          <w:sz w:val="24"/>
          <w:szCs w:val="24"/>
          <w:rtl/>
        </w:rPr>
        <w:t>–</w:t>
      </w:r>
      <w:r w:rsidRPr="00F25744">
        <w:rPr>
          <w:rFonts w:cs="David" w:hint="cs"/>
          <w:sz w:val="24"/>
          <w:szCs w:val="24"/>
          <w:rtl/>
        </w:rPr>
        <w:t xml:space="preserve"> פלת"ד, לעומת תיק ת"א </w:t>
      </w:r>
      <w:r w:rsidRPr="00F25744">
        <w:rPr>
          <w:rFonts w:cs="David"/>
          <w:sz w:val="24"/>
          <w:szCs w:val="24"/>
          <w:rtl/>
        </w:rPr>
        <w:t>–</w:t>
      </w:r>
      <w:r w:rsidR="000A6015" w:rsidRPr="00F25744">
        <w:rPr>
          <w:rFonts w:cs="David" w:hint="cs"/>
          <w:sz w:val="24"/>
          <w:szCs w:val="24"/>
          <w:rtl/>
        </w:rPr>
        <w:t xml:space="preserve"> קניין רוחני. </w:t>
      </w:r>
      <w:r w:rsidRPr="00F25744">
        <w:rPr>
          <w:rFonts w:cs="David" w:hint="cs"/>
          <w:sz w:val="24"/>
          <w:szCs w:val="24"/>
          <w:rtl/>
        </w:rPr>
        <w:t xml:space="preserve"> </w:t>
      </w:r>
      <w:r w:rsidR="000A6015" w:rsidRPr="00F25744">
        <w:rPr>
          <w:rFonts w:ascii="David" w:hAnsi="David" w:cs="David" w:hint="cs"/>
          <w:sz w:val="24"/>
          <w:szCs w:val="24"/>
          <w:rtl/>
        </w:rPr>
        <w:t xml:space="preserve">לגבי תיקי פלת"ד נדגיש כי קיבלנו כמות גדולה של נתונים במהלך תקופת המחקר, מהשופטים ומהקלדניות. </w:t>
      </w:r>
      <w:r w:rsidRPr="00F25744">
        <w:rPr>
          <w:rFonts w:cs="David" w:hint="cs"/>
          <w:sz w:val="24"/>
          <w:szCs w:val="24"/>
          <w:rtl/>
        </w:rPr>
        <w:t xml:space="preserve">בתיק פלת"ד יש בממוצע למעלה מ-34 פתקיות, לעומת 9 פתקיות בממוצע בתיק קניין רוחני; בתיק פלת"ד ניתנות בממוצע 4 החלטות ביניים במסמך עצמאי, לעומת החלטת ביניים אחת </w:t>
      </w:r>
      <w:r w:rsidR="003D20FD" w:rsidRPr="00F25744">
        <w:rPr>
          <w:rFonts w:cs="David" w:hint="cs"/>
          <w:sz w:val="24"/>
          <w:szCs w:val="24"/>
          <w:rtl/>
        </w:rPr>
        <w:t xml:space="preserve">בממוצע </w:t>
      </w:r>
      <w:r w:rsidRPr="00F25744">
        <w:rPr>
          <w:rFonts w:cs="David" w:hint="cs"/>
          <w:sz w:val="24"/>
          <w:szCs w:val="24"/>
          <w:rtl/>
        </w:rPr>
        <w:t xml:space="preserve">בתיק קניין רוחני; מספר עמודים ממוצע לפסק דין מנומק בתיק פלת"ד עומד על 25 עמודים, לעומת 6 עמודים בלבד בממוצע בתיק קניין רוחני, ועוד. מכאן ניתן להסיק, כי אף שייתכן שהסוגיות המשפטיות הנדונות בתיק קניין רוחני מטילות תחושה של עומס רב יותר על השופטים, הרי שמבחינת </w:t>
      </w:r>
      <w:r w:rsidRPr="00F25744">
        <w:rPr>
          <w:rFonts w:cs="David" w:hint="cs"/>
          <w:b/>
          <w:bCs/>
          <w:sz w:val="24"/>
          <w:szCs w:val="24"/>
          <w:rtl/>
        </w:rPr>
        <w:t>זמני הטיפול</w:t>
      </w:r>
      <w:r w:rsidRPr="00F25744">
        <w:rPr>
          <w:rFonts w:cs="David" w:hint="cs"/>
          <w:sz w:val="24"/>
          <w:szCs w:val="24"/>
          <w:rtl/>
        </w:rPr>
        <w:t xml:space="preserve"> בתיק, תיק פלת"ד דורש טיפול רב יותר, גם אם הוא יותר טכני במהותו</w:t>
      </w:r>
      <w:r w:rsidR="00E15A0B" w:rsidRPr="00F25744">
        <w:rPr>
          <w:rFonts w:cs="David" w:hint="cs"/>
          <w:sz w:val="24"/>
          <w:szCs w:val="24"/>
          <w:rtl/>
        </w:rPr>
        <w:t>.</w:t>
      </w:r>
      <w:r w:rsidR="00AF7FE3" w:rsidRPr="00F25744">
        <w:rPr>
          <w:rFonts w:cs="David" w:hint="cs"/>
          <w:sz w:val="24"/>
          <w:szCs w:val="24"/>
          <w:rtl/>
        </w:rPr>
        <w:t xml:space="preserve"> </w:t>
      </w:r>
      <w:r w:rsidR="00C64155" w:rsidRPr="00F25744">
        <w:rPr>
          <w:rFonts w:cs="David" w:hint="cs"/>
          <w:sz w:val="24"/>
          <w:szCs w:val="24"/>
          <w:rtl/>
        </w:rPr>
        <w:t xml:space="preserve">ואכן, </w:t>
      </w:r>
      <w:r w:rsidR="00F51BD6" w:rsidRPr="00F25744">
        <w:rPr>
          <w:rFonts w:cs="David" w:hint="cs"/>
          <w:sz w:val="24"/>
          <w:szCs w:val="24"/>
          <w:rtl/>
        </w:rPr>
        <w:t>משיחות עם שופטי</w:t>
      </w:r>
      <w:r w:rsidR="00AF7FE3" w:rsidRPr="00F25744">
        <w:rPr>
          <w:rFonts w:cs="David" w:hint="cs"/>
          <w:sz w:val="24"/>
          <w:szCs w:val="24"/>
          <w:rtl/>
        </w:rPr>
        <w:t xml:space="preserve"> מחוזי </w:t>
      </w:r>
      <w:r w:rsidR="004823C1" w:rsidRPr="00F25744">
        <w:rPr>
          <w:rFonts w:cs="David" w:hint="cs"/>
          <w:sz w:val="24"/>
          <w:szCs w:val="24"/>
          <w:rtl/>
        </w:rPr>
        <w:t>שערכנו במטרה לתקף את ממצאי המחקר בנוגע לזמני הטיפול בתיקי ת"א, ע</w:t>
      </w:r>
      <w:r w:rsidR="00F51BD6" w:rsidRPr="00F25744">
        <w:rPr>
          <w:rFonts w:cs="David" w:hint="cs"/>
          <w:sz w:val="24"/>
          <w:szCs w:val="24"/>
          <w:rtl/>
        </w:rPr>
        <w:t>לה שתיקי פלת"ד במחוזי מורכבים הרבה יותר מ</w:t>
      </w:r>
      <w:r w:rsidR="00AF7FE3" w:rsidRPr="00F25744">
        <w:rPr>
          <w:rFonts w:cs="David" w:hint="cs"/>
          <w:sz w:val="24"/>
          <w:szCs w:val="24"/>
          <w:rtl/>
        </w:rPr>
        <w:t xml:space="preserve">תיקי הפלת"ד הנדונים בערכאת </w:t>
      </w:r>
      <w:r w:rsidR="00F51BD6" w:rsidRPr="00F25744">
        <w:rPr>
          <w:rFonts w:cs="David" w:hint="cs"/>
          <w:sz w:val="24"/>
          <w:szCs w:val="24"/>
          <w:rtl/>
        </w:rPr>
        <w:t>השלום</w:t>
      </w:r>
      <w:r w:rsidR="00AF7FE3" w:rsidRPr="00F25744">
        <w:rPr>
          <w:rFonts w:cs="David" w:hint="cs"/>
          <w:sz w:val="24"/>
          <w:szCs w:val="24"/>
          <w:rtl/>
        </w:rPr>
        <w:t xml:space="preserve"> (בערכאת השלום אכן תיקי הפלת"ד קיבלו את הזמן השיפוטי הנמוך ביותר מבין תיקי הת"א)</w:t>
      </w:r>
      <w:r w:rsidR="00F51BD6" w:rsidRPr="00F25744">
        <w:rPr>
          <w:rFonts w:cs="David" w:hint="cs"/>
          <w:sz w:val="24"/>
          <w:szCs w:val="24"/>
          <w:rtl/>
        </w:rPr>
        <w:t>, ו</w:t>
      </w:r>
      <w:r w:rsidR="00AF7FE3" w:rsidRPr="00F25744">
        <w:rPr>
          <w:rFonts w:cs="David" w:hint="cs"/>
          <w:sz w:val="24"/>
          <w:szCs w:val="24"/>
          <w:rtl/>
        </w:rPr>
        <w:t>הולכים ו</w:t>
      </w:r>
      <w:r w:rsidR="00F51BD6" w:rsidRPr="00F25744">
        <w:rPr>
          <w:rFonts w:cs="David" w:hint="cs"/>
          <w:sz w:val="24"/>
          <w:szCs w:val="24"/>
          <w:rtl/>
        </w:rPr>
        <w:t>נ</w:t>
      </w:r>
      <w:r w:rsidR="00341018" w:rsidRPr="00F25744">
        <w:rPr>
          <w:rFonts w:cs="David" w:hint="cs"/>
          <w:sz w:val="24"/>
          <w:szCs w:val="24"/>
          <w:rtl/>
        </w:rPr>
        <w:t>עשים</w:t>
      </w:r>
      <w:r w:rsidR="00F51BD6" w:rsidRPr="00F25744">
        <w:rPr>
          <w:rFonts w:cs="David" w:hint="cs"/>
          <w:sz w:val="24"/>
          <w:szCs w:val="24"/>
          <w:rtl/>
        </w:rPr>
        <w:t xml:space="preserve"> </w:t>
      </w:r>
      <w:r w:rsidR="00AF7FE3" w:rsidRPr="00F25744">
        <w:rPr>
          <w:rFonts w:cs="David" w:hint="cs"/>
          <w:sz w:val="24"/>
          <w:szCs w:val="24"/>
          <w:rtl/>
        </w:rPr>
        <w:t xml:space="preserve">מורכבים אף יותר </w:t>
      </w:r>
      <w:r w:rsidR="00F51BD6" w:rsidRPr="00F25744">
        <w:rPr>
          <w:rFonts w:cs="David" w:hint="cs"/>
          <w:sz w:val="24"/>
          <w:szCs w:val="24"/>
          <w:rtl/>
        </w:rPr>
        <w:t xml:space="preserve">עם השנים. </w:t>
      </w:r>
      <w:r w:rsidR="007B16C2" w:rsidRPr="00F25744">
        <w:rPr>
          <w:rFonts w:ascii="David" w:hAnsi="David" w:cs="David" w:hint="cs"/>
          <w:sz w:val="24"/>
          <w:szCs w:val="24"/>
          <w:rtl/>
        </w:rPr>
        <w:t xml:space="preserve">לדעת השופטים, קיימת קונספציה מוטעית בנוגע ליחס בין תיקי הפלת"ד </w:t>
      </w:r>
      <w:r w:rsidR="000F6542" w:rsidRPr="00F25744">
        <w:rPr>
          <w:rFonts w:ascii="David" w:hAnsi="David" w:cs="David" w:hint="cs"/>
          <w:sz w:val="24"/>
          <w:szCs w:val="24"/>
          <w:rtl/>
        </w:rPr>
        <w:t xml:space="preserve">הנדונים במחוזי </w:t>
      </w:r>
      <w:r w:rsidR="007B16C2" w:rsidRPr="00F25744">
        <w:rPr>
          <w:rFonts w:ascii="David" w:hAnsi="David" w:cs="David" w:hint="cs"/>
          <w:sz w:val="24"/>
          <w:szCs w:val="24"/>
          <w:rtl/>
        </w:rPr>
        <w:t>ובין תיקים נזיקיים אחרים</w:t>
      </w:r>
      <w:r w:rsidR="008E412E" w:rsidRPr="00F25744">
        <w:rPr>
          <w:rFonts w:ascii="David" w:hAnsi="David" w:cs="David" w:hint="cs"/>
          <w:sz w:val="24"/>
          <w:szCs w:val="24"/>
          <w:rtl/>
        </w:rPr>
        <w:t>.</w:t>
      </w:r>
      <w:r w:rsidR="007B16C2" w:rsidRPr="00F25744">
        <w:rPr>
          <w:rFonts w:ascii="David" w:hAnsi="David" w:cs="David" w:hint="cs"/>
          <w:sz w:val="24"/>
          <w:szCs w:val="24"/>
          <w:rtl/>
        </w:rPr>
        <w:t xml:space="preserve"> </w:t>
      </w:r>
      <w:r w:rsidR="00DF1617" w:rsidRPr="00F25744">
        <w:rPr>
          <w:rFonts w:ascii="David" w:hAnsi="David" w:cs="David" w:hint="cs"/>
          <w:sz w:val="24"/>
          <w:szCs w:val="24"/>
          <w:rtl/>
        </w:rPr>
        <w:t xml:space="preserve">ההליך בתיקי הפלת"ד אמנם נועד להיות פשוט יותר, </w:t>
      </w:r>
      <w:r w:rsidR="00DF1617" w:rsidRPr="00F25744">
        <w:rPr>
          <w:rFonts w:cs="David" w:hint="cs"/>
          <w:sz w:val="24"/>
          <w:szCs w:val="24"/>
          <w:rtl/>
        </w:rPr>
        <w:t xml:space="preserve">שכן שאלת החבות בדרך כלל אינה מצריכה דיון בתיקים אלו, </w:t>
      </w:r>
      <w:r w:rsidR="00DF1617" w:rsidRPr="00F25744">
        <w:rPr>
          <w:rFonts w:ascii="David" w:hAnsi="David" w:cs="David" w:hint="cs"/>
          <w:sz w:val="24"/>
          <w:szCs w:val="24"/>
          <w:rtl/>
        </w:rPr>
        <w:t xml:space="preserve">ועל כן בדרך כלל אין מדובר בתיקים מאד מסובכים מבחינה משפטית. חרף זאת, תיקי הפלת"ד נוטים לארוך זמן ממושך, </w:t>
      </w:r>
      <w:r w:rsidR="007B16C2" w:rsidRPr="00F25744">
        <w:rPr>
          <w:rFonts w:ascii="David" w:hAnsi="David" w:cs="David" w:hint="cs"/>
          <w:sz w:val="24"/>
          <w:szCs w:val="24"/>
          <w:rtl/>
        </w:rPr>
        <w:t xml:space="preserve">שכן </w:t>
      </w:r>
      <w:r w:rsidR="007B16C2" w:rsidRPr="00F25744">
        <w:rPr>
          <w:rFonts w:cs="David" w:hint="cs"/>
          <w:sz w:val="24"/>
          <w:szCs w:val="24"/>
          <w:rtl/>
        </w:rPr>
        <w:t xml:space="preserve">לעתים מתעוררות סוגיות נזק מורכבות המצריכות מינוי כמה מומחים מטעם בית המשפט, ולעתים גם מומחים בתחום השיקום, עניין שמאריך את הדיון באופן ניכר, ומעלה את כמות ההחלטות והדיונים, ובהתאמה - את הזמן השיפוטי הנדרש לטיפול בתיק. סוגיות הנזק המורכבות מחייבות גם הקדשת זמן ממושך להכנת תחשיבי הנזק, וכן ציינו השופטים את </w:t>
      </w:r>
      <w:r w:rsidR="007B16C2" w:rsidRPr="00F25744">
        <w:rPr>
          <w:rFonts w:ascii="David" w:hAnsi="David" w:cs="David" w:hint="cs"/>
          <w:sz w:val="24"/>
          <w:szCs w:val="24"/>
          <w:rtl/>
        </w:rPr>
        <w:t xml:space="preserve">הסיכוי הנמוך יותר להגיע לפשרות בתיקים אלו. </w:t>
      </w:r>
      <w:r w:rsidR="00DF1617" w:rsidRPr="00F25744">
        <w:rPr>
          <w:rFonts w:ascii="David" w:hAnsi="David" w:cs="David" w:hint="cs"/>
          <w:sz w:val="24"/>
          <w:szCs w:val="24"/>
          <w:rtl/>
        </w:rPr>
        <w:t xml:space="preserve"> </w:t>
      </w:r>
      <w:r w:rsidR="00DF1617" w:rsidRPr="00F25744">
        <w:rPr>
          <w:rFonts w:cs="David" w:hint="cs"/>
          <w:sz w:val="24"/>
          <w:szCs w:val="24"/>
          <w:rtl/>
        </w:rPr>
        <w:t xml:space="preserve"> </w:t>
      </w:r>
    </w:p>
    <w:p w14:paraId="54A42FC9" w14:textId="77777777" w:rsidR="002A3032" w:rsidRPr="00F25744" w:rsidRDefault="00E25AE7" w:rsidP="00F900D7">
      <w:pPr>
        <w:spacing w:before="120" w:after="0" w:line="360" w:lineRule="auto"/>
        <w:ind w:left="-1"/>
        <w:jc w:val="both"/>
        <w:rPr>
          <w:rFonts w:cs="David"/>
          <w:sz w:val="24"/>
          <w:szCs w:val="24"/>
          <w:rtl/>
        </w:rPr>
      </w:pPr>
      <w:r w:rsidRPr="00F25744">
        <w:rPr>
          <w:rFonts w:cs="David" w:hint="cs"/>
          <w:sz w:val="24"/>
          <w:szCs w:val="24"/>
          <w:rtl/>
        </w:rPr>
        <w:lastRenderedPageBreak/>
        <w:t xml:space="preserve">עניין נוסף שעלה מהשיחות עם שופטי המחוזי הוא ההשוואה בין תיקי רשלנות רפואית לתיקי נזיקין </w:t>
      </w:r>
      <w:r w:rsidRPr="00F25744">
        <w:rPr>
          <w:rFonts w:cs="David"/>
          <w:sz w:val="24"/>
          <w:szCs w:val="24"/>
          <w:rtl/>
        </w:rPr>
        <w:t>–</w:t>
      </w:r>
      <w:r w:rsidRPr="00F25744">
        <w:rPr>
          <w:rFonts w:cs="David" w:hint="cs"/>
          <w:sz w:val="24"/>
          <w:szCs w:val="24"/>
          <w:rtl/>
        </w:rPr>
        <w:t xml:space="preserve"> חבויות. </w:t>
      </w:r>
      <w:r w:rsidR="00AF6EF8" w:rsidRPr="00F25744">
        <w:rPr>
          <w:rFonts w:cs="David" w:hint="cs"/>
          <w:sz w:val="24"/>
          <w:szCs w:val="24"/>
          <w:rtl/>
        </w:rPr>
        <w:t xml:space="preserve">כאשר מנסים להבין מדוע הזמן השיפוטי שנמדד ביחס לתיקי רשלנות רפואית נמוך ביחס לתיקי נזיקין חשוב לשים לב לכך שבתיקי נזיקין, 42.5% מהתיקים מסתיימים בפסק דין מנומק לעומת 13% בלבד מתיקי רשלנות רפואית אשר מסתיימים בפסק דין מנומק. כמו כן, בתיקי רשלנות רפואית כמעט 80% מהתיקים מסתיימים בפשרה, לעומת מעט מעל מחצית מתיקי הנזיקין המסתיימים בפשרה. הסתברות זו משליכה גם על הסיכוי לקיומו של דיון הוכחות בתיק. ואכן, מהשיחות עם השופטים עולה, כי בתיקי רשלנות רפואית קיים תמריץ ניכר לצדדים </w:t>
      </w:r>
      <w:r w:rsidR="007E1824" w:rsidRPr="00F25744">
        <w:rPr>
          <w:rFonts w:cs="David" w:hint="cs"/>
          <w:sz w:val="24"/>
          <w:szCs w:val="24"/>
          <w:rtl/>
        </w:rPr>
        <w:t xml:space="preserve">לסיים </w:t>
      </w:r>
      <w:r w:rsidR="00AF6EF8" w:rsidRPr="00F25744">
        <w:rPr>
          <w:rFonts w:cs="David" w:hint="cs"/>
          <w:sz w:val="24"/>
          <w:szCs w:val="24"/>
          <w:rtl/>
        </w:rPr>
        <w:t>את ה</w:t>
      </w:r>
      <w:r w:rsidR="00341018" w:rsidRPr="00F25744">
        <w:rPr>
          <w:rFonts w:cs="David" w:hint="cs"/>
          <w:sz w:val="24"/>
          <w:szCs w:val="24"/>
          <w:rtl/>
        </w:rPr>
        <w:t>הליך בפשרה</w:t>
      </w:r>
      <w:r w:rsidR="00AF6EF8" w:rsidRPr="00F25744">
        <w:rPr>
          <w:rFonts w:cs="David" w:hint="cs"/>
          <w:sz w:val="24"/>
          <w:szCs w:val="24"/>
          <w:rtl/>
        </w:rPr>
        <w:t xml:space="preserve">. אמנם, תיקי הרשלנות הרפואית אשר מתנהלים לכל אורכם ללא ספק מצריכים שעות רבות של דיונים וכתיבה, אבל ממוצע הזמנים לסוג עניין זה יורד בשל ריבוי התיקים </w:t>
      </w:r>
      <w:r w:rsidR="007E1824" w:rsidRPr="00F25744">
        <w:rPr>
          <w:rFonts w:cs="David" w:hint="cs"/>
          <w:sz w:val="24"/>
          <w:szCs w:val="24"/>
          <w:rtl/>
        </w:rPr>
        <w:t xml:space="preserve">שמסתיימים </w:t>
      </w:r>
      <w:r w:rsidR="00AF6EF8" w:rsidRPr="00F25744">
        <w:rPr>
          <w:rFonts w:cs="David" w:hint="cs"/>
          <w:sz w:val="24"/>
          <w:szCs w:val="24"/>
          <w:rtl/>
        </w:rPr>
        <w:t>בפשרות וללא דיוני הוכחות. על כן, נתונים אלו משפיעים משמעותית על הזמנים השיפוטיים הממוצעים לסוגי תיקים אלו.</w:t>
      </w:r>
    </w:p>
    <w:p w14:paraId="39CA1154" w14:textId="77777777" w:rsidR="00AE6BC1" w:rsidRPr="00F25744" w:rsidRDefault="00E25AE7" w:rsidP="00F900D7">
      <w:pPr>
        <w:spacing w:before="120" w:after="0" w:line="360" w:lineRule="auto"/>
        <w:jc w:val="both"/>
        <w:rPr>
          <w:rFonts w:cs="David"/>
          <w:sz w:val="24"/>
          <w:szCs w:val="24"/>
          <w:rtl/>
        </w:rPr>
      </w:pPr>
      <w:r w:rsidRPr="00F25744">
        <w:rPr>
          <w:rFonts w:cs="David" w:hint="cs"/>
          <w:sz w:val="24"/>
          <w:szCs w:val="24"/>
          <w:rtl/>
        </w:rPr>
        <w:t xml:space="preserve">הסבר נוסף להבדלים המשמעותיים בזמנים לעומת הערכות השופטים לגבי חלק מסוגי העניין בתיקי  הת"א, עשוי להיות </w:t>
      </w:r>
      <w:r w:rsidR="00CD766D" w:rsidRPr="00F25744">
        <w:rPr>
          <w:rFonts w:cs="David" w:hint="cs"/>
          <w:sz w:val="24"/>
          <w:szCs w:val="24"/>
          <w:rtl/>
        </w:rPr>
        <w:t>טמון בהבדלים</w:t>
      </w:r>
      <w:r w:rsidRPr="00F25744">
        <w:rPr>
          <w:rFonts w:cs="David" w:hint="cs"/>
          <w:sz w:val="24"/>
          <w:szCs w:val="24"/>
          <w:rtl/>
        </w:rPr>
        <w:t xml:space="preserve"> הקיימים </w:t>
      </w:r>
      <w:r w:rsidRPr="00F25744">
        <w:rPr>
          <w:rFonts w:cs="David" w:hint="cs"/>
          <w:b/>
          <w:bCs/>
          <w:sz w:val="24"/>
          <w:szCs w:val="24"/>
          <w:rtl/>
        </w:rPr>
        <w:t>בין המחוזות</w:t>
      </w:r>
      <w:r w:rsidRPr="00F25744">
        <w:rPr>
          <w:rFonts w:cs="David" w:hint="cs"/>
          <w:sz w:val="24"/>
          <w:szCs w:val="24"/>
          <w:rtl/>
        </w:rPr>
        <w:t xml:space="preserve"> השונים בטיפול בתיקים מאותו סוג עניין, מבחינת העומס המוטל על השופטים. הבדלים אלו עשויים לנבוע מאופן ניהול שונה של התיק ממחוז למחוז, למשל בשל כמות השופטים העוסקים באותו סוג עניין או מידת ההתמחות של השופטים באותו סוג עניין, או מרמת מורכבות שונה הנובעת מעצם העובדה שהתיק מתנהל דווקא במחוז מסוים. </w:t>
      </w:r>
      <w:r w:rsidR="00866B66" w:rsidRPr="00F25744">
        <w:rPr>
          <w:rFonts w:cs="David" w:hint="cs"/>
          <w:sz w:val="24"/>
          <w:szCs w:val="24"/>
          <w:rtl/>
        </w:rPr>
        <w:t xml:space="preserve">ואכן זו הערה משמעותית נוספת שקיבלנו עובר למחקר משופטים רבים. </w:t>
      </w:r>
      <w:r w:rsidR="00DB75DE" w:rsidRPr="00F25744">
        <w:rPr>
          <w:rFonts w:cs="David" w:hint="cs"/>
          <w:sz w:val="24"/>
          <w:szCs w:val="24"/>
          <w:rtl/>
        </w:rPr>
        <w:t>כך, לשם הדוגמה, ייתכן ש</w:t>
      </w:r>
      <w:r w:rsidR="00606E05" w:rsidRPr="00F25744">
        <w:rPr>
          <w:rFonts w:cs="David" w:hint="cs"/>
          <w:sz w:val="24"/>
          <w:szCs w:val="24"/>
          <w:rtl/>
        </w:rPr>
        <w:t xml:space="preserve">זמן </w:t>
      </w:r>
      <w:r w:rsidR="00DB75DE" w:rsidRPr="00F25744">
        <w:rPr>
          <w:rFonts w:cs="David" w:hint="cs"/>
          <w:sz w:val="24"/>
          <w:szCs w:val="24"/>
          <w:rtl/>
        </w:rPr>
        <w:t xml:space="preserve">הטיפול בתיק ת"א מסוג עניין מסוים במחוז </w:t>
      </w:r>
      <w:r w:rsidR="005302CB" w:rsidRPr="00F25744">
        <w:rPr>
          <w:rFonts w:cs="David" w:hint="cs"/>
          <w:sz w:val="24"/>
          <w:szCs w:val="24"/>
          <w:rtl/>
        </w:rPr>
        <w:t xml:space="preserve">ירושלים </w:t>
      </w:r>
      <w:r w:rsidR="00606E05" w:rsidRPr="00F25744">
        <w:rPr>
          <w:rFonts w:cs="David" w:hint="cs"/>
          <w:sz w:val="24"/>
          <w:szCs w:val="24"/>
          <w:rtl/>
        </w:rPr>
        <w:t>יהיה ארוך יותר</w:t>
      </w:r>
      <w:r w:rsidR="00DB75DE" w:rsidRPr="00F25744">
        <w:rPr>
          <w:rFonts w:cs="David" w:hint="cs"/>
          <w:sz w:val="24"/>
          <w:szCs w:val="24"/>
          <w:rtl/>
        </w:rPr>
        <w:t xml:space="preserve">, למשל מפני שבחלק גדול מתיקים אלו הצדדים הם </w:t>
      </w:r>
      <w:r w:rsidR="005302CB" w:rsidRPr="00F25744">
        <w:rPr>
          <w:rFonts w:cs="David" w:hint="cs"/>
          <w:sz w:val="24"/>
          <w:szCs w:val="24"/>
          <w:rtl/>
        </w:rPr>
        <w:t>תושבי מזרח ירושלים</w:t>
      </w:r>
      <w:r w:rsidR="00DB75DE" w:rsidRPr="00F25744">
        <w:rPr>
          <w:rFonts w:cs="David" w:hint="cs"/>
          <w:sz w:val="24"/>
          <w:szCs w:val="24"/>
          <w:rtl/>
        </w:rPr>
        <w:t xml:space="preserve">, ועל כן יש צורך להזמין מתורגמן לדיונים בתיק, </w:t>
      </w:r>
      <w:r w:rsidR="00341018" w:rsidRPr="00F25744">
        <w:rPr>
          <w:rFonts w:cs="David" w:hint="cs"/>
          <w:sz w:val="24"/>
          <w:szCs w:val="24"/>
          <w:rtl/>
        </w:rPr>
        <w:t>באופן שמאריך</w:t>
      </w:r>
      <w:r w:rsidR="00DB75DE" w:rsidRPr="00F25744">
        <w:rPr>
          <w:rFonts w:cs="David" w:hint="cs"/>
          <w:sz w:val="24"/>
          <w:szCs w:val="24"/>
          <w:rtl/>
        </w:rPr>
        <w:t xml:space="preserve"> את זמן הדיון. דוגמה אחרת יכולה להיות תיקי מקרקעין למשל במחוז הדרום, בכל הנוגע ל</w:t>
      </w:r>
      <w:r w:rsidR="00341018" w:rsidRPr="00F25744">
        <w:rPr>
          <w:rFonts w:cs="David" w:hint="cs"/>
          <w:sz w:val="24"/>
          <w:szCs w:val="24"/>
          <w:rtl/>
        </w:rPr>
        <w:t xml:space="preserve">מקרקעין לא מוסדרים, אשר בעניינם </w:t>
      </w:r>
      <w:r w:rsidR="00DB75DE" w:rsidRPr="00F25744">
        <w:rPr>
          <w:rFonts w:cs="David" w:hint="cs"/>
          <w:sz w:val="24"/>
          <w:szCs w:val="24"/>
          <w:rtl/>
        </w:rPr>
        <w:t>התיקים עשויים להיות מסובכים יותר, או שיש ריבוי של צדדים בכל תיק</w:t>
      </w:r>
      <w:r w:rsidR="005302CB" w:rsidRPr="00F25744">
        <w:rPr>
          <w:rFonts w:cs="David" w:hint="cs"/>
          <w:sz w:val="24"/>
          <w:szCs w:val="24"/>
          <w:rtl/>
        </w:rPr>
        <w:t xml:space="preserve"> בהשוואה לתיקי מקרקעין במחוזות האחרים</w:t>
      </w:r>
      <w:r w:rsidR="00DB75DE" w:rsidRPr="00F25744">
        <w:rPr>
          <w:rFonts w:cs="David" w:hint="cs"/>
          <w:sz w:val="24"/>
          <w:szCs w:val="24"/>
          <w:rtl/>
        </w:rPr>
        <w:t xml:space="preserve">. </w:t>
      </w:r>
      <w:r w:rsidR="00043701" w:rsidRPr="00F25744">
        <w:rPr>
          <w:rFonts w:cs="David" w:hint="cs"/>
          <w:sz w:val="24"/>
          <w:szCs w:val="24"/>
          <w:rtl/>
        </w:rPr>
        <w:t>על כן, מעבר ל</w:t>
      </w:r>
      <w:r w:rsidR="00BB0F7A" w:rsidRPr="00F25744">
        <w:rPr>
          <w:rFonts w:cs="David" w:hint="cs"/>
          <w:sz w:val="24"/>
          <w:szCs w:val="24"/>
          <w:rtl/>
        </w:rPr>
        <w:t xml:space="preserve">חישוב </w:t>
      </w:r>
      <w:r w:rsidR="00043701" w:rsidRPr="00F25744">
        <w:rPr>
          <w:rFonts w:cs="David" w:hint="cs"/>
          <w:sz w:val="24"/>
          <w:szCs w:val="24"/>
          <w:rtl/>
        </w:rPr>
        <w:t>ה</w:t>
      </w:r>
      <w:r w:rsidR="00324151" w:rsidRPr="00F25744">
        <w:rPr>
          <w:rFonts w:cs="David" w:hint="cs"/>
          <w:sz w:val="24"/>
          <w:szCs w:val="24"/>
          <w:rtl/>
        </w:rPr>
        <w:t>זמן הממוצע</w:t>
      </w:r>
      <w:r w:rsidR="00043701" w:rsidRPr="00F25744">
        <w:rPr>
          <w:rFonts w:cs="David" w:hint="cs"/>
          <w:sz w:val="24"/>
          <w:szCs w:val="24"/>
          <w:rtl/>
        </w:rPr>
        <w:t xml:space="preserve"> הנפרד לסוגי העניין המרכזיים בתיקי ת"א (אשר גובשו, כאמור, בעצה אחת עם מספר שופטי מחוזי), ניסינו לתת </w:t>
      </w:r>
      <w:r w:rsidR="00324151" w:rsidRPr="00F25744">
        <w:rPr>
          <w:rFonts w:cs="David" w:hint="cs"/>
          <w:sz w:val="24"/>
          <w:szCs w:val="24"/>
          <w:rtl/>
        </w:rPr>
        <w:t xml:space="preserve">זמן </w:t>
      </w:r>
      <w:r w:rsidR="00043701" w:rsidRPr="00F25744">
        <w:rPr>
          <w:rFonts w:cs="David" w:hint="cs"/>
          <w:sz w:val="24"/>
          <w:szCs w:val="24"/>
          <w:rtl/>
        </w:rPr>
        <w:t>נפרד לסוגי העניין המרכזיים, גם בחלוקה למחוזות השיפוט השונים</w:t>
      </w:r>
      <w:r w:rsidR="005302CB" w:rsidRPr="00F25744">
        <w:rPr>
          <w:rFonts w:cs="David" w:hint="cs"/>
          <w:sz w:val="24"/>
          <w:szCs w:val="24"/>
          <w:rtl/>
        </w:rPr>
        <w:t>, על מנת לבחון את השונות האפשרית הקיימת בין המחוזות מהסיבות שהוצגו לעיל ו</w:t>
      </w:r>
      <w:r w:rsidR="00866B66" w:rsidRPr="00F25744">
        <w:rPr>
          <w:rFonts w:cs="David" w:hint="cs"/>
          <w:sz w:val="24"/>
          <w:szCs w:val="24"/>
          <w:rtl/>
        </w:rPr>
        <w:t xml:space="preserve">מסיבות </w:t>
      </w:r>
      <w:r w:rsidR="005302CB" w:rsidRPr="00F25744">
        <w:rPr>
          <w:rFonts w:cs="David" w:hint="cs"/>
          <w:sz w:val="24"/>
          <w:szCs w:val="24"/>
          <w:rtl/>
        </w:rPr>
        <w:t>אחרות</w:t>
      </w:r>
      <w:r w:rsidR="00043701" w:rsidRPr="00F25744">
        <w:rPr>
          <w:rFonts w:cs="David" w:hint="cs"/>
          <w:sz w:val="24"/>
          <w:szCs w:val="24"/>
          <w:rtl/>
        </w:rPr>
        <w:t xml:space="preserve">. </w:t>
      </w:r>
      <w:r w:rsidR="00BB0F7A" w:rsidRPr="00F25744">
        <w:rPr>
          <w:rFonts w:cs="David" w:hint="cs"/>
          <w:sz w:val="24"/>
          <w:szCs w:val="24"/>
          <w:rtl/>
        </w:rPr>
        <w:t xml:space="preserve">עם זאת, התברר כי בחלק גדול מסוגי העניין, החלוקה למחוזות הותירה אותנו עם כמות מועטה של דיווחים על חלק מהאירועים המרכזיים בתיק. </w:t>
      </w:r>
      <w:r w:rsidR="00341018" w:rsidRPr="00F25744">
        <w:rPr>
          <w:rFonts w:cs="David" w:hint="cs"/>
          <w:sz w:val="24"/>
          <w:szCs w:val="24"/>
          <w:rtl/>
        </w:rPr>
        <w:t xml:space="preserve">למשל, שני </w:t>
      </w:r>
      <w:r w:rsidR="007F3A52" w:rsidRPr="00F25744">
        <w:rPr>
          <w:rFonts w:cs="David" w:hint="cs"/>
          <w:sz w:val="24"/>
          <w:szCs w:val="24"/>
          <w:rtl/>
        </w:rPr>
        <w:t>דיווחים בלבד על משך דיון הוכחות בסוג עניין מסוים במחוז מסוים. יש לזכור כי תקופת המחקר כללה חמישה שבועות רצופים בלבד, ועל כן ייתכן, שבירידה לרזולוציה של המחוזות בסוגי העניין השונים בתיק ת"א, לא יתקבל כלל דיווחים על אירוע מסוים בתיק, או שיתקבלו דיווחים מעטים בלבד. בכך אין הכוונה כי תיקים מסוג עניין מסוים לא נשמעו כלל במחוז מסוים, אלא שלא התקיים למשל דיון הוכחות במהלך תקופת המחקר. במצב כזה, הפילוח למחוזות בסוגי העניין השונים הותיר תוצאות לעתים קיצוניות ולא מהימנות דיין על מנת להציג אותן במסגרת דוח מחקר זה. עם זאת, התוצאות שהתקבלו אכן הראו מגמה של זמנים שונים בין המחוזות השונים, וזמנים שונים אלו בהחלט יכולים להוות אחד ההסברים לזמני הטיפול השונים בתיקי הת"א בסוגי העניין השונים, אשר לעתים לא תאמו את ציפיות השופטים.</w:t>
      </w:r>
    </w:p>
    <w:p w14:paraId="18079F28" w14:textId="77777777" w:rsidR="009E0AAF" w:rsidRPr="00F25744" w:rsidRDefault="009E0AAF" w:rsidP="004B4B83">
      <w:pPr>
        <w:spacing w:before="120" w:after="0" w:line="360" w:lineRule="auto"/>
        <w:jc w:val="both"/>
        <w:rPr>
          <w:rFonts w:cs="David"/>
          <w:sz w:val="24"/>
          <w:szCs w:val="24"/>
          <w:rtl/>
        </w:rPr>
      </w:pPr>
      <w:r w:rsidRPr="00F25744">
        <w:rPr>
          <w:rFonts w:cs="David" w:hint="cs"/>
          <w:sz w:val="24"/>
          <w:szCs w:val="24"/>
          <w:rtl/>
        </w:rPr>
        <w:t xml:space="preserve">על אף האמור לעיל, לאור השונות הרבה בין חלק מסוגי העניין בתיקי הת"א לדירוג השופטים, ביצענו תיקוף חוזר של הממצאים מול שופטים שעוסקים באותם סוגי עניין </w:t>
      </w:r>
      <w:r w:rsidRPr="00F25744">
        <w:rPr>
          <w:rFonts w:cs="David"/>
          <w:sz w:val="24"/>
          <w:szCs w:val="24"/>
          <w:rtl/>
        </w:rPr>
        <w:t>–</w:t>
      </w:r>
      <w:r w:rsidRPr="00F25744">
        <w:rPr>
          <w:rFonts w:cs="David" w:hint="cs"/>
          <w:sz w:val="24"/>
          <w:szCs w:val="24"/>
          <w:rtl/>
        </w:rPr>
        <w:t xml:space="preserve"> רשלנות רפואית, פלת"ד וקניין </w:t>
      </w:r>
      <w:r w:rsidRPr="00F25744">
        <w:rPr>
          <w:rFonts w:cs="David" w:hint="cs"/>
          <w:sz w:val="24"/>
          <w:szCs w:val="24"/>
          <w:rtl/>
        </w:rPr>
        <w:lastRenderedPageBreak/>
        <w:t xml:space="preserve">רוחני. </w:t>
      </w:r>
      <w:r w:rsidR="00690D3E" w:rsidRPr="00F25744">
        <w:rPr>
          <w:rFonts w:cs="David" w:hint="cs"/>
          <w:sz w:val="24"/>
          <w:szCs w:val="24"/>
          <w:rtl/>
        </w:rPr>
        <w:t>זאת, בין היתר, בשל כמות מועטה יחסית של דיווחים לגבי רשלנות רפואית וקניי</w:t>
      </w:r>
      <w:r w:rsidR="002D0CA1" w:rsidRPr="00F25744">
        <w:rPr>
          <w:rFonts w:cs="David" w:hint="cs"/>
          <w:sz w:val="24"/>
          <w:szCs w:val="24"/>
          <w:rtl/>
        </w:rPr>
        <w:t>ן</w:t>
      </w:r>
      <w:r w:rsidR="00690D3E" w:rsidRPr="00F25744">
        <w:rPr>
          <w:rFonts w:cs="David" w:hint="cs"/>
          <w:sz w:val="24"/>
          <w:szCs w:val="24"/>
          <w:rtl/>
        </w:rPr>
        <w:t xml:space="preserve"> רוחני. </w:t>
      </w:r>
      <w:r w:rsidR="00FF4071" w:rsidRPr="00F25744">
        <w:rPr>
          <w:rFonts w:cs="David" w:hint="cs"/>
          <w:sz w:val="24"/>
          <w:szCs w:val="24"/>
          <w:rtl/>
        </w:rPr>
        <w:t xml:space="preserve">התיקוף החוזר, כאמור בתחילת פרק זה, נועד </w:t>
      </w:r>
      <w:r w:rsidR="00BD151B" w:rsidRPr="00F25744">
        <w:rPr>
          <w:rFonts w:cs="David" w:hint="cs"/>
          <w:sz w:val="24"/>
          <w:szCs w:val="24"/>
          <w:rtl/>
        </w:rPr>
        <w:t>לבדוק מניין נובע הפער בין הזמנים שנמדדו במחקר ובין הערכות השופטים לגביהם, מה הסיבות לפער, ולהבין את ההליך הייחודי שבו מתנהל כל סוג תיק במטרה לבדוק האם מלוא הייחודיות של כל סוג תיק קיבלה ביטוי הולם במסגרת נוסחת חישוב זמני הטיפול בתיקים.</w:t>
      </w:r>
      <w:r w:rsidR="00FF4071" w:rsidRPr="00F25744">
        <w:rPr>
          <w:rFonts w:cs="David" w:hint="cs"/>
          <w:sz w:val="24"/>
          <w:szCs w:val="24"/>
          <w:rtl/>
        </w:rPr>
        <w:t xml:space="preserve"> זאת</w:t>
      </w:r>
      <w:r w:rsidR="00BD151B" w:rsidRPr="00F25744">
        <w:rPr>
          <w:rFonts w:cs="David" w:hint="cs"/>
          <w:sz w:val="24"/>
          <w:szCs w:val="24"/>
          <w:rtl/>
        </w:rPr>
        <w:t>,</w:t>
      </w:r>
      <w:r w:rsidR="00FF4071" w:rsidRPr="00F25744">
        <w:rPr>
          <w:rFonts w:cs="David" w:hint="cs"/>
          <w:sz w:val="24"/>
          <w:szCs w:val="24"/>
          <w:rtl/>
        </w:rPr>
        <w:t xml:space="preserve"> בעיקר בכל הנוגע לתיקים שלגביהם קיבלנו יחסית מעט דיווחים במהלך המחקר, כמו תיקי רשלנות רפואית וקניין רוחני. לגבי תיקי פלת"ד</w:t>
      </w:r>
      <w:r w:rsidR="000C2460" w:rsidRPr="00F25744">
        <w:rPr>
          <w:rFonts w:cs="David" w:hint="cs"/>
          <w:sz w:val="24"/>
          <w:szCs w:val="24"/>
          <w:rtl/>
        </w:rPr>
        <w:t>,</w:t>
      </w:r>
      <w:r w:rsidR="00FF4071" w:rsidRPr="00F25744">
        <w:rPr>
          <w:rFonts w:cs="David" w:hint="cs"/>
          <w:sz w:val="24"/>
          <w:szCs w:val="24"/>
          <w:rtl/>
        </w:rPr>
        <w:t xml:space="preserve"> למשל</w:t>
      </w:r>
      <w:r w:rsidR="000C2460" w:rsidRPr="00F25744">
        <w:rPr>
          <w:rFonts w:cs="David" w:hint="cs"/>
          <w:sz w:val="24"/>
          <w:szCs w:val="24"/>
          <w:rtl/>
        </w:rPr>
        <w:t>,</w:t>
      </w:r>
      <w:r w:rsidR="00FF4071" w:rsidRPr="00F25744">
        <w:rPr>
          <w:rFonts w:cs="David" w:hint="cs"/>
          <w:sz w:val="24"/>
          <w:szCs w:val="24"/>
          <w:rtl/>
        </w:rPr>
        <w:t xml:space="preserve"> לא מצאנו לנכון לשקלל את הערכות השופטים, </w:t>
      </w:r>
      <w:r w:rsidR="00777AB2" w:rsidRPr="00F25744">
        <w:rPr>
          <w:rFonts w:cs="David" w:hint="cs"/>
          <w:sz w:val="24"/>
          <w:szCs w:val="24"/>
          <w:rtl/>
        </w:rPr>
        <w:t>מאחר ש</w:t>
      </w:r>
      <w:r w:rsidR="00FF4071" w:rsidRPr="00F25744">
        <w:rPr>
          <w:rFonts w:cs="David" w:hint="cs"/>
          <w:sz w:val="24"/>
          <w:szCs w:val="24"/>
          <w:rtl/>
        </w:rPr>
        <w:t>קיבלנו לגבי</w:t>
      </w:r>
      <w:r w:rsidR="00CD766D" w:rsidRPr="00F25744">
        <w:rPr>
          <w:rFonts w:cs="David" w:hint="cs"/>
          <w:sz w:val="24"/>
          <w:szCs w:val="24"/>
          <w:rtl/>
        </w:rPr>
        <w:t>הם</w:t>
      </w:r>
      <w:r w:rsidR="00FF4071" w:rsidRPr="00F25744">
        <w:rPr>
          <w:rFonts w:cs="David" w:hint="cs"/>
          <w:sz w:val="24"/>
          <w:szCs w:val="24"/>
          <w:rtl/>
        </w:rPr>
        <w:t xml:space="preserve"> דיווחים רבים בתקופת המחקר</w:t>
      </w:r>
      <w:r w:rsidR="001032B6" w:rsidRPr="00F25744">
        <w:rPr>
          <w:rFonts w:cs="David" w:hint="cs"/>
          <w:sz w:val="24"/>
          <w:szCs w:val="24"/>
          <w:rtl/>
        </w:rPr>
        <w:t xml:space="preserve">, ולא מצאנו כי רכיב כלשהו בטיפול בתיקי הפלת"ד לא קיבל ביטוי הולם במסגרת נוסחת חישוב זמני הטיפול בתיקים. </w:t>
      </w:r>
      <w:r w:rsidR="00777AB2" w:rsidRPr="00F25744">
        <w:rPr>
          <w:rFonts w:cs="David" w:hint="cs"/>
          <w:sz w:val="24"/>
          <w:szCs w:val="24"/>
          <w:rtl/>
        </w:rPr>
        <w:t>לגבי תיקי רשלנות רפואית וקניין רוחני, שעליהם כאמור קיבלנו מעט דיווחים בתקופת המחקר, ביצענו שקלול מסוים של הערכות השופטים</w:t>
      </w:r>
      <w:r w:rsidR="001032B6" w:rsidRPr="00F25744">
        <w:rPr>
          <w:rFonts w:cs="David" w:hint="cs"/>
          <w:sz w:val="24"/>
          <w:szCs w:val="24"/>
          <w:rtl/>
        </w:rPr>
        <w:t>, שהיו גבוהות יותר,</w:t>
      </w:r>
      <w:r w:rsidR="00777AB2" w:rsidRPr="00F25744">
        <w:rPr>
          <w:rFonts w:cs="David" w:hint="cs"/>
          <w:sz w:val="24"/>
          <w:szCs w:val="24"/>
          <w:rtl/>
        </w:rPr>
        <w:t xml:space="preserve"> עם הנתונים שהיו בידינו, ועל כן כאמור תיקים אלו מסומנים בטבלאות בשתי כוכביות (**). </w:t>
      </w:r>
    </w:p>
    <w:p w14:paraId="77717AA0" w14:textId="77777777" w:rsidR="00153211" w:rsidRPr="00F25744" w:rsidRDefault="00153211" w:rsidP="00F900D7">
      <w:pPr>
        <w:spacing w:after="120" w:line="240" w:lineRule="auto"/>
        <w:rPr>
          <w:rFonts w:ascii="David" w:hAnsi="David" w:cs="David"/>
          <w:sz w:val="24"/>
          <w:szCs w:val="24"/>
          <w:rtl/>
        </w:rPr>
      </w:pPr>
    </w:p>
    <w:p w14:paraId="577A35B3" w14:textId="77777777" w:rsidR="00840519" w:rsidRPr="00F25744" w:rsidRDefault="00E25AE7" w:rsidP="00A54D82">
      <w:pPr>
        <w:pStyle w:val="3"/>
        <w:ind w:left="852"/>
        <w:rPr>
          <w:rtl/>
        </w:rPr>
      </w:pPr>
      <w:bookmarkStart w:id="419" w:name="_Toc46226059"/>
      <w:bookmarkStart w:id="420" w:name="_Toc46226203"/>
      <w:bookmarkStart w:id="421" w:name="_Toc46228370"/>
      <w:bookmarkStart w:id="422" w:name="_Toc46228468"/>
      <w:bookmarkStart w:id="423" w:name="_Toc46230395"/>
      <w:bookmarkStart w:id="424" w:name="_Toc46230493"/>
      <w:bookmarkStart w:id="425" w:name="_Toc46310383"/>
      <w:bookmarkStart w:id="426" w:name="_Toc46414025"/>
      <w:bookmarkStart w:id="427" w:name="_Toc49352757"/>
      <w:bookmarkStart w:id="428" w:name="_Toc49429662"/>
      <w:bookmarkStart w:id="429" w:name="_Toc49435891"/>
      <w:bookmarkStart w:id="430" w:name="_Toc74750989"/>
      <w:r w:rsidRPr="00F25744">
        <w:rPr>
          <w:rFonts w:hint="cs"/>
          <w:rtl/>
        </w:rPr>
        <w:t>תמהיל יום העבודה השיפוטי - מחוזי</w:t>
      </w:r>
      <w:bookmarkEnd w:id="419"/>
      <w:bookmarkEnd w:id="420"/>
      <w:bookmarkEnd w:id="421"/>
      <w:bookmarkEnd w:id="422"/>
      <w:bookmarkEnd w:id="423"/>
      <w:bookmarkEnd w:id="424"/>
      <w:bookmarkEnd w:id="425"/>
      <w:bookmarkEnd w:id="426"/>
      <w:bookmarkEnd w:id="427"/>
      <w:bookmarkEnd w:id="428"/>
      <w:bookmarkEnd w:id="429"/>
      <w:bookmarkEnd w:id="430"/>
    </w:p>
    <w:p w14:paraId="066AEB53" w14:textId="77777777" w:rsidR="00043701" w:rsidRPr="00F25744" w:rsidRDefault="00E25AE7" w:rsidP="00F900D7">
      <w:pPr>
        <w:pStyle w:val="a3"/>
        <w:widowControl w:val="0"/>
        <w:autoSpaceDE w:val="0"/>
        <w:autoSpaceDN w:val="0"/>
        <w:bidi/>
        <w:adjustRightInd w:val="0"/>
        <w:spacing w:before="120" w:after="0" w:line="360" w:lineRule="auto"/>
        <w:ind w:left="0"/>
        <w:rPr>
          <w:rFonts w:ascii="David" w:hAnsi="David" w:cs="David"/>
          <w:sz w:val="24"/>
          <w:szCs w:val="24"/>
          <w:rtl/>
        </w:rPr>
      </w:pPr>
      <w:r w:rsidRPr="00F25744">
        <w:rPr>
          <w:rFonts w:ascii="David" w:hAnsi="David" w:cs="David" w:hint="cs"/>
          <w:sz w:val="24"/>
          <w:szCs w:val="24"/>
          <w:rtl/>
        </w:rPr>
        <w:t>התוצר השני של מחקר עומס העבודה השיפוטית, מעבר לחישוב הזמן השיפוטי הדרוש לטפל בתיקים, הוא כאמור הצגת תמהיל יום העבודה השיפוטי.</w:t>
      </w:r>
      <w:r w:rsidR="001C4B2D" w:rsidRPr="00F25744">
        <w:rPr>
          <w:rFonts w:ascii="David" w:hAnsi="David" w:cs="David" w:hint="cs"/>
          <w:sz w:val="24"/>
          <w:szCs w:val="24"/>
          <w:rtl/>
        </w:rPr>
        <w:t xml:space="preserve"> </w:t>
      </w:r>
      <w:r w:rsidRPr="00F25744">
        <w:rPr>
          <w:rFonts w:ascii="David" w:hAnsi="David" w:cs="David" w:hint="cs"/>
          <w:sz w:val="24"/>
          <w:szCs w:val="24"/>
          <w:rtl/>
        </w:rPr>
        <w:t xml:space="preserve">את יום העבודה השיפוטי ניתן לחלק </w:t>
      </w:r>
      <w:r w:rsidR="00713126" w:rsidRPr="00F25744">
        <w:rPr>
          <w:rFonts w:ascii="David" w:hAnsi="David" w:cs="David" w:hint="cs"/>
          <w:sz w:val="24"/>
          <w:szCs w:val="24"/>
          <w:rtl/>
        </w:rPr>
        <w:t>ל</w:t>
      </w:r>
      <w:r w:rsidRPr="00F25744">
        <w:rPr>
          <w:rFonts w:ascii="David" w:hAnsi="David" w:cs="David" w:hint="cs"/>
          <w:sz w:val="24"/>
          <w:szCs w:val="24"/>
          <w:rtl/>
        </w:rPr>
        <w:t xml:space="preserve">עבודה שיפוטית הקשורה בתיקים (הכנה לדיונים, שמיעת דיונים, כתיבת החלטות ופסקי דין, ואדמיניסטרציה), </w:t>
      </w:r>
      <w:r w:rsidR="00713126" w:rsidRPr="00F25744">
        <w:rPr>
          <w:rFonts w:ascii="David" w:hAnsi="David" w:cs="David" w:hint="cs"/>
          <w:sz w:val="24"/>
          <w:szCs w:val="24"/>
          <w:rtl/>
        </w:rPr>
        <w:t>ו</w:t>
      </w:r>
      <w:r w:rsidRPr="00F25744">
        <w:rPr>
          <w:rFonts w:ascii="David" w:hAnsi="David" w:cs="David" w:hint="cs"/>
          <w:sz w:val="24"/>
          <w:szCs w:val="24"/>
          <w:rtl/>
        </w:rPr>
        <w:t xml:space="preserve">לעבודה שיפוטית שאינה קשורה בתיקים (התעדכנות בפסיקה, ישיבות צוות, השתלמויות וכדומה). על פי הנתונים, 86% מיום העבודה השיפוטי הושקע בעבודה הקשורה בתיקים, ואילו לעבודה שיפוטית שאינה קשורה בתיקים הקדישו השופטים 14% בלבד מהיום השיפוטי הממוצע. </w:t>
      </w:r>
    </w:p>
    <w:p w14:paraId="4ED273B7" w14:textId="04A63EBB" w:rsidR="00043701" w:rsidRDefault="00E25AE7" w:rsidP="00F900D7">
      <w:pPr>
        <w:pStyle w:val="a3"/>
        <w:widowControl w:val="0"/>
        <w:autoSpaceDE w:val="0"/>
        <w:autoSpaceDN w:val="0"/>
        <w:bidi/>
        <w:adjustRightInd w:val="0"/>
        <w:spacing w:before="120" w:after="0" w:line="360" w:lineRule="auto"/>
        <w:ind w:left="0"/>
        <w:rPr>
          <w:rFonts w:ascii="David" w:hAnsi="David" w:cs="David"/>
          <w:sz w:val="24"/>
          <w:szCs w:val="24"/>
          <w:rtl/>
        </w:rPr>
      </w:pPr>
      <w:r w:rsidRPr="00F25744">
        <w:rPr>
          <w:rFonts w:ascii="David" w:hAnsi="David" w:cs="David" w:hint="cs"/>
          <w:b/>
          <w:bCs/>
          <w:sz w:val="24"/>
          <w:szCs w:val="24"/>
          <w:rtl/>
        </w:rPr>
        <w:t>תרשים</w:t>
      </w:r>
      <w:r w:rsidR="007A136C" w:rsidRPr="00F25744">
        <w:rPr>
          <w:rFonts w:ascii="David" w:hAnsi="David" w:cs="David" w:hint="cs"/>
          <w:b/>
          <w:bCs/>
          <w:sz w:val="24"/>
          <w:szCs w:val="24"/>
          <w:rtl/>
        </w:rPr>
        <w:t xml:space="preserve"> 7</w:t>
      </w:r>
      <w:r w:rsidRPr="00F25744">
        <w:rPr>
          <w:rFonts w:ascii="David" w:hAnsi="David" w:cs="David" w:hint="cs"/>
          <w:sz w:val="24"/>
          <w:szCs w:val="24"/>
          <w:rtl/>
        </w:rPr>
        <w:t xml:space="preserve"> שלהלן מפלח את יום העבודה השיפוטי לפעולות השיפוטיות השונות. מהתרשים עולה כי שופט בערכאת המחוזי מקדיש חמישית מיומו בממוצע בהכנה לדיונים, רבע מיומו בממוצע לשמיעת דיונים, וכ-40% מיומו לפעולות הכתיבה השונות (39%). </w:t>
      </w:r>
    </w:p>
    <w:p w14:paraId="7AAE25E5" w14:textId="77777777" w:rsidR="002A1D0C" w:rsidRPr="00F25744" w:rsidRDefault="002A1D0C" w:rsidP="00F900D7">
      <w:pPr>
        <w:pStyle w:val="a3"/>
        <w:widowControl w:val="0"/>
        <w:autoSpaceDE w:val="0"/>
        <w:autoSpaceDN w:val="0"/>
        <w:bidi/>
        <w:adjustRightInd w:val="0"/>
        <w:spacing w:before="120" w:after="0" w:line="360" w:lineRule="auto"/>
        <w:ind w:left="0"/>
        <w:rPr>
          <w:rFonts w:ascii="David" w:hAnsi="David" w:cs="David"/>
          <w:sz w:val="24"/>
          <w:szCs w:val="24"/>
          <w:rtl/>
        </w:rPr>
      </w:pPr>
    </w:p>
    <w:p w14:paraId="05F0AA0C" w14:textId="61C2B88A" w:rsidR="00232DC3" w:rsidRPr="00F25744" w:rsidRDefault="00E25AE7" w:rsidP="00232DC3">
      <w:pPr>
        <w:pStyle w:val="af6"/>
        <w:spacing w:line="240" w:lineRule="auto"/>
        <w:rPr>
          <w:rFonts w:ascii="David" w:hAnsi="David"/>
          <w:sz w:val="24"/>
        </w:rPr>
      </w:pPr>
      <w:bookmarkStart w:id="431" w:name="_Toc76988528"/>
      <w:r w:rsidRPr="00F25744">
        <w:rPr>
          <w:rtl/>
        </w:rPr>
        <w:t xml:space="preserve">תרשים </w:t>
      </w:r>
      <w:r w:rsidRPr="00F25744">
        <w:rPr>
          <w:rFonts w:ascii="David" w:hAnsi="David"/>
          <w:sz w:val="24"/>
          <w:rtl/>
        </w:rPr>
        <w:fldChar w:fldCharType="begin"/>
      </w:r>
      <w:r w:rsidRPr="00F25744">
        <w:rPr>
          <w:rFonts w:ascii="David" w:hAnsi="David"/>
          <w:sz w:val="24"/>
          <w:rtl/>
        </w:rPr>
        <w:instrText xml:space="preserve"> </w:instrText>
      </w:r>
      <w:r w:rsidRPr="00F25744">
        <w:rPr>
          <w:rFonts w:ascii="David" w:hAnsi="David" w:hint="cs"/>
          <w:sz w:val="24"/>
        </w:rPr>
        <w:instrText>SEQ</w:instrText>
      </w:r>
      <w:r w:rsidRPr="00F25744">
        <w:rPr>
          <w:rFonts w:ascii="David" w:hAnsi="David" w:hint="cs"/>
          <w:sz w:val="24"/>
          <w:rtl/>
        </w:rPr>
        <w:instrText xml:space="preserve"> תרשים \* </w:instrText>
      </w:r>
      <w:r w:rsidRPr="00F25744">
        <w:rPr>
          <w:rFonts w:ascii="David" w:hAnsi="David" w:hint="cs"/>
          <w:sz w:val="24"/>
        </w:rPr>
        <w:instrText>ARABIC</w:instrText>
      </w:r>
      <w:r w:rsidRPr="00F25744">
        <w:rPr>
          <w:rFonts w:ascii="David" w:hAnsi="David"/>
          <w:sz w:val="24"/>
          <w:rtl/>
        </w:rPr>
        <w:instrText xml:space="preserve"> </w:instrText>
      </w:r>
      <w:r w:rsidRPr="00F25744">
        <w:rPr>
          <w:rFonts w:ascii="David" w:hAnsi="David"/>
          <w:sz w:val="24"/>
          <w:rtl/>
        </w:rPr>
        <w:fldChar w:fldCharType="separate"/>
      </w:r>
      <w:r w:rsidR="008F1BC3">
        <w:rPr>
          <w:rFonts w:ascii="David" w:hAnsi="David"/>
          <w:noProof/>
          <w:sz w:val="24"/>
          <w:rtl/>
        </w:rPr>
        <w:t>7</w:t>
      </w:r>
      <w:r w:rsidRPr="00F25744">
        <w:rPr>
          <w:rFonts w:ascii="David" w:hAnsi="David"/>
          <w:sz w:val="24"/>
          <w:rtl/>
        </w:rPr>
        <w:fldChar w:fldCharType="end"/>
      </w:r>
      <w:r w:rsidR="007F3A52" w:rsidRPr="00F25744">
        <w:rPr>
          <w:rFonts w:ascii="David" w:hAnsi="David" w:hint="cs"/>
          <w:sz w:val="24"/>
          <w:rtl/>
        </w:rPr>
        <w:t xml:space="preserve">: פילוח יום העבודה השיפוטי </w:t>
      </w:r>
      <w:r w:rsidR="007F3A52" w:rsidRPr="00F25744">
        <w:rPr>
          <w:rFonts w:hint="cs"/>
          <w:rtl/>
        </w:rPr>
        <w:t>הממוצע</w:t>
      </w:r>
      <w:r w:rsidR="007F3A52" w:rsidRPr="00F25744">
        <w:rPr>
          <w:rFonts w:ascii="David" w:hAnsi="David" w:hint="cs"/>
          <w:sz w:val="24"/>
          <w:rtl/>
        </w:rPr>
        <w:t xml:space="preserve"> של שופטי המחוזי</w:t>
      </w:r>
      <w:bookmarkEnd w:id="431"/>
    </w:p>
    <w:p w14:paraId="7CB8388A" w14:textId="77777777" w:rsidR="00043701" w:rsidRPr="00F25744" w:rsidRDefault="00E25AE7" w:rsidP="00232DC3">
      <w:pPr>
        <w:pStyle w:val="af6"/>
        <w:rPr>
          <w:rFonts w:ascii="David" w:hAnsi="David"/>
          <w:b w:val="0"/>
          <w:bCs w:val="0"/>
          <w:sz w:val="24"/>
          <w:rtl/>
        </w:rPr>
      </w:pPr>
      <w:r w:rsidRPr="00F25744">
        <w:rPr>
          <w:noProof/>
        </w:rPr>
        <w:drawing>
          <wp:inline distT="0" distB="0" distL="0" distR="0" wp14:anchorId="106E6C26" wp14:editId="3552C5CB">
            <wp:extent cx="5520055" cy="2618842"/>
            <wp:effectExtent l="0" t="0" r="4445" b="0"/>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541261" name="Picture 9"/>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5530361" cy="2623731"/>
                    </a:xfrm>
                    <a:prstGeom prst="rect">
                      <a:avLst/>
                    </a:prstGeom>
                    <a:noFill/>
                    <a:ln>
                      <a:noFill/>
                    </a:ln>
                  </pic:spPr>
                </pic:pic>
              </a:graphicData>
            </a:graphic>
          </wp:inline>
        </w:drawing>
      </w:r>
    </w:p>
    <w:p w14:paraId="2DA9F19B" w14:textId="77777777" w:rsidR="00043701" w:rsidRPr="00F25744" w:rsidRDefault="00E25AE7" w:rsidP="00F900D7">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 xml:space="preserve">את הזמן המוקדש לכתיבה ניתן לחלק בין פעולות הכתיבה השונות: 43% מזמן הכתיבה מוקדש </w:t>
      </w:r>
      <w:r w:rsidRPr="00F25744">
        <w:rPr>
          <w:rFonts w:ascii="David" w:hAnsi="David" w:cs="David" w:hint="cs"/>
          <w:sz w:val="24"/>
          <w:szCs w:val="24"/>
          <w:rtl/>
        </w:rPr>
        <w:lastRenderedPageBreak/>
        <w:t xml:space="preserve">לכתיבת פסקי דין או החלטות שעניינן סגירת התיק (זמן זה מהווה 17% מתמהיל יום העבודה השיפוטי); 20% מזמן הכתיבה מוקדש לכתיבת החלטות ביניים במסמך עצמאי (המהווים 8% מתמהיל יום העבודה השיפוטי); ו-37% מזמן הכתיבה מושקע בטיפול במשימות בסל העבודה (המהווים 14% מתמהיל יום העבודה השיפוטי). </w:t>
      </w:r>
    </w:p>
    <w:p w14:paraId="2ECE4834" w14:textId="6FA41C52" w:rsidR="00840519" w:rsidRDefault="00E25AE7" w:rsidP="00A26406">
      <w:pPr>
        <w:pStyle w:val="a3"/>
        <w:widowControl w:val="0"/>
        <w:autoSpaceDE w:val="0"/>
        <w:autoSpaceDN w:val="0"/>
        <w:bidi/>
        <w:adjustRightInd w:val="0"/>
        <w:spacing w:before="120" w:after="0" w:line="360" w:lineRule="auto"/>
        <w:ind w:left="0"/>
        <w:rPr>
          <w:rFonts w:ascii="David" w:hAnsi="David" w:cs="David"/>
          <w:sz w:val="24"/>
          <w:szCs w:val="24"/>
          <w:rtl/>
        </w:rPr>
      </w:pPr>
      <w:r w:rsidRPr="00F25744">
        <w:rPr>
          <w:rFonts w:ascii="David" w:hAnsi="David" w:cs="David" w:hint="cs"/>
          <w:sz w:val="24"/>
          <w:szCs w:val="24"/>
          <w:rtl/>
        </w:rPr>
        <w:t xml:space="preserve">את תמהיל יום העבודה השיפוטי הממוצע שהוצג לעיל, נציג בהמשך פרק זה גם בחלוקה לפרמטרים נוספים שעשויים להשפיע על </w:t>
      </w:r>
      <w:r w:rsidR="00341018" w:rsidRPr="00F25744">
        <w:rPr>
          <w:rFonts w:ascii="David" w:hAnsi="David" w:cs="David" w:hint="cs"/>
          <w:sz w:val="24"/>
          <w:szCs w:val="24"/>
          <w:rtl/>
        </w:rPr>
        <w:t>ה</w:t>
      </w:r>
      <w:r w:rsidRPr="00F25744">
        <w:rPr>
          <w:rFonts w:ascii="David" w:hAnsi="David" w:cs="David" w:hint="cs"/>
          <w:sz w:val="24"/>
          <w:szCs w:val="24"/>
          <w:rtl/>
        </w:rPr>
        <w:t xml:space="preserve">תמהיל, כגון האם יש לשופט מערך תמיכה והאם הוא בעל תפקיד נוסף על השפיטה. בתתי הפרקים הבאים, נפלח את תמהיל יום העבודה השיפוטי לרזולוציות נוספות שיש בהן כדי לתרום להבנת אופי העבודה של השופטים והרשמים, והפעולות שהם מבצעים במהלך יום העבודה. </w:t>
      </w:r>
    </w:p>
    <w:p w14:paraId="767E6A40" w14:textId="77FA7AAA" w:rsidR="00A54D82" w:rsidRPr="00F25744" w:rsidRDefault="00A54D82" w:rsidP="00A54D82">
      <w:pPr>
        <w:pStyle w:val="a3"/>
        <w:widowControl w:val="0"/>
        <w:autoSpaceDE w:val="0"/>
        <w:autoSpaceDN w:val="0"/>
        <w:bidi/>
        <w:adjustRightInd w:val="0"/>
        <w:spacing w:before="120" w:after="0" w:line="360" w:lineRule="auto"/>
        <w:ind w:left="0"/>
        <w:rPr>
          <w:rFonts w:ascii="David" w:hAnsi="David" w:cs="David"/>
          <w:sz w:val="24"/>
          <w:szCs w:val="24"/>
          <w:rtl/>
        </w:rPr>
      </w:pPr>
    </w:p>
    <w:p w14:paraId="3AB4D1AD" w14:textId="57FA1022" w:rsidR="00840519" w:rsidRPr="00F25744" w:rsidRDefault="00A54D82" w:rsidP="00A54D82">
      <w:pPr>
        <w:pStyle w:val="4"/>
        <w:ind w:left="994"/>
        <w:rPr>
          <w:rtl/>
        </w:rPr>
      </w:pPr>
      <w:bookmarkStart w:id="432" w:name="_Toc46226060"/>
      <w:bookmarkStart w:id="433" w:name="_Toc46226204"/>
      <w:bookmarkStart w:id="434" w:name="_Toc46228371"/>
      <w:bookmarkStart w:id="435" w:name="_Toc46228469"/>
      <w:bookmarkStart w:id="436" w:name="_Toc46230396"/>
      <w:bookmarkStart w:id="437" w:name="_Toc46230494"/>
      <w:bookmarkStart w:id="438" w:name="_Toc46310384"/>
      <w:bookmarkStart w:id="439" w:name="_Toc46414026"/>
      <w:r>
        <w:rPr>
          <w:rFonts w:hint="cs"/>
          <w:rtl/>
        </w:rPr>
        <w:t xml:space="preserve"> </w:t>
      </w:r>
      <w:bookmarkStart w:id="440" w:name="_Toc74750990"/>
      <w:r w:rsidR="00E25AE7" w:rsidRPr="00F25744">
        <w:rPr>
          <w:rFonts w:hint="cs"/>
          <w:rtl/>
        </w:rPr>
        <w:t>פילוח בהבחנה בין שופט אזרחי לפלילי</w:t>
      </w:r>
      <w:bookmarkEnd w:id="432"/>
      <w:bookmarkEnd w:id="433"/>
      <w:bookmarkEnd w:id="434"/>
      <w:bookmarkEnd w:id="435"/>
      <w:bookmarkEnd w:id="436"/>
      <w:bookmarkEnd w:id="437"/>
      <w:bookmarkEnd w:id="438"/>
      <w:bookmarkEnd w:id="439"/>
      <w:bookmarkEnd w:id="440"/>
      <w:r w:rsidR="00E25AE7" w:rsidRPr="00F25744">
        <w:rPr>
          <w:rFonts w:hint="cs"/>
          <w:rtl/>
        </w:rPr>
        <w:t xml:space="preserve"> </w:t>
      </w:r>
    </w:p>
    <w:p w14:paraId="45DCAB12" w14:textId="77777777" w:rsidR="00043701" w:rsidRPr="00F25744" w:rsidRDefault="00E25AE7" w:rsidP="00F900D7">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בשאלון הרקע, נשאלו השופטים האם רוב התיקים שהם עוסקים בהם הם תיקים אזרחיים, תיקים פליליים או שהם מטפלים בתיקים משני הסוגים. מהממצאים עולה, כי כ-60% מן השופטים בערכאת המחוזי ציינו כי הם מטפלים בתיקים אזרחיים בלבד, 28% הגדירו את עיסוקם בתחום הפלילי בלבד ויתר השופטים (12.6%) ציינו שהם מטפלים בשני סוגי התיקים. על מנת לבחון האם קיים הבדל בתמהיל יום העבודה השיפוטי בין השופטים האזרחיים לשופטים הפליליים, הוחלט לפלח את תמהיל יום העבודה השיפוטי לפי קבוצות אלו.</w:t>
      </w:r>
    </w:p>
    <w:p w14:paraId="3D9BA77B" w14:textId="77777777" w:rsidR="00043701" w:rsidRPr="00F25744" w:rsidRDefault="00E25AE7" w:rsidP="00F900D7">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 xml:space="preserve">התוצאות שנמדדו בהבחנה בין שופטים שהגדירו עצמם בשאלון המקדים כ"אזרחיים" או "פליליים" או "גם וגם", תאמו בסך הכול את הציפיות מחלוקה זו. ניתן לראות כי בערכאת המחוזי הקדישו השופטים הפליליים לשמיעת דיונים, בממוצע, כ-35% מהזמן, לעומת השופטים האזרחיים, אשר הקדישו בממוצע לשמיעת דיונים כ-20% מזמנם. לעומת זאת, פעילות הכתיבה ארכה זמן רב יותר אצל השופטים האזרחיים לעומת הפליליים, כמו גם הטיפול הגורף בסל אשר ארך אצל השופטים האזרחיים כמעט פי </w:t>
      </w:r>
      <w:r w:rsidR="00884063" w:rsidRPr="00F25744">
        <w:rPr>
          <w:rFonts w:ascii="David" w:hAnsi="David" w:cs="David" w:hint="cs"/>
          <w:sz w:val="24"/>
          <w:szCs w:val="24"/>
          <w:rtl/>
        </w:rPr>
        <w:t>שניים</w:t>
      </w:r>
      <w:r w:rsidRPr="00F25744">
        <w:rPr>
          <w:rFonts w:ascii="David" w:hAnsi="David" w:cs="David" w:hint="cs"/>
          <w:sz w:val="24"/>
          <w:szCs w:val="24"/>
          <w:rtl/>
        </w:rPr>
        <w:t xml:space="preserve"> מהזמן שהקדישו לפעילות זו השופטים הפליליים. גם פעילות ההכנה לדיונים ארכה זמן רב יותר אצל השופטים האזרחיים לעומת הפליליים. ממצאים אלו עולים בקנה אחד עם אופי הטיפול השונה בתיקים פליליים לעומת תיקים אזרחיים. בתיקים פליליים לא נדרש זמן הכנה ארוך במיוחד למרבית הדיונים, </w:t>
      </w:r>
      <w:r w:rsidR="00884063" w:rsidRPr="00F25744">
        <w:rPr>
          <w:rFonts w:ascii="David" w:hAnsi="David" w:cs="David" w:hint="cs"/>
          <w:sz w:val="24"/>
          <w:szCs w:val="24"/>
          <w:rtl/>
        </w:rPr>
        <w:t>וחלק ניכר מ</w:t>
      </w:r>
      <w:r w:rsidRPr="00F25744">
        <w:rPr>
          <w:rFonts w:ascii="David" w:hAnsi="David" w:cs="David" w:hint="cs"/>
          <w:sz w:val="24"/>
          <w:szCs w:val="24"/>
          <w:rtl/>
        </w:rPr>
        <w:t xml:space="preserve">פעילות הכתיבה </w:t>
      </w:r>
      <w:r w:rsidR="00884063" w:rsidRPr="00F25744">
        <w:rPr>
          <w:rFonts w:ascii="David" w:hAnsi="David" w:cs="David" w:hint="cs"/>
          <w:sz w:val="24"/>
          <w:szCs w:val="24"/>
          <w:rtl/>
        </w:rPr>
        <w:t xml:space="preserve">נעשה </w:t>
      </w:r>
      <w:r w:rsidRPr="00F25744">
        <w:rPr>
          <w:rFonts w:ascii="David" w:hAnsi="David" w:cs="David" w:hint="cs"/>
          <w:sz w:val="24"/>
          <w:szCs w:val="24"/>
          <w:rtl/>
        </w:rPr>
        <w:t>באולם. מרבית הזמן השיפוטי מוקדש בתיקים הפליליים לשמיעת הדיונים, וזו הפעילות העיקרית בהם. בתיקים האזרחיים לעומת ז</w:t>
      </w:r>
      <w:r w:rsidR="00CD6872" w:rsidRPr="00F25744">
        <w:rPr>
          <w:rFonts w:ascii="David" w:hAnsi="David" w:cs="David" w:hint="cs"/>
          <w:sz w:val="24"/>
          <w:szCs w:val="24"/>
          <w:rtl/>
        </w:rPr>
        <w:t>את</w:t>
      </w:r>
      <w:r w:rsidRPr="00F25744">
        <w:rPr>
          <w:rFonts w:ascii="David" w:hAnsi="David" w:cs="David" w:hint="cs"/>
          <w:sz w:val="24"/>
          <w:szCs w:val="24"/>
          <w:rtl/>
        </w:rPr>
        <w:t xml:space="preserve"> מוקדש פחות זמן לשמיעת הדיונים בממוצע, אולם מוקדש זמן רב יותר לכתיבת ההחלטות ופסקי הדין ולהכנה לקראת הדיונים. עוד ניתן לראות, כי השופטים שהגדירו עצמם כ"גם וגם", דהיינו </w:t>
      </w:r>
      <w:r w:rsidRPr="00F25744">
        <w:rPr>
          <w:rFonts w:ascii="David" w:hAnsi="David" w:cs="David"/>
          <w:sz w:val="24"/>
          <w:szCs w:val="24"/>
          <w:rtl/>
        </w:rPr>
        <w:t>–</w:t>
      </w:r>
      <w:r w:rsidRPr="00F25744">
        <w:rPr>
          <w:rFonts w:ascii="David" w:hAnsi="David" w:cs="David" w:hint="cs"/>
          <w:sz w:val="24"/>
          <w:szCs w:val="24"/>
          <w:rtl/>
        </w:rPr>
        <w:t xml:space="preserve"> מטפלים בתיקים אזרחיים ופליליים, אכן מקדישים בממוצע, לרוב הפעולות השיפוטיות, זמן שנמצא בטווח שבין הזמן שמקדישים שופטים פליליים ו</w:t>
      </w:r>
      <w:r w:rsidR="00D4041A" w:rsidRPr="00F25744">
        <w:rPr>
          <w:rFonts w:ascii="David" w:hAnsi="David" w:cs="David" w:hint="cs"/>
          <w:sz w:val="24"/>
          <w:szCs w:val="24"/>
          <w:rtl/>
        </w:rPr>
        <w:t>ה</w:t>
      </w:r>
      <w:r w:rsidRPr="00F25744">
        <w:rPr>
          <w:rFonts w:ascii="David" w:hAnsi="David" w:cs="David" w:hint="cs"/>
          <w:sz w:val="24"/>
          <w:szCs w:val="24"/>
          <w:rtl/>
        </w:rPr>
        <w:t>זמן שמקדישים שופטים אזרחיים לאותה פעילות.</w:t>
      </w:r>
    </w:p>
    <w:p w14:paraId="177500A3" w14:textId="667CB0B3" w:rsidR="00251BC4" w:rsidRDefault="00E25AE7" w:rsidP="00F900D7">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יש לציין, כי גם במסגרת השאלון המסכם נשאלו שופטי המחוזי והשלום האם הם עוסקים בעיקר בתיקים אזרחיים או פליליים, ותוצאות השאלון תיקפו אף הם את ההבדלים בחלוקת הזמן השיפוטי בין השופטים האזרחיים לפליליים.</w:t>
      </w:r>
    </w:p>
    <w:p w14:paraId="5893B764" w14:textId="77777777" w:rsidR="007D380E" w:rsidRDefault="007D380E" w:rsidP="00F900D7">
      <w:pPr>
        <w:widowControl w:val="0"/>
        <w:autoSpaceDE w:val="0"/>
        <w:autoSpaceDN w:val="0"/>
        <w:adjustRightInd w:val="0"/>
        <w:spacing w:before="120" w:after="0" w:line="360" w:lineRule="auto"/>
        <w:jc w:val="both"/>
        <w:rPr>
          <w:rFonts w:ascii="David" w:hAnsi="David" w:cs="David"/>
          <w:sz w:val="24"/>
          <w:szCs w:val="24"/>
          <w:rtl/>
        </w:rPr>
      </w:pPr>
    </w:p>
    <w:p w14:paraId="46C00DB5" w14:textId="77777777" w:rsidR="00A54D82" w:rsidRPr="00A54D82" w:rsidRDefault="00A54D82" w:rsidP="00A54D82">
      <w:pPr>
        <w:widowControl w:val="0"/>
        <w:autoSpaceDE w:val="0"/>
        <w:autoSpaceDN w:val="0"/>
        <w:adjustRightInd w:val="0"/>
        <w:spacing w:after="0" w:line="240" w:lineRule="auto"/>
        <w:jc w:val="both"/>
        <w:rPr>
          <w:rFonts w:ascii="David" w:hAnsi="David" w:cs="David"/>
          <w:sz w:val="10"/>
          <w:szCs w:val="10"/>
          <w:rtl/>
        </w:rPr>
      </w:pPr>
    </w:p>
    <w:p w14:paraId="6FA52F9F" w14:textId="2E5BF6E9" w:rsidR="00AB2E6C" w:rsidRPr="00F25744" w:rsidRDefault="00E25AE7" w:rsidP="00AB2E6C">
      <w:pPr>
        <w:pStyle w:val="af6"/>
        <w:rPr>
          <w:rtl/>
        </w:rPr>
      </w:pPr>
      <w:bookmarkStart w:id="441" w:name="_Toc76988529"/>
      <w:r w:rsidRPr="00F25744">
        <w:rPr>
          <w:rtl/>
        </w:rPr>
        <w:lastRenderedPageBreak/>
        <w:t xml:space="preserve">תרשים </w:t>
      </w:r>
      <w:r w:rsidRPr="00F25744">
        <w:rPr>
          <w:rtl/>
        </w:rPr>
        <w:fldChar w:fldCharType="begin"/>
      </w:r>
      <w:r w:rsidRPr="00F25744">
        <w:rPr>
          <w:rtl/>
        </w:rPr>
        <w:instrText xml:space="preserve"> </w:instrText>
      </w:r>
      <w:r w:rsidRPr="00F25744">
        <w:rPr>
          <w:rFonts w:hint="cs"/>
        </w:rPr>
        <w:instrText>SEQ</w:instrText>
      </w:r>
      <w:r w:rsidRPr="00F25744">
        <w:rPr>
          <w:rFonts w:hint="cs"/>
          <w:rtl/>
        </w:rPr>
        <w:instrText xml:space="preserve"> תרשים \* </w:instrText>
      </w:r>
      <w:r w:rsidRPr="00F25744">
        <w:rPr>
          <w:rFonts w:hint="cs"/>
        </w:rPr>
        <w:instrText>ARABIC</w:instrText>
      </w:r>
      <w:r w:rsidRPr="00F25744">
        <w:rPr>
          <w:rtl/>
        </w:rPr>
        <w:instrText xml:space="preserve"> </w:instrText>
      </w:r>
      <w:r w:rsidRPr="00F25744">
        <w:rPr>
          <w:rtl/>
        </w:rPr>
        <w:fldChar w:fldCharType="separate"/>
      </w:r>
      <w:r w:rsidR="008F1BC3">
        <w:rPr>
          <w:noProof/>
          <w:rtl/>
        </w:rPr>
        <w:t>8</w:t>
      </w:r>
      <w:r w:rsidRPr="00F25744">
        <w:rPr>
          <w:rtl/>
        </w:rPr>
        <w:fldChar w:fldCharType="end"/>
      </w:r>
      <w:r w:rsidR="003A7D62" w:rsidRPr="00F25744">
        <w:rPr>
          <w:rFonts w:hint="cs"/>
          <w:rtl/>
        </w:rPr>
        <w:t xml:space="preserve">: פילוח </w:t>
      </w:r>
      <w:r w:rsidR="00B4435F" w:rsidRPr="00F25744">
        <w:rPr>
          <w:rFonts w:hint="cs"/>
          <w:rtl/>
        </w:rPr>
        <w:t>הממצאים</w:t>
      </w:r>
      <w:r w:rsidR="005348A4" w:rsidRPr="00F25744">
        <w:rPr>
          <w:rFonts w:hint="cs"/>
          <w:rtl/>
        </w:rPr>
        <w:t xml:space="preserve"> </w:t>
      </w:r>
      <w:r w:rsidR="003A7D62" w:rsidRPr="00F25744">
        <w:rPr>
          <w:rFonts w:hint="cs"/>
          <w:rtl/>
        </w:rPr>
        <w:t>בהבחנה בין שופט אזרחי לפלילי</w:t>
      </w:r>
      <w:bookmarkEnd w:id="441"/>
    </w:p>
    <w:p w14:paraId="6A5380B3" w14:textId="4AAD265A" w:rsidR="00737F8F" w:rsidRPr="00F25744" w:rsidRDefault="00E25AE7" w:rsidP="00AB2E6C">
      <w:pPr>
        <w:pStyle w:val="af6"/>
        <w:rPr>
          <w:rtl/>
        </w:rPr>
      </w:pPr>
      <w:r w:rsidRPr="00F25744">
        <w:rPr>
          <w:noProof/>
        </w:rPr>
        <w:drawing>
          <wp:inline distT="0" distB="0" distL="0" distR="0" wp14:anchorId="2EDF3A0D" wp14:editId="78B18490">
            <wp:extent cx="5492115" cy="2743200"/>
            <wp:effectExtent l="0" t="0" r="0" b="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160365" name="Picture 10"/>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5500013" cy="2747145"/>
                    </a:xfrm>
                    <a:prstGeom prst="rect">
                      <a:avLst/>
                    </a:prstGeom>
                    <a:noFill/>
                    <a:ln>
                      <a:noFill/>
                    </a:ln>
                  </pic:spPr>
                </pic:pic>
              </a:graphicData>
            </a:graphic>
          </wp:inline>
        </w:drawing>
      </w:r>
    </w:p>
    <w:p w14:paraId="207D42AC" w14:textId="77777777" w:rsidR="00840519" w:rsidRPr="00F25744" w:rsidRDefault="00E25AE7" w:rsidP="00D5024A">
      <w:pPr>
        <w:pStyle w:val="2"/>
        <w:rPr>
          <w:rtl/>
        </w:rPr>
      </w:pPr>
      <w:bookmarkStart w:id="442" w:name="_Toc46226063"/>
      <w:bookmarkStart w:id="443" w:name="_Toc46226207"/>
      <w:bookmarkStart w:id="444" w:name="_Toc46228374"/>
      <w:bookmarkStart w:id="445" w:name="_Toc46228472"/>
      <w:bookmarkStart w:id="446" w:name="_Toc46230399"/>
      <w:bookmarkStart w:id="447" w:name="_Toc46230497"/>
      <w:bookmarkStart w:id="448" w:name="_Toc46310387"/>
      <w:bookmarkStart w:id="449" w:name="_Toc46414029"/>
      <w:bookmarkStart w:id="450" w:name="_Toc49352758"/>
      <w:bookmarkStart w:id="451" w:name="_Toc49429663"/>
      <w:bookmarkStart w:id="452" w:name="_Toc49435892"/>
      <w:r w:rsidRPr="00F25744">
        <w:rPr>
          <w:rtl/>
        </w:rPr>
        <w:br w:type="page"/>
      </w:r>
      <w:r w:rsidR="00D5024A" w:rsidRPr="00A54D82">
        <w:rPr>
          <w:rFonts w:hint="cs"/>
          <w:u w:val="none"/>
          <w:rtl/>
        </w:rPr>
        <w:lastRenderedPageBreak/>
        <w:t xml:space="preserve"> </w:t>
      </w:r>
      <w:bookmarkStart w:id="453" w:name="_Toc74750991"/>
      <w:r w:rsidR="00C546DE" w:rsidRPr="00F25744">
        <w:rPr>
          <w:rFonts w:hint="cs"/>
          <w:rtl/>
        </w:rPr>
        <w:t xml:space="preserve">ממצאי </w:t>
      </w:r>
      <w:r w:rsidR="007F3A52" w:rsidRPr="00F25744">
        <w:rPr>
          <w:rFonts w:hint="cs"/>
          <w:rtl/>
        </w:rPr>
        <w:t>ערכאת השלום</w:t>
      </w:r>
      <w:bookmarkEnd w:id="442"/>
      <w:bookmarkEnd w:id="443"/>
      <w:bookmarkEnd w:id="444"/>
      <w:bookmarkEnd w:id="445"/>
      <w:bookmarkEnd w:id="446"/>
      <w:bookmarkEnd w:id="447"/>
      <w:bookmarkEnd w:id="448"/>
      <w:bookmarkEnd w:id="449"/>
      <w:r w:rsidR="007C08E3" w:rsidRPr="00F25744">
        <w:rPr>
          <w:rFonts w:hint="cs"/>
          <w:rtl/>
        </w:rPr>
        <w:t xml:space="preserve"> (לא כולל בתי המשפט לתעבורה, נוער ומשפחה)</w:t>
      </w:r>
      <w:bookmarkEnd w:id="450"/>
      <w:bookmarkEnd w:id="451"/>
      <w:bookmarkEnd w:id="452"/>
      <w:bookmarkEnd w:id="453"/>
    </w:p>
    <w:p w14:paraId="00738CB1" w14:textId="77777777" w:rsidR="00ED144A" w:rsidRPr="00F25744" w:rsidRDefault="00ED144A" w:rsidP="00ED144A">
      <w:pPr>
        <w:spacing w:after="0" w:line="240" w:lineRule="auto"/>
        <w:rPr>
          <w:rtl/>
        </w:rPr>
      </w:pPr>
    </w:p>
    <w:p w14:paraId="6BE90B5C" w14:textId="77777777" w:rsidR="00840519" w:rsidRPr="00F25744" w:rsidRDefault="00E25AE7" w:rsidP="00A54D82">
      <w:pPr>
        <w:pStyle w:val="3"/>
        <w:ind w:left="852"/>
      </w:pPr>
      <w:bookmarkStart w:id="454" w:name="_Toc46226064"/>
      <w:bookmarkStart w:id="455" w:name="_Toc46226208"/>
      <w:bookmarkStart w:id="456" w:name="_Toc46228375"/>
      <w:bookmarkStart w:id="457" w:name="_Toc46228473"/>
      <w:bookmarkStart w:id="458" w:name="_Toc46230400"/>
      <w:bookmarkStart w:id="459" w:name="_Toc46230498"/>
      <w:bookmarkStart w:id="460" w:name="_Toc46310388"/>
      <w:bookmarkStart w:id="461" w:name="_Toc46414030"/>
      <w:bookmarkStart w:id="462" w:name="_Toc49352759"/>
      <w:bookmarkStart w:id="463" w:name="_Toc49429664"/>
      <w:bookmarkStart w:id="464" w:name="_Toc49435893"/>
      <w:bookmarkStart w:id="465" w:name="_Toc74750992"/>
      <w:r w:rsidRPr="00F25744">
        <w:rPr>
          <w:rFonts w:hint="cs"/>
          <w:rtl/>
        </w:rPr>
        <w:t>התאמות ליומני השופטים בערכאת השלום</w:t>
      </w:r>
      <w:bookmarkEnd w:id="454"/>
      <w:bookmarkEnd w:id="455"/>
      <w:bookmarkEnd w:id="456"/>
      <w:bookmarkEnd w:id="457"/>
      <w:bookmarkEnd w:id="458"/>
      <w:bookmarkEnd w:id="459"/>
      <w:bookmarkEnd w:id="460"/>
      <w:bookmarkEnd w:id="461"/>
      <w:bookmarkEnd w:id="462"/>
      <w:bookmarkEnd w:id="463"/>
      <w:bookmarkEnd w:id="464"/>
      <w:bookmarkEnd w:id="465"/>
      <w:r w:rsidRPr="00F25744">
        <w:rPr>
          <w:rFonts w:hint="cs"/>
          <w:rtl/>
        </w:rPr>
        <w:t xml:space="preserve"> </w:t>
      </w:r>
    </w:p>
    <w:p w14:paraId="6665B6F1" w14:textId="77777777" w:rsidR="008D246F" w:rsidRPr="00F25744" w:rsidRDefault="00E25AE7" w:rsidP="00F900D7">
      <w:pPr>
        <w:spacing w:before="120" w:after="0" w:line="360" w:lineRule="auto"/>
        <w:jc w:val="both"/>
        <w:rPr>
          <w:rFonts w:cs="David"/>
          <w:sz w:val="24"/>
          <w:szCs w:val="24"/>
          <w:rtl/>
        </w:rPr>
      </w:pPr>
      <w:r w:rsidRPr="00F25744">
        <w:rPr>
          <w:rFonts w:cs="David" w:hint="cs"/>
          <w:sz w:val="24"/>
          <w:szCs w:val="24"/>
          <w:rtl/>
        </w:rPr>
        <w:t xml:space="preserve">בפרק 2 שעסק במתודולוגיית המחקר, הצגנו את המבנה הבסיסי של היומן שאותו מילאו השופטים במהלך חמשת שבועות המחקר. ביומן בסיסי זה, אשר תיעד את הזמן השיפוטי שאותו הקדישו השופטים במהלך יום העבודה שלהם בפילוח לפעולות השיפוטיות השונות, ערכנו את ההתאמות הבאות לאופי הדיונים הייחודי של ערכאת השלום:  </w:t>
      </w:r>
      <w:r w:rsidR="007F3A52" w:rsidRPr="00F25744">
        <w:rPr>
          <w:rFonts w:cs="David" w:hint="cs"/>
          <w:sz w:val="24"/>
          <w:szCs w:val="24"/>
          <w:rtl/>
        </w:rPr>
        <w:t xml:space="preserve">  </w:t>
      </w:r>
    </w:p>
    <w:p w14:paraId="67281DEE" w14:textId="77777777" w:rsidR="008D246F" w:rsidRPr="00F25744" w:rsidRDefault="00E25AE7" w:rsidP="00F900D7">
      <w:pPr>
        <w:numPr>
          <w:ilvl w:val="0"/>
          <w:numId w:val="18"/>
        </w:numPr>
        <w:spacing w:before="120" w:after="0" w:line="360" w:lineRule="auto"/>
        <w:jc w:val="both"/>
        <w:rPr>
          <w:rFonts w:cs="David"/>
          <w:sz w:val="24"/>
          <w:szCs w:val="24"/>
        </w:rPr>
      </w:pPr>
      <w:r w:rsidRPr="00F25744">
        <w:rPr>
          <w:rFonts w:cs="David" w:hint="cs"/>
          <w:b/>
          <w:bCs/>
          <w:sz w:val="24"/>
          <w:szCs w:val="24"/>
          <w:rtl/>
        </w:rPr>
        <w:t>עמודת סוג העניין</w:t>
      </w:r>
      <w:r w:rsidRPr="00F25744">
        <w:rPr>
          <w:rFonts w:cs="David" w:hint="cs"/>
          <w:sz w:val="24"/>
          <w:szCs w:val="24"/>
          <w:rtl/>
        </w:rPr>
        <w:t xml:space="preserve"> </w:t>
      </w:r>
      <w:r w:rsidRPr="00F25744">
        <w:rPr>
          <w:rFonts w:cs="David"/>
          <w:sz w:val="24"/>
          <w:szCs w:val="24"/>
          <w:rtl/>
        </w:rPr>
        <w:t>–</w:t>
      </w:r>
      <w:r w:rsidRPr="00F25744">
        <w:rPr>
          <w:rFonts w:cs="David" w:hint="cs"/>
          <w:sz w:val="24"/>
          <w:szCs w:val="24"/>
          <w:rtl/>
        </w:rPr>
        <w:t xml:space="preserve"> ליומן העבודה השיפוטי הוספנו עמודה העוסקת בסוג העניין בשתי ערכאות בלבד: המחוזי והשלום. זאת, כמענה </w:t>
      </w:r>
      <w:r w:rsidR="00E83402" w:rsidRPr="00F25744">
        <w:rPr>
          <w:rFonts w:cs="David" w:hint="cs"/>
          <w:sz w:val="24"/>
          <w:szCs w:val="24"/>
          <w:rtl/>
        </w:rPr>
        <w:t>לה</w:t>
      </w:r>
      <w:r w:rsidRPr="00F25744">
        <w:rPr>
          <w:rFonts w:cs="David" w:hint="cs"/>
          <w:sz w:val="24"/>
          <w:szCs w:val="24"/>
          <w:rtl/>
        </w:rPr>
        <w:t xml:space="preserve">ערות שעלו מצד שופטים ונשיאים רבים לגבי מתן </w:t>
      </w:r>
      <w:r w:rsidR="00324151" w:rsidRPr="00F25744">
        <w:rPr>
          <w:rFonts w:cs="David" w:hint="cs"/>
          <w:sz w:val="24"/>
          <w:szCs w:val="24"/>
          <w:rtl/>
        </w:rPr>
        <w:t xml:space="preserve">זמן ממוצע </w:t>
      </w:r>
      <w:r w:rsidRPr="00F25744">
        <w:rPr>
          <w:rFonts w:cs="David" w:hint="cs"/>
          <w:sz w:val="24"/>
          <w:szCs w:val="24"/>
          <w:rtl/>
        </w:rPr>
        <w:t xml:space="preserve">כולל לתיקים מסוג </w:t>
      </w:r>
      <w:r w:rsidRPr="00F25744">
        <w:rPr>
          <w:rFonts w:cs="David" w:hint="cs"/>
          <w:b/>
          <w:bCs/>
          <w:sz w:val="24"/>
          <w:szCs w:val="24"/>
          <w:rtl/>
        </w:rPr>
        <w:t>ת"א</w:t>
      </w:r>
      <w:r w:rsidRPr="00F25744">
        <w:rPr>
          <w:rFonts w:cs="David" w:hint="cs"/>
          <w:sz w:val="24"/>
          <w:szCs w:val="24"/>
          <w:rtl/>
        </w:rPr>
        <w:t xml:space="preserve"> (תיק אזרחי בסדר דין רגיל) במחקר הקודם, מבלי להתחשב בסוגי העניין השונים שהוא כולל.</w:t>
      </w:r>
      <w:r w:rsidR="00D332BA" w:rsidRPr="00F25744">
        <w:rPr>
          <w:rFonts w:cs="David" w:hint="cs"/>
          <w:sz w:val="24"/>
          <w:szCs w:val="24"/>
          <w:rtl/>
        </w:rPr>
        <w:t xml:space="preserve"> זאת, למעט ההבחנה שנעשתה במחקר הקודם בין תיקי ת"א </w:t>
      </w:r>
      <w:r w:rsidR="00D332BA" w:rsidRPr="00F25744">
        <w:rPr>
          <w:rFonts w:cs="David"/>
          <w:sz w:val="24"/>
          <w:szCs w:val="24"/>
          <w:rtl/>
        </w:rPr>
        <w:t>–</w:t>
      </w:r>
      <w:r w:rsidR="00D332BA" w:rsidRPr="00F25744">
        <w:rPr>
          <w:rFonts w:cs="David" w:hint="cs"/>
          <w:sz w:val="24"/>
          <w:szCs w:val="24"/>
          <w:rtl/>
        </w:rPr>
        <w:t xml:space="preserve"> פלת"ד לתיקי ת"א אחרים.</w:t>
      </w:r>
      <w:r w:rsidRPr="00F25744">
        <w:rPr>
          <w:rFonts w:cs="David" w:hint="cs"/>
          <w:sz w:val="24"/>
          <w:szCs w:val="24"/>
          <w:rtl/>
        </w:rPr>
        <w:t xml:space="preserve"> לאור זאת, פנינו לכל נשיאי </w:t>
      </w:r>
      <w:r w:rsidR="005E6E26" w:rsidRPr="00F25744">
        <w:rPr>
          <w:rFonts w:cs="David" w:hint="cs"/>
          <w:sz w:val="24"/>
          <w:szCs w:val="24"/>
          <w:rtl/>
        </w:rPr>
        <w:t xml:space="preserve">בתי משפט </w:t>
      </w:r>
      <w:r w:rsidRPr="00F25744">
        <w:rPr>
          <w:rFonts w:cs="David" w:hint="cs"/>
          <w:sz w:val="24"/>
          <w:szCs w:val="24"/>
          <w:rtl/>
        </w:rPr>
        <w:t xml:space="preserve">השלום בבקשה לפרט את סוגי העניין שלדעתם יש לתת להם </w:t>
      </w:r>
      <w:r w:rsidR="00324151" w:rsidRPr="00F25744">
        <w:rPr>
          <w:rFonts w:cs="David" w:hint="cs"/>
          <w:sz w:val="24"/>
          <w:szCs w:val="24"/>
          <w:rtl/>
        </w:rPr>
        <w:t xml:space="preserve">זמן </w:t>
      </w:r>
      <w:r w:rsidRPr="00F25744">
        <w:rPr>
          <w:rFonts w:cs="David" w:hint="cs"/>
          <w:sz w:val="24"/>
          <w:szCs w:val="24"/>
          <w:rtl/>
        </w:rPr>
        <w:t xml:space="preserve">ייחודי לעומת יתר תיקי הת"א. בתשובותיהם של הנשיאים לא ניתן היה למצוא הסכמה גורפת על סוגי עניין מסוימים. בתחילה ניסינו לחלק לחמישה סוגי עניין מרכזיים שחזרו על עצמם בתשובות הנשיאים, אך גם כאן קיבלנו בקשות משופטים רבים להוסיף עוד סוגי עניין שלהם יינתן </w:t>
      </w:r>
      <w:r w:rsidR="00324151" w:rsidRPr="00F25744">
        <w:rPr>
          <w:rFonts w:cs="David" w:hint="cs"/>
          <w:sz w:val="24"/>
          <w:szCs w:val="24"/>
          <w:rtl/>
        </w:rPr>
        <w:t xml:space="preserve">זמן ממוצע </w:t>
      </w:r>
      <w:r w:rsidRPr="00F25744">
        <w:rPr>
          <w:rFonts w:cs="David" w:hint="cs"/>
          <w:sz w:val="24"/>
          <w:szCs w:val="24"/>
          <w:rtl/>
        </w:rPr>
        <w:t>במסגרת המחקר. על כן גם כאן החלטנו לבדוק את כל סוגי העניין הקיימים בתיקי ת"א בערכאת השלום, והנחינו את השופטים והקלדניות לציין את סוג העניין, כפי שמופיע בכותרת התיק בנט המשפט.</w:t>
      </w:r>
    </w:p>
    <w:p w14:paraId="09112043" w14:textId="77777777" w:rsidR="008D246F" w:rsidRPr="00F25744" w:rsidRDefault="00E25AE7" w:rsidP="00F900D7">
      <w:pPr>
        <w:spacing w:before="120" w:after="0" w:line="360" w:lineRule="auto"/>
        <w:ind w:left="359"/>
        <w:jc w:val="both"/>
        <w:rPr>
          <w:rFonts w:cs="David"/>
          <w:sz w:val="24"/>
          <w:szCs w:val="24"/>
        </w:rPr>
      </w:pPr>
      <w:r w:rsidRPr="00F25744">
        <w:rPr>
          <w:rFonts w:cs="David" w:hint="cs"/>
          <w:sz w:val="24"/>
          <w:szCs w:val="24"/>
          <w:rtl/>
        </w:rPr>
        <w:t>עם זאת, רשימת סוגי העניין המוגדרת במערכת נט המשפט ארוכה ומסורבלת מאד, ולעתים היא כוללת סוגי עניין חופפים או כאל</w:t>
      </w:r>
      <w:r w:rsidR="005E6E26" w:rsidRPr="00F25744">
        <w:rPr>
          <w:rFonts w:cs="David" w:hint="cs"/>
          <w:sz w:val="24"/>
          <w:szCs w:val="24"/>
          <w:rtl/>
        </w:rPr>
        <w:t>ה</w:t>
      </w:r>
      <w:r w:rsidRPr="00F25744">
        <w:rPr>
          <w:rFonts w:cs="David" w:hint="cs"/>
          <w:sz w:val="24"/>
          <w:szCs w:val="24"/>
          <w:rtl/>
        </w:rPr>
        <w:t xml:space="preserve"> שלא ברורים ההבדלים ביניהם. על כן, לאחר תקופת המחקר, ביקשנו ממספר שופטים העוסקים בתחום האזרחי </w:t>
      </w:r>
      <w:r w:rsidR="005E6E26" w:rsidRPr="00F25744">
        <w:rPr>
          <w:rFonts w:cs="David" w:hint="cs"/>
          <w:sz w:val="24"/>
          <w:szCs w:val="24"/>
          <w:rtl/>
        </w:rPr>
        <w:t xml:space="preserve">לצמצם </w:t>
      </w:r>
      <w:r w:rsidRPr="00F25744">
        <w:rPr>
          <w:rFonts w:cs="David" w:hint="cs"/>
          <w:sz w:val="24"/>
          <w:szCs w:val="24"/>
          <w:rtl/>
        </w:rPr>
        <w:t xml:space="preserve">את רשימת סוגי העניין לסוגי העניין העיקריים, שלהם ניתן את </w:t>
      </w:r>
      <w:r w:rsidR="00324151" w:rsidRPr="00F25744">
        <w:rPr>
          <w:rFonts w:cs="David" w:hint="cs"/>
          <w:sz w:val="24"/>
          <w:szCs w:val="24"/>
          <w:rtl/>
        </w:rPr>
        <w:t xml:space="preserve">הזמן </w:t>
      </w:r>
      <w:r w:rsidRPr="00F25744">
        <w:rPr>
          <w:rFonts w:cs="David" w:hint="cs"/>
          <w:sz w:val="24"/>
          <w:szCs w:val="24"/>
          <w:rtl/>
        </w:rPr>
        <w:t>המתאים. את הרשימות שהכינו השופטים ריכזנו, וגיבשנו רשימת סוגי עניין קצרה יותר ואשר ניתנת לבדיקה ועיבוד ביתר קלות</w:t>
      </w:r>
      <w:r w:rsidR="005E6E26" w:rsidRPr="00F25744">
        <w:rPr>
          <w:rFonts w:cs="David" w:hint="cs"/>
          <w:sz w:val="24"/>
          <w:szCs w:val="24"/>
          <w:rtl/>
        </w:rPr>
        <w:t xml:space="preserve">, כך שבמקום 40 </w:t>
      </w:r>
      <w:r w:rsidRPr="00F25744">
        <w:rPr>
          <w:rFonts w:cs="David" w:hint="cs"/>
          <w:sz w:val="24"/>
          <w:szCs w:val="24"/>
          <w:rtl/>
        </w:rPr>
        <w:t>סוגי עניין בתיקי ת"א</w:t>
      </w:r>
      <w:r w:rsidR="00B566A6" w:rsidRPr="00F25744">
        <w:rPr>
          <w:rFonts w:cs="David" w:hint="cs"/>
          <w:sz w:val="24"/>
          <w:szCs w:val="24"/>
          <w:rtl/>
        </w:rPr>
        <w:t xml:space="preserve"> </w:t>
      </w:r>
      <w:r w:rsidRPr="00F25744">
        <w:rPr>
          <w:rFonts w:cs="David" w:hint="cs"/>
          <w:sz w:val="24"/>
          <w:szCs w:val="24"/>
          <w:rtl/>
        </w:rPr>
        <w:t>צמצמנו את הרשימה ל</w:t>
      </w:r>
      <w:r w:rsidR="00E83402" w:rsidRPr="00F25744">
        <w:rPr>
          <w:rFonts w:cs="David" w:hint="cs"/>
          <w:sz w:val="24"/>
          <w:szCs w:val="24"/>
          <w:rtl/>
        </w:rPr>
        <w:t>-</w:t>
      </w:r>
      <w:r w:rsidR="00B566A6" w:rsidRPr="00F25744">
        <w:rPr>
          <w:rFonts w:cs="David" w:hint="cs"/>
          <w:sz w:val="24"/>
          <w:szCs w:val="24"/>
          <w:rtl/>
        </w:rPr>
        <w:t>15</w:t>
      </w:r>
      <w:r w:rsidR="007C16A3" w:rsidRPr="00F25744">
        <w:rPr>
          <w:rFonts w:cs="David" w:hint="cs"/>
          <w:sz w:val="24"/>
          <w:szCs w:val="24"/>
          <w:rtl/>
        </w:rPr>
        <w:t xml:space="preserve"> סוגי עניין מרכזיים, ש</w:t>
      </w:r>
      <w:r w:rsidR="00324151" w:rsidRPr="00F25744">
        <w:rPr>
          <w:rFonts w:cs="David" w:hint="cs"/>
          <w:sz w:val="24"/>
          <w:szCs w:val="24"/>
          <w:rtl/>
        </w:rPr>
        <w:t>זמניהם</w:t>
      </w:r>
      <w:r w:rsidR="007C16A3" w:rsidRPr="00F25744">
        <w:rPr>
          <w:rFonts w:cs="David" w:hint="cs"/>
          <w:sz w:val="24"/>
          <w:szCs w:val="24"/>
          <w:rtl/>
        </w:rPr>
        <w:t xml:space="preserve"> יוצגו להלן</w:t>
      </w:r>
      <w:r w:rsidRPr="00F25744">
        <w:rPr>
          <w:rFonts w:cs="David" w:hint="cs"/>
          <w:sz w:val="24"/>
          <w:szCs w:val="24"/>
          <w:rtl/>
        </w:rPr>
        <w:t>.</w:t>
      </w:r>
      <w:r w:rsidR="006E535A" w:rsidRPr="00F25744">
        <w:rPr>
          <w:rFonts w:cs="David" w:hint="cs"/>
          <w:sz w:val="24"/>
          <w:szCs w:val="24"/>
          <w:rtl/>
        </w:rPr>
        <w:t xml:space="preserve"> את רשימת סוגי העניין לפי נט המשפט וחלוקתה לקטגוריות המצומצמות יותר שאותן בדקנו במחקר זה ניתן לראות ב</w:t>
      </w:r>
      <w:r w:rsidR="006E535A" w:rsidRPr="00F25744">
        <w:rPr>
          <w:rFonts w:cs="David" w:hint="cs"/>
          <w:b/>
          <w:bCs/>
          <w:sz w:val="24"/>
          <w:szCs w:val="24"/>
          <w:rtl/>
        </w:rPr>
        <w:t>נספח ז</w:t>
      </w:r>
      <w:r w:rsidR="00605E3E" w:rsidRPr="00F25744">
        <w:rPr>
          <w:rFonts w:cs="David" w:hint="cs"/>
          <w:b/>
          <w:bCs/>
          <w:sz w:val="24"/>
          <w:szCs w:val="24"/>
          <w:rtl/>
        </w:rPr>
        <w:t>'</w:t>
      </w:r>
      <w:r w:rsidR="006E535A" w:rsidRPr="00F25744">
        <w:rPr>
          <w:rFonts w:cs="David" w:hint="cs"/>
          <w:b/>
          <w:bCs/>
          <w:sz w:val="24"/>
          <w:szCs w:val="24"/>
          <w:rtl/>
        </w:rPr>
        <w:t>.</w:t>
      </w:r>
    </w:p>
    <w:p w14:paraId="710F53EC" w14:textId="77777777" w:rsidR="008D246F" w:rsidRPr="00F25744" w:rsidRDefault="00E25AE7" w:rsidP="00F900D7">
      <w:pPr>
        <w:spacing w:before="120" w:after="0" w:line="360" w:lineRule="auto"/>
        <w:ind w:left="359"/>
        <w:jc w:val="both"/>
        <w:rPr>
          <w:rFonts w:cs="David"/>
          <w:sz w:val="24"/>
          <w:szCs w:val="24"/>
          <w:rtl/>
        </w:rPr>
      </w:pPr>
      <w:r w:rsidRPr="00F25744">
        <w:rPr>
          <w:rFonts w:cs="David" w:hint="cs"/>
          <w:sz w:val="24"/>
          <w:szCs w:val="24"/>
          <w:rtl/>
        </w:rPr>
        <w:t xml:space="preserve">נוסף על כך, קיבלנו בקשות משופטים ונשיאים </w:t>
      </w:r>
      <w:r w:rsidR="00BA44CB" w:rsidRPr="00F25744">
        <w:rPr>
          <w:rFonts w:cs="David" w:hint="cs"/>
          <w:sz w:val="24"/>
          <w:szCs w:val="24"/>
          <w:rtl/>
        </w:rPr>
        <w:t xml:space="preserve">ליצור חלוקה נוספת בתוך תיקים מסוג </w:t>
      </w:r>
      <w:r w:rsidRPr="00F25744">
        <w:rPr>
          <w:rFonts w:cs="David" w:hint="cs"/>
          <w:b/>
          <w:bCs/>
          <w:sz w:val="24"/>
          <w:szCs w:val="24"/>
          <w:rtl/>
        </w:rPr>
        <w:t>תא"מ</w:t>
      </w:r>
      <w:r w:rsidRPr="00F25744">
        <w:rPr>
          <w:rFonts w:cs="David" w:hint="cs"/>
          <w:sz w:val="24"/>
          <w:szCs w:val="24"/>
          <w:rtl/>
        </w:rPr>
        <w:t xml:space="preserve"> (תיק אזרחי בסדר דין מהיר). </w:t>
      </w:r>
      <w:r w:rsidR="00BA44CB" w:rsidRPr="00F25744">
        <w:rPr>
          <w:rFonts w:cs="David" w:hint="cs"/>
          <w:sz w:val="24"/>
          <w:szCs w:val="24"/>
          <w:rtl/>
        </w:rPr>
        <w:t>החלוקה שהתבקשה הייתה בין סו</w:t>
      </w:r>
      <w:r w:rsidRPr="00F25744">
        <w:rPr>
          <w:rFonts w:cs="David" w:hint="cs"/>
          <w:sz w:val="24"/>
          <w:szCs w:val="24"/>
          <w:rtl/>
        </w:rPr>
        <w:t xml:space="preserve">ג העניין "נזקי רכוש </w:t>
      </w:r>
      <w:r w:rsidRPr="00F25744">
        <w:rPr>
          <w:rFonts w:cs="David"/>
          <w:sz w:val="24"/>
          <w:szCs w:val="24"/>
          <w:rtl/>
        </w:rPr>
        <w:t>–</w:t>
      </w:r>
      <w:r w:rsidRPr="00F25744">
        <w:rPr>
          <w:rFonts w:cs="David" w:hint="cs"/>
          <w:sz w:val="24"/>
          <w:szCs w:val="24"/>
          <w:rtl/>
        </w:rPr>
        <w:t xml:space="preserve"> רכב", או מה שמכונה בפי השופטים תיקי "רכב" או "פח אל פח"</w:t>
      </w:r>
      <w:r w:rsidR="00BA44CB" w:rsidRPr="00F25744">
        <w:rPr>
          <w:rFonts w:cs="David" w:hint="cs"/>
          <w:sz w:val="24"/>
          <w:szCs w:val="24"/>
          <w:rtl/>
        </w:rPr>
        <w:t xml:space="preserve">, אשר השופטים סברו כי עליהם לקבל </w:t>
      </w:r>
      <w:r w:rsidR="00324151" w:rsidRPr="00F25744">
        <w:rPr>
          <w:rFonts w:cs="David" w:hint="cs"/>
          <w:sz w:val="24"/>
          <w:szCs w:val="24"/>
          <w:rtl/>
        </w:rPr>
        <w:t xml:space="preserve">זמן </w:t>
      </w:r>
      <w:r w:rsidR="00BA44CB" w:rsidRPr="00F25744">
        <w:rPr>
          <w:rFonts w:cs="David" w:hint="cs"/>
          <w:sz w:val="24"/>
          <w:szCs w:val="24"/>
          <w:rtl/>
        </w:rPr>
        <w:t>נמוך יותר לעומת תיקי התא"מ האחרים</w:t>
      </w:r>
      <w:r w:rsidRPr="00F25744">
        <w:rPr>
          <w:rFonts w:cs="David" w:hint="cs"/>
          <w:sz w:val="24"/>
          <w:szCs w:val="24"/>
          <w:rtl/>
        </w:rPr>
        <w:t xml:space="preserve">. על כן הנחינו את השופטים לציין לגבי כל פעילות שיפוטית שנעשתה בתיק תא"מ האם מדובר בסוג עניין "נזקי רכוש </w:t>
      </w:r>
      <w:r w:rsidRPr="00F25744">
        <w:rPr>
          <w:rFonts w:cs="David"/>
          <w:sz w:val="24"/>
          <w:szCs w:val="24"/>
          <w:rtl/>
        </w:rPr>
        <w:t>–</w:t>
      </w:r>
      <w:r w:rsidRPr="00F25744">
        <w:rPr>
          <w:rFonts w:cs="David" w:hint="cs"/>
          <w:sz w:val="24"/>
          <w:szCs w:val="24"/>
          <w:rtl/>
        </w:rPr>
        <w:t xml:space="preserve"> רכב" או "אחר". </w:t>
      </w:r>
    </w:p>
    <w:p w14:paraId="74137DAA" w14:textId="77777777" w:rsidR="008D246F" w:rsidRPr="00F25744" w:rsidRDefault="00E25AE7" w:rsidP="00F900D7">
      <w:pPr>
        <w:numPr>
          <w:ilvl w:val="0"/>
          <w:numId w:val="18"/>
        </w:numPr>
        <w:spacing w:before="120" w:after="0" w:line="360" w:lineRule="auto"/>
        <w:jc w:val="both"/>
        <w:rPr>
          <w:rFonts w:cs="David"/>
          <w:sz w:val="24"/>
          <w:szCs w:val="24"/>
        </w:rPr>
      </w:pPr>
      <w:r w:rsidRPr="00F25744">
        <w:rPr>
          <w:rFonts w:cs="David" w:hint="cs"/>
          <w:b/>
          <w:bCs/>
          <w:sz w:val="24"/>
          <w:szCs w:val="24"/>
          <w:rtl/>
        </w:rPr>
        <w:t>הכנה לדיוני מוקד/ מעצרים</w:t>
      </w:r>
      <w:r w:rsidRPr="00F25744">
        <w:rPr>
          <w:rFonts w:cs="David" w:hint="cs"/>
          <w:sz w:val="24"/>
          <w:szCs w:val="24"/>
          <w:rtl/>
        </w:rPr>
        <w:t xml:space="preserve"> </w:t>
      </w:r>
      <w:r w:rsidRPr="00F25744">
        <w:rPr>
          <w:rFonts w:cs="David"/>
          <w:sz w:val="24"/>
          <w:szCs w:val="24"/>
          <w:rtl/>
        </w:rPr>
        <w:t>–</w:t>
      </w:r>
      <w:r w:rsidRPr="00F25744">
        <w:rPr>
          <w:rFonts w:cs="David" w:hint="cs"/>
          <w:sz w:val="24"/>
          <w:szCs w:val="24"/>
          <w:rtl/>
        </w:rPr>
        <w:t xml:space="preserve"> במהלך ההדרכות העלו העוזרים המשפטיים את סוגית ימי המוקד. הכוונה לימים שבהם נקבעים מספר רב של תיקים מאותו הסוג (כמפורט בתת הפרק העוסק ביומני הקלדניות בתוך פרק המתודולוגיה). בימי המוקד הפליליים, למשל, נקבעים עשרות תיקי ת"פ לדיון </w:t>
      </w:r>
      <w:r w:rsidR="00605E3E" w:rsidRPr="00F25744">
        <w:rPr>
          <w:rFonts w:cs="David" w:hint="cs"/>
          <w:sz w:val="24"/>
          <w:szCs w:val="24"/>
          <w:rtl/>
        </w:rPr>
        <w:t>מקדמי בדרך כלל</w:t>
      </w:r>
      <w:r w:rsidRPr="00F25744">
        <w:rPr>
          <w:rFonts w:cs="David" w:hint="cs"/>
          <w:sz w:val="24"/>
          <w:szCs w:val="24"/>
          <w:rtl/>
        </w:rPr>
        <w:t xml:space="preserve">. כלומר, מדובר באותו סוג של תיקים ובאותו סוג של דיון. בדומה לכך, בתורנויות </w:t>
      </w:r>
      <w:r w:rsidRPr="00F25744">
        <w:rPr>
          <w:rFonts w:cs="David" w:hint="cs"/>
          <w:sz w:val="24"/>
          <w:szCs w:val="24"/>
          <w:rtl/>
        </w:rPr>
        <w:lastRenderedPageBreak/>
        <w:t>המעצרים נקבעים בד</w:t>
      </w:r>
      <w:r w:rsidR="005E6E26" w:rsidRPr="00F25744">
        <w:rPr>
          <w:rFonts w:cs="David" w:hint="cs"/>
          <w:sz w:val="24"/>
          <w:szCs w:val="24"/>
          <w:rtl/>
        </w:rPr>
        <w:t>רך כלל</w:t>
      </w:r>
      <w:r w:rsidRPr="00F25744">
        <w:rPr>
          <w:rFonts w:cs="David" w:hint="cs"/>
          <w:sz w:val="24"/>
          <w:szCs w:val="24"/>
          <w:rtl/>
        </w:rPr>
        <w:t xml:space="preserve"> מספר רב של תיקי מ"י. קיימים ימים מרוכזים אחרים </w:t>
      </w:r>
      <w:r w:rsidR="00AD6BFE" w:rsidRPr="00F25744">
        <w:rPr>
          <w:rFonts w:cs="David" w:hint="cs"/>
          <w:sz w:val="24"/>
          <w:szCs w:val="24"/>
          <w:rtl/>
        </w:rPr>
        <w:t>במתכונת דומה</w:t>
      </w:r>
      <w:r w:rsidRPr="00F25744">
        <w:rPr>
          <w:rFonts w:cs="David" w:hint="cs"/>
          <w:sz w:val="24"/>
          <w:szCs w:val="24"/>
          <w:rtl/>
        </w:rPr>
        <w:t xml:space="preserve">. לנוכח הכמות הגדולה של התיקים שנשמעים בימים אלו, הבנו כי לא ניתן יהיה לבקש מן השופטים </w:t>
      </w:r>
      <w:r w:rsidR="00F67AA6" w:rsidRPr="00F25744">
        <w:rPr>
          <w:rFonts w:cs="David" w:hint="cs"/>
          <w:sz w:val="24"/>
          <w:szCs w:val="24"/>
          <w:rtl/>
        </w:rPr>
        <w:t>ל</w:t>
      </w:r>
      <w:r w:rsidRPr="00F25744">
        <w:rPr>
          <w:rFonts w:cs="David" w:hint="cs"/>
          <w:sz w:val="24"/>
          <w:szCs w:val="24"/>
          <w:rtl/>
        </w:rPr>
        <w:t>מלא שורה נפרדת</w:t>
      </w:r>
      <w:r w:rsidR="00F67AA6" w:rsidRPr="00F25744">
        <w:rPr>
          <w:rFonts w:cs="David" w:hint="cs"/>
          <w:sz w:val="24"/>
          <w:szCs w:val="24"/>
          <w:rtl/>
        </w:rPr>
        <w:t xml:space="preserve"> על כל תיק</w:t>
      </w:r>
      <w:r w:rsidRPr="00F25744">
        <w:rPr>
          <w:rFonts w:cs="David" w:hint="cs"/>
          <w:sz w:val="24"/>
          <w:szCs w:val="24"/>
          <w:rtl/>
        </w:rPr>
        <w:t xml:space="preserve"> לצורך דיווח על ההכנה לאותם דיונים (הדיווח על הדיונים עצמם נעשה כאמור ביומני הקלדניות, והותאם לצורך העניין יומן מיוחד, כמפורט בתת הפרק העוסק ביומני הקלדניות). על כן הנחינו את השופטים לדווח על ההכנה של אותם תיקים במרוכז, בשורה אחת, במסגרת העמודה של הכנה לדיון שאינו הוכחות, ולציין את מספר התיקים שאליהם התכוננו. </w:t>
      </w:r>
    </w:p>
    <w:p w14:paraId="2AC8E98E" w14:textId="77777777" w:rsidR="008D246F" w:rsidRPr="00F25744" w:rsidRDefault="00E25AE7" w:rsidP="00F900D7">
      <w:pPr>
        <w:numPr>
          <w:ilvl w:val="0"/>
          <w:numId w:val="18"/>
        </w:numPr>
        <w:spacing w:before="120" w:after="0" w:line="360" w:lineRule="auto"/>
        <w:jc w:val="both"/>
        <w:rPr>
          <w:rFonts w:cs="David"/>
          <w:sz w:val="24"/>
          <w:szCs w:val="24"/>
        </w:rPr>
      </w:pPr>
      <w:r w:rsidRPr="00F25744">
        <w:rPr>
          <w:rFonts w:cs="David" w:hint="cs"/>
          <w:b/>
          <w:bCs/>
          <w:sz w:val="24"/>
          <w:szCs w:val="24"/>
          <w:rtl/>
        </w:rPr>
        <w:t xml:space="preserve">תיקים הנסגרים בהסדרי טיעון </w:t>
      </w:r>
      <w:r w:rsidRPr="00F25744">
        <w:rPr>
          <w:rFonts w:cs="David"/>
          <w:sz w:val="24"/>
          <w:szCs w:val="24"/>
          <w:rtl/>
        </w:rPr>
        <w:t>–</w:t>
      </w:r>
      <w:r w:rsidRPr="00F25744">
        <w:rPr>
          <w:rFonts w:cs="David" w:hint="cs"/>
          <w:sz w:val="24"/>
          <w:szCs w:val="24"/>
          <w:rtl/>
        </w:rPr>
        <w:t xml:space="preserve"> לגבי </w:t>
      </w:r>
      <w:r w:rsidRPr="00F25744">
        <w:rPr>
          <w:rFonts w:cs="David" w:hint="cs"/>
          <w:b/>
          <w:bCs/>
          <w:sz w:val="24"/>
          <w:szCs w:val="24"/>
          <w:rtl/>
        </w:rPr>
        <w:t>התיקים הפליליים</w:t>
      </w:r>
      <w:r w:rsidRPr="00F25744">
        <w:rPr>
          <w:rFonts w:cs="David" w:hint="cs"/>
          <w:sz w:val="24"/>
          <w:szCs w:val="24"/>
          <w:rtl/>
        </w:rPr>
        <w:t xml:space="preserve">, הוספנו עמודה המתייחסת לכתיבת פסקי הדין בתיקים שנסגרו </w:t>
      </w:r>
      <w:r w:rsidRPr="00F25744">
        <w:rPr>
          <w:rFonts w:cs="David" w:hint="cs"/>
          <w:b/>
          <w:bCs/>
          <w:sz w:val="24"/>
          <w:szCs w:val="24"/>
          <w:rtl/>
        </w:rPr>
        <w:t>בהסדר טיעון</w:t>
      </w:r>
      <w:r w:rsidRPr="00F25744">
        <w:rPr>
          <w:rFonts w:cs="David" w:hint="cs"/>
          <w:sz w:val="24"/>
          <w:szCs w:val="24"/>
          <w:rtl/>
        </w:rPr>
        <w:t>, תוך הבחנה בין הסדר טיעון פתוח, סגור או הסדר טיעון שבו ניתן טווח ענישה, מתוך הנחה שזמני הכתיבה של פסקי הדין בכל אחת מהאפשרויות הללו שונים. כאן המקום להדגיש כי ברור לנו ש</w:t>
      </w:r>
      <w:r w:rsidR="009868A3" w:rsidRPr="00F25744">
        <w:rPr>
          <w:rFonts w:cs="David" w:hint="cs"/>
          <w:sz w:val="24"/>
          <w:szCs w:val="24"/>
          <w:rtl/>
        </w:rPr>
        <w:t>הרבה מ</w:t>
      </w:r>
      <w:r w:rsidRPr="00F25744">
        <w:rPr>
          <w:rFonts w:cs="David" w:hint="cs"/>
          <w:sz w:val="24"/>
          <w:szCs w:val="24"/>
          <w:rtl/>
        </w:rPr>
        <w:t xml:space="preserve">פסקי הדין בתיקים הפליליים, במיוחד אלו שניתנים לאחר הסדר טיעון סגור, מוכתבים וניתנים באולם. במקרים אלו, זמני כתיבת פסק הדין שניתן באולם חושבו כחלק מזמן הדיון. אולם, על מנת שנוכל למדוד את זמני הכתיבה לגבי אותם פסקי דין פליליים שבכל זאת נכתבו מחוץ לאולם, הוספנו את עמודת הסדרי הטיעון.  </w:t>
      </w:r>
    </w:p>
    <w:p w14:paraId="78B4BDBB" w14:textId="77777777" w:rsidR="004D462B" w:rsidRPr="00F25744" w:rsidRDefault="00E25AE7" w:rsidP="00F900D7">
      <w:pPr>
        <w:spacing w:before="120" w:after="0" w:line="360" w:lineRule="auto"/>
        <w:jc w:val="both"/>
        <w:rPr>
          <w:rFonts w:cs="David"/>
          <w:sz w:val="24"/>
          <w:szCs w:val="24"/>
          <w:rtl/>
        </w:rPr>
      </w:pPr>
      <w:r w:rsidRPr="00F25744">
        <w:rPr>
          <w:rFonts w:cs="David" w:hint="cs"/>
          <w:sz w:val="24"/>
          <w:szCs w:val="24"/>
          <w:rtl/>
        </w:rPr>
        <w:t>ניתן להתרשם מיומן העבודה השיפוטי שנבנה עבור ערכאת השלום ביומן לדוגמה המצורף כ</w:t>
      </w:r>
      <w:r w:rsidRPr="00F25744">
        <w:rPr>
          <w:rFonts w:cs="David" w:hint="cs"/>
          <w:b/>
          <w:bCs/>
          <w:sz w:val="24"/>
          <w:szCs w:val="24"/>
          <w:rtl/>
        </w:rPr>
        <w:t>נספח</w:t>
      </w:r>
      <w:r w:rsidRPr="00F25744">
        <w:rPr>
          <w:rFonts w:cs="David" w:hint="cs"/>
          <w:sz w:val="24"/>
          <w:szCs w:val="24"/>
          <w:rtl/>
        </w:rPr>
        <w:t xml:space="preserve"> </w:t>
      </w:r>
      <w:r w:rsidRPr="00F25744">
        <w:rPr>
          <w:rFonts w:cs="David" w:hint="cs"/>
          <w:b/>
          <w:bCs/>
          <w:sz w:val="24"/>
          <w:szCs w:val="24"/>
          <w:rtl/>
        </w:rPr>
        <w:t>ד2</w:t>
      </w:r>
      <w:r w:rsidRPr="00F25744">
        <w:rPr>
          <w:rFonts w:cs="David" w:hint="cs"/>
          <w:sz w:val="24"/>
          <w:szCs w:val="24"/>
          <w:rtl/>
        </w:rPr>
        <w:t xml:space="preserve">. </w:t>
      </w:r>
    </w:p>
    <w:p w14:paraId="48DFA445" w14:textId="77777777" w:rsidR="00840519" w:rsidRPr="00F25744" w:rsidRDefault="00840519" w:rsidP="008D246F">
      <w:pPr>
        <w:spacing w:after="0" w:line="360" w:lineRule="auto"/>
        <w:ind w:left="-283" w:firstLine="141"/>
        <w:jc w:val="both"/>
        <w:rPr>
          <w:rFonts w:cs="David"/>
          <w:sz w:val="24"/>
          <w:szCs w:val="24"/>
          <w:rtl/>
        </w:rPr>
      </w:pPr>
    </w:p>
    <w:p w14:paraId="46ADD64A" w14:textId="77777777" w:rsidR="00840519" w:rsidRPr="00F25744" w:rsidRDefault="00E25AE7" w:rsidP="00A54D82">
      <w:pPr>
        <w:pStyle w:val="3"/>
        <w:ind w:left="852"/>
        <w:rPr>
          <w:rtl/>
        </w:rPr>
      </w:pPr>
      <w:bookmarkStart w:id="466" w:name="_Toc46226065"/>
      <w:bookmarkStart w:id="467" w:name="_Toc46226209"/>
      <w:bookmarkStart w:id="468" w:name="_Toc46228376"/>
      <w:bookmarkStart w:id="469" w:name="_Toc46228474"/>
      <w:bookmarkStart w:id="470" w:name="_Toc46230401"/>
      <w:bookmarkStart w:id="471" w:name="_Toc46230499"/>
      <w:bookmarkStart w:id="472" w:name="_Toc46310389"/>
      <w:bookmarkStart w:id="473" w:name="_Toc46414031"/>
      <w:bookmarkStart w:id="474" w:name="_Toc49352760"/>
      <w:bookmarkStart w:id="475" w:name="_Toc49429665"/>
      <w:bookmarkStart w:id="476" w:name="_Toc49435894"/>
      <w:bookmarkStart w:id="477" w:name="_Toc74750993"/>
      <w:r w:rsidRPr="00F25744">
        <w:rPr>
          <w:rFonts w:hint="cs"/>
          <w:rtl/>
        </w:rPr>
        <w:t>הזמן השיפוטי הדרוש לטיפול בתיקי ערכאת השלום</w:t>
      </w:r>
      <w:bookmarkEnd w:id="466"/>
      <w:bookmarkEnd w:id="467"/>
      <w:bookmarkEnd w:id="468"/>
      <w:bookmarkEnd w:id="469"/>
      <w:bookmarkEnd w:id="470"/>
      <w:bookmarkEnd w:id="471"/>
      <w:bookmarkEnd w:id="472"/>
      <w:bookmarkEnd w:id="473"/>
      <w:bookmarkEnd w:id="474"/>
      <w:bookmarkEnd w:id="475"/>
      <w:bookmarkEnd w:id="476"/>
      <w:bookmarkEnd w:id="477"/>
    </w:p>
    <w:p w14:paraId="1602ABF4" w14:textId="77777777" w:rsidR="00C438B1" w:rsidRPr="00F25744" w:rsidRDefault="00E25AE7" w:rsidP="00F900D7">
      <w:pPr>
        <w:spacing w:before="120" w:after="0" w:line="360" w:lineRule="auto"/>
        <w:jc w:val="both"/>
        <w:rPr>
          <w:rFonts w:cs="David"/>
          <w:sz w:val="24"/>
          <w:szCs w:val="24"/>
          <w:rtl/>
        </w:rPr>
      </w:pPr>
      <w:r w:rsidRPr="00F25744">
        <w:rPr>
          <w:rFonts w:cs="David" w:hint="cs"/>
          <w:sz w:val="24"/>
          <w:szCs w:val="24"/>
          <w:rtl/>
        </w:rPr>
        <w:t>התוצר הראשון של מחקר עומס העבודה השיפוטית הוא חישוב הזמן השיפוטי הדרוש לטיפול בכל אחד מסוגי התיקים השונים בערכאת השלום. המחקר הנוכחי הצליח לחשב את הזמן השיפוטי הדרוש לטיפול ב-</w:t>
      </w:r>
      <w:r w:rsidR="00E601D4" w:rsidRPr="00F25744">
        <w:rPr>
          <w:rFonts w:cs="David" w:hint="cs"/>
          <w:sz w:val="24"/>
          <w:szCs w:val="24"/>
          <w:rtl/>
        </w:rPr>
        <w:t>46</w:t>
      </w:r>
      <w:r w:rsidRPr="00F25744">
        <w:rPr>
          <w:rFonts w:cs="David" w:hint="cs"/>
          <w:sz w:val="24"/>
          <w:szCs w:val="24"/>
          <w:rtl/>
        </w:rPr>
        <w:t xml:space="preserve"> סוגי התיקים העיקריים בערכאת השלום</w:t>
      </w:r>
      <w:r w:rsidR="009606C7" w:rsidRPr="00F25744">
        <w:rPr>
          <w:rFonts w:cs="David" w:hint="cs"/>
          <w:sz w:val="24"/>
          <w:szCs w:val="24"/>
          <w:rtl/>
        </w:rPr>
        <w:t xml:space="preserve">, ועוד 15 סוגי עניין בתיקי ת"א, ושני סוגי עניין בתיקי תא"מ. </w:t>
      </w:r>
      <w:r w:rsidRPr="00F25744">
        <w:rPr>
          <w:rFonts w:cs="David" w:hint="cs"/>
          <w:sz w:val="24"/>
          <w:szCs w:val="24"/>
          <w:rtl/>
        </w:rPr>
        <w:t xml:space="preserve">כל אלו מהווים כ- 99% מכלל תיקי השלום שנסגרו במהלך שנת 2019. כך, שגם אם לא התאפשר לחשב את הזמן השיפוטי הדרוש לכ-1% מכלל התיקים האחרים, הרי שההשפעה של סוגי התיקים שלגביהם לא חושב הזמן השיפוטי על העומס אינה משמעותית.  </w:t>
      </w:r>
    </w:p>
    <w:p w14:paraId="7F8B65A9" w14:textId="77777777" w:rsidR="00C438B1" w:rsidRPr="00F25744" w:rsidRDefault="00E25AE7" w:rsidP="00F900D7">
      <w:pPr>
        <w:spacing w:before="120" w:after="0" w:line="360" w:lineRule="auto"/>
        <w:jc w:val="both"/>
        <w:rPr>
          <w:rFonts w:cs="David"/>
          <w:sz w:val="24"/>
          <w:szCs w:val="24"/>
          <w:rtl/>
        </w:rPr>
      </w:pPr>
      <w:r w:rsidRPr="00F25744">
        <w:rPr>
          <w:rFonts w:cs="David" w:hint="cs"/>
          <w:sz w:val="24"/>
          <w:szCs w:val="24"/>
          <w:rtl/>
        </w:rPr>
        <w:t xml:space="preserve">בטבלה שלפניכם מובאים </w:t>
      </w:r>
      <w:r w:rsidR="00E601D4" w:rsidRPr="00F25744">
        <w:rPr>
          <w:rFonts w:cs="David" w:hint="cs"/>
          <w:sz w:val="24"/>
          <w:szCs w:val="24"/>
          <w:rtl/>
        </w:rPr>
        <w:t>46</w:t>
      </w:r>
      <w:r w:rsidRPr="00F25744">
        <w:rPr>
          <w:rFonts w:cs="David" w:hint="cs"/>
          <w:sz w:val="24"/>
          <w:szCs w:val="24"/>
          <w:rtl/>
        </w:rPr>
        <w:t xml:space="preserve"> סוגי התיקים שלגביהם נאספו נתונים מספקים בכל מערכי המחקר לגבי ערכאת השלום, יחד עם מספר התיקים מאותו סוג אשר נסגרו במהלך שנת 2019, הזמן השיפוטי הדרוש לטפל בהם, הזמן השיפוטי שנמדד במחקר הקודם ומגמת השינוי מהמחקר הקודם. בתיק מסוג ת"א הוצג גם הזמן המשוקלל, וגם בחלוקה לסוגי העניין המרכזיים בו (הרחבה על כך תינתן בתת הפרק העוסק בתיק מסוג ת"א בהמשך פרק זה), ולגבי תיק תא"מ הוצג גם </w:t>
      </w:r>
      <w:r w:rsidR="00324151" w:rsidRPr="00F25744">
        <w:rPr>
          <w:rFonts w:cs="David" w:hint="cs"/>
          <w:sz w:val="24"/>
          <w:szCs w:val="24"/>
          <w:rtl/>
        </w:rPr>
        <w:t xml:space="preserve">זמנו </w:t>
      </w:r>
      <w:r w:rsidRPr="00F25744">
        <w:rPr>
          <w:rFonts w:cs="David" w:hint="cs"/>
          <w:sz w:val="24"/>
          <w:szCs w:val="24"/>
          <w:rtl/>
        </w:rPr>
        <w:t>המשוקלל וגם ה</w:t>
      </w:r>
      <w:r w:rsidR="00324151" w:rsidRPr="00F25744">
        <w:rPr>
          <w:rFonts w:cs="David" w:hint="cs"/>
          <w:sz w:val="24"/>
          <w:szCs w:val="24"/>
          <w:rtl/>
        </w:rPr>
        <w:t>זמן</w:t>
      </w:r>
      <w:r w:rsidRPr="00F25744">
        <w:rPr>
          <w:rFonts w:cs="David" w:hint="cs"/>
          <w:sz w:val="24"/>
          <w:szCs w:val="24"/>
          <w:rtl/>
        </w:rPr>
        <w:t xml:space="preserve"> המחולק בין תיקי רכב ל"אחר". </w:t>
      </w:r>
      <w:r w:rsidR="007E06CB" w:rsidRPr="00F25744">
        <w:rPr>
          <w:rFonts w:cs="David" w:hint="cs"/>
          <w:sz w:val="24"/>
          <w:szCs w:val="24"/>
          <w:rtl/>
        </w:rPr>
        <w:t xml:space="preserve">הזמנים המשוקללים בתיקי הת"א והתא"מ מוצגים על מנת לספק מבט השוואתי אל מול זמני המחקר הקודם, שבהם לא נעשתה כאמור ההבחנה בין סוגי העניין (למעט ת"א </w:t>
      </w:r>
      <w:r w:rsidR="007E06CB" w:rsidRPr="00F25744">
        <w:rPr>
          <w:rFonts w:cs="David"/>
          <w:sz w:val="24"/>
          <w:szCs w:val="24"/>
          <w:rtl/>
        </w:rPr>
        <w:t>–</w:t>
      </w:r>
      <w:r w:rsidR="007E06CB" w:rsidRPr="00F25744">
        <w:rPr>
          <w:rFonts w:cs="David" w:hint="cs"/>
          <w:sz w:val="24"/>
          <w:szCs w:val="24"/>
          <w:rtl/>
        </w:rPr>
        <w:t xml:space="preserve"> פלת"ד). </w:t>
      </w:r>
      <w:r w:rsidRPr="00F25744">
        <w:rPr>
          <w:rFonts w:cs="David" w:hint="cs"/>
          <w:sz w:val="24"/>
          <w:szCs w:val="24"/>
          <w:rtl/>
        </w:rPr>
        <w:t xml:space="preserve">על כן, בסך הכול מופיעים בטבלה שלפניכם </w:t>
      </w:r>
      <w:r w:rsidR="006E0F00" w:rsidRPr="00F25744">
        <w:rPr>
          <w:rFonts w:cs="David" w:hint="cs"/>
          <w:sz w:val="24"/>
          <w:szCs w:val="24"/>
          <w:rtl/>
        </w:rPr>
        <w:t>65</w:t>
      </w:r>
      <w:r w:rsidRPr="00F25744">
        <w:rPr>
          <w:rFonts w:cs="David" w:hint="cs"/>
          <w:sz w:val="24"/>
          <w:szCs w:val="24"/>
          <w:rtl/>
        </w:rPr>
        <w:t xml:space="preserve"> סוגי תיקים. </w:t>
      </w:r>
    </w:p>
    <w:p w14:paraId="21C8032D" w14:textId="77777777" w:rsidR="003274E9" w:rsidRPr="00F25744" w:rsidRDefault="00E25AE7" w:rsidP="00F900D7">
      <w:pPr>
        <w:spacing w:before="120" w:after="0" w:line="360" w:lineRule="auto"/>
        <w:jc w:val="both"/>
        <w:rPr>
          <w:rFonts w:cs="David"/>
          <w:sz w:val="24"/>
          <w:szCs w:val="24"/>
          <w:rtl/>
        </w:rPr>
      </w:pPr>
      <w:r w:rsidRPr="00F25744">
        <w:rPr>
          <w:rFonts w:cs="David" w:hint="cs"/>
          <w:sz w:val="24"/>
          <w:szCs w:val="24"/>
          <w:rtl/>
        </w:rPr>
        <w:t xml:space="preserve">חשוב לציין, כי לא יכולנו לחשב את זמניהם של סוגי התיקים </w:t>
      </w:r>
      <w:r w:rsidRPr="00F25744">
        <w:rPr>
          <w:rFonts w:cs="David" w:hint="cs"/>
          <w:b/>
          <w:bCs/>
          <w:sz w:val="24"/>
          <w:szCs w:val="24"/>
          <w:rtl/>
        </w:rPr>
        <w:t>הנדירים</w:t>
      </w:r>
      <w:r w:rsidRPr="00F25744">
        <w:rPr>
          <w:rFonts w:cs="David" w:hint="cs"/>
          <w:sz w:val="24"/>
          <w:szCs w:val="24"/>
          <w:rtl/>
        </w:rPr>
        <w:t xml:space="preserve"> ביותר בכל ערכאה, בשל מיעוט הנתונים לגביהם. עם זאת, קיימים סוגי תיקים, אשר לגביהם היו לנו נתונים על כל האירועים בתיק ושכיחותם, אך מעט מהם לגבי חלק מהאירועים שנמדדו, שוב, בשל נדירותם. ניתן לראות זאת למשל בתיקי עמ"ח (</w:t>
      </w:r>
      <w:r w:rsidRPr="00F25744">
        <w:rPr>
          <w:rFonts w:ascii="David" w:hAnsi="David" w:cs="David"/>
          <w:sz w:val="24"/>
          <w:szCs w:val="24"/>
          <w:rtl/>
        </w:rPr>
        <w:t>ערעור לפי חוק חיילים שנספו במערכה</w:t>
      </w:r>
      <w:r w:rsidRPr="00F25744">
        <w:rPr>
          <w:rFonts w:ascii="David" w:hAnsi="David" w:cs="David" w:hint="cs"/>
          <w:sz w:val="24"/>
          <w:szCs w:val="24"/>
          <w:rtl/>
        </w:rPr>
        <w:t>)</w:t>
      </w:r>
      <w:r w:rsidRPr="00F25744">
        <w:rPr>
          <w:rFonts w:cs="David" w:hint="cs"/>
          <w:sz w:val="24"/>
          <w:szCs w:val="24"/>
          <w:rtl/>
        </w:rPr>
        <w:t xml:space="preserve">. תיק זה קיבל את מדד הזמנים הגבוה ביותר </w:t>
      </w:r>
      <w:r w:rsidRPr="00F25744">
        <w:rPr>
          <w:rFonts w:cs="David" w:hint="cs"/>
          <w:sz w:val="24"/>
          <w:szCs w:val="24"/>
          <w:rtl/>
        </w:rPr>
        <w:lastRenderedPageBreak/>
        <w:t>בערכאת השלום, אולם בשנת 2019 נסגרו רק 37 תיקים מסוג זה. על כן, במהלך תקופת המחקר קיבלנו</w:t>
      </w:r>
      <w:r w:rsidR="002A00AA" w:rsidRPr="00F25744">
        <w:rPr>
          <w:rFonts w:cs="David" w:hint="cs"/>
          <w:sz w:val="24"/>
          <w:szCs w:val="24"/>
          <w:rtl/>
        </w:rPr>
        <w:t>, למשל,</w:t>
      </w:r>
      <w:r w:rsidRPr="00F25744">
        <w:rPr>
          <w:rFonts w:cs="David" w:hint="cs"/>
          <w:sz w:val="24"/>
          <w:szCs w:val="24"/>
          <w:rtl/>
        </w:rPr>
        <w:t xml:space="preserve"> רק </w:t>
      </w:r>
      <w:r w:rsidR="005E6E26" w:rsidRPr="00F25744">
        <w:rPr>
          <w:rFonts w:cs="David" w:hint="cs"/>
          <w:sz w:val="24"/>
          <w:szCs w:val="24"/>
          <w:rtl/>
        </w:rPr>
        <w:t xml:space="preserve">שני </w:t>
      </w:r>
      <w:r w:rsidRPr="00F25744">
        <w:rPr>
          <w:rFonts w:cs="David" w:hint="cs"/>
          <w:sz w:val="24"/>
          <w:szCs w:val="24"/>
          <w:rtl/>
        </w:rPr>
        <w:t xml:space="preserve">דיווחים </w:t>
      </w:r>
      <w:r w:rsidR="002A00AA" w:rsidRPr="00F25744">
        <w:rPr>
          <w:rFonts w:cs="David" w:hint="cs"/>
          <w:sz w:val="24"/>
          <w:szCs w:val="24"/>
          <w:rtl/>
        </w:rPr>
        <w:t>על משך דיוני ההוכחות בתיקים אלו</w:t>
      </w:r>
      <w:r w:rsidRPr="00F25744">
        <w:rPr>
          <w:rFonts w:cs="David" w:hint="cs"/>
          <w:sz w:val="24"/>
          <w:szCs w:val="24"/>
          <w:rtl/>
        </w:rPr>
        <w:t xml:space="preserve">. את הנתונים המעטים הללו, ניסינו להשלים בעזרת השאלון המסכם, שבו התבקשו השופטים להעריך את משכי הזמן הדרושים לביצוע פעולות שונות בתיקים שלגביהן קיבלנו מעט נתונים במהלך תקופת המחקר. אולם, בשל נדירותם של אותם תיקים, לעתים גם במסגרת השאלון המסכם לא קיבלנו די דיווחים כדי לבסס ממוצע שבו מרווח הטעות קטן דיו. לפיכך, במקום לוותר לחלוטין על הצגת זמניהם של תיקים אלו, ובעיקר נוכח בקשות השופטים והנשיאים לחשב את זמניהם גם של אותם תיקים נדירים, בחרנו להציג את הזמנים שנמדדו לגביהם בכל זאת. </w:t>
      </w:r>
      <w:r w:rsidRPr="00F25744">
        <w:rPr>
          <w:rFonts w:cs="David" w:hint="cs"/>
          <w:b/>
          <w:bCs/>
          <w:sz w:val="24"/>
          <w:szCs w:val="24"/>
          <w:rtl/>
        </w:rPr>
        <w:t>בנוסף</w:t>
      </w:r>
      <w:r w:rsidRPr="00F25744">
        <w:rPr>
          <w:rFonts w:cs="David" w:hint="cs"/>
          <w:sz w:val="24"/>
          <w:szCs w:val="24"/>
          <w:rtl/>
        </w:rPr>
        <w:t xml:space="preserve">, קיימים סוגי תיקים, אשר לגביהם היו לנו נתונים על כל האירועים בתיק ושכיחותם, אך </w:t>
      </w:r>
      <w:r w:rsidRPr="00F25744">
        <w:rPr>
          <w:rFonts w:cs="David" w:hint="cs"/>
          <w:b/>
          <w:bCs/>
          <w:sz w:val="24"/>
          <w:szCs w:val="24"/>
          <w:rtl/>
        </w:rPr>
        <w:t>מעט מהם לגבי חלק מהאירועים שנמדדו</w:t>
      </w:r>
      <w:r w:rsidRPr="00F25744">
        <w:rPr>
          <w:rFonts w:cs="David" w:hint="cs"/>
          <w:sz w:val="24"/>
          <w:szCs w:val="24"/>
          <w:rtl/>
        </w:rPr>
        <w:t xml:space="preserve">, בין אם בשל נדירותם של אותם סוגי תיקים ובין אם בשל כך שבמהלך תקופת המחקר לא התקבלו לגביהם די דיווחים על פעולות מסוימות, </w:t>
      </w:r>
      <w:r w:rsidRPr="00F25744">
        <w:rPr>
          <w:rFonts w:cs="David" w:hint="cs"/>
          <w:b/>
          <w:bCs/>
          <w:sz w:val="24"/>
          <w:szCs w:val="24"/>
          <w:rtl/>
        </w:rPr>
        <w:t>גם אם התיקים עצמם אינם מאד נדירים</w:t>
      </w:r>
      <w:r w:rsidRPr="00F25744">
        <w:rPr>
          <w:rFonts w:cs="David" w:hint="cs"/>
          <w:sz w:val="24"/>
          <w:szCs w:val="24"/>
          <w:rtl/>
        </w:rPr>
        <w:t>. על כן, לתשומת לבכם, הן התיקים הנדירים, והן התיקים שאינם נדירים אולם לא התקבלו לגביהם נתונים רבים לגבי חלק מהאירועים שבהם במהלך תקופת המחקר, מסומנים בטבלה שלפניכם בכוכבית (</w:t>
      </w:r>
      <w:r w:rsidRPr="00F25744">
        <w:rPr>
          <w:rFonts w:cs="David" w:hint="cs"/>
          <w:b/>
          <w:bCs/>
          <w:sz w:val="24"/>
          <w:szCs w:val="24"/>
          <w:rtl/>
        </w:rPr>
        <w:t>*</w:t>
      </w:r>
      <w:r w:rsidRPr="00F25744">
        <w:rPr>
          <w:rFonts w:cs="David" w:hint="cs"/>
          <w:sz w:val="24"/>
          <w:szCs w:val="24"/>
          <w:rtl/>
        </w:rPr>
        <w:t xml:space="preserve">). </w:t>
      </w:r>
    </w:p>
    <w:p w14:paraId="112E95B7" w14:textId="77777777" w:rsidR="008D246F" w:rsidRPr="00F25744" w:rsidRDefault="00E25AE7" w:rsidP="00F900D7">
      <w:pPr>
        <w:spacing w:before="120" w:after="0" w:line="360" w:lineRule="auto"/>
        <w:jc w:val="both"/>
        <w:rPr>
          <w:rFonts w:cs="David"/>
          <w:sz w:val="24"/>
          <w:szCs w:val="24"/>
          <w:rtl/>
        </w:rPr>
      </w:pPr>
      <w:r w:rsidRPr="00F25744">
        <w:rPr>
          <w:rFonts w:cs="David" w:hint="cs"/>
          <w:sz w:val="24"/>
          <w:szCs w:val="24"/>
          <w:rtl/>
        </w:rPr>
        <w:t>הטבלה מציגה את סוגי התיקים בסדר יורד, מן התיק שדרוש לו הזמן השיפוטי הארוך ביותר ועד התיק שדרוש לו הזמן השיפוטי הקצר ביותר עבור השופט.</w:t>
      </w:r>
    </w:p>
    <w:p w14:paraId="43324215" w14:textId="77777777" w:rsidR="00F900D7" w:rsidRPr="00F25744" w:rsidRDefault="00F900D7" w:rsidP="00A54D82">
      <w:pPr>
        <w:spacing w:before="120" w:after="0" w:line="240" w:lineRule="auto"/>
        <w:jc w:val="both"/>
        <w:rPr>
          <w:rFonts w:cs="David"/>
          <w:sz w:val="24"/>
          <w:szCs w:val="24"/>
          <w:rtl/>
        </w:rPr>
      </w:pPr>
    </w:p>
    <w:p w14:paraId="7A1DE6BC" w14:textId="04E65F87" w:rsidR="008D246F" w:rsidRPr="00F25744" w:rsidRDefault="00E25AE7" w:rsidP="00706796">
      <w:pPr>
        <w:pStyle w:val="af6"/>
        <w:rPr>
          <w:sz w:val="24"/>
          <w:rtl/>
        </w:rPr>
      </w:pPr>
      <w:bookmarkStart w:id="478" w:name="_Toc76988904"/>
      <w:r w:rsidRPr="00F25744">
        <w:rPr>
          <w:rtl/>
        </w:rPr>
        <w:t xml:space="preserve">טבלה </w:t>
      </w:r>
      <w:r w:rsidRPr="00F25744">
        <w:rPr>
          <w:sz w:val="24"/>
          <w:rtl/>
        </w:rPr>
        <w:fldChar w:fldCharType="begin"/>
      </w:r>
      <w:r w:rsidRPr="00F25744">
        <w:rPr>
          <w:sz w:val="24"/>
          <w:rtl/>
        </w:rPr>
        <w:instrText xml:space="preserve"> </w:instrText>
      </w:r>
      <w:r w:rsidRPr="00F25744">
        <w:rPr>
          <w:rFonts w:hint="cs"/>
          <w:sz w:val="24"/>
        </w:rPr>
        <w:instrText>SEQ</w:instrText>
      </w:r>
      <w:r w:rsidRPr="00F25744">
        <w:rPr>
          <w:rFonts w:hint="cs"/>
          <w:sz w:val="24"/>
          <w:rtl/>
        </w:rPr>
        <w:instrText xml:space="preserve"> טבלה \* </w:instrText>
      </w:r>
      <w:r w:rsidRPr="00F25744">
        <w:rPr>
          <w:rFonts w:hint="cs"/>
          <w:sz w:val="24"/>
        </w:rPr>
        <w:instrText>ARABIC</w:instrText>
      </w:r>
      <w:r w:rsidRPr="00F25744">
        <w:rPr>
          <w:sz w:val="24"/>
          <w:rtl/>
        </w:rPr>
        <w:instrText xml:space="preserve"> </w:instrText>
      </w:r>
      <w:r w:rsidRPr="00F25744">
        <w:rPr>
          <w:sz w:val="24"/>
          <w:rtl/>
        </w:rPr>
        <w:fldChar w:fldCharType="separate"/>
      </w:r>
      <w:r w:rsidR="008F1BC3">
        <w:rPr>
          <w:noProof/>
          <w:sz w:val="24"/>
          <w:rtl/>
        </w:rPr>
        <w:t>9</w:t>
      </w:r>
      <w:r w:rsidRPr="00F25744">
        <w:rPr>
          <w:sz w:val="24"/>
          <w:rtl/>
        </w:rPr>
        <w:fldChar w:fldCharType="end"/>
      </w:r>
      <w:r w:rsidR="007F3A52" w:rsidRPr="00F25744">
        <w:rPr>
          <w:rFonts w:hint="cs"/>
          <w:sz w:val="24"/>
          <w:rtl/>
        </w:rPr>
        <w:t xml:space="preserve">: </w:t>
      </w:r>
      <w:r w:rsidR="007F3A52" w:rsidRPr="00F25744">
        <w:rPr>
          <w:rFonts w:ascii="David" w:hAnsi="David" w:hint="cs"/>
          <w:sz w:val="24"/>
          <w:rtl/>
        </w:rPr>
        <w:t xml:space="preserve">זמני הטיפול בתיקי ערכאת </w:t>
      </w:r>
      <w:r w:rsidR="00AB3699" w:rsidRPr="00F25744">
        <w:rPr>
          <w:rFonts w:ascii="David" w:hAnsi="David" w:hint="cs"/>
          <w:sz w:val="24"/>
          <w:rtl/>
        </w:rPr>
        <w:t>השלום</w:t>
      </w:r>
      <w:bookmarkEnd w:id="478"/>
    </w:p>
    <w:tbl>
      <w:tblPr>
        <w:tblpPr w:rightFromText="85" w:vertAnchor="text" w:tblpXSpec="right" w:tblpY="1"/>
        <w:bidiVisual/>
        <w:tblW w:w="9204" w:type="dxa"/>
        <w:tblLayout w:type="fixed"/>
        <w:tblLook w:val="04A0" w:firstRow="1" w:lastRow="0" w:firstColumn="1" w:lastColumn="0" w:noHBand="0" w:noVBand="1"/>
      </w:tblPr>
      <w:tblGrid>
        <w:gridCol w:w="847"/>
        <w:gridCol w:w="992"/>
        <w:gridCol w:w="2262"/>
        <w:gridCol w:w="1276"/>
        <w:gridCol w:w="1418"/>
        <w:gridCol w:w="1559"/>
        <w:gridCol w:w="850"/>
      </w:tblGrid>
      <w:tr w:rsidR="00E0162E" w:rsidRPr="006A555E" w14:paraId="7D617F95" w14:textId="77777777" w:rsidTr="007D380E">
        <w:trPr>
          <w:trHeight w:val="664"/>
        </w:trPr>
        <w:tc>
          <w:tcPr>
            <w:tcW w:w="847" w:type="dxa"/>
            <w:tcBorders>
              <w:bottom w:val="single" w:sz="4" w:space="0" w:color="auto"/>
            </w:tcBorders>
            <w:shd w:val="clear" w:color="auto" w:fill="auto"/>
            <w:vAlign w:val="center"/>
            <w:hideMark/>
          </w:tcPr>
          <w:p w14:paraId="6829A298" w14:textId="77777777" w:rsidR="00AD7D2C" w:rsidRPr="006A555E" w:rsidRDefault="00E25AE7" w:rsidP="00FD0858">
            <w:pPr>
              <w:spacing w:after="0" w:line="240" w:lineRule="auto"/>
              <w:jc w:val="center"/>
              <w:rPr>
                <w:rFonts w:ascii="David" w:eastAsia="Times New Roman" w:hAnsi="David" w:cs="David"/>
                <w:b/>
                <w:bCs/>
              </w:rPr>
            </w:pPr>
            <w:r w:rsidRPr="006A555E">
              <w:rPr>
                <w:rFonts w:ascii="David" w:eastAsia="Times New Roman" w:hAnsi="David" w:cs="David"/>
                <w:b/>
                <w:bCs/>
                <w:rtl/>
              </w:rPr>
              <w:t>ערכאה</w:t>
            </w:r>
          </w:p>
        </w:tc>
        <w:tc>
          <w:tcPr>
            <w:tcW w:w="992" w:type="dxa"/>
            <w:tcBorders>
              <w:bottom w:val="single" w:sz="4" w:space="0" w:color="auto"/>
            </w:tcBorders>
            <w:shd w:val="clear" w:color="auto" w:fill="auto"/>
            <w:vAlign w:val="center"/>
            <w:hideMark/>
          </w:tcPr>
          <w:p w14:paraId="204F9B6E" w14:textId="77777777" w:rsidR="00AD7D2C" w:rsidRPr="006A555E" w:rsidRDefault="00E25AE7" w:rsidP="00FD0858">
            <w:pPr>
              <w:spacing w:after="0" w:line="240" w:lineRule="auto"/>
              <w:jc w:val="center"/>
              <w:rPr>
                <w:rFonts w:ascii="David" w:eastAsia="Times New Roman" w:hAnsi="David" w:cs="David"/>
                <w:b/>
                <w:bCs/>
                <w:rtl/>
              </w:rPr>
            </w:pPr>
            <w:r w:rsidRPr="006A555E">
              <w:rPr>
                <w:rFonts w:ascii="David" w:eastAsia="Times New Roman" w:hAnsi="David" w:cs="David"/>
                <w:b/>
                <w:bCs/>
                <w:rtl/>
              </w:rPr>
              <w:t>הליך</w:t>
            </w:r>
          </w:p>
        </w:tc>
        <w:tc>
          <w:tcPr>
            <w:tcW w:w="2262" w:type="dxa"/>
            <w:tcBorders>
              <w:bottom w:val="single" w:sz="4" w:space="0" w:color="auto"/>
            </w:tcBorders>
            <w:shd w:val="clear" w:color="auto" w:fill="auto"/>
            <w:vAlign w:val="center"/>
            <w:hideMark/>
          </w:tcPr>
          <w:p w14:paraId="290A8841" w14:textId="77777777" w:rsidR="00AD7D2C" w:rsidRPr="006A555E" w:rsidRDefault="00E25AE7" w:rsidP="00FD0858">
            <w:pPr>
              <w:spacing w:after="0" w:line="240" w:lineRule="auto"/>
              <w:jc w:val="center"/>
              <w:rPr>
                <w:rFonts w:ascii="David" w:eastAsia="Times New Roman" w:hAnsi="David" w:cs="David"/>
                <w:b/>
                <w:bCs/>
                <w:rtl/>
              </w:rPr>
            </w:pPr>
            <w:r w:rsidRPr="006A555E">
              <w:rPr>
                <w:rFonts w:ascii="David" w:eastAsia="Times New Roman" w:hAnsi="David" w:cs="David"/>
                <w:b/>
                <w:bCs/>
                <w:rtl/>
              </w:rPr>
              <w:t>סוג תיק</w:t>
            </w:r>
          </w:p>
        </w:tc>
        <w:tc>
          <w:tcPr>
            <w:tcW w:w="1276" w:type="dxa"/>
            <w:tcBorders>
              <w:bottom w:val="single" w:sz="4" w:space="0" w:color="auto"/>
            </w:tcBorders>
            <w:vAlign w:val="center"/>
          </w:tcPr>
          <w:p w14:paraId="1419EF6C" w14:textId="77777777" w:rsidR="00AD7D2C" w:rsidRPr="006A555E" w:rsidRDefault="00E25AE7" w:rsidP="00FD0858">
            <w:pPr>
              <w:spacing w:after="0" w:line="240" w:lineRule="auto"/>
              <w:jc w:val="center"/>
              <w:rPr>
                <w:rFonts w:ascii="David" w:eastAsia="Times New Roman" w:hAnsi="David" w:cs="David"/>
                <w:b/>
                <w:bCs/>
                <w:rtl/>
              </w:rPr>
            </w:pPr>
            <w:r w:rsidRPr="006A555E">
              <w:rPr>
                <w:rFonts w:ascii="David" w:eastAsia="Times New Roman" w:hAnsi="David" w:cs="David" w:hint="cs"/>
                <w:b/>
                <w:bCs/>
                <w:rtl/>
              </w:rPr>
              <w:t>מספר תיקים שנסגרו ב-2019</w:t>
            </w:r>
          </w:p>
        </w:tc>
        <w:tc>
          <w:tcPr>
            <w:tcW w:w="1418" w:type="dxa"/>
            <w:tcBorders>
              <w:bottom w:val="single" w:sz="4" w:space="0" w:color="auto"/>
            </w:tcBorders>
            <w:shd w:val="clear" w:color="auto" w:fill="auto"/>
            <w:vAlign w:val="center"/>
            <w:hideMark/>
          </w:tcPr>
          <w:p w14:paraId="4202B27D" w14:textId="77777777" w:rsidR="00AD7D2C" w:rsidRPr="006A555E" w:rsidRDefault="00E25AE7" w:rsidP="00FD0858">
            <w:pPr>
              <w:spacing w:after="0" w:line="240" w:lineRule="auto"/>
              <w:jc w:val="center"/>
              <w:rPr>
                <w:rFonts w:ascii="David" w:eastAsia="Times New Roman" w:hAnsi="David" w:cs="David"/>
                <w:b/>
                <w:bCs/>
                <w:rtl/>
              </w:rPr>
            </w:pPr>
            <w:r w:rsidRPr="006A555E">
              <w:rPr>
                <w:rFonts w:ascii="David" w:eastAsia="Times New Roman" w:hAnsi="David" w:cs="David"/>
                <w:b/>
                <w:bCs/>
                <w:rtl/>
              </w:rPr>
              <w:t>הזמן השיפוטי הממוצע לט</w:t>
            </w:r>
            <w:r w:rsidRPr="006A555E">
              <w:rPr>
                <w:rFonts w:ascii="David" w:eastAsia="Times New Roman" w:hAnsi="David" w:cs="David" w:hint="cs"/>
                <w:b/>
                <w:bCs/>
                <w:rtl/>
              </w:rPr>
              <w:t>י</w:t>
            </w:r>
            <w:r w:rsidRPr="006A555E">
              <w:rPr>
                <w:rFonts w:ascii="David" w:eastAsia="Times New Roman" w:hAnsi="David" w:cs="David"/>
                <w:b/>
                <w:bCs/>
                <w:rtl/>
              </w:rPr>
              <w:t>פ</w:t>
            </w:r>
            <w:r w:rsidRPr="006A555E">
              <w:rPr>
                <w:rFonts w:ascii="David" w:eastAsia="Times New Roman" w:hAnsi="David" w:cs="David" w:hint="cs"/>
                <w:b/>
                <w:bCs/>
                <w:rtl/>
              </w:rPr>
              <w:t>ו</w:t>
            </w:r>
            <w:r w:rsidRPr="006A555E">
              <w:rPr>
                <w:rFonts w:ascii="David" w:eastAsia="Times New Roman" w:hAnsi="David" w:cs="David"/>
                <w:b/>
                <w:bCs/>
                <w:rtl/>
              </w:rPr>
              <w:t>ל בתיק</w:t>
            </w:r>
          </w:p>
        </w:tc>
        <w:tc>
          <w:tcPr>
            <w:tcW w:w="1559" w:type="dxa"/>
            <w:tcBorders>
              <w:bottom w:val="single" w:sz="4" w:space="0" w:color="auto"/>
            </w:tcBorders>
            <w:vAlign w:val="center"/>
          </w:tcPr>
          <w:p w14:paraId="7C863E59" w14:textId="77777777" w:rsidR="00AD7D2C" w:rsidRPr="006A555E" w:rsidRDefault="00E25AE7" w:rsidP="00FD0858">
            <w:pPr>
              <w:spacing w:after="0" w:line="240" w:lineRule="auto"/>
              <w:jc w:val="center"/>
              <w:rPr>
                <w:rFonts w:ascii="David" w:eastAsia="Times New Roman" w:hAnsi="David" w:cs="David"/>
                <w:b/>
                <w:bCs/>
                <w:rtl/>
              </w:rPr>
            </w:pPr>
            <w:r w:rsidRPr="006A555E">
              <w:rPr>
                <w:rFonts w:ascii="David" w:eastAsia="Times New Roman" w:hAnsi="David" w:cs="David"/>
                <w:b/>
                <w:bCs/>
                <w:rtl/>
              </w:rPr>
              <w:t xml:space="preserve">הזמן השיפוטי </w:t>
            </w:r>
            <w:r w:rsidRPr="006A555E">
              <w:rPr>
                <w:rFonts w:ascii="David" w:eastAsia="Times New Roman" w:hAnsi="David" w:cs="David" w:hint="cs"/>
                <w:b/>
                <w:bCs/>
                <w:rtl/>
              </w:rPr>
              <w:t xml:space="preserve">הממוצע </w:t>
            </w:r>
            <w:r w:rsidRPr="006A555E">
              <w:rPr>
                <w:rFonts w:ascii="David" w:eastAsia="Times New Roman" w:hAnsi="David" w:cs="David"/>
                <w:b/>
                <w:bCs/>
                <w:rtl/>
              </w:rPr>
              <w:t xml:space="preserve">לפי </w:t>
            </w:r>
            <w:r w:rsidRPr="006A555E">
              <w:rPr>
                <w:rFonts w:ascii="David" w:eastAsia="Times New Roman" w:hAnsi="David" w:cs="David" w:hint="cs"/>
                <w:b/>
                <w:bCs/>
                <w:rtl/>
              </w:rPr>
              <w:t>ה</w:t>
            </w:r>
            <w:r w:rsidRPr="006A555E">
              <w:rPr>
                <w:rFonts w:ascii="David" w:eastAsia="Times New Roman" w:hAnsi="David" w:cs="David"/>
                <w:b/>
                <w:bCs/>
                <w:rtl/>
              </w:rPr>
              <w:t>מחקר ה</w:t>
            </w:r>
            <w:r w:rsidRPr="006A555E">
              <w:rPr>
                <w:rFonts w:ascii="David" w:eastAsia="Times New Roman" w:hAnsi="David" w:cs="David" w:hint="cs"/>
                <w:b/>
                <w:bCs/>
                <w:rtl/>
              </w:rPr>
              <w:t>קודם</w:t>
            </w:r>
          </w:p>
        </w:tc>
        <w:tc>
          <w:tcPr>
            <w:tcW w:w="850" w:type="dxa"/>
            <w:tcBorders>
              <w:bottom w:val="single" w:sz="4" w:space="0" w:color="auto"/>
            </w:tcBorders>
            <w:vAlign w:val="center"/>
          </w:tcPr>
          <w:p w14:paraId="4512CD79" w14:textId="77777777" w:rsidR="00AD7D2C" w:rsidRPr="006A555E" w:rsidRDefault="00E25AE7" w:rsidP="00FD0858">
            <w:pPr>
              <w:spacing w:after="0" w:line="240" w:lineRule="auto"/>
              <w:jc w:val="center"/>
              <w:rPr>
                <w:rFonts w:ascii="David" w:eastAsia="Times New Roman" w:hAnsi="David" w:cs="David"/>
                <w:b/>
                <w:bCs/>
                <w:rtl/>
              </w:rPr>
            </w:pPr>
            <w:r w:rsidRPr="006A555E">
              <w:rPr>
                <w:rFonts w:ascii="David" w:eastAsia="Times New Roman" w:hAnsi="David" w:cs="David"/>
                <w:b/>
                <w:bCs/>
                <w:rtl/>
              </w:rPr>
              <w:t xml:space="preserve">מגמת </w:t>
            </w:r>
            <w:r w:rsidRPr="006A555E">
              <w:rPr>
                <w:rFonts w:ascii="David" w:eastAsia="Times New Roman" w:hAnsi="David" w:cs="David" w:hint="cs"/>
                <w:b/>
                <w:bCs/>
                <w:rtl/>
              </w:rPr>
              <w:t>ה</w:t>
            </w:r>
            <w:r w:rsidRPr="006A555E">
              <w:rPr>
                <w:rFonts w:ascii="David" w:eastAsia="Times New Roman" w:hAnsi="David" w:cs="David"/>
                <w:b/>
                <w:bCs/>
                <w:rtl/>
              </w:rPr>
              <w:t>שינוי</w:t>
            </w:r>
          </w:p>
        </w:tc>
      </w:tr>
      <w:tr w:rsidR="00E0162E" w:rsidRPr="006A555E" w14:paraId="7C3AFBC9"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20687529" w14:textId="77777777" w:rsidR="00AD7D2C" w:rsidRPr="006A555E" w:rsidRDefault="00E25AE7" w:rsidP="00FD0858">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62636D73" w14:textId="77777777" w:rsidR="00AD7D2C" w:rsidRPr="006A555E" w:rsidRDefault="00E25AE7" w:rsidP="00FD0858">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D9D9D9"/>
            <w:vAlign w:val="center"/>
          </w:tcPr>
          <w:p w14:paraId="1B6AC087" w14:textId="77777777" w:rsidR="00AD7D2C" w:rsidRPr="006A555E" w:rsidRDefault="00E25AE7" w:rsidP="00FD0858">
            <w:pPr>
              <w:spacing w:after="0" w:line="240" w:lineRule="auto"/>
              <w:rPr>
                <w:rFonts w:ascii="David" w:hAnsi="David" w:cs="David"/>
                <w:rtl/>
              </w:rPr>
            </w:pPr>
            <w:r w:rsidRPr="006A555E">
              <w:rPr>
                <w:rFonts w:ascii="David" w:hAnsi="David" w:cs="David"/>
                <w:rtl/>
              </w:rPr>
              <w:t>ערעור לפי חוק חיילים שנספו במערכה (עמ"ח)</w:t>
            </w:r>
            <w:r w:rsidRPr="006A555E">
              <w:rPr>
                <w:rFonts w:ascii="David" w:hAnsi="David" w:cs="David" w:hint="cs"/>
                <w:rtl/>
              </w:rPr>
              <w:t>*</w:t>
            </w:r>
          </w:p>
        </w:tc>
        <w:tc>
          <w:tcPr>
            <w:tcW w:w="1276" w:type="dxa"/>
            <w:tcBorders>
              <w:top w:val="single" w:sz="4" w:space="0" w:color="auto"/>
              <w:bottom w:val="single" w:sz="4" w:space="0" w:color="auto"/>
            </w:tcBorders>
            <w:shd w:val="clear" w:color="auto" w:fill="D9D9D9"/>
            <w:vAlign w:val="center"/>
          </w:tcPr>
          <w:p w14:paraId="6968B629" w14:textId="77777777" w:rsidR="00AD7D2C" w:rsidRPr="006A555E" w:rsidRDefault="00E25AE7" w:rsidP="00FD0858">
            <w:pPr>
              <w:bidi w:val="0"/>
              <w:spacing w:after="0" w:line="240" w:lineRule="auto"/>
              <w:jc w:val="center"/>
              <w:rPr>
                <w:rFonts w:ascii="David" w:hAnsi="David" w:cs="David"/>
              </w:rPr>
            </w:pPr>
            <w:r w:rsidRPr="006A555E">
              <w:rPr>
                <w:rFonts w:ascii="David" w:hAnsi="David" w:cs="David"/>
              </w:rPr>
              <w:t>37</w:t>
            </w:r>
          </w:p>
        </w:tc>
        <w:tc>
          <w:tcPr>
            <w:tcW w:w="1418" w:type="dxa"/>
            <w:tcBorders>
              <w:top w:val="single" w:sz="4" w:space="0" w:color="auto"/>
              <w:bottom w:val="single" w:sz="4" w:space="0" w:color="auto"/>
            </w:tcBorders>
            <w:shd w:val="clear" w:color="auto" w:fill="D9D9D9"/>
            <w:noWrap/>
            <w:vAlign w:val="center"/>
          </w:tcPr>
          <w:p w14:paraId="712128CB" w14:textId="77777777" w:rsidR="00AD7D2C" w:rsidRPr="006A555E" w:rsidRDefault="00BF3796" w:rsidP="00FD0858">
            <w:pPr>
              <w:spacing w:after="0" w:line="240" w:lineRule="auto"/>
              <w:jc w:val="center"/>
              <w:rPr>
                <w:rFonts w:ascii="David" w:hAnsi="David" w:cs="David"/>
                <w:b/>
                <w:bCs/>
                <w:rtl/>
              </w:rPr>
            </w:pPr>
            <w:r w:rsidRPr="006A555E">
              <w:rPr>
                <w:rFonts w:ascii="David" w:hAnsi="David" w:cs="David" w:hint="cs"/>
                <w:b/>
                <w:bCs/>
                <w:rtl/>
              </w:rPr>
              <w:t>14:17</w:t>
            </w:r>
          </w:p>
        </w:tc>
        <w:tc>
          <w:tcPr>
            <w:tcW w:w="1559" w:type="dxa"/>
            <w:tcBorders>
              <w:top w:val="single" w:sz="4" w:space="0" w:color="auto"/>
              <w:bottom w:val="single" w:sz="4" w:space="0" w:color="auto"/>
            </w:tcBorders>
            <w:shd w:val="clear" w:color="auto" w:fill="D9D9D9"/>
            <w:vAlign w:val="center"/>
          </w:tcPr>
          <w:p w14:paraId="2026F526" w14:textId="77777777" w:rsidR="00AD7D2C" w:rsidRPr="006A555E" w:rsidRDefault="00E25AE7" w:rsidP="00FD0858">
            <w:pPr>
              <w:spacing w:after="0" w:line="240" w:lineRule="auto"/>
              <w:jc w:val="center"/>
              <w:rPr>
                <w:rFonts w:ascii="David" w:hAnsi="David" w:cs="David"/>
                <w:rtl/>
              </w:rPr>
            </w:pPr>
            <w:r w:rsidRPr="006A555E">
              <w:rPr>
                <w:rFonts w:ascii="David" w:hAnsi="David" w:cs="David"/>
              </w:rPr>
              <w:t>-</w:t>
            </w:r>
          </w:p>
        </w:tc>
        <w:tc>
          <w:tcPr>
            <w:tcW w:w="850" w:type="dxa"/>
            <w:tcBorders>
              <w:top w:val="single" w:sz="4" w:space="0" w:color="auto"/>
              <w:bottom w:val="single" w:sz="4" w:space="0" w:color="auto"/>
            </w:tcBorders>
            <w:shd w:val="clear" w:color="auto" w:fill="D9D9D9"/>
            <w:vAlign w:val="center"/>
          </w:tcPr>
          <w:p w14:paraId="119780F5" w14:textId="77777777" w:rsidR="00AD7D2C" w:rsidRPr="006A555E" w:rsidRDefault="00E25AE7" w:rsidP="00FD0858">
            <w:pPr>
              <w:spacing w:after="0" w:line="240" w:lineRule="auto"/>
              <w:jc w:val="center"/>
              <w:rPr>
                <w:rFonts w:ascii="David" w:hAnsi="David" w:cs="David"/>
              </w:rPr>
            </w:pPr>
            <w:r w:rsidRPr="006A555E">
              <w:rPr>
                <w:rFonts w:ascii="David" w:hAnsi="David" w:cs="David"/>
              </w:rPr>
              <w:t>-</w:t>
            </w:r>
          </w:p>
        </w:tc>
      </w:tr>
      <w:tr w:rsidR="00E0162E" w:rsidRPr="006A555E" w14:paraId="6E016223"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7DDA447A" w14:textId="77777777" w:rsidR="00AD7D2C" w:rsidRPr="006A555E" w:rsidRDefault="00E25AE7" w:rsidP="00FD0858">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39820344" w14:textId="77777777" w:rsidR="00AD7D2C" w:rsidRPr="006A555E" w:rsidRDefault="00E25AE7" w:rsidP="00FD0858">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auto"/>
            <w:vAlign w:val="center"/>
          </w:tcPr>
          <w:p w14:paraId="4BC426C9" w14:textId="77777777" w:rsidR="00AD7D2C" w:rsidRPr="006A555E" w:rsidRDefault="00E25AE7" w:rsidP="00FD0858">
            <w:pPr>
              <w:spacing w:after="0" w:line="240" w:lineRule="auto"/>
              <w:rPr>
                <w:rFonts w:ascii="David" w:hAnsi="David" w:cs="David"/>
                <w:rtl/>
              </w:rPr>
            </w:pPr>
            <w:r w:rsidRPr="006A555E">
              <w:rPr>
                <w:rFonts w:ascii="David" w:hAnsi="David" w:cs="David"/>
                <w:rtl/>
              </w:rPr>
              <w:t>תיק אזרחי בסדר דין רגיל (ת"א)-מקרקעין (כולל פינוי סילוק ואחר)</w:t>
            </w:r>
          </w:p>
        </w:tc>
        <w:tc>
          <w:tcPr>
            <w:tcW w:w="1276" w:type="dxa"/>
            <w:tcBorders>
              <w:top w:val="single" w:sz="4" w:space="0" w:color="auto"/>
              <w:bottom w:val="single" w:sz="4" w:space="0" w:color="auto"/>
            </w:tcBorders>
            <w:vAlign w:val="center"/>
          </w:tcPr>
          <w:p w14:paraId="3F10DA1E" w14:textId="77777777" w:rsidR="00AD7D2C" w:rsidRPr="006A555E" w:rsidRDefault="00E25AE7" w:rsidP="00FD0858">
            <w:pPr>
              <w:bidi w:val="0"/>
              <w:spacing w:after="0" w:line="240" w:lineRule="auto"/>
              <w:jc w:val="center"/>
              <w:rPr>
                <w:rFonts w:ascii="David" w:hAnsi="David" w:cs="David"/>
              </w:rPr>
            </w:pPr>
            <w:r w:rsidRPr="006A555E">
              <w:rPr>
                <w:rFonts w:ascii="David" w:hAnsi="David" w:cs="David"/>
              </w:rPr>
              <w:t>1,635</w:t>
            </w:r>
          </w:p>
        </w:tc>
        <w:tc>
          <w:tcPr>
            <w:tcW w:w="1418" w:type="dxa"/>
            <w:tcBorders>
              <w:top w:val="single" w:sz="4" w:space="0" w:color="auto"/>
              <w:bottom w:val="single" w:sz="4" w:space="0" w:color="auto"/>
            </w:tcBorders>
            <w:shd w:val="clear" w:color="auto" w:fill="auto"/>
            <w:noWrap/>
            <w:vAlign w:val="center"/>
          </w:tcPr>
          <w:p w14:paraId="048C765C" w14:textId="77777777" w:rsidR="00AD7D2C" w:rsidRPr="006A555E" w:rsidRDefault="00F9387C" w:rsidP="00FD0858">
            <w:pPr>
              <w:spacing w:after="0" w:line="240" w:lineRule="auto"/>
              <w:jc w:val="center"/>
              <w:rPr>
                <w:rFonts w:asciiTheme="minorHAnsi" w:hAnsiTheme="minorHAnsi" w:cs="David"/>
                <w:b/>
                <w:bCs/>
              </w:rPr>
            </w:pPr>
            <w:r w:rsidRPr="006A555E">
              <w:rPr>
                <w:rFonts w:ascii="David" w:hAnsi="David" w:cs="David" w:hint="cs"/>
                <w:b/>
                <w:bCs/>
                <w:rtl/>
              </w:rPr>
              <w:t>12:33</w:t>
            </w:r>
          </w:p>
        </w:tc>
        <w:tc>
          <w:tcPr>
            <w:tcW w:w="1559" w:type="dxa"/>
            <w:tcBorders>
              <w:top w:val="single" w:sz="4" w:space="0" w:color="auto"/>
              <w:bottom w:val="single" w:sz="4" w:space="0" w:color="auto"/>
            </w:tcBorders>
            <w:shd w:val="clear" w:color="auto" w:fill="auto"/>
            <w:vAlign w:val="center"/>
          </w:tcPr>
          <w:p w14:paraId="1BA56983" w14:textId="77777777" w:rsidR="00AD7D2C" w:rsidRPr="006A555E" w:rsidRDefault="00E25AE7" w:rsidP="00FD0858">
            <w:pPr>
              <w:spacing w:after="0" w:line="240" w:lineRule="auto"/>
              <w:jc w:val="center"/>
              <w:rPr>
                <w:rFonts w:ascii="David" w:hAnsi="David" w:cs="David"/>
                <w:rtl/>
              </w:rPr>
            </w:pPr>
            <w:r w:rsidRPr="006A555E">
              <w:rPr>
                <w:rFonts w:ascii="David" w:hAnsi="David" w:cs="David" w:hint="cs"/>
                <w:rtl/>
              </w:rPr>
              <w:t>-</w:t>
            </w:r>
          </w:p>
        </w:tc>
        <w:tc>
          <w:tcPr>
            <w:tcW w:w="850" w:type="dxa"/>
            <w:tcBorders>
              <w:top w:val="single" w:sz="4" w:space="0" w:color="auto"/>
              <w:bottom w:val="single" w:sz="4" w:space="0" w:color="auto"/>
            </w:tcBorders>
            <w:shd w:val="clear" w:color="auto" w:fill="auto"/>
            <w:vAlign w:val="center"/>
          </w:tcPr>
          <w:p w14:paraId="33CD8202" w14:textId="77777777" w:rsidR="00AD7D2C" w:rsidRPr="006A555E" w:rsidRDefault="00E25AE7" w:rsidP="00FD0858">
            <w:pPr>
              <w:spacing w:after="0" w:line="240" w:lineRule="auto"/>
              <w:jc w:val="center"/>
              <w:rPr>
                <w:rFonts w:ascii="David" w:hAnsi="David" w:cs="David"/>
              </w:rPr>
            </w:pPr>
            <w:r w:rsidRPr="006A555E">
              <w:rPr>
                <w:rFonts w:ascii="David" w:hAnsi="David" w:cs="David" w:hint="cs"/>
                <w:rtl/>
              </w:rPr>
              <w:t>-</w:t>
            </w:r>
          </w:p>
        </w:tc>
      </w:tr>
      <w:tr w:rsidR="00F9387C" w:rsidRPr="006A555E" w14:paraId="627F7186" w14:textId="77777777" w:rsidTr="007D380E">
        <w:trPr>
          <w:trHeight w:val="600"/>
        </w:trPr>
        <w:tc>
          <w:tcPr>
            <w:tcW w:w="847" w:type="dxa"/>
            <w:tcBorders>
              <w:top w:val="single" w:sz="4" w:space="0" w:color="auto"/>
              <w:bottom w:val="single" w:sz="4" w:space="0" w:color="auto"/>
            </w:tcBorders>
            <w:shd w:val="clear" w:color="auto" w:fill="DBDBDB" w:themeFill="accent3" w:themeFillTint="66"/>
            <w:noWrap/>
            <w:vAlign w:val="center"/>
          </w:tcPr>
          <w:p w14:paraId="461EC9A2" w14:textId="77777777" w:rsidR="00F9387C" w:rsidRPr="006A555E" w:rsidRDefault="00F9387C" w:rsidP="00FD0858">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BDBDB" w:themeFill="accent3" w:themeFillTint="66"/>
            <w:noWrap/>
            <w:vAlign w:val="center"/>
          </w:tcPr>
          <w:p w14:paraId="262A1B81" w14:textId="77777777" w:rsidR="00F9387C" w:rsidRPr="006A555E" w:rsidRDefault="00F9387C" w:rsidP="00FD0858">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DBDBDB" w:themeFill="accent3" w:themeFillTint="66"/>
            <w:vAlign w:val="center"/>
          </w:tcPr>
          <w:p w14:paraId="386DDA90" w14:textId="77777777" w:rsidR="00F9387C" w:rsidRPr="006A555E" w:rsidRDefault="00F9387C" w:rsidP="00FD0858">
            <w:pPr>
              <w:spacing w:after="0" w:line="240" w:lineRule="auto"/>
              <w:rPr>
                <w:rFonts w:ascii="David" w:hAnsi="David" w:cs="David"/>
                <w:rtl/>
              </w:rPr>
            </w:pPr>
            <w:r w:rsidRPr="006A555E">
              <w:rPr>
                <w:rFonts w:ascii="David" w:hAnsi="David" w:cs="David"/>
                <w:rtl/>
              </w:rPr>
              <w:t>תיק אזרחי בסדר דין רגיל (ת"א)-מקרקעין ליקויי בניה</w:t>
            </w:r>
          </w:p>
        </w:tc>
        <w:tc>
          <w:tcPr>
            <w:tcW w:w="1276" w:type="dxa"/>
            <w:tcBorders>
              <w:top w:val="single" w:sz="4" w:space="0" w:color="auto"/>
              <w:bottom w:val="single" w:sz="4" w:space="0" w:color="auto"/>
            </w:tcBorders>
            <w:shd w:val="clear" w:color="auto" w:fill="DBDBDB" w:themeFill="accent3" w:themeFillTint="66"/>
            <w:vAlign w:val="center"/>
          </w:tcPr>
          <w:p w14:paraId="696690B7" w14:textId="77777777" w:rsidR="00F9387C" w:rsidRPr="006A555E" w:rsidRDefault="00F9387C" w:rsidP="00FD0858">
            <w:pPr>
              <w:bidi w:val="0"/>
              <w:spacing w:after="0" w:line="240" w:lineRule="auto"/>
              <w:jc w:val="center"/>
              <w:rPr>
                <w:rFonts w:ascii="David" w:hAnsi="David" w:cs="David"/>
              </w:rPr>
            </w:pPr>
            <w:r w:rsidRPr="006A555E">
              <w:rPr>
                <w:rFonts w:ascii="David" w:hAnsi="David" w:cs="David"/>
              </w:rPr>
              <w:t>352</w:t>
            </w:r>
          </w:p>
        </w:tc>
        <w:tc>
          <w:tcPr>
            <w:tcW w:w="1418" w:type="dxa"/>
            <w:tcBorders>
              <w:top w:val="single" w:sz="4" w:space="0" w:color="auto"/>
              <w:bottom w:val="single" w:sz="4" w:space="0" w:color="auto"/>
            </w:tcBorders>
            <w:shd w:val="clear" w:color="auto" w:fill="DBDBDB" w:themeFill="accent3" w:themeFillTint="66"/>
            <w:noWrap/>
            <w:vAlign w:val="center"/>
          </w:tcPr>
          <w:p w14:paraId="1ECAA47C" w14:textId="77777777" w:rsidR="00F9387C" w:rsidRPr="006A555E" w:rsidRDefault="00F9387C" w:rsidP="00FD0858">
            <w:pPr>
              <w:spacing w:after="0" w:line="240" w:lineRule="auto"/>
              <w:jc w:val="center"/>
              <w:rPr>
                <w:rFonts w:ascii="David" w:hAnsi="David" w:cs="David"/>
                <w:b/>
                <w:bCs/>
                <w:rtl/>
              </w:rPr>
            </w:pPr>
            <w:r w:rsidRPr="006A555E">
              <w:rPr>
                <w:rFonts w:ascii="David" w:hAnsi="David" w:cs="David"/>
                <w:b/>
                <w:bCs/>
              </w:rPr>
              <w:t>10:44</w:t>
            </w:r>
          </w:p>
        </w:tc>
        <w:tc>
          <w:tcPr>
            <w:tcW w:w="1559" w:type="dxa"/>
            <w:tcBorders>
              <w:top w:val="single" w:sz="4" w:space="0" w:color="auto"/>
              <w:bottom w:val="single" w:sz="4" w:space="0" w:color="auto"/>
            </w:tcBorders>
            <w:shd w:val="clear" w:color="auto" w:fill="DBDBDB" w:themeFill="accent3" w:themeFillTint="66"/>
            <w:vAlign w:val="center"/>
          </w:tcPr>
          <w:p w14:paraId="5F14E104" w14:textId="77777777" w:rsidR="00F9387C" w:rsidRPr="006A555E" w:rsidRDefault="00F9387C" w:rsidP="00FD0858">
            <w:pPr>
              <w:spacing w:after="0" w:line="240" w:lineRule="auto"/>
              <w:jc w:val="center"/>
              <w:rPr>
                <w:rFonts w:ascii="David" w:hAnsi="David" w:cs="David"/>
                <w:rtl/>
              </w:rPr>
            </w:pPr>
            <w:r w:rsidRPr="006A555E">
              <w:rPr>
                <w:rFonts w:ascii="David" w:hAnsi="David" w:cs="David"/>
              </w:rPr>
              <w:t>-</w:t>
            </w:r>
          </w:p>
        </w:tc>
        <w:tc>
          <w:tcPr>
            <w:tcW w:w="850" w:type="dxa"/>
            <w:tcBorders>
              <w:top w:val="single" w:sz="4" w:space="0" w:color="auto"/>
              <w:bottom w:val="single" w:sz="4" w:space="0" w:color="auto"/>
            </w:tcBorders>
            <w:shd w:val="clear" w:color="auto" w:fill="DBDBDB" w:themeFill="accent3" w:themeFillTint="66"/>
            <w:vAlign w:val="center"/>
          </w:tcPr>
          <w:p w14:paraId="3F094A98" w14:textId="77777777" w:rsidR="00F9387C" w:rsidRPr="006A555E" w:rsidRDefault="00F9387C" w:rsidP="00FD0858">
            <w:pPr>
              <w:spacing w:after="0" w:line="240" w:lineRule="auto"/>
              <w:jc w:val="center"/>
              <w:rPr>
                <w:rFonts w:ascii="David" w:hAnsi="David" w:cs="David"/>
                <w:rtl/>
              </w:rPr>
            </w:pPr>
            <w:r w:rsidRPr="006A555E">
              <w:rPr>
                <w:rFonts w:ascii="David" w:hAnsi="David" w:cs="David"/>
              </w:rPr>
              <w:t>-</w:t>
            </w:r>
          </w:p>
        </w:tc>
      </w:tr>
      <w:tr w:rsidR="00F9387C" w:rsidRPr="006A555E" w14:paraId="131DCC52"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4E330662" w14:textId="77777777" w:rsidR="00F9387C" w:rsidRPr="006A555E" w:rsidRDefault="00F9387C" w:rsidP="00FD0858">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1688BC3D" w14:textId="77777777" w:rsidR="00F9387C" w:rsidRPr="006A555E" w:rsidRDefault="00F9387C" w:rsidP="00FD0858">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auto"/>
            <w:vAlign w:val="center"/>
          </w:tcPr>
          <w:p w14:paraId="16AA3373" w14:textId="77777777" w:rsidR="00F9387C" w:rsidRPr="006A555E" w:rsidRDefault="00F9387C" w:rsidP="00FD0858">
            <w:pPr>
              <w:spacing w:after="0" w:line="240" w:lineRule="auto"/>
              <w:rPr>
                <w:rFonts w:ascii="David" w:hAnsi="David" w:cs="David"/>
                <w:rtl/>
              </w:rPr>
            </w:pPr>
            <w:r w:rsidRPr="006A555E">
              <w:rPr>
                <w:rFonts w:ascii="David" w:hAnsi="David" w:cs="David"/>
                <w:rtl/>
              </w:rPr>
              <w:t>תיק אזרחי בסדר דין רגיל (ת"א)-מקרקעין פירוק שיתוף</w:t>
            </w:r>
            <w:r w:rsidRPr="006A555E">
              <w:rPr>
                <w:rFonts w:ascii="David" w:hAnsi="David" w:cs="David" w:hint="cs"/>
                <w:rtl/>
              </w:rPr>
              <w:t>*</w:t>
            </w:r>
          </w:p>
        </w:tc>
        <w:tc>
          <w:tcPr>
            <w:tcW w:w="1276" w:type="dxa"/>
            <w:tcBorders>
              <w:top w:val="single" w:sz="4" w:space="0" w:color="auto"/>
              <w:bottom w:val="single" w:sz="4" w:space="0" w:color="auto"/>
            </w:tcBorders>
            <w:vAlign w:val="center"/>
          </w:tcPr>
          <w:p w14:paraId="1A847A9A" w14:textId="77777777" w:rsidR="00F9387C" w:rsidRPr="006A555E" w:rsidRDefault="00F9387C" w:rsidP="00FD0858">
            <w:pPr>
              <w:bidi w:val="0"/>
              <w:spacing w:after="0" w:line="240" w:lineRule="auto"/>
              <w:jc w:val="center"/>
              <w:rPr>
                <w:rFonts w:ascii="David" w:hAnsi="David" w:cs="David"/>
              </w:rPr>
            </w:pPr>
            <w:r w:rsidRPr="006A555E">
              <w:rPr>
                <w:rFonts w:ascii="David" w:hAnsi="David" w:cs="David"/>
              </w:rPr>
              <w:t>489</w:t>
            </w:r>
          </w:p>
        </w:tc>
        <w:tc>
          <w:tcPr>
            <w:tcW w:w="1418" w:type="dxa"/>
            <w:tcBorders>
              <w:top w:val="single" w:sz="4" w:space="0" w:color="auto"/>
              <w:bottom w:val="single" w:sz="4" w:space="0" w:color="auto"/>
            </w:tcBorders>
            <w:shd w:val="clear" w:color="auto" w:fill="auto"/>
            <w:noWrap/>
            <w:vAlign w:val="center"/>
          </w:tcPr>
          <w:p w14:paraId="676025C8" w14:textId="77777777" w:rsidR="00F9387C" w:rsidRPr="006A555E" w:rsidRDefault="00F9387C" w:rsidP="00FD0858">
            <w:pPr>
              <w:spacing w:after="0" w:line="240" w:lineRule="auto"/>
              <w:jc w:val="center"/>
              <w:rPr>
                <w:rFonts w:ascii="David" w:hAnsi="David" w:cs="David"/>
                <w:b/>
                <w:bCs/>
                <w:rtl/>
              </w:rPr>
            </w:pPr>
            <w:r w:rsidRPr="006A555E">
              <w:rPr>
                <w:rFonts w:ascii="David" w:hAnsi="David" w:cs="David"/>
                <w:b/>
                <w:bCs/>
              </w:rPr>
              <w:t>10:31</w:t>
            </w:r>
          </w:p>
        </w:tc>
        <w:tc>
          <w:tcPr>
            <w:tcW w:w="1559" w:type="dxa"/>
            <w:tcBorders>
              <w:top w:val="single" w:sz="4" w:space="0" w:color="auto"/>
              <w:bottom w:val="single" w:sz="4" w:space="0" w:color="auto"/>
            </w:tcBorders>
            <w:shd w:val="clear" w:color="auto" w:fill="auto"/>
            <w:vAlign w:val="center"/>
          </w:tcPr>
          <w:p w14:paraId="6E966091" w14:textId="77777777" w:rsidR="00F9387C" w:rsidRPr="006A555E" w:rsidRDefault="00F9387C" w:rsidP="00FD0858">
            <w:pPr>
              <w:spacing w:after="0" w:line="240" w:lineRule="auto"/>
              <w:jc w:val="center"/>
              <w:rPr>
                <w:rFonts w:ascii="David" w:hAnsi="David" w:cs="David"/>
                <w:rtl/>
              </w:rPr>
            </w:pPr>
            <w:r w:rsidRPr="006A555E">
              <w:rPr>
                <w:rFonts w:ascii="David" w:hAnsi="David" w:cs="David"/>
              </w:rPr>
              <w:t>-</w:t>
            </w:r>
          </w:p>
        </w:tc>
        <w:tc>
          <w:tcPr>
            <w:tcW w:w="850" w:type="dxa"/>
            <w:tcBorders>
              <w:top w:val="single" w:sz="4" w:space="0" w:color="auto"/>
              <w:bottom w:val="single" w:sz="4" w:space="0" w:color="auto"/>
            </w:tcBorders>
            <w:shd w:val="clear" w:color="auto" w:fill="auto"/>
            <w:vAlign w:val="center"/>
          </w:tcPr>
          <w:p w14:paraId="1A037EA2" w14:textId="77777777" w:rsidR="00F9387C" w:rsidRPr="006A555E" w:rsidRDefault="00F9387C" w:rsidP="00FD0858">
            <w:pPr>
              <w:spacing w:after="0" w:line="240" w:lineRule="auto"/>
              <w:jc w:val="center"/>
              <w:rPr>
                <w:rFonts w:ascii="David" w:hAnsi="David" w:cs="David"/>
                <w:rtl/>
              </w:rPr>
            </w:pPr>
            <w:r w:rsidRPr="006A555E">
              <w:rPr>
                <w:rFonts w:ascii="David" w:hAnsi="David" w:cs="David"/>
              </w:rPr>
              <w:t>-</w:t>
            </w:r>
          </w:p>
        </w:tc>
      </w:tr>
      <w:tr w:rsidR="00F9387C" w:rsidRPr="006A555E" w14:paraId="07F7E5B5"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7934137E" w14:textId="77777777" w:rsidR="00F9387C" w:rsidRPr="006A555E" w:rsidRDefault="00F9387C" w:rsidP="00FD0858">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5DDCC155" w14:textId="77777777" w:rsidR="00F9387C" w:rsidRPr="006A555E" w:rsidRDefault="00F9387C" w:rsidP="00FD0858">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D9D9D9"/>
            <w:vAlign w:val="center"/>
          </w:tcPr>
          <w:p w14:paraId="78F1BDC1" w14:textId="77777777" w:rsidR="00F9387C" w:rsidRPr="006A555E" w:rsidRDefault="00F9387C" w:rsidP="00FD0858">
            <w:pPr>
              <w:spacing w:after="0" w:line="240" w:lineRule="auto"/>
              <w:rPr>
                <w:rFonts w:ascii="David" w:hAnsi="David" w:cs="David"/>
                <w:rtl/>
              </w:rPr>
            </w:pPr>
            <w:r w:rsidRPr="006A555E">
              <w:rPr>
                <w:rFonts w:ascii="David" w:hAnsi="David" w:cs="David"/>
                <w:rtl/>
              </w:rPr>
              <w:t>תיק אזרחי בסדר דין רגיל (ת"א)-התנגדות לביצוע שטר/ביצוע תביעה</w:t>
            </w:r>
            <w:r w:rsidRPr="006A555E">
              <w:rPr>
                <w:rStyle w:val="a6"/>
                <w:rFonts w:ascii="David" w:hAnsi="David" w:cs="David"/>
                <w:rtl/>
              </w:rPr>
              <w:footnoteReference w:id="26"/>
            </w:r>
          </w:p>
        </w:tc>
        <w:tc>
          <w:tcPr>
            <w:tcW w:w="1276" w:type="dxa"/>
            <w:tcBorders>
              <w:top w:val="single" w:sz="4" w:space="0" w:color="auto"/>
              <w:bottom w:val="single" w:sz="4" w:space="0" w:color="auto"/>
            </w:tcBorders>
            <w:shd w:val="clear" w:color="auto" w:fill="D9D9D9"/>
            <w:vAlign w:val="center"/>
          </w:tcPr>
          <w:p w14:paraId="6D099A2F" w14:textId="77777777" w:rsidR="00F9387C" w:rsidRPr="006A555E" w:rsidRDefault="00F9387C" w:rsidP="00FD0858">
            <w:pPr>
              <w:bidi w:val="0"/>
              <w:spacing w:after="0" w:line="240" w:lineRule="auto"/>
              <w:jc w:val="center"/>
              <w:rPr>
                <w:rFonts w:asciiTheme="minorHAnsi" w:hAnsiTheme="minorHAnsi" w:cs="David"/>
              </w:rPr>
            </w:pPr>
            <w:r w:rsidRPr="006A555E">
              <w:rPr>
                <w:rFonts w:ascii="David" w:hAnsi="David" w:cs="David"/>
              </w:rPr>
              <w:t>622</w:t>
            </w:r>
          </w:p>
        </w:tc>
        <w:tc>
          <w:tcPr>
            <w:tcW w:w="1418" w:type="dxa"/>
            <w:tcBorders>
              <w:top w:val="single" w:sz="4" w:space="0" w:color="auto"/>
              <w:bottom w:val="single" w:sz="4" w:space="0" w:color="auto"/>
            </w:tcBorders>
            <w:shd w:val="clear" w:color="auto" w:fill="D9D9D9"/>
            <w:noWrap/>
            <w:vAlign w:val="center"/>
          </w:tcPr>
          <w:p w14:paraId="246CEDB2" w14:textId="77777777" w:rsidR="00F9387C" w:rsidRPr="006A555E" w:rsidRDefault="00F9387C" w:rsidP="00FD0858">
            <w:pPr>
              <w:spacing w:after="0" w:line="240" w:lineRule="auto"/>
              <w:jc w:val="center"/>
              <w:rPr>
                <w:rFonts w:asciiTheme="minorHAnsi" w:hAnsiTheme="minorHAnsi"/>
                <w:b/>
              </w:rPr>
            </w:pPr>
            <w:r w:rsidRPr="006A555E">
              <w:rPr>
                <w:rFonts w:ascii="David" w:hAnsi="David" w:cs="David"/>
                <w:b/>
                <w:bCs/>
              </w:rPr>
              <w:t>9:51</w:t>
            </w:r>
          </w:p>
        </w:tc>
        <w:tc>
          <w:tcPr>
            <w:tcW w:w="1559" w:type="dxa"/>
            <w:tcBorders>
              <w:top w:val="single" w:sz="4" w:space="0" w:color="auto"/>
              <w:bottom w:val="single" w:sz="4" w:space="0" w:color="auto"/>
            </w:tcBorders>
            <w:shd w:val="clear" w:color="auto" w:fill="D9D9D9"/>
            <w:vAlign w:val="center"/>
          </w:tcPr>
          <w:p w14:paraId="01E77972" w14:textId="77777777" w:rsidR="00F9387C" w:rsidRPr="006A555E" w:rsidRDefault="00F9387C" w:rsidP="00FD0858">
            <w:pPr>
              <w:spacing w:after="0" w:line="240" w:lineRule="auto"/>
              <w:jc w:val="center"/>
              <w:rPr>
                <w:rFonts w:ascii="David" w:hAnsi="David" w:cs="David"/>
              </w:rPr>
            </w:pPr>
            <w:r w:rsidRPr="006A555E">
              <w:rPr>
                <w:rFonts w:ascii="David" w:hAnsi="David" w:cs="David" w:hint="cs"/>
                <w:rtl/>
              </w:rPr>
              <w:t>-</w:t>
            </w:r>
          </w:p>
        </w:tc>
        <w:tc>
          <w:tcPr>
            <w:tcW w:w="850" w:type="dxa"/>
            <w:tcBorders>
              <w:top w:val="single" w:sz="4" w:space="0" w:color="auto"/>
              <w:bottom w:val="single" w:sz="4" w:space="0" w:color="auto"/>
            </w:tcBorders>
            <w:shd w:val="clear" w:color="auto" w:fill="D9D9D9"/>
            <w:vAlign w:val="center"/>
          </w:tcPr>
          <w:p w14:paraId="282AAB3C" w14:textId="77777777" w:rsidR="00F9387C" w:rsidRPr="006A555E" w:rsidRDefault="00F9387C" w:rsidP="00FD0858">
            <w:pPr>
              <w:spacing w:after="0" w:line="240" w:lineRule="auto"/>
              <w:jc w:val="center"/>
              <w:rPr>
                <w:rFonts w:ascii="David" w:hAnsi="David" w:cs="David"/>
              </w:rPr>
            </w:pPr>
            <w:r w:rsidRPr="006A555E">
              <w:rPr>
                <w:rFonts w:ascii="David" w:hAnsi="David" w:cs="David" w:hint="cs"/>
                <w:rtl/>
              </w:rPr>
              <w:t>-</w:t>
            </w:r>
          </w:p>
        </w:tc>
      </w:tr>
      <w:tr w:rsidR="00FD0858" w:rsidRPr="006A555E" w14:paraId="14D153EA"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4C34111E" w14:textId="77777777" w:rsidR="00FD0858" w:rsidRPr="006A555E" w:rsidRDefault="00FD0858" w:rsidP="00FD0858">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048186DE" w14:textId="77777777" w:rsidR="00FD0858" w:rsidRPr="006A555E" w:rsidRDefault="00FD0858" w:rsidP="00FD0858">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auto"/>
            <w:vAlign w:val="center"/>
          </w:tcPr>
          <w:p w14:paraId="781F9364" w14:textId="77777777" w:rsidR="00FD0858" w:rsidRPr="006A555E" w:rsidRDefault="00FD0858" w:rsidP="00FD0858">
            <w:pPr>
              <w:spacing w:after="0" w:line="240" w:lineRule="auto"/>
              <w:rPr>
                <w:rFonts w:ascii="David" w:hAnsi="David" w:cs="David"/>
                <w:rtl/>
              </w:rPr>
            </w:pPr>
            <w:r w:rsidRPr="006A555E">
              <w:rPr>
                <w:rFonts w:ascii="David" w:hAnsi="David" w:cs="David"/>
                <w:rtl/>
              </w:rPr>
              <w:t>תיק אזרחי בסדר דין רגיל (ת"א)-תביעה כספית</w:t>
            </w:r>
          </w:p>
        </w:tc>
        <w:tc>
          <w:tcPr>
            <w:tcW w:w="1276" w:type="dxa"/>
            <w:tcBorders>
              <w:top w:val="single" w:sz="4" w:space="0" w:color="auto"/>
              <w:bottom w:val="single" w:sz="4" w:space="0" w:color="auto"/>
            </w:tcBorders>
            <w:vAlign w:val="bottom"/>
          </w:tcPr>
          <w:p w14:paraId="6E664BA0" w14:textId="77777777" w:rsidR="00FD0858" w:rsidRPr="006A555E" w:rsidRDefault="00FD0858" w:rsidP="00FD0858">
            <w:pPr>
              <w:bidi w:val="0"/>
              <w:spacing w:after="0" w:line="240" w:lineRule="auto"/>
              <w:jc w:val="center"/>
              <w:rPr>
                <w:rFonts w:ascii="David" w:hAnsi="David" w:cs="David"/>
              </w:rPr>
            </w:pPr>
            <w:r w:rsidRPr="006A555E">
              <w:rPr>
                <w:rFonts w:ascii="David" w:hAnsi="David" w:cs="David"/>
              </w:rPr>
              <w:t>15,589</w:t>
            </w:r>
          </w:p>
        </w:tc>
        <w:tc>
          <w:tcPr>
            <w:tcW w:w="1418" w:type="dxa"/>
            <w:tcBorders>
              <w:top w:val="single" w:sz="4" w:space="0" w:color="auto"/>
              <w:bottom w:val="single" w:sz="4" w:space="0" w:color="auto"/>
            </w:tcBorders>
            <w:shd w:val="clear" w:color="auto" w:fill="auto"/>
            <w:noWrap/>
            <w:vAlign w:val="center"/>
          </w:tcPr>
          <w:p w14:paraId="65703355" w14:textId="77777777" w:rsidR="00FD0858" w:rsidRPr="006A555E" w:rsidRDefault="00FD0858" w:rsidP="00FD0858">
            <w:pPr>
              <w:spacing w:after="0" w:line="240" w:lineRule="auto"/>
              <w:jc w:val="center"/>
              <w:rPr>
                <w:rFonts w:ascii="David" w:hAnsi="David" w:cs="David"/>
                <w:b/>
                <w:bCs/>
              </w:rPr>
            </w:pPr>
            <w:r w:rsidRPr="006A555E">
              <w:rPr>
                <w:rFonts w:ascii="David" w:hAnsi="David" w:cs="David"/>
                <w:b/>
                <w:bCs/>
              </w:rPr>
              <w:t>8:36</w:t>
            </w:r>
          </w:p>
        </w:tc>
        <w:tc>
          <w:tcPr>
            <w:tcW w:w="1559" w:type="dxa"/>
            <w:tcBorders>
              <w:top w:val="single" w:sz="4" w:space="0" w:color="auto"/>
              <w:bottom w:val="single" w:sz="4" w:space="0" w:color="auto"/>
            </w:tcBorders>
            <w:shd w:val="clear" w:color="auto" w:fill="auto"/>
            <w:vAlign w:val="center"/>
          </w:tcPr>
          <w:p w14:paraId="1C6E279C" w14:textId="77777777" w:rsidR="00FD0858" w:rsidRPr="006A555E" w:rsidRDefault="00FD0858" w:rsidP="00FD0858">
            <w:pPr>
              <w:spacing w:after="0" w:line="240" w:lineRule="auto"/>
              <w:jc w:val="center"/>
              <w:rPr>
                <w:rFonts w:cs="David"/>
              </w:rPr>
            </w:pPr>
            <w:r w:rsidRPr="006A555E">
              <w:rPr>
                <w:rFonts w:ascii="David" w:hAnsi="David" w:cs="David" w:hint="cs"/>
                <w:rtl/>
              </w:rPr>
              <w:t>-</w:t>
            </w:r>
          </w:p>
        </w:tc>
        <w:tc>
          <w:tcPr>
            <w:tcW w:w="850" w:type="dxa"/>
            <w:tcBorders>
              <w:top w:val="single" w:sz="4" w:space="0" w:color="auto"/>
              <w:bottom w:val="single" w:sz="4" w:space="0" w:color="auto"/>
            </w:tcBorders>
            <w:shd w:val="clear" w:color="auto" w:fill="auto"/>
            <w:vAlign w:val="center"/>
          </w:tcPr>
          <w:p w14:paraId="48F25C72" w14:textId="77777777" w:rsidR="00FD0858" w:rsidRPr="006A555E" w:rsidRDefault="00FD0858" w:rsidP="00FD0858">
            <w:pPr>
              <w:spacing w:after="0" w:line="240" w:lineRule="auto"/>
              <w:jc w:val="center"/>
              <w:rPr>
                <w:rFonts w:ascii="David" w:hAnsi="David" w:cs="David"/>
              </w:rPr>
            </w:pPr>
            <w:r w:rsidRPr="006A555E">
              <w:rPr>
                <w:rFonts w:ascii="David" w:hAnsi="David" w:cs="David" w:hint="cs"/>
                <w:rtl/>
              </w:rPr>
              <w:t>-</w:t>
            </w:r>
          </w:p>
        </w:tc>
      </w:tr>
      <w:tr w:rsidR="007D380E" w:rsidRPr="006A555E" w14:paraId="65BA3773"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6D41C4A9" w14:textId="0B8E6092" w:rsidR="007D380E" w:rsidRPr="006A555E" w:rsidRDefault="007D380E" w:rsidP="007D380E">
            <w:pPr>
              <w:spacing w:after="0" w:line="240" w:lineRule="auto"/>
              <w:rPr>
                <w:rFonts w:ascii="David" w:hAnsi="David" w:cs="David"/>
                <w:rtl/>
              </w:rPr>
            </w:pPr>
            <w:r w:rsidRPr="006A555E">
              <w:rPr>
                <w:rFonts w:ascii="David" w:eastAsia="Times New Roman" w:hAnsi="David" w:cs="David"/>
                <w:b/>
                <w:bCs/>
                <w:rtl/>
              </w:rPr>
              <w:lastRenderedPageBreak/>
              <w:t>ערכאה</w:t>
            </w:r>
          </w:p>
        </w:tc>
        <w:tc>
          <w:tcPr>
            <w:tcW w:w="992" w:type="dxa"/>
            <w:tcBorders>
              <w:top w:val="single" w:sz="4" w:space="0" w:color="auto"/>
              <w:bottom w:val="single" w:sz="4" w:space="0" w:color="auto"/>
            </w:tcBorders>
            <w:shd w:val="clear" w:color="auto" w:fill="auto"/>
            <w:noWrap/>
            <w:vAlign w:val="center"/>
          </w:tcPr>
          <w:p w14:paraId="0F2278B0" w14:textId="701B6D05" w:rsidR="007D380E" w:rsidRPr="006A555E" w:rsidRDefault="007D380E" w:rsidP="007D380E">
            <w:pPr>
              <w:spacing w:after="0" w:line="240" w:lineRule="auto"/>
              <w:rPr>
                <w:rFonts w:ascii="David" w:hAnsi="David" w:cs="David"/>
                <w:rtl/>
              </w:rPr>
            </w:pPr>
            <w:r w:rsidRPr="006A555E">
              <w:rPr>
                <w:rFonts w:ascii="David" w:eastAsia="Times New Roman" w:hAnsi="David" w:cs="David"/>
                <w:b/>
                <w:bCs/>
                <w:rtl/>
              </w:rPr>
              <w:t>הליך</w:t>
            </w:r>
          </w:p>
        </w:tc>
        <w:tc>
          <w:tcPr>
            <w:tcW w:w="2262" w:type="dxa"/>
            <w:tcBorders>
              <w:top w:val="single" w:sz="4" w:space="0" w:color="auto"/>
              <w:bottom w:val="single" w:sz="4" w:space="0" w:color="auto"/>
            </w:tcBorders>
            <w:shd w:val="clear" w:color="auto" w:fill="auto"/>
            <w:vAlign w:val="center"/>
          </w:tcPr>
          <w:p w14:paraId="387CC3FE" w14:textId="67324A8E" w:rsidR="007D380E" w:rsidRPr="006A555E" w:rsidRDefault="007D380E" w:rsidP="007D380E">
            <w:pPr>
              <w:spacing w:after="0" w:line="240" w:lineRule="auto"/>
              <w:rPr>
                <w:rFonts w:ascii="David" w:hAnsi="David" w:cs="David"/>
                <w:rtl/>
              </w:rPr>
            </w:pPr>
            <w:r w:rsidRPr="006A555E">
              <w:rPr>
                <w:rFonts w:ascii="David" w:eastAsia="Times New Roman" w:hAnsi="David" w:cs="David"/>
                <w:b/>
                <w:bCs/>
                <w:rtl/>
              </w:rPr>
              <w:t>סוג תיק</w:t>
            </w:r>
          </w:p>
        </w:tc>
        <w:tc>
          <w:tcPr>
            <w:tcW w:w="1276" w:type="dxa"/>
            <w:tcBorders>
              <w:top w:val="single" w:sz="4" w:space="0" w:color="auto"/>
              <w:bottom w:val="single" w:sz="4" w:space="0" w:color="auto"/>
            </w:tcBorders>
            <w:shd w:val="clear" w:color="auto" w:fill="auto"/>
            <w:vAlign w:val="center"/>
          </w:tcPr>
          <w:p w14:paraId="2577A8C3" w14:textId="0F631F9A" w:rsidR="007D380E" w:rsidRPr="006A555E" w:rsidRDefault="007D380E" w:rsidP="007D380E">
            <w:pPr>
              <w:bidi w:val="0"/>
              <w:spacing w:after="0" w:line="240" w:lineRule="auto"/>
              <w:jc w:val="center"/>
              <w:rPr>
                <w:rFonts w:ascii="David" w:hAnsi="David" w:cs="David"/>
              </w:rPr>
            </w:pPr>
            <w:r w:rsidRPr="006A555E">
              <w:rPr>
                <w:rFonts w:ascii="David" w:eastAsia="Times New Roman" w:hAnsi="David" w:cs="David" w:hint="cs"/>
                <w:b/>
                <w:bCs/>
                <w:rtl/>
              </w:rPr>
              <w:t>מספר תיקים שנסגרו ב-2019</w:t>
            </w:r>
          </w:p>
        </w:tc>
        <w:tc>
          <w:tcPr>
            <w:tcW w:w="1418" w:type="dxa"/>
            <w:tcBorders>
              <w:top w:val="single" w:sz="4" w:space="0" w:color="auto"/>
              <w:bottom w:val="single" w:sz="4" w:space="0" w:color="auto"/>
            </w:tcBorders>
            <w:shd w:val="clear" w:color="auto" w:fill="auto"/>
            <w:noWrap/>
            <w:vAlign w:val="center"/>
          </w:tcPr>
          <w:p w14:paraId="7A92113C" w14:textId="68C00DA4" w:rsidR="007D380E" w:rsidRPr="006A555E" w:rsidRDefault="007D380E" w:rsidP="007D380E">
            <w:pPr>
              <w:spacing w:after="0" w:line="240" w:lineRule="auto"/>
              <w:jc w:val="center"/>
              <w:rPr>
                <w:rFonts w:ascii="David" w:hAnsi="David" w:cs="David"/>
                <w:b/>
                <w:bCs/>
              </w:rPr>
            </w:pPr>
            <w:r w:rsidRPr="006A555E">
              <w:rPr>
                <w:rFonts w:ascii="David" w:eastAsia="Times New Roman" w:hAnsi="David" w:cs="David"/>
                <w:b/>
                <w:bCs/>
                <w:rtl/>
              </w:rPr>
              <w:t>הזמן השיפוטי הממוצע לט</w:t>
            </w:r>
            <w:r w:rsidRPr="006A555E">
              <w:rPr>
                <w:rFonts w:ascii="David" w:eastAsia="Times New Roman" w:hAnsi="David" w:cs="David" w:hint="cs"/>
                <w:b/>
                <w:bCs/>
                <w:rtl/>
              </w:rPr>
              <w:t>י</w:t>
            </w:r>
            <w:r w:rsidRPr="006A555E">
              <w:rPr>
                <w:rFonts w:ascii="David" w:eastAsia="Times New Roman" w:hAnsi="David" w:cs="David"/>
                <w:b/>
                <w:bCs/>
                <w:rtl/>
              </w:rPr>
              <w:t>פ</w:t>
            </w:r>
            <w:r w:rsidRPr="006A555E">
              <w:rPr>
                <w:rFonts w:ascii="David" w:eastAsia="Times New Roman" w:hAnsi="David" w:cs="David" w:hint="cs"/>
                <w:b/>
                <w:bCs/>
                <w:rtl/>
              </w:rPr>
              <w:t>ו</w:t>
            </w:r>
            <w:r w:rsidRPr="006A555E">
              <w:rPr>
                <w:rFonts w:ascii="David" w:eastAsia="Times New Roman" w:hAnsi="David" w:cs="David"/>
                <w:b/>
                <w:bCs/>
                <w:rtl/>
              </w:rPr>
              <w:t>ל בתיק</w:t>
            </w:r>
          </w:p>
        </w:tc>
        <w:tc>
          <w:tcPr>
            <w:tcW w:w="1559" w:type="dxa"/>
            <w:tcBorders>
              <w:top w:val="single" w:sz="4" w:space="0" w:color="auto"/>
              <w:bottom w:val="single" w:sz="4" w:space="0" w:color="auto"/>
            </w:tcBorders>
            <w:shd w:val="clear" w:color="auto" w:fill="auto"/>
            <w:vAlign w:val="center"/>
          </w:tcPr>
          <w:p w14:paraId="50AC272D" w14:textId="2AD83D59" w:rsidR="007D380E" w:rsidRPr="006A555E" w:rsidRDefault="007D380E" w:rsidP="007D380E">
            <w:pPr>
              <w:spacing w:after="0" w:line="240" w:lineRule="auto"/>
              <w:jc w:val="center"/>
              <w:rPr>
                <w:rFonts w:ascii="David" w:hAnsi="David" w:cs="David"/>
              </w:rPr>
            </w:pPr>
            <w:r w:rsidRPr="006A555E">
              <w:rPr>
                <w:rFonts w:ascii="David" w:eastAsia="Times New Roman" w:hAnsi="David" w:cs="David"/>
                <w:b/>
                <w:bCs/>
                <w:rtl/>
              </w:rPr>
              <w:t xml:space="preserve">הזמן השיפוטי </w:t>
            </w:r>
            <w:r w:rsidRPr="006A555E">
              <w:rPr>
                <w:rFonts w:ascii="David" w:eastAsia="Times New Roman" w:hAnsi="David" w:cs="David" w:hint="cs"/>
                <w:b/>
                <w:bCs/>
                <w:rtl/>
              </w:rPr>
              <w:t xml:space="preserve">הממוצע </w:t>
            </w:r>
            <w:r w:rsidRPr="006A555E">
              <w:rPr>
                <w:rFonts w:ascii="David" w:eastAsia="Times New Roman" w:hAnsi="David" w:cs="David"/>
                <w:b/>
                <w:bCs/>
                <w:rtl/>
              </w:rPr>
              <w:t xml:space="preserve">לפי </w:t>
            </w:r>
            <w:r w:rsidRPr="006A555E">
              <w:rPr>
                <w:rFonts w:ascii="David" w:eastAsia="Times New Roman" w:hAnsi="David" w:cs="David" w:hint="cs"/>
                <w:b/>
                <w:bCs/>
                <w:rtl/>
              </w:rPr>
              <w:t>ה</w:t>
            </w:r>
            <w:r w:rsidRPr="006A555E">
              <w:rPr>
                <w:rFonts w:ascii="David" w:eastAsia="Times New Roman" w:hAnsi="David" w:cs="David"/>
                <w:b/>
                <w:bCs/>
                <w:rtl/>
              </w:rPr>
              <w:t>מחקר ה</w:t>
            </w:r>
            <w:r w:rsidRPr="006A555E">
              <w:rPr>
                <w:rFonts w:ascii="David" w:eastAsia="Times New Roman" w:hAnsi="David" w:cs="David" w:hint="cs"/>
                <w:b/>
                <w:bCs/>
                <w:rtl/>
              </w:rPr>
              <w:t>קודם</w:t>
            </w:r>
          </w:p>
        </w:tc>
        <w:tc>
          <w:tcPr>
            <w:tcW w:w="850" w:type="dxa"/>
            <w:tcBorders>
              <w:top w:val="single" w:sz="4" w:space="0" w:color="auto"/>
              <w:bottom w:val="single" w:sz="4" w:space="0" w:color="auto"/>
            </w:tcBorders>
            <w:shd w:val="clear" w:color="auto" w:fill="auto"/>
            <w:vAlign w:val="center"/>
          </w:tcPr>
          <w:p w14:paraId="7767D744" w14:textId="44B640F8" w:rsidR="007D380E" w:rsidRPr="006A555E" w:rsidRDefault="007D380E" w:rsidP="007D380E">
            <w:pPr>
              <w:spacing w:after="0" w:line="240" w:lineRule="auto"/>
              <w:jc w:val="center"/>
              <w:rPr>
                <w:rFonts w:ascii="David" w:hAnsi="David" w:cs="David"/>
              </w:rPr>
            </w:pPr>
            <w:r w:rsidRPr="006A555E">
              <w:rPr>
                <w:rFonts w:ascii="David" w:eastAsia="Times New Roman" w:hAnsi="David" w:cs="David"/>
                <w:b/>
                <w:bCs/>
                <w:rtl/>
              </w:rPr>
              <w:t xml:space="preserve">מגמת </w:t>
            </w:r>
            <w:r w:rsidRPr="006A555E">
              <w:rPr>
                <w:rFonts w:ascii="David" w:eastAsia="Times New Roman" w:hAnsi="David" w:cs="David" w:hint="cs"/>
                <w:b/>
                <w:bCs/>
                <w:rtl/>
              </w:rPr>
              <w:t>ה</w:t>
            </w:r>
            <w:r w:rsidRPr="006A555E">
              <w:rPr>
                <w:rFonts w:ascii="David" w:eastAsia="Times New Roman" w:hAnsi="David" w:cs="David"/>
                <w:b/>
                <w:bCs/>
                <w:rtl/>
              </w:rPr>
              <w:t>שינוי</w:t>
            </w:r>
          </w:p>
        </w:tc>
      </w:tr>
      <w:tr w:rsidR="00FD0858" w:rsidRPr="006A555E" w14:paraId="6FBD081D"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3D8CEAF6" w14:textId="77777777" w:rsidR="00FD0858" w:rsidRPr="006A555E" w:rsidRDefault="00FD0858" w:rsidP="00FD0858">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621EA69F" w14:textId="77777777" w:rsidR="00FD0858" w:rsidRPr="006A555E" w:rsidRDefault="00FD0858" w:rsidP="00FD0858">
            <w:pPr>
              <w:spacing w:after="0" w:line="240" w:lineRule="auto"/>
              <w:rPr>
                <w:rFonts w:ascii="David" w:hAnsi="David" w:cs="David"/>
                <w:rtl/>
              </w:rPr>
            </w:pPr>
            <w:r w:rsidRPr="006A555E">
              <w:rPr>
                <w:rFonts w:ascii="David" w:hAnsi="David" w:cs="David"/>
                <w:rtl/>
              </w:rPr>
              <w:t>פלילי</w:t>
            </w:r>
          </w:p>
        </w:tc>
        <w:tc>
          <w:tcPr>
            <w:tcW w:w="2262" w:type="dxa"/>
            <w:tcBorders>
              <w:top w:val="single" w:sz="4" w:space="0" w:color="auto"/>
              <w:bottom w:val="single" w:sz="4" w:space="0" w:color="auto"/>
            </w:tcBorders>
            <w:shd w:val="clear" w:color="auto" w:fill="D9D9D9"/>
            <w:vAlign w:val="center"/>
          </w:tcPr>
          <w:p w14:paraId="4CEB1800" w14:textId="77777777" w:rsidR="00FD0858" w:rsidRPr="006A555E" w:rsidRDefault="00FD0858" w:rsidP="00FD0858">
            <w:pPr>
              <w:spacing w:after="0" w:line="240" w:lineRule="auto"/>
              <w:rPr>
                <w:rFonts w:ascii="David" w:hAnsi="David" w:cs="David"/>
                <w:rtl/>
              </w:rPr>
            </w:pPr>
            <w:r w:rsidRPr="006A555E">
              <w:rPr>
                <w:rFonts w:ascii="David" w:hAnsi="David" w:cs="David"/>
                <w:rtl/>
              </w:rPr>
              <w:t>תיק פלילי קהילתי (תפ"ק)</w:t>
            </w:r>
          </w:p>
        </w:tc>
        <w:tc>
          <w:tcPr>
            <w:tcW w:w="1276" w:type="dxa"/>
            <w:tcBorders>
              <w:top w:val="single" w:sz="4" w:space="0" w:color="auto"/>
              <w:bottom w:val="single" w:sz="4" w:space="0" w:color="auto"/>
            </w:tcBorders>
            <w:shd w:val="clear" w:color="auto" w:fill="D9D9D9"/>
            <w:vAlign w:val="center"/>
          </w:tcPr>
          <w:p w14:paraId="7204839A" w14:textId="77777777" w:rsidR="00FD0858" w:rsidRPr="006A555E" w:rsidRDefault="00FD0858" w:rsidP="00FD0858">
            <w:pPr>
              <w:bidi w:val="0"/>
              <w:spacing w:after="0" w:line="240" w:lineRule="auto"/>
              <w:jc w:val="center"/>
              <w:rPr>
                <w:rFonts w:ascii="David" w:hAnsi="David" w:cs="David"/>
              </w:rPr>
            </w:pPr>
            <w:r w:rsidRPr="006A555E">
              <w:rPr>
                <w:rFonts w:ascii="David" w:hAnsi="David" w:cs="David"/>
              </w:rPr>
              <w:t>228</w:t>
            </w:r>
          </w:p>
        </w:tc>
        <w:tc>
          <w:tcPr>
            <w:tcW w:w="1418" w:type="dxa"/>
            <w:tcBorders>
              <w:top w:val="single" w:sz="4" w:space="0" w:color="auto"/>
              <w:bottom w:val="single" w:sz="4" w:space="0" w:color="auto"/>
            </w:tcBorders>
            <w:shd w:val="clear" w:color="auto" w:fill="D9D9D9"/>
            <w:noWrap/>
            <w:vAlign w:val="center"/>
          </w:tcPr>
          <w:p w14:paraId="32398F5A" w14:textId="77777777" w:rsidR="00FD0858" w:rsidRPr="006A555E" w:rsidRDefault="00FD0858" w:rsidP="00FD0858">
            <w:pPr>
              <w:spacing w:after="0" w:line="240" w:lineRule="auto"/>
              <w:jc w:val="center"/>
              <w:rPr>
                <w:rFonts w:cs="David"/>
                <w:b/>
                <w:bCs/>
                <w:rtl/>
              </w:rPr>
            </w:pPr>
            <w:r w:rsidRPr="006A555E">
              <w:rPr>
                <w:rFonts w:ascii="David" w:hAnsi="David" w:cs="David"/>
                <w:b/>
                <w:bCs/>
              </w:rPr>
              <w:t>7:11</w:t>
            </w:r>
          </w:p>
        </w:tc>
        <w:tc>
          <w:tcPr>
            <w:tcW w:w="1559" w:type="dxa"/>
            <w:tcBorders>
              <w:top w:val="single" w:sz="4" w:space="0" w:color="auto"/>
              <w:bottom w:val="single" w:sz="4" w:space="0" w:color="auto"/>
            </w:tcBorders>
            <w:shd w:val="clear" w:color="auto" w:fill="D9D9D9"/>
            <w:vAlign w:val="center"/>
          </w:tcPr>
          <w:p w14:paraId="653D3274" w14:textId="77777777" w:rsidR="00FD0858" w:rsidRPr="006A555E" w:rsidRDefault="00FD0858" w:rsidP="00FD0858">
            <w:pPr>
              <w:spacing w:after="0" w:line="240" w:lineRule="auto"/>
              <w:jc w:val="center"/>
              <w:rPr>
                <w:rFonts w:ascii="David" w:hAnsi="David" w:cs="David"/>
              </w:rPr>
            </w:pPr>
            <w:r w:rsidRPr="006A555E">
              <w:rPr>
                <w:rFonts w:ascii="David" w:hAnsi="David" w:cs="David"/>
              </w:rPr>
              <w:t>-</w:t>
            </w:r>
          </w:p>
        </w:tc>
        <w:tc>
          <w:tcPr>
            <w:tcW w:w="850" w:type="dxa"/>
            <w:tcBorders>
              <w:top w:val="single" w:sz="4" w:space="0" w:color="auto"/>
              <w:bottom w:val="single" w:sz="4" w:space="0" w:color="auto"/>
            </w:tcBorders>
            <w:shd w:val="clear" w:color="auto" w:fill="D9D9D9"/>
            <w:vAlign w:val="center"/>
          </w:tcPr>
          <w:p w14:paraId="77C58645" w14:textId="77777777" w:rsidR="00FD0858" w:rsidRPr="006A555E" w:rsidRDefault="00FD0858" w:rsidP="00FD0858">
            <w:pPr>
              <w:spacing w:after="0" w:line="240" w:lineRule="auto"/>
              <w:jc w:val="center"/>
              <w:rPr>
                <w:rFonts w:ascii="David" w:hAnsi="David" w:cs="David"/>
              </w:rPr>
            </w:pPr>
            <w:r w:rsidRPr="006A555E">
              <w:rPr>
                <w:rFonts w:ascii="David" w:hAnsi="David" w:cs="David"/>
              </w:rPr>
              <w:t>-</w:t>
            </w:r>
          </w:p>
        </w:tc>
      </w:tr>
      <w:tr w:rsidR="00FD0858" w:rsidRPr="006A555E" w14:paraId="4448ED4B"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41ED34E6" w14:textId="77777777" w:rsidR="00FD0858" w:rsidRPr="006A555E" w:rsidRDefault="00FD0858" w:rsidP="00FD0858">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441338D7" w14:textId="77777777" w:rsidR="00FD0858" w:rsidRPr="006A555E" w:rsidRDefault="00FD0858" w:rsidP="00FD0858">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auto"/>
            <w:vAlign w:val="center"/>
          </w:tcPr>
          <w:p w14:paraId="30786F6A" w14:textId="77777777" w:rsidR="00FD0858" w:rsidRPr="006A555E" w:rsidRDefault="00FD0858" w:rsidP="00FD0858">
            <w:pPr>
              <w:spacing w:after="0" w:line="240" w:lineRule="auto"/>
              <w:rPr>
                <w:rFonts w:ascii="David" w:hAnsi="David" w:cs="David"/>
                <w:rtl/>
              </w:rPr>
            </w:pPr>
            <w:r w:rsidRPr="006A555E">
              <w:rPr>
                <w:rFonts w:ascii="David" w:hAnsi="David" w:cs="David"/>
                <w:rtl/>
              </w:rPr>
              <w:t>תיק אזרחי בסדר דין רגיל (ת"א)-לשון הרע</w:t>
            </w:r>
          </w:p>
        </w:tc>
        <w:tc>
          <w:tcPr>
            <w:tcW w:w="1276" w:type="dxa"/>
            <w:tcBorders>
              <w:top w:val="single" w:sz="4" w:space="0" w:color="auto"/>
              <w:bottom w:val="single" w:sz="4" w:space="0" w:color="auto"/>
            </w:tcBorders>
            <w:vAlign w:val="center"/>
          </w:tcPr>
          <w:p w14:paraId="17571126" w14:textId="77777777" w:rsidR="00FD0858" w:rsidRPr="006A555E" w:rsidRDefault="00FD0858" w:rsidP="00FD0858">
            <w:pPr>
              <w:bidi w:val="0"/>
              <w:spacing w:after="0" w:line="240" w:lineRule="auto"/>
              <w:jc w:val="center"/>
              <w:rPr>
                <w:rFonts w:ascii="David" w:hAnsi="David" w:cs="David"/>
              </w:rPr>
            </w:pPr>
            <w:r w:rsidRPr="006A555E">
              <w:rPr>
                <w:rFonts w:ascii="David" w:hAnsi="David" w:cs="David"/>
              </w:rPr>
              <w:t>1,002</w:t>
            </w:r>
          </w:p>
        </w:tc>
        <w:tc>
          <w:tcPr>
            <w:tcW w:w="1418" w:type="dxa"/>
            <w:tcBorders>
              <w:top w:val="single" w:sz="4" w:space="0" w:color="auto"/>
              <w:bottom w:val="single" w:sz="4" w:space="0" w:color="auto"/>
            </w:tcBorders>
            <w:shd w:val="clear" w:color="auto" w:fill="auto"/>
            <w:noWrap/>
            <w:vAlign w:val="center"/>
          </w:tcPr>
          <w:p w14:paraId="023997E7" w14:textId="77777777" w:rsidR="00FD0858" w:rsidRPr="006A555E" w:rsidRDefault="00FD0858" w:rsidP="00FD0858">
            <w:pPr>
              <w:spacing w:after="0" w:line="240" w:lineRule="auto"/>
              <w:jc w:val="center"/>
              <w:rPr>
                <w:rFonts w:ascii="David" w:hAnsi="David" w:cs="David"/>
                <w:b/>
                <w:bCs/>
              </w:rPr>
            </w:pPr>
            <w:r w:rsidRPr="006A555E">
              <w:rPr>
                <w:rFonts w:ascii="David" w:hAnsi="David" w:cs="David"/>
                <w:b/>
                <w:bCs/>
              </w:rPr>
              <w:t>7:11</w:t>
            </w:r>
          </w:p>
        </w:tc>
        <w:tc>
          <w:tcPr>
            <w:tcW w:w="1559" w:type="dxa"/>
            <w:tcBorders>
              <w:top w:val="single" w:sz="4" w:space="0" w:color="auto"/>
              <w:bottom w:val="single" w:sz="4" w:space="0" w:color="auto"/>
            </w:tcBorders>
            <w:shd w:val="clear" w:color="auto" w:fill="auto"/>
            <w:vAlign w:val="center"/>
          </w:tcPr>
          <w:p w14:paraId="76853C20" w14:textId="77777777" w:rsidR="00FD0858" w:rsidRPr="006A555E" w:rsidRDefault="00FD0858" w:rsidP="00FD0858">
            <w:pPr>
              <w:spacing w:after="0" w:line="240" w:lineRule="auto"/>
              <w:jc w:val="center"/>
              <w:rPr>
                <w:rFonts w:ascii="David" w:hAnsi="David" w:cs="David"/>
                <w:rtl/>
              </w:rPr>
            </w:pPr>
            <w:r w:rsidRPr="006A555E">
              <w:rPr>
                <w:rFonts w:ascii="David" w:hAnsi="David" w:cs="David"/>
              </w:rPr>
              <w:t>-</w:t>
            </w:r>
          </w:p>
        </w:tc>
        <w:tc>
          <w:tcPr>
            <w:tcW w:w="850" w:type="dxa"/>
            <w:tcBorders>
              <w:top w:val="single" w:sz="4" w:space="0" w:color="auto"/>
              <w:bottom w:val="single" w:sz="4" w:space="0" w:color="auto"/>
            </w:tcBorders>
            <w:shd w:val="clear" w:color="auto" w:fill="auto"/>
            <w:vAlign w:val="center"/>
          </w:tcPr>
          <w:p w14:paraId="70609534" w14:textId="77777777" w:rsidR="00FD0858" w:rsidRPr="006A555E" w:rsidRDefault="00FD0858" w:rsidP="00FD0858">
            <w:pPr>
              <w:spacing w:after="0" w:line="240" w:lineRule="auto"/>
              <w:jc w:val="center"/>
              <w:rPr>
                <w:rFonts w:ascii="David" w:hAnsi="David" w:cs="David"/>
              </w:rPr>
            </w:pPr>
            <w:r w:rsidRPr="006A555E">
              <w:rPr>
                <w:rFonts w:ascii="David" w:hAnsi="David" w:cs="David" w:hint="cs"/>
                <w:rtl/>
              </w:rPr>
              <w:t>-</w:t>
            </w:r>
          </w:p>
        </w:tc>
      </w:tr>
      <w:tr w:rsidR="00FD0858" w:rsidRPr="006A555E" w14:paraId="2297F319"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3CC42466" w14:textId="77777777" w:rsidR="00FD0858" w:rsidRPr="006A555E" w:rsidRDefault="00FD0858" w:rsidP="00FD0858">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4BB521D7" w14:textId="77777777" w:rsidR="00FD0858" w:rsidRPr="006A555E" w:rsidRDefault="00FD0858" w:rsidP="00FD0858">
            <w:pPr>
              <w:spacing w:after="0" w:line="240" w:lineRule="auto"/>
              <w:rPr>
                <w:rFonts w:ascii="David" w:hAnsi="David" w:cs="David"/>
                <w:rtl/>
              </w:rPr>
            </w:pPr>
            <w:r w:rsidRPr="006A555E">
              <w:rPr>
                <w:rFonts w:ascii="David" w:hAnsi="David" w:cs="David"/>
                <w:rtl/>
              </w:rPr>
              <w:t>ועדת ערר</w:t>
            </w:r>
          </w:p>
        </w:tc>
        <w:tc>
          <w:tcPr>
            <w:tcW w:w="2262" w:type="dxa"/>
            <w:tcBorders>
              <w:top w:val="single" w:sz="4" w:space="0" w:color="auto"/>
              <w:bottom w:val="single" w:sz="4" w:space="0" w:color="auto"/>
            </w:tcBorders>
            <w:shd w:val="clear" w:color="auto" w:fill="D9D9D9"/>
            <w:vAlign w:val="center"/>
          </w:tcPr>
          <w:p w14:paraId="7EE00533" w14:textId="77777777" w:rsidR="00FD0858" w:rsidRPr="006A555E" w:rsidRDefault="00FD0858" w:rsidP="00FD0858">
            <w:pPr>
              <w:spacing w:after="0" w:line="240" w:lineRule="auto"/>
              <w:rPr>
                <w:rFonts w:ascii="David" w:hAnsi="David" w:cs="David"/>
                <w:rtl/>
              </w:rPr>
            </w:pPr>
            <w:r w:rsidRPr="006A555E">
              <w:rPr>
                <w:rFonts w:ascii="David" w:hAnsi="David" w:cs="David"/>
                <w:rtl/>
              </w:rPr>
              <w:t>ערעור לפי חוק הנכים (ע"נ)</w:t>
            </w:r>
          </w:p>
        </w:tc>
        <w:tc>
          <w:tcPr>
            <w:tcW w:w="1276" w:type="dxa"/>
            <w:tcBorders>
              <w:top w:val="single" w:sz="4" w:space="0" w:color="auto"/>
              <w:bottom w:val="single" w:sz="4" w:space="0" w:color="auto"/>
            </w:tcBorders>
            <w:shd w:val="clear" w:color="auto" w:fill="D9D9D9"/>
            <w:vAlign w:val="center"/>
          </w:tcPr>
          <w:p w14:paraId="73347C65" w14:textId="77777777" w:rsidR="00FD0858" w:rsidRPr="006A555E" w:rsidRDefault="00FD0858" w:rsidP="00FD0858">
            <w:pPr>
              <w:bidi w:val="0"/>
              <w:spacing w:after="0" w:line="240" w:lineRule="auto"/>
              <w:jc w:val="center"/>
              <w:rPr>
                <w:rFonts w:ascii="David" w:hAnsi="David" w:cs="David"/>
              </w:rPr>
            </w:pPr>
            <w:r w:rsidRPr="006A555E">
              <w:rPr>
                <w:rFonts w:ascii="David" w:hAnsi="David" w:cs="David"/>
              </w:rPr>
              <w:t>1,261</w:t>
            </w:r>
          </w:p>
        </w:tc>
        <w:tc>
          <w:tcPr>
            <w:tcW w:w="1418" w:type="dxa"/>
            <w:tcBorders>
              <w:top w:val="single" w:sz="4" w:space="0" w:color="auto"/>
              <w:bottom w:val="single" w:sz="4" w:space="0" w:color="auto"/>
            </w:tcBorders>
            <w:shd w:val="clear" w:color="auto" w:fill="D9D9D9"/>
            <w:noWrap/>
            <w:vAlign w:val="center"/>
          </w:tcPr>
          <w:p w14:paraId="3F952D19" w14:textId="77777777" w:rsidR="00FD0858" w:rsidRPr="006A555E" w:rsidRDefault="00FD0858" w:rsidP="00FD0858">
            <w:pPr>
              <w:spacing w:after="0" w:line="240" w:lineRule="auto"/>
              <w:jc w:val="center"/>
              <w:rPr>
                <w:rFonts w:ascii="David" w:hAnsi="David" w:cs="David"/>
                <w:b/>
                <w:bCs/>
              </w:rPr>
            </w:pPr>
            <w:r w:rsidRPr="006A555E">
              <w:rPr>
                <w:rFonts w:ascii="David" w:hAnsi="David" w:cs="David" w:hint="cs"/>
                <w:b/>
                <w:bCs/>
                <w:rtl/>
              </w:rPr>
              <w:t>6:27</w:t>
            </w:r>
          </w:p>
        </w:tc>
        <w:tc>
          <w:tcPr>
            <w:tcW w:w="1559" w:type="dxa"/>
            <w:tcBorders>
              <w:top w:val="single" w:sz="4" w:space="0" w:color="auto"/>
              <w:bottom w:val="single" w:sz="4" w:space="0" w:color="auto"/>
            </w:tcBorders>
            <w:shd w:val="clear" w:color="auto" w:fill="D9D9D9"/>
            <w:vAlign w:val="center"/>
          </w:tcPr>
          <w:p w14:paraId="58EFDC0A" w14:textId="77777777" w:rsidR="00FD0858" w:rsidRPr="006A555E" w:rsidRDefault="00FD0858" w:rsidP="00FD0858">
            <w:pPr>
              <w:spacing w:after="0" w:line="240" w:lineRule="auto"/>
              <w:jc w:val="center"/>
              <w:rPr>
                <w:rFonts w:ascii="David" w:hAnsi="David" w:cs="David"/>
              </w:rPr>
            </w:pPr>
            <w:r w:rsidRPr="006A555E">
              <w:rPr>
                <w:rFonts w:ascii="David" w:hAnsi="David" w:cs="David"/>
                <w:color w:val="000000"/>
              </w:rPr>
              <w:t>3:24</w:t>
            </w:r>
          </w:p>
        </w:tc>
        <w:tc>
          <w:tcPr>
            <w:tcW w:w="850" w:type="dxa"/>
            <w:tcBorders>
              <w:top w:val="single" w:sz="4" w:space="0" w:color="auto"/>
              <w:bottom w:val="single" w:sz="4" w:space="0" w:color="auto"/>
            </w:tcBorders>
            <w:shd w:val="clear" w:color="auto" w:fill="D9D9D9"/>
            <w:vAlign w:val="center"/>
          </w:tcPr>
          <w:p w14:paraId="04D9622C" w14:textId="77777777" w:rsidR="00FD0858" w:rsidRPr="006A555E" w:rsidRDefault="00FD0858" w:rsidP="00FD0858">
            <w:pPr>
              <w:spacing w:after="0" w:line="240" w:lineRule="auto"/>
              <w:jc w:val="center"/>
              <w:rPr>
                <w:rFonts w:ascii="David" w:hAnsi="David" w:cs="David"/>
              </w:rPr>
            </w:pPr>
            <w:r w:rsidRPr="006A555E">
              <w:rPr>
                <w:rFonts w:ascii="David" w:hAnsi="David" w:cs="David"/>
                <w:color w:val="000000"/>
              </w:rPr>
              <w:t>+3:03</w:t>
            </w:r>
          </w:p>
        </w:tc>
      </w:tr>
      <w:tr w:rsidR="00FD0858" w:rsidRPr="006A555E" w14:paraId="3B3F02D7"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3A55DA01" w14:textId="77777777" w:rsidR="00FD0858" w:rsidRPr="006A555E" w:rsidRDefault="00FD0858" w:rsidP="00FD0858">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0A991CA0" w14:textId="77777777" w:rsidR="00FD0858" w:rsidRPr="006A555E" w:rsidRDefault="00FD0858" w:rsidP="00FD0858">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auto"/>
            <w:vAlign w:val="center"/>
          </w:tcPr>
          <w:p w14:paraId="2EEBEBCF" w14:textId="77777777" w:rsidR="00FD0858" w:rsidRPr="006A555E" w:rsidRDefault="00FD0858" w:rsidP="00FD0858">
            <w:pPr>
              <w:spacing w:after="0" w:line="240" w:lineRule="auto"/>
              <w:rPr>
                <w:rFonts w:ascii="David" w:hAnsi="David" w:cs="David"/>
                <w:rtl/>
              </w:rPr>
            </w:pPr>
            <w:r w:rsidRPr="006A555E">
              <w:rPr>
                <w:rFonts w:ascii="David" w:hAnsi="David" w:cs="David"/>
                <w:rtl/>
              </w:rPr>
              <w:t>תיק אזרחי בסדר דין רגיל (ת"א)-נזקי גוף - רשלנות רפואית</w:t>
            </w:r>
          </w:p>
        </w:tc>
        <w:tc>
          <w:tcPr>
            <w:tcW w:w="1276" w:type="dxa"/>
            <w:tcBorders>
              <w:top w:val="single" w:sz="4" w:space="0" w:color="auto"/>
              <w:bottom w:val="single" w:sz="4" w:space="0" w:color="auto"/>
            </w:tcBorders>
            <w:vAlign w:val="center"/>
          </w:tcPr>
          <w:p w14:paraId="2BC23B31" w14:textId="77777777" w:rsidR="00FD0858" w:rsidRPr="006A555E" w:rsidRDefault="00FD0858" w:rsidP="00FD0858">
            <w:pPr>
              <w:bidi w:val="0"/>
              <w:jc w:val="center"/>
              <w:rPr>
                <w:rFonts w:ascii="David" w:hAnsi="David" w:cs="David"/>
                <w:rtl/>
              </w:rPr>
            </w:pPr>
            <w:r w:rsidRPr="006A555E">
              <w:rPr>
                <w:rFonts w:ascii="David" w:hAnsi="David" w:cs="David"/>
              </w:rPr>
              <w:t>1,433</w:t>
            </w:r>
          </w:p>
        </w:tc>
        <w:tc>
          <w:tcPr>
            <w:tcW w:w="1418" w:type="dxa"/>
            <w:tcBorders>
              <w:top w:val="single" w:sz="4" w:space="0" w:color="auto"/>
              <w:bottom w:val="single" w:sz="4" w:space="0" w:color="auto"/>
            </w:tcBorders>
            <w:shd w:val="clear" w:color="auto" w:fill="auto"/>
            <w:noWrap/>
            <w:vAlign w:val="center"/>
          </w:tcPr>
          <w:p w14:paraId="55659C38" w14:textId="77777777" w:rsidR="00FD0858" w:rsidRPr="006A555E" w:rsidRDefault="00FD0858" w:rsidP="00FD0858">
            <w:pPr>
              <w:spacing w:after="0" w:line="240" w:lineRule="auto"/>
              <w:jc w:val="center"/>
              <w:rPr>
                <w:rFonts w:ascii="David" w:hAnsi="David" w:cs="David"/>
                <w:b/>
                <w:bCs/>
              </w:rPr>
            </w:pPr>
            <w:r w:rsidRPr="006A555E">
              <w:rPr>
                <w:rFonts w:ascii="David" w:hAnsi="David" w:cs="David"/>
                <w:b/>
                <w:bCs/>
              </w:rPr>
              <w:t>6:13</w:t>
            </w:r>
          </w:p>
        </w:tc>
        <w:tc>
          <w:tcPr>
            <w:tcW w:w="1559" w:type="dxa"/>
            <w:tcBorders>
              <w:top w:val="single" w:sz="4" w:space="0" w:color="auto"/>
              <w:bottom w:val="single" w:sz="4" w:space="0" w:color="auto"/>
            </w:tcBorders>
            <w:shd w:val="clear" w:color="auto" w:fill="auto"/>
            <w:vAlign w:val="center"/>
          </w:tcPr>
          <w:p w14:paraId="3626ECE2" w14:textId="77777777" w:rsidR="00FD0858" w:rsidRPr="006A555E" w:rsidRDefault="00FD0858" w:rsidP="00FD0858">
            <w:pPr>
              <w:spacing w:after="0" w:line="240" w:lineRule="auto"/>
              <w:jc w:val="center"/>
              <w:rPr>
                <w:rFonts w:ascii="David" w:hAnsi="David" w:cs="David"/>
              </w:rPr>
            </w:pPr>
            <w:r w:rsidRPr="006A555E">
              <w:rPr>
                <w:rFonts w:ascii="David" w:hAnsi="David" w:cs="David" w:hint="cs"/>
                <w:rtl/>
              </w:rPr>
              <w:t>-</w:t>
            </w:r>
          </w:p>
        </w:tc>
        <w:tc>
          <w:tcPr>
            <w:tcW w:w="850" w:type="dxa"/>
            <w:tcBorders>
              <w:top w:val="single" w:sz="4" w:space="0" w:color="auto"/>
              <w:bottom w:val="single" w:sz="4" w:space="0" w:color="auto"/>
            </w:tcBorders>
            <w:shd w:val="clear" w:color="auto" w:fill="auto"/>
            <w:vAlign w:val="center"/>
          </w:tcPr>
          <w:p w14:paraId="0E5A5A18" w14:textId="77777777" w:rsidR="00FD0858" w:rsidRPr="006A555E" w:rsidRDefault="00FD0858" w:rsidP="00FD0858">
            <w:pPr>
              <w:spacing w:after="0" w:line="240" w:lineRule="auto"/>
              <w:jc w:val="center"/>
              <w:rPr>
                <w:rFonts w:ascii="David" w:hAnsi="David" w:cs="David"/>
              </w:rPr>
            </w:pPr>
            <w:r w:rsidRPr="006A555E">
              <w:rPr>
                <w:rFonts w:ascii="David" w:hAnsi="David" w:cs="David" w:hint="cs"/>
                <w:rtl/>
              </w:rPr>
              <w:t>-</w:t>
            </w:r>
          </w:p>
        </w:tc>
      </w:tr>
      <w:tr w:rsidR="00FD0858" w:rsidRPr="006A555E" w14:paraId="75228874"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7B5CCDD0" w14:textId="77777777" w:rsidR="00FD0858" w:rsidRPr="006A555E" w:rsidRDefault="00FD0858" w:rsidP="00FD0858">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3250B15B" w14:textId="77777777" w:rsidR="00FD0858" w:rsidRPr="006A555E" w:rsidRDefault="00FD0858" w:rsidP="00FD0858">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D9D9D9"/>
            <w:vAlign w:val="center"/>
          </w:tcPr>
          <w:p w14:paraId="5CB0AF39" w14:textId="77777777" w:rsidR="00FD0858" w:rsidRPr="006A555E" w:rsidRDefault="00FD0858" w:rsidP="00FD0858">
            <w:pPr>
              <w:spacing w:after="0" w:line="240" w:lineRule="auto"/>
              <w:rPr>
                <w:rFonts w:ascii="David" w:hAnsi="David" w:cs="David"/>
                <w:rtl/>
              </w:rPr>
            </w:pPr>
            <w:r w:rsidRPr="006A555E">
              <w:rPr>
                <w:rFonts w:ascii="David" w:hAnsi="David" w:cs="David"/>
                <w:rtl/>
              </w:rPr>
              <w:t>תיק אזרחי בסדר דין רגיל (ת"א)-שיבוב וביטוח</w:t>
            </w:r>
            <w:r w:rsidRPr="006A555E">
              <w:rPr>
                <w:rFonts w:ascii="David" w:hAnsi="David" w:cs="David" w:hint="cs"/>
                <w:rtl/>
              </w:rPr>
              <w:t>*</w:t>
            </w:r>
          </w:p>
        </w:tc>
        <w:tc>
          <w:tcPr>
            <w:tcW w:w="1276" w:type="dxa"/>
            <w:tcBorders>
              <w:top w:val="single" w:sz="4" w:space="0" w:color="auto"/>
              <w:bottom w:val="single" w:sz="4" w:space="0" w:color="auto"/>
            </w:tcBorders>
            <w:shd w:val="clear" w:color="auto" w:fill="D9D9D9"/>
            <w:vAlign w:val="center"/>
          </w:tcPr>
          <w:p w14:paraId="013EFC45" w14:textId="77777777" w:rsidR="00FD0858" w:rsidRPr="006A555E" w:rsidRDefault="00FD0858" w:rsidP="00FD0858">
            <w:pPr>
              <w:bidi w:val="0"/>
              <w:jc w:val="center"/>
              <w:rPr>
                <w:rFonts w:ascii="David" w:hAnsi="David" w:cs="David"/>
              </w:rPr>
            </w:pPr>
            <w:r w:rsidRPr="006A555E">
              <w:rPr>
                <w:rFonts w:ascii="David" w:hAnsi="David" w:cs="David"/>
              </w:rPr>
              <w:t>1,167</w:t>
            </w:r>
          </w:p>
        </w:tc>
        <w:tc>
          <w:tcPr>
            <w:tcW w:w="1418" w:type="dxa"/>
            <w:tcBorders>
              <w:top w:val="single" w:sz="4" w:space="0" w:color="auto"/>
              <w:bottom w:val="single" w:sz="4" w:space="0" w:color="auto"/>
            </w:tcBorders>
            <w:shd w:val="clear" w:color="auto" w:fill="D9D9D9"/>
            <w:noWrap/>
            <w:vAlign w:val="center"/>
          </w:tcPr>
          <w:p w14:paraId="68609F62" w14:textId="77777777" w:rsidR="00FD0858" w:rsidRPr="006A555E" w:rsidRDefault="00FD0858" w:rsidP="00FD0858">
            <w:pPr>
              <w:spacing w:after="0" w:line="240" w:lineRule="auto"/>
              <w:jc w:val="center"/>
              <w:rPr>
                <w:rFonts w:ascii="David" w:hAnsi="David" w:cs="David"/>
                <w:b/>
                <w:bCs/>
                <w:rtl/>
              </w:rPr>
            </w:pPr>
            <w:r w:rsidRPr="006A555E">
              <w:rPr>
                <w:rFonts w:ascii="David" w:hAnsi="David" w:cs="David" w:hint="cs"/>
                <w:b/>
                <w:bCs/>
                <w:rtl/>
              </w:rPr>
              <w:t>6:10</w:t>
            </w:r>
          </w:p>
        </w:tc>
        <w:tc>
          <w:tcPr>
            <w:tcW w:w="1559" w:type="dxa"/>
            <w:tcBorders>
              <w:top w:val="single" w:sz="4" w:space="0" w:color="auto"/>
              <w:bottom w:val="single" w:sz="4" w:space="0" w:color="auto"/>
            </w:tcBorders>
            <w:shd w:val="clear" w:color="auto" w:fill="D9D9D9"/>
            <w:vAlign w:val="center"/>
          </w:tcPr>
          <w:p w14:paraId="5DCF54E8" w14:textId="77777777" w:rsidR="00FD0858" w:rsidRPr="006A555E" w:rsidRDefault="00FD0858" w:rsidP="00FD0858">
            <w:pPr>
              <w:spacing w:after="0" w:line="240" w:lineRule="auto"/>
              <w:jc w:val="center"/>
              <w:rPr>
                <w:rFonts w:ascii="David" w:hAnsi="David" w:cs="David"/>
                <w:color w:val="000000"/>
              </w:rPr>
            </w:pPr>
            <w:r w:rsidRPr="006A555E">
              <w:rPr>
                <w:rFonts w:ascii="David" w:hAnsi="David" w:cs="David" w:hint="cs"/>
                <w:rtl/>
              </w:rPr>
              <w:t>-</w:t>
            </w:r>
          </w:p>
        </w:tc>
        <w:tc>
          <w:tcPr>
            <w:tcW w:w="850" w:type="dxa"/>
            <w:tcBorders>
              <w:top w:val="single" w:sz="4" w:space="0" w:color="auto"/>
              <w:bottom w:val="single" w:sz="4" w:space="0" w:color="auto"/>
            </w:tcBorders>
            <w:shd w:val="clear" w:color="auto" w:fill="D9D9D9"/>
            <w:vAlign w:val="center"/>
          </w:tcPr>
          <w:p w14:paraId="75F93992" w14:textId="77777777" w:rsidR="00FD0858" w:rsidRPr="006A555E" w:rsidRDefault="00FD0858" w:rsidP="00FD0858">
            <w:pPr>
              <w:spacing w:after="0" w:line="240" w:lineRule="auto"/>
              <w:jc w:val="center"/>
              <w:rPr>
                <w:rFonts w:ascii="David" w:hAnsi="David" w:cs="David"/>
                <w:color w:val="000000"/>
                <w:rtl/>
              </w:rPr>
            </w:pPr>
            <w:r w:rsidRPr="006A555E">
              <w:rPr>
                <w:rFonts w:ascii="David" w:hAnsi="David" w:cs="David" w:hint="cs"/>
                <w:rtl/>
              </w:rPr>
              <w:t>-</w:t>
            </w:r>
          </w:p>
        </w:tc>
      </w:tr>
      <w:tr w:rsidR="00FD0858" w:rsidRPr="006A555E" w14:paraId="4BC923E5"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48D9B211" w14:textId="77777777" w:rsidR="00FD0858" w:rsidRPr="006A555E" w:rsidRDefault="00FD0858" w:rsidP="00FD0858">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62910D9E" w14:textId="77777777" w:rsidR="00FD0858" w:rsidRPr="006A555E" w:rsidRDefault="00FD0858" w:rsidP="00FD0858">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auto"/>
            <w:vAlign w:val="center"/>
          </w:tcPr>
          <w:p w14:paraId="71C43F43" w14:textId="77777777" w:rsidR="00FD0858" w:rsidRPr="006A555E" w:rsidRDefault="00FD0858" w:rsidP="00FD0858">
            <w:pPr>
              <w:spacing w:after="0" w:line="240" w:lineRule="auto"/>
              <w:rPr>
                <w:rFonts w:ascii="David" w:hAnsi="David" w:cs="David"/>
                <w:rtl/>
              </w:rPr>
            </w:pPr>
            <w:r w:rsidRPr="006A555E">
              <w:rPr>
                <w:rFonts w:ascii="David" w:hAnsi="David" w:cs="David"/>
                <w:rtl/>
              </w:rPr>
              <w:t>תיק אזרחי בסדר דין רגיל (ת"א)-תקנה 3 (אגרות)</w:t>
            </w:r>
          </w:p>
        </w:tc>
        <w:tc>
          <w:tcPr>
            <w:tcW w:w="1276" w:type="dxa"/>
            <w:tcBorders>
              <w:top w:val="single" w:sz="4" w:space="0" w:color="auto"/>
              <w:bottom w:val="single" w:sz="4" w:space="0" w:color="auto"/>
            </w:tcBorders>
            <w:vAlign w:val="center"/>
          </w:tcPr>
          <w:p w14:paraId="10BBD784" w14:textId="77777777" w:rsidR="00FD0858" w:rsidRPr="006A555E" w:rsidRDefault="00FD0858" w:rsidP="00FD0858">
            <w:pPr>
              <w:bidi w:val="0"/>
              <w:spacing w:after="0" w:line="240" w:lineRule="auto"/>
              <w:jc w:val="center"/>
              <w:rPr>
                <w:rFonts w:ascii="David" w:hAnsi="David" w:cs="David"/>
              </w:rPr>
            </w:pPr>
            <w:r w:rsidRPr="006A555E">
              <w:rPr>
                <w:rFonts w:ascii="David" w:hAnsi="David" w:cs="David"/>
              </w:rPr>
              <w:t>2,387</w:t>
            </w:r>
          </w:p>
        </w:tc>
        <w:tc>
          <w:tcPr>
            <w:tcW w:w="1418" w:type="dxa"/>
            <w:tcBorders>
              <w:top w:val="single" w:sz="4" w:space="0" w:color="auto"/>
              <w:bottom w:val="single" w:sz="4" w:space="0" w:color="auto"/>
            </w:tcBorders>
            <w:shd w:val="clear" w:color="auto" w:fill="auto"/>
            <w:noWrap/>
            <w:vAlign w:val="center"/>
          </w:tcPr>
          <w:p w14:paraId="1147A545" w14:textId="77777777" w:rsidR="00FD0858" w:rsidRPr="006A555E" w:rsidRDefault="00FD0858" w:rsidP="00FD0858">
            <w:pPr>
              <w:spacing w:after="0" w:line="240" w:lineRule="auto"/>
              <w:jc w:val="center"/>
              <w:rPr>
                <w:rFonts w:ascii="David" w:hAnsi="David" w:cs="David"/>
                <w:b/>
                <w:bCs/>
              </w:rPr>
            </w:pPr>
            <w:r w:rsidRPr="006A555E">
              <w:rPr>
                <w:rFonts w:ascii="David" w:hAnsi="David" w:cs="David" w:hint="cs"/>
                <w:b/>
                <w:bCs/>
                <w:rtl/>
              </w:rPr>
              <w:t>6:04</w:t>
            </w:r>
          </w:p>
        </w:tc>
        <w:tc>
          <w:tcPr>
            <w:tcW w:w="1559" w:type="dxa"/>
            <w:tcBorders>
              <w:top w:val="single" w:sz="4" w:space="0" w:color="auto"/>
              <w:bottom w:val="single" w:sz="4" w:space="0" w:color="auto"/>
            </w:tcBorders>
            <w:shd w:val="clear" w:color="auto" w:fill="auto"/>
            <w:vAlign w:val="center"/>
          </w:tcPr>
          <w:p w14:paraId="049BF208" w14:textId="77777777" w:rsidR="00FD0858" w:rsidRPr="006A555E" w:rsidRDefault="00FD0858" w:rsidP="00FD0858">
            <w:pPr>
              <w:spacing w:after="0" w:line="240" w:lineRule="auto"/>
              <w:jc w:val="center"/>
              <w:rPr>
                <w:rFonts w:ascii="David" w:hAnsi="David" w:cs="David"/>
              </w:rPr>
            </w:pPr>
            <w:r w:rsidRPr="006A555E">
              <w:rPr>
                <w:rFonts w:ascii="David" w:hAnsi="David" w:cs="David" w:hint="cs"/>
                <w:rtl/>
              </w:rPr>
              <w:t>-</w:t>
            </w:r>
          </w:p>
        </w:tc>
        <w:tc>
          <w:tcPr>
            <w:tcW w:w="850" w:type="dxa"/>
            <w:tcBorders>
              <w:top w:val="single" w:sz="4" w:space="0" w:color="auto"/>
              <w:bottom w:val="single" w:sz="4" w:space="0" w:color="auto"/>
            </w:tcBorders>
            <w:shd w:val="clear" w:color="auto" w:fill="auto"/>
            <w:vAlign w:val="center"/>
          </w:tcPr>
          <w:p w14:paraId="6DA0C597" w14:textId="77777777" w:rsidR="00FD0858" w:rsidRPr="006A555E" w:rsidRDefault="00FD0858" w:rsidP="00FD0858">
            <w:pPr>
              <w:spacing w:after="0" w:line="240" w:lineRule="auto"/>
              <w:jc w:val="center"/>
              <w:rPr>
                <w:rFonts w:ascii="David" w:hAnsi="David" w:cs="David"/>
              </w:rPr>
            </w:pPr>
            <w:r w:rsidRPr="006A555E">
              <w:rPr>
                <w:rFonts w:ascii="David" w:hAnsi="David" w:cs="David" w:hint="cs"/>
                <w:rtl/>
              </w:rPr>
              <w:t>-</w:t>
            </w:r>
          </w:p>
        </w:tc>
      </w:tr>
      <w:tr w:rsidR="00FD0858" w:rsidRPr="006A555E" w14:paraId="3C5D1FBA"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7E72F3B6" w14:textId="77777777" w:rsidR="00FD0858" w:rsidRPr="006A555E" w:rsidRDefault="00FD0858" w:rsidP="00FD0858">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1AFC800F" w14:textId="77777777" w:rsidR="00FD0858" w:rsidRPr="006A555E" w:rsidRDefault="00FD0858" w:rsidP="00FD0858">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D9D9D9"/>
            <w:vAlign w:val="center"/>
          </w:tcPr>
          <w:p w14:paraId="63C98B80" w14:textId="77777777" w:rsidR="00FD0858" w:rsidRPr="006A555E" w:rsidRDefault="00FD0858" w:rsidP="00FD0858">
            <w:pPr>
              <w:spacing w:after="0" w:line="240" w:lineRule="auto"/>
              <w:rPr>
                <w:rFonts w:ascii="David" w:hAnsi="David" w:cs="David"/>
                <w:rtl/>
              </w:rPr>
            </w:pPr>
            <w:r w:rsidRPr="006A555E">
              <w:rPr>
                <w:rFonts w:ascii="David" w:hAnsi="David" w:cs="David"/>
                <w:rtl/>
              </w:rPr>
              <w:t>תיק אזרחי בסדר דין רגיל (ת"א)-בנקים ואשראי</w:t>
            </w:r>
            <w:r w:rsidRPr="006A555E">
              <w:rPr>
                <w:rFonts w:ascii="David" w:hAnsi="David" w:cs="David" w:hint="cs"/>
                <w:rtl/>
              </w:rPr>
              <w:t>*</w:t>
            </w:r>
          </w:p>
        </w:tc>
        <w:tc>
          <w:tcPr>
            <w:tcW w:w="1276" w:type="dxa"/>
            <w:tcBorders>
              <w:top w:val="single" w:sz="4" w:space="0" w:color="auto"/>
              <w:bottom w:val="single" w:sz="4" w:space="0" w:color="auto"/>
            </w:tcBorders>
            <w:shd w:val="clear" w:color="auto" w:fill="D9D9D9"/>
            <w:vAlign w:val="center"/>
          </w:tcPr>
          <w:p w14:paraId="45F9955A" w14:textId="77777777" w:rsidR="00FD0858" w:rsidRPr="006A555E" w:rsidRDefault="00FD0858" w:rsidP="00FD0858">
            <w:pPr>
              <w:bidi w:val="0"/>
              <w:spacing w:after="0" w:line="240" w:lineRule="auto"/>
              <w:jc w:val="center"/>
              <w:rPr>
                <w:rFonts w:ascii="David" w:hAnsi="David" w:cs="David"/>
              </w:rPr>
            </w:pPr>
            <w:r w:rsidRPr="006A555E">
              <w:rPr>
                <w:rFonts w:ascii="David" w:hAnsi="David" w:cs="David"/>
              </w:rPr>
              <w:t>109</w:t>
            </w:r>
          </w:p>
        </w:tc>
        <w:tc>
          <w:tcPr>
            <w:tcW w:w="1418" w:type="dxa"/>
            <w:tcBorders>
              <w:top w:val="single" w:sz="4" w:space="0" w:color="auto"/>
              <w:bottom w:val="single" w:sz="4" w:space="0" w:color="auto"/>
            </w:tcBorders>
            <w:shd w:val="clear" w:color="auto" w:fill="D9D9D9"/>
            <w:noWrap/>
            <w:vAlign w:val="center"/>
          </w:tcPr>
          <w:p w14:paraId="12E36E19" w14:textId="77777777" w:rsidR="00FD0858" w:rsidRPr="006A555E" w:rsidRDefault="00FD0858" w:rsidP="00FD0858">
            <w:pPr>
              <w:spacing w:after="0" w:line="240" w:lineRule="auto"/>
              <w:jc w:val="center"/>
              <w:rPr>
                <w:rFonts w:ascii="David" w:hAnsi="David" w:cs="David"/>
                <w:b/>
                <w:bCs/>
              </w:rPr>
            </w:pPr>
            <w:r w:rsidRPr="006A555E">
              <w:rPr>
                <w:rFonts w:ascii="David" w:hAnsi="David" w:cs="David"/>
                <w:b/>
                <w:bCs/>
              </w:rPr>
              <w:t>5:46</w:t>
            </w:r>
          </w:p>
        </w:tc>
        <w:tc>
          <w:tcPr>
            <w:tcW w:w="1559" w:type="dxa"/>
            <w:tcBorders>
              <w:top w:val="single" w:sz="4" w:space="0" w:color="auto"/>
              <w:bottom w:val="single" w:sz="4" w:space="0" w:color="auto"/>
            </w:tcBorders>
            <w:shd w:val="clear" w:color="auto" w:fill="D9D9D9"/>
            <w:vAlign w:val="center"/>
          </w:tcPr>
          <w:p w14:paraId="3A0364BD" w14:textId="77777777" w:rsidR="00FD0858" w:rsidRPr="006A555E" w:rsidRDefault="00FD0858" w:rsidP="00FD0858">
            <w:pPr>
              <w:spacing w:after="0" w:line="240" w:lineRule="auto"/>
              <w:jc w:val="center"/>
              <w:rPr>
                <w:rFonts w:ascii="David" w:hAnsi="David" w:cs="David"/>
              </w:rPr>
            </w:pPr>
            <w:r w:rsidRPr="006A555E">
              <w:rPr>
                <w:rFonts w:ascii="David" w:hAnsi="David" w:cs="David" w:hint="cs"/>
                <w:rtl/>
              </w:rPr>
              <w:t>-</w:t>
            </w:r>
          </w:p>
        </w:tc>
        <w:tc>
          <w:tcPr>
            <w:tcW w:w="850" w:type="dxa"/>
            <w:tcBorders>
              <w:top w:val="single" w:sz="4" w:space="0" w:color="auto"/>
              <w:bottom w:val="single" w:sz="4" w:space="0" w:color="auto"/>
            </w:tcBorders>
            <w:shd w:val="clear" w:color="auto" w:fill="D9D9D9"/>
            <w:vAlign w:val="center"/>
          </w:tcPr>
          <w:p w14:paraId="2F3C6E38" w14:textId="77777777" w:rsidR="00FD0858" w:rsidRPr="006A555E" w:rsidRDefault="00FD0858" w:rsidP="00FD0858">
            <w:pPr>
              <w:spacing w:after="0" w:line="240" w:lineRule="auto"/>
              <w:jc w:val="center"/>
              <w:rPr>
                <w:rFonts w:ascii="David" w:hAnsi="David" w:cs="David"/>
              </w:rPr>
            </w:pPr>
            <w:r w:rsidRPr="006A555E">
              <w:rPr>
                <w:rFonts w:ascii="David" w:hAnsi="David" w:cs="David" w:hint="cs"/>
                <w:rtl/>
              </w:rPr>
              <w:t>-</w:t>
            </w:r>
          </w:p>
        </w:tc>
      </w:tr>
      <w:tr w:rsidR="00FD0858" w:rsidRPr="006A555E" w14:paraId="62F62F2D"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5B97040D" w14:textId="77777777" w:rsidR="00FD0858" w:rsidRPr="006A555E" w:rsidRDefault="00FD0858" w:rsidP="00FD0858">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4B834CA0" w14:textId="77777777" w:rsidR="00FD0858" w:rsidRPr="006A555E" w:rsidRDefault="00FD0858" w:rsidP="00FD0858">
            <w:pPr>
              <w:spacing w:after="0" w:line="240" w:lineRule="auto"/>
              <w:rPr>
                <w:rFonts w:ascii="David" w:hAnsi="David" w:cs="David"/>
                <w:rtl/>
              </w:rPr>
            </w:pPr>
            <w:r w:rsidRPr="006A555E">
              <w:rPr>
                <w:rFonts w:ascii="David" w:hAnsi="David" w:cs="David"/>
                <w:rtl/>
              </w:rPr>
              <w:t>פלילי</w:t>
            </w:r>
          </w:p>
        </w:tc>
        <w:tc>
          <w:tcPr>
            <w:tcW w:w="2262" w:type="dxa"/>
            <w:tcBorders>
              <w:top w:val="single" w:sz="4" w:space="0" w:color="auto"/>
              <w:bottom w:val="single" w:sz="4" w:space="0" w:color="auto"/>
            </w:tcBorders>
            <w:shd w:val="clear" w:color="auto" w:fill="auto"/>
            <w:vAlign w:val="center"/>
          </w:tcPr>
          <w:p w14:paraId="071F712B" w14:textId="77777777" w:rsidR="00FD0858" w:rsidRPr="006A555E" w:rsidRDefault="00FD0858" w:rsidP="00FD0858">
            <w:pPr>
              <w:spacing w:after="0" w:line="240" w:lineRule="auto"/>
              <w:rPr>
                <w:rFonts w:ascii="David" w:hAnsi="David" w:cs="David"/>
                <w:rtl/>
              </w:rPr>
            </w:pPr>
            <w:r w:rsidRPr="006A555E">
              <w:rPr>
                <w:rFonts w:ascii="David" w:hAnsi="David" w:cs="David"/>
                <w:rtl/>
              </w:rPr>
              <w:t>תיק פלילי (ת"פ)</w:t>
            </w:r>
          </w:p>
        </w:tc>
        <w:tc>
          <w:tcPr>
            <w:tcW w:w="1276" w:type="dxa"/>
            <w:tcBorders>
              <w:top w:val="single" w:sz="4" w:space="0" w:color="auto"/>
              <w:bottom w:val="single" w:sz="4" w:space="0" w:color="auto"/>
            </w:tcBorders>
            <w:vAlign w:val="center"/>
          </w:tcPr>
          <w:p w14:paraId="5C452655" w14:textId="77777777" w:rsidR="00FD0858" w:rsidRPr="006A555E" w:rsidRDefault="00FD0858" w:rsidP="00FD0858">
            <w:pPr>
              <w:bidi w:val="0"/>
              <w:spacing w:after="0" w:line="240" w:lineRule="auto"/>
              <w:jc w:val="center"/>
              <w:rPr>
                <w:rFonts w:ascii="David" w:hAnsi="David" w:cs="David"/>
              </w:rPr>
            </w:pPr>
            <w:r w:rsidRPr="006A555E">
              <w:rPr>
                <w:rFonts w:ascii="David" w:hAnsi="David" w:cs="David"/>
              </w:rPr>
              <w:t>30,372</w:t>
            </w:r>
          </w:p>
        </w:tc>
        <w:tc>
          <w:tcPr>
            <w:tcW w:w="1418" w:type="dxa"/>
            <w:tcBorders>
              <w:top w:val="single" w:sz="4" w:space="0" w:color="auto"/>
              <w:bottom w:val="single" w:sz="4" w:space="0" w:color="auto"/>
            </w:tcBorders>
            <w:shd w:val="clear" w:color="auto" w:fill="auto"/>
            <w:noWrap/>
            <w:vAlign w:val="center"/>
          </w:tcPr>
          <w:p w14:paraId="63DC6F0E" w14:textId="77777777" w:rsidR="00FD0858" w:rsidRPr="006A555E" w:rsidRDefault="00FD0858" w:rsidP="00FD0858">
            <w:pPr>
              <w:spacing w:after="0" w:line="240" w:lineRule="auto"/>
              <w:jc w:val="center"/>
              <w:rPr>
                <w:rFonts w:ascii="David" w:hAnsi="David" w:cs="David"/>
                <w:b/>
                <w:bCs/>
              </w:rPr>
            </w:pPr>
            <w:r w:rsidRPr="006A555E">
              <w:rPr>
                <w:rFonts w:ascii="David" w:hAnsi="David" w:cs="David" w:hint="cs"/>
                <w:b/>
                <w:bCs/>
                <w:rtl/>
              </w:rPr>
              <w:t>5:17</w:t>
            </w:r>
          </w:p>
        </w:tc>
        <w:tc>
          <w:tcPr>
            <w:tcW w:w="1559" w:type="dxa"/>
            <w:tcBorders>
              <w:top w:val="single" w:sz="4" w:space="0" w:color="auto"/>
              <w:bottom w:val="single" w:sz="4" w:space="0" w:color="auto"/>
            </w:tcBorders>
            <w:shd w:val="clear" w:color="auto" w:fill="auto"/>
            <w:vAlign w:val="center"/>
          </w:tcPr>
          <w:p w14:paraId="1A9D66AC" w14:textId="77777777" w:rsidR="00FD0858" w:rsidRPr="006A555E" w:rsidRDefault="00FD0858" w:rsidP="00FD0858">
            <w:pPr>
              <w:spacing w:after="0" w:line="240" w:lineRule="auto"/>
              <w:jc w:val="center"/>
              <w:rPr>
                <w:rFonts w:ascii="David" w:hAnsi="David" w:cs="David"/>
              </w:rPr>
            </w:pPr>
            <w:r w:rsidRPr="006A555E">
              <w:rPr>
                <w:rFonts w:ascii="David" w:hAnsi="David" w:cs="David"/>
              </w:rPr>
              <w:t>2:37</w:t>
            </w:r>
          </w:p>
        </w:tc>
        <w:tc>
          <w:tcPr>
            <w:tcW w:w="850" w:type="dxa"/>
            <w:tcBorders>
              <w:top w:val="single" w:sz="4" w:space="0" w:color="auto"/>
              <w:bottom w:val="single" w:sz="4" w:space="0" w:color="auto"/>
            </w:tcBorders>
            <w:shd w:val="clear" w:color="auto" w:fill="auto"/>
            <w:vAlign w:val="center"/>
          </w:tcPr>
          <w:p w14:paraId="23788E42" w14:textId="77777777" w:rsidR="00FD0858" w:rsidRPr="006A555E" w:rsidRDefault="00FD0858" w:rsidP="00FD0858">
            <w:pPr>
              <w:spacing w:after="0" w:line="240" w:lineRule="auto"/>
              <w:jc w:val="center"/>
              <w:rPr>
                <w:rFonts w:ascii="David" w:hAnsi="David" w:cs="David"/>
              </w:rPr>
            </w:pPr>
            <w:r w:rsidRPr="006A555E">
              <w:rPr>
                <w:rFonts w:ascii="David" w:hAnsi="David" w:cs="David"/>
              </w:rPr>
              <w:t>+2:40</w:t>
            </w:r>
          </w:p>
        </w:tc>
      </w:tr>
      <w:tr w:rsidR="00FD0858" w:rsidRPr="006A555E" w14:paraId="6AE3DFCD"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197CA9D7" w14:textId="77777777" w:rsidR="00FD0858" w:rsidRPr="006A555E" w:rsidRDefault="00FD0858" w:rsidP="00FD0858">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5E8C6470" w14:textId="77777777" w:rsidR="00FD0858" w:rsidRPr="006A555E" w:rsidRDefault="00FD0858" w:rsidP="00FD0858">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D9D9D9"/>
            <w:vAlign w:val="center"/>
          </w:tcPr>
          <w:p w14:paraId="4AF5F387" w14:textId="77777777" w:rsidR="00FD0858" w:rsidRPr="006A555E" w:rsidRDefault="00FD0858" w:rsidP="00FD0858">
            <w:pPr>
              <w:spacing w:after="0" w:line="240" w:lineRule="auto"/>
              <w:rPr>
                <w:rFonts w:ascii="David" w:hAnsi="David" w:cs="David"/>
                <w:rtl/>
              </w:rPr>
            </w:pPr>
            <w:r w:rsidRPr="006A555E">
              <w:rPr>
                <w:rFonts w:ascii="David" w:hAnsi="David" w:cs="David"/>
                <w:rtl/>
              </w:rPr>
              <w:t>תיק אזרחי בסדר דין רגיל (ת"א)-</w:t>
            </w:r>
            <w:r w:rsidRPr="006A555E">
              <w:rPr>
                <w:rFonts w:ascii="David" w:hAnsi="David" w:cs="David" w:hint="cs"/>
                <w:b/>
                <w:bCs/>
                <w:rtl/>
              </w:rPr>
              <w:t>משוקלל</w:t>
            </w:r>
          </w:p>
        </w:tc>
        <w:tc>
          <w:tcPr>
            <w:tcW w:w="1276" w:type="dxa"/>
            <w:tcBorders>
              <w:top w:val="single" w:sz="4" w:space="0" w:color="auto"/>
              <w:bottom w:val="single" w:sz="4" w:space="0" w:color="auto"/>
            </w:tcBorders>
            <w:shd w:val="clear" w:color="auto" w:fill="D9D9D9"/>
            <w:vAlign w:val="center"/>
          </w:tcPr>
          <w:p w14:paraId="588C6FE3" w14:textId="77777777" w:rsidR="00FD0858" w:rsidRPr="006A555E" w:rsidRDefault="00FD0858" w:rsidP="00FD0858">
            <w:pPr>
              <w:bidi w:val="0"/>
              <w:spacing w:after="0" w:line="240" w:lineRule="auto"/>
              <w:jc w:val="center"/>
              <w:rPr>
                <w:rFonts w:ascii="David" w:hAnsi="David" w:cs="David"/>
              </w:rPr>
            </w:pPr>
            <w:r w:rsidRPr="006A555E">
              <w:rPr>
                <w:rFonts w:ascii="David" w:hAnsi="David" w:cs="David"/>
              </w:rPr>
              <w:t>71,215</w:t>
            </w:r>
          </w:p>
        </w:tc>
        <w:tc>
          <w:tcPr>
            <w:tcW w:w="1418" w:type="dxa"/>
            <w:tcBorders>
              <w:top w:val="single" w:sz="4" w:space="0" w:color="auto"/>
              <w:bottom w:val="single" w:sz="4" w:space="0" w:color="auto"/>
            </w:tcBorders>
            <w:shd w:val="clear" w:color="auto" w:fill="D9D9D9"/>
            <w:noWrap/>
            <w:vAlign w:val="center"/>
          </w:tcPr>
          <w:p w14:paraId="1EAD3C3F" w14:textId="77777777" w:rsidR="00FD0858" w:rsidRPr="006A555E" w:rsidRDefault="00FD0858" w:rsidP="00FD0858">
            <w:pPr>
              <w:spacing w:after="0" w:line="240" w:lineRule="auto"/>
              <w:jc w:val="center"/>
              <w:rPr>
                <w:rFonts w:ascii="David" w:hAnsi="David" w:cs="David"/>
                <w:b/>
                <w:bCs/>
              </w:rPr>
            </w:pPr>
            <w:r w:rsidRPr="006A555E">
              <w:rPr>
                <w:rFonts w:ascii="David" w:hAnsi="David" w:cs="David"/>
                <w:b/>
                <w:bCs/>
              </w:rPr>
              <w:t>4:59</w:t>
            </w:r>
          </w:p>
        </w:tc>
        <w:tc>
          <w:tcPr>
            <w:tcW w:w="1559" w:type="dxa"/>
            <w:tcBorders>
              <w:top w:val="single" w:sz="4" w:space="0" w:color="auto"/>
              <w:bottom w:val="single" w:sz="4" w:space="0" w:color="auto"/>
            </w:tcBorders>
            <w:shd w:val="clear" w:color="auto" w:fill="D9D9D9"/>
            <w:vAlign w:val="center"/>
          </w:tcPr>
          <w:p w14:paraId="76ECFC20" w14:textId="77777777" w:rsidR="00FD0858" w:rsidRPr="006A555E" w:rsidRDefault="00FD0858" w:rsidP="00FD0858">
            <w:pPr>
              <w:spacing w:after="0" w:line="240" w:lineRule="auto"/>
              <w:jc w:val="center"/>
              <w:rPr>
                <w:rFonts w:ascii="David" w:hAnsi="David" w:cs="David"/>
              </w:rPr>
            </w:pPr>
            <w:r w:rsidRPr="006A555E">
              <w:rPr>
                <w:rFonts w:ascii="David" w:hAnsi="David" w:cs="David" w:hint="cs"/>
                <w:rtl/>
              </w:rPr>
              <w:t>5:42</w:t>
            </w:r>
          </w:p>
        </w:tc>
        <w:tc>
          <w:tcPr>
            <w:tcW w:w="850" w:type="dxa"/>
            <w:tcBorders>
              <w:top w:val="single" w:sz="4" w:space="0" w:color="auto"/>
              <w:bottom w:val="single" w:sz="4" w:space="0" w:color="auto"/>
            </w:tcBorders>
            <w:shd w:val="clear" w:color="auto" w:fill="D9D9D9"/>
            <w:vAlign w:val="center"/>
          </w:tcPr>
          <w:p w14:paraId="7C913D26" w14:textId="77777777" w:rsidR="00FD0858" w:rsidRPr="006A555E" w:rsidRDefault="00FD0858" w:rsidP="00FD0858">
            <w:pPr>
              <w:spacing w:after="0" w:line="240" w:lineRule="auto"/>
              <w:jc w:val="center"/>
              <w:rPr>
                <w:rFonts w:ascii="David" w:hAnsi="David" w:cs="David"/>
              </w:rPr>
            </w:pPr>
            <w:r w:rsidRPr="006A555E">
              <w:rPr>
                <w:rFonts w:ascii="David" w:hAnsi="David" w:cs="David" w:hint="cs"/>
                <w:rtl/>
              </w:rPr>
              <w:t>0:43-</w:t>
            </w:r>
          </w:p>
        </w:tc>
      </w:tr>
      <w:tr w:rsidR="00FD0858" w:rsidRPr="006A555E" w14:paraId="3472BF8F"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430DA532" w14:textId="77777777" w:rsidR="00FD0858" w:rsidRPr="006A555E" w:rsidRDefault="00FD0858" w:rsidP="00FD0858">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7D875464" w14:textId="77777777" w:rsidR="00FD0858" w:rsidRPr="006A555E" w:rsidRDefault="00FD0858" w:rsidP="00FD0858">
            <w:pPr>
              <w:spacing w:after="0" w:line="240" w:lineRule="auto"/>
              <w:rPr>
                <w:rFonts w:ascii="David" w:hAnsi="David" w:cs="David"/>
                <w:rtl/>
              </w:rPr>
            </w:pPr>
            <w:r w:rsidRPr="006A555E">
              <w:rPr>
                <w:rFonts w:ascii="David" w:hAnsi="David" w:cs="David"/>
                <w:rtl/>
              </w:rPr>
              <w:t>פלילי</w:t>
            </w:r>
          </w:p>
        </w:tc>
        <w:tc>
          <w:tcPr>
            <w:tcW w:w="2262" w:type="dxa"/>
            <w:tcBorders>
              <w:top w:val="single" w:sz="4" w:space="0" w:color="auto"/>
              <w:bottom w:val="single" w:sz="4" w:space="0" w:color="auto"/>
            </w:tcBorders>
            <w:shd w:val="clear" w:color="auto" w:fill="auto"/>
            <w:vAlign w:val="center"/>
          </w:tcPr>
          <w:p w14:paraId="4BBD6961" w14:textId="77777777" w:rsidR="00FD0858" w:rsidRPr="006A555E" w:rsidRDefault="00FD0858" w:rsidP="00FD0858">
            <w:pPr>
              <w:spacing w:after="0" w:line="240" w:lineRule="auto"/>
              <w:rPr>
                <w:rFonts w:ascii="David" w:hAnsi="David" w:cs="David"/>
                <w:rtl/>
              </w:rPr>
            </w:pPr>
            <w:r w:rsidRPr="006A555E">
              <w:rPr>
                <w:rFonts w:ascii="David" w:hAnsi="David" w:cs="David"/>
                <w:rtl/>
              </w:rPr>
              <w:t>קובלנה פלילית (ק"פ)</w:t>
            </w:r>
            <w:r w:rsidRPr="006A555E">
              <w:rPr>
                <w:rFonts w:ascii="David" w:hAnsi="David" w:cs="David" w:hint="cs"/>
                <w:rtl/>
              </w:rPr>
              <w:t>*</w:t>
            </w:r>
          </w:p>
        </w:tc>
        <w:tc>
          <w:tcPr>
            <w:tcW w:w="1276" w:type="dxa"/>
            <w:tcBorders>
              <w:top w:val="single" w:sz="4" w:space="0" w:color="auto"/>
              <w:bottom w:val="single" w:sz="4" w:space="0" w:color="auto"/>
            </w:tcBorders>
            <w:vAlign w:val="center"/>
          </w:tcPr>
          <w:p w14:paraId="3C807B31" w14:textId="77777777" w:rsidR="00FD0858" w:rsidRPr="006A555E" w:rsidRDefault="00FD0858" w:rsidP="00FD0858">
            <w:pPr>
              <w:bidi w:val="0"/>
              <w:spacing w:after="0" w:line="240" w:lineRule="auto"/>
              <w:jc w:val="center"/>
              <w:rPr>
                <w:rFonts w:ascii="David" w:hAnsi="David" w:cs="David"/>
              </w:rPr>
            </w:pPr>
            <w:r w:rsidRPr="006A555E">
              <w:rPr>
                <w:rFonts w:ascii="David" w:hAnsi="David" w:cs="David"/>
              </w:rPr>
              <w:t>92</w:t>
            </w:r>
          </w:p>
        </w:tc>
        <w:tc>
          <w:tcPr>
            <w:tcW w:w="1418" w:type="dxa"/>
            <w:tcBorders>
              <w:top w:val="single" w:sz="4" w:space="0" w:color="auto"/>
              <w:bottom w:val="single" w:sz="4" w:space="0" w:color="auto"/>
            </w:tcBorders>
            <w:shd w:val="clear" w:color="auto" w:fill="auto"/>
            <w:noWrap/>
            <w:vAlign w:val="center"/>
          </w:tcPr>
          <w:p w14:paraId="2802CF2F" w14:textId="77777777" w:rsidR="00FD0858" w:rsidRPr="006A555E" w:rsidRDefault="00FD0858" w:rsidP="00FD0858">
            <w:pPr>
              <w:spacing w:after="0" w:line="240" w:lineRule="auto"/>
              <w:jc w:val="center"/>
              <w:rPr>
                <w:rFonts w:ascii="David" w:hAnsi="David" w:cs="David"/>
                <w:b/>
                <w:bCs/>
              </w:rPr>
            </w:pPr>
            <w:r w:rsidRPr="006A555E">
              <w:rPr>
                <w:rFonts w:ascii="David" w:hAnsi="David" w:cs="David"/>
                <w:b/>
                <w:bCs/>
              </w:rPr>
              <w:t>4:48</w:t>
            </w:r>
          </w:p>
        </w:tc>
        <w:tc>
          <w:tcPr>
            <w:tcW w:w="1559" w:type="dxa"/>
            <w:tcBorders>
              <w:top w:val="single" w:sz="4" w:space="0" w:color="auto"/>
              <w:bottom w:val="single" w:sz="4" w:space="0" w:color="auto"/>
            </w:tcBorders>
            <w:shd w:val="clear" w:color="auto" w:fill="auto"/>
            <w:vAlign w:val="center"/>
          </w:tcPr>
          <w:p w14:paraId="0ED30363" w14:textId="77777777" w:rsidR="00FD0858" w:rsidRPr="006A555E" w:rsidRDefault="00FD0858" w:rsidP="00FD0858">
            <w:pPr>
              <w:spacing w:after="0" w:line="240" w:lineRule="auto"/>
              <w:jc w:val="center"/>
              <w:rPr>
                <w:rFonts w:ascii="David" w:hAnsi="David" w:cs="David"/>
              </w:rPr>
            </w:pPr>
            <w:r w:rsidRPr="006A555E">
              <w:rPr>
                <w:rFonts w:ascii="David" w:hAnsi="David" w:cs="David"/>
              </w:rPr>
              <w:t>-</w:t>
            </w:r>
          </w:p>
        </w:tc>
        <w:tc>
          <w:tcPr>
            <w:tcW w:w="850" w:type="dxa"/>
            <w:tcBorders>
              <w:top w:val="single" w:sz="4" w:space="0" w:color="auto"/>
              <w:bottom w:val="single" w:sz="4" w:space="0" w:color="auto"/>
            </w:tcBorders>
            <w:shd w:val="clear" w:color="auto" w:fill="auto"/>
            <w:vAlign w:val="center"/>
          </w:tcPr>
          <w:p w14:paraId="5035A11D" w14:textId="77777777" w:rsidR="00FD0858" w:rsidRPr="006A555E" w:rsidRDefault="00FD0858" w:rsidP="00FD0858">
            <w:pPr>
              <w:spacing w:after="0" w:line="240" w:lineRule="auto"/>
              <w:jc w:val="center"/>
              <w:rPr>
                <w:rFonts w:ascii="David" w:hAnsi="David" w:cs="David"/>
                <w:rtl/>
              </w:rPr>
            </w:pPr>
            <w:r w:rsidRPr="006A555E">
              <w:rPr>
                <w:rFonts w:ascii="David" w:hAnsi="David" w:cs="David"/>
              </w:rPr>
              <w:t>-</w:t>
            </w:r>
          </w:p>
        </w:tc>
      </w:tr>
      <w:tr w:rsidR="00FD0858" w:rsidRPr="006A555E" w14:paraId="54E5F421"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312BAB9D" w14:textId="77777777" w:rsidR="00FD0858" w:rsidRPr="006A555E" w:rsidRDefault="00FD0858" w:rsidP="00FD0858">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736377A1" w14:textId="77777777" w:rsidR="00FD0858" w:rsidRPr="006A555E" w:rsidRDefault="00FD0858" w:rsidP="00FD0858">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D9D9D9"/>
            <w:vAlign w:val="center"/>
          </w:tcPr>
          <w:p w14:paraId="49F15446" w14:textId="77777777" w:rsidR="00FD0858" w:rsidRPr="006A555E" w:rsidRDefault="00FD0858" w:rsidP="00FD0858">
            <w:pPr>
              <w:spacing w:after="0" w:line="240" w:lineRule="auto"/>
              <w:rPr>
                <w:rFonts w:ascii="David" w:hAnsi="David" w:cs="David"/>
                <w:rtl/>
              </w:rPr>
            </w:pPr>
            <w:r w:rsidRPr="006A555E">
              <w:rPr>
                <w:rFonts w:ascii="David" w:hAnsi="David" w:cs="David"/>
                <w:rtl/>
              </w:rPr>
              <w:t>תיק אזרחי בסדר דין רגיל (ת"א)-נזקי גוף - חבויות</w:t>
            </w:r>
          </w:p>
        </w:tc>
        <w:tc>
          <w:tcPr>
            <w:tcW w:w="1276" w:type="dxa"/>
            <w:tcBorders>
              <w:top w:val="single" w:sz="4" w:space="0" w:color="auto"/>
              <w:bottom w:val="single" w:sz="4" w:space="0" w:color="auto"/>
            </w:tcBorders>
            <w:shd w:val="clear" w:color="auto" w:fill="D9D9D9"/>
            <w:vAlign w:val="center"/>
          </w:tcPr>
          <w:p w14:paraId="4A3AD3C7" w14:textId="77777777" w:rsidR="00FD0858" w:rsidRPr="006A555E" w:rsidRDefault="00FD0858" w:rsidP="00FD0858">
            <w:pPr>
              <w:bidi w:val="0"/>
              <w:spacing w:after="0" w:line="240" w:lineRule="auto"/>
              <w:jc w:val="center"/>
              <w:rPr>
                <w:rFonts w:ascii="David" w:hAnsi="David" w:cs="David"/>
              </w:rPr>
            </w:pPr>
            <w:r w:rsidRPr="006A555E">
              <w:rPr>
                <w:rFonts w:ascii="David" w:hAnsi="David" w:cs="David"/>
              </w:rPr>
              <w:t>15,694</w:t>
            </w:r>
          </w:p>
        </w:tc>
        <w:tc>
          <w:tcPr>
            <w:tcW w:w="1418" w:type="dxa"/>
            <w:tcBorders>
              <w:top w:val="single" w:sz="4" w:space="0" w:color="auto"/>
              <w:bottom w:val="single" w:sz="4" w:space="0" w:color="auto"/>
            </w:tcBorders>
            <w:shd w:val="clear" w:color="auto" w:fill="D9D9D9"/>
            <w:noWrap/>
            <w:vAlign w:val="center"/>
          </w:tcPr>
          <w:p w14:paraId="4DDB44AC" w14:textId="77777777" w:rsidR="00FD0858" w:rsidRPr="006A555E" w:rsidRDefault="00FD0858" w:rsidP="00FD0858">
            <w:pPr>
              <w:spacing w:after="0" w:line="240" w:lineRule="auto"/>
              <w:jc w:val="center"/>
              <w:rPr>
                <w:rFonts w:asciiTheme="minorHAnsi" w:hAnsiTheme="minorHAnsi" w:cs="David"/>
                <w:b/>
                <w:bCs/>
              </w:rPr>
            </w:pPr>
            <w:r w:rsidRPr="006A555E">
              <w:rPr>
                <w:rFonts w:ascii="David" w:hAnsi="David" w:cs="David"/>
                <w:b/>
                <w:bCs/>
              </w:rPr>
              <w:t>4:29</w:t>
            </w:r>
          </w:p>
        </w:tc>
        <w:tc>
          <w:tcPr>
            <w:tcW w:w="1559" w:type="dxa"/>
            <w:tcBorders>
              <w:top w:val="single" w:sz="4" w:space="0" w:color="auto"/>
              <w:bottom w:val="single" w:sz="4" w:space="0" w:color="auto"/>
            </w:tcBorders>
            <w:shd w:val="clear" w:color="auto" w:fill="D9D9D9"/>
            <w:vAlign w:val="center"/>
          </w:tcPr>
          <w:p w14:paraId="6FE649FB" w14:textId="77777777" w:rsidR="00FD0858" w:rsidRPr="006A555E" w:rsidRDefault="00FD0858" w:rsidP="00FD0858">
            <w:pPr>
              <w:spacing w:after="0" w:line="240" w:lineRule="auto"/>
              <w:jc w:val="center"/>
              <w:rPr>
                <w:rFonts w:ascii="David" w:hAnsi="David" w:cs="David"/>
              </w:rPr>
            </w:pPr>
            <w:r w:rsidRPr="006A555E">
              <w:rPr>
                <w:rFonts w:ascii="David" w:hAnsi="David" w:cs="David" w:hint="cs"/>
                <w:rtl/>
              </w:rPr>
              <w:t>-</w:t>
            </w:r>
          </w:p>
        </w:tc>
        <w:tc>
          <w:tcPr>
            <w:tcW w:w="850" w:type="dxa"/>
            <w:tcBorders>
              <w:top w:val="single" w:sz="4" w:space="0" w:color="auto"/>
              <w:bottom w:val="single" w:sz="4" w:space="0" w:color="auto"/>
            </w:tcBorders>
            <w:shd w:val="clear" w:color="auto" w:fill="D9D9D9"/>
            <w:vAlign w:val="center"/>
          </w:tcPr>
          <w:p w14:paraId="70B117AB" w14:textId="77777777" w:rsidR="00FD0858" w:rsidRPr="006A555E" w:rsidRDefault="00FD0858" w:rsidP="00FD0858">
            <w:pPr>
              <w:spacing w:after="0" w:line="240" w:lineRule="auto"/>
              <w:jc w:val="center"/>
              <w:rPr>
                <w:rFonts w:ascii="David" w:hAnsi="David" w:cs="David"/>
              </w:rPr>
            </w:pPr>
            <w:r w:rsidRPr="006A555E">
              <w:rPr>
                <w:rFonts w:ascii="David" w:hAnsi="David" w:cs="David" w:hint="cs"/>
                <w:rtl/>
              </w:rPr>
              <w:t>-</w:t>
            </w:r>
          </w:p>
        </w:tc>
      </w:tr>
      <w:tr w:rsidR="00FD0858" w:rsidRPr="006A555E" w14:paraId="73D05BF4"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14D37D51" w14:textId="77777777" w:rsidR="00FD0858" w:rsidRPr="006A555E" w:rsidRDefault="00FD0858" w:rsidP="00FD0858">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107B5269" w14:textId="77777777" w:rsidR="00FD0858" w:rsidRPr="006A555E" w:rsidRDefault="00FD0858" w:rsidP="00FD0858">
            <w:pPr>
              <w:spacing w:after="0" w:line="240" w:lineRule="auto"/>
              <w:rPr>
                <w:rFonts w:ascii="David" w:hAnsi="David" w:cs="David"/>
                <w:rtl/>
              </w:rPr>
            </w:pPr>
            <w:r w:rsidRPr="006A555E">
              <w:rPr>
                <w:rFonts w:ascii="David" w:hAnsi="David" w:cs="David"/>
                <w:rtl/>
              </w:rPr>
              <w:t>עניינים מקומיים</w:t>
            </w:r>
          </w:p>
        </w:tc>
        <w:tc>
          <w:tcPr>
            <w:tcW w:w="2262" w:type="dxa"/>
            <w:tcBorders>
              <w:top w:val="single" w:sz="4" w:space="0" w:color="auto"/>
              <w:bottom w:val="single" w:sz="4" w:space="0" w:color="auto"/>
            </w:tcBorders>
            <w:shd w:val="clear" w:color="auto" w:fill="auto"/>
            <w:vAlign w:val="center"/>
          </w:tcPr>
          <w:p w14:paraId="661552A5" w14:textId="77777777" w:rsidR="00FD0858" w:rsidRPr="006A555E" w:rsidRDefault="00FD0858" w:rsidP="00FD0858">
            <w:pPr>
              <w:spacing w:after="0" w:line="240" w:lineRule="auto"/>
              <w:rPr>
                <w:rFonts w:ascii="David" w:hAnsi="David" w:cs="David"/>
                <w:rtl/>
              </w:rPr>
            </w:pPr>
            <w:r w:rsidRPr="006A555E">
              <w:rPr>
                <w:rFonts w:ascii="David" w:hAnsi="David" w:cs="David"/>
                <w:rtl/>
              </w:rPr>
              <w:t>תכנון ובנייה - ועדות מקומיות (תו"ב)</w:t>
            </w:r>
          </w:p>
        </w:tc>
        <w:tc>
          <w:tcPr>
            <w:tcW w:w="1276" w:type="dxa"/>
            <w:tcBorders>
              <w:top w:val="single" w:sz="4" w:space="0" w:color="auto"/>
              <w:bottom w:val="single" w:sz="4" w:space="0" w:color="auto"/>
            </w:tcBorders>
            <w:vAlign w:val="center"/>
          </w:tcPr>
          <w:p w14:paraId="5B106F3D" w14:textId="77777777" w:rsidR="00FD0858" w:rsidRPr="006A555E" w:rsidRDefault="00FD0858" w:rsidP="00FD0858">
            <w:pPr>
              <w:bidi w:val="0"/>
              <w:spacing w:after="0" w:line="240" w:lineRule="auto"/>
              <w:jc w:val="center"/>
              <w:rPr>
                <w:rFonts w:ascii="David" w:hAnsi="David" w:cs="David"/>
              </w:rPr>
            </w:pPr>
            <w:r w:rsidRPr="006A555E">
              <w:rPr>
                <w:rFonts w:ascii="David" w:hAnsi="David" w:cs="David"/>
              </w:rPr>
              <w:t>4,386</w:t>
            </w:r>
          </w:p>
        </w:tc>
        <w:tc>
          <w:tcPr>
            <w:tcW w:w="1418" w:type="dxa"/>
            <w:tcBorders>
              <w:top w:val="single" w:sz="4" w:space="0" w:color="auto"/>
              <w:bottom w:val="single" w:sz="4" w:space="0" w:color="auto"/>
            </w:tcBorders>
            <w:shd w:val="clear" w:color="auto" w:fill="auto"/>
            <w:noWrap/>
            <w:vAlign w:val="center"/>
          </w:tcPr>
          <w:p w14:paraId="20885533" w14:textId="77777777" w:rsidR="00FD0858" w:rsidRPr="006A555E" w:rsidRDefault="00FD0858" w:rsidP="00FD0858">
            <w:pPr>
              <w:spacing w:after="0" w:line="240" w:lineRule="auto"/>
              <w:jc w:val="center"/>
              <w:rPr>
                <w:rFonts w:ascii="David" w:hAnsi="David" w:cs="David"/>
                <w:b/>
                <w:bCs/>
                <w:rtl/>
              </w:rPr>
            </w:pPr>
            <w:r w:rsidRPr="006A555E">
              <w:rPr>
                <w:rFonts w:ascii="David" w:hAnsi="David" w:cs="David" w:hint="cs"/>
                <w:b/>
                <w:bCs/>
                <w:rtl/>
              </w:rPr>
              <w:t>4:07</w:t>
            </w:r>
          </w:p>
        </w:tc>
        <w:tc>
          <w:tcPr>
            <w:tcW w:w="1559" w:type="dxa"/>
            <w:tcBorders>
              <w:top w:val="single" w:sz="4" w:space="0" w:color="auto"/>
              <w:bottom w:val="single" w:sz="4" w:space="0" w:color="auto"/>
            </w:tcBorders>
            <w:shd w:val="clear" w:color="auto" w:fill="auto"/>
            <w:vAlign w:val="center"/>
          </w:tcPr>
          <w:p w14:paraId="2939376E" w14:textId="77777777" w:rsidR="00FD0858" w:rsidRPr="006A555E" w:rsidRDefault="00FD0858" w:rsidP="00FD0858">
            <w:pPr>
              <w:spacing w:after="0" w:line="240" w:lineRule="auto"/>
              <w:jc w:val="center"/>
              <w:rPr>
                <w:rFonts w:ascii="David" w:hAnsi="David" w:cs="David"/>
              </w:rPr>
            </w:pPr>
            <w:r w:rsidRPr="006A555E">
              <w:rPr>
                <w:rFonts w:ascii="David" w:hAnsi="David" w:cs="David" w:hint="cs"/>
                <w:rtl/>
              </w:rPr>
              <w:t>1:04</w:t>
            </w:r>
          </w:p>
        </w:tc>
        <w:tc>
          <w:tcPr>
            <w:tcW w:w="850" w:type="dxa"/>
            <w:tcBorders>
              <w:top w:val="single" w:sz="4" w:space="0" w:color="auto"/>
              <w:bottom w:val="single" w:sz="4" w:space="0" w:color="auto"/>
            </w:tcBorders>
            <w:shd w:val="clear" w:color="auto" w:fill="auto"/>
            <w:vAlign w:val="center"/>
          </w:tcPr>
          <w:p w14:paraId="13104FC1" w14:textId="77777777" w:rsidR="00FD0858" w:rsidRPr="006A555E" w:rsidRDefault="00FD0858" w:rsidP="00FD0858">
            <w:pPr>
              <w:spacing w:after="0" w:line="240" w:lineRule="auto"/>
              <w:jc w:val="center"/>
              <w:rPr>
                <w:rFonts w:ascii="David" w:hAnsi="David" w:cs="David"/>
              </w:rPr>
            </w:pPr>
            <w:r w:rsidRPr="006A555E">
              <w:rPr>
                <w:rFonts w:ascii="David" w:hAnsi="David" w:cs="David" w:hint="cs"/>
                <w:rtl/>
              </w:rPr>
              <w:t>3:03+</w:t>
            </w:r>
          </w:p>
        </w:tc>
      </w:tr>
      <w:tr w:rsidR="00FD0858" w:rsidRPr="006A555E" w14:paraId="537C94F1"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1B648C5D" w14:textId="77777777" w:rsidR="00FD0858" w:rsidRPr="006A555E" w:rsidRDefault="00FD0858" w:rsidP="00FD0858">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7B6994D6" w14:textId="77777777" w:rsidR="00FD0858" w:rsidRPr="006A555E" w:rsidRDefault="00FD0858" w:rsidP="00FD0858">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D9D9D9"/>
            <w:vAlign w:val="center"/>
          </w:tcPr>
          <w:p w14:paraId="1C7FD9C5" w14:textId="77777777" w:rsidR="00FD0858" w:rsidRPr="006A555E" w:rsidRDefault="00FD0858" w:rsidP="00FD0858">
            <w:pPr>
              <w:spacing w:after="0" w:line="240" w:lineRule="auto"/>
              <w:rPr>
                <w:rFonts w:ascii="David" w:hAnsi="David" w:cs="David"/>
                <w:rtl/>
              </w:rPr>
            </w:pPr>
            <w:r w:rsidRPr="006A555E">
              <w:rPr>
                <w:rFonts w:ascii="David" w:hAnsi="David" w:cs="David"/>
                <w:rtl/>
              </w:rPr>
              <w:t>תובענה ייצוגית (ת"צ)</w:t>
            </w:r>
          </w:p>
        </w:tc>
        <w:tc>
          <w:tcPr>
            <w:tcW w:w="1276" w:type="dxa"/>
            <w:tcBorders>
              <w:top w:val="single" w:sz="4" w:space="0" w:color="auto"/>
              <w:bottom w:val="single" w:sz="4" w:space="0" w:color="auto"/>
            </w:tcBorders>
            <w:shd w:val="clear" w:color="auto" w:fill="D9D9D9"/>
            <w:vAlign w:val="center"/>
          </w:tcPr>
          <w:p w14:paraId="6FD21023" w14:textId="77777777" w:rsidR="00FD0858" w:rsidRPr="006A555E" w:rsidRDefault="00FD0858" w:rsidP="00FD0858">
            <w:pPr>
              <w:bidi w:val="0"/>
              <w:spacing w:after="0" w:line="240" w:lineRule="auto"/>
              <w:jc w:val="center"/>
              <w:rPr>
                <w:rFonts w:ascii="David" w:hAnsi="David" w:cs="David"/>
              </w:rPr>
            </w:pPr>
            <w:r w:rsidRPr="006A555E">
              <w:rPr>
                <w:rFonts w:ascii="David" w:hAnsi="David" w:cs="David"/>
              </w:rPr>
              <w:t>133</w:t>
            </w:r>
          </w:p>
        </w:tc>
        <w:tc>
          <w:tcPr>
            <w:tcW w:w="1418" w:type="dxa"/>
            <w:tcBorders>
              <w:top w:val="single" w:sz="4" w:space="0" w:color="auto"/>
              <w:bottom w:val="single" w:sz="4" w:space="0" w:color="auto"/>
            </w:tcBorders>
            <w:shd w:val="clear" w:color="auto" w:fill="D9D9D9"/>
            <w:noWrap/>
            <w:vAlign w:val="center"/>
          </w:tcPr>
          <w:p w14:paraId="68C20A0B" w14:textId="77777777" w:rsidR="00FD0858" w:rsidRPr="006A555E" w:rsidRDefault="00FD0858" w:rsidP="00FD0858">
            <w:pPr>
              <w:spacing w:after="0" w:line="240" w:lineRule="auto"/>
              <w:jc w:val="center"/>
              <w:rPr>
                <w:rFonts w:asciiTheme="minorHAnsi" w:hAnsiTheme="minorHAnsi" w:cs="David"/>
                <w:b/>
                <w:bCs/>
              </w:rPr>
            </w:pPr>
            <w:r w:rsidRPr="006A555E">
              <w:rPr>
                <w:rFonts w:ascii="David" w:hAnsi="David" w:cs="David" w:hint="cs"/>
                <w:b/>
                <w:bCs/>
                <w:rtl/>
              </w:rPr>
              <w:t>4:04</w:t>
            </w:r>
          </w:p>
        </w:tc>
        <w:tc>
          <w:tcPr>
            <w:tcW w:w="1559" w:type="dxa"/>
            <w:tcBorders>
              <w:top w:val="single" w:sz="4" w:space="0" w:color="auto"/>
              <w:bottom w:val="single" w:sz="4" w:space="0" w:color="auto"/>
            </w:tcBorders>
            <w:shd w:val="clear" w:color="auto" w:fill="D9D9D9"/>
            <w:vAlign w:val="center"/>
          </w:tcPr>
          <w:p w14:paraId="77084799" w14:textId="77777777" w:rsidR="00FD0858" w:rsidRPr="006A555E" w:rsidRDefault="00FD0858" w:rsidP="00FD0858">
            <w:pPr>
              <w:spacing w:after="0" w:line="240" w:lineRule="auto"/>
              <w:jc w:val="center"/>
              <w:rPr>
                <w:rFonts w:ascii="David" w:hAnsi="David" w:cs="David"/>
              </w:rPr>
            </w:pPr>
            <w:r w:rsidRPr="006A555E">
              <w:rPr>
                <w:rFonts w:ascii="David" w:hAnsi="David" w:cs="David"/>
              </w:rPr>
              <w:t>4:54</w:t>
            </w:r>
          </w:p>
        </w:tc>
        <w:tc>
          <w:tcPr>
            <w:tcW w:w="850" w:type="dxa"/>
            <w:tcBorders>
              <w:top w:val="single" w:sz="4" w:space="0" w:color="auto"/>
              <w:bottom w:val="single" w:sz="4" w:space="0" w:color="auto"/>
            </w:tcBorders>
            <w:shd w:val="clear" w:color="auto" w:fill="D9D9D9"/>
            <w:vAlign w:val="center"/>
          </w:tcPr>
          <w:p w14:paraId="13AF9F3D" w14:textId="77777777" w:rsidR="00FD0858" w:rsidRPr="006A555E" w:rsidRDefault="00FD0858" w:rsidP="00FD0858">
            <w:pPr>
              <w:spacing w:after="0" w:line="240" w:lineRule="auto"/>
              <w:jc w:val="center"/>
              <w:rPr>
                <w:rFonts w:ascii="David" w:hAnsi="David" w:cs="David"/>
              </w:rPr>
            </w:pPr>
            <w:r w:rsidRPr="006A555E">
              <w:rPr>
                <w:rFonts w:ascii="David" w:hAnsi="David" w:cs="David" w:hint="cs"/>
                <w:rtl/>
              </w:rPr>
              <w:t>0:50-</w:t>
            </w:r>
          </w:p>
        </w:tc>
      </w:tr>
      <w:tr w:rsidR="00AC436F" w:rsidRPr="006A555E" w14:paraId="1E5E9736"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6D6ABAB7" w14:textId="77777777" w:rsidR="00AC436F" w:rsidRPr="006A555E" w:rsidRDefault="00AC436F" w:rsidP="00AC436F">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3289DE2A" w14:textId="77777777" w:rsidR="00AC436F" w:rsidRPr="006A555E" w:rsidRDefault="00AC436F" w:rsidP="00AC436F">
            <w:pPr>
              <w:spacing w:after="0" w:line="240" w:lineRule="auto"/>
              <w:rPr>
                <w:rFonts w:ascii="David" w:hAnsi="David" w:cs="David"/>
                <w:rtl/>
              </w:rPr>
            </w:pPr>
            <w:r w:rsidRPr="006A555E">
              <w:rPr>
                <w:rFonts w:ascii="David" w:hAnsi="David" w:cs="David"/>
                <w:rtl/>
              </w:rPr>
              <w:t>פלילי</w:t>
            </w:r>
          </w:p>
        </w:tc>
        <w:tc>
          <w:tcPr>
            <w:tcW w:w="2262" w:type="dxa"/>
            <w:tcBorders>
              <w:top w:val="single" w:sz="4" w:space="0" w:color="auto"/>
              <w:bottom w:val="single" w:sz="4" w:space="0" w:color="auto"/>
            </w:tcBorders>
            <w:shd w:val="clear" w:color="auto" w:fill="auto"/>
            <w:vAlign w:val="center"/>
          </w:tcPr>
          <w:p w14:paraId="6E1CC972" w14:textId="77777777" w:rsidR="00AC436F" w:rsidRPr="006A555E" w:rsidRDefault="00AC436F" w:rsidP="00AC436F">
            <w:pPr>
              <w:spacing w:after="0" w:line="240" w:lineRule="auto"/>
              <w:rPr>
                <w:rFonts w:ascii="David" w:hAnsi="David" w:cs="David"/>
                <w:rtl/>
              </w:rPr>
            </w:pPr>
            <w:r w:rsidRPr="006A555E">
              <w:rPr>
                <w:rFonts w:ascii="David" w:hAnsi="David" w:cs="David"/>
                <w:rtl/>
              </w:rPr>
              <w:t>ביטול צו הריסה מנהלי (בצה"מ)</w:t>
            </w:r>
          </w:p>
        </w:tc>
        <w:tc>
          <w:tcPr>
            <w:tcW w:w="1276" w:type="dxa"/>
            <w:tcBorders>
              <w:top w:val="single" w:sz="4" w:space="0" w:color="auto"/>
              <w:bottom w:val="single" w:sz="4" w:space="0" w:color="auto"/>
            </w:tcBorders>
            <w:vAlign w:val="center"/>
          </w:tcPr>
          <w:p w14:paraId="61691299" w14:textId="77777777" w:rsidR="00AC436F" w:rsidRPr="006A555E" w:rsidRDefault="00AC436F" w:rsidP="00AC436F">
            <w:pPr>
              <w:bidi w:val="0"/>
              <w:spacing w:after="0" w:line="240" w:lineRule="auto"/>
              <w:jc w:val="center"/>
              <w:rPr>
                <w:rFonts w:ascii="David" w:hAnsi="David" w:cs="David"/>
              </w:rPr>
            </w:pPr>
            <w:r w:rsidRPr="006A555E">
              <w:rPr>
                <w:rFonts w:ascii="David" w:hAnsi="David" w:cs="David"/>
              </w:rPr>
              <w:t>353</w:t>
            </w:r>
          </w:p>
        </w:tc>
        <w:tc>
          <w:tcPr>
            <w:tcW w:w="1418" w:type="dxa"/>
            <w:tcBorders>
              <w:top w:val="single" w:sz="4" w:space="0" w:color="auto"/>
              <w:bottom w:val="single" w:sz="4" w:space="0" w:color="auto"/>
            </w:tcBorders>
            <w:shd w:val="clear" w:color="auto" w:fill="auto"/>
            <w:noWrap/>
            <w:vAlign w:val="center"/>
          </w:tcPr>
          <w:p w14:paraId="16FB5EE9" w14:textId="77777777" w:rsidR="00AC436F" w:rsidRPr="006A555E" w:rsidRDefault="00AC436F" w:rsidP="00AC436F">
            <w:pPr>
              <w:spacing w:after="0" w:line="240" w:lineRule="auto"/>
              <w:jc w:val="center"/>
              <w:rPr>
                <w:rFonts w:ascii="David" w:hAnsi="David" w:cs="David"/>
                <w:b/>
                <w:bCs/>
              </w:rPr>
            </w:pPr>
            <w:r w:rsidRPr="006A555E">
              <w:rPr>
                <w:rFonts w:ascii="David" w:hAnsi="David" w:cs="David"/>
                <w:b/>
                <w:bCs/>
              </w:rPr>
              <w:t>3:57</w:t>
            </w:r>
          </w:p>
        </w:tc>
        <w:tc>
          <w:tcPr>
            <w:tcW w:w="1559" w:type="dxa"/>
            <w:tcBorders>
              <w:top w:val="single" w:sz="4" w:space="0" w:color="auto"/>
              <w:bottom w:val="single" w:sz="4" w:space="0" w:color="auto"/>
            </w:tcBorders>
            <w:shd w:val="clear" w:color="auto" w:fill="auto"/>
            <w:vAlign w:val="center"/>
          </w:tcPr>
          <w:p w14:paraId="4474D6A1" w14:textId="77777777" w:rsidR="00AC436F" w:rsidRPr="006A555E" w:rsidRDefault="00AC436F" w:rsidP="00AC436F">
            <w:pPr>
              <w:spacing w:after="0" w:line="240" w:lineRule="auto"/>
              <w:jc w:val="center"/>
              <w:rPr>
                <w:rFonts w:ascii="David" w:hAnsi="David" w:cs="David"/>
              </w:rPr>
            </w:pPr>
            <w:r w:rsidRPr="006A555E">
              <w:rPr>
                <w:rFonts w:ascii="David" w:hAnsi="David" w:cs="David"/>
              </w:rPr>
              <w:t>-</w:t>
            </w:r>
          </w:p>
        </w:tc>
        <w:tc>
          <w:tcPr>
            <w:tcW w:w="850" w:type="dxa"/>
            <w:tcBorders>
              <w:top w:val="single" w:sz="4" w:space="0" w:color="auto"/>
              <w:bottom w:val="single" w:sz="4" w:space="0" w:color="auto"/>
            </w:tcBorders>
            <w:shd w:val="clear" w:color="auto" w:fill="auto"/>
            <w:vAlign w:val="center"/>
          </w:tcPr>
          <w:p w14:paraId="515AAAFD" w14:textId="77777777" w:rsidR="00AC436F" w:rsidRPr="006A555E" w:rsidRDefault="00AC436F" w:rsidP="00AC436F">
            <w:pPr>
              <w:spacing w:after="0" w:line="240" w:lineRule="auto"/>
              <w:jc w:val="center"/>
              <w:rPr>
                <w:rFonts w:ascii="David" w:hAnsi="David" w:cs="David"/>
              </w:rPr>
            </w:pPr>
            <w:r w:rsidRPr="006A555E">
              <w:rPr>
                <w:rFonts w:ascii="David" w:hAnsi="David" w:cs="David"/>
              </w:rPr>
              <w:t>-</w:t>
            </w:r>
          </w:p>
        </w:tc>
      </w:tr>
      <w:tr w:rsidR="00AC436F" w:rsidRPr="006A555E" w14:paraId="34A9C8E3"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2DDBAA4A" w14:textId="77777777" w:rsidR="00AC436F" w:rsidRPr="006A555E" w:rsidRDefault="00AC436F" w:rsidP="00AC436F">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5F20B126" w14:textId="77777777" w:rsidR="00AC436F" w:rsidRPr="006A555E" w:rsidRDefault="00AC436F" w:rsidP="00AC436F">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D9D9D9"/>
            <w:vAlign w:val="center"/>
          </w:tcPr>
          <w:p w14:paraId="0438D799" w14:textId="77777777" w:rsidR="00AC436F" w:rsidRPr="006A555E" w:rsidRDefault="00AC436F" w:rsidP="00AC436F">
            <w:pPr>
              <w:spacing w:after="0" w:line="240" w:lineRule="auto"/>
              <w:rPr>
                <w:rFonts w:ascii="David" w:hAnsi="David" w:cs="David"/>
                <w:rtl/>
              </w:rPr>
            </w:pPr>
            <w:r w:rsidRPr="006A555E">
              <w:rPr>
                <w:rFonts w:ascii="David" w:hAnsi="David" w:cs="David"/>
                <w:rtl/>
              </w:rPr>
              <w:t>רשות ערעור על החלטת ראש הוצל"פ (רע"צ)</w:t>
            </w:r>
          </w:p>
        </w:tc>
        <w:tc>
          <w:tcPr>
            <w:tcW w:w="1276" w:type="dxa"/>
            <w:tcBorders>
              <w:top w:val="single" w:sz="4" w:space="0" w:color="auto"/>
              <w:bottom w:val="single" w:sz="4" w:space="0" w:color="auto"/>
            </w:tcBorders>
            <w:shd w:val="clear" w:color="auto" w:fill="D9D9D9"/>
            <w:vAlign w:val="center"/>
          </w:tcPr>
          <w:p w14:paraId="13B3C56D" w14:textId="77777777" w:rsidR="00AC436F" w:rsidRPr="006A555E" w:rsidRDefault="00AC436F" w:rsidP="00AC436F">
            <w:pPr>
              <w:bidi w:val="0"/>
              <w:spacing w:after="0" w:line="240" w:lineRule="auto"/>
              <w:jc w:val="center"/>
              <w:rPr>
                <w:rFonts w:ascii="David" w:hAnsi="David" w:cs="David"/>
              </w:rPr>
            </w:pPr>
            <w:r w:rsidRPr="006A555E">
              <w:rPr>
                <w:rFonts w:ascii="David" w:hAnsi="David" w:cs="David"/>
              </w:rPr>
              <w:t>432</w:t>
            </w:r>
          </w:p>
        </w:tc>
        <w:tc>
          <w:tcPr>
            <w:tcW w:w="1418" w:type="dxa"/>
            <w:tcBorders>
              <w:top w:val="single" w:sz="4" w:space="0" w:color="auto"/>
              <w:bottom w:val="single" w:sz="4" w:space="0" w:color="auto"/>
            </w:tcBorders>
            <w:shd w:val="clear" w:color="auto" w:fill="D9D9D9"/>
            <w:noWrap/>
            <w:vAlign w:val="center"/>
          </w:tcPr>
          <w:p w14:paraId="72A9ACF4" w14:textId="77777777" w:rsidR="00AC436F" w:rsidRPr="006A555E" w:rsidRDefault="00AC436F" w:rsidP="00AC436F">
            <w:pPr>
              <w:spacing w:after="0" w:line="240" w:lineRule="auto"/>
              <w:jc w:val="center"/>
              <w:rPr>
                <w:rFonts w:ascii="David" w:hAnsi="David" w:cs="David"/>
                <w:b/>
                <w:bCs/>
                <w:rtl/>
              </w:rPr>
            </w:pPr>
            <w:r w:rsidRPr="006A555E">
              <w:rPr>
                <w:rFonts w:ascii="David" w:hAnsi="David" w:cs="David" w:hint="cs"/>
                <w:b/>
                <w:bCs/>
                <w:rtl/>
              </w:rPr>
              <w:t>3:50</w:t>
            </w:r>
          </w:p>
        </w:tc>
        <w:tc>
          <w:tcPr>
            <w:tcW w:w="1559" w:type="dxa"/>
            <w:tcBorders>
              <w:top w:val="single" w:sz="4" w:space="0" w:color="auto"/>
              <w:bottom w:val="single" w:sz="4" w:space="0" w:color="auto"/>
            </w:tcBorders>
            <w:shd w:val="clear" w:color="auto" w:fill="D9D9D9"/>
            <w:vAlign w:val="center"/>
          </w:tcPr>
          <w:p w14:paraId="725CFBFB" w14:textId="77777777" w:rsidR="00AC436F" w:rsidRPr="006A555E" w:rsidRDefault="00AC436F" w:rsidP="00AC436F">
            <w:pPr>
              <w:spacing w:after="0" w:line="240" w:lineRule="auto"/>
              <w:jc w:val="center"/>
              <w:rPr>
                <w:rFonts w:ascii="David" w:hAnsi="David" w:cs="David"/>
              </w:rPr>
            </w:pPr>
            <w:r w:rsidRPr="006A555E">
              <w:rPr>
                <w:rFonts w:ascii="David" w:hAnsi="David" w:cs="David"/>
              </w:rPr>
              <w:t>1:52</w:t>
            </w:r>
          </w:p>
        </w:tc>
        <w:tc>
          <w:tcPr>
            <w:tcW w:w="850" w:type="dxa"/>
            <w:tcBorders>
              <w:top w:val="single" w:sz="4" w:space="0" w:color="auto"/>
              <w:bottom w:val="single" w:sz="4" w:space="0" w:color="auto"/>
            </w:tcBorders>
            <w:shd w:val="clear" w:color="auto" w:fill="D9D9D9"/>
            <w:vAlign w:val="center"/>
          </w:tcPr>
          <w:p w14:paraId="743BC963" w14:textId="77777777" w:rsidR="00AC436F" w:rsidRPr="006A555E" w:rsidRDefault="00AC436F" w:rsidP="00AC436F">
            <w:pPr>
              <w:spacing w:after="0" w:line="240" w:lineRule="auto"/>
              <w:jc w:val="center"/>
              <w:rPr>
                <w:rFonts w:ascii="David" w:hAnsi="David" w:cs="David"/>
              </w:rPr>
            </w:pPr>
            <w:r w:rsidRPr="006A555E">
              <w:rPr>
                <w:rFonts w:ascii="David" w:hAnsi="David" w:cs="David" w:hint="cs"/>
                <w:rtl/>
              </w:rPr>
              <w:t>1:58+</w:t>
            </w:r>
          </w:p>
        </w:tc>
      </w:tr>
      <w:tr w:rsidR="00AC436F" w:rsidRPr="006A555E" w14:paraId="267F0B1E"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708C71EC" w14:textId="77777777" w:rsidR="00AC436F" w:rsidRPr="006A555E" w:rsidRDefault="00AC436F" w:rsidP="00AC436F">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56FB532F" w14:textId="77777777" w:rsidR="00AC436F" w:rsidRPr="006A555E" w:rsidRDefault="00AC436F" w:rsidP="00AC436F">
            <w:pPr>
              <w:spacing w:after="0" w:line="240" w:lineRule="auto"/>
              <w:rPr>
                <w:rFonts w:ascii="David" w:hAnsi="David" w:cs="David"/>
                <w:rtl/>
              </w:rPr>
            </w:pPr>
            <w:r w:rsidRPr="006A555E">
              <w:rPr>
                <w:rFonts w:ascii="David" w:hAnsi="David" w:cs="David"/>
                <w:rtl/>
              </w:rPr>
              <w:t>אזרחי/ ועדת ערר</w:t>
            </w:r>
          </w:p>
        </w:tc>
        <w:tc>
          <w:tcPr>
            <w:tcW w:w="2262" w:type="dxa"/>
            <w:tcBorders>
              <w:top w:val="single" w:sz="4" w:space="0" w:color="auto"/>
              <w:bottom w:val="single" w:sz="4" w:space="0" w:color="auto"/>
            </w:tcBorders>
            <w:shd w:val="clear" w:color="auto" w:fill="auto"/>
            <w:vAlign w:val="center"/>
          </w:tcPr>
          <w:p w14:paraId="02B31402" w14:textId="77777777" w:rsidR="00AC436F" w:rsidRPr="006A555E" w:rsidRDefault="00AC436F" w:rsidP="00AC436F">
            <w:pPr>
              <w:spacing w:after="0" w:line="240" w:lineRule="auto"/>
              <w:rPr>
                <w:rFonts w:ascii="David" w:hAnsi="David" w:cs="David"/>
                <w:rtl/>
              </w:rPr>
            </w:pPr>
            <w:r w:rsidRPr="006A555E">
              <w:rPr>
                <w:rFonts w:ascii="David" w:hAnsi="David" w:cs="David"/>
                <w:rtl/>
              </w:rPr>
              <w:t>ועדת ערר (ו"ע)</w:t>
            </w:r>
          </w:p>
        </w:tc>
        <w:tc>
          <w:tcPr>
            <w:tcW w:w="1276" w:type="dxa"/>
            <w:tcBorders>
              <w:top w:val="single" w:sz="4" w:space="0" w:color="auto"/>
              <w:bottom w:val="single" w:sz="4" w:space="0" w:color="auto"/>
            </w:tcBorders>
            <w:vAlign w:val="center"/>
          </w:tcPr>
          <w:p w14:paraId="2B1353B7" w14:textId="77777777" w:rsidR="00AC436F" w:rsidRPr="006A555E" w:rsidRDefault="00AC436F" w:rsidP="00AC436F">
            <w:pPr>
              <w:bidi w:val="0"/>
              <w:spacing w:after="0" w:line="240" w:lineRule="auto"/>
              <w:jc w:val="center"/>
              <w:rPr>
                <w:rFonts w:ascii="David" w:hAnsi="David" w:cs="David"/>
              </w:rPr>
            </w:pPr>
            <w:r w:rsidRPr="006A555E">
              <w:rPr>
                <w:rFonts w:ascii="David" w:hAnsi="David" w:cs="David"/>
              </w:rPr>
              <w:t>1,905</w:t>
            </w:r>
          </w:p>
        </w:tc>
        <w:tc>
          <w:tcPr>
            <w:tcW w:w="1418" w:type="dxa"/>
            <w:tcBorders>
              <w:top w:val="single" w:sz="4" w:space="0" w:color="auto"/>
              <w:bottom w:val="single" w:sz="4" w:space="0" w:color="auto"/>
            </w:tcBorders>
            <w:shd w:val="clear" w:color="auto" w:fill="auto"/>
            <w:noWrap/>
            <w:vAlign w:val="center"/>
          </w:tcPr>
          <w:p w14:paraId="1F7F55CC" w14:textId="77777777" w:rsidR="00AC436F" w:rsidRPr="006A555E" w:rsidRDefault="00AC436F" w:rsidP="00AC436F">
            <w:pPr>
              <w:spacing w:after="0" w:line="240" w:lineRule="auto"/>
              <w:jc w:val="center"/>
              <w:rPr>
                <w:rFonts w:asciiTheme="minorHAnsi" w:hAnsiTheme="minorHAnsi" w:cs="David"/>
                <w:b/>
                <w:bCs/>
              </w:rPr>
            </w:pPr>
            <w:r w:rsidRPr="006A555E">
              <w:rPr>
                <w:rFonts w:ascii="David" w:hAnsi="David" w:cs="David" w:hint="cs"/>
                <w:b/>
                <w:bCs/>
                <w:rtl/>
              </w:rPr>
              <w:t>3:38</w:t>
            </w:r>
          </w:p>
        </w:tc>
        <w:tc>
          <w:tcPr>
            <w:tcW w:w="1559" w:type="dxa"/>
            <w:tcBorders>
              <w:top w:val="single" w:sz="4" w:space="0" w:color="auto"/>
              <w:bottom w:val="single" w:sz="4" w:space="0" w:color="auto"/>
            </w:tcBorders>
            <w:shd w:val="clear" w:color="auto" w:fill="auto"/>
            <w:vAlign w:val="center"/>
          </w:tcPr>
          <w:p w14:paraId="730B3412" w14:textId="77777777" w:rsidR="00AC436F" w:rsidRPr="006A555E" w:rsidRDefault="00AC436F" w:rsidP="00AC436F">
            <w:pPr>
              <w:spacing w:after="0" w:line="240" w:lineRule="auto"/>
              <w:jc w:val="center"/>
              <w:rPr>
                <w:rFonts w:ascii="David" w:hAnsi="David" w:cs="David"/>
              </w:rPr>
            </w:pPr>
            <w:r w:rsidRPr="006A555E">
              <w:rPr>
                <w:rFonts w:ascii="David" w:hAnsi="David" w:cs="David"/>
              </w:rPr>
              <w:t>2:26</w:t>
            </w:r>
          </w:p>
        </w:tc>
        <w:tc>
          <w:tcPr>
            <w:tcW w:w="850" w:type="dxa"/>
            <w:tcBorders>
              <w:top w:val="single" w:sz="4" w:space="0" w:color="auto"/>
              <w:bottom w:val="single" w:sz="4" w:space="0" w:color="auto"/>
            </w:tcBorders>
            <w:shd w:val="clear" w:color="auto" w:fill="auto"/>
            <w:vAlign w:val="center"/>
          </w:tcPr>
          <w:p w14:paraId="0FD982E3" w14:textId="77777777" w:rsidR="00AC436F" w:rsidRPr="006A555E" w:rsidRDefault="00AC436F" w:rsidP="00AC436F">
            <w:pPr>
              <w:spacing w:after="0" w:line="240" w:lineRule="auto"/>
              <w:jc w:val="center"/>
              <w:rPr>
                <w:rFonts w:ascii="David" w:hAnsi="David" w:cs="David"/>
              </w:rPr>
            </w:pPr>
            <w:r w:rsidRPr="006A555E">
              <w:rPr>
                <w:rFonts w:ascii="David" w:hAnsi="David" w:cs="David" w:hint="cs"/>
                <w:rtl/>
              </w:rPr>
              <w:t>1:12+</w:t>
            </w:r>
          </w:p>
        </w:tc>
      </w:tr>
      <w:tr w:rsidR="00AC436F" w:rsidRPr="006A555E" w14:paraId="4E2123F8"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72DA50C4" w14:textId="77777777" w:rsidR="00AC436F" w:rsidRPr="006A555E" w:rsidRDefault="00AC436F" w:rsidP="00AC436F">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3C596B5C" w14:textId="77777777" w:rsidR="00AC436F" w:rsidRPr="006A555E" w:rsidRDefault="00AC436F" w:rsidP="00AC436F">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D9D9D9"/>
            <w:vAlign w:val="center"/>
          </w:tcPr>
          <w:p w14:paraId="4D788183" w14:textId="77777777" w:rsidR="00AC436F" w:rsidRPr="006A555E" w:rsidRDefault="00AC436F" w:rsidP="00AC436F">
            <w:pPr>
              <w:spacing w:after="0" w:line="240" w:lineRule="auto"/>
              <w:rPr>
                <w:rFonts w:ascii="David" w:hAnsi="David" w:cs="David"/>
                <w:rtl/>
              </w:rPr>
            </w:pPr>
            <w:r w:rsidRPr="006A555E">
              <w:rPr>
                <w:rFonts w:ascii="David" w:hAnsi="David" w:cs="David"/>
                <w:rtl/>
              </w:rPr>
              <w:t>תיק אזרחי בסדר דין רגיל (ת"א)-נזקי רכוש - רכב</w:t>
            </w:r>
          </w:p>
        </w:tc>
        <w:tc>
          <w:tcPr>
            <w:tcW w:w="1276" w:type="dxa"/>
            <w:tcBorders>
              <w:top w:val="single" w:sz="4" w:space="0" w:color="auto"/>
              <w:bottom w:val="single" w:sz="4" w:space="0" w:color="auto"/>
            </w:tcBorders>
            <w:shd w:val="clear" w:color="auto" w:fill="D9D9D9"/>
            <w:vAlign w:val="center"/>
          </w:tcPr>
          <w:p w14:paraId="230D574F" w14:textId="77777777" w:rsidR="00AC436F" w:rsidRPr="006A555E" w:rsidRDefault="00AC436F" w:rsidP="00AC436F">
            <w:pPr>
              <w:bidi w:val="0"/>
              <w:spacing w:after="0" w:line="240" w:lineRule="auto"/>
              <w:jc w:val="center"/>
              <w:rPr>
                <w:rFonts w:ascii="David" w:hAnsi="David" w:cs="David"/>
              </w:rPr>
            </w:pPr>
            <w:r w:rsidRPr="006A555E">
              <w:rPr>
                <w:rFonts w:ascii="David" w:hAnsi="David" w:cs="David"/>
              </w:rPr>
              <w:t>874</w:t>
            </w:r>
          </w:p>
        </w:tc>
        <w:tc>
          <w:tcPr>
            <w:tcW w:w="1418" w:type="dxa"/>
            <w:tcBorders>
              <w:top w:val="single" w:sz="4" w:space="0" w:color="auto"/>
              <w:bottom w:val="single" w:sz="4" w:space="0" w:color="auto"/>
            </w:tcBorders>
            <w:shd w:val="clear" w:color="auto" w:fill="D9D9D9"/>
            <w:noWrap/>
            <w:vAlign w:val="center"/>
          </w:tcPr>
          <w:p w14:paraId="51DB2792" w14:textId="77777777" w:rsidR="00AC436F" w:rsidRPr="006A555E" w:rsidRDefault="00AC436F" w:rsidP="00AC436F">
            <w:pPr>
              <w:spacing w:after="0" w:line="240" w:lineRule="auto"/>
              <w:jc w:val="center"/>
              <w:rPr>
                <w:rFonts w:ascii="David" w:hAnsi="David" w:cs="David"/>
                <w:b/>
                <w:bCs/>
                <w:rtl/>
              </w:rPr>
            </w:pPr>
            <w:r w:rsidRPr="006A555E">
              <w:rPr>
                <w:rFonts w:ascii="David" w:hAnsi="David" w:cs="David" w:hint="cs"/>
                <w:b/>
                <w:bCs/>
                <w:rtl/>
              </w:rPr>
              <w:t>3:23</w:t>
            </w:r>
          </w:p>
        </w:tc>
        <w:tc>
          <w:tcPr>
            <w:tcW w:w="1559" w:type="dxa"/>
            <w:tcBorders>
              <w:top w:val="single" w:sz="4" w:space="0" w:color="auto"/>
              <w:bottom w:val="single" w:sz="4" w:space="0" w:color="auto"/>
            </w:tcBorders>
            <w:shd w:val="clear" w:color="auto" w:fill="D9D9D9"/>
            <w:vAlign w:val="center"/>
          </w:tcPr>
          <w:p w14:paraId="5F89FCE1" w14:textId="77777777" w:rsidR="00AC436F" w:rsidRPr="006A555E" w:rsidRDefault="00AC436F" w:rsidP="00AC436F">
            <w:pPr>
              <w:spacing w:after="0" w:line="240" w:lineRule="auto"/>
              <w:jc w:val="center"/>
              <w:rPr>
                <w:rFonts w:ascii="David" w:hAnsi="David" w:cs="David"/>
              </w:rPr>
            </w:pPr>
            <w:r w:rsidRPr="006A555E">
              <w:rPr>
                <w:rFonts w:ascii="David" w:hAnsi="David" w:cs="David" w:hint="cs"/>
                <w:rtl/>
              </w:rPr>
              <w:t>-</w:t>
            </w:r>
          </w:p>
        </w:tc>
        <w:tc>
          <w:tcPr>
            <w:tcW w:w="850" w:type="dxa"/>
            <w:tcBorders>
              <w:top w:val="single" w:sz="4" w:space="0" w:color="auto"/>
              <w:bottom w:val="single" w:sz="4" w:space="0" w:color="auto"/>
            </w:tcBorders>
            <w:shd w:val="clear" w:color="auto" w:fill="D9D9D9"/>
            <w:vAlign w:val="center"/>
          </w:tcPr>
          <w:p w14:paraId="4BB732B5" w14:textId="77777777" w:rsidR="00AC436F" w:rsidRPr="006A555E" w:rsidRDefault="00AC436F" w:rsidP="00AC436F">
            <w:pPr>
              <w:spacing w:after="0" w:line="240" w:lineRule="auto"/>
              <w:jc w:val="center"/>
              <w:rPr>
                <w:rFonts w:ascii="David" w:hAnsi="David" w:cs="David"/>
              </w:rPr>
            </w:pPr>
            <w:r w:rsidRPr="006A555E">
              <w:rPr>
                <w:rFonts w:ascii="David" w:hAnsi="David" w:cs="David" w:hint="cs"/>
                <w:rtl/>
              </w:rPr>
              <w:t>-</w:t>
            </w:r>
          </w:p>
        </w:tc>
      </w:tr>
      <w:tr w:rsidR="00AC436F" w:rsidRPr="006A555E" w14:paraId="4892E402"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686DAF3E" w14:textId="77777777" w:rsidR="00AC436F" w:rsidRPr="006A555E" w:rsidRDefault="00AC436F" w:rsidP="00AC436F">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52E8C8AC" w14:textId="77777777" w:rsidR="00AC436F" w:rsidRPr="006A555E" w:rsidRDefault="00AC436F" w:rsidP="00AC436F">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auto"/>
            <w:vAlign w:val="center"/>
          </w:tcPr>
          <w:p w14:paraId="47673E95" w14:textId="77777777" w:rsidR="00AC436F" w:rsidRPr="006A555E" w:rsidRDefault="00AC436F" w:rsidP="00AC436F">
            <w:pPr>
              <w:spacing w:after="0" w:line="240" w:lineRule="auto"/>
              <w:rPr>
                <w:rFonts w:ascii="David" w:hAnsi="David" w:cs="David"/>
                <w:rtl/>
              </w:rPr>
            </w:pPr>
            <w:r w:rsidRPr="006A555E">
              <w:rPr>
                <w:rFonts w:ascii="David" w:hAnsi="David" w:cs="David"/>
                <w:rtl/>
              </w:rPr>
              <w:t>תיק אזרחי בסדר דין רגיל (ת"א)-קניין רוחני</w:t>
            </w:r>
            <w:r w:rsidRPr="006A555E">
              <w:rPr>
                <w:rFonts w:ascii="David" w:hAnsi="David" w:cs="David" w:hint="cs"/>
                <w:rtl/>
              </w:rPr>
              <w:t>*</w:t>
            </w:r>
          </w:p>
        </w:tc>
        <w:tc>
          <w:tcPr>
            <w:tcW w:w="1276" w:type="dxa"/>
            <w:tcBorders>
              <w:top w:val="single" w:sz="4" w:space="0" w:color="auto"/>
              <w:bottom w:val="single" w:sz="4" w:space="0" w:color="auto"/>
            </w:tcBorders>
            <w:vAlign w:val="center"/>
          </w:tcPr>
          <w:p w14:paraId="5ED8BAA3" w14:textId="77777777" w:rsidR="00AC436F" w:rsidRPr="006A555E" w:rsidRDefault="00AC436F" w:rsidP="00AC436F">
            <w:pPr>
              <w:bidi w:val="0"/>
              <w:spacing w:after="0" w:line="240" w:lineRule="auto"/>
              <w:jc w:val="center"/>
              <w:rPr>
                <w:rFonts w:asciiTheme="minorHAnsi" w:hAnsiTheme="minorHAnsi" w:cs="David"/>
              </w:rPr>
            </w:pPr>
            <w:r w:rsidRPr="006A555E">
              <w:rPr>
                <w:rFonts w:ascii="David" w:hAnsi="David" w:cs="David"/>
              </w:rPr>
              <w:t>287</w:t>
            </w:r>
          </w:p>
        </w:tc>
        <w:tc>
          <w:tcPr>
            <w:tcW w:w="1418" w:type="dxa"/>
            <w:tcBorders>
              <w:top w:val="single" w:sz="4" w:space="0" w:color="auto"/>
              <w:bottom w:val="single" w:sz="4" w:space="0" w:color="auto"/>
            </w:tcBorders>
            <w:shd w:val="clear" w:color="auto" w:fill="auto"/>
            <w:noWrap/>
            <w:vAlign w:val="center"/>
          </w:tcPr>
          <w:p w14:paraId="3B7CD742" w14:textId="77777777" w:rsidR="00AC436F" w:rsidRPr="006A555E" w:rsidRDefault="00AC436F" w:rsidP="00AC436F">
            <w:pPr>
              <w:spacing w:after="0" w:line="240" w:lineRule="auto"/>
              <w:jc w:val="center"/>
              <w:rPr>
                <w:rFonts w:ascii="David" w:hAnsi="David" w:cs="David"/>
                <w:b/>
                <w:bCs/>
              </w:rPr>
            </w:pPr>
            <w:r w:rsidRPr="006A555E">
              <w:rPr>
                <w:rFonts w:ascii="David" w:hAnsi="David" w:cs="David"/>
                <w:b/>
                <w:bCs/>
              </w:rPr>
              <w:t>3:12</w:t>
            </w:r>
          </w:p>
        </w:tc>
        <w:tc>
          <w:tcPr>
            <w:tcW w:w="1559" w:type="dxa"/>
            <w:tcBorders>
              <w:top w:val="single" w:sz="4" w:space="0" w:color="auto"/>
              <w:bottom w:val="single" w:sz="4" w:space="0" w:color="auto"/>
            </w:tcBorders>
            <w:shd w:val="clear" w:color="auto" w:fill="auto"/>
            <w:vAlign w:val="center"/>
          </w:tcPr>
          <w:p w14:paraId="3F5AC2DD" w14:textId="77777777" w:rsidR="00AC436F" w:rsidRPr="006A555E" w:rsidRDefault="00AC436F" w:rsidP="00AC436F">
            <w:pPr>
              <w:spacing w:after="0" w:line="240" w:lineRule="auto"/>
              <w:jc w:val="center"/>
              <w:rPr>
                <w:rFonts w:ascii="David" w:hAnsi="David" w:cs="David"/>
              </w:rPr>
            </w:pPr>
            <w:r w:rsidRPr="006A555E">
              <w:rPr>
                <w:rFonts w:ascii="David" w:hAnsi="David" w:cs="David" w:hint="cs"/>
                <w:rtl/>
              </w:rPr>
              <w:t>-</w:t>
            </w:r>
          </w:p>
        </w:tc>
        <w:tc>
          <w:tcPr>
            <w:tcW w:w="850" w:type="dxa"/>
            <w:tcBorders>
              <w:top w:val="single" w:sz="4" w:space="0" w:color="auto"/>
              <w:bottom w:val="single" w:sz="4" w:space="0" w:color="auto"/>
            </w:tcBorders>
            <w:shd w:val="clear" w:color="auto" w:fill="auto"/>
            <w:vAlign w:val="center"/>
          </w:tcPr>
          <w:p w14:paraId="17F2617E" w14:textId="77777777" w:rsidR="00AC436F" w:rsidRPr="006A555E" w:rsidRDefault="00AC436F" w:rsidP="00AC436F">
            <w:pPr>
              <w:spacing w:after="0" w:line="240" w:lineRule="auto"/>
              <w:jc w:val="center"/>
              <w:rPr>
                <w:rFonts w:ascii="David" w:hAnsi="David" w:cs="David"/>
              </w:rPr>
            </w:pPr>
            <w:r w:rsidRPr="006A555E">
              <w:rPr>
                <w:rFonts w:ascii="David" w:hAnsi="David" w:cs="David"/>
              </w:rPr>
              <w:t>-</w:t>
            </w:r>
          </w:p>
        </w:tc>
      </w:tr>
      <w:tr w:rsidR="00AC436F" w:rsidRPr="006A555E" w14:paraId="60A89421"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4641F446" w14:textId="77777777" w:rsidR="00AC436F" w:rsidRPr="006A555E" w:rsidRDefault="00AC436F" w:rsidP="00AC436F">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6B44E935" w14:textId="77777777" w:rsidR="00AC436F" w:rsidRPr="006A555E" w:rsidRDefault="00AC436F" w:rsidP="00AC436F">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D9D9D9"/>
            <w:vAlign w:val="center"/>
          </w:tcPr>
          <w:p w14:paraId="4DB396E8" w14:textId="77777777" w:rsidR="00AC436F" w:rsidRPr="006A555E" w:rsidRDefault="00AC436F" w:rsidP="00AC436F">
            <w:pPr>
              <w:spacing w:after="0" w:line="240" w:lineRule="auto"/>
              <w:rPr>
                <w:rFonts w:ascii="David" w:hAnsi="David" w:cs="David"/>
                <w:rtl/>
              </w:rPr>
            </w:pPr>
            <w:r w:rsidRPr="006A555E">
              <w:rPr>
                <w:rFonts w:ascii="David" w:hAnsi="David" w:cs="David"/>
                <w:rtl/>
              </w:rPr>
              <w:t>המרצת פתיחה (ה"פ)</w:t>
            </w:r>
          </w:p>
        </w:tc>
        <w:tc>
          <w:tcPr>
            <w:tcW w:w="1276" w:type="dxa"/>
            <w:tcBorders>
              <w:top w:val="single" w:sz="4" w:space="0" w:color="auto"/>
              <w:bottom w:val="single" w:sz="4" w:space="0" w:color="auto"/>
            </w:tcBorders>
            <w:shd w:val="clear" w:color="auto" w:fill="D9D9D9"/>
            <w:vAlign w:val="center"/>
          </w:tcPr>
          <w:p w14:paraId="7DB11779" w14:textId="77777777" w:rsidR="00AC436F" w:rsidRPr="006A555E" w:rsidRDefault="00AC436F" w:rsidP="00AC436F">
            <w:pPr>
              <w:bidi w:val="0"/>
              <w:spacing w:after="0" w:line="240" w:lineRule="auto"/>
              <w:jc w:val="center"/>
              <w:rPr>
                <w:rFonts w:ascii="David" w:hAnsi="David" w:cs="David"/>
              </w:rPr>
            </w:pPr>
            <w:r w:rsidRPr="006A555E">
              <w:rPr>
                <w:rFonts w:ascii="David" w:hAnsi="David" w:cs="David"/>
              </w:rPr>
              <w:t>1,992</w:t>
            </w:r>
          </w:p>
        </w:tc>
        <w:tc>
          <w:tcPr>
            <w:tcW w:w="1418" w:type="dxa"/>
            <w:tcBorders>
              <w:top w:val="single" w:sz="4" w:space="0" w:color="auto"/>
              <w:bottom w:val="single" w:sz="4" w:space="0" w:color="auto"/>
            </w:tcBorders>
            <w:shd w:val="clear" w:color="auto" w:fill="D9D9D9"/>
            <w:noWrap/>
            <w:vAlign w:val="center"/>
          </w:tcPr>
          <w:p w14:paraId="0DDE6AF5" w14:textId="77777777" w:rsidR="00AC436F" w:rsidRPr="006A555E" w:rsidRDefault="00AC436F" w:rsidP="00AC436F">
            <w:pPr>
              <w:spacing w:after="0" w:line="240" w:lineRule="auto"/>
              <w:jc w:val="center"/>
              <w:rPr>
                <w:rFonts w:ascii="David" w:hAnsi="David" w:cs="David"/>
                <w:b/>
                <w:bCs/>
              </w:rPr>
            </w:pPr>
            <w:r w:rsidRPr="006A555E">
              <w:rPr>
                <w:rFonts w:ascii="David" w:hAnsi="David" w:cs="David" w:hint="cs"/>
                <w:b/>
                <w:bCs/>
                <w:rtl/>
              </w:rPr>
              <w:t>3:04</w:t>
            </w:r>
          </w:p>
        </w:tc>
        <w:tc>
          <w:tcPr>
            <w:tcW w:w="1559" w:type="dxa"/>
            <w:tcBorders>
              <w:top w:val="single" w:sz="4" w:space="0" w:color="auto"/>
              <w:bottom w:val="single" w:sz="4" w:space="0" w:color="auto"/>
            </w:tcBorders>
            <w:shd w:val="clear" w:color="auto" w:fill="D9D9D9"/>
            <w:vAlign w:val="center"/>
          </w:tcPr>
          <w:p w14:paraId="28B9DEFF" w14:textId="77777777" w:rsidR="00AC436F" w:rsidRPr="006A555E" w:rsidRDefault="00AC436F" w:rsidP="00AC436F">
            <w:pPr>
              <w:spacing w:after="0" w:line="240" w:lineRule="auto"/>
              <w:jc w:val="center"/>
              <w:rPr>
                <w:rFonts w:ascii="David" w:hAnsi="David" w:cs="David"/>
              </w:rPr>
            </w:pPr>
            <w:r w:rsidRPr="006A555E">
              <w:rPr>
                <w:rFonts w:ascii="David" w:hAnsi="David" w:cs="David"/>
              </w:rPr>
              <w:t>2:31</w:t>
            </w:r>
          </w:p>
        </w:tc>
        <w:tc>
          <w:tcPr>
            <w:tcW w:w="850" w:type="dxa"/>
            <w:tcBorders>
              <w:top w:val="single" w:sz="4" w:space="0" w:color="auto"/>
              <w:bottom w:val="single" w:sz="4" w:space="0" w:color="auto"/>
            </w:tcBorders>
            <w:shd w:val="clear" w:color="auto" w:fill="D9D9D9"/>
            <w:vAlign w:val="center"/>
          </w:tcPr>
          <w:p w14:paraId="7DAC93A1" w14:textId="77777777" w:rsidR="00AC436F" w:rsidRPr="006A555E" w:rsidRDefault="00AC436F" w:rsidP="00AC436F">
            <w:pPr>
              <w:spacing w:after="0" w:line="240" w:lineRule="auto"/>
              <w:jc w:val="center"/>
              <w:rPr>
                <w:rFonts w:ascii="David" w:hAnsi="David" w:cs="David"/>
              </w:rPr>
            </w:pPr>
            <w:r w:rsidRPr="006A555E">
              <w:rPr>
                <w:rFonts w:ascii="David" w:hAnsi="David" w:cs="David" w:hint="cs"/>
                <w:rtl/>
              </w:rPr>
              <w:t>0:33+</w:t>
            </w:r>
          </w:p>
        </w:tc>
      </w:tr>
      <w:tr w:rsidR="00AC436F" w:rsidRPr="006A555E" w14:paraId="1D5B221B"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3E478D94" w14:textId="77777777" w:rsidR="00AC436F" w:rsidRPr="006A555E" w:rsidRDefault="00AC436F" w:rsidP="00AC436F">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5A0F4D91" w14:textId="77777777" w:rsidR="00AC436F" w:rsidRPr="006A555E" w:rsidRDefault="00AC436F" w:rsidP="00AC436F">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auto"/>
            <w:vAlign w:val="center"/>
          </w:tcPr>
          <w:p w14:paraId="181F959C" w14:textId="77777777" w:rsidR="00AC436F" w:rsidRPr="006A555E" w:rsidRDefault="00AC436F" w:rsidP="00AC436F">
            <w:pPr>
              <w:spacing w:after="0" w:line="240" w:lineRule="auto"/>
              <w:rPr>
                <w:rFonts w:ascii="David" w:hAnsi="David" w:cs="David"/>
                <w:rtl/>
              </w:rPr>
            </w:pPr>
            <w:r w:rsidRPr="006A555E">
              <w:rPr>
                <w:rFonts w:ascii="David" w:hAnsi="David" w:cs="David"/>
                <w:rtl/>
              </w:rPr>
              <w:t>צו מניעה - סגירה מנהלית לעסק (צ"מ)</w:t>
            </w:r>
          </w:p>
        </w:tc>
        <w:tc>
          <w:tcPr>
            <w:tcW w:w="1276" w:type="dxa"/>
            <w:tcBorders>
              <w:top w:val="single" w:sz="4" w:space="0" w:color="auto"/>
              <w:bottom w:val="single" w:sz="4" w:space="0" w:color="auto"/>
            </w:tcBorders>
            <w:vAlign w:val="center"/>
          </w:tcPr>
          <w:p w14:paraId="0EBB44A9" w14:textId="77777777" w:rsidR="00AC436F" w:rsidRPr="006A555E" w:rsidRDefault="00AC436F" w:rsidP="00AC436F">
            <w:pPr>
              <w:bidi w:val="0"/>
              <w:spacing w:after="0" w:line="240" w:lineRule="auto"/>
              <w:jc w:val="center"/>
              <w:rPr>
                <w:rFonts w:ascii="David" w:hAnsi="David" w:cs="David"/>
              </w:rPr>
            </w:pPr>
            <w:r w:rsidRPr="006A555E">
              <w:rPr>
                <w:rFonts w:ascii="David" w:hAnsi="David" w:cs="David"/>
              </w:rPr>
              <w:t>36</w:t>
            </w:r>
          </w:p>
        </w:tc>
        <w:tc>
          <w:tcPr>
            <w:tcW w:w="1418" w:type="dxa"/>
            <w:tcBorders>
              <w:top w:val="single" w:sz="4" w:space="0" w:color="auto"/>
              <w:bottom w:val="single" w:sz="4" w:space="0" w:color="auto"/>
            </w:tcBorders>
            <w:shd w:val="clear" w:color="auto" w:fill="auto"/>
            <w:noWrap/>
            <w:vAlign w:val="center"/>
          </w:tcPr>
          <w:p w14:paraId="4145C9B5" w14:textId="77777777" w:rsidR="00AC436F" w:rsidRPr="006A555E" w:rsidRDefault="00AC436F" w:rsidP="00AC436F">
            <w:pPr>
              <w:spacing w:after="0" w:line="240" w:lineRule="auto"/>
              <w:jc w:val="center"/>
              <w:rPr>
                <w:rFonts w:ascii="David" w:hAnsi="David" w:cs="David"/>
                <w:b/>
                <w:bCs/>
                <w:rtl/>
              </w:rPr>
            </w:pPr>
            <w:r w:rsidRPr="006A555E">
              <w:rPr>
                <w:rFonts w:ascii="David" w:hAnsi="David" w:cs="David" w:hint="cs"/>
                <w:b/>
                <w:bCs/>
                <w:rtl/>
              </w:rPr>
              <w:t>2:53</w:t>
            </w:r>
          </w:p>
        </w:tc>
        <w:tc>
          <w:tcPr>
            <w:tcW w:w="1559" w:type="dxa"/>
            <w:tcBorders>
              <w:top w:val="single" w:sz="4" w:space="0" w:color="auto"/>
              <w:bottom w:val="single" w:sz="4" w:space="0" w:color="auto"/>
            </w:tcBorders>
            <w:shd w:val="clear" w:color="auto" w:fill="auto"/>
            <w:vAlign w:val="center"/>
          </w:tcPr>
          <w:p w14:paraId="2D57F514" w14:textId="77777777" w:rsidR="00AC436F" w:rsidRPr="006A555E" w:rsidRDefault="00AC436F" w:rsidP="00AC436F">
            <w:pPr>
              <w:spacing w:after="0" w:line="240" w:lineRule="auto"/>
              <w:jc w:val="center"/>
              <w:rPr>
                <w:rFonts w:ascii="David" w:hAnsi="David" w:cs="David"/>
              </w:rPr>
            </w:pPr>
            <w:r w:rsidRPr="006A555E">
              <w:rPr>
                <w:rFonts w:ascii="David" w:hAnsi="David" w:cs="David"/>
              </w:rPr>
              <w:t>-</w:t>
            </w:r>
          </w:p>
        </w:tc>
        <w:tc>
          <w:tcPr>
            <w:tcW w:w="850" w:type="dxa"/>
            <w:tcBorders>
              <w:top w:val="single" w:sz="4" w:space="0" w:color="auto"/>
              <w:bottom w:val="single" w:sz="4" w:space="0" w:color="auto"/>
            </w:tcBorders>
            <w:shd w:val="clear" w:color="auto" w:fill="auto"/>
            <w:vAlign w:val="center"/>
          </w:tcPr>
          <w:p w14:paraId="2261CF51" w14:textId="77777777" w:rsidR="00AC436F" w:rsidRPr="006A555E" w:rsidRDefault="00AC436F" w:rsidP="00AC436F">
            <w:pPr>
              <w:spacing w:after="0" w:line="240" w:lineRule="auto"/>
              <w:jc w:val="center"/>
              <w:rPr>
                <w:rFonts w:ascii="David" w:hAnsi="David" w:cs="David"/>
              </w:rPr>
            </w:pPr>
            <w:r w:rsidRPr="006A555E">
              <w:rPr>
                <w:rFonts w:ascii="David" w:hAnsi="David" w:cs="David"/>
              </w:rPr>
              <w:t>-</w:t>
            </w:r>
          </w:p>
        </w:tc>
      </w:tr>
      <w:tr w:rsidR="007D380E" w:rsidRPr="006A555E" w14:paraId="0B2A70C6"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79C19090" w14:textId="1C51C4F4" w:rsidR="007D380E" w:rsidRPr="006A555E" w:rsidRDefault="007D380E" w:rsidP="007D380E">
            <w:pPr>
              <w:spacing w:after="0" w:line="240" w:lineRule="auto"/>
              <w:rPr>
                <w:rFonts w:ascii="David" w:hAnsi="David" w:cs="David"/>
                <w:rtl/>
              </w:rPr>
            </w:pPr>
            <w:r w:rsidRPr="006A555E">
              <w:rPr>
                <w:rFonts w:ascii="David" w:eastAsia="Times New Roman" w:hAnsi="David" w:cs="David"/>
                <w:b/>
                <w:bCs/>
                <w:rtl/>
              </w:rPr>
              <w:lastRenderedPageBreak/>
              <w:t>ערכאה</w:t>
            </w:r>
          </w:p>
        </w:tc>
        <w:tc>
          <w:tcPr>
            <w:tcW w:w="992" w:type="dxa"/>
            <w:tcBorders>
              <w:top w:val="single" w:sz="4" w:space="0" w:color="auto"/>
              <w:bottom w:val="single" w:sz="4" w:space="0" w:color="auto"/>
            </w:tcBorders>
            <w:shd w:val="clear" w:color="auto" w:fill="auto"/>
            <w:noWrap/>
            <w:vAlign w:val="center"/>
          </w:tcPr>
          <w:p w14:paraId="11D3EFFB" w14:textId="07FD8CF3" w:rsidR="007D380E" w:rsidRPr="006A555E" w:rsidRDefault="007D380E" w:rsidP="007D380E">
            <w:pPr>
              <w:spacing w:after="0" w:line="240" w:lineRule="auto"/>
              <w:rPr>
                <w:rFonts w:ascii="David" w:hAnsi="David" w:cs="David"/>
                <w:rtl/>
              </w:rPr>
            </w:pPr>
            <w:r w:rsidRPr="006A555E">
              <w:rPr>
                <w:rFonts w:ascii="David" w:eastAsia="Times New Roman" w:hAnsi="David" w:cs="David"/>
                <w:b/>
                <w:bCs/>
                <w:rtl/>
              </w:rPr>
              <w:t>הליך</w:t>
            </w:r>
          </w:p>
        </w:tc>
        <w:tc>
          <w:tcPr>
            <w:tcW w:w="2262" w:type="dxa"/>
            <w:tcBorders>
              <w:top w:val="single" w:sz="4" w:space="0" w:color="auto"/>
              <w:bottom w:val="single" w:sz="4" w:space="0" w:color="auto"/>
            </w:tcBorders>
            <w:shd w:val="clear" w:color="auto" w:fill="auto"/>
            <w:vAlign w:val="center"/>
          </w:tcPr>
          <w:p w14:paraId="0AAA39D7" w14:textId="2515049F" w:rsidR="007D380E" w:rsidRPr="006A555E" w:rsidRDefault="007D380E" w:rsidP="007D380E">
            <w:pPr>
              <w:spacing w:after="0" w:line="240" w:lineRule="auto"/>
              <w:rPr>
                <w:rFonts w:ascii="David" w:hAnsi="David" w:cs="David"/>
                <w:rtl/>
              </w:rPr>
            </w:pPr>
            <w:r w:rsidRPr="006A555E">
              <w:rPr>
                <w:rFonts w:ascii="David" w:eastAsia="Times New Roman" w:hAnsi="David" w:cs="David"/>
                <w:b/>
                <w:bCs/>
                <w:rtl/>
              </w:rPr>
              <w:t>סוג תיק</w:t>
            </w:r>
          </w:p>
        </w:tc>
        <w:tc>
          <w:tcPr>
            <w:tcW w:w="1276" w:type="dxa"/>
            <w:tcBorders>
              <w:top w:val="single" w:sz="4" w:space="0" w:color="auto"/>
              <w:bottom w:val="single" w:sz="4" w:space="0" w:color="auto"/>
            </w:tcBorders>
            <w:shd w:val="clear" w:color="auto" w:fill="auto"/>
            <w:vAlign w:val="center"/>
          </w:tcPr>
          <w:p w14:paraId="3F79B5C9" w14:textId="325F0009" w:rsidR="007D380E" w:rsidRPr="006A555E" w:rsidRDefault="007D380E" w:rsidP="007D380E">
            <w:pPr>
              <w:bidi w:val="0"/>
              <w:spacing w:after="0" w:line="240" w:lineRule="auto"/>
              <w:jc w:val="center"/>
              <w:rPr>
                <w:rFonts w:ascii="David" w:hAnsi="David" w:cs="David"/>
              </w:rPr>
            </w:pPr>
            <w:r w:rsidRPr="006A555E">
              <w:rPr>
                <w:rFonts w:ascii="David" w:eastAsia="Times New Roman" w:hAnsi="David" w:cs="David" w:hint="cs"/>
                <w:b/>
                <w:bCs/>
                <w:rtl/>
              </w:rPr>
              <w:t>מספר תיקים שנסגרו ב-2019</w:t>
            </w:r>
          </w:p>
        </w:tc>
        <w:tc>
          <w:tcPr>
            <w:tcW w:w="1418" w:type="dxa"/>
            <w:tcBorders>
              <w:top w:val="single" w:sz="4" w:space="0" w:color="auto"/>
              <w:bottom w:val="single" w:sz="4" w:space="0" w:color="auto"/>
            </w:tcBorders>
            <w:shd w:val="clear" w:color="auto" w:fill="auto"/>
            <w:noWrap/>
            <w:vAlign w:val="center"/>
          </w:tcPr>
          <w:p w14:paraId="3B3FC134" w14:textId="01911C8F" w:rsidR="007D380E" w:rsidRPr="006A555E" w:rsidRDefault="007D380E" w:rsidP="007D380E">
            <w:pPr>
              <w:spacing w:after="0" w:line="240" w:lineRule="auto"/>
              <w:jc w:val="center"/>
              <w:rPr>
                <w:rFonts w:ascii="David" w:hAnsi="David" w:cs="David"/>
                <w:b/>
                <w:bCs/>
                <w:rtl/>
              </w:rPr>
            </w:pPr>
            <w:r w:rsidRPr="006A555E">
              <w:rPr>
                <w:rFonts w:ascii="David" w:eastAsia="Times New Roman" w:hAnsi="David" w:cs="David"/>
                <w:b/>
                <w:bCs/>
                <w:rtl/>
              </w:rPr>
              <w:t>הזמן השיפוטי הממוצע לט</w:t>
            </w:r>
            <w:r w:rsidRPr="006A555E">
              <w:rPr>
                <w:rFonts w:ascii="David" w:eastAsia="Times New Roman" w:hAnsi="David" w:cs="David" w:hint="cs"/>
                <w:b/>
                <w:bCs/>
                <w:rtl/>
              </w:rPr>
              <w:t>י</w:t>
            </w:r>
            <w:r w:rsidRPr="006A555E">
              <w:rPr>
                <w:rFonts w:ascii="David" w:eastAsia="Times New Roman" w:hAnsi="David" w:cs="David"/>
                <w:b/>
                <w:bCs/>
                <w:rtl/>
              </w:rPr>
              <w:t>פ</w:t>
            </w:r>
            <w:r w:rsidRPr="006A555E">
              <w:rPr>
                <w:rFonts w:ascii="David" w:eastAsia="Times New Roman" w:hAnsi="David" w:cs="David" w:hint="cs"/>
                <w:b/>
                <w:bCs/>
                <w:rtl/>
              </w:rPr>
              <w:t>ו</w:t>
            </w:r>
            <w:r w:rsidRPr="006A555E">
              <w:rPr>
                <w:rFonts w:ascii="David" w:eastAsia="Times New Roman" w:hAnsi="David" w:cs="David"/>
                <w:b/>
                <w:bCs/>
                <w:rtl/>
              </w:rPr>
              <w:t>ל בתיק</w:t>
            </w:r>
          </w:p>
        </w:tc>
        <w:tc>
          <w:tcPr>
            <w:tcW w:w="1559" w:type="dxa"/>
            <w:tcBorders>
              <w:top w:val="single" w:sz="4" w:space="0" w:color="auto"/>
              <w:bottom w:val="single" w:sz="4" w:space="0" w:color="auto"/>
            </w:tcBorders>
            <w:shd w:val="clear" w:color="auto" w:fill="auto"/>
            <w:vAlign w:val="center"/>
          </w:tcPr>
          <w:p w14:paraId="17E3B1EC" w14:textId="370151C6" w:rsidR="007D380E" w:rsidRPr="006A555E" w:rsidRDefault="007D380E" w:rsidP="007D380E">
            <w:pPr>
              <w:spacing w:after="0" w:line="240" w:lineRule="auto"/>
              <w:jc w:val="center"/>
              <w:rPr>
                <w:rFonts w:ascii="David" w:hAnsi="David" w:cs="David"/>
              </w:rPr>
            </w:pPr>
            <w:r w:rsidRPr="006A555E">
              <w:rPr>
                <w:rFonts w:ascii="David" w:eastAsia="Times New Roman" w:hAnsi="David" w:cs="David"/>
                <w:b/>
                <w:bCs/>
                <w:rtl/>
              </w:rPr>
              <w:t xml:space="preserve">הזמן השיפוטי </w:t>
            </w:r>
            <w:r w:rsidRPr="006A555E">
              <w:rPr>
                <w:rFonts w:ascii="David" w:eastAsia="Times New Roman" w:hAnsi="David" w:cs="David" w:hint="cs"/>
                <w:b/>
                <w:bCs/>
                <w:rtl/>
              </w:rPr>
              <w:t xml:space="preserve">הממוצע </w:t>
            </w:r>
            <w:r w:rsidRPr="006A555E">
              <w:rPr>
                <w:rFonts w:ascii="David" w:eastAsia="Times New Roman" w:hAnsi="David" w:cs="David"/>
                <w:b/>
                <w:bCs/>
                <w:rtl/>
              </w:rPr>
              <w:t xml:space="preserve">לפי </w:t>
            </w:r>
            <w:r w:rsidRPr="006A555E">
              <w:rPr>
                <w:rFonts w:ascii="David" w:eastAsia="Times New Roman" w:hAnsi="David" w:cs="David" w:hint="cs"/>
                <w:b/>
                <w:bCs/>
                <w:rtl/>
              </w:rPr>
              <w:t>ה</w:t>
            </w:r>
            <w:r w:rsidRPr="006A555E">
              <w:rPr>
                <w:rFonts w:ascii="David" w:eastAsia="Times New Roman" w:hAnsi="David" w:cs="David"/>
                <w:b/>
                <w:bCs/>
                <w:rtl/>
              </w:rPr>
              <w:t>מחקר ה</w:t>
            </w:r>
            <w:r w:rsidRPr="006A555E">
              <w:rPr>
                <w:rFonts w:ascii="David" w:eastAsia="Times New Roman" w:hAnsi="David" w:cs="David" w:hint="cs"/>
                <w:b/>
                <w:bCs/>
                <w:rtl/>
              </w:rPr>
              <w:t>קודם</w:t>
            </w:r>
          </w:p>
        </w:tc>
        <w:tc>
          <w:tcPr>
            <w:tcW w:w="850" w:type="dxa"/>
            <w:tcBorders>
              <w:top w:val="single" w:sz="4" w:space="0" w:color="auto"/>
              <w:bottom w:val="single" w:sz="4" w:space="0" w:color="auto"/>
            </w:tcBorders>
            <w:shd w:val="clear" w:color="auto" w:fill="auto"/>
            <w:vAlign w:val="center"/>
          </w:tcPr>
          <w:p w14:paraId="152D6FE5" w14:textId="48AAD8C5" w:rsidR="007D380E" w:rsidRPr="006A555E" w:rsidRDefault="007D380E" w:rsidP="007D380E">
            <w:pPr>
              <w:spacing w:after="0" w:line="240" w:lineRule="auto"/>
              <w:jc w:val="center"/>
              <w:rPr>
                <w:rFonts w:ascii="David" w:hAnsi="David" w:cs="David"/>
              </w:rPr>
            </w:pPr>
            <w:r w:rsidRPr="006A555E">
              <w:rPr>
                <w:rFonts w:ascii="David" w:eastAsia="Times New Roman" w:hAnsi="David" w:cs="David"/>
                <w:b/>
                <w:bCs/>
                <w:rtl/>
              </w:rPr>
              <w:t xml:space="preserve">מגמת </w:t>
            </w:r>
            <w:r w:rsidRPr="006A555E">
              <w:rPr>
                <w:rFonts w:ascii="David" w:eastAsia="Times New Roman" w:hAnsi="David" w:cs="David" w:hint="cs"/>
                <w:b/>
                <w:bCs/>
                <w:rtl/>
              </w:rPr>
              <w:t>ה</w:t>
            </w:r>
            <w:r w:rsidRPr="006A555E">
              <w:rPr>
                <w:rFonts w:ascii="David" w:eastAsia="Times New Roman" w:hAnsi="David" w:cs="David"/>
                <w:b/>
                <w:bCs/>
                <w:rtl/>
              </w:rPr>
              <w:t>שינוי</w:t>
            </w:r>
          </w:p>
        </w:tc>
      </w:tr>
      <w:tr w:rsidR="007D380E" w:rsidRPr="006A555E" w14:paraId="4A72414A"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4C382AD1"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21CF78EE" w14:textId="77777777" w:rsidR="007D380E" w:rsidRPr="006A555E" w:rsidRDefault="007D380E" w:rsidP="007D380E">
            <w:pPr>
              <w:spacing w:after="0" w:line="240" w:lineRule="auto"/>
              <w:rPr>
                <w:rFonts w:ascii="David" w:hAnsi="David" w:cs="David"/>
                <w:rtl/>
              </w:rPr>
            </w:pPr>
            <w:r w:rsidRPr="006A555E">
              <w:rPr>
                <w:rFonts w:ascii="David" w:hAnsi="David" w:cs="David"/>
                <w:rtl/>
              </w:rPr>
              <w:t>עניינים מקומיים</w:t>
            </w:r>
          </w:p>
        </w:tc>
        <w:tc>
          <w:tcPr>
            <w:tcW w:w="2262" w:type="dxa"/>
            <w:tcBorders>
              <w:top w:val="single" w:sz="4" w:space="0" w:color="auto"/>
              <w:bottom w:val="single" w:sz="4" w:space="0" w:color="auto"/>
            </w:tcBorders>
            <w:shd w:val="clear" w:color="auto" w:fill="D9D9D9"/>
            <w:vAlign w:val="center"/>
          </w:tcPr>
          <w:p w14:paraId="2F5F169B" w14:textId="77777777" w:rsidR="007D380E" w:rsidRPr="006A555E" w:rsidRDefault="007D380E" w:rsidP="007D380E">
            <w:pPr>
              <w:spacing w:after="0" w:line="240" w:lineRule="auto"/>
              <w:rPr>
                <w:rFonts w:ascii="David" w:hAnsi="David" w:cs="David"/>
                <w:rtl/>
              </w:rPr>
            </w:pPr>
            <w:r w:rsidRPr="006A555E">
              <w:rPr>
                <w:rFonts w:ascii="David" w:hAnsi="David" w:cs="David"/>
                <w:rtl/>
              </w:rPr>
              <w:t>עניינים מקומיים אחרים (עמ"א)</w:t>
            </w:r>
          </w:p>
        </w:tc>
        <w:tc>
          <w:tcPr>
            <w:tcW w:w="1276" w:type="dxa"/>
            <w:tcBorders>
              <w:top w:val="single" w:sz="4" w:space="0" w:color="auto"/>
              <w:bottom w:val="single" w:sz="4" w:space="0" w:color="auto"/>
            </w:tcBorders>
            <w:shd w:val="clear" w:color="auto" w:fill="D9D9D9"/>
            <w:vAlign w:val="center"/>
          </w:tcPr>
          <w:p w14:paraId="6DF31179"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501</w:t>
            </w:r>
          </w:p>
        </w:tc>
        <w:tc>
          <w:tcPr>
            <w:tcW w:w="1418" w:type="dxa"/>
            <w:tcBorders>
              <w:top w:val="single" w:sz="4" w:space="0" w:color="auto"/>
              <w:bottom w:val="single" w:sz="4" w:space="0" w:color="auto"/>
            </w:tcBorders>
            <w:shd w:val="clear" w:color="auto" w:fill="D9D9D9"/>
            <w:noWrap/>
            <w:vAlign w:val="center"/>
          </w:tcPr>
          <w:p w14:paraId="20F22EA5" w14:textId="77777777" w:rsidR="007D380E" w:rsidRPr="006A555E" w:rsidRDefault="007D380E" w:rsidP="007D380E">
            <w:pPr>
              <w:spacing w:after="0" w:line="240" w:lineRule="auto"/>
              <w:jc w:val="center"/>
              <w:rPr>
                <w:rFonts w:ascii="David" w:hAnsi="David" w:cs="David"/>
                <w:b/>
                <w:bCs/>
              </w:rPr>
            </w:pPr>
            <w:r w:rsidRPr="006A555E">
              <w:rPr>
                <w:rFonts w:ascii="David" w:hAnsi="David" w:cs="David" w:hint="cs"/>
                <w:b/>
                <w:bCs/>
                <w:rtl/>
              </w:rPr>
              <w:t>2:49</w:t>
            </w:r>
          </w:p>
        </w:tc>
        <w:tc>
          <w:tcPr>
            <w:tcW w:w="1559" w:type="dxa"/>
            <w:tcBorders>
              <w:top w:val="single" w:sz="4" w:space="0" w:color="auto"/>
              <w:bottom w:val="single" w:sz="4" w:space="0" w:color="auto"/>
            </w:tcBorders>
            <w:shd w:val="clear" w:color="auto" w:fill="D9D9D9"/>
            <w:vAlign w:val="center"/>
          </w:tcPr>
          <w:p w14:paraId="05F421C6" w14:textId="77777777" w:rsidR="007D380E" w:rsidRPr="006A555E" w:rsidRDefault="007D380E" w:rsidP="007D380E">
            <w:pPr>
              <w:spacing w:after="0" w:line="240" w:lineRule="auto"/>
              <w:jc w:val="center"/>
              <w:rPr>
                <w:rFonts w:ascii="David" w:hAnsi="David" w:cs="David"/>
              </w:rPr>
            </w:pPr>
            <w:r w:rsidRPr="006A555E">
              <w:rPr>
                <w:rFonts w:ascii="David" w:hAnsi="David" w:cs="David"/>
              </w:rPr>
              <w:t>-</w:t>
            </w:r>
          </w:p>
        </w:tc>
        <w:tc>
          <w:tcPr>
            <w:tcW w:w="850" w:type="dxa"/>
            <w:tcBorders>
              <w:top w:val="single" w:sz="4" w:space="0" w:color="auto"/>
              <w:bottom w:val="single" w:sz="4" w:space="0" w:color="auto"/>
            </w:tcBorders>
            <w:shd w:val="clear" w:color="auto" w:fill="D9D9D9"/>
            <w:vAlign w:val="center"/>
          </w:tcPr>
          <w:p w14:paraId="01C05464" w14:textId="77777777" w:rsidR="007D380E" w:rsidRPr="006A555E" w:rsidRDefault="007D380E" w:rsidP="007D380E">
            <w:pPr>
              <w:spacing w:after="0" w:line="240" w:lineRule="auto"/>
              <w:jc w:val="center"/>
              <w:rPr>
                <w:rFonts w:ascii="David" w:hAnsi="David" w:cs="David"/>
              </w:rPr>
            </w:pPr>
            <w:r w:rsidRPr="006A555E">
              <w:rPr>
                <w:rFonts w:ascii="David" w:hAnsi="David" w:cs="David"/>
              </w:rPr>
              <w:t>-</w:t>
            </w:r>
          </w:p>
        </w:tc>
      </w:tr>
      <w:tr w:rsidR="007D380E" w:rsidRPr="006A555E" w14:paraId="39AB95E6" w14:textId="77777777" w:rsidTr="007D380E">
        <w:trPr>
          <w:trHeight w:val="430"/>
        </w:trPr>
        <w:tc>
          <w:tcPr>
            <w:tcW w:w="847" w:type="dxa"/>
            <w:tcBorders>
              <w:top w:val="single" w:sz="4" w:space="0" w:color="auto"/>
              <w:bottom w:val="single" w:sz="4" w:space="0" w:color="auto"/>
            </w:tcBorders>
            <w:shd w:val="clear" w:color="auto" w:fill="auto"/>
            <w:noWrap/>
            <w:vAlign w:val="center"/>
          </w:tcPr>
          <w:p w14:paraId="1C3FA03C"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4FF2DAF0" w14:textId="77777777" w:rsidR="007D380E" w:rsidRPr="006A555E" w:rsidRDefault="007D380E" w:rsidP="007D380E">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auto"/>
            <w:vAlign w:val="center"/>
          </w:tcPr>
          <w:p w14:paraId="32C60B6B" w14:textId="77777777" w:rsidR="007D380E" w:rsidRPr="006A555E" w:rsidRDefault="007D380E" w:rsidP="007D380E">
            <w:pPr>
              <w:spacing w:after="0" w:line="240" w:lineRule="auto"/>
              <w:rPr>
                <w:rFonts w:ascii="David" w:hAnsi="David" w:cs="David"/>
                <w:rtl/>
              </w:rPr>
            </w:pPr>
            <w:r w:rsidRPr="006A555E">
              <w:rPr>
                <w:rFonts w:ascii="David" w:hAnsi="David" w:cs="David"/>
                <w:rtl/>
              </w:rPr>
              <w:t>ערעור על החלטת רשם (ע"ר)</w:t>
            </w:r>
            <w:r w:rsidRPr="006A555E">
              <w:rPr>
                <w:rFonts w:ascii="David" w:hAnsi="David" w:cs="David" w:hint="cs"/>
                <w:rtl/>
              </w:rPr>
              <w:t>*</w:t>
            </w:r>
          </w:p>
        </w:tc>
        <w:tc>
          <w:tcPr>
            <w:tcW w:w="1276" w:type="dxa"/>
            <w:tcBorders>
              <w:top w:val="single" w:sz="4" w:space="0" w:color="auto"/>
              <w:bottom w:val="single" w:sz="4" w:space="0" w:color="auto"/>
            </w:tcBorders>
            <w:vAlign w:val="center"/>
          </w:tcPr>
          <w:p w14:paraId="72B0E6BA"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123</w:t>
            </w:r>
          </w:p>
        </w:tc>
        <w:tc>
          <w:tcPr>
            <w:tcW w:w="1418" w:type="dxa"/>
            <w:tcBorders>
              <w:top w:val="single" w:sz="4" w:space="0" w:color="auto"/>
              <w:bottom w:val="single" w:sz="4" w:space="0" w:color="auto"/>
            </w:tcBorders>
            <w:shd w:val="clear" w:color="auto" w:fill="auto"/>
            <w:noWrap/>
            <w:vAlign w:val="center"/>
          </w:tcPr>
          <w:p w14:paraId="07906C21" w14:textId="77777777" w:rsidR="007D380E" w:rsidRPr="006A555E" w:rsidRDefault="007D380E" w:rsidP="007D380E">
            <w:pPr>
              <w:spacing w:after="0" w:line="240" w:lineRule="auto"/>
              <w:jc w:val="center"/>
              <w:rPr>
                <w:rFonts w:ascii="David" w:hAnsi="David" w:cs="David"/>
                <w:b/>
                <w:bCs/>
              </w:rPr>
            </w:pPr>
            <w:r w:rsidRPr="006A555E">
              <w:rPr>
                <w:rFonts w:ascii="David" w:hAnsi="David" w:cs="David" w:hint="cs"/>
                <w:b/>
                <w:bCs/>
                <w:rtl/>
              </w:rPr>
              <w:t>2:42</w:t>
            </w:r>
          </w:p>
        </w:tc>
        <w:tc>
          <w:tcPr>
            <w:tcW w:w="1559" w:type="dxa"/>
            <w:tcBorders>
              <w:top w:val="single" w:sz="4" w:space="0" w:color="auto"/>
              <w:bottom w:val="single" w:sz="4" w:space="0" w:color="auto"/>
            </w:tcBorders>
            <w:shd w:val="clear" w:color="auto" w:fill="auto"/>
            <w:vAlign w:val="center"/>
          </w:tcPr>
          <w:p w14:paraId="4A90D985" w14:textId="77777777" w:rsidR="007D380E" w:rsidRPr="006A555E" w:rsidRDefault="007D380E" w:rsidP="007D380E">
            <w:pPr>
              <w:spacing w:after="0" w:line="240" w:lineRule="auto"/>
              <w:jc w:val="center"/>
              <w:rPr>
                <w:rFonts w:ascii="David" w:hAnsi="David" w:cs="David"/>
              </w:rPr>
            </w:pPr>
            <w:r w:rsidRPr="006A555E">
              <w:rPr>
                <w:rFonts w:ascii="David" w:hAnsi="David" w:cs="David"/>
              </w:rPr>
              <w:t>-</w:t>
            </w:r>
          </w:p>
        </w:tc>
        <w:tc>
          <w:tcPr>
            <w:tcW w:w="850" w:type="dxa"/>
            <w:tcBorders>
              <w:top w:val="single" w:sz="4" w:space="0" w:color="auto"/>
              <w:bottom w:val="single" w:sz="4" w:space="0" w:color="auto"/>
            </w:tcBorders>
            <w:shd w:val="clear" w:color="auto" w:fill="auto"/>
            <w:vAlign w:val="center"/>
          </w:tcPr>
          <w:p w14:paraId="31F5B19D" w14:textId="77777777" w:rsidR="007D380E" w:rsidRPr="006A555E" w:rsidRDefault="007D380E" w:rsidP="007D380E">
            <w:pPr>
              <w:spacing w:after="0" w:line="240" w:lineRule="auto"/>
              <w:jc w:val="center"/>
              <w:rPr>
                <w:rFonts w:ascii="David" w:hAnsi="David" w:cs="David"/>
              </w:rPr>
            </w:pPr>
            <w:r w:rsidRPr="006A555E">
              <w:rPr>
                <w:rFonts w:ascii="David" w:hAnsi="David" w:cs="David"/>
              </w:rPr>
              <w:t>-</w:t>
            </w:r>
          </w:p>
        </w:tc>
      </w:tr>
      <w:tr w:rsidR="007D380E" w:rsidRPr="006A555E" w14:paraId="2C78DEFF"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06A2656F"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1F1A14BD" w14:textId="77777777" w:rsidR="007D380E" w:rsidRPr="006A555E" w:rsidRDefault="007D380E" w:rsidP="007D380E">
            <w:pPr>
              <w:spacing w:after="0" w:line="240" w:lineRule="auto"/>
              <w:rPr>
                <w:rFonts w:ascii="David" w:hAnsi="David" w:cs="David"/>
                <w:rtl/>
              </w:rPr>
            </w:pPr>
            <w:r w:rsidRPr="006A555E">
              <w:rPr>
                <w:rFonts w:ascii="David" w:hAnsi="David" w:cs="David"/>
                <w:rtl/>
              </w:rPr>
              <w:t>מעצרים/ פלילי</w:t>
            </w:r>
          </w:p>
        </w:tc>
        <w:tc>
          <w:tcPr>
            <w:tcW w:w="2262" w:type="dxa"/>
            <w:tcBorders>
              <w:top w:val="single" w:sz="4" w:space="0" w:color="auto"/>
              <w:bottom w:val="single" w:sz="4" w:space="0" w:color="auto"/>
            </w:tcBorders>
            <w:shd w:val="clear" w:color="auto" w:fill="D9D9D9"/>
            <w:vAlign w:val="center"/>
          </w:tcPr>
          <w:p w14:paraId="469A6017" w14:textId="77777777" w:rsidR="007D380E" w:rsidRPr="006A555E" w:rsidRDefault="007D380E" w:rsidP="007D380E">
            <w:pPr>
              <w:spacing w:after="0" w:line="240" w:lineRule="auto"/>
              <w:rPr>
                <w:rFonts w:ascii="David" w:hAnsi="David" w:cs="David"/>
                <w:rtl/>
              </w:rPr>
            </w:pPr>
            <w:r w:rsidRPr="006A555E">
              <w:rPr>
                <w:rFonts w:ascii="David" w:hAnsi="David" w:cs="David"/>
                <w:rtl/>
              </w:rPr>
              <w:t>מעצר עד תום ההליכים (מ"ת)</w:t>
            </w:r>
          </w:p>
        </w:tc>
        <w:tc>
          <w:tcPr>
            <w:tcW w:w="1276" w:type="dxa"/>
            <w:tcBorders>
              <w:top w:val="single" w:sz="4" w:space="0" w:color="auto"/>
              <w:bottom w:val="single" w:sz="4" w:space="0" w:color="auto"/>
            </w:tcBorders>
            <w:shd w:val="clear" w:color="auto" w:fill="D9D9D9"/>
            <w:vAlign w:val="center"/>
          </w:tcPr>
          <w:p w14:paraId="2B652C7F"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10,583</w:t>
            </w:r>
          </w:p>
        </w:tc>
        <w:tc>
          <w:tcPr>
            <w:tcW w:w="1418" w:type="dxa"/>
            <w:tcBorders>
              <w:top w:val="single" w:sz="4" w:space="0" w:color="auto"/>
              <w:bottom w:val="single" w:sz="4" w:space="0" w:color="auto"/>
            </w:tcBorders>
            <w:shd w:val="clear" w:color="auto" w:fill="D9D9D9"/>
            <w:noWrap/>
            <w:vAlign w:val="center"/>
          </w:tcPr>
          <w:p w14:paraId="6368CB51"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2:37</w:t>
            </w:r>
          </w:p>
        </w:tc>
        <w:tc>
          <w:tcPr>
            <w:tcW w:w="1559" w:type="dxa"/>
            <w:tcBorders>
              <w:top w:val="single" w:sz="4" w:space="0" w:color="auto"/>
              <w:bottom w:val="single" w:sz="4" w:space="0" w:color="auto"/>
            </w:tcBorders>
            <w:shd w:val="clear" w:color="auto" w:fill="D9D9D9"/>
            <w:vAlign w:val="center"/>
          </w:tcPr>
          <w:p w14:paraId="464CD1B2" w14:textId="77777777" w:rsidR="007D380E" w:rsidRPr="006A555E" w:rsidRDefault="007D380E" w:rsidP="007D380E">
            <w:pPr>
              <w:spacing w:after="0" w:line="240" w:lineRule="auto"/>
              <w:jc w:val="center"/>
              <w:rPr>
                <w:rFonts w:ascii="David" w:hAnsi="David" w:cs="David"/>
                <w:rtl/>
              </w:rPr>
            </w:pPr>
            <w:r w:rsidRPr="006A555E">
              <w:rPr>
                <w:rFonts w:ascii="David" w:hAnsi="David" w:cs="David"/>
              </w:rPr>
              <w:t>2:26</w:t>
            </w:r>
          </w:p>
        </w:tc>
        <w:tc>
          <w:tcPr>
            <w:tcW w:w="850" w:type="dxa"/>
            <w:tcBorders>
              <w:top w:val="single" w:sz="4" w:space="0" w:color="auto"/>
              <w:bottom w:val="single" w:sz="4" w:space="0" w:color="auto"/>
            </w:tcBorders>
            <w:shd w:val="clear" w:color="auto" w:fill="D9D9D9"/>
            <w:vAlign w:val="center"/>
          </w:tcPr>
          <w:p w14:paraId="0C156964" w14:textId="77777777" w:rsidR="007D380E" w:rsidRPr="006A555E" w:rsidRDefault="007D380E" w:rsidP="007D380E">
            <w:pPr>
              <w:spacing w:after="0" w:line="240" w:lineRule="auto"/>
              <w:jc w:val="center"/>
              <w:rPr>
                <w:rFonts w:ascii="David" w:hAnsi="David" w:cs="David"/>
              </w:rPr>
            </w:pPr>
            <w:r w:rsidRPr="006A555E">
              <w:rPr>
                <w:rFonts w:ascii="David" w:hAnsi="David" w:cs="David" w:hint="cs"/>
                <w:rtl/>
              </w:rPr>
              <w:t>0:11+</w:t>
            </w:r>
          </w:p>
        </w:tc>
      </w:tr>
      <w:tr w:rsidR="007D380E" w:rsidRPr="006A555E" w14:paraId="388E7E7C" w14:textId="77777777" w:rsidTr="007D380E">
        <w:trPr>
          <w:trHeight w:val="460"/>
        </w:trPr>
        <w:tc>
          <w:tcPr>
            <w:tcW w:w="847" w:type="dxa"/>
            <w:tcBorders>
              <w:top w:val="single" w:sz="4" w:space="0" w:color="auto"/>
              <w:bottom w:val="single" w:sz="4" w:space="0" w:color="auto"/>
            </w:tcBorders>
            <w:shd w:val="clear" w:color="auto" w:fill="auto"/>
            <w:noWrap/>
            <w:vAlign w:val="center"/>
          </w:tcPr>
          <w:p w14:paraId="340FA2EC"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56E9F9BF" w14:textId="77777777" w:rsidR="007D380E" w:rsidRPr="006A555E" w:rsidRDefault="007D380E" w:rsidP="007D380E">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auto"/>
            <w:vAlign w:val="center"/>
          </w:tcPr>
          <w:p w14:paraId="691EEF33" w14:textId="77777777" w:rsidR="007D380E" w:rsidRPr="006A555E" w:rsidRDefault="007D380E" w:rsidP="007D380E">
            <w:pPr>
              <w:spacing w:after="0" w:line="240" w:lineRule="auto"/>
              <w:rPr>
                <w:rFonts w:ascii="David" w:hAnsi="David" w:cs="David"/>
                <w:rtl/>
              </w:rPr>
            </w:pPr>
            <w:r w:rsidRPr="006A555E">
              <w:rPr>
                <w:rFonts w:ascii="David" w:hAnsi="David" w:cs="David"/>
                <w:rtl/>
              </w:rPr>
              <w:t>תיק אזרחי בסדר דין רגיל (ת"א)-נזקי גוף ביטוח (פוליסה)</w:t>
            </w:r>
          </w:p>
        </w:tc>
        <w:tc>
          <w:tcPr>
            <w:tcW w:w="1276" w:type="dxa"/>
            <w:tcBorders>
              <w:top w:val="single" w:sz="4" w:space="0" w:color="auto"/>
              <w:bottom w:val="single" w:sz="4" w:space="0" w:color="auto"/>
            </w:tcBorders>
            <w:vAlign w:val="center"/>
          </w:tcPr>
          <w:p w14:paraId="62CB570F"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894</w:t>
            </w:r>
          </w:p>
        </w:tc>
        <w:tc>
          <w:tcPr>
            <w:tcW w:w="1418" w:type="dxa"/>
            <w:tcBorders>
              <w:top w:val="single" w:sz="4" w:space="0" w:color="auto"/>
              <w:bottom w:val="single" w:sz="4" w:space="0" w:color="auto"/>
            </w:tcBorders>
            <w:shd w:val="clear" w:color="auto" w:fill="auto"/>
            <w:noWrap/>
            <w:vAlign w:val="center"/>
          </w:tcPr>
          <w:p w14:paraId="2DD7CAFE"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2:32</w:t>
            </w:r>
          </w:p>
        </w:tc>
        <w:tc>
          <w:tcPr>
            <w:tcW w:w="1559" w:type="dxa"/>
            <w:tcBorders>
              <w:top w:val="single" w:sz="4" w:space="0" w:color="auto"/>
              <w:bottom w:val="single" w:sz="4" w:space="0" w:color="auto"/>
            </w:tcBorders>
            <w:shd w:val="clear" w:color="auto" w:fill="auto"/>
            <w:vAlign w:val="center"/>
          </w:tcPr>
          <w:p w14:paraId="4A93455E" w14:textId="77777777" w:rsidR="007D380E" w:rsidRPr="006A555E" w:rsidRDefault="007D380E" w:rsidP="007D380E">
            <w:pPr>
              <w:spacing w:after="0" w:line="240" w:lineRule="auto"/>
              <w:jc w:val="center"/>
              <w:rPr>
                <w:rFonts w:ascii="David" w:hAnsi="David" w:cs="David"/>
              </w:rPr>
            </w:pPr>
            <w:r w:rsidRPr="006A555E">
              <w:rPr>
                <w:rFonts w:ascii="David" w:hAnsi="David" w:cs="David" w:hint="cs"/>
                <w:rtl/>
              </w:rPr>
              <w:t>-</w:t>
            </w:r>
          </w:p>
        </w:tc>
        <w:tc>
          <w:tcPr>
            <w:tcW w:w="850" w:type="dxa"/>
            <w:tcBorders>
              <w:top w:val="single" w:sz="4" w:space="0" w:color="auto"/>
              <w:bottom w:val="single" w:sz="4" w:space="0" w:color="auto"/>
            </w:tcBorders>
            <w:shd w:val="clear" w:color="auto" w:fill="auto"/>
            <w:vAlign w:val="center"/>
          </w:tcPr>
          <w:p w14:paraId="0ED911DA" w14:textId="77777777" w:rsidR="007D380E" w:rsidRPr="006A555E" w:rsidRDefault="007D380E" w:rsidP="007D380E">
            <w:pPr>
              <w:spacing w:after="0" w:line="240" w:lineRule="auto"/>
              <w:jc w:val="center"/>
              <w:rPr>
                <w:rFonts w:ascii="David" w:hAnsi="David" w:cs="David"/>
                <w:rtl/>
              </w:rPr>
            </w:pPr>
            <w:r w:rsidRPr="006A555E">
              <w:rPr>
                <w:rFonts w:ascii="David" w:hAnsi="David" w:cs="David" w:hint="cs"/>
                <w:rtl/>
              </w:rPr>
              <w:t>-</w:t>
            </w:r>
          </w:p>
        </w:tc>
      </w:tr>
      <w:tr w:rsidR="007D380E" w:rsidRPr="006A555E" w14:paraId="6877BF2D" w14:textId="77777777" w:rsidTr="007D380E">
        <w:trPr>
          <w:trHeight w:val="424"/>
        </w:trPr>
        <w:tc>
          <w:tcPr>
            <w:tcW w:w="847" w:type="dxa"/>
            <w:tcBorders>
              <w:top w:val="single" w:sz="4" w:space="0" w:color="auto"/>
              <w:bottom w:val="single" w:sz="4" w:space="0" w:color="auto"/>
            </w:tcBorders>
            <w:shd w:val="clear" w:color="auto" w:fill="D9D9D9"/>
            <w:noWrap/>
            <w:vAlign w:val="center"/>
          </w:tcPr>
          <w:p w14:paraId="4D972DEB"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3BC9662A" w14:textId="77777777" w:rsidR="007D380E" w:rsidRPr="006A555E" w:rsidRDefault="007D380E" w:rsidP="007D380E">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D9D9D9"/>
            <w:vAlign w:val="center"/>
          </w:tcPr>
          <w:p w14:paraId="38613246" w14:textId="77777777" w:rsidR="007D380E" w:rsidRPr="006A555E" w:rsidRDefault="007D380E" w:rsidP="007D380E">
            <w:pPr>
              <w:spacing w:after="0" w:line="240" w:lineRule="auto"/>
              <w:rPr>
                <w:rFonts w:ascii="David" w:hAnsi="David" w:cs="David"/>
                <w:rtl/>
              </w:rPr>
            </w:pPr>
            <w:r w:rsidRPr="006A555E">
              <w:rPr>
                <w:rFonts w:ascii="David" w:hAnsi="David" w:cs="David"/>
                <w:rtl/>
              </w:rPr>
              <w:t>תיק אזרחי בסדר דין רגיל (ת"א)-פלת"ד</w:t>
            </w:r>
          </w:p>
        </w:tc>
        <w:tc>
          <w:tcPr>
            <w:tcW w:w="1276" w:type="dxa"/>
            <w:tcBorders>
              <w:top w:val="single" w:sz="4" w:space="0" w:color="auto"/>
              <w:bottom w:val="single" w:sz="4" w:space="0" w:color="auto"/>
            </w:tcBorders>
            <w:shd w:val="clear" w:color="auto" w:fill="D9D9D9"/>
            <w:vAlign w:val="center"/>
          </w:tcPr>
          <w:p w14:paraId="03D2792E"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28,681</w:t>
            </w:r>
          </w:p>
        </w:tc>
        <w:tc>
          <w:tcPr>
            <w:tcW w:w="1418" w:type="dxa"/>
            <w:tcBorders>
              <w:top w:val="single" w:sz="4" w:space="0" w:color="auto"/>
              <w:bottom w:val="single" w:sz="4" w:space="0" w:color="auto"/>
            </w:tcBorders>
            <w:shd w:val="clear" w:color="auto" w:fill="D9D9D9"/>
            <w:noWrap/>
            <w:vAlign w:val="center"/>
          </w:tcPr>
          <w:p w14:paraId="3C7F93B5" w14:textId="77777777" w:rsidR="007D380E" w:rsidRPr="006A555E" w:rsidRDefault="007D380E" w:rsidP="007D380E">
            <w:pPr>
              <w:spacing w:after="0" w:line="240" w:lineRule="auto"/>
              <w:jc w:val="center"/>
              <w:rPr>
                <w:rFonts w:asciiTheme="minorHAnsi" w:hAnsiTheme="minorHAnsi" w:cs="David"/>
                <w:b/>
                <w:bCs/>
              </w:rPr>
            </w:pPr>
            <w:r w:rsidRPr="006A555E">
              <w:rPr>
                <w:rFonts w:ascii="David" w:hAnsi="David" w:cs="David"/>
                <w:b/>
                <w:bCs/>
              </w:rPr>
              <w:t>2:26</w:t>
            </w:r>
          </w:p>
        </w:tc>
        <w:tc>
          <w:tcPr>
            <w:tcW w:w="1559" w:type="dxa"/>
            <w:tcBorders>
              <w:top w:val="single" w:sz="4" w:space="0" w:color="auto"/>
              <w:bottom w:val="single" w:sz="4" w:space="0" w:color="auto"/>
            </w:tcBorders>
            <w:shd w:val="clear" w:color="auto" w:fill="D9D9D9"/>
            <w:vAlign w:val="center"/>
          </w:tcPr>
          <w:p w14:paraId="055250DD" w14:textId="77777777" w:rsidR="007D380E" w:rsidRPr="006A555E" w:rsidRDefault="007D380E" w:rsidP="007D380E">
            <w:pPr>
              <w:spacing w:after="0" w:line="240" w:lineRule="auto"/>
              <w:jc w:val="center"/>
              <w:rPr>
                <w:rFonts w:ascii="David" w:hAnsi="David" w:cs="David"/>
              </w:rPr>
            </w:pPr>
            <w:r w:rsidRPr="006A555E">
              <w:rPr>
                <w:rFonts w:ascii="David" w:hAnsi="David" w:cs="David"/>
                <w:color w:val="000000"/>
              </w:rPr>
              <w:t>3:27</w:t>
            </w:r>
          </w:p>
        </w:tc>
        <w:tc>
          <w:tcPr>
            <w:tcW w:w="850" w:type="dxa"/>
            <w:tcBorders>
              <w:top w:val="single" w:sz="4" w:space="0" w:color="auto"/>
              <w:bottom w:val="single" w:sz="4" w:space="0" w:color="auto"/>
            </w:tcBorders>
            <w:shd w:val="clear" w:color="auto" w:fill="D9D9D9"/>
            <w:vAlign w:val="center"/>
          </w:tcPr>
          <w:p w14:paraId="41F4D40D" w14:textId="77777777" w:rsidR="007D380E" w:rsidRPr="006A555E" w:rsidRDefault="007D380E" w:rsidP="007D380E">
            <w:pPr>
              <w:spacing w:after="0" w:line="240" w:lineRule="auto"/>
              <w:jc w:val="center"/>
              <w:rPr>
                <w:rFonts w:ascii="David" w:hAnsi="David" w:cs="David"/>
              </w:rPr>
            </w:pPr>
            <w:r w:rsidRPr="006A555E">
              <w:rPr>
                <w:rFonts w:ascii="David" w:hAnsi="David" w:cs="David" w:hint="cs"/>
                <w:color w:val="000000"/>
                <w:rtl/>
              </w:rPr>
              <w:t>1:01-</w:t>
            </w:r>
          </w:p>
        </w:tc>
      </w:tr>
      <w:tr w:rsidR="007D380E" w:rsidRPr="006A555E" w14:paraId="73CB01AB"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54EE13FD"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4C81A74D" w14:textId="77777777" w:rsidR="007D380E" w:rsidRPr="006A555E" w:rsidRDefault="007D380E" w:rsidP="007D380E">
            <w:pPr>
              <w:spacing w:after="0" w:line="240" w:lineRule="auto"/>
              <w:rPr>
                <w:rFonts w:ascii="David" w:hAnsi="David" w:cs="David"/>
                <w:rtl/>
              </w:rPr>
            </w:pPr>
            <w:r w:rsidRPr="006A555E">
              <w:rPr>
                <w:rFonts w:ascii="David" w:hAnsi="David" w:cs="David"/>
                <w:rtl/>
              </w:rPr>
              <w:t>עניינים מקומיים</w:t>
            </w:r>
          </w:p>
        </w:tc>
        <w:tc>
          <w:tcPr>
            <w:tcW w:w="2262" w:type="dxa"/>
            <w:tcBorders>
              <w:top w:val="single" w:sz="4" w:space="0" w:color="auto"/>
              <w:bottom w:val="single" w:sz="4" w:space="0" w:color="auto"/>
            </w:tcBorders>
            <w:shd w:val="clear" w:color="auto" w:fill="auto"/>
            <w:vAlign w:val="center"/>
          </w:tcPr>
          <w:p w14:paraId="24FC1F5F" w14:textId="77777777" w:rsidR="007D380E" w:rsidRPr="006A555E" w:rsidRDefault="007D380E" w:rsidP="007D380E">
            <w:pPr>
              <w:spacing w:after="0" w:line="240" w:lineRule="auto"/>
              <w:rPr>
                <w:rFonts w:ascii="David" w:hAnsi="David" w:cs="David"/>
                <w:rtl/>
              </w:rPr>
            </w:pPr>
            <w:r w:rsidRPr="006A555E">
              <w:rPr>
                <w:rFonts w:ascii="David" w:hAnsi="David" w:cs="David"/>
                <w:rtl/>
              </w:rPr>
              <w:t>בקשות בנייה (בב"נ)</w:t>
            </w:r>
          </w:p>
        </w:tc>
        <w:tc>
          <w:tcPr>
            <w:tcW w:w="1276" w:type="dxa"/>
            <w:tcBorders>
              <w:top w:val="single" w:sz="4" w:space="0" w:color="auto"/>
              <w:bottom w:val="single" w:sz="4" w:space="0" w:color="auto"/>
            </w:tcBorders>
            <w:vAlign w:val="center"/>
          </w:tcPr>
          <w:p w14:paraId="774C56A6"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1,472</w:t>
            </w:r>
          </w:p>
        </w:tc>
        <w:tc>
          <w:tcPr>
            <w:tcW w:w="1418" w:type="dxa"/>
            <w:tcBorders>
              <w:top w:val="single" w:sz="4" w:space="0" w:color="auto"/>
              <w:bottom w:val="single" w:sz="4" w:space="0" w:color="auto"/>
            </w:tcBorders>
            <w:shd w:val="clear" w:color="auto" w:fill="auto"/>
            <w:noWrap/>
            <w:vAlign w:val="center"/>
          </w:tcPr>
          <w:p w14:paraId="46A52806"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2:26</w:t>
            </w:r>
          </w:p>
        </w:tc>
        <w:tc>
          <w:tcPr>
            <w:tcW w:w="1559" w:type="dxa"/>
            <w:tcBorders>
              <w:top w:val="single" w:sz="4" w:space="0" w:color="auto"/>
              <w:bottom w:val="single" w:sz="4" w:space="0" w:color="auto"/>
            </w:tcBorders>
            <w:shd w:val="clear" w:color="auto" w:fill="auto"/>
            <w:vAlign w:val="center"/>
          </w:tcPr>
          <w:p w14:paraId="48FD42A0" w14:textId="77777777" w:rsidR="007D380E" w:rsidRPr="006A555E" w:rsidRDefault="007D380E" w:rsidP="007D380E">
            <w:pPr>
              <w:spacing w:after="0" w:line="240" w:lineRule="auto"/>
              <w:jc w:val="center"/>
              <w:rPr>
                <w:rFonts w:ascii="David" w:hAnsi="David" w:cs="David"/>
              </w:rPr>
            </w:pPr>
            <w:r w:rsidRPr="006A555E">
              <w:rPr>
                <w:rFonts w:ascii="David" w:hAnsi="David" w:cs="David"/>
              </w:rPr>
              <w:t>-</w:t>
            </w:r>
          </w:p>
        </w:tc>
        <w:tc>
          <w:tcPr>
            <w:tcW w:w="850" w:type="dxa"/>
            <w:tcBorders>
              <w:top w:val="single" w:sz="4" w:space="0" w:color="auto"/>
              <w:bottom w:val="single" w:sz="4" w:space="0" w:color="auto"/>
            </w:tcBorders>
            <w:shd w:val="clear" w:color="auto" w:fill="auto"/>
            <w:vAlign w:val="center"/>
          </w:tcPr>
          <w:p w14:paraId="36F1C2CD" w14:textId="77777777" w:rsidR="007D380E" w:rsidRPr="006A555E" w:rsidRDefault="007D380E" w:rsidP="007D380E">
            <w:pPr>
              <w:spacing w:after="0" w:line="240" w:lineRule="auto"/>
              <w:jc w:val="center"/>
              <w:rPr>
                <w:rFonts w:cs="David"/>
              </w:rPr>
            </w:pPr>
            <w:r w:rsidRPr="006A555E">
              <w:rPr>
                <w:rFonts w:ascii="David" w:hAnsi="David" w:cs="David"/>
              </w:rPr>
              <w:t>-</w:t>
            </w:r>
          </w:p>
        </w:tc>
      </w:tr>
      <w:tr w:rsidR="007D380E" w:rsidRPr="006A555E" w14:paraId="07698B73"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4E0BFD19"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3CF98B36" w14:textId="77777777" w:rsidR="007D380E" w:rsidRPr="006A555E" w:rsidRDefault="007D380E" w:rsidP="007D380E">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D9D9D9"/>
            <w:vAlign w:val="center"/>
          </w:tcPr>
          <w:p w14:paraId="4C5E7C5F" w14:textId="77777777" w:rsidR="007D380E" w:rsidRPr="006A555E" w:rsidRDefault="007D380E" w:rsidP="007D380E">
            <w:pPr>
              <w:spacing w:after="0" w:line="240" w:lineRule="auto"/>
              <w:rPr>
                <w:rFonts w:ascii="David" w:hAnsi="David" w:cs="David"/>
                <w:rtl/>
              </w:rPr>
            </w:pPr>
            <w:r w:rsidRPr="006A555E">
              <w:rPr>
                <w:rFonts w:ascii="David" w:hAnsi="David" w:cs="David"/>
                <w:rtl/>
              </w:rPr>
              <w:t>ערעור שונה - אזרחי (עש"א)</w:t>
            </w:r>
          </w:p>
        </w:tc>
        <w:tc>
          <w:tcPr>
            <w:tcW w:w="1276" w:type="dxa"/>
            <w:tcBorders>
              <w:top w:val="single" w:sz="4" w:space="0" w:color="auto"/>
              <w:bottom w:val="single" w:sz="4" w:space="0" w:color="auto"/>
            </w:tcBorders>
            <w:shd w:val="clear" w:color="auto" w:fill="D9D9D9"/>
            <w:vAlign w:val="center"/>
          </w:tcPr>
          <w:p w14:paraId="5FD6159C"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1,325</w:t>
            </w:r>
          </w:p>
        </w:tc>
        <w:tc>
          <w:tcPr>
            <w:tcW w:w="1418" w:type="dxa"/>
            <w:tcBorders>
              <w:top w:val="single" w:sz="4" w:space="0" w:color="auto"/>
              <w:bottom w:val="single" w:sz="4" w:space="0" w:color="auto"/>
            </w:tcBorders>
            <w:shd w:val="clear" w:color="auto" w:fill="D9D9D9"/>
            <w:noWrap/>
            <w:vAlign w:val="center"/>
          </w:tcPr>
          <w:p w14:paraId="3307FE5B"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2:18</w:t>
            </w:r>
          </w:p>
        </w:tc>
        <w:tc>
          <w:tcPr>
            <w:tcW w:w="1559" w:type="dxa"/>
            <w:tcBorders>
              <w:top w:val="single" w:sz="4" w:space="0" w:color="auto"/>
              <w:bottom w:val="single" w:sz="4" w:space="0" w:color="auto"/>
            </w:tcBorders>
            <w:shd w:val="clear" w:color="auto" w:fill="D9D9D9"/>
            <w:vAlign w:val="center"/>
          </w:tcPr>
          <w:p w14:paraId="54B5A620" w14:textId="77777777" w:rsidR="007D380E" w:rsidRPr="006A555E" w:rsidRDefault="007D380E" w:rsidP="007D380E">
            <w:pPr>
              <w:spacing w:after="0" w:line="240" w:lineRule="auto"/>
              <w:jc w:val="center"/>
              <w:rPr>
                <w:rFonts w:ascii="David" w:hAnsi="David" w:cs="David"/>
              </w:rPr>
            </w:pPr>
            <w:r w:rsidRPr="006A555E">
              <w:rPr>
                <w:rFonts w:ascii="David" w:hAnsi="David" w:cs="David"/>
              </w:rPr>
              <w:t>2:28</w:t>
            </w:r>
          </w:p>
        </w:tc>
        <w:tc>
          <w:tcPr>
            <w:tcW w:w="850" w:type="dxa"/>
            <w:tcBorders>
              <w:top w:val="single" w:sz="4" w:space="0" w:color="auto"/>
              <w:bottom w:val="single" w:sz="4" w:space="0" w:color="auto"/>
            </w:tcBorders>
            <w:shd w:val="clear" w:color="auto" w:fill="D9D9D9"/>
            <w:vAlign w:val="center"/>
          </w:tcPr>
          <w:p w14:paraId="57B2F4E3" w14:textId="77777777" w:rsidR="007D380E" w:rsidRPr="006A555E" w:rsidRDefault="007D380E" w:rsidP="007D380E">
            <w:pPr>
              <w:spacing w:after="0" w:line="240" w:lineRule="auto"/>
              <w:jc w:val="center"/>
              <w:rPr>
                <w:rFonts w:ascii="David" w:hAnsi="David" w:cs="David"/>
              </w:rPr>
            </w:pPr>
            <w:r w:rsidRPr="006A555E">
              <w:rPr>
                <w:rFonts w:ascii="David" w:hAnsi="David" w:cs="David" w:hint="cs"/>
                <w:rtl/>
              </w:rPr>
              <w:t>0:10-</w:t>
            </w:r>
          </w:p>
        </w:tc>
      </w:tr>
      <w:tr w:rsidR="007D380E" w:rsidRPr="006A555E" w14:paraId="41214DB9"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77176C3A"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589FE8C7" w14:textId="77777777" w:rsidR="007D380E" w:rsidRPr="006A555E" w:rsidRDefault="007D380E" w:rsidP="007D380E">
            <w:pPr>
              <w:spacing w:after="0" w:line="240" w:lineRule="auto"/>
              <w:rPr>
                <w:rFonts w:ascii="David" w:hAnsi="David" w:cs="David"/>
                <w:rtl/>
              </w:rPr>
            </w:pPr>
            <w:r w:rsidRPr="006A555E">
              <w:rPr>
                <w:rFonts w:ascii="David" w:hAnsi="David" w:cs="David"/>
                <w:rtl/>
              </w:rPr>
              <w:t>פלילי</w:t>
            </w:r>
          </w:p>
        </w:tc>
        <w:tc>
          <w:tcPr>
            <w:tcW w:w="2262" w:type="dxa"/>
            <w:tcBorders>
              <w:top w:val="single" w:sz="4" w:space="0" w:color="auto"/>
              <w:bottom w:val="single" w:sz="4" w:space="0" w:color="auto"/>
            </w:tcBorders>
            <w:shd w:val="clear" w:color="auto" w:fill="auto"/>
            <w:vAlign w:val="center"/>
          </w:tcPr>
          <w:p w14:paraId="09B1EFF1" w14:textId="77777777" w:rsidR="007D380E" w:rsidRPr="006A555E" w:rsidRDefault="007D380E" w:rsidP="007D380E">
            <w:pPr>
              <w:spacing w:after="0" w:line="240" w:lineRule="auto"/>
              <w:rPr>
                <w:rFonts w:ascii="David" w:hAnsi="David" w:cs="David"/>
                <w:rtl/>
              </w:rPr>
            </w:pPr>
            <w:r w:rsidRPr="006A555E">
              <w:rPr>
                <w:rFonts w:ascii="David" w:hAnsi="David" w:cs="David"/>
                <w:rtl/>
              </w:rPr>
              <w:t>בקשה לעיון בחומר חקירה (בע"ח)</w:t>
            </w:r>
          </w:p>
        </w:tc>
        <w:tc>
          <w:tcPr>
            <w:tcW w:w="1276" w:type="dxa"/>
            <w:tcBorders>
              <w:top w:val="single" w:sz="4" w:space="0" w:color="auto"/>
              <w:bottom w:val="single" w:sz="4" w:space="0" w:color="auto"/>
            </w:tcBorders>
            <w:vAlign w:val="center"/>
          </w:tcPr>
          <w:p w14:paraId="0A4E9545"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776</w:t>
            </w:r>
          </w:p>
        </w:tc>
        <w:tc>
          <w:tcPr>
            <w:tcW w:w="1418" w:type="dxa"/>
            <w:tcBorders>
              <w:top w:val="single" w:sz="4" w:space="0" w:color="auto"/>
              <w:bottom w:val="single" w:sz="4" w:space="0" w:color="auto"/>
            </w:tcBorders>
            <w:shd w:val="clear" w:color="auto" w:fill="auto"/>
            <w:noWrap/>
            <w:vAlign w:val="center"/>
          </w:tcPr>
          <w:p w14:paraId="03C12BB2"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2:16</w:t>
            </w:r>
          </w:p>
        </w:tc>
        <w:tc>
          <w:tcPr>
            <w:tcW w:w="1559" w:type="dxa"/>
            <w:tcBorders>
              <w:top w:val="single" w:sz="4" w:space="0" w:color="auto"/>
              <w:bottom w:val="single" w:sz="4" w:space="0" w:color="auto"/>
            </w:tcBorders>
            <w:shd w:val="clear" w:color="auto" w:fill="auto"/>
            <w:vAlign w:val="center"/>
          </w:tcPr>
          <w:p w14:paraId="24B604E9" w14:textId="77777777" w:rsidR="007D380E" w:rsidRPr="006A555E" w:rsidRDefault="007D380E" w:rsidP="007D380E">
            <w:pPr>
              <w:spacing w:after="0" w:line="240" w:lineRule="auto"/>
              <w:jc w:val="center"/>
              <w:rPr>
                <w:rFonts w:cs="David"/>
                <w:color w:val="000000"/>
                <w:rtl/>
              </w:rPr>
            </w:pPr>
            <w:r w:rsidRPr="006A555E">
              <w:rPr>
                <w:rFonts w:ascii="David" w:hAnsi="David" w:cs="David"/>
              </w:rPr>
              <w:t>-</w:t>
            </w:r>
          </w:p>
        </w:tc>
        <w:tc>
          <w:tcPr>
            <w:tcW w:w="850" w:type="dxa"/>
            <w:tcBorders>
              <w:top w:val="single" w:sz="4" w:space="0" w:color="auto"/>
              <w:bottom w:val="single" w:sz="4" w:space="0" w:color="auto"/>
            </w:tcBorders>
            <w:shd w:val="clear" w:color="auto" w:fill="auto"/>
            <w:vAlign w:val="center"/>
          </w:tcPr>
          <w:p w14:paraId="75E72FCA" w14:textId="77777777" w:rsidR="007D380E" w:rsidRPr="006A555E" w:rsidRDefault="007D380E" w:rsidP="007D380E">
            <w:pPr>
              <w:spacing w:after="0" w:line="240" w:lineRule="auto"/>
              <w:jc w:val="center"/>
              <w:rPr>
                <w:rFonts w:ascii="David" w:hAnsi="David" w:cs="David"/>
                <w:color w:val="000000"/>
                <w:rtl/>
              </w:rPr>
            </w:pPr>
            <w:r w:rsidRPr="006A555E">
              <w:rPr>
                <w:rFonts w:ascii="David" w:hAnsi="David" w:cs="David"/>
              </w:rPr>
              <w:t>-</w:t>
            </w:r>
          </w:p>
        </w:tc>
      </w:tr>
      <w:tr w:rsidR="007D380E" w:rsidRPr="006A555E" w14:paraId="466EFBAA"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35AF7711"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27779E3F" w14:textId="77777777" w:rsidR="007D380E" w:rsidRPr="006A555E" w:rsidRDefault="007D380E" w:rsidP="007D380E">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D9D9D9"/>
            <w:vAlign w:val="center"/>
          </w:tcPr>
          <w:p w14:paraId="32FE8CE9" w14:textId="77777777" w:rsidR="007D380E" w:rsidRPr="006A555E" w:rsidRDefault="007D380E" w:rsidP="007D380E">
            <w:pPr>
              <w:spacing w:after="0" w:line="240" w:lineRule="auto"/>
              <w:rPr>
                <w:rFonts w:ascii="David" w:hAnsi="David" w:cs="David"/>
                <w:rtl/>
              </w:rPr>
            </w:pPr>
            <w:r w:rsidRPr="006A555E">
              <w:rPr>
                <w:rFonts w:ascii="David" w:hAnsi="David" w:cs="David"/>
                <w:rtl/>
              </w:rPr>
              <w:t>תיק אזרחי בסדר דין מהיר</w:t>
            </w:r>
            <w:r w:rsidRPr="006A555E">
              <w:rPr>
                <w:rFonts w:ascii="David" w:hAnsi="David" w:cs="David" w:hint="cs"/>
                <w:rtl/>
              </w:rPr>
              <w:t xml:space="preserve"> (תא"מ) </w:t>
            </w:r>
            <w:r w:rsidRPr="006A555E">
              <w:rPr>
                <w:rFonts w:ascii="David" w:hAnsi="David" w:cs="David"/>
                <w:rtl/>
              </w:rPr>
              <w:t>-</w:t>
            </w:r>
            <w:r w:rsidRPr="006A555E">
              <w:rPr>
                <w:rFonts w:ascii="David" w:hAnsi="David" w:cs="David" w:hint="cs"/>
                <w:rtl/>
              </w:rPr>
              <w:t xml:space="preserve"> אחר</w:t>
            </w:r>
          </w:p>
        </w:tc>
        <w:tc>
          <w:tcPr>
            <w:tcW w:w="1276" w:type="dxa"/>
            <w:tcBorders>
              <w:top w:val="single" w:sz="4" w:space="0" w:color="auto"/>
              <w:bottom w:val="single" w:sz="4" w:space="0" w:color="auto"/>
            </w:tcBorders>
            <w:shd w:val="clear" w:color="auto" w:fill="D9D9D9"/>
            <w:vAlign w:val="center"/>
          </w:tcPr>
          <w:p w14:paraId="6A709F0F"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36,937</w:t>
            </w:r>
          </w:p>
        </w:tc>
        <w:tc>
          <w:tcPr>
            <w:tcW w:w="1418" w:type="dxa"/>
            <w:tcBorders>
              <w:top w:val="single" w:sz="4" w:space="0" w:color="auto"/>
              <w:bottom w:val="single" w:sz="4" w:space="0" w:color="auto"/>
            </w:tcBorders>
            <w:shd w:val="clear" w:color="auto" w:fill="D9D9D9"/>
            <w:noWrap/>
            <w:vAlign w:val="center"/>
          </w:tcPr>
          <w:p w14:paraId="7D92E92C"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2:10</w:t>
            </w:r>
          </w:p>
        </w:tc>
        <w:tc>
          <w:tcPr>
            <w:tcW w:w="1559" w:type="dxa"/>
            <w:tcBorders>
              <w:top w:val="single" w:sz="4" w:space="0" w:color="auto"/>
              <w:bottom w:val="single" w:sz="4" w:space="0" w:color="auto"/>
            </w:tcBorders>
            <w:shd w:val="clear" w:color="auto" w:fill="D9D9D9"/>
            <w:vAlign w:val="center"/>
          </w:tcPr>
          <w:p w14:paraId="08083E50" w14:textId="77777777" w:rsidR="007D380E" w:rsidRPr="006A555E" w:rsidRDefault="007D380E" w:rsidP="007D380E">
            <w:pPr>
              <w:spacing w:after="0" w:line="240" w:lineRule="auto"/>
              <w:jc w:val="center"/>
              <w:rPr>
                <w:rFonts w:ascii="David" w:hAnsi="David" w:cs="David"/>
              </w:rPr>
            </w:pPr>
            <w:r w:rsidRPr="006A555E">
              <w:rPr>
                <w:rFonts w:ascii="David" w:hAnsi="David" w:cs="David" w:hint="cs"/>
                <w:rtl/>
              </w:rPr>
              <w:t>-</w:t>
            </w:r>
          </w:p>
        </w:tc>
        <w:tc>
          <w:tcPr>
            <w:tcW w:w="850" w:type="dxa"/>
            <w:tcBorders>
              <w:top w:val="single" w:sz="4" w:space="0" w:color="auto"/>
              <w:bottom w:val="single" w:sz="4" w:space="0" w:color="auto"/>
            </w:tcBorders>
            <w:shd w:val="clear" w:color="auto" w:fill="D9D9D9"/>
            <w:vAlign w:val="center"/>
          </w:tcPr>
          <w:p w14:paraId="3F4B4A52" w14:textId="77777777" w:rsidR="007D380E" w:rsidRPr="006A555E" w:rsidRDefault="007D380E" w:rsidP="007D380E">
            <w:pPr>
              <w:spacing w:after="0" w:line="240" w:lineRule="auto"/>
              <w:jc w:val="center"/>
              <w:rPr>
                <w:rFonts w:ascii="David" w:hAnsi="David" w:cs="David"/>
                <w:rtl/>
              </w:rPr>
            </w:pPr>
            <w:r w:rsidRPr="006A555E">
              <w:rPr>
                <w:rFonts w:ascii="David" w:hAnsi="David" w:cs="David" w:hint="cs"/>
                <w:rtl/>
              </w:rPr>
              <w:t>-</w:t>
            </w:r>
          </w:p>
        </w:tc>
      </w:tr>
      <w:tr w:rsidR="007D380E" w:rsidRPr="006A555E" w14:paraId="2731CDDD"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2AB9745D"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27B1D1D4" w14:textId="77777777" w:rsidR="007D380E" w:rsidRPr="006A555E" w:rsidRDefault="007D380E" w:rsidP="007D380E">
            <w:pPr>
              <w:spacing w:after="0" w:line="240" w:lineRule="auto"/>
              <w:rPr>
                <w:rFonts w:ascii="David" w:hAnsi="David" w:cs="David"/>
                <w:rtl/>
              </w:rPr>
            </w:pPr>
            <w:r w:rsidRPr="006A555E">
              <w:rPr>
                <w:rFonts w:ascii="David" w:hAnsi="David" w:cs="David"/>
                <w:rtl/>
              </w:rPr>
              <w:t>עניינים מקומיים</w:t>
            </w:r>
          </w:p>
        </w:tc>
        <w:tc>
          <w:tcPr>
            <w:tcW w:w="2262" w:type="dxa"/>
            <w:tcBorders>
              <w:top w:val="single" w:sz="4" w:space="0" w:color="auto"/>
              <w:bottom w:val="single" w:sz="4" w:space="0" w:color="auto"/>
            </w:tcBorders>
            <w:shd w:val="clear" w:color="auto" w:fill="auto"/>
            <w:vAlign w:val="center"/>
          </w:tcPr>
          <w:p w14:paraId="6BCB74C6" w14:textId="77777777" w:rsidR="007D380E" w:rsidRPr="006A555E" w:rsidRDefault="007D380E" w:rsidP="007D380E">
            <w:pPr>
              <w:spacing w:after="0" w:line="240" w:lineRule="auto"/>
              <w:rPr>
                <w:rFonts w:ascii="David" w:hAnsi="David" w:cs="David"/>
                <w:rtl/>
              </w:rPr>
            </w:pPr>
            <w:r w:rsidRPr="006A555E">
              <w:rPr>
                <w:rFonts w:ascii="David" w:hAnsi="David" w:cs="David"/>
                <w:rtl/>
              </w:rPr>
              <w:t>רישוי עסקים (רע"ס)</w:t>
            </w:r>
            <w:r w:rsidRPr="006A555E">
              <w:rPr>
                <w:rFonts w:ascii="David" w:hAnsi="David" w:cs="David" w:hint="cs"/>
                <w:rtl/>
              </w:rPr>
              <w:t>*</w:t>
            </w:r>
          </w:p>
        </w:tc>
        <w:tc>
          <w:tcPr>
            <w:tcW w:w="1276" w:type="dxa"/>
            <w:tcBorders>
              <w:top w:val="single" w:sz="4" w:space="0" w:color="auto"/>
              <w:bottom w:val="single" w:sz="4" w:space="0" w:color="auto"/>
            </w:tcBorders>
            <w:vAlign w:val="center"/>
          </w:tcPr>
          <w:p w14:paraId="774BCA0F"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2,428</w:t>
            </w:r>
          </w:p>
        </w:tc>
        <w:tc>
          <w:tcPr>
            <w:tcW w:w="1418" w:type="dxa"/>
            <w:tcBorders>
              <w:top w:val="single" w:sz="4" w:space="0" w:color="auto"/>
              <w:bottom w:val="single" w:sz="4" w:space="0" w:color="auto"/>
            </w:tcBorders>
            <w:shd w:val="clear" w:color="auto" w:fill="auto"/>
            <w:noWrap/>
            <w:vAlign w:val="center"/>
          </w:tcPr>
          <w:p w14:paraId="3193A4A6" w14:textId="77777777" w:rsidR="007D380E" w:rsidRPr="006A555E" w:rsidRDefault="007D380E" w:rsidP="007D380E">
            <w:pPr>
              <w:spacing w:after="0" w:line="240" w:lineRule="auto"/>
              <w:jc w:val="center"/>
              <w:rPr>
                <w:rFonts w:ascii="David" w:hAnsi="David" w:cs="David"/>
                <w:b/>
                <w:bCs/>
              </w:rPr>
            </w:pPr>
            <w:r w:rsidRPr="006A555E">
              <w:rPr>
                <w:rFonts w:ascii="David" w:hAnsi="David" w:cs="David" w:hint="cs"/>
                <w:b/>
                <w:bCs/>
                <w:rtl/>
              </w:rPr>
              <w:t>2:13</w:t>
            </w:r>
          </w:p>
        </w:tc>
        <w:tc>
          <w:tcPr>
            <w:tcW w:w="1559" w:type="dxa"/>
            <w:tcBorders>
              <w:top w:val="single" w:sz="4" w:space="0" w:color="auto"/>
              <w:bottom w:val="single" w:sz="4" w:space="0" w:color="auto"/>
            </w:tcBorders>
            <w:shd w:val="clear" w:color="auto" w:fill="auto"/>
            <w:vAlign w:val="center"/>
          </w:tcPr>
          <w:p w14:paraId="0820503F" w14:textId="77777777" w:rsidR="007D380E" w:rsidRPr="006A555E" w:rsidRDefault="007D380E" w:rsidP="007D380E">
            <w:pPr>
              <w:spacing w:after="0" w:line="240" w:lineRule="auto"/>
              <w:jc w:val="center"/>
              <w:rPr>
                <w:rFonts w:ascii="David" w:hAnsi="David" w:cs="David"/>
              </w:rPr>
            </w:pPr>
            <w:r w:rsidRPr="006A555E">
              <w:rPr>
                <w:rFonts w:ascii="David" w:hAnsi="David" w:cs="David"/>
              </w:rPr>
              <w:t>-</w:t>
            </w:r>
          </w:p>
        </w:tc>
        <w:tc>
          <w:tcPr>
            <w:tcW w:w="850" w:type="dxa"/>
            <w:tcBorders>
              <w:top w:val="single" w:sz="4" w:space="0" w:color="auto"/>
              <w:bottom w:val="single" w:sz="4" w:space="0" w:color="auto"/>
            </w:tcBorders>
            <w:shd w:val="clear" w:color="auto" w:fill="auto"/>
            <w:vAlign w:val="center"/>
          </w:tcPr>
          <w:p w14:paraId="5AB32F7E" w14:textId="77777777" w:rsidR="007D380E" w:rsidRPr="006A555E" w:rsidRDefault="007D380E" w:rsidP="007D380E">
            <w:pPr>
              <w:spacing w:after="0" w:line="240" w:lineRule="auto"/>
              <w:jc w:val="center"/>
              <w:rPr>
                <w:rFonts w:ascii="David" w:hAnsi="David" w:cs="David"/>
              </w:rPr>
            </w:pPr>
            <w:r w:rsidRPr="006A555E">
              <w:rPr>
                <w:rFonts w:ascii="David" w:hAnsi="David" w:cs="David"/>
              </w:rPr>
              <w:t>-</w:t>
            </w:r>
          </w:p>
        </w:tc>
      </w:tr>
      <w:tr w:rsidR="007D380E" w:rsidRPr="006A555E" w14:paraId="7EA6332E"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3CB37000"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4ADC8C3D" w14:textId="77777777" w:rsidR="007D380E" w:rsidRPr="006A555E" w:rsidRDefault="007D380E" w:rsidP="007D380E">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D9D9D9"/>
            <w:vAlign w:val="center"/>
          </w:tcPr>
          <w:p w14:paraId="09FCCAA4" w14:textId="77777777" w:rsidR="007D380E" w:rsidRPr="006A555E" w:rsidRDefault="007D380E" w:rsidP="007D380E">
            <w:pPr>
              <w:spacing w:after="0" w:line="240" w:lineRule="auto"/>
              <w:rPr>
                <w:rFonts w:ascii="David" w:hAnsi="David" w:cs="David"/>
                <w:rtl/>
              </w:rPr>
            </w:pPr>
            <w:r w:rsidRPr="006A555E">
              <w:rPr>
                <w:rFonts w:ascii="David" w:hAnsi="David" w:cs="David"/>
                <w:rtl/>
              </w:rPr>
              <w:t>המרצת פתיחה בוררות (הפ"ב)</w:t>
            </w:r>
            <w:r w:rsidRPr="006A555E">
              <w:rPr>
                <w:rStyle w:val="a6"/>
                <w:rFonts w:ascii="David" w:hAnsi="David" w:cs="David"/>
                <w:rtl/>
              </w:rPr>
              <w:footnoteReference w:id="27"/>
            </w:r>
          </w:p>
        </w:tc>
        <w:tc>
          <w:tcPr>
            <w:tcW w:w="1276" w:type="dxa"/>
            <w:tcBorders>
              <w:top w:val="single" w:sz="4" w:space="0" w:color="auto"/>
              <w:bottom w:val="single" w:sz="4" w:space="0" w:color="auto"/>
            </w:tcBorders>
            <w:shd w:val="clear" w:color="auto" w:fill="D9D9D9"/>
            <w:vAlign w:val="center"/>
          </w:tcPr>
          <w:p w14:paraId="41F6BE2F"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421</w:t>
            </w:r>
          </w:p>
        </w:tc>
        <w:tc>
          <w:tcPr>
            <w:tcW w:w="1418" w:type="dxa"/>
            <w:tcBorders>
              <w:top w:val="single" w:sz="4" w:space="0" w:color="auto"/>
              <w:bottom w:val="single" w:sz="4" w:space="0" w:color="auto"/>
            </w:tcBorders>
            <w:shd w:val="clear" w:color="auto" w:fill="D9D9D9"/>
            <w:noWrap/>
            <w:vAlign w:val="center"/>
          </w:tcPr>
          <w:p w14:paraId="31EAEB4A"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2:06</w:t>
            </w:r>
          </w:p>
        </w:tc>
        <w:tc>
          <w:tcPr>
            <w:tcW w:w="1559" w:type="dxa"/>
            <w:tcBorders>
              <w:top w:val="single" w:sz="4" w:space="0" w:color="auto"/>
              <w:bottom w:val="single" w:sz="4" w:space="0" w:color="auto"/>
            </w:tcBorders>
            <w:shd w:val="clear" w:color="auto" w:fill="D9D9D9"/>
            <w:vAlign w:val="center"/>
          </w:tcPr>
          <w:p w14:paraId="1C514409" w14:textId="77777777" w:rsidR="007D380E" w:rsidRPr="006A555E" w:rsidRDefault="007D380E" w:rsidP="007D380E">
            <w:pPr>
              <w:spacing w:after="0" w:line="240" w:lineRule="auto"/>
              <w:jc w:val="center"/>
              <w:rPr>
                <w:rFonts w:ascii="David" w:hAnsi="David" w:cs="David"/>
              </w:rPr>
            </w:pPr>
            <w:r w:rsidRPr="006A555E">
              <w:rPr>
                <w:rFonts w:ascii="David" w:hAnsi="David" w:cs="David"/>
              </w:rPr>
              <w:t>-</w:t>
            </w:r>
          </w:p>
        </w:tc>
        <w:tc>
          <w:tcPr>
            <w:tcW w:w="850" w:type="dxa"/>
            <w:tcBorders>
              <w:top w:val="single" w:sz="4" w:space="0" w:color="auto"/>
              <w:bottom w:val="single" w:sz="4" w:space="0" w:color="auto"/>
            </w:tcBorders>
            <w:shd w:val="clear" w:color="auto" w:fill="D9D9D9"/>
            <w:vAlign w:val="center"/>
          </w:tcPr>
          <w:p w14:paraId="74ABD20D" w14:textId="77777777" w:rsidR="007D380E" w:rsidRPr="006A555E" w:rsidRDefault="007D380E" w:rsidP="007D380E">
            <w:pPr>
              <w:spacing w:after="0" w:line="240" w:lineRule="auto"/>
              <w:jc w:val="center"/>
              <w:rPr>
                <w:rFonts w:ascii="David" w:hAnsi="David" w:cs="David"/>
              </w:rPr>
            </w:pPr>
            <w:r w:rsidRPr="006A555E">
              <w:rPr>
                <w:rFonts w:ascii="David" w:hAnsi="David" w:cs="David"/>
              </w:rPr>
              <w:t>-</w:t>
            </w:r>
          </w:p>
        </w:tc>
      </w:tr>
      <w:tr w:rsidR="007D380E" w:rsidRPr="006A555E" w14:paraId="205BC8D6"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490672A8"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1769761E" w14:textId="77777777" w:rsidR="007D380E" w:rsidRPr="006A555E" w:rsidRDefault="007D380E" w:rsidP="007D380E">
            <w:pPr>
              <w:spacing w:after="0" w:line="240" w:lineRule="auto"/>
              <w:rPr>
                <w:rFonts w:ascii="David" w:hAnsi="David" w:cs="David"/>
                <w:rtl/>
              </w:rPr>
            </w:pPr>
            <w:r w:rsidRPr="006A555E">
              <w:rPr>
                <w:rFonts w:ascii="David" w:hAnsi="David" w:cs="David"/>
                <w:rtl/>
              </w:rPr>
              <w:t>פלילי</w:t>
            </w:r>
          </w:p>
        </w:tc>
        <w:tc>
          <w:tcPr>
            <w:tcW w:w="2262" w:type="dxa"/>
            <w:tcBorders>
              <w:top w:val="single" w:sz="4" w:space="0" w:color="auto"/>
              <w:bottom w:val="single" w:sz="4" w:space="0" w:color="auto"/>
            </w:tcBorders>
            <w:shd w:val="clear" w:color="auto" w:fill="auto"/>
            <w:vAlign w:val="center"/>
          </w:tcPr>
          <w:p w14:paraId="43E523A1" w14:textId="77777777" w:rsidR="007D380E" w:rsidRPr="006A555E" w:rsidRDefault="007D380E" w:rsidP="007D380E">
            <w:pPr>
              <w:spacing w:after="0" w:line="240" w:lineRule="auto"/>
              <w:rPr>
                <w:rFonts w:ascii="David" w:hAnsi="David" w:cs="David"/>
                <w:rtl/>
              </w:rPr>
            </w:pPr>
            <w:r w:rsidRPr="006A555E">
              <w:rPr>
                <w:rFonts w:ascii="David" w:hAnsi="David" w:cs="David"/>
                <w:rtl/>
              </w:rPr>
              <w:t>איסור פרסום (פ"ר)</w:t>
            </w:r>
          </w:p>
        </w:tc>
        <w:tc>
          <w:tcPr>
            <w:tcW w:w="1276" w:type="dxa"/>
            <w:tcBorders>
              <w:top w:val="single" w:sz="4" w:space="0" w:color="auto"/>
              <w:bottom w:val="single" w:sz="4" w:space="0" w:color="auto"/>
            </w:tcBorders>
            <w:vAlign w:val="bottom"/>
          </w:tcPr>
          <w:p w14:paraId="4894C34F" w14:textId="77777777" w:rsidR="007D380E" w:rsidRPr="006A555E" w:rsidRDefault="007D380E" w:rsidP="007D380E">
            <w:pPr>
              <w:bidi w:val="0"/>
              <w:spacing w:after="0" w:line="240" w:lineRule="auto"/>
              <w:jc w:val="center"/>
              <w:rPr>
                <w:rFonts w:asciiTheme="minorHAnsi" w:hAnsiTheme="minorHAnsi" w:cs="David"/>
              </w:rPr>
            </w:pPr>
            <w:r w:rsidRPr="006A555E">
              <w:rPr>
                <w:rFonts w:ascii="David" w:hAnsi="David" w:cs="David"/>
              </w:rPr>
              <w:t>475</w:t>
            </w:r>
          </w:p>
        </w:tc>
        <w:tc>
          <w:tcPr>
            <w:tcW w:w="1418" w:type="dxa"/>
            <w:tcBorders>
              <w:top w:val="single" w:sz="4" w:space="0" w:color="auto"/>
              <w:bottom w:val="single" w:sz="4" w:space="0" w:color="auto"/>
            </w:tcBorders>
            <w:shd w:val="clear" w:color="auto" w:fill="auto"/>
            <w:noWrap/>
            <w:vAlign w:val="center"/>
          </w:tcPr>
          <w:p w14:paraId="0E159627"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1:36</w:t>
            </w:r>
          </w:p>
        </w:tc>
        <w:tc>
          <w:tcPr>
            <w:tcW w:w="1559" w:type="dxa"/>
            <w:tcBorders>
              <w:top w:val="single" w:sz="4" w:space="0" w:color="auto"/>
              <w:bottom w:val="single" w:sz="4" w:space="0" w:color="auto"/>
            </w:tcBorders>
            <w:shd w:val="clear" w:color="auto" w:fill="auto"/>
            <w:vAlign w:val="center"/>
          </w:tcPr>
          <w:p w14:paraId="6D2E1195" w14:textId="77777777" w:rsidR="007D380E" w:rsidRPr="006A555E" w:rsidRDefault="007D380E" w:rsidP="007D380E">
            <w:pPr>
              <w:spacing w:after="0" w:line="240" w:lineRule="auto"/>
              <w:jc w:val="center"/>
              <w:rPr>
                <w:rFonts w:ascii="David" w:hAnsi="David" w:cs="David"/>
              </w:rPr>
            </w:pPr>
            <w:r w:rsidRPr="006A555E">
              <w:rPr>
                <w:rFonts w:ascii="David" w:hAnsi="David" w:cs="David"/>
              </w:rPr>
              <w:t>-</w:t>
            </w:r>
          </w:p>
        </w:tc>
        <w:tc>
          <w:tcPr>
            <w:tcW w:w="850" w:type="dxa"/>
            <w:tcBorders>
              <w:top w:val="single" w:sz="4" w:space="0" w:color="auto"/>
              <w:bottom w:val="single" w:sz="4" w:space="0" w:color="auto"/>
            </w:tcBorders>
            <w:shd w:val="clear" w:color="auto" w:fill="auto"/>
            <w:vAlign w:val="center"/>
          </w:tcPr>
          <w:p w14:paraId="1B6582E8" w14:textId="77777777" w:rsidR="007D380E" w:rsidRPr="006A555E" w:rsidRDefault="007D380E" w:rsidP="007D380E">
            <w:pPr>
              <w:spacing w:after="0" w:line="240" w:lineRule="auto"/>
              <w:jc w:val="center"/>
              <w:rPr>
                <w:rFonts w:ascii="David" w:hAnsi="David" w:cs="David"/>
              </w:rPr>
            </w:pPr>
            <w:r w:rsidRPr="006A555E">
              <w:rPr>
                <w:rFonts w:ascii="David" w:hAnsi="David" w:cs="David"/>
              </w:rPr>
              <w:t>-</w:t>
            </w:r>
          </w:p>
        </w:tc>
      </w:tr>
      <w:tr w:rsidR="007D380E" w:rsidRPr="006A555E" w14:paraId="084DFC13"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7C348950" w14:textId="77777777" w:rsidR="007D380E" w:rsidRPr="006A555E" w:rsidRDefault="007D380E" w:rsidP="007D380E">
            <w:pPr>
              <w:spacing w:after="0" w:line="240" w:lineRule="auto"/>
              <w:rPr>
                <w:rFonts w:ascii="David" w:hAnsi="David" w:cs="David"/>
                <w:rtl/>
              </w:rPr>
            </w:pPr>
            <w:r w:rsidRPr="006A555E">
              <w:rPr>
                <w:rFonts w:ascii="David" w:hAnsi="David" w:cs="David" w:hint="cs"/>
                <w:rtl/>
              </w:rPr>
              <w:t>שלום</w:t>
            </w:r>
          </w:p>
        </w:tc>
        <w:tc>
          <w:tcPr>
            <w:tcW w:w="992" w:type="dxa"/>
            <w:tcBorders>
              <w:top w:val="single" w:sz="4" w:space="0" w:color="auto"/>
              <w:bottom w:val="single" w:sz="4" w:space="0" w:color="auto"/>
            </w:tcBorders>
            <w:shd w:val="clear" w:color="auto" w:fill="D9D9D9"/>
            <w:noWrap/>
            <w:vAlign w:val="center"/>
          </w:tcPr>
          <w:p w14:paraId="0684BE86" w14:textId="77777777" w:rsidR="007D380E" w:rsidRPr="006A555E" w:rsidRDefault="007D380E" w:rsidP="007D380E">
            <w:pPr>
              <w:spacing w:after="0" w:line="240" w:lineRule="auto"/>
              <w:rPr>
                <w:rFonts w:ascii="David" w:hAnsi="David" w:cs="David"/>
                <w:rtl/>
              </w:rPr>
            </w:pPr>
            <w:r w:rsidRPr="006A555E">
              <w:rPr>
                <w:rFonts w:ascii="David" w:hAnsi="David" w:cs="David" w:hint="cs"/>
                <w:rtl/>
              </w:rPr>
              <w:t>אזרחי</w:t>
            </w:r>
          </w:p>
        </w:tc>
        <w:tc>
          <w:tcPr>
            <w:tcW w:w="2262" w:type="dxa"/>
            <w:tcBorders>
              <w:top w:val="single" w:sz="4" w:space="0" w:color="auto"/>
              <w:bottom w:val="single" w:sz="4" w:space="0" w:color="auto"/>
            </w:tcBorders>
            <w:shd w:val="clear" w:color="auto" w:fill="D9D9D9"/>
            <w:vAlign w:val="center"/>
          </w:tcPr>
          <w:p w14:paraId="2D8DC2EB" w14:textId="77777777" w:rsidR="007D380E" w:rsidRPr="006A555E" w:rsidRDefault="007D380E" w:rsidP="007D380E">
            <w:pPr>
              <w:spacing w:after="0" w:line="240" w:lineRule="auto"/>
              <w:rPr>
                <w:rFonts w:ascii="David" w:hAnsi="David" w:cs="David"/>
                <w:rtl/>
              </w:rPr>
            </w:pPr>
            <w:r w:rsidRPr="006A555E">
              <w:rPr>
                <w:rFonts w:ascii="David" w:hAnsi="David" w:cs="David"/>
                <w:rtl/>
              </w:rPr>
              <w:t>תיק אזרחי בסדר דין מהיר</w:t>
            </w:r>
            <w:r w:rsidRPr="006A555E">
              <w:rPr>
                <w:rFonts w:ascii="David" w:hAnsi="David" w:cs="David" w:hint="cs"/>
                <w:rtl/>
              </w:rPr>
              <w:t xml:space="preserve"> (תא"מ) - </w:t>
            </w:r>
            <w:r w:rsidRPr="006A555E">
              <w:rPr>
                <w:rFonts w:ascii="David" w:hAnsi="David" w:cs="David" w:hint="cs"/>
                <w:b/>
                <w:bCs/>
                <w:rtl/>
              </w:rPr>
              <w:t>משוקלל</w:t>
            </w:r>
          </w:p>
        </w:tc>
        <w:tc>
          <w:tcPr>
            <w:tcW w:w="1276" w:type="dxa"/>
            <w:tcBorders>
              <w:top w:val="single" w:sz="4" w:space="0" w:color="auto"/>
              <w:bottom w:val="single" w:sz="4" w:space="0" w:color="auto"/>
            </w:tcBorders>
            <w:shd w:val="clear" w:color="auto" w:fill="D9D9D9"/>
            <w:vAlign w:val="center"/>
          </w:tcPr>
          <w:p w14:paraId="327B799A"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84,454</w:t>
            </w:r>
          </w:p>
        </w:tc>
        <w:tc>
          <w:tcPr>
            <w:tcW w:w="1418" w:type="dxa"/>
            <w:tcBorders>
              <w:top w:val="single" w:sz="4" w:space="0" w:color="auto"/>
              <w:bottom w:val="single" w:sz="4" w:space="0" w:color="auto"/>
            </w:tcBorders>
            <w:shd w:val="clear" w:color="auto" w:fill="D9D9D9"/>
            <w:noWrap/>
            <w:vAlign w:val="center"/>
          </w:tcPr>
          <w:p w14:paraId="45F4E6AE"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1:29</w:t>
            </w:r>
          </w:p>
        </w:tc>
        <w:tc>
          <w:tcPr>
            <w:tcW w:w="1559" w:type="dxa"/>
            <w:tcBorders>
              <w:top w:val="single" w:sz="4" w:space="0" w:color="auto"/>
              <w:bottom w:val="single" w:sz="4" w:space="0" w:color="auto"/>
            </w:tcBorders>
            <w:shd w:val="clear" w:color="auto" w:fill="D9D9D9"/>
            <w:vAlign w:val="center"/>
          </w:tcPr>
          <w:p w14:paraId="5F4283F7" w14:textId="77777777" w:rsidR="007D380E" w:rsidRPr="006A555E" w:rsidRDefault="007D380E" w:rsidP="007D380E">
            <w:pPr>
              <w:spacing w:after="0" w:line="240" w:lineRule="auto"/>
              <w:jc w:val="center"/>
              <w:rPr>
                <w:rFonts w:ascii="David" w:hAnsi="David" w:cs="David"/>
              </w:rPr>
            </w:pPr>
            <w:r w:rsidRPr="006A555E">
              <w:rPr>
                <w:rFonts w:ascii="David" w:hAnsi="David" w:cs="David" w:hint="cs"/>
                <w:rtl/>
              </w:rPr>
              <w:t>1:35</w:t>
            </w:r>
          </w:p>
        </w:tc>
        <w:tc>
          <w:tcPr>
            <w:tcW w:w="850" w:type="dxa"/>
            <w:tcBorders>
              <w:top w:val="single" w:sz="4" w:space="0" w:color="auto"/>
              <w:bottom w:val="single" w:sz="4" w:space="0" w:color="auto"/>
            </w:tcBorders>
            <w:shd w:val="clear" w:color="auto" w:fill="D9D9D9"/>
            <w:vAlign w:val="center"/>
          </w:tcPr>
          <w:p w14:paraId="15CD8402" w14:textId="77777777" w:rsidR="007D380E" w:rsidRPr="006A555E" w:rsidRDefault="007D380E" w:rsidP="007D380E">
            <w:pPr>
              <w:spacing w:after="0" w:line="240" w:lineRule="auto"/>
              <w:jc w:val="center"/>
              <w:rPr>
                <w:rFonts w:ascii="David" w:hAnsi="David" w:cs="David"/>
              </w:rPr>
            </w:pPr>
            <w:r w:rsidRPr="006A555E">
              <w:rPr>
                <w:rFonts w:ascii="David" w:hAnsi="David" w:cs="David" w:hint="cs"/>
                <w:rtl/>
              </w:rPr>
              <w:t>0:06-</w:t>
            </w:r>
          </w:p>
        </w:tc>
      </w:tr>
      <w:tr w:rsidR="007D380E" w:rsidRPr="006A555E" w14:paraId="0B91E3CB"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32CC12FC"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5A011C38" w14:textId="77777777" w:rsidR="007D380E" w:rsidRPr="006A555E" w:rsidRDefault="007D380E" w:rsidP="007D380E">
            <w:pPr>
              <w:spacing w:after="0" w:line="240" w:lineRule="auto"/>
              <w:rPr>
                <w:rFonts w:ascii="David" w:hAnsi="David" w:cs="David"/>
                <w:rtl/>
              </w:rPr>
            </w:pPr>
            <w:r w:rsidRPr="006A555E">
              <w:rPr>
                <w:rFonts w:ascii="David" w:hAnsi="David" w:cs="David"/>
                <w:rtl/>
              </w:rPr>
              <w:t>פלילי</w:t>
            </w:r>
          </w:p>
        </w:tc>
        <w:tc>
          <w:tcPr>
            <w:tcW w:w="2262" w:type="dxa"/>
            <w:tcBorders>
              <w:top w:val="single" w:sz="4" w:space="0" w:color="auto"/>
              <w:bottom w:val="single" w:sz="4" w:space="0" w:color="auto"/>
            </w:tcBorders>
            <w:shd w:val="clear" w:color="auto" w:fill="auto"/>
            <w:vAlign w:val="center"/>
          </w:tcPr>
          <w:p w14:paraId="77A485E7" w14:textId="77777777" w:rsidR="007D380E" w:rsidRPr="006A555E" w:rsidRDefault="007D380E" w:rsidP="007D380E">
            <w:pPr>
              <w:spacing w:after="0" w:line="240" w:lineRule="auto"/>
              <w:rPr>
                <w:rFonts w:ascii="David" w:hAnsi="David" w:cs="David"/>
                <w:rtl/>
              </w:rPr>
            </w:pPr>
            <w:r w:rsidRPr="006A555E">
              <w:rPr>
                <w:rFonts w:ascii="David" w:hAnsi="David" w:cs="David"/>
                <w:rtl/>
              </w:rPr>
              <w:t>גישור פלילי (ג"פ)</w:t>
            </w:r>
          </w:p>
        </w:tc>
        <w:tc>
          <w:tcPr>
            <w:tcW w:w="1276" w:type="dxa"/>
            <w:tcBorders>
              <w:top w:val="single" w:sz="4" w:space="0" w:color="auto"/>
              <w:bottom w:val="single" w:sz="4" w:space="0" w:color="auto"/>
            </w:tcBorders>
            <w:vAlign w:val="bottom"/>
          </w:tcPr>
          <w:p w14:paraId="7DB1EEE4" w14:textId="77777777" w:rsidR="007D380E" w:rsidRPr="006A555E" w:rsidRDefault="007D380E" w:rsidP="007D380E">
            <w:pPr>
              <w:bidi w:val="0"/>
              <w:jc w:val="center"/>
              <w:rPr>
                <w:rFonts w:ascii="David" w:hAnsi="David" w:cs="David"/>
              </w:rPr>
            </w:pPr>
            <w:r w:rsidRPr="006A555E">
              <w:rPr>
                <w:rFonts w:ascii="David" w:hAnsi="David" w:cs="David"/>
              </w:rPr>
              <w:t>111</w:t>
            </w:r>
          </w:p>
        </w:tc>
        <w:tc>
          <w:tcPr>
            <w:tcW w:w="1418" w:type="dxa"/>
            <w:tcBorders>
              <w:top w:val="single" w:sz="4" w:space="0" w:color="auto"/>
              <w:bottom w:val="single" w:sz="4" w:space="0" w:color="auto"/>
            </w:tcBorders>
            <w:shd w:val="clear" w:color="auto" w:fill="auto"/>
            <w:noWrap/>
            <w:vAlign w:val="center"/>
          </w:tcPr>
          <w:p w14:paraId="2E26AA53"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1:28</w:t>
            </w:r>
          </w:p>
        </w:tc>
        <w:tc>
          <w:tcPr>
            <w:tcW w:w="1559" w:type="dxa"/>
            <w:tcBorders>
              <w:top w:val="single" w:sz="4" w:space="0" w:color="auto"/>
              <w:bottom w:val="single" w:sz="4" w:space="0" w:color="auto"/>
            </w:tcBorders>
            <w:shd w:val="clear" w:color="auto" w:fill="auto"/>
            <w:vAlign w:val="center"/>
          </w:tcPr>
          <w:p w14:paraId="1C60F19E" w14:textId="77777777" w:rsidR="007D380E" w:rsidRPr="006A555E" w:rsidRDefault="007D380E" w:rsidP="007D380E">
            <w:pPr>
              <w:spacing w:after="0" w:line="240" w:lineRule="auto"/>
              <w:jc w:val="center"/>
              <w:rPr>
                <w:rFonts w:ascii="David" w:hAnsi="David" w:cs="David"/>
              </w:rPr>
            </w:pPr>
            <w:r w:rsidRPr="006A555E">
              <w:rPr>
                <w:rFonts w:ascii="David" w:hAnsi="David" w:cs="David"/>
              </w:rPr>
              <w:t>-</w:t>
            </w:r>
          </w:p>
        </w:tc>
        <w:tc>
          <w:tcPr>
            <w:tcW w:w="850" w:type="dxa"/>
            <w:tcBorders>
              <w:top w:val="single" w:sz="4" w:space="0" w:color="auto"/>
              <w:bottom w:val="single" w:sz="4" w:space="0" w:color="auto"/>
            </w:tcBorders>
            <w:shd w:val="clear" w:color="auto" w:fill="auto"/>
            <w:vAlign w:val="center"/>
          </w:tcPr>
          <w:p w14:paraId="4E220E78" w14:textId="77777777" w:rsidR="007D380E" w:rsidRPr="006A555E" w:rsidRDefault="007D380E" w:rsidP="007D380E">
            <w:pPr>
              <w:spacing w:after="0" w:line="240" w:lineRule="auto"/>
              <w:jc w:val="center"/>
              <w:rPr>
                <w:rFonts w:ascii="David" w:hAnsi="David" w:cs="David"/>
              </w:rPr>
            </w:pPr>
            <w:r w:rsidRPr="006A555E">
              <w:rPr>
                <w:rFonts w:ascii="David" w:hAnsi="David" w:cs="David"/>
              </w:rPr>
              <w:t>-</w:t>
            </w:r>
          </w:p>
        </w:tc>
      </w:tr>
      <w:tr w:rsidR="007D380E" w:rsidRPr="006A555E" w14:paraId="177E78DD"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76DCA02F"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08FA292F" w14:textId="77777777" w:rsidR="007D380E" w:rsidRPr="006A555E" w:rsidRDefault="007D380E" w:rsidP="007D380E">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D9D9D9"/>
            <w:vAlign w:val="center"/>
          </w:tcPr>
          <w:p w14:paraId="000A982A" w14:textId="77777777" w:rsidR="007D380E" w:rsidRPr="006A555E" w:rsidRDefault="007D380E" w:rsidP="007D380E">
            <w:pPr>
              <w:spacing w:after="0" w:line="240" w:lineRule="auto"/>
              <w:rPr>
                <w:rFonts w:ascii="David" w:hAnsi="David" w:cs="David"/>
                <w:rtl/>
              </w:rPr>
            </w:pPr>
            <w:r w:rsidRPr="006A555E">
              <w:rPr>
                <w:rFonts w:ascii="David" w:hAnsi="David" w:cs="David"/>
                <w:rtl/>
              </w:rPr>
              <w:t>התנגדות לביצוע שטר (ת"ט)</w:t>
            </w:r>
            <w:r w:rsidRPr="006A555E">
              <w:rPr>
                <w:rStyle w:val="a6"/>
                <w:rFonts w:ascii="David" w:hAnsi="David" w:cs="David"/>
                <w:rtl/>
              </w:rPr>
              <w:footnoteReference w:id="28"/>
            </w:r>
          </w:p>
        </w:tc>
        <w:tc>
          <w:tcPr>
            <w:tcW w:w="1276" w:type="dxa"/>
            <w:tcBorders>
              <w:top w:val="single" w:sz="4" w:space="0" w:color="auto"/>
              <w:bottom w:val="single" w:sz="4" w:space="0" w:color="auto"/>
            </w:tcBorders>
            <w:shd w:val="clear" w:color="auto" w:fill="D9D9D9"/>
            <w:vAlign w:val="bottom"/>
          </w:tcPr>
          <w:p w14:paraId="317C3D8E" w14:textId="77777777" w:rsidR="007D380E" w:rsidRPr="006A555E" w:rsidRDefault="007D380E" w:rsidP="007D380E">
            <w:pPr>
              <w:bidi w:val="0"/>
              <w:jc w:val="center"/>
              <w:rPr>
                <w:rFonts w:ascii="David" w:hAnsi="David" w:cs="David"/>
              </w:rPr>
            </w:pPr>
            <w:r w:rsidRPr="006A555E">
              <w:rPr>
                <w:rFonts w:ascii="David" w:hAnsi="David" w:cs="David"/>
              </w:rPr>
              <w:t>5,001</w:t>
            </w:r>
          </w:p>
        </w:tc>
        <w:tc>
          <w:tcPr>
            <w:tcW w:w="1418" w:type="dxa"/>
            <w:tcBorders>
              <w:top w:val="single" w:sz="4" w:space="0" w:color="auto"/>
              <w:bottom w:val="single" w:sz="4" w:space="0" w:color="auto"/>
            </w:tcBorders>
            <w:shd w:val="clear" w:color="auto" w:fill="D9D9D9"/>
            <w:noWrap/>
            <w:vAlign w:val="center"/>
          </w:tcPr>
          <w:p w14:paraId="06523035"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1:21</w:t>
            </w:r>
          </w:p>
        </w:tc>
        <w:tc>
          <w:tcPr>
            <w:tcW w:w="1559" w:type="dxa"/>
            <w:tcBorders>
              <w:top w:val="single" w:sz="4" w:space="0" w:color="auto"/>
              <w:bottom w:val="single" w:sz="4" w:space="0" w:color="auto"/>
            </w:tcBorders>
            <w:shd w:val="clear" w:color="auto" w:fill="D9D9D9"/>
            <w:vAlign w:val="center"/>
          </w:tcPr>
          <w:p w14:paraId="1A10042C" w14:textId="77777777" w:rsidR="007D380E" w:rsidRPr="006A555E" w:rsidRDefault="007D380E" w:rsidP="007D380E">
            <w:pPr>
              <w:spacing w:after="0" w:line="240" w:lineRule="auto"/>
              <w:jc w:val="center"/>
              <w:rPr>
                <w:rFonts w:ascii="David" w:hAnsi="David" w:cs="David"/>
              </w:rPr>
            </w:pPr>
            <w:r w:rsidRPr="006A555E">
              <w:rPr>
                <w:rFonts w:ascii="David" w:hAnsi="David" w:cs="David"/>
              </w:rPr>
              <w:t>1:52</w:t>
            </w:r>
          </w:p>
        </w:tc>
        <w:tc>
          <w:tcPr>
            <w:tcW w:w="850" w:type="dxa"/>
            <w:tcBorders>
              <w:top w:val="single" w:sz="4" w:space="0" w:color="auto"/>
              <w:bottom w:val="single" w:sz="4" w:space="0" w:color="auto"/>
            </w:tcBorders>
            <w:shd w:val="clear" w:color="auto" w:fill="D9D9D9"/>
            <w:vAlign w:val="center"/>
          </w:tcPr>
          <w:p w14:paraId="737CD82F" w14:textId="77777777" w:rsidR="007D380E" w:rsidRPr="006A555E" w:rsidRDefault="007D380E" w:rsidP="007D380E">
            <w:pPr>
              <w:spacing w:after="0" w:line="240" w:lineRule="auto"/>
              <w:jc w:val="center"/>
              <w:rPr>
                <w:rFonts w:ascii="David" w:hAnsi="David" w:cs="David"/>
              </w:rPr>
            </w:pPr>
            <w:r w:rsidRPr="006A555E">
              <w:rPr>
                <w:rFonts w:ascii="David" w:hAnsi="David" w:cs="David" w:hint="cs"/>
                <w:rtl/>
              </w:rPr>
              <w:t>0:31-</w:t>
            </w:r>
          </w:p>
        </w:tc>
      </w:tr>
      <w:tr w:rsidR="007D380E" w:rsidRPr="006A555E" w14:paraId="75A335EB"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69EF7E70"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23D28BD2" w14:textId="77777777" w:rsidR="007D380E" w:rsidRPr="006A555E" w:rsidRDefault="007D380E" w:rsidP="007D380E">
            <w:pPr>
              <w:spacing w:after="0" w:line="240" w:lineRule="auto"/>
              <w:rPr>
                <w:rFonts w:ascii="David" w:hAnsi="David" w:cs="David"/>
                <w:rtl/>
              </w:rPr>
            </w:pPr>
            <w:r w:rsidRPr="006A555E">
              <w:rPr>
                <w:rFonts w:ascii="David" w:hAnsi="David" w:cs="David" w:hint="cs"/>
                <w:rtl/>
              </w:rPr>
              <w:t>ועדת שחרורים</w:t>
            </w:r>
          </w:p>
        </w:tc>
        <w:tc>
          <w:tcPr>
            <w:tcW w:w="2262" w:type="dxa"/>
            <w:tcBorders>
              <w:top w:val="single" w:sz="4" w:space="0" w:color="auto"/>
              <w:bottom w:val="single" w:sz="4" w:space="0" w:color="auto"/>
            </w:tcBorders>
            <w:shd w:val="clear" w:color="auto" w:fill="auto"/>
            <w:vAlign w:val="center"/>
          </w:tcPr>
          <w:p w14:paraId="5F4AB7CD" w14:textId="77777777" w:rsidR="007D380E" w:rsidRPr="006A555E" w:rsidRDefault="007D380E" w:rsidP="007D380E">
            <w:pPr>
              <w:spacing w:after="0" w:line="240" w:lineRule="auto"/>
              <w:rPr>
                <w:rFonts w:ascii="David" w:hAnsi="David" w:cs="David"/>
                <w:rtl/>
              </w:rPr>
            </w:pPr>
            <w:r w:rsidRPr="006A555E">
              <w:rPr>
                <w:rFonts w:ascii="David" w:hAnsi="David" w:cs="David"/>
                <w:rtl/>
              </w:rPr>
              <w:t>ועדת שחרורים (וש"ר)</w:t>
            </w:r>
          </w:p>
        </w:tc>
        <w:tc>
          <w:tcPr>
            <w:tcW w:w="1276" w:type="dxa"/>
            <w:tcBorders>
              <w:top w:val="single" w:sz="4" w:space="0" w:color="auto"/>
              <w:bottom w:val="single" w:sz="4" w:space="0" w:color="auto"/>
            </w:tcBorders>
            <w:vAlign w:val="center"/>
          </w:tcPr>
          <w:p w14:paraId="507A1C5F" w14:textId="77777777" w:rsidR="007D380E" w:rsidRPr="006A555E" w:rsidRDefault="007D380E" w:rsidP="007D380E">
            <w:pPr>
              <w:bidi w:val="0"/>
              <w:jc w:val="center"/>
              <w:rPr>
                <w:rFonts w:ascii="David" w:hAnsi="David" w:cs="David"/>
              </w:rPr>
            </w:pPr>
            <w:r w:rsidRPr="006A555E">
              <w:rPr>
                <w:rFonts w:ascii="David" w:hAnsi="David" w:cs="David"/>
              </w:rPr>
              <w:t>6,969</w:t>
            </w:r>
          </w:p>
        </w:tc>
        <w:tc>
          <w:tcPr>
            <w:tcW w:w="1418" w:type="dxa"/>
            <w:tcBorders>
              <w:top w:val="single" w:sz="4" w:space="0" w:color="auto"/>
              <w:bottom w:val="single" w:sz="4" w:space="0" w:color="auto"/>
            </w:tcBorders>
            <w:shd w:val="clear" w:color="auto" w:fill="auto"/>
            <w:noWrap/>
            <w:vAlign w:val="center"/>
          </w:tcPr>
          <w:p w14:paraId="779F4DBD"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1:20</w:t>
            </w:r>
          </w:p>
        </w:tc>
        <w:tc>
          <w:tcPr>
            <w:tcW w:w="1559" w:type="dxa"/>
            <w:tcBorders>
              <w:top w:val="single" w:sz="4" w:space="0" w:color="auto"/>
              <w:bottom w:val="single" w:sz="4" w:space="0" w:color="auto"/>
            </w:tcBorders>
            <w:shd w:val="clear" w:color="auto" w:fill="auto"/>
            <w:vAlign w:val="center"/>
          </w:tcPr>
          <w:p w14:paraId="357634B6" w14:textId="77777777" w:rsidR="007D380E" w:rsidRPr="006A555E" w:rsidRDefault="007D380E" w:rsidP="007D380E">
            <w:pPr>
              <w:spacing w:after="0" w:line="240" w:lineRule="auto"/>
              <w:jc w:val="center"/>
              <w:rPr>
                <w:rFonts w:ascii="David" w:hAnsi="David" w:cs="David"/>
              </w:rPr>
            </w:pPr>
            <w:r w:rsidRPr="006A555E">
              <w:rPr>
                <w:rFonts w:ascii="David" w:hAnsi="David" w:cs="David"/>
              </w:rPr>
              <w:t>-</w:t>
            </w:r>
          </w:p>
        </w:tc>
        <w:tc>
          <w:tcPr>
            <w:tcW w:w="850" w:type="dxa"/>
            <w:tcBorders>
              <w:top w:val="single" w:sz="4" w:space="0" w:color="auto"/>
              <w:bottom w:val="single" w:sz="4" w:space="0" w:color="auto"/>
            </w:tcBorders>
            <w:shd w:val="clear" w:color="auto" w:fill="auto"/>
            <w:vAlign w:val="center"/>
          </w:tcPr>
          <w:p w14:paraId="12D0F712" w14:textId="77777777" w:rsidR="007D380E" w:rsidRPr="006A555E" w:rsidRDefault="007D380E" w:rsidP="007D380E">
            <w:pPr>
              <w:spacing w:after="0" w:line="240" w:lineRule="auto"/>
              <w:jc w:val="center"/>
              <w:rPr>
                <w:rFonts w:ascii="David" w:hAnsi="David" w:cs="David"/>
              </w:rPr>
            </w:pPr>
            <w:r w:rsidRPr="006A555E">
              <w:rPr>
                <w:rFonts w:ascii="David" w:hAnsi="David" w:cs="David"/>
              </w:rPr>
              <w:t>-</w:t>
            </w:r>
          </w:p>
        </w:tc>
      </w:tr>
      <w:tr w:rsidR="007D380E" w:rsidRPr="006A555E" w14:paraId="68C4CD57"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1158640C"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0702D497" w14:textId="77777777" w:rsidR="007D380E" w:rsidRPr="006A555E" w:rsidRDefault="007D380E" w:rsidP="007D380E">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D9D9D9"/>
            <w:vAlign w:val="center"/>
          </w:tcPr>
          <w:p w14:paraId="12A24920" w14:textId="77777777" w:rsidR="007D380E" w:rsidRPr="006A555E" w:rsidRDefault="007D380E" w:rsidP="007D380E">
            <w:pPr>
              <w:spacing w:after="0" w:line="240" w:lineRule="auto"/>
              <w:rPr>
                <w:rFonts w:ascii="David" w:hAnsi="David" w:cs="David"/>
                <w:rtl/>
              </w:rPr>
            </w:pPr>
            <w:r w:rsidRPr="006A555E">
              <w:rPr>
                <w:rFonts w:ascii="David" w:hAnsi="David" w:cs="David"/>
                <w:rtl/>
              </w:rPr>
              <w:t>תיק אזרחי בסדר דין מיוחד (תא"ח)</w:t>
            </w:r>
          </w:p>
        </w:tc>
        <w:tc>
          <w:tcPr>
            <w:tcW w:w="1276" w:type="dxa"/>
            <w:tcBorders>
              <w:top w:val="single" w:sz="4" w:space="0" w:color="auto"/>
              <w:bottom w:val="single" w:sz="4" w:space="0" w:color="auto"/>
            </w:tcBorders>
            <w:shd w:val="clear" w:color="auto" w:fill="D9D9D9"/>
            <w:vAlign w:val="center"/>
          </w:tcPr>
          <w:p w14:paraId="76DC00CD"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2,759</w:t>
            </w:r>
          </w:p>
        </w:tc>
        <w:tc>
          <w:tcPr>
            <w:tcW w:w="1418" w:type="dxa"/>
            <w:tcBorders>
              <w:top w:val="single" w:sz="4" w:space="0" w:color="auto"/>
              <w:bottom w:val="single" w:sz="4" w:space="0" w:color="auto"/>
            </w:tcBorders>
            <w:shd w:val="clear" w:color="auto" w:fill="D9D9D9"/>
            <w:noWrap/>
            <w:vAlign w:val="center"/>
          </w:tcPr>
          <w:p w14:paraId="7117B0CE"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1:19</w:t>
            </w:r>
          </w:p>
        </w:tc>
        <w:tc>
          <w:tcPr>
            <w:tcW w:w="1559" w:type="dxa"/>
            <w:tcBorders>
              <w:top w:val="single" w:sz="4" w:space="0" w:color="auto"/>
              <w:bottom w:val="single" w:sz="4" w:space="0" w:color="auto"/>
            </w:tcBorders>
            <w:shd w:val="clear" w:color="auto" w:fill="D9D9D9"/>
            <w:vAlign w:val="center"/>
          </w:tcPr>
          <w:p w14:paraId="34E6C440" w14:textId="77777777" w:rsidR="007D380E" w:rsidRPr="006A555E" w:rsidRDefault="007D380E" w:rsidP="007D380E">
            <w:pPr>
              <w:spacing w:after="0" w:line="240" w:lineRule="auto"/>
              <w:jc w:val="center"/>
              <w:rPr>
                <w:rFonts w:ascii="David" w:hAnsi="David" w:cs="David"/>
              </w:rPr>
            </w:pPr>
            <w:r w:rsidRPr="006A555E">
              <w:rPr>
                <w:rFonts w:ascii="David" w:hAnsi="David" w:cs="David"/>
              </w:rPr>
              <w:t>1:58</w:t>
            </w:r>
          </w:p>
        </w:tc>
        <w:tc>
          <w:tcPr>
            <w:tcW w:w="850" w:type="dxa"/>
            <w:tcBorders>
              <w:top w:val="single" w:sz="4" w:space="0" w:color="auto"/>
              <w:bottom w:val="single" w:sz="4" w:space="0" w:color="auto"/>
            </w:tcBorders>
            <w:shd w:val="clear" w:color="auto" w:fill="D9D9D9"/>
            <w:vAlign w:val="center"/>
          </w:tcPr>
          <w:p w14:paraId="14039701" w14:textId="77777777" w:rsidR="007D380E" w:rsidRPr="006A555E" w:rsidRDefault="007D380E" w:rsidP="007D380E">
            <w:pPr>
              <w:spacing w:after="0" w:line="240" w:lineRule="auto"/>
              <w:jc w:val="center"/>
              <w:rPr>
                <w:rFonts w:ascii="David" w:hAnsi="David" w:cs="David"/>
              </w:rPr>
            </w:pPr>
            <w:r w:rsidRPr="006A555E">
              <w:rPr>
                <w:rFonts w:ascii="David" w:hAnsi="David" w:cs="David" w:hint="cs"/>
                <w:rtl/>
              </w:rPr>
              <w:t>0:39-</w:t>
            </w:r>
          </w:p>
        </w:tc>
      </w:tr>
      <w:tr w:rsidR="007D380E" w:rsidRPr="006A555E" w14:paraId="3F04D96C"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6106637C"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4D2386EE" w14:textId="77777777" w:rsidR="007D380E" w:rsidRPr="006A555E" w:rsidRDefault="007D380E" w:rsidP="007D380E">
            <w:pPr>
              <w:spacing w:after="0" w:line="240" w:lineRule="auto"/>
              <w:rPr>
                <w:rFonts w:ascii="David" w:hAnsi="David" w:cs="David"/>
                <w:rtl/>
              </w:rPr>
            </w:pPr>
            <w:r w:rsidRPr="006A555E">
              <w:rPr>
                <w:rFonts w:ascii="David" w:hAnsi="David" w:cs="David"/>
                <w:rtl/>
              </w:rPr>
              <w:t>עניינים מקומיים</w:t>
            </w:r>
          </w:p>
        </w:tc>
        <w:tc>
          <w:tcPr>
            <w:tcW w:w="2262" w:type="dxa"/>
            <w:tcBorders>
              <w:top w:val="single" w:sz="4" w:space="0" w:color="auto"/>
              <w:bottom w:val="single" w:sz="4" w:space="0" w:color="auto"/>
            </w:tcBorders>
            <w:shd w:val="clear" w:color="auto" w:fill="auto"/>
            <w:vAlign w:val="center"/>
          </w:tcPr>
          <w:p w14:paraId="66FC2E1A" w14:textId="77777777" w:rsidR="007D380E" w:rsidRPr="006A555E" w:rsidRDefault="007D380E" w:rsidP="007D380E">
            <w:pPr>
              <w:spacing w:after="0" w:line="240" w:lineRule="auto"/>
              <w:rPr>
                <w:rFonts w:ascii="David" w:hAnsi="David" w:cs="David"/>
                <w:rtl/>
              </w:rPr>
            </w:pPr>
            <w:r w:rsidRPr="006A555E">
              <w:rPr>
                <w:rFonts w:ascii="David" w:hAnsi="David" w:cs="David"/>
                <w:rtl/>
              </w:rPr>
              <w:t>צו הריסה ללא הרשעה (212) (צ"ה)</w:t>
            </w:r>
            <w:r w:rsidRPr="006A555E">
              <w:rPr>
                <w:rFonts w:ascii="David" w:hAnsi="David" w:cs="David" w:hint="cs"/>
                <w:rtl/>
              </w:rPr>
              <w:t>*</w:t>
            </w:r>
          </w:p>
        </w:tc>
        <w:tc>
          <w:tcPr>
            <w:tcW w:w="1276" w:type="dxa"/>
            <w:tcBorders>
              <w:top w:val="single" w:sz="4" w:space="0" w:color="auto"/>
              <w:bottom w:val="single" w:sz="4" w:space="0" w:color="auto"/>
            </w:tcBorders>
            <w:vAlign w:val="center"/>
          </w:tcPr>
          <w:p w14:paraId="73818CE2"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395</w:t>
            </w:r>
          </w:p>
        </w:tc>
        <w:tc>
          <w:tcPr>
            <w:tcW w:w="1418" w:type="dxa"/>
            <w:tcBorders>
              <w:top w:val="single" w:sz="4" w:space="0" w:color="auto"/>
              <w:bottom w:val="single" w:sz="4" w:space="0" w:color="auto"/>
            </w:tcBorders>
            <w:shd w:val="clear" w:color="auto" w:fill="auto"/>
            <w:noWrap/>
            <w:vAlign w:val="center"/>
          </w:tcPr>
          <w:p w14:paraId="4C06BA74"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1:16</w:t>
            </w:r>
          </w:p>
        </w:tc>
        <w:tc>
          <w:tcPr>
            <w:tcW w:w="1559" w:type="dxa"/>
            <w:tcBorders>
              <w:top w:val="single" w:sz="4" w:space="0" w:color="auto"/>
              <w:bottom w:val="single" w:sz="4" w:space="0" w:color="auto"/>
            </w:tcBorders>
            <w:shd w:val="clear" w:color="auto" w:fill="auto"/>
            <w:vAlign w:val="center"/>
          </w:tcPr>
          <w:p w14:paraId="392BD3D3" w14:textId="77777777" w:rsidR="007D380E" w:rsidRPr="006A555E" w:rsidRDefault="007D380E" w:rsidP="007D380E">
            <w:pPr>
              <w:spacing w:after="0" w:line="240" w:lineRule="auto"/>
              <w:jc w:val="center"/>
              <w:rPr>
                <w:rFonts w:ascii="David" w:hAnsi="David" w:cs="David"/>
              </w:rPr>
            </w:pPr>
            <w:r w:rsidRPr="006A555E">
              <w:rPr>
                <w:rFonts w:ascii="David" w:hAnsi="David" w:cs="David"/>
              </w:rPr>
              <w:t>-</w:t>
            </w:r>
          </w:p>
        </w:tc>
        <w:tc>
          <w:tcPr>
            <w:tcW w:w="850" w:type="dxa"/>
            <w:tcBorders>
              <w:top w:val="single" w:sz="4" w:space="0" w:color="auto"/>
              <w:bottom w:val="single" w:sz="4" w:space="0" w:color="auto"/>
            </w:tcBorders>
            <w:shd w:val="clear" w:color="auto" w:fill="auto"/>
            <w:vAlign w:val="center"/>
          </w:tcPr>
          <w:p w14:paraId="616A1DC4" w14:textId="77777777" w:rsidR="007D380E" w:rsidRPr="006A555E" w:rsidRDefault="007D380E" w:rsidP="007D380E">
            <w:pPr>
              <w:spacing w:after="0" w:line="240" w:lineRule="auto"/>
              <w:jc w:val="center"/>
              <w:rPr>
                <w:rFonts w:ascii="David" w:hAnsi="David" w:cs="David"/>
              </w:rPr>
            </w:pPr>
            <w:r w:rsidRPr="006A555E">
              <w:rPr>
                <w:rFonts w:ascii="David" w:hAnsi="David" w:cs="David"/>
              </w:rPr>
              <w:t>-</w:t>
            </w:r>
          </w:p>
        </w:tc>
      </w:tr>
      <w:tr w:rsidR="007D380E" w:rsidRPr="006A555E" w14:paraId="0FCD2645"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3815C952" w14:textId="77777777" w:rsidR="007D380E" w:rsidRPr="006A555E" w:rsidRDefault="007D380E" w:rsidP="007D380E">
            <w:pPr>
              <w:spacing w:after="0" w:line="240" w:lineRule="auto"/>
              <w:rPr>
                <w:rFonts w:ascii="David" w:hAnsi="David" w:cs="David"/>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36D91466" w14:textId="77777777" w:rsidR="007D380E" w:rsidRPr="006A555E" w:rsidRDefault="007D380E" w:rsidP="007D380E">
            <w:pPr>
              <w:spacing w:after="0" w:line="240" w:lineRule="auto"/>
              <w:rPr>
                <w:rFonts w:ascii="David" w:hAnsi="David" w:cs="David"/>
                <w:rtl/>
              </w:rPr>
            </w:pPr>
            <w:r w:rsidRPr="006A555E">
              <w:rPr>
                <w:rFonts w:ascii="David" w:hAnsi="David" w:cs="David"/>
                <w:rtl/>
              </w:rPr>
              <w:t>מעצרים/ פלילי</w:t>
            </w:r>
          </w:p>
        </w:tc>
        <w:tc>
          <w:tcPr>
            <w:tcW w:w="2262" w:type="dxa"/>
            <w:tcBorders>
              <w:top w:val="single" w:sz="4" w:space="0" w:color="auto"/>
              <w:bottom w:val="single" w:sz="4" w:space="0" w:color="auto"/>
            </w:tcBorders>
            <w:shd w:val="clear" w:color="auto" w:fill="D9D9D9"/>
            <w:vAlign w:val="center"/>
          </w:tcPr>
          <w:p w14:paraId="40F05D14" w14:textId="77777777" w:rsidR="007D380E" w:rsidRPr="006A555E" w:rsidRDefault="007D380E" w:rsidP="007D380E">
            <w:pPr>
              <w:spacing w:after="0" w:line="240" w:lineRule="auto"/>
              <w:rPr>
                <w:rFonts w:ascii="David" w:hAnsi="David" w:cs="David"/>
                <w:rtl/>
              </w:rPr>
            </w:pPr>
            <w:r w:rsidRPr="006A555E">
              <w:rPr>
                <w:rFonts w:ascii="David" w:hAnsi="David" w:cs="David"/>
                <w:rtl/>
              </w:rPr>
              <w:t>החזרה/טיפול בתפוס (ה"ת)</w:t>
            </w:r>
          </w:p>
        </w:tc>
        <w:tc>
          <w:tcPr>
            <w:tcW w:w="1276" w:type="dxa"/>
            <w:tcBorders>
              <w:top w:val="single" w:sz="4" w:space="0" w:color="auto"/>
              <w:bottom w:val="single" w:sz="4" w:space="0" w:color="auto"/>
            </w:tcBorders>
            <w:shd w:val="clear" w:color="auto" w:fill="D9D9D9"/>
            <w:vAlign w:val="center"/>
          </w:tcPr>
          <w:p w14:paraId="602FA1CE"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6,377</w:t>
            </w:r>
          </w:p>
        </w:tc>
        <w:tc>
          <w:tcPr>
            <w:tcW w:w="1418" w:type="dxa"/>
            <w:tcBorders>
              <w:top w:val="single" w:sz="4" w:space="0" w:color="auto"/>
              <w:bottom w:val="single" w:sz="4" w:space="0" w:color="auto"/>
            </w:tcBorders>
            <w:shd w:val="clear" w:color="auto" w:fill="D9D9D9"/>
            <w:noWrap/>
            <w:vAlign w:val="center"/>
          </w:tcPr>
          <w:p w14:paraId="1E5F3800"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1:15</w:t>
            </w:r>
          </w:p>
        </w:tc>
        <w:tc>
          <w:tcPr>
            <w:tcW w:w="1559" w:type="dxa"/>
            <w:tcBorders>
              <w:top w:val="single" w:sz="4" w:space="0" w:color="auto"/>
              <w:bottom w:val="single" w:sz="4" w:space="0" w:color="auto"/>
            </w:tcBorders>
            <w:shd w:val="clear" w:color="auto" w:fill="D9D9D9"/>
            <w:vAlign w:val="center"/>
          </w:tcPr>
          <w:p w14:paraId="45F41B83" w14:textId="77777777" w:rsidR="007D380E" w:rsidRPr="006A555E" w:rsidRDefault="007D380E" w:rsidP="007D380E">
            <w:pPr>
              <w:spacing w:after="0" w:line="240" w:lineRule="auto"/>
              <w:jc w:val="center"/>
              <w:rPr>
                <w:rFonts w:ascii="David" w:hAnsi="David" w:cs="David"/>
              </w:rPr>
            </w:pPr>
            <w:r w:rsidRPr="006A555E">
              <w:rPr>
                <w:rFonts w:ascii="David" w:hAnsi="David" w:cs="David"/>
              </w:rPr>
              <w:t>0:14</w:t>
            </w:r>
          </w:p>
        </w:tc>
        <w:tc>
          <w:tcPr>
            <w:tcW w:w="850" w:type="dxa"/>
            <w:tcBorders>
              <w:top w:val="single" w:sz="4" w:space="0" w:color="auto"/>
              <w:bottom w:val="single" w:sz="4" w:space="0" w:color="auto"/>
            </w:tcBorders>
            <w:shd w:val="clear" w:color="auto" w:fill="D9D9D9"/>
            <w:vAlign w:val="center"/>
          </w:tcPr>
          <w:p w14:paraId="40D03D51" w14:textId="77777777" w:rsidR="007D380E" w:rsidRPr="006A555E" w:rsidRDefault="007D380E" w:rsidP="007D380E">
            <w:pPr>
              <w:spacing w:after="0" w:line="240" w:lineRule="auto"/>
              <w:jc w:val="center"/>
              <w:rPr>
                <w:rFonts w:ascii="David" w:hAnsi="David" w:cs="David"/>
              </w:rPr>
            </w:pPr>
            <w:r w:rsidRPr="006A555E">
              <w:rPr>
                <w:rFonts w:ascii="David" w:hAnsi="David" w:cs="David" w:hint="cs"/>
                <w:rtl/>
              </w:rPr>
              <w:t>1:01+</w:t>
            </w:r>
          </w:p>
        </w:tc>
      </w:tr>
      <w:tr w:rsidR="007D380E" w:rsidRPr="006A555E" w14:paraId="6BA64E3F"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33DF91B6" w14:textId="0AA35E9C" w:rsidR="007D380E" w:rsidRPr="006A555E" w:rsidRDefault="007D380E" w:rsidP="007D380E">
            <w:pPr>
              <w:spacing w:after="0" w:line="240" w:lineRule="auto"/>
              <w:rPr>
                <w:rFonts w:ascii="David" w:hAnsi="David" w:cs="David"/>
                <w:rtl/>
              </w:rPr>
            </w:pPr>
            <w:r w:rsidRPr="006A555E">
              <w:rPr>
                <w:rFonts w:ascii="David" w:eastAsia="Times New Roman" w:hAnsi="David" w:cs="David"/>
                <w:b/>
                <w:bCs/>
                <w:rtl/>
              </w:rPr>
              <w:lastRenderedPageBreak/>
              <w:t>ערכאה</w:t>
            </w:r>
          </w:p>
        </w:tc>
        <w:tc>
          <w:tcPr>
            <w:tcW w:w="992" w:type="dxa"/>
            <w:tcBorders>
              <w:top w:val="single" w:sz="4" w:space="0" w:color="auto"/>
              <w:bottom w:val="single" w:sz="4" w:space="0" w:color="auto"/>
            </w:tcBorders>
            <w:shd w:val="clear" w:color="auto" w:fill="auto"/>
            <w:noWrap/>
            <w:vAlign w:val="center"/>
          </w:tcPr>
          <w:p w14:paraId="22E5D0EE" w14:textId="38714025" w:rsidR="007D380E" w:rsidRPr="006A555E" w:rsidRDefault="007D380E" w:rsidP="007D380E">
            <w:pPr>
              <w:spacing w:after="0" w:line="240" w:lineRule="auto"/>
              <w:rPr>
                <w:rFonts w:ascii="David" w:hAnsi="David" w:cs="David"/>
                <w:rtl/>
              </w:rPr>
            </w:pPr>
            <w:r w:rsidRPr="006A555E">
              <w:rPr>
                <w:rFonts w:ascii="David" w:eastAsia="Times New Roman" w:hAnsi="David" w:cs="David"/>
                <w:b/>
                <w:bCs/>
                <w:rtl/>
              </w:rPr>
              <w:t>הליך</w:t>
            </w:r>
          </w:p>
        </w:tc>
        <w:tc>
          <w:tcPr>
            <w:tcW w:w="2262" w:type="dxa"/>
            <w:tcBorders>
              <w:top w:val="single" w:sz="4" w:space="0" w:color="auto"/>
              <w:bottom w:val="single" w:sz="4" w:space="0" w:color="auto"/>
            </w:tcBorders>
            <w:shd w:val="clear" w:color="auto" w:fill="auto"/>
            <w:vAlign w:val="center"/>
          </w:tcPr>
          <w:p w14:paraId="658CFDD2" w14:textId="6BB68B21" w:rsidR="007D380E" w:rsidRPr="006A555E" w:rsidRDefault="007D380E" w:rsidP="007D380E">
            <w:pPr>
              <w:spacing w:after="0" w:line="240" w:lineRule="auto"/>
              <w:rPr>
                <w:rFonts w:ascii="David" w:hAnsi="David" w:cs="David"/>
                <w:rtl/>
              </w:rPr>
            </w:pPr>
            <w:r w:rsidRPr="006A555E">
              <w:rPr>
                <w:rFonts w:ascii="David" w:eastAsia="Times New Roman" w:hAnsi="David" w:cs="David"/>
                <w:b/>
                <w:bCs/>
                <w:rtl/>
              </w:rPr>
              <w:t>סוג תיק</w:t>
            </w:r>
          </w:p>
        </w:tc>
        <w:tc>
          <w:tcPr>
            <w:tcW w:w="1276" w:type="dxa"/>
            <w:tcBorders>
              <w:top w:val="single" w:sz="4" w:space="0" w:color="auto"/>
              <w:bottom w:val="single" w:sz="4" w:space="0" w:color="auto"/>
            </w:tcBorders>
            <w:vAlign w:val="center"/>
          </w:tcPr>
          <w:p w14:paraId="6CF24671" w14:textId="550459F6" w:rsidR="007D380E" w:rsidRPr="006A555E" w:rsidRDefault="007D380E" w:rsidP="007D380E">
            <w:pPr>
              <w:bidi w:val="0"/>
              <w:spacing w:after="0" w:line="240" w:lineRule="auto"/>
              <w:jc w:val="center"/>
              <w:rPr>
                <w:rFonts w:ascii="David" w:hAnsi="David" w:cs="David"/>
              </w:rPr>
            </w:pPr>
            <w:r w:rsidRPr="006A555E">
              <w:rPr>
                <w:rFonts w:ascii="David" w:eastAsia="Times New Roman" w:hAnsi="David" w:cs="David" w:hint="cs"/>
                <w:b/>
                <w:bCs/>
                <w:rtl/>
              </w:rPr>
              <w:t>מספר תיקים שנסגרו ב-2019</w:t>
            </w:r>
          </w:p>
        </w:tc>
        <w:tc>
          <w:tcPr>
            <w:tcW w:w="1418" w:type="dxa"/>
            <w:tcBorders>
              <w:top w:val="single" w:sz="4" w:space="0" w:color="auto"/>
              <w:bottom w:val="single" w:sz="4" w:space="0" w:color="auto"/>
            </w:tcBorders>
            <w:shd w:val="clear" w:color="auto" w:fill="auto"/>
            <w:noWrap/>
            <w:vAlign w:val="center"/>
          </w:tcPr>
          <w:p w14:paraId="25853F22" w14:textId="22FC1EA4" w:rsidR="007D380E" w:rsidRPr="006A555E" w:rsidRDefault="007D380E" w:rsidP="007D380E">
            <w:pPr>
              <w:spacing w:after="0" w:line="240" w:lineRule="auto"/>
              <w:jc w:val="center"/>
              <w:rPr>
                <w:rFonts w:ascii="David" w:hAnsi="David" w:cs="David"/>
                <w:b/>
                <w:bCs/>
              </w:rPr>
            </w:pPr>
            <w:r w:rsidRPr="006A555E">
              <w:rPr>
                <w:rFonts w:ascii="David" w:eastAsia="Times New Roman" w:hAnsi="David" w:cs="David"/>
                <w:b/>
                <w:bCs/>
                <w:rtl/>
              </w:rPr>
              <w:t>הזמן השיפוטי הממוצע לט</w:t>
            </w:r>
            <w:r w:rsidRPr="006A555E">
              <w:rPr>
                <w:rFonts w:ascii="David" w:eastAsia="Times New Roman" w:hAnsi="David" w:cs="David" w:hint="cs"/>
                <w:b/>
                <w:bCs/>
                <w:rtl/>
              </w:rPr>
              <w:t>י</w:t>
            </w:r>
            <w:r w:rsidRPr="006A555E">
              <w:rPr>
                <w:rFonts w:ascii="David" w:eastAsia="Times New Roman" w:hAnsi="David" w:cs="David"/>
                <w:b/>
                <w:bCs/>
                <w:rtl/>
              </w:rPr>
              <w:t>פ</w:t>
            </w:r>
            <w:r w:rsidRPr="006A555E">
              <w:rPr>
                <w:rFonts w:ascii="David" w:eastAsia="Times New Roman" w:hAnsi="David" w:cs="David" w:hint="cs"/>
                <w:b/>
                <w:bCs/>
                <w:rtl/>
              </w:rPr>
              <w:t>ו</w:t>
            </w:r>
            <w:r w:rsidRPr="006A555E">
              <w:rPr>
                <w:rFonts w:ascii="David" w:eastAsia="Times New Roman" w:hAnsi="David" w:cs="David"/>
                <w:b/>
                <w:bCs/>
                <w:rtl/>
              </w:rPr>
              <w:t>ל בתיק</w:t>
            </w:r>
          </w:p>
        </w:tc>
        <w:tc>
          <w:tcPr>
            <w:tcW w:w="1559" w:type="dxa"/>
            <w:tcBorders>
              <w:top w:val="single" w:sz="4" w:space="0" w:color="auto"/>
              <w:bottom w:val="single" w:sz="4" w:space="0" w:color="auto"/>
            </w:tcBorders>
            <w:shd w:val="clear" w:color="auto" w:fill="auto"/>
            <w:vAlign w:val="center"/>
          </w:tcPr>
          <w:p w14:paraId="03D3CC5A" w14:textId="3D303F1D" w:rsidR="007D380E" w:rsidRPr="006A555E" w:rsidRDefault="007D380E" w:rsidP="007D380E">
            <w:pPr>
              <w:spacing w:after="0" w:line="240" w:lineRule="auto"/>
              <w:jc w:val="center"/>
              <w:rPr>
                <w:rFonts w:ascii="David" w:hAnsi="David" w:cs="David"/>
              </w:rPr>
            </w:pPr>
            <w:r w:rsidRPr="006A555E">
              <w:rPr>
                <w:rFonts w:ascii="David" w:eastAsia="Times New Roman" w:hAnsi="David" w:cs="David"/>
                <w:b/>
                <w:bCs/>
                <w:rtl/>
              </w:rPr>
              <w:t xml:space="preserve">הזמן השיפוטי </w:t>
            </w:r>
            <w:r w:rsidRPr="006A555E">
              <w:rPr>
                <w:rFonts w:ascii="David" w:eastAsia="Times New Roman" w:hAnsi="David" w:cs="David" w:hint="cs"/>
                <w:b/>
                <w:bCs/>
                <w:rtl/>
              </w:rPr>
              <w:t xml:space="preserve">הממוצע </w:t>
            </w:r>
            <w:r w:rsidRPr="006A555E">
              <w:rPr>
                <w:rFonts w:ascii="David" w:eastAsia="Times New Roman" w:hAnsi="David" w:cs="David"/>
                <w:b/>
                <w:bCs/>
                <w:rtl/>
              </w:rPr>
              <w:t xml:space="preserve">לפי </w:t>
            </w:r>
            <w:r w:rsidRPr="006A555E">
              <w:rPr>
                <w:rFonts w:ascii="David" w:eastAsia="Times New Roman" w:hAnsi="David" w:cs="David" w:hint="cs"/>
                <w:b/>
                <w:bCs/>
                <w:rtl/>
              </w:rPr>
              <w:t>ה</w:t>
            </w:r>
            <w:r w:rsidRPr="006A555E">
              <w:rPr>
                <w:rFonts w:ascii="David" w:eastAsia="Times New Roman" w:hAnsi="David" w:cs="David"/>
                <w:b/>
                <w:bCs/>
                <w:rtl/>
              </w:rPr>
              <w:t>מחקר ה</w:t>
            </w:r>
            <w:r w:rsidRPr="006A555E">
              <w:rPr>
                <w:rFonts w:ascii="David" w:eastAsia="Times New Roman" w:hAnsi="David" w:cs="David" w:hint="cs"/>
                <w:b/>
                <w:bCs/>
                <w:rtl/>
              </w:rPr>
              <w:t>קודם</w:t>
            </w:r>
          </w:p>
        </w:tc>
        <w:tc>
          <w:tcPr>
            <w:tcW w:w="850" w:type="dxa"/>
            <w:tcBorders>
              <w:top w:val="single" w:sz="4" w:space="0" w:color="auto"/>
              <w:bottom w:val="single" w:sz="4" w:space="0" w:color="auto"/>
            </w:tcBorders>
            <w:shd w:val="clear" w:color="auto" w:fill="auto"/>
            <w:vAlign w:val="center"/>
          </w:tcPr>
          <w:p w14:paraId="6F5359BB" w14:textId="7EF20496" w:rsidR="007D380E" w:rsidRPr="006A555E" w:rsidRDefault="007D380E" w:rsidP="007D380E">
            <w:pPr>
              <w:spacing w:after="0" w:line="240" w:lineRule="auto"/>
              <w:jc w:val="center"/>
              <w:rPr>
                <w:rFonts w:ascii="David" w:hAnsi="David" w:cs="David"/>
              </w:rPr>
            </w:pPr>
            <w:r w:rsidRPr="006A555E">
              <w:rPr>
                <w:rFonts w:ascii="David" w:eastAsia="Times New Roman" w:hAnsi="David" w:cs="David"/>
                <w:b/>
                <w:bCs/>
                <w:rtl/>
              </w:rPr>
              <w:t xml:space="preserve">מגמת </w:t>
            </w:r>
            <w:r w:rsidRPr="006A555E">
              <w:rPr>
                <w:rFonts w:ascii="David" w:eastAsia="Times New Roman" w:hAnsi="David" w:cs="David" w:hint="cs"/>
                <w:b/>
                <w:bCs/>
                <w:rtl/>
              </w:rPr>
              <w:t>ה</w:t>
            </w:r>
            <w:r w:rsidRPr="006A555E">
              <w:rPr>
                <w:rFonts w:ascii="David" w:eastAsia="Times New Roman" w:hAnsi="David" w:cs="David"/>
                <w:b/>
                <w:bCs/>
                <w:rtl/>
              </w:rPr>
              <w:t>שינוי</w:t>
            </w:r>
          </w:p>
        </w:tc>
      </w:tr>
      <w:tr w:rsidR="007D380E" w:rsidRPr="006A555E" w14:paraId="00001524"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4C41D060"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13E3CC44" w14:textId="77777777" w:rsidR="007D380E" w:rsidRPr="006A555E" w:rsidRDefault="007D380E" w:rsidP="007D380E">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auto"/>
            <w:vAlign w:val="center"/>
          </w:tcPr>
          <w:p w14:paraId="25201AEE" w14:textId="77777777" w:rsidR="007D380E" w:rsidRPr="006A555E" w:rsidRDefault="007D380E" w:rsidP="007D380E">
            <w:pPr>
              <w:spacing w:after="0" w:line="240" w:lineRule="auto"/>
              <w:rPr>
                <w:rFonts w:ascii="David" w:hAnsi="David" w:cs="David"/>
                <w:rtl/>
              </w:rPr>
            </w:pPr>
            <w:r w:rsidRPr="006A555E">
              <w:rPr>
                <w:rFonts w:ascii="David" w:hAnsi="David" w:cs="David"/>
                <w:rtl/>
              </w:rPr>
              <w:t>בקשה לאישור עיקול (בע"ק)</w:t>
            </w:r>
          </w:p>
        </w:tc>
        <w:tc>
          <w:tcPr>
            <w:tcW w:w="1276" w:type="dxa"/>
            <w:tcBorders>
              <w:top w:val="single" w:sz="4" w:space="0" w:color="auto"/>
              <w:bottom w:val="single" w:sz="4" w:space="0" w:color="auto"/>
            </w:tcBorders>
            <w:vAlign w:val="center"/>
          </w:tcPr>
          <w:p w14:paraId="5BB5E836"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145</w:t>
            </w:r>
          </w:p>
        </w:tc>
        <w:tc>
          <w:tcPr>
            <w:tcW w:w="1418" w:type="dxa"/>
            <w:tcBorders>
              <w:top w:val="single" w:sz="4" w:space="0" w:color="auto"/>
              <w:bottom w:val="single" w:sz="4" w:space="0" w:color="auto"/>
            </w:tcBorders>
            <w:shd w:val="clear" w:color="auto" w:fill="auto"/>
            <w:noWrap/>
            <w:vAlign w:val="center"/>
          </w:tcPr>
          <w:p w14:paraId="6C9A51F5"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1:14</w:t>
            </w:r>
          </w:p>
        </w:tc>
        <w:tc>
          <w:tcPr>
            <w:tcW w:w="1559" w:type="dxa"/>
            <w:tcBorders>
              <w:top w:val="single" w:sz="4" w:space="0" w:color="auto"/>
              <w:bottom w:val="single" w:sz="4" w:space="0" w:color="auto"/>
            </w:tcBorders>
            <w:shd w:val="clear" w:color="auto" w:fill="auto"/>
            <w:vAlign w:val="center"/>
          </w:tcPr>
          <w:p w14:paraId="774704E2" w14:textId="77777777" w:rsidR="007D380E" w:rsidRPr="006A555E" w:rsidRDefault="007D380E" w:rsidP="007D380E">
            <w:pPr>
              <w:spacing w:after="0" w:line="240" w:lineRule="auto"/>
              <w:jc w:val="center"/>
              <w:rPr>
                <w:rFonts w:ascii="David" w:hAnsi="David" w:cs="David"/>
              </w:rPr>
            </w:pPr>
            <w:r w:rsidRPr="006A555E">
              <w:rPr>
                <w:rFonts w:ascii="David" w:hAnsi="David" w:cs="David"/>
              </w:rPr>
              <w:t>-</w:t>
            </w:r>
          </w:p>
        </w:tc>
        <w:tc>
          <w:tcPr>
            <w:tcW w:w="850" w:type="dxa"/>
            <w:tcBorders>
              <w:top w:val="single" w:sz="4" w:space="0" w:color="auto"/>
              <w:bottom w:val="single" w:sz="4" w:space="0" w:color="auto"/>
            </w:tcBorders>
            <w:shd w:val="clear" w:color="auto" w:fill="auto"/>
            <w:vAlign w:val="center"/>
          </w:tcPr>
          <w:p w14:paraId="7A934D0E" w14:textId="77777777" w:rsidR="007D380E" w:rsidRPr="006A555E" w:rsidRDefault="007D380E" w:rsidP="007D380E">
            <w:pPr>
              <w:spacing w:after="0" w:line="240" w:lineRule="auto"/>
              <w:jc w:val="center"/>
              <w:rPr>
                <w:rFonts w:ascii="David" w:hAnsi="David" w:cs="David"/>
              </w:rPr>
            </w:pPr>
            <w:r w:rsidRPr="006A555E">
              <w:rPr>
                <w:rFonts w:ascii="David" w:hAnsi="David" w:cs="David"/>
              </w:rPr>
              <w:t>-</w:t>
            </w:r>
          </w:p>
        </w:tc>
      </w:tr>
      <w:tr w:rsidR="007D380E" w:rsidRPr="006A555E" w14:paraId="419894FD"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1E37ADB8"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591022B1" w14:textId="77777777" w:rsidR="007D380E" w:rsidRPr="006A555E" w:rsidRDefault="007D380E" w:rsidP="007D380E">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D9D9D9"/>
            <w:vAlign w:val="center"/>
          </w:tcPr>
          <w:p w14:paraId="5B0FC66D" w14:textId="77777777" w:rsidR="007D380E" w:rsidRPr="006A555E" w:rsidRDefault="007D380E" w:rsidP="007D380E">
            <w:pPr>
              <w:spacing w:after="0" w:line="240" w:lineRule="auto"/>
              <w:rPr>
                <w:rFonts w:ascii="David" w:hAnsi="David" w:cs="David"/>
                <w:rtl/>
              </w:rPr>
            </w:pPr>
            <w:r w:rsidRPr="006A555E">
              <w:rPr>
                <w:rFonts w:ascii="David" w:hAnsi="David" w:cs="David"/>
                <w:rtl/>
              </w:rPr>
              <w:t>בקשה לתשלום תכוף (בת"ת)</w:t>
            </w:r>
          </w:p>
        </w:tc>
        <w:tc>
          <w:tcPr>
            <w:tcW w:w="1276" w:type="dxa"/>
            <w:tcBorders>
              <w:top w:val="single" w:sz="4" w:space="0" w:color="auto"/>
              <w:bottom w:val="single" w:sz="4" w:space="0" w:color="auto"/>
            </w:tcBorders>
            <w:shd w:val="clear" w:color="auto" w:fill="D9D9D9"/>
            <w:vAlign w:val="center"/>
          </w:tcPr>
          <w:p w14:paraId="073C338B"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167</w:t>
            </w:r>
          </w:p>
        </w:tc>
        <w:tc>
          <w:tcPr>
            <w:tcW w:w="1418" w:type="dxa"/>
            <w:tcBorders>
              <w:top w:val="single" w:sz="4" w:space="0" w:color="auto"/>
              <w:bottom w:val="single" w:sz="4" w:space="0" w:color="auto"/>
            </w:tcBorders>
            <w:shd w:val="clear" w:color="auto" w:fill="D9D9D9"/>
            <w:noWrap/>
            <w:vAlign w:val="center"/>
          </w:tcPr>
          <w:p w14:paraId="2B921D36"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1:05</w:t>
            </w:r>
          </w:p>
        </w:tc>
        <w:tc>
          <w:tcPr>
            <w:tcW w:w="1559" w:type="dxa"/>
            <w:tcBorders>
              <w:top w:val="single" w:sz="4" w:space="0" w:color="auto"/>
              <w:bottom w:val="single" w:sz="4" w:space="0" w:color="auto"/>
            </w:tcBorders>
            <w:shd w:val="clear" w:color="auto" w:fill="D9D9D9"/>
            <w:vAlign w:val="center"/>
          </w:tcPr>
          <w:p w14:paraId="1F775F8F" w14:textId="77777777" w:rsidR="007D380E" w:rsidRPr="006A555E" w:rsidRDefault="007D380E" w:rsidP="007D380E">
            <w:pPr>
              <w:spacing w:after="0" w:line="240" w:lineRule="auto"/>
              <w:jc w:val="center"/>
              <w:rPr>
                <w:rFonts w:ascii="David" w:hAnsi="David" w:cs="David"/>
              </w:rPr>
            </w:pPr>
            <w:r w:rsidRPr="006A555E">
              <w:rPr>
                <w:rFonts w:ascii="David" w:hAnsi="David" w:cs="David"/>
              </w:rPr>
              <w:t>-</w:t>
            </w:r>
          </w:p>
        </w:tc>
        <w:tc>
          <w:tcPr>
            <w:tcW w:w="850" w:type="dxa"/>
            <w:tcBorders>
              <w:top w:val="single" w:sz="4" w:space="0" w:color="auto"/>
              <w:bottom w:val="single" w:sz="4" w:space="0" w:color="auto"/>
            </w:tcBorders>
            <w:shd w:val="clear" w:color="auto" w:fill="D9D9D9"/>
            <w:vAlign w:val="center"/>
          </w:tcPr>
          <w:p w14:paraId="4199BA9B" w14:textId="77777777" w:rsidR="007D380E" w:rsidRPr="006A555E" w:rsidRDefault="007D380E" w:rsidP="007D380E">
            <w:pPr>
              <w:spacing w:after="0" w:line="240" w:lineRule="auto"/>
              <w:jc w:val="center"/>
              <w:rPr>
                <w:rFonts w:ascii="David" w:hAnsi="David" w:cs="David"/>
              </w:rPr>
            </w:pPr>
            <w:r w:rsidRPr="006A555E">
              <w:rPr>
                <w:rFonts w:ascii="David" w:hAnsi="David" w:cs="David"/>
              </w:rPr>
              <w:t>-</w:t>
            </w:r>
          </w:p>
        </w:tc>
      </w:tr>
      <w:tr w:rsidR="007D380E" w:rsidRPr="006A555E" w14:paraId="0D57D9A0"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15988F18"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18B655C0" w14:textId="77777777" w:rsidR="007D380E" w:rsidRPr="006A555E" w:rsidRDefault="007D380E" w:rsidP="007D380E">
            <w:pPr>
              <w:spacing w:after="0" w:line="240" w:lineRule="auto"/>
              <w:rPr>
                <w:rFonts w:ascii="David" w:hAnsi="David" w:cs="David"/>
                <w:rtl/>
              </w:rPr>
            </w:pPr>
            <w:r w:rsidRPr="006A555E">
              <w:rPr>
                <w:rFonts w:ascii="David" w:hAnsi="David" w:cs="David"/>
                <w:rtl/>
              </w:rPr>
              <w:t>תביעה קטנה</w:t>
            </w:r>
          </w:p>
        </w:tc>
        <w:tc>
          <w:tcPr>
            <w:tcW w:w="2262" w:type="dxa"/>
            <w:tcBorders>
              <w:top w:val="single" w:sz="4" w:space="0" w:color="auto"/>
              <w:bottom w:val="single" w:sz="4" w:space="0" w:color="auto"/>
            </w:tcBorders>
            <w:shd w:val="clear" w:color="auto" w:fill="auto"/>
            <w:vAlign w:val="center"/>
          </w:tcPr>
          <w:p w14:paraId="26046BE9" w14:textId="77777777" w:rsidR="007D380E" w:rsidRPr="006A555E" w:rsidRDefault="007D380E" w:rsidP="007D380E">
            <w:pPr>
              <w:spacing w:after="0" w:line="240" w:lineRule="auto"/>
              <w:rPr>
                <w:rFonts w:ascii="David" w:hAnsi="David" w:cs="David"/>
                <w:rtl/>
              </w:rPr>
            </w:pPr>
            <w:r w:rsidRPr="006A555E">
              <w:rPr>
                <w:rFonts w:ascii="David" w:hAnsi="David" w:cs="David"/>
                <w:rtl/>
              </w:rPr>
              <w:t>תביעה קטנה (ת"ק)</w:t>
            </w:r>
          </w:p>
        </w:tc>
        <w:tc>
          <w:tcPr>
            <w:tcW w:w="1276" w:type="dxa"/>
            <w:tcBorders>
              <w:top w:val="single" w:sz="4" w:space="0" w:color="auto"/>
              <w:bottom w:val="single" w:sz="4" w:space="0" w:color="auto"/>
            </w:tcBorders>
            <w:vAlign w:val="center"/>
          </w:tcPr>
          <w:p w14:paraId="12AC9639"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38,947</w:t>
            </w:r>
          </w:p>
        </w:tc>
        <w:tc>
          <w:tcPr>
            <w:tcW w:w="1418" w:type="dxa"/>
            <w:tcBorders>
              <w:top w:val="single" w:sz="4" w:space="0" w:color="auto"/>
              <w:bottom w:val="single" w:sz="4" w:space="0" w:color="auto"/>
            </w:tcBorders>
            <w:shd w:val="clear" w:color="auto" w:fill="auto"/>
            <w:noWrap/>
            <w:vAlign w:val="center"/>
          </w:tcPr>
          <w:p w14:paraId="020BD49D"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1:05</w:t>
            </w:r>
          </w:p>
        </w:tc>
        <w:tc>
          <w:tcPr>
            <w:tcW w:w="1559" w:type="dxa"/>
            <w:tcBorders>
              <w:top w:val="single" w:sz="4" w:space="0" w:color="auto"/>
              <w:bottom w:val="single" w:sz="4" w:space="0" w:color="auto"/>
            </w:tcBorders>
            <w:shd w:val="clear" w:color="auto" w:fill="auto"/>
            <w:vAlign w:val="center"/>
          </w:tcPr>
          <w:p w14:paraId="1AE83E97" w14:textId="77777777" w:rsidR="007D380E" w:rsidRPr="006A555E" w:rsidRDefault="007D380E" w:rsidP="007D380E">
            <w:pPr>
              <w:spacing w:after="0" w:line="240" w:lineRule="auto"/>
              <w:jc w:val="center"/>
              <w:rPr>
                <w:rFonts w:ascii="David" w:hAnsi="David" w:cs="David"/>
              </w:rPr>
            </w:pPr>
            <w:r w:rsidRPr="006A555E">
              <w:rPr>
                <w:rFonts w:ascii="David" w:hAnsi="David" w:cs="David"/>
              </w:rPr>
              <w:t>0:59</w:t>
            </w:r>
          </w:p>
        </w:tc>
        <w:tc>
          <w:tcPr>
            <w:tcW w:w="850" w:type="dxa"/>
            <w:tcBorders>
              <w:top w:val="single" w:sz="4" w:space="0" w:color="auto"/>
              <w:bottom w:val="single" w:sz="4" w:space="0" w:color="auto"/>
            </w:tcBorders>
            <w:shd w:val="clear" w:color="auto" w:fill="auto"/>
            <w:vAlign w:val="center"/>
          </w:tcPr>
          <w:p w14:paraId="5AB5D922" w14:textId="77777777" w:rsidR="007D380E" w:rsidRPr="006A555E" w:rsidRDefault="007D380E" w:rsidP="007D380E">
            <w:pPr>
              <w:spacing w:after="0" w:line="240" w:lineRule="auto"/>
              <w:jc w:val="center"/>
              <w:rPr>
                <w:rFonts w:ascii="David" w:hAnsi="David" w:cs="David"/>
              </w:rPr>
            </w:pPr>
            <w:r w:rsidRPr="006A555E">
              <w:rPr>
                <w:rFonts w:ascii="David" w:hAnsi="David" w:cs="David" w:hint="cs"/>
                <w:rtl/>
              </w:rPr>
              <w:t>0:06+</w:t>
            </w:r>
          </w:p>
        </w:tc>
      </w:tr>
      <w:tr w:rsidR="007D380E" w:rsidRPr="006A555E" w14:paraId="43048E6B"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7E4494A8"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2807E074" w14:textId="77777777" w:rsidR="007D380E" w:rsidRPr="006A555E" w:rsidRDefault="007D380E" w:rsidP="007D380E">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D9D9D9"/>
            <w:vAlign w:val="center"/>
          </w:tcPr>
          <w:p w14:paraId="513A7983" w14:textId="77777777" w:rsidR="007D380E" w:rsidRPr="006A555E" w:rsidRDefault="007D380E" w:rsidP="007D380E">
            <w:pPr>
              <w:spacing w:after="0" w:line="240" w:lineRule="auto"/>
              <w:rPr>
                <w:rFonts w:ascii="David" w:hAnsi="David" w:cs="David"/>
                <w:rtl/>
              </w:rPr>
            </w:pPr>
            <w:r w:rsidRPr="006A555E">
              <w:rPr>
                <w:rFonts w:ascii="David" w:hAnsi="David" w:cs="David"/>
                <w:rtl/>
              </w:rPr>
              <w:t xml:space="preserve">הטרדה מאיימת וצו הגנה (ה"ט) </w:t>
            </w:r>
          </w:p>
        </w:tc>
        <w:tc>
          <w:tcPr>
            <w:tcW w:w="1276" w:type="dxa"/>
            <w:tcBorders>
              <w:top w:val="single" w:sz="4" w:space="0" w:color="auto"/>
              <w:bottom w:val="single" w:sz="4" w:space="0" w:color="auto"/>
            </w:tcBorders>
            <w:shd w:val="clear" w:color="auto" w:fill="D9D9D9"/>
            <w:vAlign w:val="center"/>
          </w:tcPr>
          <w:p w14:paraId="4B547958"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7,558</w:t>
            </w:r>
          </w:p>
        </w:tc>
        <w:tc>
          <w:tcPr>
            <w:tcW w:w="1418" w:type="dxa"/>
            <w:tcBorders>
              <w:top w:val="single" w:sz="4" w:space="0" w:color="auto"/>
              <w:bottom w:val="single" w:sz="4" w:space="0" w:color="auto"/>
            </w:tcBorders>
            <w:shd w:val="clear" w:color="auto" w:fill="D9D9D9"/>
            <w:noWrap/>
            <w:vAlign w:val="center"/>
          </w:tcPr>
          <w:p w14:paraId="02C00E3F" w14:textId="77777777" w:rsidR="007D380E" w:rsidRPr="006A555E" w:rsidRDefault="007D380E" w:rsidP="007D380E">
            <w:pPr>
              <w:spacing w:after="0" w:line="240" w:lineRule="auto"/>
              <w:jc w:val="center"/>
              <w:rPr>
                <w:rFonts w:ascii="David" w:hAnsi="David" w:cs="David"/>
                <w:b/>
                <w:bCs/>
                <w:rtl/>
              </w:rPr>
            </w:pPr>
            <w:r w:rsidRPr="006A555E">
              <w:rPr>
                <w:rFonts w:ascii="David" w:hAnsi="David" w:cs="David"/>
                <w:b/>
                <w:bCs/>
              </w:rPr>
              <w:t>0:58</w:t>
            </w:r>
          </w:p>
        </w:tc>
        <w:tc>
          <w:tcPr>
            <w:tcW w:w="1559" w:type="dxa"/>
            <w:tcBorders>
              <w:top w:val="single" w:sz="4" w:space="0" w:color="auto"/>
              <w:bottom w:val="single" w:sz="4" w:space="0" w:color="auto"/>
            </w:tcBorders>
            <w:shd w:val="clear" w:color="auto" w:fill="D9D9D9"/>
            <w:vAlign w:val="center"/>
          </w:tcPr>
          <w:p w14:paraId="1CEF423B" w14:textId="77777777" w:rsidR="007D380E" w:rsidRPr="006A555E" w:rsidRDefault="007D380E" w:rsidP="007D380E">
            <w:pPr>
              <w:spacing w:after="0" w:line="240" w:lineRule="auto"/>
              <w:jc w:val="center"/>
              <w:rPr>
                <w:rFonts w:ascii="David" w:hAnsi="David" w:cs="David"/>
              </w:rPr>
            </w:pPr>
            <w:r w:rsidRPr="006A555E">
              <w:rPr>
                <w:rFonts w:ascii="David" w:hAnsi="David" w:cs="David"/>
              </w:rPr>
              <w:t>1:41</w:t>
            </w:r>
          </w:p>
        </w:tc>
        <w:tc>
          <w:tcPr>
            <w:tcW w:w="850" w:type="dxa"/>
            <w:tcBorders>
              <w:top w:val="single" w:sz="4" w:space="0" w:color="auto"/>
              <w:bottom w:val="single" w:sz="4" w:space="0" w:color="auto"/>
            </w:tcBorders>
            <w:shd w:val="clear" w:color="auto" w:fill="D9D9D9"/>
            <w:vAlign w:val="center"/>
          </w:tcPr>
          <w:p w14:paraId="21CCA5E2" w14:textId="77777777" w:rsidR="007D380E" w:rsidRPr="006A555E" w:rsidRDefault="007D380E" w:rsidP="007D380E">
            <w:pPr>
              <w:spacing w:after="0" w:line="240" w:lineRule="auto"/>
              <w:jc w:val="center"/>
              <w:rPr>
                <w:rFonts w:ascii="David" w:hAnsi="David" w:cs="David"/>
                <w:rtl/>
              </w:rPr>
            </w:pPr>
            <w:r w:rsidRPr="006A555E">
              <w:rPr>
                <w:rFonts w:ascii="David" w:hAnsi="David" w:cs="David" w:hint="cs"/>
                <w:rtl/>
              </w:rPr>
              <w:t>0:43-</w:t>
            </w:r>
          </w:p>
        </w:tc>
      </w:tr>
      <w:tr w:rsidR="007D380E" w:rsidRPr="006A555E" w14:paraId="3CD7978F"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20D86502"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28A7B1CE" w14:textId="77777777" w:rsidR="007D380E" w:rsidRPr="006A555E" w:rsidRDefault="007D380E" w:rsidP="007D380E">
            <w:pPr>
              <w:spacing w:after="0" w:line="240" w:lineRule="auto"/>
              <w:rPr>
                <w:rFonts w:ascii="David" w:hAnsi="David" w:cs="David"/>
                <w:rtl/>
              </w:rPr>
            </w:pPr>
            <w:r w:rsidRPr="006A555E">
              <w:rPr>
                <w:rFonts w:ascii="David" w:hAnsi="David" w:cs="David"/>
                <w:rtl/>
              </w:rPr>
              <w:t>עניינים מקומיים</w:t>
            </w:r>
          </w:p>
        </w:tc>
        <w:tc>
          <w:tcPr>
            <w:tcW w:w="2262" w:type="dxa"/>
            <w:tcBorders>
              <w:top w:val="single" w:sz="4" w:space="0" w:color="auto"/>
              <w:bottom w:val="single" w:sz="4" w:space="0" w:color="auto"/>
            </w:tcBorders>
            <w:shd w:val="clear" w:color="auto" w:fill="auto"/>
            <w:vAlign w:val="center"/>
          </w:tcPr>
          <w:p w14:paraId="445CE887" w14:textId="77777777" w:rsidR="007D380E" w:rsidRPr="006A555E" w:rsidRDefault="007D380E" w:rsidP="007D380E">
            <w:pPr>
              <w:spacing w:after="0" w:line="240" w:lineRule="auto"/>
              <w:rPr>
                <w:rFonts w:ascii="David" w:hAnsi="David" w:cs="David"/>
                <w:rtl/>
              </w:rPr>
            </w:pPr>
            <w:r w:rsidRPr="006A555E">
              <w:rPr>
                <w:rFonts w:ascii="David" w:hAnsi="David" w:cs="David"/>
                <w:rtl/>
              </w:rPr>
              <w:t>פיקוח וחוקים אחרים (פק"ח)</w:t>
            </w:r>
            <w:r w:rsidRPr="006A555E">
              <w:rPr>
                <w:rFonts w:ascii="David" w:hAnsi="David" w:cs="David" w:hint="cs"/>
                <w:rtl/>
              </w:rPr>
              <w:t>*</w:t>
            </w:r>
          </w:p>
        </w:tc>
        <w:tc>
          <w:tcPr>
            <w:tcW w:w="1276" w:type="dxa"/>
            <w:tcBorders>
              <w:top w:val="single" w:sz="4" w:space="0" w:color="auto"/>
              <w:bottom w:val="single" w:sz="4" w:space="0" w:color="auto"/>
            </w:tcBorders>
            <w:vAlign w:val="center"/>
          </w:tcPr>
          <w:p w14:paraId="3B5161D4" w14:textId="77777777" w:rsidR="007D380E" w:rsidRPr="006A555E" w:rsidRDefault="007D380E" w:rsidP="007D380E">
            <w:pPr>
              <w:bidi w:val="0"/>
              <w:spacing w:after="0" w:line="240" w:lineRule="auto"/>
              <w:jc w:val="center"/>
              <w:rPr>
                <w:rFonts w:asciiTheme="minorHAnsi" w:hAnsiTheme="minorHAnsi" w:cs="David"/>
              </w:rPr>
            </w:pPr>
            <w:r w:rsidRPr="006A555E">
              <w:rPr>
                <w:rFonts w:ascii="David" w:hAnsi="David" w:cs="David"/>
              </w:rPr>
              <w:t>734</w:t>
            </w:r>
          </w:p>
        </w:tc>
        <w:tc>
          <w:tcPr>
            <w:tcW w:w="1418" w:type="dxa"/>
            <w:tcBorders>
              <w:top w:val="single" w:sz="4" w:space="0" w:color="auto"/>
              <w:bottom w:val="single" w:sz="4" w:space="0" w:color="auto"/>
            </w:tcBorders>
            <w:shd w:val="clear" w:color="auto" w:fill="auto"/>
            <w:noWrap/>
            <w:vAlign w:val="center"/>
          </w:tcPr>
          <w:p w14:paraId="3C22D33D"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0:57</w:t>
            </w:r>
          </w:p>
        </w:tc>
        <w:tc>
          <w:tcPr>
            <w:tcW w:w="1559" w:type="dxa"/>
            <w:tcBorders>
              <w:top w:val="single" w:sz="4" w:space="0" w:color="auto"/>
              <w:bottom w:val="single" w:sz="4" w:space="0" w:color="auto"/>
            </w:tcBorders>
            <w:shd w:val="clear" w:color="auto" w:fill="auto"/>
            <w:vAlign w:val="center"/>
          </w:tcPr>
          <w:p w14:paraId="1F0EA11B" w14:textId="77777777" w:rsidR="007D380E" w:rsidRPr="006A555E" w:rsidRDefault="007D380E" w:rsidP="007D380E">
            <w:pPr>
              <w:spacing w:after="0" w:line="240" w:lineRule="auto"/>
              <w:jc w:val="center"/>
              <w:rPr>
                <w:rFonts w:ascii="David" w:hAnsi="David" w:cs="David"/>
              </w:rPr>
            </w:pPr>
            <w:r w:rsidRPr="006A555E">
              <w:rPr>
                <w:rFonts w:ascii="David" w:hAnsi="David" w:cs="David" w:hint="cs"/>
                <w:rtl/>
              </w:rPr>
              <w:t>-</w:t>
            </w:r>
          </w:p>
        </w:tc>
        <w:tc>
          <w:tcPr>
            <w:tcW w:w="850" w:type="dxa"/>
            <w:tcBorders>
              <w:top w:val="single" w:sz="4" w:space="0" w:color="auto"/>
              <w:bottom w:val="single" w:sz="4" w:space="0" w:color="auto"/>
            </w:tcBorders>
            <w:shd w:val="clear" w:color="auto" w:fill="auto"/>
            <w:vAlign w:val="center"/>
          </w:tcPr>
          <w:p w14:paraId="0F474966" w14:textId="77777777" w:rsidR="007D380E" w:rsidRPr="006A555E" w:rsidRDefault="007D380E" w:rsidP="007D380E">
            <w:pPr>
              <w:spacing w:after="0" w:line="240" w:lineRule="auto"/>
              <w:jc w:val="center"/>
              <w:rPr>
                <w:rFonts w:ascii="David" w:hAnsi="David" w:cs="David"/>
              </w:rPr>
            </w:pPr>
            <w:r w:rsidRPr="006A555E">
              <w:rPr>
                <w:rFonts w:ascii="David" w:hAnsi="David" w:cs="David" w:hint="cs"/>
                <w:rtl/>
              </w:rPr>
              <w:t>-</w:t>
            </w:r>
          </w:p>
        </w:tc>
      </w:tr>
      <w:tr w:rsidR="007D380E" w:rsidRPr="006A555E" w14:paraId="01D5E385"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35DE2A0F"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27004483" w14:textId="77777777" w:rsidR="007D380E" w:rsidRPr="006A555E" w:rsidRDefault="007D380E" w:rsidP="007D380E">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D9D9D9"/>
            <w:vAlign w:val="center"/>
          </w:tcPr>
          <w:p w14:paraId="50511EDE" w14:textId="77777777" w:rsidR="007D380E" w:rsidRPr="006A555E" w:rsidRDefault="007D380E" w:rsidP="007D380E">
            <w:pPr>
              <w:spacing w:after="0" w:line="240" w:lineRule="auto"/>
              <w:rPr>
                <w:rFonts w:ascii="David" w:hAnsi="David" w:cs="David"/>
                <w:rtl/>
              </w:rPr>
            </w:pPr>
            <w:r w:rsidRPr="006A555E">
              <w:rPr>
                <w:rFonts w:ascii="David" w:hAnsi="David" w:cs="David"/>
                <w:rtl/>
              </w:rPr>
              <w:t>תיק אזרחי בסדר דין מהיר</w:t>
            </w:r>
            <w:r w:rsidRPr="006A555E">
              <w:rPr>
                <w:rFonts w:ascii="David" w:hAnsi="David" w:cs="David" w:hint="cs"/>
                <w:rtl/>
              </w:rPr>
              <w:t xml:space="preserve"> (תא"מ) </w:t>
            </w:r>
            <w:r w:rsidRPr="006A555E">
              <w:rPr>
                <w:rFonts w:ascii="David" w:hAnsi="David" w:cs="David"/>
                <w:rtl/>
              </w:rPr>
              <w:t>-</w:t>
            </w:r>
            <w:r w:rsidRPr="006A555E">
              <w:rPr>
                <w:rFonts w:ascii="David" w:hAnsi="David" w:cs="David" w:hint="cs"/>
                <w:rtl/>
              </w:rPr>
              <w:t xml:space="preserve"> </w:t>
            </w:r>
            <w:r w:rsidRPr="006A555E">
              <w:rPr>
                <w:rFonts w:ascii="David" w:hAnsi="David" w:cs="David"/>
                <w:rtl/>
              </w:rPr>
              <w:t>נזקי רכוש רכב</w:t>
            </w:r>
          </w:p>
        </w:tc>
        <w:tc>
          <w:tcPr>
            <w:tcW w:w="1276" w:type="dxa"/>
            <w:tcBorders>
              <w:top w:val="single" w:sz="4" w:space="0" w:color="auto"/>
              <w:bottom w:val="single" w:sz="4" w:space="0" w:color="auto"/>
            </w:tcBorders>
            <w:shd w:val="clear" w:color="auto" w:fill="D9D9D9"/>
            <w:vAlign w:val="center"/>
          </w:tcPr>
          <w:p w14:paraId="531A1D37"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47,517</w:t>
            </w:r>
          </w:p>
        </w:tc>
        <w:tc>
          <w:tcPr>
            <w:tcW w:w="1418" w:type="dxa"/>
            <w:tcBorders>
              <w:top w:val="single" w:sz="4" w:space="0" w:color="auto"/>
              <w:bottom w:val="single" w:sz="4" w:space="0" w:color="auto"/>
            </w:tcBorders>
            <w:shd w:val="clear" w:color="auto" w:fill="D9D9D9"/>
            <w:noWrap/>
            <w:vAlign w:val="center"/>
          </w:tcPr>
          <w:p w14:paraId="2BDF9668"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0:57</w:t>
            </w:r>
          </w:p>
        </w:tc>
        <w:tc>
          <w:tcPr>
            <w:tcW w:w="1559" w:type="dxa"/>
            <w:tcBorders>
              <w:top w:val="single" w:sz="4" w:space="0" w:color="auto"/>
              <w:bottom w:val="single" w:sz="4" w:space="0" w:color="auto"/>
            </w:tcBorders>
            <w:shd w:val="clear" w:color="auto" w:fill="D9D9D9"/>
            <w:vAlign w:val="center"/>
          </w:tcPr>
          <w:p w14:paraId="3B99DBF0" w14:textId="77777777" w:rsidR="007D380E" w:rsidRPr="006A555E" w:rsidRDefault="007D380E" w:rsidP="007D380E">
            <w:pPr>
              <w:spacing w:after="0" w:line="240" w:lineRule="auto"/>
              <w:jc w:val="center"/>
              <w:rPr>
                <w:rFonts w:ascii="David" w:hAnsi="David" w:cs="David"/>
              </w:rPr>
            </w:pPr>
            <w:r w:rsidRPr="006A555E">
              <w:rPr>
                <w:rFonts w:ascii="David" w:hAnsi="David" w:cs="David" w:hint="cs"/>
                <w:rtl/>
              </w:rPr>
              <w:t>-</w:t>
            </w:r>
          </w:p>
        </w:tc>
        <w:tc>
          <w:tcPr>
            <w:tcW w:w="850" w:type="dxa"/>
            <w:tcBorders>
              <w:top w:val="single" w:sz="4" w:space="0" w:color="auto"/>
              <w:bottom w:val="single" w:sz="4" w:space="0" w:color="auto"/>
            </w:tcBorders>
            <w:shd w:val="clear" w:color="auto" w:fill="D9D9D9"/>
            <w:vAlign w:val="center"/>
          </w:tcPr>
          <w:p w14:paraId="18975CF5" w14:textId="77777777" w:rsidR="007D380E" w:rsidRPr="006A555E" w:rsidRDefault="007D380E" w:rsidP="007D380E">
            <w:pPr>
              <w:spacing w:after="0" w:line="240" w:lineRule="auto"/>
              <w:jc w:val="center"/>
              <w:rPr>
                <w:rFonts w:ascii="David" w:hAnsi="David" w:cs="David"/>
              </w:rPr>
            </w:pPr>
            <w:r w:rsidRPr="006A555E">
              <w:rPr>
                <w:rFonts w:ascii="David" w:hAnsi="David" w:cs="David" w:hint="cs"/>
                <w:rtl/>
              </w:rPr>
              <w:t>-</w:t>
            </w:r>
          </w:p>
        </w:tc>
      </w:tr>
      <w:tr w:rsidR="007D380E" w:rsidRPr="006A555E" w14:paraId="0164B58C"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058627DB"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06B3BB6E" w14:textId="77777777" w:rsidR="007D380E" w:rsidRPr="006A555E" w:rsidRDefault="007D380E" w:rsidP="007D380E">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auto"/>
            <w:vAlign w:val="center"/>
          </w:tcPr>
          <w:p w14:paraId="382A1E47" w14:textId="77777777" w:rsidR="007D380E" w:rsidRPr="006A555E" w:rsidRDefault="007D380E" w:rsidP="007D380E">
            <w:pPr>
              <w:spacing w:after="0" w:line="240" w:lineRule="auto"/>
              <w:rPr>
                <w:rFonts w:ascii="David" w:hAnsi="David" w:cs="David"/>
                <w:rtl/>
              </w:rPr>
            </w:pPr>
            <w:r w:rsidRPr="006A555E">
              <w:rPr>
                <w:rFonts w:ascii="David" w:hAnsi="David" w:cs="David"/>
                <w:rtl/>
              </w:rPr>
              <w:t>ביצוע תביעה בהוצאה לפועל (ת"ת)</w:t>
            </w:r>
          </w:p>
        </w:tc>
        <w:tc>
          <w:tcPr>
            <w:tcW w:w="1276" w:type="dxa"/>
            <w:tcBorders>
              <w:top w:val="single" w:sz="4" w:space="0" w:color="auto"/>
              <w:bottom w:val="single" w:sz="4" w:space="0" w:color="auto"/>
            </w:tcBorders>
            <w:vAlign w:val="center"/>
          </w:tcPr>
          <w:p w14:paraId="42D864A2"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4,510</w:t>
            </w:r>
          </w:p>
        </w:tc>
        <w:tc>
          <w:tcPr>
            <w:tcW w:w="1418" w:type="dxa"/>
            <w:tcBorders>
              <w:top w:val="single" w:sz="4" w:space="0" w:color="auto"/>
              <w:bottom w:val="single" w:sz="4" w:space="0" w:color="auto"/>
            </w:tcBorders>
            <w:shd w:val="clear" w:color="auto" w:fill="auto"/>
            <w:noWrap/>
            <w:vAlign w:val="center"/>
          </w:tcPr>
          <w:p w14:paraId="029981CF" w14:textId="77777777" w:rsidR="007D380E" w:rsidRPr="006A555E" w:rsidRDefault="007D380E" w:rsidP="007D380E">
            <w:pPr>
              <w:spacing w:after="0" w:line="240" w:lineRule="auto"/>
              <w:jc w:val="center"/>
              <w:rPr>
                <w:rFonts w:ascii="David" w:hAnsi="David" w:cs="David"/>
                <w:b/>
                <w:bCs/>
              </w:rPr>
            </w:pPr>
            <w:r w:rsidRPr="006A555E">
              <w:rPr>
                <w:rFonts w:ascii="David" w:hAnsi="David" w:cs="David" w:hint="cs"/>
                <w:b/>
                <w:bCs/>
                <w:rtl/>
              </w:rPr>
              <w:t>0:55</w:t>
            </w:r>
          </w:p>
        </w:tc>
        <w:tc>
          <w:tcPr>
            <w:tcW w:w="1559" w:type="dxa"/>
            <w:tcBorders>
              <w:top w:val="single" w:sz="4" w:space="0" w:color="auto"/>
              <w:bottom w:val="single" w:sz="4" w:space="0" w:color="auto"/>
            </w:tcBorders>
            <w:shd w:val="clear" w:color="auto" w:fill="auto"/>
            <w:vAlign w:val="center"/>
          </w:tcPr>
          <w:p w14:paraId="56158557" w14:textId="77777777" w:rsidR="007D380E" w:rsidRPr="006A555E" w:rsidRDefault="007D380E" w:rsidP="007D380E">
            <w:pPr>
              <w:spacing w:after="0" w:line="240" w:lineRule="auto"/>
              <w:jc w:val="center"/>
              <w:rPr>
                <w:rFonts w:ascii="David" w:hAnsi="David" w:cs="David"/>
              </w:rPr>
            </w:pPr>
            <w:r w:rsidRPr="006A555E">
              <w:rPr>
                <w:rFonts w:ascii="David" w:hAnsi="David" w:cs="David"/>
              </w:rPr>
              <w:t>1:21</w:t>
            </w:r>
          </w:p>
        </w:tc>
        <w:tc>
          <w:tcPr>
            <w:tcW w:w="850" w:type="dxa"/>
            <w:tcBorders>
              <w:top w:val="single" w:sz="4" w:space="0" w:color="auto"/>
              <w:bottom w:val="single" w:sz="4" w:space="0" w:color="auto"/>
            </w:tcBorders>
            <w:shd w:val="clear" w:color="auto" w:fill="auto"/>
            <w:vAlign w:val="center"/>
          </w:tcPr>
          <w:p w14:paraId="12A93BB8" w14:textId="77777777" w:rsidR="007D380E" w:rsidRPr="006A555E" w:rsidRDefault="007D380E" w:rsidP="007D380E">
            <w:pPr>
              <w:spacing w:after="0" w:line="240" w:lineRule="auto"/>
              <w:jc w:val="center"/>
              <w:rPr>
                <w:rFonts w:ascii="David" w:hAnsi="David" w:cs="David"/>
              </w:rPr>
            </w:pPr>
            <w:r w:rsidRPr="006A555E">
              <w:rPr>
                <w:rFonts w:ascii="David" w:hAnsi="David" w:cs="David" w:hint="cs"/>
                <w:rtl/>
              </w:rPr>
              <w:t>0:26-</w:t>
            </w:r>
          </w:p>
        </w:tc>
      </w:tr>
      <w:tr w:rsidR="007D380E" w:rsidRPr="006A555E" w14:paraId="7B390F94"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0F957C14"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74C5B1ED" w14:textId="77777777" w:rsidR="007D380E" w:rsidRPr="006A555E" w:rsidRDefault="007D380E" w:rsidP="007D380E">
            <w:pPr>
              <w:spacing w:after="0" w:line="240" w:lineRule="auto"/>
              <w:rPr>
                <w:rFonts w:ascii="David" w:hAnsi="David" w:cs="David"/>
                <w:rtl/>
              </w:rPr>
            </w:pPr>
            <w:r w:rsidRPr="006A555E">
              <w:rPr>
                <w:rFonts w:ascii="David" w:hAnsi="David" w:cs="David"/>
                <w:rtl/>
              </w:rPr>
              <w:t>אזרחי</w:t>
            </w:r>
          </w:p>
        </w:tc>
        <w:tc>
          <w:tcPr>
            <w:tcW w:w="2262" w:type="dxa"/>
            <w:tcBorders>
              <w:top w:val="single" w:sz="4" w:space="0" w:color="auto"/>
              <w:bottom w:val="single" w:sz="4" w:space="0" w:color="auto"/>
            </w:tcBorders>
            <w:shd w:val="clear" w:color="auto" w:fill="D9D9D9"/>
            <w:vAlign w:val="center"/>
          </w:tcPr>
          <w:p w14:paraId="5F47D24F" w14:textId="77777777" w:rsidR="007D380E" w:rsidRPr="006A555E" w:rsidRDefault="007D380E" w:rsidP="007D380E">
            <w:pPr>
              <w:spacing w:after="0" w:line="240" w:lineRule="auto"/>
              <w:rPr>
                <w:rFonts w:ascii="David" w:hAnsi="David" w:cs="David"/>
                <w:rtl/>
              </w:rPr>
            </w:pPr>
            <w:r w:rsidRPr="006A555E">
              <w:rPr>
                <w:rFonts w:ascii="David" w:hAnsi="David" w:cs="David"/>
                <w:rtl/>
              </w:rPr>
              <w:t>תיק אזרחי בסדר דין מקוצר (תא"ק)</w:t>
            </w:r>
          </w:p>
        </w:tc>
        <w:tc>
          <w:tcPr>
            <w:tcW w:w="1276" w:type="dxa"/>
            <w:tcBorders>
              <w:top w:val="single" w:sz="4" w:space="0" w:color="auto"/>
              <w:bottom w:val="single" w:sz="4" w:space="0" w:color="auto"/>
            </w:tcBorders>
            <w:shd w:val="clear" w:color="auto" w:fill="D9D9D9"/>
            <w:vAlign w:val="center"/>
          </w:tcPr>
          <w:p w14:paraId="615C1702"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21,455</w:t>
            </w:r>
          </w:p>
        </w:tc>
        <w:tc>
          <w:tcPr>
            <w:tcW w:w="1418" w:type="dxa"/>
            <w:tcBorders>
              <w:top w:val="single" w:sz="4" w:space="0" w:color="auto"/>
              <w:bottom w:val="single" w:sz="4" w:space="0" w:color="auto"/>
            </w:tcBorders>
            <w:shd w:val="clear" w:color="auto" w:fill="D9D9D9"/>
            <w:noWrap/>
            <w:vAlign w:val="center"/>
          </w:tcPr>
          <w:p w14:paraId="24EBA0AA"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0:55</w:t>
            </w:r>
          </w:p>
        </w:tc>
        <w:tc>
          <w:tcPr>
            <w:tcW w:w="1559" w:type="dxa"/>
            <w:tcBorders>
              <w:top w:val="single" w:sz="4" w:space="0" w:color="auto"/>
              <w:bottom w:val="single" w:sz="4" w:space="0" w:color="auto"/>
            </w:tcBorders>
            <w:shd w:val="clear" w:color="auto" w:fill="D9D9D9"/>
            <w:vAlign w:val="center"/>
          </w:tcPr>
          <w:p w14:paraId="7E7F53AD" w14:textId="77777777" w:rsidR="007D380E" w:rsidRPr="006A555E" w:rsidRDefault="007D380E" w:rsidP="007D380E">
            <w:pPr>
              <w:spacing w:after="0" w:line="240" w:lineRule="auto"/>
              <w:jc w:val="center"/>
              <w:rPr>
                <w:rFonts w:ascii="David" w:hAnsi="David" w:cs="David"/>
              </w:rPr>
            </w:pPr>
            <w:r w:rsidRPr="006A555E">
              <w:rPr>
                <w:rFonts w:ascii="David" w:hAnsi="David" w:cs="David"/>
              </w:rPr>
              <w:t>1:04</w:t>
            </w:r>
          </w:p>
        </w:tc>
        <w:tc>
          <w:tcPr>
            <w:tcW w:w="850" w:type="dxa"/>
            <w:tcBorders>
              <w:top w:val="single" w:sz="4" w:space="0" w:color="auto"/>
              <w:bottom w:val="single" w:sz="4" w:space="0" w:color="auto"/>
            </w:tcBorders>
            <w:shd w:val="clear" w:color="auto" w:fill="D9D9D9"/>
            <w:vAlign w:val="center"/>
          </w:tcPr>
          <w:p w14:paraId="75B9FD58" w14:textId="77777777" w:rsidR="007D380E" w:rsidRPr="006A555E" w:rsidRDefault="007D380E" w:rsidP="007D380E">
            <w:pPr>
              <w:spacing w:after="0" w:line="240" w:lineRule="auto"/>
              <w:jc w:val="center"/>
              <w:rPr>
                <w:rFonts w:ascii="David" w:hAnsi="David" w:cs="David"/>
              </w:rPr>
            </w:pPr>
            <w:r w:rsidRPr="006A555E">
              <w:rPr>
                <w:rFonts w:ascii="David" w:hAnsi="David" w:cs="David" w:hint="cs"/>
                <w:rtl/>
              </w:rPr>
              <w:t>0:09-</w:t>
            </w:r>
          </w:p>
        </w:tc>
      </w:tr>
      <w:tr w:rsidR="007D380E" w:rsidRPr="006A555E" w14:paraId="497A9041"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57178F49"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3DE0BA5D" w14:textId="77777777" w:rsidR="007D380E" w:rsidRPr="006A555E" w:rsidRDefault="007D380E" w:rsidP="007D380E">
            <w:pPr>
              <w:spacing w:after="0" w:line="240" w:lineRule="auto"/>
              <w:rPr>
                <w:rFonts w:ascii="David" w:hAnsi="David" w:cs="David"/>
                <w:rtl/>
              </w:rPr>
            </w:pPr>
            <w:r w:rsidRPr="006A555E">
              <w:rPr>
                <w:rFonts w:ascii="David" w:hAnsi="David" w:cs="David"/>
                <w:rtl/>
              </w:rPr>
              <w:t>עניינים מקומיים</w:t>
            </w:r>
          </w:p>
        </w:tc>
        <w:tc>
          <w:tcPr>
            <w:tcW w:w="2262" w:type="dxa"/>
            <w:tcBorders>
              <w:top w:val="single" w:sz="4" w:space="0" w:color="auto"/>
              <w:bottom w:val="single" w:sz="4" w:space="0" w:color="auto"/>
            </w:tcBorders>
            <w:shd w:val="clear" w:color="auto" w:fill="auto"/>
            <w:vAlign w:val="center"/>
          </w:tcPr>
          <w:p w14:paraId="715A4944" w14:textId="77777777" w:rsidR="007D380E" w:rsidRPr="006A555E" w:rsidRDefault="007D380E" w:rsidP="007D380E">
            <w:pPr>
              <w:spacing w:after="0" w:line="240" w:lineRule="auto"/>
              <w:rPr>
                <w:rFonts w:ascii="David" w:hAnsi="David" w:cs="David"/>
                <w:rtl/>
              </w:rPr>
            </w:pPr>
            <w:r w:rsidRPr="006A555E">
              <w:rPr>
                <w:rFonts w:ascii="David" w:hAnsi="David" w:cs="David"/>
                <w:rtl/>
              </w:rPr>
              <w:t>חוקי עזר עירוניים - ברירת קנס (חע"ק)</w:t>
            </w:r>
            <w:r w:rsidRPr="006A555E">
              <w:rPr>
                <w:rFonts w:ascii="David" w:hAnsi="David" w:cs="David" w:hint="cs"/>
                <w:rtl/>
              </w:rPr>
              <w:t>*</w:t>
            </w:r>
          </w:p>
        </w:tc>
        <w:tc>
          <w:tcPr>
            <w:tcW w:w="1276" w:type="dxa"/>
            <w:tcBorders>
              <w:top w:val="single" w:sz="4" w:space="0" w:color="auto"/>
              <w:bottom w:val="single" w:sz="4" w:space="0" w:color="auto"/>
            </w:tcBorders>
            <w:vAlign w:val="center"/>
          </w:tcPr>
          <w:p w14:paraId="2FB99A7C"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785</w:t>
            </w:r>
          </w:p>
        </w:tc>
        <w:tc>
          <w:tcPr>
            <w:tcW w:w="1418" w:type="dxa"/>
            <w:tcBorders>
              <w:top w:val="single" w:sz="4" w:space="0" w:color="auto"/>
              <w:bottom w:val="single" w:sz="4" w:space="0" w:color="auto"/>
            </w:tcBorders>
            <w:shd w:val="clear" w:color="auto" w:fill="auto"/>
            <w:noWrap/>
            <w:vAlign w:val="center"/>
          </w:tcPr>
          <w:p w14:paraId="7E68465C" w14:textId="77777777" w:rsidR="007D380E" w:rsidRPr="006A555E" w:rsidRDefault="007D380E" w:rsidP="007D380E">
            <w:pPr>
              <w:spacing w:after="0" w:line="240" w:lineRule="auto"/>
              <w:jc w:val="center"/>
              <w:rPr>
                <w:rFonts w:ascii="David" w:hAnsi="David" w:cs="David"/>
                <w:b/>
                <w:bCs/>
              </w:rPr>
            </w:pPr>
            <w:r w:rsidRPr="006A555E">
              <w:rPr>
                <w:rFonts w:ascii="David" w:hAnsi="David" w:cs="David" w:hint="cs"/>
                <w:b/>
                <w:bCs/>
                <w:rtl/>
              </w:rPr>
              <w:t>0:36</w:t>
            </w:r>
          </w:p>
        </w:tc>
        <w:tc>
          <w:tcPr>
            <w:tcW w:w="1559" w:type="dxa"/>
            <w:tcBorders>
              <w:top w:val="single" w:sz="4" w:space="0" w:color="auto"/>
              <w:bottom w:val="single" w:sz="4" w:space="0" w:color="auto"/>
            </w:tcBorders>
            <w:shd w:val="clear" w:color="auto" w:fill="auto"/>
            <w:vAlign w:val="center"/>
          </w:tcPr>
          <w:p w14:paraId="016023EC" w14:textId="77777777" w:rsidR="007D380E" w:rsidRPr="006A555E" w:rsidRDefault="007D380E" w:rsidP="007D380E">
            <w:pPr>
              <w:spacing w:after="0" w:line="240" w:lineRule="auto"/>
              <w:jc w:val="center"/>
              <w:rPr>
                <w:rFonts w:ascii="David" w:hAnsi="David" w:cs="David"/>
              </w:rPr>
            </w:pPr>
            <w:r w:rsidRPr="006A555E">
              <w:rPr>
                <w:rFonts w:ascii="David" w:hAnsi="David" w:cs="David" w:hint="cs"/>
                <w:rtl/>
              </w:rPr>
              <w:t>0:17</w:t>
            </w:r>
          </w:p>
        </w:tc>
        <w:tc>
          <w:tcPr>
            <w:tcW w:w="850" w:type="dxa"/>
            <w:tcBorders>
              <w:top w:val="single" w:sz="4" w:space="0" w:color="auto"/>
              <w:bottom w:val="single" w:sz="4" w:space="0" w:color="auto"/>
            </w:tcBorders>
            <w:shd w:val="clear" w:color="auto" w:fill="auto"/>
            <w:vAlign w:val="center"/>
          </w:tcPr>
          <w:p w14:paraId="604EC8CF" w14:textId="77777777" w:rsidR="007D380E" w:rsidRPr="006A555E" w:rsidRDefault="007D380E" w:rsidP="007D380E">
            <w:pPr>
              <w:spacing w:after="0" w:line="240" w:lineRule="auto"/>
              <w:jc w:val="center"/>
              <w:rPr>
                <w:rFonts w:ascii="David" w:hAnsi="David" w:cs="David"/>
              </w:rPr>
            </w:pPr>
            <w:r w:rsidRPr="006A555E">
              <w:rPr>
                <w:rFonts w:ascii="David" w:hAnsi="David" w:cs="David" w:hint="cs"/>
                <w:rtl/>
              </w:rPr>
              <w:t>0:19+</w:t>
            </w:r>
          </w:p>
        </w:tc>
      </w:tr>
      <w:tr w:rsidR="007D380E" w:rsidRPr="006A555E" w14:paraId="0E8BFE5C"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7DFCF7DC"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6CBDA27D" w14:textId="77777777" w:rsidR="007D380E" w:rsidRPr="006A555E" w:rsidRDefault="007D380E" w:rsidP="007D380E">
            <w:pPr>
              <w:spacing w:after="0" w:line="240" w:lineRule="auto"/>
              <w:rPr>
                <w:rFonts w:ascii="David" w:hAnsi="David" w:cs="David"/>
                <w:rtl/>
              </w:rPr>
            </w:pPr>
            <w:r w:rsidRPr="006A555E">
              <w:rPr>
                <w:rFonts w:ascii="David" w:hAnsi="David" w:cs="David"/>
                <w:rtl/>
              </w:rPr>
              <w:t>מעצרים/ פלילי</w:t>
            </w:r>
          </w:p>
        </w:tc>
        <w:tc>
          <w:tcPr>
            <w:tcW w:w="2262" w:type="dxa"/>
            <w:tcBorders>
              <w:top w:val="single" w:sz="4" w:space="0" w:color="auto"/>
              <w:bottom w:val="single" w:sz="4" w:space="0" w:color="auto"/>
            </w:tcBorders>
            <w:shd w:val="clear" w:color="auto" w:fill="D9D9D9"/>
            <w:vAlign w:val="center"/>
          </w:tcPr>
          <w:p w14:paraId="420F8115" w14:textId="77777777" w:rsidR="007D380E" w:rsidRPr="006A555E" w:rsidRDefault="007D380E" w:rsidP="007D380E">
            <w:pPr>
              <w:spacing w:after="0" w:line="240" w:lineRule="auto"/>
              <w:rPr>
                <w:rFonts w:ascii="David" w:hAnsi="David" w:cs="David"/>
                <w:rtl/>
              </w:rPr>
            </w:pPr>
            <w:r w:rsidRPr="006A555E">
              <w:rPr>
                <w:rFonts w:ascii="David" w:hAnsi="David" w:cs="David"/>
                <w:rtl/>
              </w:rPr>
              <w:t>מעצר ימים (מ"י)</w:t>
            </w:r>
          </w:p>
        </w:tc>
        <w:tc>
          <w:tcPr>
            <w:tcW w:w="1276" w:type="dxa"/>
            <w:tcBorders>
              <w:top w:val="single" w:sz="4" w:space="0" w:color="auto"/>
              <w:bottom w:val="single" w:sz="4" w:space="0" w:color="auto"/>
            </w:tcBorders>
            <w:shd w:val="clear" w:color="auto" w:fill="D9D9D9"/>
            <w:vAlign w:val="center"/>
          </w:tcPr>
          <w:p w14:paraId="67D7DD37"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39,112</w:t>
            </w:r>
          </w:p>
        </w:tc>
        <w:tc>
          <w:tcPr>
            <w:tcW w:w="1418" w:type="dxa"/>
            <w:tcBorders>
              <w:top w:val="single" w:sz="4" w:space="0" w:color="auto"/>
              <w:bottom w:val="single" w:sz="4" w:space="0" w:color="auto"/>
            </w:tcBorders>
            <w:shd w:val="clear" w:color="auto" w:fill="D9D9D9"/>
            <w:noWrap/>
            <w:vAlign w:val="center"/>
          </w:tcPr>
          <w:p w14:paraId="5F4E77F9"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0:35</w:t>
            </w:r>
          </w:p>
        </w:tc>
        <w:tc>
          <w:tcPr>
            <w:tcW w:w="1559" w:type="dxa"/>
            <w:tcBorders>
              <w:top w:val="single" w:sz="4" w:space="0" w:color="auto"/>
              <w:bottom w:val="single" w:sz="4" w:space="0" w:color="auto"/>
            </w:tcBorders>
            <w:shd w:val="clear" w:color="auto" w:fill="D9D9D9"/>
            <w:vAlign w:val="center"/>
          </w:tcPr>
          <w:p w14:paraId="605D61FF" w14:textId="77777777" w:rsidR="007D380E" w:rsidRPr="006A555E" w:rsidRDefault="007D380E" w:rsidP="007D380E">
            <w:pPr>
              <w:spacing w:after="0" w:line="240" w:lineRule="auto"/>
              <w:jc w:val="center"/>
              <w:rPr>
                <w:rFonts w:ascii="David" w:hAnsi="David" w:cs="David"/>
              </w:rPr>
            </w:pPr>
            <w:r w:rsidRPr="006A555E">
              <w:rPr>
                <w:rFonts w:ascii="David" w:hAnsi="David" w:cs="David"/>
              </w:rPr>
              <w:t>0:31</w:t>
            </w:r>
          </w:p>
        </w:tc>
        <w:tc>
          <w:tcPr>
            <w:tcW w:w="850" w:type="dxa"/>
            <w:tcBorders>
              <w:top w:val="single" w:sz="4" w:space="0" w:color="auto"/>
              <w:bottom w:val="single" w:sz="4" w:space="0" w:color="auto"/>
            </w:tcBorders>
            <w:shd w:val="clear" w:color="auto" w:fill="D9D9D9"/>
            <w:vAlign w:val="center"/>
          </w:tcPr>
          <w:p w14:paraId="79856BF8" w14:textId="77777777" w:rsidR="007D380E" w:rsidRPr="006A555E" w:rsidRDefault="007D380E" w:rsidP="007D380E">
            <w:pPr>
              <w:spacing w:after="0" w:line="240" w:lineRule="auto"/>
              <w:jc w:val="center"/>
              <w:rPr>
                <w:rFonts w:ascii="David" w:hAnsi="David" w:cs="David"/>
              </w:rPr>
            </w:pPr>
            <w:r w:rsidRPr="006A555E">
              <w:rPr>
                <w:rFonts w:ascii="David" w:hAnsi="David" w:cs="David" w:hint="cs"/>
                <w:rtl/>
              </w:rPr>
              <w:t>0:04+</w:t>
            </w:r>
          </w:p>
        </w:tc>
      </w:tr>
      <w:tr w:rsidR="007D380E" w:rsidRPr="006A555E" w14:paraId="11755BAA"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2BA9CD3D"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2C337162" w14:textId="77777777" w:rsidR="007D380E" w:rsidRPr="006A555E" w:rsidRDefault="007D380E" w:rsidP="007D380E">
            <w:pPr>
              <w:spacing w:after="0" w:line="240" w:lineRule="auto"/>
              <w:rPr>
                <w:rFonts w:ascii="David" w:hAnsi="David" w:cs="David"/>
                <w:rtl/>
              </w:rPr>
            </w:pPr>
            <w:r w:rsidRPr="006A555E">
              <w:rPr>
                <w:rFonts w:ascii="David" w:hAnsi="David" w:cs="David"/>
                <w:rtl/>
              </w:rPr>
              <w:t>פלילי</w:t>
            </w:r>
          </w:p>
        </w:tc>
        <w:tc>
          <w:tcPr>
            <w:tcW w:w="2262" w:type="dxa"/>
            <w:tcBorders>
              <w:top w:val="single" w:sz="4" w:space="0" w:color="auto"/>
              <w:bottom w:val="single" w:sz="4" w:space="0" w:color="auto"/>
            </w:tcBorders>
            <w:shd w:val="clear" w:color="auto" w:fill="auto"/>
            <w:vAlign w:val="center"/>
          </w:tcPr>
          <w:p w14:paraId="4C91765F" w14:textId="77777777" w:rsidR="007D380E" w:rsidRPr="006A555E" w:rsidRDefault="007D380E" w:rsidP="007D380E">
            <w:pPr>
              <w:spacing w:after="0" w:line="240" w:lineRule="auto"/>
              <w:rPr>
                <w:rFonts w:ascii="David" w:hAnsi="David" w:cs="David"/>
                <w:rtl/>
              </w:rPr>
            </w:pPr>
            <w:r w:rsidRPr="006A555E">
              <w:rPr>
                <w:rFonts w:ascii="David" w:hAnsi="David" w:cs="David"/>
                <w:rtl/>
              </w:rPr>
              <w:t>ערר על החלטת קצין (ע"ק)</w:t>
            </w:r>
            <w:r w:rsidRPr="006A555E">
              <w:rPr>
                <w:rFonts w:ascii="David" w:hAnsi="David" w:cs="David" w:hint="cs"/>
                <w:rtl/>
              </w:rPr>
              <w:t>*</w:t>
            </w:r>
          </w:p>
        </w:tc>
        <w:tc>
          <w:tcPr>
            <w:tcW w:w="1276" w:type="dxa"/>
            <w:tcBorders>
              <w:top w:val="single" w:sz="4" w:space="0" w:color="auto"/>
              <w:bottom w:val="single" w:sz="4" w:space="0" w:color="auto"/>
            </w:tcBorders>
            <w:vAlign w:val="center"/>
          </w:tcPr>
          <w:p w14:paraId="0376F614"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499</w:t>
            </w:r>
          </w:p>
        </w:tc>
        <w:tc>
          <w:tcPr>
            <w:tcW w:w="1418" w:type="dxa"/>
            <w:tcBorders>
              <w:top w:val="single" w:sz="4" w:space="0" w:color="auto"/>
              <w:bottom w:val="single" w:sz="4" w:space="0" w:color="auto"/>
            </w:tcBorders>
            <w:shd w:val="clear" w:color="auto" w:fill="auto"/>
            <w:noWrap/>
            <w:vAlign w:val="center"/>
          </w:tcPr>
          <w:p w14:paraId="05CB0F66" w14:textId="77777777" w:rsidR="007D380E" w:rsidRPr="006A555E" w:rsidRDefault="007D380E" w:rsidP="007D380E">
            <w:pPr>
              <w:spacing w:after="0" w:line="240" w:lineRule="auto"/>
              <w:jc w:val="center"/>
              <w:rPr>
                <w:rFonts w:ascii="David" w:hAnsi="David" w:cs="David"/>
                <w:b/>
                <w:bCs/>
                <w:rtl/>
              </w:rPr>
            </w:pPr>
            <w:r w:rsidRPr="006A555E">
              <w:rPr>
                <w:rFonts w:ascii="David" w:hAnsi="David" w:cs="David"/>
                <w:b/>
                <w:bCs/>
              </w:rPr>
              <w:t>0:35</w:t>
            </w:r>
          </w:p>
        </w:tc>
        <w:tc>
          <w:tcPr>
            <w:tcW w:w="1559" w:type="dxa"/>
            <w:tcBorders>
              <w:top w:val="single" w:sz="4" w:space="0" w:color="auto"/>
              <w:bottom w:val="single" w:sz="4" w:space="0" w:color="auto"/>
            </w:tcBorders>
            <w:shd w:val="clear" w:color="auto" w:fill="auto"/>
            <w:vAlign w:val="center"/>
          </w:tcPr>
          <w:p w14:paraId="5A1A5D06" w14:textId="77777777" w:rsidR="007D380E" w:rsidRPr="006A555E" w:rsidRDefault="007D380E" w:rsidP="007D380E">
            <w:pPr>
              <w:spacing w:after="0" w:line="240" w:lineRule="auto"/>
              <w:jc w:val="center"/>
              <w:rPr>
                <w:rFonts w:ascii="David" w:hAnsi="David" w:cs="David"/>
              </w:rPr>
            </w:pPr>
            <w:r w:rsidRPr="006A555E">
              <w:rPr>
                <w:rFonts w:ascii="David" w:hAnsi="David" w:cs="David"/>
              </w:rPr>
              <w:t>-</w:t>
            </w:r>
          </w:p>
        </w:tc>
        <w:tc>
          <w:tcPr>
            <w:tcW w:w="850" w:type="dxa"/>
            <w:tcBorders>
              <w:top w:val="single" w:sz="4" w:space="0" w:color="auto"/>
              <w:bottom w:val="single" w:sz="4" w:space="0" w:color="auto"/>
            </w:tcBorders>
            <w:shd w:val="clear" w:color="auto" w:fill="auto"/>
            <w:vAlign w:val="center"/>
          </w:tcPr>
          <w:p w14:paraId="406F8606" w14:textId="77777777" w:rsidR="007D380E" w:rsidRPr="006A555E" w:rsidRDefault="007D380E" w:rsidP="007D380E">
            <w:pPr>
              <w:spacing w:after="0" w:line="240" w:lineRule="auto"/>
              <w:jc w:val="center"/>
              <w:rPr>
                <w:rFonts w:ascii="David" w:hAnsi="David" w:cs="David"/>
              </w:rPr>
            </w:pPr>
            <w:r w:rsidRPr="006A555E">
              <w:rPr>
                <w:rFonts w:ascii="David" w:hAnsi="David" w:cs="David"/>
              </w:rPr>
              <w:t>-</w:t>
            </w:r>
          </w:p>
        </w:tc>
      </w:tr>
      <w:tr w:rsidR="007D380E" w:rsidRPr="006A555E" w14:paraId="078E411B"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5E4A472C"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62994896" w14:textId="77777777" w:rsidR="007D380E" w:rsidRPr="006A555E" w:rsidRDefault="007D380E" w:rsidP="007D380E">
            <w:pPr>
              <w:spacing w:after="0" w:line="240" w:lineRule="auto"/>
              <w:rPr>
                <w:rFonts w:ascii="David" w:hAnsi="David" w:cs="David"/>
                <w:rtl/>
              </w:rPr>
            </w:pPr>
            <w:r w:rsidRPr="006A555E">
              <w:rPr>
                <w:rFonts w:ascii="David" w:hAnsi="David" w:cs="David"/>
                <w:rtl/>
              </w:rPr>
              <w:t>פלילי</w:t>
            </w:r>
          </w:p>
        </w:tc>
        <w:tc>
          <w:tcPr>
            <w:tcW w:w="2262" w:type="dxa"/>
            <w:tcBorders>
              <w:top w:val="single" w:sz="4" w:space="0" w:color="auto"/>
              <w:bottom w:val="single" w:sz="4" w:space="0" w:color="auto"/>
            </w:tcBorders>
            <w:shd w:val="clear" w:color="auto" w:fill="D9D9D9"/>
            <w:vAlign w:val="center"/>
          </w:tcPr>
          <w:p w14:paraId="2D828805" w14:textId="77777777" w:rsidR="007D380E" w:rsidRPr="006A555E" w:rsidRDefault="007D380E" w:rsidP="007D380E">
            <w:pPr>
              <w:spacing w:after="0" w:line="240" w:lineRule="auto"/>
              <w:rPr>
                <w:rFonts w:ascii="David" w:hAnsi="David" w:cs="David"/>
                <w:rtl/>
              </w:rPr>
            </w:pPr>
            <w:r w:rsidRPr="006A555E">
              <w:rPr>
                <w:rFonts w:ascii="David" w:hAnsi="David" w:cs="David"/>
                <w:rtl/>
              </w:rPr>
              <w:t>חקירת סיבות מוות (חס"מ)</w:t>
            </w:r>
          </w:p>
        </w:tc>
        <w:tc>
          <w:tcPr>
            <w:tcW w:w="1276" w:type="dxa"/>
            <w:tcBorders>
              <w:top w:val="single" w:sz="4" w:space="0" w:color="auto"/>
              <w:bottom w:val="single" w:sz="4" w:space="0" w:color="auto"/>
            </w:tcBorders>
            <w:shd w:val="clear" w:color="auto" w:fill="D9D9D9"/>
            <w:vAlign w:val="center"/>
          </w:tcPr>
          <w:p w14:paraId="03A90661"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149</w:t>
            </w:r>
          </w:p>
        </w:tc>
        <w:tc>
          <w:tcPr>
            <w:tcW w:w="1418" w:type="dxa"/>
            <w:tcBorders>
              <w:top w:val="single" w:sz="4" w:space="0" w:color="auto"/>
              <w:bottom w:val="single" w:sz="4" w:space="0" w:color="auto"/>
            </w:tcBorders>
            <w:shd w:val="clear" w:color="auto" w:fill="D9D9D9"/>
            <w:noWrap/>
            <w:vAlign w:val="center"/>
          </w:tcPr>
          <w:p w14:paraId="0666738F"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0:30</w:t>
            </w:r>
          </w:p>
        </w:tc>
        <w:tc>
          <w:tcPr>
            <w:tcW w:w="1559" w:type="dxa"/>
            <w:tcBorders>
              <w:top w:val="single" w:sz="4" w:space="0" w:color="auto"/>
              <w:bottom w:val="single" w:sz="4" w:space="0" w:color="auto"/>
            </w:tcBorders>
            <w:shd w:val="clear" w:color="auto" w:fill="D9D9D9"/>
            <w:vAlign w:val="center"/>
          </w:tcPr>
          <w:p w14:paraId="236BF0E5" w14:textId="77777777" w:rsidR="007D380E" w:rsidRPr="006A555E" w:rsidRDefault="007D380E" w:rsidP="007D380E">
            <w:pPr>
              <w:spacing w:after="0" w:line="240" w:lineRule="auto"/>
              <w:jc w:val="center"/>
              <w:rPr>
                <w:rFonts w:ascii="David" w:hAnsi="David" w:cs="David"/>
              </w:rPr>
            </w:pPr>
            <w:r w:rsidRPr="006A555E">
              <w:rPr>
                <w:rFonts w:ascii="David" w:hAnsi="David" w:cs="David"/>
              </w:rPr>
              <w:t>-</w:t>
            </w:r>
          </w:p>
        </w:tc>
        <w:tc>
          <w:tcPr>
            <w:tcW w:w="850" w:type="dxa"/>
            <w:tcBorders>
              <w:top w:val="single" w:sz="4" w:space="0" w:color="auto"/>
              <w:bottom w:val="single" w:sz="4" w:space="0" w:color="auto"/>
            </w:tcBorders>
            <w:shd w:val="clear" w:color="auto" w:fill="D9D9D9"/>
            <w:vAlign w:val="center"/>
          </w:tcPr>
          <w:p w14:paraId="7F0540A7" w14:textId="77777777" w:rsidR="007D380E" w:rsidRPr="006A555E" w:rsidRDefault="007D380E" w:rsidP="007D380E">
            <w:pPr>
              <w:spacing w:after="0" w:line="240" w:lineRule="auto"/>
              <w:jc w:val="center"/>
              <w:rPr>
                <w:rFonts w:ascii="David" w:hAnsi="David" w:cs="David"/>
              </w:rPr>
            </w:pPr>
            <w:r w:rsidRPr="006A555E">
              <w:rPr>
                <w:rFonts w:ascii="David" w:hAnsi="David" w:cs="David"/>
              </w:rPr>
              <w:t>-</w:t>
            </w:r>
          </w:p>
        </w:tc>
      </w:tr>
      <w:tr w:rsidR="007D380E" w:rsidRPr="006A555E" w14:paraId="31D33FE6"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776454CA"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5F15BB1F" w14:textId="77777777" w:rsidR="007D380E" w:rsidRPr="006A555E" w:rsidRDefault="007D380E" w:rsidP="007D380E">
            <w:pPr>
              <w:spacing w:after="0" w:line="240" w:lineRule="auto"/>
              <w:rPr>
                <w:rFonts w:ascii="David" w:hAnsi="David" w:cs="David"/>
                <w:rtl/>
              </w:rPr>
            </w:pPr>
            <w:r w:rsidRPr="006A555E">
              <w:rPr>
                <w:rFonts w:ascii="David" w:hAnsi="David" w:cs="David"/>
                <w:rtl/>
              </w:rPr>
              <w:t>עניינים מקומיים</w:t>
            </w:r>
          </w:p>
        </w:tc>
        <w:tc>
          <w:tcPr>
            <w:tcW w:w="2262" w:type="dxa"/>
            <w:tcBorders>
              <w:top w:val="single" w:sz="4" w:space="0" w:color="auto"/>
              <w:bottom w:val="single" w:sz="4" w:space="0" w:color="auto"/>
            </w:tcBorders>
            <w:shd w:val="clear" w:color="auto" w:fill="auto"/>
            <w:vAlign w:val="center"/>
          </w:tcPr>
          <w:p w14:paraId="5FB88A46" w14:textId="77777777" w:rsidR="007D380E" w:rsidRPr="006A555E" w:rsidRDefault="007D380E" w:rsidP="007D380E">
            <w:pPr>
              <w:spacing w:after="0" w:line="240" w:lineRule="auto"/>
              <w:rPr>
                <w:rFonts w:ascii="David" w:hAnsi="David" w:cs="David"/>
                <w:rtl/>
              </w:rPr>
            </w:pPr>
            <w:r w:rsidRPr="006A555E">
              <w:rPr>
                <w:rFonts w:ascii="David" w:hAnsi="David" w:cs="David"/>
                <w:rtl/>
              </w:rPr>
              <w:t>חנייה (ח"נ)</w:t>
            </w:r>
          </w:p>
        </w:tc>
        <w:tc>
          <w:tcPr>
            <w:tcW w:w="1276" w:type="dxa"/>
            <w:tcBorders>
              <w:top w:val="single" w:sz="4" w:space="0" w:color="auto"/>
              <w:bottom w:val="single" w:sz="4" w:space="0" w:color="auto"/>
            </w:tcBorders>
            <w:vAlign w:val="center"/>
          </w:tcPr>
          <w:p w14:paraId="459D7C7E" w14:textId="77777777" w:rsidR="007D380E" w:rsidRPr="006A555E" w:rsidRDefault="007D380E" w:rsidP="007D380E">
            <w:pPr>
              <w:bidi w:val="0"/>
              <w:spacing w:after="0" w:line="240" w:lineRule="auto"/>
              <w:jc w:val="center"/>
              <w:rPr>
                <w:rFonts w:cs="David"/>
              </w:rPr>
            </w:pPr>
            <w:r w:rsidRPr="006A555E">
              <w:rPr>
                <w:rFonts w:ascii="David" w:hAnsi="David" w:cs="David"/>
              </w:rPr>
              <w:t>23,851</w:t>
            </w:r>
          </w:p>
        </w:tc>
        <w:tc>
          <w:tcPr>
            <w:tcW w:w="1418" w:type="dxa"/>
            <w:tcBorders>
              <w:top w:val="single" w:sz="4" w:space="0" w:color="auto"/>
              <w:bottom w:val="single" w:sz="4" w:space="0" w:color="auto"/>
            </w:tcBorders>
            <w:shd w:val="clear" w:color="auto" w:fill="auto"/>
            <w:noWrap/>
            <w:vAlign w:val="center"/>
          </w:tcPr>
          <w:p w14:paraId="45BDB82D"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0:23</w:t>
            </w:r>
          </w:p>
        </w:tc>
        <w:tc>
          <w:tcPr>
            <w:tcW w:w="1559" w:type="dxa"/>
            <w:tcBorders>
              <w:top w:val="single" w:sz="4" w:space="0" w:color="auto"/>
              <w:bottom w:val="single" w:sz="4" w:space="0" w:color="auto"/>
            </w:tcBorders>
            <w:shd w:val="clear" w:color="auto" w:fill="auto"/>
            <w:vAlign w:val="center"/>
          </w:tcPr>
          <w:p w14:paraId="1A4F7E5A" w14:textId="77777777" w:rsidR="007D380E" w:rsidRPr="006A555E" w:rsidRDefault="007D380E" w:rsidP="007D380E">
            <w:pPr>
              <w:spacing w:after="0" w:line="240" w:lineRule="auto"/>
              <w:jc w:val="center"/>
              <w:rPr>
                <w:rFonts w:ascii="David" w:hAnsi="David" w:cs="David"/>
              </w:rPr>
            </w:pPr>
            <w:r w:rsidRPr="006A555E">
              <w:rPr>
                <w:rFonts w:ascii="David" w:hAnsi="David" w:cs="David" w:hint="cs"/>
                <w:rtl/>
              </w:rPr>
              <w:t>0:28</w:t>
            </w:r>
          </w:p>
        </w:tc>
        <w:tc>
          <w:tcPr>
            <w:tcW w:w="850" w:type="dxa"/>
            <w:tcBorders>
              <w:top w:val="single" w:sz="4" w:space="0" w:color="auto"/>
              <w:bottom w:val="single" w:sz="4" w:space="0" w:color="auto"/>
            </w:tcBorders>
            <w:shd w:val="clear" w:color="auto" w:fill="auto"/>
            <w:vAlign w:val="center"/>
          </w:tcPr>
          <w:p w14:paraId="76AEFAAA" w14:textId="77777777" w:rsidR="007D380E" w:rsidRPr="006A555E" w:rsidRDefault="007D380E" w:rsidP="007D380E">
            <w:pPr>
              <w:spacing w:after="0" w:line="240" w:lineRule="auto"/>
              <w:jc w:val="center"/>
              <w:rPr>
                <w:rFonts w:ascii="David" w:hAnsi="David" w:cs="David"/>
              </w:rPr>
            </w:pPr>
            <w:r w:rsidRPr="006A555E">
              <w:rPr>
                <w:rFonts w:ascii="David" w:hAnsi="David" w:cs="David" w:hint="cs"/>
                <w:rtl/>
              </w:rPr>
              <w:t>0:05-</w:t>
            </w:r>
          </w:p>
        </w:tc>
      </w:tr>
      <w:tr w:rsidR="007D380E" w:rsidRPr="006A555E" w14:paraId="023DEE89"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10472303"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1416F65F" w14:textId="77777777" w:rsidR="007D380E" w:rsidRPr="006A555E" w:rsidRDefault="007D380E" w:rsidP="007D380E">
            <w:pPr>
              <w:spacing w:after="0" w:line="240" w:lineRule="auto"/>
              <w:rPr>
                <w:rFonts w:ascii="David" w:hAnsi="David" w:cs="David"/>
                <w:rtl/>
              </w:rPr>
            </w:pPr>
            <w:r w:rsidRPr="006A555E">
              <w:rPr>
                <w:rFonts w:ascii="David" w:hAnsi="David" w:cs="David"/>
                <w:rtl/>
              </w:rPr>
              <w:t>עניינים מקומיים</w:t>
            </w:r>
          </w:p>
        </w:tc>
        <w:tc>
          <w:tcPr>
            <w:tcW w:w="2262" w:type="dxa"/>
            <w:tcBorders>
              <w:top w:val="single" w:sz="4" w:space="0" w:color="auto"/>
              <w:bottom w:val="single" w:sz="4" w:space="0" w:color="auto"/>
            </w:tcBorders>
            <w:shd w:val="clear" w:color="auto" w:fill="D9D9D9"/>
            <w:vAlign w:val="center"/>
          </w:tcPr>
          <w:p w14:paraId="4FF64A8A" w14:textId="77777777" w:rsidR="007D380E" w:rsidRPr="006A555E" w:rsidRDefault="007D380E" w:rsidP="007D380E">
            <w:pPr>
              <w:spacing w:after="0" w:line="240" w:lineRule="auto"/>
              <w:rPr>
                <w:rFonts w:ascii="David" w:hAnsi="David" w:cs="David"/>
                <w:rtl/>
              </w:rPr>
            </w:pPr>
            <w:r w:rsidRPr="006A555E">
              <w:rPr>
                <w:rFonts w:ascii="David" w:hAnsi="David" w:cs="David"/>
                <w:rtl/>
              </w:rPr>
              <w:t>חוקי עזר עירוניים - ברירת משפט (חע"מ)</w:t>
            </w:r>
            <w:r w:rsidRPr="006A555E">
              <w:rPr>
                <w:rFonts w:ascii="David" w:hAnsi="David" w:cs="David" w:hint="cs"/>
                <w:rtl/>
              </w:rPr>
              <w:t>*</w:t>
            </w:r>
          </w:p>
        </w:tc>
        <w:tc>
          <w:tcPr>
            <w:tcW w:w="1276" w:type="dxa"/>
            <w:tcBorders>
              <w:top w:val="single" w:sz="4" w:space="0" w:color="auto"/>
              <w:bottom w:val="single" w:sz="4" w:space="0" w:color="auto"/>
            </w:tcBorders>
            <w:shd w:val="clear" w:color="auto" w:fill="D9D9D9"/>
            <w:vAlign w:val="center"/>
          </w:tcPr>
          <w:p w14:paraId="36967A88" w14:textId="77777777" w:rsidR="007D380E" w:rsidRPr="006A555E" w:rsidRDefault="007D380E" w:rsidP="007D380E">
            <w:pPr>
              <w:bidi w:val="0"/>
              <w:spacing w:after="0" w:line="240" w:lineRule="auto"/>
              <w:jc w:val="center"/>
              <w:rPr>
                <w:rFonts w:cs="David"/>
              </w:rPr>
            </w:pPr>
            <w:r w:rsidRPr="006A555E">
              <w:rPr>
                <w:rFonts w:ascii="David" w:hAnsi="David" w:cs="David"/>
              </w:rPr>
              <w:t>6,705</w:t>
            </w:r>
          </w:p>
        </w:tc>
        <w:tc>
          <w:tcPr>
            <w:tcW w:w="1418" w:type="dxa"/>
            <w:tcBorders>
              <w:top w:val="single" w:sz="4" w:space="0" w:color="auto"/>
              <w:bottom w:val="single" w:sz="4" w:space="0" w:color="auto"/>
            </w:tcBorders>
            <w:shd w:val="clear" w:color="auto" w:fill="D9D9D9"/>
            <w:noWrap/>
            <w:vAlign w:val="center"/>
          </w:tcPr>
          <w:p w14:paraId="45E78A8C"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0:21</w:t>
            </w:r>
          </w:p>
        </w:tc>
        <w:tc>
          <w:tcPr>
            <w:tcW w:w="1559" w:type="dxa"/>
            <w:tcBorders>
              <w:top w:val="single" w:sz="4" w:space="0" w:color="auto"/>
              <w:bottom w:val="single" w:sz="4" w:space="0" w:color="auto"/>
            </w:tcBorders>
            <w:shd w:val="clear" w:color="auto" w:fill="D9D9D9"/>
            <w:vAlign w:val="center"/>
          </w:tcPr>
          <w:p w14:paraId="5EBB0036" w14:textId="77777777" w:rsidR="007D380E" w:rsidRPr="006A555E" w:rsidRDefault="007D380E" w:rsidP="007D380E">
            <w:pPr>
              <w:spacing w:after="0" w:line="240" w:lineRule="auto"/>
              <w:jc w:val="center"/>
              <w:rPr>
                <w:rFonts w:ascii="David" w:hAnsi="David" w:cs="David"/>
              </w:rPr>
            </w:pPr>
            <w:r w:rsidRPr="006A555E">
              <w:rPr>
                <w:rFonts w:ascii="David" w:hAnsi="David" w:cs="David" w:hint="cs"/>
                <w:rtl/>
              </w:rPr>
              <w:t>0:53</w:t>
            </w:r>
          </w:p>
        </w:tc>
        <w:tc>
          <w:tcPr>
            <w:tcW w:w="850" w:type="dxa"/>
            <w:tcBorders>
              <w:top w:val="single" w:sz="4" w:space="0" w:color="auto"/>
              <w:bottom w:val="single" w:sz="4" w:space="0" w:color="auto"/>
            </w:tcBorders>
            <w:shd w:val="clear" w:color="auto" w:fill="D9D9D9"/>
            <w:vAlign w:val="center"/>
          </w:tcPr>
          <w:p w14:paraId="47041246" w14:textId="77777777" w:rsidR="007D380E" w:rsidRPr="006A555E" w:rsidRDefault="007D380E" w:rsidP="007D380E">
            <w:pPr>
              <w:spacing w:after="0" w:line="240" w:lineRule="auto"/>
              <w:jc w:val="center"/>
              <w:rPr>
                <w:rFonts w:ascii="David" w:hAnsi="David" w:cs="David"/>
              </w:rPr>
            </w:pPr>
            <w:r w:rsidRPr="006A555E">
              <w:rPr>
                <w:rFonts w:ascii="David" w:hAnsi="David" w:cs="David" w:hint="cs"/>
                <w:rtl/>
              </w:rPr>
              <w:t>0:32-</w:t>
            </w:r>
          </w:p>
        </w:tc>
      </w:tr>
      <w:tr w:rsidR="007D380E" w:rsidRPr="006A555E" w14:paraId="63E1C74F"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1CF4AEDA"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71E493B2" w14:textId="77777777" w:rsidR="007D380E" w:rsidRPr="006A555E" w:rsidRDefault="007D380E" w:rsidP="007D380E">
            <w:pPr>
              <w:spacing w:after="0" w:line="240" w:lineRule="auto"/>
              <w:rPr>
                <w:rFonts w:ascii="David" w:hAnsi="David" w:cs="David"/>
                <w:rtl/>
              </w:rPr>
            </w:pPr>
            <w:r w:rsidRPr="006A555E">
              <w:rPr>
                <w:rFonts w:ascii="David" w:hAnsi="David" w:cs="David"/>
                <w:rtl/>
              </w:rPr>
              <w:t>פלילי</w:t>
            </w:r>
          </w:p>
        </w:tc>
        <w:tc>
          <w:tcPr>
            <w:tcW w:w="2262" w:type="dxa"/>
            <w:tcBorders>
              <w:top w:val="single" w:sz="4" w:space="0" w:color="auto"/>
              <w:bottom w:val="single" w:sz="4" w:space="0" w:color="auto"/>
            </w:tcBorders>
            <w:shd w:val="clear" w:color="auto" w:fill="auto"/>
            <w:vAlign w:val="center"/>
          </w:tcPr>
          <w:p w14:paraId="690314D7" w14:textId="77777777" w:rsidR="007D380E" w:rsidRPr="006A555E" w:rsidRDefault="007D380E" w:rsidP="007D380E">
            <w:pPr>
              <w:spacing w:after="0" w:line="240" w:lineRule="auto"/>
              <w:rPr>
                <w:rFonts w:ascii="David" w:hAnsi="David" w:cs="David"/>
                <w:rtl/>
              </w:rPr>
            </w:pPr>
            <w:r w:rsidRPr="006A555E">
              <w:rPr>
                <w:rFonts w:ascii="David" w:hAnsi="David" w:cs="David"/>
                <w:rtl/>
              </w:rPr>
              <w:t>מאסר - קנס מנהלי (מק"מ)</w:t>
            </w:r>
          </w:p>
        </w:tc>
        <w:tc>
          <w:tcPr>
            <w:tcW w:w="1276" w:type="dxa"/>
            <w:tcBorders>
              <w:top w:val="single" w:sz="4" w:space="0" w:color="auto"/>
              <w:bottom w:val="single" w:sz="4" w:space="0" w:color="auto"/>
            </w:tcBorders>
            <w:vAlign w:val="center"/>
          </w:tcPr>
          <w:p w14:paraId="36435BA4"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938</w:t>
            </w:r>
          </w:p>
        </w:tc>
        <w:tc>
          <w:tcPr>
            <w:tcW w:w="1418" w:type="dxa"/>
            <w:tcBorders>
              <w:top w:val="single" w:sz="4" w:space="0" w:color="auto"/>
              <w:bottom w:val="single" w:sz="4" w:space="0" w:color="auto"/>
            </w:tcBorders>
            <w:shd w:val="clear" w:color="auto" w:fill="auto"/>
            <w:noWrap/>
            <w:vAlign w:val="center"/>
          </w:tcPr>
          <w:p w14:paraId="511F6CC2"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0:11</w:t>
            </w:r>
          </w:p>
        </w:tc>
        <w:tc>
          <w:tcPr>
            <w:tcW w:w="1559" w:type="dxa"/>
            <w:tcBorders>
              <w:top w:val="single" w:sz="4" w:space="0" w:color="auto"/>
              <w:bottom w:val="single" w:sz="4" w:space="0" w:color="auto"/>
            </w:tcBorders>
            <w:shd w:val="clear" w:color="auto" w:fill="auto"/>
            <w:vAlign w:val="center"/>
          </w:tcPr>
          <w:p w14:paraId="3D9C2193" w14:textId="77777777" w:rsidR="007D380E" w:rsidRPr="006A555E" w:rsidRDefault="007D380E" w:rsidP="007D380E">
            <w:pPr>
              <w:spacing w:after="0" w:line="240" w:lineRule="auto"/>
              <w:jc w:val="center"/>
              <w:rPr>
                <w:rFonts w:ascii="David" w:hAnsi="David" w:cs="David"/>
              </w:rPr>
            </w:pPr>
            <w:r w:rsidRPr="006A555E">
              <w:rPr>
                <w:rFonts w:ascii="David" w:hAnsi="David" w:cs="David" w:hint="cs"/>
                <w:rtl/>
              </w:rPr>
              <w:t>-</w:t>
            </w:r>
          </w:p>
        </w:tc>
        <w:tc>
          <w:tcPr>
            <w:tcW w:w="850" w:type="dxa"/>
            <w:tcBorders>
              <w:top w:val="single" w:sz="4" w:space="0" w:color="auto"/>
              <w:bottom w:val="single" w:sz="4" w:space="0" w:color="auto"/>
            </w:tcBorders>
            <w:shd w:val="clear" w:color="auto" w:fill="auto"/>
            <w:vAlign w:val="center"/>
          </w:tcPr>
          <w:p w14:paraId="29C0C8BD" w14:textId="77777777" w:rsidR="007D380E" w:rsidRPr="006A555E" w:rsidRDefault="007D380E" w:rsidP="007D380E">
            <w:pPr>
              <w:spacing w:after="0" w:line="240" w:lineRule="auto"/>
              <w:jc w:val="center"/>
              <w:rPr>
                <w:rFonts w:ascii="David" w:hAnsi="David" w:cs="David"/>
              </w:rPr>
            </w:pPr>
            <w:r w:rsidRPr="006A555E">
              <w:rPr>
                <w:rFonts w:ascii="David" w:hAnsi="David" w:cs="David" w:hint="cs"/>
                <w:rtl/>
              </w:rPr>
              <w:t>-</w:t>
            </w:r>
          </w:p>
        </w:tc>
      </w:tr>
      <w:tr w:rsidR="007D380E" w:rsidRPr="006A555E" w14:paraId="6AFF6C81"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67A81AEE"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371E189E" w14:textId="77777777" w:rsidR="007D380E" w:rsidRPr="006A555E" w:rsidRDefault="007D380E" w:rsidP="007D380E">
            <w:pPr>
              <w:spacing w:after="0" w:line="240" w:lineRule="auto"/>
              <w:rPr>
                <w:rFonts w:ascii="David" w:hAnsi="David" w:cs="David"/>
                <w:rtl/>
              </w:rPr>
            </w:pPr>
            <w:r w:rsidRPr="006A555E">
              <w:rPr>
                <w:rFonts w:ascii="David" w:hAnsi="David" w:cs="David"/>
                <w:rtl/>
              </w:rPr>
              <w:t>מעצרים/ פלילי</w:t>
            </w:r>
          </w:p>
        </w:tc>
        <w:tc>
          <w:tcPr>
            <w:tcW w:w="2262" w:type="dxa"/>
            <w:tcBorders>
              <w:top w:val="single" w:sz="4" w:space="0" w:color="auto"/>
              <w:bottom w:val="single" w:sz="4" w:space="0" w:color="auto"/>
            </w:tcBorders>
            <w:shd w:val="clear" w:color="auto" w:fill="D9D9D9"/>
            <w:vAlign w:val="center"/>
          </w:tcPr>
          <w:p w14:paraId="18A33E6A" w14:textId="77777777" w:rsidR="007D380E" w:rsidRPr="006A555E" w:rsidRDefault="007D380E" w:rsidP="007D380E">
            <w:pPr>
              <w:spacing w:after="0" w:line="240" w:lineRule="auto"/>
              <w:rPr>
                <w:rFonts w:ascii="David" w:hAnsi="David" w:cs="David"/>
                <w:rtl/>
              </w:rPr>
            </w:pPr>
            <w:r w:rsidRPr="006A555E">
              <w:rPr>
                <w:rFonts w:ascii="David" w:hAnsi="David" w:cs="David"/>
                <w:rtl/>
              </w:rPr>
              <w:t xml:space="preserve">צו אחר (צ"א) </w:t>
            </w:r>
          </w:p>
        </w:tc>
        <w:tc>
          <w:tcPr>
            <w:tcW w:w="1276" w:type="dxa"/>
            <w:tcBorders>
              <w:top w:val="single" w:sz="4" w:space="0" w:color="auto"/>
              <w:bottom w:val="single" w:sz="4" w:space="0" w:color="auto"/>
            </w:tcBorders>
            <w:shd w:val="clear" w:color="auto" w:fill="D9D9D9"/>
            <w:vAlign w:val="center"/>
          </w:tcPr>
          <w:p w14:paraId="499E3A41"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75,556</w:t>
            </w:r>
          </w:p>
        </w:tc>
        <w:tc>
          <w:tcPr>
            <w:tcW w:w="1418" w:type="dxa"/>
            <w:tcBorders>
              <w:top w:val="single" w:sz="4" w:space="0" w:color="auto"/>
              <w:bottom w:val="single" w:sz="4" w:space="0" w:color="auto"/>
            </w:tcBorders>
            <w:shd w:val="clear" w:color="auto" w:fill="D9D9D9"/>
            <w:noWrap/>
            <w:vAlign w:val="center"/>
          </w:tcPr>
          <w:p w14:paraId="562DAFF8"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0:09</w:t>
            </w:r>
          </w:p>
        </w:tc>
        <w:tc>
          <w:tcPr>
            <w:tcW w:w="1559" w:type="dxa"/>
            <w:tcBorders>
              <w:top w:val="single" w:sz="4" w:space="0" w:color="auto"/>
              <w:bottom w:val="single" w:sz="4" w:space="0" w:color="auto"/>
            </w:tcBorders>
            <w:shd w:val="clear" w:color="auto" w:fill="D9D9D9"/>
            <w:vAlign w:val="center"/>
          </w:tcPr>
          <w:p w14:paraId="31C4AD90" w14:textId="77777777" w:rsidR="007D380E" w:rsidRPr="006A555E" w:rsidRDefault="007D380E" w:rsidP="007D380E">
            <w:pPr>
              <w:spacing w:after="0" w:line="240" w:lineRule="auto"/>
              <w:jc w:val="center"/>
              <w:rPr>
                <w:rFonts w:ascii="David" w:hAnsi="David" w:cs="David"/>
              </w:rPr>
            </w:pPr>
            <w:r w:rsidRPr="006A555E">
              <w:rPr>
                <w:rFonts w:ascii="David" w:hAnsi="David" w:cs="David"/>
              </w:rPr>
              <w:t>0:03</w:t>
            </w:r>
          </w:p>
        </w:tc>
        <w:tc>
          <w:tcPr>
            <w:tcW w:w="850" w:type="dxa"/>
            <w:tcBorders>
              <w:top w:val="single" w:sz="4" w:space="0" w:color="auto"/>
              <w:bottom w:val="single" w:sz="4" w:space="0" w:color="auto"/>
            </w:tcBorders>
            <w:shd w:val="clear" w:color="auto" w:fill="D9D9D9"/>
            <w:vAlign w:val="center"/>
          </w:tcPr>
          <w:p w14:paraId="61433970" w14:textId="77777777" w:rsidR="007D380E" w:rsidRPr="006A555E" w:rsidRDefault="007D380E" w:rsidP="007D380E">
            <w:pPr>
              <w:spacing w:after="0" w:line="240" w:lineRule="auto"/>
              <w:jc w:val="center"/>
              <w:rPr>
                <w:rFonts w:ascii="David" w:hAnsi="David" w:cs="David"/>
              </w:rPr>
            </w:pPr>
            <w:r w:rsidRPr="006A555E">
              <w:rPr>
                <w:rFonts w:ascii="David" w:hAnsi="David" w:cs="David" w:hint="cs"/>
                <w:rtl/>
              </w:rPr>
              <w:t>0:07+</w:t>
            </w:r>
          </w:p>
        </w:tc>
      </w:tr>
      <w:tr w:rsidR="007D380E" w:rsidRPr="006A555E" w14:paraId="107AE03C"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63F28380"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auto"/>
            <w:noWrap/>
            <w:vAlign w:val="center"/>
          </w:tcPr>
          <w:p w14:paraId="69ABC267" w14:textId="77777777" w:rsidR="007D380E" w:rsidRPr="006A555E" w:rsidRDefault="007D380E" w:rsidP="007D380E">
            <w:pPr>
              <w:spacing w:after="0" w:line="240" w:lineRule="auto"/>
              <w:rPr>
                <w:rFonts w:ascii="David" w:hAnsi="David" w:cs="David"/>
                <w:rtl/>
              </w:rPr>
            </w:pPr>
            <w:r w:rsidRPr="006A555E">
              <w:rPr>
                <w:rFonts w:ascii="David" w:hAnsi="David" w:cs="David"/>
                <w:rtl/>
              </w:rPr>
              <w:t>מעצרים/ פלילי</w:t>
            </w:r>
          </w:p>
        </w:tc>
        <w:tc>
          <w:tcPr>
            <w:tcW w:w="2262" w:type="dxa"/>
            <w:tcBorders>
              <w:top w:val="single" w:sz="4" w:space="0" w:color="auto"/>
              <w:bottom w:val="single" w:sz="4" w:space="0" w:color="auto"/>
            </w:tcBorders>
            <w:shd w:val="clear" w:color="auto" w:fill="auto"/>
            <w:vAlign w:val="center"/>
          </w:tcPr>
          <w:p w14:paraId="7D4DE1C0" w14:textId="77777777" w:rsidR="007D380E" w:rsidRPr="006A555E" w:rsidRDefault="007D380E" w:rsidP="007D380E">
            <w:pPr>
              <w:spacing w:after="0" w:line="240" w:lineRule="auto"/>
              <w:rPr>
                <w:rFonts w:ascii="David" w:hAnsi="David" w:cs="David"/>
                <w:rtl/>
              </w:rPr>
            </w:pPr>
            <w:r w:rsidRPr="006A555E">
              <w:rPr>
                <w:rFonts w:ascii="David" w:hAnsi="David" w:cs="David"/>
                <w:rtl/>
              </w:rPr>
              <w:t>צו חיפוש / צו כניסה (צ"ח)</w:t>
            </w:r>
          </w:p>
        </w:tc>
        <w:tc>
          <w:tcPr>
            <w:tcW w:w="1276" w:type="dxa"/>
            <w:tcBorders>
              <w:top w:val="single" w:sz="4" w:space="0" w:color="auto"/>
              <w:bottom w:val="single" w:sz="4" w:space="0" w:color="auto"/>
            </w:tcBorders>
            <w:vAlign w:val="center"/>
          </w:tcPr>
          <w:p w14:paraId="2FDA7804"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71,360</w:t>
            </w:r>
          </w:p>
        </w:tc>
        <w:tc>
          <w:tcPr>
            <w:tcW w:w="1418" w:type="dxa"/>
            <w:tcBorders>
              <w:top w:val="single" w:sz="4" w:space="0" w:color="auto"/>
              <w:bottom w:val="single" w:sz="4" w:space="0" w:color="auto"/>
            </w:tcBorders>
            <w:shd w:val="clear" w:color="auto" w:fill="auto"/>
            <w:noWrap/>
            <w:vAlign w:val="center"/>
          </w:tcPr>
          <w:p w14:paraId="6B3AEF44"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0:08</w:t>
            </w:r>
          </w:p>
        </w:tc>
        <w:tc>
          <w:tcPr>
            <w:tcW w:w="1559" w:type="dxa"/>
            <w:tcBorders>
              <w:top w:val="single" w:sz="4" w:space="0" w:color="auto"/>
              <w:bottom w:val="single" w:sz="4" w:space="0" w:color="auto"/>
            </w:tcBorders>
            <w:shd w:val="clear" w:color="auto" w:fill="auto"/>
            <w:vAlign w:val="center"/>
          </w:tcPr>
          <w:p w14:paraId="4EF9FE49" w14:textId="77777777" w:rsidR="007D380E" w:rsidRPr="006A555E" w:rsidRDefault="007D380E" w:rsidP="007D380E">
            <w:pPr>
              <w:spacing w:after="0" w:line="240" w:lineRule="auto"/>
              <w:jc w:val="center"/>
              <w:rPr>
                <w:rFonts w:ascii="David" w:hAnsi="David" w:cs="David"/>
              </w:rPr>
            </w:pPr>
            <w:r w:rsidRPr="006A555E">
              <w:rPr>
                <w:rFonts w:ascii="David" w:hAnsi="David" w:cs="David"/>
              </w:rPr>
              <w:t>0:03</w:t>
            </w:r>
          </w:p>
        </w:tc>
        <w:tc>
          <w:tcPr>
            <w:tcW w:w="850" w:type="dxa"/>
            <w:tcBorders>
              <w:top w:val="single" w:sz="4" w:space="0" w:color="auto"/>
              <w:bottom w:val="single" w:sz="4" w:space="0" w:color="auto"/>
            </w:tcBorders>
            <w:shd w:val="clear" w:color="auto" w:fill="auto"/>
            <w:vAlign w:val="center"/>
          </w:tcPr>
          <w:p w14:paraId="679D16A7" w14:textId="77777777" w:rsidR="007D380E" w:rsidRPr="006A555E" w:rsidRDefault="007D380E" w:rsidP="007D380E">
            <w:pPr>
              <w:spacing w:after="0" w:line="240" w:lineRule="auto"/>
              <w:jc w:val="center"/>
              <w:rPr>
                <w:rFonts w:ascii="David" w:hAnsi="David" w:cs="David"/>
              </w:rPr>
            </w:pPr>
            <w:r w:rsidRPr="006A555E">
              <w:rPr>
                <w:rFonts w:ascii="David" w:hAnsi="David" w:cs="David" w:hint="cs"/>
                <w:rtl/>
              </w:rPr>
              <w:t>0:05+</w:t>
            </w:r>
          </w:p>
        </w:tc>
      </w:tr>
      <w:tr w:rsidR="007D380E" w:rsidRPr="006A555E" w14:paraId="4A86311B"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54F90FEC" w14:textId="77777777" w:rsidR="007D380E" w:rsidRPr="006A555E" w:rsidRDefault="007D380E" w:rsidP="007D380E">
            <w:pPr>
              <w:spacing w:after="0" w:line="240" w:lineRule="auto"/>
              <w:rPr>
                <w:rFonts w:ascii="David" w:hAnsi="David" w:cs="David"/>
                <w:rtl/>
              </w:rPr>
            </w:pPr>
            <w:r w:rsidRPr="006A555E">
              <w:rPr>
                <w:rFonts w:ascii="David" w:hAnsi="David" w:cs="David"/>
                <w:rtl/>
              </w:rPr>
              <w:t>שלום</w:t>
            </w:r>
          </w:p>
        </w:tc>
        <w:tc>
          <w:tcPr>
            <w:tcW w:w="992" w:type="dxa"/>
            <w:tcBorders>
              <w:top w:val="single" w:sz="4" w:space="0" w:color="auto"/>
              <w:bottom w:val="single" w:sz="4" w:space="0" w:color="auto"/>
            </w:tcBorders>
            <w:shd w:val="clear" w:color="auto" w:fill="D9D9D9"/>
            <w:noWrap/>
            <w:vAlign w:val="center"/>
          </w:tcPr>
          <w:p w14:paraId="71E4BE6D" w14:textId="77777777" w:rsidR="007D380E" w:rsidRPr="006A555E" w:rsidRDefault="007D380E" w:rsidP="007D380E">
            <w:pPr>
              <w:spacing w:after="0" w:line="240" w:lineRule="auto"/>
              <w:rPr>
                <w:rFonts w:ascii="David" w:hAnsi="David" w:cs="David"/>
                <w:rtl/>
              </w:rPr>
            </w:pPr>
            <w:r w:rsidRPr="006A555E">
              <w:rPr>
                <w:rFonts w:ascii="David" w:hAnsi="David" w:cs="David"/>
                <w:rtl/>
              </w:rPr>
              <w:t>מעצרים/ פלילי</w:t>
            </w:r>
          </w:p>
        </w:tc>
        <w:tc>
          <w:tcPr>
            <w:tcW w:w="2262" w:type="dxa"/>
            <w:tcBorders>
              <w:top w:val="single" w:sz="4" w:space="0" w:color="auto"/>
              <w:bottom w:val="single" w:sz="4" w:space="0" w:color="auto"/>
            </w:tcBorders>
            <w:shd w:val="clear" w:color="auto" w:fill="D9D9D9"/>
            <w:vAlign w:val="center"/>
          </w:tcPr>
          <w:p w14:paraId="6F6A58CD" w14:textId="77777777" w:rsidR="007D380E" w:rsidRPr="006A555E" w:rsidRDefault="007D380E" w:rsidP="007D380E">
            <w:pPr>
              <w:spacing w:after="0" w:line="240" w:lineRule="auto"/>
              <w:rPr>
                <w:rFonts w:ascii="David" w:hAnsi="David" w:cs="David"/>
                <w:rtl/>
              </w:rPr>
            </w:pPr>
            <w:r w:rsidRPr="006A555E">
              <w:rPr>
                <w:rFonts w:ascii="David" w:hAnsi="David" w:cs="David"/>
                <w:rtl/>
              </w:rPr>
              <w:t>מעצר ימים בהעדר (מי"ב)</w:t>
            </w:r>
          </w:p>
        </w:tc>
        <w:tc>
          <w:tcPr>
            <w:tcW w:w="1276" w:type="dxa"/>
            <w:tcBorders>
              <w:top w:val="single" w:sz="4" w:space="0" w:color="auto"/>
              <w:bottom w:val="single" w:sz="4" w:space="0" w:color="auto"/>
            </w:tcBorders>
            <w:shd w:val="clear" w:color="auto" w:fill="D9D9D9"/>
            <w:vAlign w:val="center"/>
          </w:tcPr>
          <w:p w14:paraId="5DDD9E64" w14:textId="77777777" w:rsidR="007D380E" w:rsidRPr="006A555E" w:rsidRDefault="007D380E" w:rsidP="007D380E">
            <w:pPr>
              <w:bidi w:val="0"/>
              <w:spacing w:after="0" w:line="240" w:lineRule="auto"/>
              <w:jc w:val="center"/>
              <w:rPr>
                <w:rFonts w:ascii="David" w:hAnsi="David" w:cs="David"/>
              </w:rPr>
            </w:pPr>
            <w:r w:rsidRPr="006A555E">
              <w:rPr>
                <w:rFonts w:ascii="David" w:hAnsi="David" w:cs="David"/>
              </w:rPr>
              <w:t>13,037</w:t>
            </w:r>
          </w:p>
        </w:tc>
        <w:tc>
          <w:tcPr>
            <w:tcW w:w="1418" w:type="dxa"/>
            <w:tcBorders>
              <w:top w:val="single" w:sz="4" w:space="0" w:color="auto"/>
              <w:bottom w:val="single" w:sz="4" w:space="0" w:color="auto"/>
            </w:tcBorders>
            <w:shd w:val="clear" w:color="auto" w:fill="D9D9D9"/>
            <w:noWrap/>
            <w:vAlign w:val="center"/>
          </w:tcPr>
          <w:p w14:paraId="1A124E27" w14:textId="77777777" w:rsidR="007D380E" w:rsidRPr="006A555E" w:rsidRDefault="007D380E" w:rsidP="007D380E">
            <w:pPr>
              <w:spacing w:after="0" w:line="240" w:lineRule="auto"/>
              <w:jc w:val="center"/>
              <w:rPr>
                <w:rFonts w:ascii="David" w:hAnsi="David" w:cs="David"/>
                <w:b/>
                <w:bCs/>
              </w:rPr>
            </w:pPr>
            <w:r w:rsidRPr="006A555E">
              <w:rPr>
                <w:rFonts w:ascii="David" w:hAnsi="David" w:cs="David"/>
                <w:b/>
                <w:bCs/>
              </w:rPr>
              <w:t>0:08</w:t>
            </w:r>
          </w:p>
        </w:tc>
        <w:tc>
          <w:tcPr>
            <w:tcW w:w="1559" w:type="dxa"/>
            <w:tcBorders>
              <w:top w:val="single" w:sz="4" w:space="0" w:color="auto"/>
              <w:bottom w:val="single" w:sz="4" w:space="0" w:color="auto"/>
            </w:tcBorders>
            <w:shd w:val="clear" w:color="auto" w:fill="D9D9D9"/>
            <w:vAlign w:val="center"/>
          </w:tcPr>
          <w:p w14:paraId="4B4CF041" w14:textId="77777777" w:rsidR="007D380E" w:rsidRPr="006A555E" w:rsidRDefault="007D380E" w:rsidP="007D380E">
            <w:pPr>
              <w:spacing w:after="0" w:line="240" w:lineRule="auto"/>
              <w:jc w:val="center"/>
              <w:rPr>
                <w:rFonts w:ascii="David" w:hAnsi="David" w:cs="David"/>
              </w:rPr>
            </w:pPr>
            <w:r w:rsidRPr="006A555E">
              <w:rPr>
                <w:rFonts w:ascii="David" w:hAnsi="David" w:cs="David"/>
              </w:rPr>
              <w:t>0:08</w:t>
            </w:r>
          </w:p>
        </w:tc>
        <w:tc>
          <w:tcPr>
            <w:tcW w:w="850" w:type="dxa"/>
            <w:tcBorders>
              <w:top w:val="single" w:sz="4" w:space="0" w:color="auto"/>
              <w:bottom w:val="single" w:sz="4" w:space="0" w:color="auto"/>
            </w:tcBorders>
            <w:shd w:val="clear" w:color="auto" w:fill="D9D9D9"/>
            <w:vAlign w:val="center"/>
          </w:tcPr>
          <w:p w14:paraId="61A9CF65" w14:textId="77777777" w:rsidR="007D380E" w:rsidRPr="006A555E" w:rsidRDefault="007D380E" w:rsidP="007D380E">
            <w:pPr>
              <w:spacing w:after="0" w:line="240" w:lineRule="auto"/>
              <w:jc w:val="center"/>
              <w:rPr>
                <w:rFonts w:ascii="David" w:hAnsi="David" w:cs="David"/>
              </w:rPr>
            </w:pPr>
            <w:r w:rsidRPr="006A555E">
              <w:rPr>
                <w:rFonts w:ascii="David" w:hAnsi="David" w:cs="David" w:hint="cs"/>
                <w:rtl/>
              </w:rPr>
              <w:t>0:00</w:t>
            </w:r>
          </w:p>
        </w:tc>
      </w:tr>
    </w:tbl>
    <w:p w14:paraId="1916A35D" w14:textId="6C3C10C1" w:rsidR="00902A8F" w:rsidRDefault="00902A8F" w:rsidP="008D246F">
      <w:pPr>
        <w:rPr>
          <w:rFonts w:ascii="David" w:hAnsi="David" w:cs="David"/>
          <w:sz w:val="24"/>
          <w:szCs w:val="24"/>
          <w:rtl/>
        </w:rPr>
      </w:pPr>
    </w:p>
    <w:p w14:paraId="575BC010" w14:textId="1BA7482E" w:rsidR="007D380E" w:rsidRDefault="007D380E" w:rsidP="008D246F">
      <w:pPr>
        <w:rPr>
          <w:rFonts w:ascii="David" w:hAnsi="David" w:cs="David"/>
          <w:sz w:val="24"/>
          <w:szCs w:val="24"/>
          <w:rtl/>
        </w:rPr>
      </w:pPr>
    </w:p>
    <w:p w14:paraId="7B88C248" w14:textId="2C6B4888" w:rsidR="007D380E" w:rsidRDefault="007D380E" w:rsidP="008D246F">
      <w:pPr>
        <w:rPr>
          <w:rFonts w:ascii="David" w:hAnsi="David" w:cs="David"/>
          <w:sz w:val="24"/>
          <w:szCs w:val="24"/>
          <w:rtl/>
        </w:rPr>
      </w:pPr>
    </w:p>
    <w:p w14:paraId="2ACA43C7" w14:textId="77777777" w:rsidR="007D380E" w:rsidRPr="00F25744" w:rsidRDefault="007D380E" w:rsidP="008D246F">
      <w:pPr>
        <w:rPr>
          <w:rFonts w:ascii="David" w:hAnsi="David" w:cs="David"/>
          <w:sz w:val="24"/>
          <w:szCs w:val="24"/>
          <w:rtl/>
        </w:rPr>
      </w:pPr>
    </w:p>
    <w:p w14:paraId="1485F65D" w14:textId="764BEFA1" w:rsidR="00840519" w:rsidRPr="00F25744" w:rsidRDefault="00A54D82" w:rsidP="00A54D82">
      <w:pPr>
        <w:pStyle w:val="4"/>
        <w:ind w:left="1136"/>
        <w:rPr>
          <w:rtl/>
        </w:rPr>
      </w:pPr>
      <w:bookmarkStart w:id="479" w:name="_Toc46226066"/>
      <w:bookmarkStart w:id="480" w:name="_Toc46226210"/>
      <w:bookmarkStart w:id="481" w:name="_Toc46228377"/>
      <w:bookmarkStart w:id="482" w:name="_Toc46228475"/>
      <w:bookmarkStart w:id="483" w:name="_Toc46230402"/>
      <w:bookmarkStart w:id="484" w:name="_Toc46230500"/>
      <w:bookmarkStart w:id="485" w:name="_Toc46310390"/>
      <w:bookmarkStart w:id="486" w:name="_Toc46414032"/>
      <w:r>
        <w:rPr>
          <w:rFonts w:hint="cs"/>
          <w:rtl/>
        </w:rPr>
        <w:lastRenderedPageBreak/>
        <w:t xml:space="preserve"> </w:t>
      </w:r>
      <w:bookmarkStart w:id="487" w:name="_Toc74750994"/>
      <w:r w:rsidR="00E25AE7" w:rsidRPr="00F25744">
        <w:rPr>
          <w:rFonts w:hint="cs"/>
          <w:rtl/>
        </w:rPr>
        <w:t>זמני הטיפול בתיקי ערכאת השלום בחלוקה לסוג ההליך:</w:t>
      </w:r>
      <w:bookmarkEnd w:id="479"/>
      <w:bookmarkEnd w:id="480"/>
      <w:bookmarkEnd w:id="481"/>
      <w:bookmarkEnd w:id="482"/>
      <w:bookmarkEnd w:id="483"/>
      <w:bookmarkEnd w:id="484"/>
      <w:bookmarkEnd w:id="485"/>
      <w:bookmarkEnd w:id="486"/>
      <w:bookmarkEnd w:id="487"/>
    </w:p>
    <w:p w14:paraId="7248FD83" w14:textId="77777777" w:rsidR="00840519" w:rsidRPr="00F25744" w:rsidRDefault="00E25AE7" w:rsidP="008B4A6E">
      <w:pPr>
        <w:spacing w:line="360" w:lineRule="auto"/>
        <w:jc w:val="both"/>
        <w:rPr>
          <w:rFonts w:cs="David"/>
          <w:sz w:val="24"/>
          <w:szCs w:val="24"/>
          <w:rtl/>
        </w:rPr>
      </w:pPr>
      <w:r w:rsidRPr="00F25744">
        <w:rPr>
          <w:rFonts w:cs="David" w:hint="cs"/>
          <w:sz w:val="24"/>
          <w:szCs w:val="24"/>
          <w:rtl/>
        </w:rPr>
        <w:t>להלן נציג את זמני הטיפול השיפוטי בתיקי ערכאת השלום בחלוקה לסוגי ההליך</w:t>
      </w:r>
      <w:r w:rsidR="00BA3224" w:rsidRPr="00F25744">
        <w:rPr>
          <w:rFonts w:cs="David" w:hint="cs"/>
          <w:sz w:val="24"/>
          <w:szCs w:val="24"/>
          <w:rtl/>
        </w:rPr>
        <w:t xml:space="preserve"> </w:t>
      </w:r>
      <w:r w:rsidR="00BA3224" w:rsidRPr="00F25744">
        <w:rPr>
          <w:rFonts w:cs="David"/>
          <w:sz w:val="24"/>
          <w:szCs w:val="24"/>
          <w:rtl/>
        </w:rPr>
        <w:t>–</w:t>
      </w:r>
      <w:r w:rsidR="00BA3224" w:rsidRPr="00F25744">
        <w:rPr>
          <w:rFonts w:cs="David" w:hint="cs"/>
          <w:sz w:val="24"/>
          <w:szCs w:val="24"/>
          <w:rtl/>
        </w:rPr>
        <w:t xml:space="preserve"> אזרחי, פלילי ועמ"ק</w:t>
      </w:r>
      <w:r w:rsidRPr="00F25744">
        <w:rPr>
          <w:rFonts w:cs="David" w:hint="cs"/>
          <w:sz w:val="24"/>
          <w:szCs w:val="24"/>
          <w:rtl/>
        </w:rPr>
        <w:t>, על מנת לתת תמונה מעמיקה ומובנת יותר לגבי הזמנים הדרושים לטיפול שיפוטי בכל אחד מההליכים</w:t>
      </w:r>
      <w:r w:rsidR="008B4A6E" w:rsidRPr="00F25744">
        <w:rPr>
          <w:rFonts w:cs="David" w:hint="cs"/>
          <w:sz w:val="24"/>
          <w:szCs w:val="24"/>
          <w:rtl/>
        </w:rPr>
        <w:t>.</w:t>
      </w:r>
    </w:p>
    <w:p w14:paraId="75327F7A" w14:textId="77777777" w:rsidR="00902A8F" w:rsidRPr="00F25744" w:rsidRDefault="00902A8F" w:rsidP="00F900D7">
      <w:pPr>
        <w:spacing w:after="0" w:line="240" w:lineRule="auto"/>
        <w:jc w:val="both"/>
        <w:rPr>
          <w:rFonts w:cs="David"/>
          <w:sz w:val="24"/>
          <w:szCs w:val="24"/>
          <w:rtl/>
        </w:rPr>
      </w:pPr>
    </w:p>
    <w:p w14:paraId="2D5152F3" w14:textId="77777777" w:rsidR="008B4A6E" w:rsidRPr="00F25744" w:rsidRDefault="00E25AE7" w:rsidP="00A54D82">
      <w:pPr>
        <w:pStyle w:val="5"/>
        <w:spacing w:line="240" w:lineRule="auto"/>
        <w:ind w:left="1561"/>
        <w:rPr>
          <w:rtl/>
        </w:rPr>
      </w:pPr>
      <w:bookmarkStart w:id="488" w:name="_Toc46226067"/>
      <w:bookmarkStart w:id="489" w:name="_Toc46226211"/>
      <w:bookmarkStart w:id="490" w:name="_Toc46228378"/>
      <w:bookmarkStart w:id="491" w:name="_Toc46228476"/>
      <w:bookmarkStart w:id="492" w:name="_Toc46230403"/>
      <w:bookmarkStart w:id="493" w:name="_Toc46230501"/>
      <w:bookmarkStart w:id="494" w:name="_Toc46310391"/>
      <w:bookmarkStart w:id="495" w:name="_Toc46414033"/>
      <w:bookmarkStart w:id="496" w:name="_Toc74750995"/>
      <w:r w:rsidRPr="00F25744">
        <w:rPr>
          <w:rFonts w:hint="cs"/>
          <w:rtl/>
        </w:rPr>
        <w:t>זמני הטיפול בתיקי</w:t>
      </w:r>
      <w:r w:rsidR="00BA3224" w:rsidRPr="00F25744">
        <w:rPr>
          <w:rFonts w:hint="cs"/>
          <w:rtl/>
        </w:rPr>
        <w:t>ם אזרחיים</w:t>
      </w:r>
      <w:r w:rsidRPr="00F25744">
        <w:rPr>
          <w:rFonts w:hint="cs"/>
          <w:rtl/>
        </w:rPr>
        <w:t xml:space="preserve"> בערכאת השלום</w:t>
      </w:r>
      <w:bookmarkEnd w:id="488"/>
      <w:bookmarkEnd w:id="489"/>
      <w:bookmarkEnd w:id="490"/>
      <w:bookmarkEnd w:id="491"/>
      <w:bookmarkEnd w:id="492"/>
      <w:bookmarkEnd w:id="493"/>
      <w:bookmarkEnd w:id="494"/>
      <w:bookmarkEnd w:id="495"/>
      <w:bookmarkEnd w:id="496"/>
    </w:p>
    <w:p w14:paraId="23E7EFD9" w14:textId="77777777" w:rsidR="000273D7" w:rsidRPr="00F25744" w:rsidRDefault="000273D7" w:rsidP="00BA3224">
      <w:pPr>
        <w:pStyle w:val="af6"/>
        <w:spacing w:after="0" w:line="240" w:lineRule="auto"/>
        <w:rPr>
          <w:rtl/>
        </w:rPr>
      </w:pPr>
    </w:p>
    <w:p w14:paraId="13E91AD2" w14:textId="0B2743BC" w:rsidR="00DD5068" w:rsidRPr="00F25744" w:rsidRDefault="00E25AE7" w:rsidP="00706796">
      <w:pPr>
        <w:pStyle w:val="af6"/>
        <w:rPr>
          <w:rFonts w:ascii="David" w:hAnsi="David"/>
          <w:sz w:val="24"/>
          <w:rtl/>
        </w:rPr>
      </w:pPr>
      <w:bookmarkStart w:id="497" w:name="_Toc76988905"/>
      <w:r w:rsidRPr="00F25744">
        <w:rPr>
          <w:rtl/>
        </w:rPr>
        <w:t xml:space="preserve">טבלה </w:t>
      </w:r>
      <w:r w:rsidRPr="00F25744">
        <w:rPr>
          <w:rFonts w:ascii="David" w:hAnsi="David"/>
          <w:sz w:val="24"/>
          <w:rtl/>
        </w:rPr>
        <w:fldChar w:fldCharType="begin"/>
      </w:r>
      <w:r w:rsidRPr="00F25744">
        <w:rPr>
          <w:rFonts w:ascii="David" w:hAnsi="David"/>
          <w:sz w:val="24"/>
          <w:rtl/>
        </w:rPr>
        <w:instrText xml:space="preserve"> </w:instrText>
      </w:r>
      <w:r w:rsidRPr="00F25744">
        <w:rPr>
          <w:rFonts w:ascii="David" w:hAnsi="David" w:hint="cs"/>
          <w:sz w:val="24"/>
        </w:rPr>
        <w:instrText>SEQ</w:instrText>
      </w:r>
      <w:r w:rsidRPr="00F25744">
        <w:rPr>
          <w:rFonts w:ascii="David" w:hAnsi="David" w:hint="cs"/>
          <w:sz w:val="24"/>
          <w:rtl/>
        </w:rPr>
        <w:instrText xml:space="preserve"> טבלה \* </w:instrText>
      </w:r>
      <w:r w:rsidRPr="00F25744">
        <w:rPr>
          <w:rFonts w:ascii="David" w:hAnsi="David" w:hint="cs"/>
          <w:sz w:val="24"/>
        </w:rPr>
        <w:instrText>ARABIC</w:instrText>
      </w:r>
      <w:r w:rsidRPr="00F25744">
        <w:rPr>
          <w:rFonts w:ascii="David" w:hAnsi="David"/>
          <w:sz w:val="24"/>
          <w:rtl/>
        </w:rPr>
        <w:instrText xml:space="preserve"> </w:instrText>
      </w:r>
      <w:r w:rsidRPr="00F25744">
        <w:rPr>
          <w:rFonts w:ascii="David" w:hAnsi="David"/>
          <w:sz w:val="24"/>
          <w:rtl/>
        </w:rPr>
        <w:fldChar w:fldCharType="separate"/>
      </w:r>
      <w:r w:rsidR="008F1BC3">
        <w:rPr>
          <w:rFonts w:ascii="David" w:hAnsi="David"/>
          <w:noProof/>
          <w:sz w:val="24"/>
          <w:rtl/>
        </w:rPr>
        <w:t>10</w:t>
      </w:r>
      <w:r w:rsidRPr="00F25744">
        <w:rPr>
          <w:rFonts w:ascii="David" w:hAnsi="David"/>
          <w:sz w:val="24"/>
          <w:rtl/>
        </w:rPr>
        <w:fldChar w:fldCharType="end"/>
      </w:r>
      <w:r w:rsidR="007F3A52" w:rsidRPr="00F25744">
        <w:rPr>
          <w:rFonts w:ascii="David" w:hAnsi="David" w:hint="cs"/>
          <w:sz w:val="24"/>
          <w:rtl/>
        </w:rPr>
        <w:t>: זמני הטיפול בתיקים אזרחיים בערכאת השלום</w:t>
      </w:r>
      <w:bookmarkEnd w:id="497"/>
    </w:p>
    <w:tbl>
      <w:tblPr>
        <w:tblpPr w:rightFromText="85" w:vertAnchor="text" w:tblpXSpec="right" w:tblpY="1"/>
        <w:bidiVisual/>
        <w:tblW w:w="9204" w:type="dxa"/>
        <w:tblLayout w:type="fixed"/>
        <w:tblLook w:val="04A0" w:firstRow="1" w:lastRow="0" w:firstColumn="1" w:lastColumn="0" w:noHBand="0" w:noVBand="1"/>
      </w:tblPr>
      <w:tblGrid>
        <w:gridCol w:w="847"/>
        <w:gridCol w:w="992"/>
        <w:gridCol w:w="2121"/>
        <w:gridCol w:w="1417"/>
        <w:gridCol w:w="1418"/>
        <w:gridCol w:w="1559"/>
        <w:gridCol w:w="850"/>
      </w:tblGrid>
      <w:tr w:rsidR="00E0162E" w:rsidRPr="00110A21" w14:paraId="3C99638E" w14:textId="77777777" w:rsidTr="007D380E">
        <w:trPr>
          <w:trHeight w:val="686"/>
        </w:trPr>
        <w:tc>
          <w:tcPr>
            <w:tcW w:w="847" w:type="dxa"/>
            <w:tcBorders>
              <w:bottom w:val="single" w:sz="4" w:space="0" w:color="auto"/>
            </w:tcBorders>
            <w:shd w:val="clear" w:color="auto" w:fill="auto"/>
            <w:vAlign w:val="center"/>
            <w:hideMark/>
          </w:tcPr>
          <w:p w14:paraId="70B6AC99" w14:textId="77777777" w:rsidR="00181F76" w:rsidRPr="00110A21" w:rsidRDefault="00E25AE7" w:rsidP="00FD0858">
            <w:pPr>
              <w:spacing w:after="0" w:line="240" w:lineRule="auto"/>
              <w:jc w:val="center"/>
              <w:rPr>
                <w:rFonts w:ascii="David" w:eastAsia="Times New Roman" w:hAnsi="David" w:cs="David"/>
                <w:b/>
                <w:bCs/>
                <w:color w:val="000000"/>
              </w:rPr>
            </w:pPr>
            <w:r w:rsidRPr="00110A21">
              <w:rPr>
                <w:rFonts w:ascii="David" w:eastAsia="Times New Roman" w:hAnsi="David" w:cs="David"/>
                <w:b/>
                <w:bCs/>
                <w:color w:val="000000"/>
                <w:rtl/>
              </w:rPr>
              <w:t>ערכאה</w:t>
            </w:r>
          </w:p>
        </w:tc>
        <w:tc>
          <w:tcPr>
            <w:tcW w:w="992" w:type="dxa"/>
            <w:tcBorders>
              <w:bottom w:val="single" w:sz="4" w:space="0" w:color="auto"/>
            </w:tcBorders>
            <w:shd w:val="clear" w:color="auto" w:fill="auto"/>
            <w:vAlign w:val="center"/>
            <w:hideMark/>
          </w:tcPr>
          <w:p w14:paraId="2B086045" w14:textId="77777777" w:rsidR="00181F76" w:rsidRPr="00110A21" w:rsidRDefault="00E25AE7" w:rsidP="00FD0858">
            <w:pPr>
              <w:spacing w:after="0" w:line="240" w:lineRule="auto"/>
              <w:jc w:val="center"/>
              <w:rPr>
                <w:rFonts w:ascii="David" w:eastAsia="Times New Roman" w:hAnsi="David" w:cs="David"/>
                <w:b/>
                <w:bCs/>
                <w:color w:val="000000"/>
                <w:rtl/>
              </w:rPr>
            </w:pPr>
            <w:r w:rsidRPr="00110A21">
              <w:rPr>
                <w:rFonts w:ascii="David" w:eastAsia="Times New Roman" w:hAnsi="David" w:cs="David"/>
                <w:b/>
                <w:bCs/>
                <w:color w:val="000000"/>
                <w:rtl/>
              </w:rPr>
              <w:t>הליך</w:t>
            </w:r>
          </w:p>
        </w:tc>
        <w:tc>
          <w:tcPr>
            <w:tcW w:w="2121" w:type="dxa"/>
            <w:tcBorders>
              <w:bottom w:val="single" w:sz="4" w:space="0" w:color="auto"/>
            </w:tcBorders>
            <w:shd w:val="clear" w:color="auto" w:fill="auto"/>
            <w:vAlign w:val="center"/>
            <w:hideMark/>
          </w:tcPr>
          <w:p w14:paraId="7B62061D" w14:textId="77777777" w:rsidR="00181F76" w:rsidRPr="00110A21" w:rsidRDefault="00E25AE7" w:rsidP="00FD0858">
            <w:pPr>
              <w:spacing w:after="0" w:line="240" w:lineRule="auto"/>
              <w:jc w:val="center"/>
              <w:rPr>
                <w:rFonts w:ascii="David" w:eastAsia="Times New Roman" w:hAnsi="David" w:cs="David"/>
                <w:b/>
                <w:bCs/>
                <w:color w:val="000000"/>
                <w:rtl/>
              </w:rPr>
            </w:pPr>
            <w:r w:rsidRPr="00110A21">
              <w:rPr>
                <w:rFonts w:ascii="David" w:eastAsia="Times New Roman" w:hAnsi="David" w:cs="David"/>
                <w:b/>
                <w:bCs/>
                <w:color w:val="000000"/>
                <w:rtl/>
              </w:rPr>
              <w:t>סוג תיק</w:t>
            </w:r>
          </w:p>
        </w:tc>
        <w:tc>
          <w:tcPr>
            <w:tcW w:w="1417" w:type="dxa"/>
            <w:tcBorders>
              <w:bottom w:val="single" w:sz="4" w:space="0" w:color="auto"/>
            </w:tcBorders>
            <w:vAlign w:val="center"/>
          </w:tcPr>
          <w:p w14:paraId="7A917893" w14:textId="77777777" w:rsidR="00181F76" w:rsidRPr="00110A21" w:rsidRDefault="00E25AE7" w:rsidP="00FD0858">
            <w:pPr>
              <w:spacing w:after="0" w:line="240" w:lineRule="auto"/>
              <w:jc w:val="center"/>
              <w:rPr>
                <w:rFonts w:ascii="David" w:eastAsia="Times New Roman" w:hAnsi="David" w:cs="David"/>
                <w:b/>
                <w:bCs/>
                <w:color w:val="000000"/>
                <w:rtl/>
              </w:rPr>
            </w:pPr>
            <w:r w:rsidRPr="00110A21">
              <w:rPr>
                <w:rFonts w:ascii="David" w:eastAsia="Times New Roman" w:hAnsi="David" w:cs="David" w:hint="cs"/>
                <w:b/>
                <w:bCs/>
                <w:color w:val="000000"/>
                <w:rtl/>
              </w:rPr>
              <w:t>מספר תיקים שנסגרו ב-2019</w:t>
            </w:r>
          </w:p>
        </w:tc>
        <w:tc>
          <w:tcPr>
            <w:tcW w:w="1418" w:type="dxa"/>
            <w:tcBorders>
              <w:bottom w:val="single" w:sz="4" w:space="0" w:color="auto"/>
            </w:tcBorders>
            <w:shd w:val="clear" w:color="auto" w:fill="auto"/>
            <w:vAlign w:val="center"/>
            <w:hideMark/>
          </w:tcPr>
          <w:p w14:paraId="39CB8AED" w14:textId="77777777" w:rsidR="00181F76" w:rsidRPr="00110A21" w:rsidRDefault="00E25AE7" w:rsidP="00FD0858">
            <w:pPr>
              <w:spacing w:after="0" w:line="240" w:lineRule="auto"/>
              <w:jc w:val="center"/>
              <w:rPr>
                <w:rFonts w:ascii="David" w:eastAsia="Times New Roman" w:hAnsi="David" w:cs="David"/>
                <w:b/>
                <w:bCs/>
                <w:color w:val="000000"/>
                <w:rtl/>
              </w:rPr>
            </w:pPr>
            <w:r w:rsidRPr="00110A21">
              <w:rPr>
                <w:rFonts w:ascii="David" w:eastAsia="Times New Roman" w:hAnsi="David" w:cs="David"/>
                <w:b/>
                <w:bCs/>
                <w:color w:val="000000"/>
                <w:rtl/>
              </w:rPr>
              <w:t>הזמן השיפוטי הממוצע לט</w:t>
            </w:r>
            <w:r w:rsidRPr="00110A21">
              <w:rPr>
                <w:rFonts w:ascii="David" w:eastAsia="Times New Roman" w:hAnsi="David" w:cs="David" w:hint="cs"/>
                <w:b/>
                <w:bCs/>
                <w:color w:val="000000"/>
                <w:rtl/>
              </w:rPr>
              <w:t>י</w:t>
            </w:r>
            <w:r w:rsidRPr="00110A21">
              <w:rPr>
                <w:rFonts w:ascii="David" w:eastAsia="Times New Roman" w:hAnsi="David" w:cs="David"/>
                <w:b/>
                <w:bCs/>
                <w:color w:val="000000"/>
                <w:rtl/>
              </w:rPr>
              <w:t>פ</w:t>
            </w:r>
            <w:r w:rsidRPr="00110A21">
              <w:rPr>
                <w:rFonts w:ascii="David" w:eastAsia="Times New Roman" w:hAnsi="David" w:cs="David" w:hint="cs"/>
                <w:b/>
                <w:bCs/>
                <w:color w:val="000000"/>
                <w:rtl/>
              </w:rPr>
              <w:t>ו</w:t>
            </w:r>
            <w:r w:rsidRPr="00110A21">
              <w:rPr>
                <w:rFonts w:ascii="David" w:eastAsia="Times New Roman" w:hAnsi="David" w:cs="David"/>
                <w:b/>
                <w:bCs/>
                <w:color w:val="000000"/>
                <w:rtl/>
              </w:rPr>
              <w:t>ל בתיק</w:t>
            </w:r>
          </w:p>
        </w:tc>
        <w:tc>
          <w:tcPr>
            <w:tcW w:w="1559" w:type="dxa"/>
            <w:tcBorders>
              <w:bottom w:val="single" w:sz="4" w:space="0" w:color="auto"/>
            </w:tcBorders>
            <w:vAlign w:val="center"/>
          </w:tcPr>
          <w:p w14:paraId="509D72C0" w14:textId="77777777" w:rsidR="00181F76" w:rsidRPr="00110A21" w:rsidRDefault="00E25AE7" w:rsidP="00FD0858">
            <w:pPr>
              <w:spacing w:after="0" w:line="240" w:lineRule="auto"/>
              <w:jc w:val="center"/>
              <w:rPr>
                <w:rFonts w:ascii="David" w:eastAsia="Times New Roman" w:hAnsi="David" w:cs="David"/>
                <w:b/>
                <w:bCs/>
                <w:color w:val="000000"/>
                <w:rtl/>
              </w:rPr>
            </w:pPr>
            <w:r w:rsidRPr="00110A21">
              <w:rPr>
                <w:rFonts w:ascii="David" w:eastAsia="Times New Roman" w:hAnsi="David" w:cs="David"/>
                <w:b/>
                <w:bCs/>
                <w:color w:val="000000"/>
                <w:rtl/>
              </w:rPr>
              <w:t xml:space="preserve">הזמן השיפוטי </w:t>
            </w:r>
            <w:r w:rsidRPr="00110A21">
              <w:rPr>
                <w:rFonts w:ascii="David" w:eastAsia="Times New Roman" w:hAnsi="David" w:cs="David" w:hint="cs"/>
                <w:b/>
                <w:bCs/>
                <w:color w:val="000000"/>
                <w:rtl/>
              </w:rPr>
              <w:t xml:space="preserve">הממוצע </w:t>
            </w:r>
            <w:r w:rsidRPr="00110A21">
              <w:rPr>
                <w:rFonts w:ascii="David" w:eastAsia="Times New Roman" w:hAnsi="David" w:cs="David"/>
                <w:b/>
                <w:bCs/>
                <w:color w:val="000000"/>
                <w:rtl/>
              </w:rPr>
              <w:t>לפי מחקר ה</w:t>
            </w:r>
            <w:r w:rsidRPr="00110A21">
              <w:rPr>
                <w:rFonts w:ascii="David" w:eastAsia="Times New Roman" w:hAnsi="David" w:cs="David" w:hint="cs"/>
                <w:b/>
                <w:bCs/>
                <w:color w:val="000000"/>
                <w:rtl/>
              </w:rPr>
              <w:t>קודם</w:t>
            </w:r>
          </w:p>
        </w:tc>
        <w:tc>
          <w:tcPr>
            <w:tcW w:w="850" w:type="dxa"/>
            <w:tcBorders>
              <w:bottom w:val="single" w:sz="4" w:space="0" w:color="auto"/>
            </w:tcBorders>
            <w:vAlign w:val="center"/>
          </w:tcPr>
          <w:p w14:paraId="4348029F" w14:textId="77777777" w:rsidR="00181F76" w:rsidRPr="00110A21" w:rsidRDefault="00E25AE7" w:rsidP="00FD0858">
            <w:pPr>
              <w:spacing w:after="0" w:line="240" w:lineRule="auto"/>
              <w:jc w:val="center"/>
              <w:rPr>
                <w:rFonts w:ascii="David" w:eastAsia="Times New Roman" w:hAnsi="David" w:cs="David"/>
                <w:b/>
                <w:bCs/>
                <w:color w:val="000000"/>
                <w:rtl/>
              </w:rPr>
            </w:pPr>
            <w:r w:rsidRPr="00110A21">
              <w:rPr>
                <w:rFonts w:ascii="David" w:eastAsia="Times New Roman" w:hAnsi="David" w:cs="David"/>
                <w:b/>
                <w:bCs/>
                <w:color w:val="000000"/>
                <w:rtl/>
              </w:rPr>
              <w:t>מגמת שינ</w:t>
            </w:r>
            <w:r w:rsidRPr="00110A21">
              <w:rPr>
                <w:rFonts w:ascii="David" w:eastAsia="Times New Roman" w:hAnsi="David" w:cs="David" w:hint="cs"/>
                <w:b/>
                <w:bCs/>
                <w:color w:val="000000"/>
                <w:rtl/>
              </w:rPr>
              <w:t>ו</w:t>
            </w:r>
            <w:r w:rsidRPr="00110A21">
              <w:rPr>
                <w:rFonts w:ascii="David" w:eastAsia="Times New Roman" w:hAnsi="David" w:cs="David"/>
                <w:b/>
                <w:bCs/>
                <w:color w:val="000000"/>
                <w:rtl/>
              </w:rPr>
              <w:t>י</w:t>
            </w:r>
          </w:p>
        </w:tc>
      </w:tr>
      <w:tr w:rsidR="00E0162E" w:rsidRPr="00110A21" w14:paraId="00E06333"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638D1799" w14:textId="77777777" w:rsidR="00181F76" w:rsidRPr="00110A21" w:rsidRDefault="00E25AE7" w:rsidP="00FD0858">
            <w:pPr>
              <w:spacing w:after="0" w:line="240" w:lineRule="auto"/>
              <w:rPr>
                <w:rFonts w:ascii="David" w:hAnsi="David" w:cs="David"/>
                <w:color w:val="000000"/>
              </w:rPr>
            </w:pPr>
            <w:r w:rsidRPr="00110A21">
              <w:rPr>
                <w:rFonts w:ascii="David" w:hAnsi="David" w:cs="David"/>
                <w:color w:val="000000"/>
                <w:rtl/>
              </w:rPr>
              <w:t>שלום</w:t>
            </w:r>
          </w:p>
        </w:tc>
        <w:tc>
          <w:tcPr>
            <w:tcW w:w="992" w:type="dxa"/>
            <w:tcBorders>
              <w:top w:val="single" w:sz="4" w:space="0" w:color="auto"/>
              <w:bottom w:val="single" w:sz="4" w:space="0" w:color="auto"/>
            </w:tcBorders>
            <w:shd w:val="clear" w:color="auto" w:fill="D9D9D9"/>
            <w:noWrap/>
            <w:vAlign w:val="center"/>
          </w:tcPr>
          <w:p w14:paraId="36CF40B1" w14:textId="77777777" w:rsidR="00181F76" w:rsidRPr="00110A21" w:rsidRDefault="00E25AE7" w:rsidP="00FD0858">
            <w:pPr>
              <w:rPr>
                <w:rFonts w:ascii="David" w:hAnsi="David" w:cs="David"/>
                <w:color w:val="000000"/>
                <w:rtl/>
              </w:rPr>
            </w:pPr>
            <w:r w:rsidRPr="00110A21">
              <w:rPr>
                <w:rFonts w:ascii="David" w:hAnsi="David" w:cs="David"/>
                <w:color w:val="000000"/>
                <w:rtl/>
              </w:rPr>
              <w:t>אזרחי</w:t>
            </w:r>
          </w:p>
        </w:tc>
        <w:tc>
          <w:tcPr>
            <w:tcW w:w="2121" w:type="dxa"/>
            <w:tcBorders>
              <w:top w:val="single" w:sz="4" w:space="0" w:color="auto"/>
              <w:bottom w:val="single" w:sz="4" w:space="0" w:color="auto"/>
            </w:tcBorders>
            <w:shd w:val="clear" w:color="auto" w:fill="D9D9D9"/>
            <w:vAlign w:val="center"/>
          </w:tcPr>
          <w:p w14:paraId="47F1A6A9" w14:textId="77777777" w:rsidR="00181F76" w:rsidRPr="00110A21" w:rsidRDefault="00E25AE7" w:rsidP="00FD0858">
            <w:pPr>
              <w:spacing w:after="0" w:line="240" w:lineRule="auto"/>
              <w:rPr>
                <w:rFonts w:ascii="David" w:hAnsi="David" w:cs="David"/>
                <w:color w:val="000000"/>
                <w:rtl/>
              </w:rPr>
            </w:pPr>
            <w:r w:rsidRPr="00110A21">
              <w:rPr>
                <w:rFonts w:ascii="David" w:hAnsi="David" w:cs="David"/>
                <w:color w:val="000000"/>
                <w:rtl/>
              </w:rPr>
              <w:t>ערעור לפי חוק חיילים שנספו במערכה (עמ"ח)</w:t>
            </w:r>
            <w:r w:rsidRPr="00110A21">
              <w:rPr>
                <w:rFonts w:ascii="David" w:hAnsi="David" w:cs="David" w:hint="cs"/>
                <w:color w:val="000000"/>
                <w:rtl/>
              </w:rPr>
              <w:t>*</w:t>
            </w:r>
          </w:p>
        </w:tc>
        <w:tc>
          <w:tcPr>
            <w:tcW w:w="1417" w:type="dxa"/>
            <w:tcBorders>
              <w:top w:val="single" w:sz="4" w:space="0" w:color="auto"/>
              <w:bottom w:val="single" w:sz="4" w:space="0" w:color="auto"/>
            </w:tcBorders>
            <w:shd w:val="clear" w:color="auto" w:fill="D9D9D9"/>
            <w:vAlign w:val="center"/>
          </w:tcPr>
          <w:p w14:paraId="1C936B80" w14:textId="77777777" w:rsidR="00181F76" w:rsidRPr="00110A21" w:rsidRDefault="00E25AE7" w:rsidP="00FD0858">
            <w:pPr>
              <w:spacing w:after="0" w:line="240" w:lineRule="auto"/>
              <w:jc w:val="center"/>
              <w:rPr>
                <w:rFonts w:cs="David"/>
                <w:color w:val="000000"/>
              </w:rPr>
            </w:pPr>
            <w:r w:rsidRPr="00110A21">
              <w:rPr>
                <w:rFonts w:ascii="David" w:hAnsi="David" w:cs="David"/>
                <w:color w:val="000000"/>
              </w:rPr>
              <w:t>37</w:t>
            </w:r>
          </w:p>
        </w:tc>
        <w:tc>
          <w:tcPr>
            <w:tcW w:w="1418" w:type="dxa"/>
            <w:tcBorders>
              <w:top w:val="single" w:sz="4" w:space="0" w:color="auto"/>
              <w:bottom w:val="single" w:sz="4" w:space="0" w:color="auto"/>
            </w:tcBorders>
            <w:shd w:val="clear" w:color="auto" w:fill="D9D9D9"/>
            <w:noWrap/>
            <w:vAlign w:val="center"/>
          </w:tcPr>
          <w:p w14:paraId="5E8FD9A0" w14:textId="77777777" w:rsidR="00181F76" w:rsidRPr="00110A21" w:rsidRDefault="00F91359" w:rsidP="00FD0858">
            <w:pPr>
              <w:spacing w:after="0" w:line="240" w:lineRule="auto"/>
              <w:jc w:val="center"/>
              <w:rPr>
                <w:rFonts w:asciiTheme="minorHAnsi" w:hAnsiTheme="minorHAnsi" w:cs="David"/>
                <w:b/>
                <w:bCs/>
                <w:color w:val="000000"/>
                <w:rtl/>
              </w:rPr>
            </w:pPr>
            <w:r w:rsidRPr="00110A21">
              <w:rPr>
                <w:rFonts w:ascii="David" w:hAnsi="David" w:cs="David" w:hint="cs"/>
                <w:b/>
                <w:bCs/>
                <w:color w:val="000000"/>
                <w:rtl/>
              </w:rPr>
              <w:t>14:17</w:t>
            </w:r>
          </w:p>
        </w:tc>
        <w:tc>
          <w:tcPr>
            <w:tcW w:w="1559" w:type="dxa"/>
            <w:tcBorders>
              <w:top w:val="single" w:sz="4" w:space="0" w:color="auto"/>
              <w:bottom w:val="single" w:sz="4" w:space="0" w:color="auto"/>
            </w:tcBorders>
            <w:shd w:val="clear" w:color="auto" w:fill="D9D9D9"/>
            <w:vAlign w:val="center"/>
          </w:tcPr>
          <w:p w14:paraId="4F9CBDF1" w14:textId="77777777" w:rsidR="00181F76" w:rsidRPr="00110A21" w:rsidRDefault="00E25AE7" w:rsidP="00FD0858">
            <w:pPr>
              <w:spacing w:after="0" w:line="240" w:lineRule="auto"/>
              <w:jc w:val="center"/>
              <w:rPr>
                <w:rFonts w:ascii="David" w:hAnsi="David" w:cs="David"/>
                <w:color w:val="000000"/>
                <w:rtl/>
              </w:rPr>
            </w:pPr>
            <w:r w:rsidRPr="00110A21">
              <w:rPr>
                <w:rFonts w:ascii="David" w:hAnsi="David" w:cs="David"/>
                <w:color w:val="000000"/>
              </w:rPr>
              <w:t>-</w:t>
            </w:r>
          </w:p>
        </w:tc>
        <w:tc>
          <w:tcPr>
            <w:tcW w:w="850" w:type="dxa"/>
            <w:tcBorders>
              <w:top w:val="single" w:sz="4" w:space="0" w:color="auto"/>
              <w:bottom w:val="single" w:sz="4" w:space="0" w:color="auto"/>
            </w:tcBorders>
            <w:shd w:val="clear" w:color="auto" w:fill="D9D9D9"/>
            <w:vAlign w:val="center"/>
          </w:tcPr>
          <w:p w14:paraId="4B2FB931" w14:textId="77777777" w:rsidR="00181F76" w:rsidRPr="00110A21" w:rsidRDefault="00E25AE7" w:rsidP="00FD0858">
            <w:pPr>
              <w:spacing w:after="0" w:line="240" w:lineRule="auto"/>
              <w:jc w:val="center"/>
              <w:rPr>
                <w:rFonts w:ascii="David" w:hAnsi="David" w:cs="David"/>
                <w:color w:val="000000"/>
              </w:rPr>
            </w:pPr>
            <w:r w:rsidRPr="00110A21">
              <w:rPr>
                <w:rFonts w:ascii="David" w:hAnsi="David" w:cs="David"/>
                <w:color w:val="000000"/>
              </w:rPr>
              <w:t>-</w:t>
            </w:r>
          </w:p>
        </w:tc>
      </w:tr>
      <w:tr w:rsidR="00E0162E" w:rsidRPr="00110A21" w14:paraId="2F7CCD71"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3B4A3933" w14:textId="77777777" w:rsidR="00181F76" w:rsidRPr="00110A21" w:rsidRDefault="00E25AE7" w:rsidP="00FD0858">
            <w:pPr>
              <w:spacing w:after="0" w:line="240" w:lineRule="auto"/>
              <w:rPr>
                <w:rFonts w:ascii="David" w:hAnsi="David" w:cs="David"/>
                <w:color w:val="000000"/>
                <w:rtl/>
              </w:rPr>
            </w:pPr>
            <w:r w:rsidRPr="00110A21">
              <w:rPr>
                <w:rFonts w:ascii="David" w:hAnsi="David" w:cs="David"/>
                <w:color w:val="000000"/>
                <w:rtl/>
              </w:rPr>
              <w:t>שלום</w:t>
            </w:r>
          </w:p>
        </w:tc>
        <w:tc>
          <w:tcPr>
            <w:tcW w:w="992" w:type="dxa"/>
            <w:tcBorders>
              <w:top w:val="single" w:sz="4" w:space="0" w:color="auto"/>
              <w:bottom w:val="single" w:sz="4" w:space="0" w:color="auto"/>
            </w:tcBorders>
            <w:shd w:val="clear" w:color="auto" w:fill="auto"/>
            <w:noWrap/>
            <w:vAlign w:val="center"/>
          </w:tcPr>
          <w:p w14:paraId="298130AC" w14:textId="77777777" w:rsidR="00181F76" w:rsidRPr="00110A21" w:rsidRDefault="00E25AE7" w:rsidP="00FD0858">
            <w:pPr>
              <w:spacing w:after="0" w:line="240" w:lineRule="auto"/>
              <w:rPr>
                <w:rFonts w:ascii="David" w:hAnsi="David" w:cs="David"/>
                <w:color w:val="000000"/>
                <w:rtl/>
              </w:rPr>
            </w:pPr>
            <w:r w:rsidRPr="00110A21">
              <w:rPr>
                <w:rFonts w:ascii="David" w:hAnsi="David" w:cs="David"/>
                <w:color w:val="000000"/>
                <w:rtl/>
              </w:rPr>
              <w:t>ועדת ערר</w:t>
            </w:r>
          </w:p>
        </w:tc>
        <w:tc>
          <w:tcPr>
            <w:tcW w:w="2121" w:type="dxa"/>
            <w:tcBorders>
              <w:top w:val="single" w:sz="4" w:space="0" w:color="auto"/>
              <w:bottom w:val="single" w:sz="4" w:space="0" w:color="auto"/>
            </w:tcBorders>
            <w:shd w:val="clear" w:color="auto" w:fill="auto"/>
            <w:vAlign w:val="center"/>
          </w:tcPr>
          <w:p w14:paraId="5C34FEF0" w14:textId="77777777" w:rsidR="00181F76" w:rsidRPr="00110A21" w:rsidRDefault="00E25AE7" w:rsidP="00FD0858">
            <w:pPr>
              <w:spacing w:after="0" w:line="240" w:lineRule="auto"/>
              <w:rPr>
                <w:rFonts w:ascii="David" w:hAnsi="David" w:cs="David"/>
                <w:color w:val="000000"/>
                <w:rtl/>
              </w:rPr>
            </w:pPr>
            <w:r w:rsidRPr="00110A21">
              <w:rPr>
                <w:rFonts w:ascii="David" w:hAnsi="David" w:cs="David"/>
                <w:color w:val="000000"/>
                <w:rtl/>
              </w:rPr>
              <w:t>ערעור לפי חוק הנכים (ע"נ)</w:t>
            </w:r>
          </w:p>
        </w:tc>
        <w:tc>
          <w:tcPr>
            <w:tcW w:w="1417" w:type="dxa"/>
            <w:tcBorders>
              <w:top w:val="single" w:sz="4" w:space="0" w:color="auto"/>
              <w:bottom w:val="single" w:sz="4" w:space="0" w:color="auto"/>
            </w:tcBorders>
            <w:vAlign w:val="center"/>
          </w:tcPr>
          <w:p w14:paraId="78252FD3" w14:textId="77777777" w:rsidR="00181F76" w:rsidRPr="00110A21" w:rsidRDefault="00E25AE7" w:rsidP="00FD0858">
            <w:pPr>
              <w:spacing w:after="0" w:line="240" w:lineRule="auto"/>
              <w:jc w:val="center"/>
              <w:rPr>
                <w:rFonts w:ascii="David" w:hAnsi="David" w:cs="David"/>
                <w:color w:val="000000"/>
              </w:rPr>
            </w:pPr>
            <w:r w:rsidRPr="00110A21">
              <w:rPr>
                <w:rFonts w:ascii="David" w:hAnsi="David" w:cs="David"/>
                <w:color w:val="000000"/>
              </w:rPr>
              <w:t>1,261</w:t>
            </w:r>
          </w:p>
        </w:tc>
        <w:tc>
          <w:tcPr>
            <w:tcW w:w="1418" w:type="dxa"/>
            <w:tcBorders>
              <w:top w:val="single" w:sz="4" w:space="0" w:color="auto"/>
              <w:bottom w:val="single" w:sz="4" w:space="0" w:color="auto"/>
            </w:tcBorders>
            <w:shd w:val="clear" w:color="auto" w:fill="auto"/>
            <w:noWrap/>
            <w:vAlign w:val="center"/>
          </w:tcPr>
          <w:p w14:paraId="45A8AE68" w14:textId="77777777" w:rsidR="00181F76" w:rsidRPr="00110A21" w:rsidRDefault="00F91359" w:rsidP="00FD0858">
            <w:pPr>
              <w:spacing w:after="0" w:line="240" w:lineRule="auto"/>
              <w:jc w:val="center"/>
              <w:rPr>
                <w:rFonts w:ascii="David" w:hAnsi="David" w:cs="David"/>
                <w:b/>
                <w:bCs/>
                <w:color w:val="000000"/>
              </w:rPr>
            </w:pPr>
            <w:r w:rsidRPr="00110A21">
              <w:rPr>
                <w:rFonts w:ascii="David" w:hAnsi="David" w:cs="David" w:hint="cs"/>
                <w:b/>
                <w:bCs/>
                <w:color w:val="000000"/>
                <w:rtl/>
              </w:rPr>
              <w:t>6:27</w:t>
            </w:r>
          </w:p>
        </w:tc>
        <w:tc>
          <w:tcPr>
            <w:tcW w:w="1559" w:type="dxa"/>
            <w:tcBorders>
              <w:top w:val="single" w:sz="4" w:space="0" w:color="auto"/>
              <w:bottom w:val="single" w:sz="4" w:space="0" w:color="auto"/>
            </w:tcBorders>
            <w:shd w:val="clear" w:color="auto" w:fill="auto"/>
            <w:vAlign w:val="center"/>
          </w:tcPr>
          <w:p w14:paraId="7337B640" w14:textId="77777777" w:rsidR="00181F76" w:rsidRPr="00110A21" w:rsidRDefault="00E25AE7" w:rsidP="00FD0858">
            <w:pPr>
              <w:spacing w:after="0" w:line="240" w:lineRule="auto"/>
              <w:jc w:val="center"/>
              <w:rPr>
                <w:rFonts w:ascii="David" w:hAnsi="David" w:cs="David"/>
                <w:color w:val="000000"/>
              </w:rPr>
            </w:pPr>
            <w:r w:rsidRPr="00110A21">
              <w:rPr>
                <w:rFonts w:ascii="David" w:hAnsi="David" w:cs="David"/>
                <w:color w:val="000000"/>
              </w:rPr>
              <w:t>3:24</w:t>
            </w:r>
          </w:p>
        </w:tc>
        <w:tc>
          <w:tcPr>
            <w:tcW w:w="850" w:type="dxa"/>
            <w:tcBorders>
              <w:top w:val="single" w:sz="4" w:space="0" w:color="auto"/>
              <w:bottom w:val="single" w:sz="4" w:space="0" w:color="auto"/>
            </w:tcBorders>
            <w:shd w:val="clear" w:color="auto" w:fill="auto"/>
            <w:vAlign w:val="center"/>
          </w:tcPr>
          <w:p w14:paraId="3B57B9B9" w14:textId="77777777" w:rsidR="00181F76" w:rsidRPr="00110A21" w:rsidRDefault="00E25AE7" w:rsidP="00FD0858">
            <w:pPr>
              <w:spacing w:after="0" w:line="240" w:lineRule="auto"/>
              <w:jc w:val="center"/>
              <w:rPr>
                <w:rFonts w:ascii="David" w:hAnsi="David" w:cs="David"/>
                <w:color w:val="000000"/>
                <w:rtl/>
              </w:rPr>
            </w:pPr>
            <w:r w:rsidRPr="00110A21">
              <w:rPr>
                <w:rFonts w:ascii="David" w:hAnsi="David" w:cs="David"/>
                <w:color w:val="000000"/>
              </w:rPr>
              <w:t>+</w:t>
            </w:r>
            <w:r w:rsidR="00F91359" w:rsidRPr="00110A21">
              <w:rPr>
                <w:rFonts w:ascii="David" w:hAnsi="David" w:cs="David"/>
                <w:color w:val="000000"/>
              </w:rPr>
              <w:t>3</w:t>
            </w:r>
            <w:r w:rsidRPr="00110A21">
              <w:rPr>
                <w:rFonts w:ascii="David" w:hAnsi="David" w:cs="David"/>
                <w:color w:val="000000"/>
              </w:rPr>
              <w:t>:</w:t>
            </w:r>
            <w:r w:rsidR="00F91359" w:rsidRPr="00110A21">
              <w:rPr>
                <w:rFonts w:ascii="David" w:hAnsi="David" w:cs="David"/>
                <w:color w:val="000000"/>
              </w:rPr>
              <w:t>03</w:t>
            </w:r>
          </w:p>
        </w:tc>
      </w:tr>
      <w:tr w:rsidR="000E32BC" w:rsidRPr="00110A21" w14:paraId="6E9B556A" w14:textId="77777777" w:rsidTr="007D380E">
        <w:trPr>
          <w:trHeight w:val="600"/>
        </w:trPr>
        <w:tc>
          <w:tcPr>
            <w:tcW w:w="847" w:type="dxa"/>
            <w:tcBorders>
              <w:top w:val="single" w:sz="4" w:space="0" w:color="auto"/>
              <w:bottom w:val="single" w:sz="4" w:space="0" w:color="auto"/>
            </w:tcBorders>
            <w:shd w:val="clear" w:color="auto" w:fill="DBDBDB" w:themeFill="accent3" w:themeFillTint="66"/>
            <w:noWrap/>
            <w:vAlign w:val="center"/>
          </w:tcPr>
          <w:p w14:paraId="61E23CB8" w14:textId="77777777" w:rsidR="000E32BC" w:rsidRPr="00110A21" w:rsidRDefault="000E32BC" w:rsidP="00FD0858">
            <w:pPr>
              <w:spacing w:after="0" w:line="240" w:lineRule="auto"/>
              <w:rPr>
                <w:rFonts w:ascii="David" w:hAnsi="David" w:cs="David"/>
                <w:color w:val="000000"/>
                <w:rtl/>
              </w:rPr>
            </w:pPr>
            <w:r w:rsidRPr="00110A21">
              <w:rPr>
                <w:rFonts w:ascii="David" w:hAnsi="David" w:cs="David"/>
                <w:color w:val="000000"/>
                <w:rtl/>
              </w:rPr>
              <w:t>שלום</w:t>
            </w:r>
          </w:p>
        </w:tc>
        <w:tc>
          <w:tcPr>
            <w:tcW w:w="992" w:type="dxa"/>
            <w:tcBorders>
              <w:top w:val="single" w:sz="4" w:space="0" w:color="auto"/>
              <w:bottom w:val="single" w:sz="4" w:space="0" w:color="auto"/>
            </w:tcBorders>
            <w:shd w:val="clear" w:color="auto" w:fill="DBDBDB" w:themeFill="accent3" w:themeFillTint="66"/>
            <w:noWrap/>
            <w:vAlign w:val="center"/>
          </w:tcPr>
          <w:p w14:paraId="3F40426C" w14:textId="77777777" w:rsidR="000E32BC" w:rsidRPr="00110A21" w:rsidRDefault="000E32BC" w:rsidP="00FD0858">
            <w:pPr>
              <w:spacing w:after="0" w:line="240" w:lineRule="auto"/>
              <w:rPr>
                <w:rFonts w:ascii="David" w:hAnsi="David" w:cs="David"/>
                <w:color w:val="000000"/>
                <w:rtl/>
              </w:rPr>
            </w:pPr>
            <w:r w:rsidRPr="00110A21">
              <w:rPr>
                <w:rFonts w:ascii="David" w:hAnsi="David" w:cs="David"/>
                <w:color w:val="000000"/>
                <w:rtl/>
              </w:rPr>
              <w:t>אזרחי</w:t>
            </w:r>
          </w:p>
        </w:tc>
        <w:tc>
          <w:tcPr>
            <w:tcW w:w="2121" w:type="dxa"/>
            <w:tcBorders>
              <w:top w:val="single" w:sz="4" w:space="0" w:color="auto"/>
              <w:bottom w:val="single" w:sz="4" w:space="0" w:color="auto"/>
            </w:tcBorders>
            <w:shd w:val="clear" w:color="auto" w:fill="DBDBDB" w:themeFill="accent3" w:themeFillTint="66"/>
            <w:vAlign w:val="center"/>
          </w:tcPr>
          <w:p w14:paraId="1F411270" w14:textId="77777777" w:rsidR="000E32BC" w:rsidRPr="00110A21" w:rsidRDefault="000E32BC" w:rsidP="00FD0858">
            <w:pPr>
              <w:spacing w:after="0" w:line="240" w:lineRule="auto"/>
              <w:rPr>
                <w:rFonts w:ascii="David" w:hAnsi="David" w:cs="David"/>
                <w:color w:val="000000"/>
                <w:rtl/>
              </w:rPr>
            </w:pPr>
            <w:r w:rsidRPr="00110A21">
              <w:rPr>
                <w:rFonts w:ascii="David" w:hAnsi="David" w:cs="David"/>
                <w:color w:val="000000"/>
                <w:rtl/>
              </w:rPr>
              <w:t>תיק אזרחי בסדר דין רגיל (ת"א)</w:t>
            </w:r>
            <w:r w:rsidRPr="00110A21">
              <w:rPr>
                <w:rFonts w:ascii="David" w:hAnsi="David" w:cs="David" w:hint="cs"/>
                <w:color w:val="000000"/>
                <w:rtl/>
              </w:rPr>
              <w:t xml:space="preserve"> </w:t>
            </w:r>
            <w:r w:rsidRPr="00110A21">
              <w:rPr>
                <w:rFonts w:ascii="David" w:hAnsi="David" w:cs="David"/>
                <w:color w:val="000000"/>
                <w:rtl/>
              </w:rPr>
              <w:t>-</w:t>
            </w:r>
            <w:r w:rsidRPr="00110A21">
              <w:rPr>
                <w:rFonts w:ascii="David" w:hAnsi="David" w:cs="David" w:hint="cs"/>
                <w:color w:val="000000"/>
                <w:rtl/>
              </w:rPr>
              <w:t xml:space="preserve"> </w:t>
            </w:r>
            <w:r w:rsidRPr="00110A21">
              <w:rPr>
                <w:rFonts w:ascii="David" w:hAnsi="David" w:cs="David" w:hint="cs"/>
                <w:b/>
                <w:bCs/>
                <w:color w:val="000000"/>
                <w:rtl/>
              </w:rPr>
              <w:t>משוקלל</w:t>
            </w:r>
          </w:p>
        </w:tc>
        <w:tc>
          <w:tcPr>
            <w:tcW w:w="1417" w:type="dxa"/>
            <w:tcBorders>
              <w:top w:val="single" w:sz="4" w:space="0" w:color="auto"/>
              <w:bottom w:val="single" w:sz="4" w:space="0" w:color="auto"/>
            </w:tcBorders>
            <w:shd w:val="clear" w:color="auto" w:fill="DBDBDB" w:themeFill="accent3" w:themeFillTint="66"/>
            <w:vAlign w:val="center"/>
          </w:tcPr>
          <w:p w14:paraId="1E6D0711" w14:textId="77777777" w:rsidR="000E32BC" w:rsidRPr="00110A21" w:rsidRDefault="000E32BC" w:rsidP="00FD0858">
            <w:pPr>
              <w:spacing w:after="0" w:line="240" w:lineRule="auto"/>
              <w:jc w:val="center"/>
              <w:rPr>
                <w:rFonts w:ascii="David" w:hAnsi="David" w:cs="David"/>
                <w:color w:val="000000"/>
              </w:rPr>
            </w:pPr>
            <w:r w:rsidRPr="00110A21">
              <w:rPr>
                <w:rFonts w:ascii="David" w:hAnsi="David" w:cs="David"/>
                <w:color w:val="000000"/>
              </w:rPr>
              <w:t>71,215</w:t>
            </w:r>
          </w:p>
        </w:tc>
        <w:tc>
          <w:tcPr>
            <w:tcW w:w="1418" w:type="dxa"/>
            <w:tcBorders>
              <w:top w:val="single" w:sz="4" w:space="0" w:color="auto"/>
              <w:bottom w:val="single" w:sz="4" w:space="0" w:color="auto"/>
            </w:tcBorders>
            <w:shd w:val="clear" w:color="auto" w:fill="DBDBDB" w:themeFill="accent3" w:themeFillTint="66"/>
            <w:noWrap/>
            <w:vAlign w:val="center"/>
          </w:tcPr>
          <w:p w14:paraId="57B4C960" w14:textId="77777777" w:rsidR="000E32BC" w:rsidRPr="00110A21" w:rsidRDefault="000E32BC" w:rsidP="00FD0858">
            <w:pPr>
              <w:spacing w:after="0" w:line="240" w:lineRule="auto"/>
              <w:jc w:val="center"/>
              <w:rPr>
                <w:rFonts w:ascii="David" w:hAnsi="David" w:cs="David"/>
                <w:b/>
                <w:bCs/>
                <w:color w:val="000000"/>
                <w:rtl/>
              </w:rPr>
            </w:pPr>
            <w:r w:rsidRPr="00110A21">
              <w:rPr>
                <w:rFonts w:ascii="David" w:hAnsi="David" w:cs="David"/>
                <w:b/>
                <w:bCs/>
                <w:color w:val="000000"/>
              </w:rPr>
              <w:t>4:46</w:t>
            </w:r>
          </w:p>
        </w:tc>
        <w:tc>
          <w:tcPr>
            <w:tcW w:w="1559" w:type="dxa"/>
            <w:tcBorders>
              <w:top w:val="single" w:sz="4" w:space="0" w:color="auto"/>
              <w:bottom w:val="single" w:sz="4" w:space="0" w:color="auto"/>
            </w:tcBorders>
            <w:shd w:val="clear" w:color="auto" w:fill="DBDBDB" w:themeFill="accent3" w:themeFillTint="66"/>
            <w:vAlign w:val="center"/>
          </w:tcPr>
          <w:p w14:paraId="4D9E5C8A" w14:textId="77777777" w:rsidR="000E32BC" w:rsidRPr="00110A21" w:rsidRDefault="000E32BC" w:rsidP="00FD0858">
            <w:pPr>
              <w:spacing w:after="0" w:line="240" w:lineRule="auto"/>
              <w:jc w:val="center"/>
              <w:rPr>
                <w:rFonts w:ascii="David" w:hAnsi="David" w:cs="David"/>
                <w:color w:val="000000"/>
              </w:rPr>
            </w:pPr>
            <w:r w:rsidRPr="00110A21">
              <w:rPr>
                <w:rFonts w:ascii="David" w:hAnsi="David" w:cs="David" w:hint="cs"/>
                <w:color w:val="000000"/>
                <w:rtl/>
              </w:rPr>
              <w:t>5:42</w:t>
            </w:r>
          </w:p>
        </w:tc>
        <w:tc>
          <w:tcPr>
            <w:tcW w:w="850" w:type="dxa"/>
            <w:tcBorders>
              <w:top w:val="single" w:sz="4" w:space="0" w:color="auto"/>
              <w:bottom w:val="single" w:sz="4" w:space="0" w:color="auto"/>
            </w:tcBorders>
            <w:shd w:val="clear" w:color="auto" w:fill="DBDBDB" w:themeFill="accent3" w:themeFillTint="66"/>
            <w:vAlign w:val="center"/>
          </w:tcPr>
          <w:p w14:paraId="4F50ECDA" w14:textId="77777777" w:rsidR="000E32BC" w:rsidRPr="00110A21" w:rsidRDefault="000E32BC" w:rsidP="00FD0858">
            <w:pPr>
              <w:spacing w:after="0" w:line="240" w:lineRule="auto"/>
              <w:jc w:val="center"/>
              <w:rPr>
                <w:rFonts w:ascii="David" w:hAnsi="David" w:cs="David"/>
                <w:color w:val="000000"/>
              </w:rPr>
            </w:pPr>
            <w:r w:rsidRPr="00110A21">
              <w:rPr>
                <w:rFonts w:ascii="David" w:hAnsi="David" w:cs="David" w:hint="cs"/>
                <w:color w:val="000000"/>
                <w:rtl/>
              </w:rPr>
              <w:t>0:44-</w:t>
            </w:r>
          </w:p>
        </w:tc>
      </w:tr>
      <w:tr w:rsidR="000E32BC" w:rsidRPr="00110A21" w14:paraId="088CEC68"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5828A4C3" w14:textId="77777777" w:rsidR="000E32BC" w:rsidRPr="00110A21" w:rsidRDefault="000E32BC" w:rsidP="00FD0858">
            <w:pPr>
              <w:spacing w:after="0" w:line="240" w:lineRule="auto"/>
              <w:rPr>
                <w:rFonts w:ascii="David" w:hAnsi="David" w:cs="David"/>
                <w:color w:val="000000"/>
                <w:rtl/>
              </w:rPr>
            </w:pPr>
            <w:r w:rsidRPr="00110A21">
              <w:rPr>
                <w:rFonts w:ascii="David" w:hAnsi="David" w:cs="David"/>
                <w:color w:val="000000"/>
                <w:rtl/>
              </w:rPr>
              <w:t>שלום</w:t>
            </w:r>
          </w:p>
        </w:tc>
        <w:tc>
          <w:tcPr>
            <w:tcW w:w="992" w:type="dxa"/>
            <w:tcBorders>
              <w:top w:val="single" w:sz="4" w:space="0" w:color="auto"/>
              <w:bottom w:val="single" w:sz="4" w:space="0" w:color="auto"/>
            </w:tcBorders>
            <w:shd w:val="clear" w:color="auto" w:fill="auto"/>
            <w:noWrap/>
            <w:vAlign w:val="center"/>
          </w:tcPr>
          <w:p w14:paraId="2A45C45A" w14:textId="77777777" w:rsidR="000E32BC" w:rsidRPr="00110A21" w:rsidRDefault="000E32BC" w:rsidP="00FD0858">
            <w:pPr>
              <w:spacing w:after="0" w:line="240" w:lineRule="auto"/>
              <w:rPr>
                <w:rFonts w:ascii="David" w:hAnsi="David" w:cs="David"/>
                <w:color w:val="000000"/>
                <w:rtl/>
              </w:rPr>
            </w:pPr>
            <w:r w:rsidRPr="00110A21">
              <w:rPr>
                <w:rFonts w:ascii="David" w:hAnsi="David" w:cs="David"/>
                <w:color w:val="000000"/>
                <w:rtl/>
              </w:rPr>
              <w:t>אזרחי</w:t>
            </w:r>
          </w:p>
        </w:tc>
        <w:tc>
          <w:tcPr>
            <w:tcW w:w="2121" w:type="dxa"/>
            <w:tcBorders>
              <w:top w:val="single" w:sz="4" w:space="0" w:color="auto"/>
              <w:bottom w:val="single" w:sz="4" w:space="0" w:color="auto"/>
            </w:tcBorders>
            <w:shd w:val="clear" w:color="auto" w:fill="auto"/>
            <w:vAlign w:val="center"/>
          </w:tcPr>
          <w:p w14:paraId="518A7FAB" w14:textId="77777777" w:rsidR="000E32BC" w:rsidRPr="00110A21" w:rsidRDefault="000E32BC" w:rsidP="00FD0858">
            <w:pPr>
              <w:spacing w:after="0" w:line="240" w:lineRule="auto"/>
              <w:rPr>
                <w:rFonts w:ascii="David" w:hAnsi="David" w:cs="David"/>
                <w:color w:val="000000"/>
                <w:rtl/>
              </w:rPr>
            </w:pPr>
            <w:r w:rsidRPr="00110A21">
              <w:rPr>
                <w:rFonts w:ascii="David" w:hAnsi="David" w:cs="David"/>
                <w:color w:val="000000"/>
                <w:rtl/>
              </w:rPr>
              <w:t>תובענה ייצוגית (ת"צ)</w:t>
            </w:r>
          </w:p>
        </w:tc>
        <w:tc>
          <w:tcPr>
            <w:tcW w:w="1417" w:type="dxa"/>
            <w:tcBorders>
              <w:top w:val="single" w:sz="4" w:space="0" w:color="auto"/>
              <w:bottom w:val="single" w:sz="4" w:space="0" w:color="auto"/>
            </w:tcBorders>
            <w:vAlign w:val="center"/>
          </w:tcPr>
          <w:p w14:paraId="4950AE32" w14:textId="77777777" w:rsidR="000E32BC" w:rsidRPr="00110A21" w:rsidRDefault="000E32BC" w:rsidP="00FD0858">
            <w:pPr>
              <w:spacing w:after="0" w:line="240" w:lineRule="auto"/>
              <w:jc w:val="center"/>
              <w:rPr>
                <w:rFonts w:ascii="David" w:hAnsi="David" w:cs="David"/>
                <w:color w:val="000000"/>
              </w:rPr>
            </w:pPr>
            <w:r w:rsidRPr="00110A21">
              <w:rPr>
                <w:rFonts w:ascii="David" w:hAnsi="David" w:cs="David"/>
                <w:color w:val="000000"/>
              </w:rPr>
              <w:t>133</w:t>
            </w:r>
          </w:p>
        </w:tc>
        <w:tc>
          <w:tcPr>
            <w:tcW w:w="1418" w:type="dxa"/>
            <w:tcBorders>
              <w:top w:val="single" w:sz="4" w:space="0" w:color="auto"/>
              <w:bottom w:val="single" w:sz="4" w:space="0" w:color="auto"/>
            </w:tcBorders>
            <w:shd w:val="clear" w:color="auto" w:fill="auto"/>
            <w:noWrap/>
            <w:vAlign w:val="center"/>
          </w:tcPr>
          <w:p w14:paraId="37377D4C" w14:textId="77777777" w:rsidR="000E32BC" w:rsidRPr="00110A21" w:rsidRDefault="000E32BC" w:rsidP="00FD0858">
            <w:pPr>
              <w:spacing w:after="0" w:line="240" w:lineRule="auto"/>
              <w:jc w:val="center"/>
              <w:rPr>
                <w:rFonts w:ascii="David" w:hAnsi="David" w:cs="David"/>
                <w:b/>
                <w:bCs/>
                <w:color w:val="000000"/>
                <w:rtl/>
              </w:rPr>
            </w:pPr>
            <w:r w:rsidRPr="00110A21">
              <w:rPr>
                <w:rFonts w:ascii="David" w:hAnsi="David" w:cs="David" w:hint="cs"/>
                <w:b/>
                <w:bCs/>
                <w:color w:val="000000"/>
                <w:rtl/>
              </w:rPr>
              <w:t>4:04</w:t>
            </w:r>
          </w:p>
        </w:tc>
        <w:tc>
          <w:tcPr>
            <w:tcW w:w="1559" w:type="dxa"/>
            <w:tcBorders>
              <w:top w:val="single" w:sz="4" w:space="0" w:color="auto"/>
              <w:bottom w:val="single" w:sz="4" w:space="0" w:color="auto"/>
            </w:tcBorders>
            <w:shd w:val="clear" w:color="auto" w:fill="auto"/>
            <w:vAlign w:val="center"/>
          </w:tcPr>
          <w:p w14:paraId="66CE8ADF" w14:textId="77777777" w:rsidR="000E32BC" w:rsidRPr="00110A21" w:rsidRDefault="000E32BC" w:rsidP="00FD0858">
            <w:pPr>
              <w:spacing w:after="0" w:line="240" w:lineRule="auto"/>
              <w:jc w:val="center"/>
              <w:rPr>
                <w:rFonts w:ascii="David" w:hAnsi="David" w:cs="David"/>
                <w:color w:val="000000"/>
              </w:rPr>
            </w:pPr>
            <w:r w:rsidRPr="00110A21">
              <w:rPr>
                <w:rFonts w:ascii="David" w:hAnsi="David" w:cs="David"/>
                <w:color w:val="000000"/>
              </w:rPr>
              <w:t>4:54</w:t>
            </w:r>
          </w:p>
        </w:tc>
        <w:tc>
          <w:tcPr>
            <w:tcW w:w="850" w:type="dxa"/>
            <w:tcBorders>
              <w:top w:val="single" w:sz="4" w:space="0" w:color="auto"/>
              <w:bottom w:val="single" w:sz="4" w:space="0" w:color="auto"/>
            </w:tcBorders>
            <w:shd w:val="clear" w:color="auto" w:fill="auto"/>
            <w:vAlign w:val="center"/>
          </w:tcPr>
          <w:p w14:paraId="1CB28B0B" w14:textId="77777777" w:rsidR="000E32BC" w:rsidRPr="00110A21" w:rsidRDefault="000E32BC" w:rsidP="00FD0858">
            <w:pPr>
              <w:spacing w:after="0" w:line="240" w:lineRule="auto"/>
              <w:jc w:val="center"/>
              <w:rPr>
                <w:rFonts w:ascii="David" w:hAnsi="David" w:cs="David"/>
                <w:color w:val="000000"/>
              </w:rPr>
            </w:pPr>
            <w:r w:rsidRPr="00110A21">
              <w:rPr>
                <w:rFonts w:ascii="David" w:hAnsi="David" w:cs="David" w:hint="cs"/>
                <w:color w:val="000000"/>
                <w:rtl/>
              </w:rPr>
              <w:t>0:50-</w:t>
            </w:r>
          </w:p>
        </w:tc>
      </w:tr>
      <w:tr w:rsidR="000E32BC" w:rsidRPr="00110A21" w14:paraId="6C1E757B"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2156093B" w14:textId="77777777" w:rsidR="000E32BC" w:rsidRPr="00110A21" w:rsidRDefault="000E32BC" w:rsidP="00FD0858">
            <w:pPr>
              <w:spacing w:after="0" w:line="240" w:lineRule="auto"/>
              <w:rPr>
                <w:rFonts w:ascii="David" w:hAnsi="David" w:cs="David"/>
                <w:color w:val="000000"/>
                <w:rtl/>
              </w:rPr>
            </w:pPr>
            <w:r w:rsidRPr="00110A21">
              <w:rPr>
                <w:rFonts w:ascii="David" w:hAnsi="David" w:cs="David"/>
                <w:color w:val="000000"/>
                <w:rtl/>
              </w:rPr>
              <w:t>שלום</w:t>
            </w:r>
          </w:p>
        </w:tc>
        <w:tc>
          <w:tcPr>
            <w:tcW w:w="992" w:type="dxa"/>
            <w:tcBorders>
              <w:top w:val="single" w:sz="4" w:space="0" w:color="auto"/>
              <w:bottom w:val="single" w:sz="4" w:space="0" w:color="auto"/>
            </w:tcBorders>
            <w:shd w:val="clear" w:color="auto" w:fill="D9D9D9"/>
            <w:noWrap/>
            <w:vAlign w:val="center"/>
          </w:tcPr>
          <w:p w14:paraId="7CACDFCA" w14:textId="77777777" w:rsidR="000E32BC" w:rsidRPr="00110A21" w:rsidRDefault="000E32BC" w:rsidP="00FD0858">
            <w:pPr>
              <w:spacing w:after="0" w:line="240" w:lineRule="auto"/>
              <w:rPr>
                <w:rFonts w:ascii="David" w:hAnsi="David" w:cs="David"/>
                <w:color w:val="000000"/>
                <w:rtl/>
              </w:rPr>
            </w:pPr>
            <w:r w:rsidRPr="00110A21">
              <w:rPr>
                <w:rFonts w:ascii="David" w:hAnsi="David" w:cs="David"/>
                <w:color w:val="000000"/>
                <w:rtl/>
              </w:rPr>
              <w:t>אזרחי</w:t>
            </w:r>
          </w:p>
        </w:tc>
        <w:tc>
          <w:tcPr>
            <w:tcW w:w="2121" w:type="dxa"/>
            <w:tcBorders>
              <w:top w:val="single" w:sz="4" w:space="0" w:color="auto"/>
              <w:bottom w:val="single" w:sz="4" w:space="0" w:color="auto"/>
            </w:tcBorders>
            <w:shd w:val="clear" w:color="auto" w:fill="D9D9D9"/>
            <w:vAlign w:val="center"/>
          </w:tcPr>
          <w:p w14:paraId="0F1253E7" w14:textId="77777777" w:rsidR="000E32BC" w:rsidRPr="00110A21" w:rsidRDefault="000E32BC" w:rsidP="00FD0858">
            <w:pPr>
              <w:spacing w:after="0" w:line="240" w:lineRule="auto"/>
              <w:rPr>
                <w:rFonts w:ascii="David" w:hAnsi="David" w:cs="David"/>
                <w:color w:val="000000"/>
                <w:rtl/>
              </w:rPr>
            </w:pPr>
            <w:r w:rsidRPr="00110A21">
              <w:rPr>
                <w:rFonts w:ascii="David" w:hAnsi="David" w:cs="David"/>
                <w:color w:val="000000"/>
                <w:rtl/>
              </w:rPr>
              <w:t>רשות ערעור על החלטת ראש הוצל"פ (רע"צ)</w:t>
            </w:r>
          </w:p>
        </w:tc>
        <w:tc>
          <w:tcPr>
            <w:tcW w:w="1417" w:type="dxa"/>
            <w:tcBorders>
              <w:top w:val="single" w:sz="4" w:space="0" w:color="auto"/>
              <w:bottom w:val="single" w:sz="4" w:space="0" w:color="auto"/>
            </w:tcBorders>
            <w:shd w:val="clear" w:color="auto" w:fill="D9D9D9"/>
            <w:vAlign w:val="center"/>
          </w:tcPr>
          <w:p w14:paraId="4D2980C9" w14:textId="77777777" w:rsidR="000E32BC" w:rsidRPr="00110A21" w:rsidRDefault="000E32BC" w:rsidP="00FD0858">
            <w:pPr>
              <w:spacing w:after="0" w:line="240" w:lineRule="auto"/>
              <w:jc w:val="center"/>
              <w:rPr>
                <w:rFonts w:ascii="David" w:hAnsi="David" w:cs="David"/>
                <w:color w:val="000000"/>
              </w:rPr>
            </w:pPr>
            <w:r w:rsidRPr="00110A21">
              <w:rPr>
                <w:rFonts w:ascii="David" w:hAnsi="David" w:cs="David"/>
                <w:color w:val="000000"/>
              </w:rPr>
              <w:t>432</w:t>
            </w:r>
          </w:p>
        </w:tc>
        <w:tc>
          <w:tcPr>
            <w:tcW w:w="1418" w:type="dxa"/>
            <w:tcBorders>
              <w:top w:val="single" w:sz="4" w:space="0" w:color="auto"/>
              <w:bottom w:val="single" w:sz="4" w:space="0" w:color="auto"/>
            </w:tcBorders>
            <w:shd w:val="clear" w:color="auto" w:fill="D9D9D9"/>
            <w:noWrap/>
            <w:vAlign w:val="center"/>
          </w:tcPr>
          <w:p w14:paraId="4C3E7DE1" w14:textId="77777777" w:rsidR="000E32BC" w:rsidRPr="00110A21" w:rsidRDefault="000E32BC" w:rsidP="00FD0858">
            <w:pPr>
              <w:spacing w:after="0" w:line="240" w:lineRule="auto"/>
              <w:jc w:val="center"/>
              <w:rPr>
                <w:rFonts w:ascii="David" w:hAnsi="David" w:cs="David"/>
                <w:b/>
                <w:bCs/>
                <w:color w:val="000000"/>
              </w:rPr>
            </w:pPr>
            <w:r w:rsidRPr="00110A21">
              <w:rPr>
                <w:rFonts w:ascii="David" w:hAnsi="David" w:cs="David" w:hint="cs"/>
                <w:b/>
                <w:bCs/>
                <w:color w:val="000000"/>
                <w:rtl/>
              </w:rPr>
              <w:t>3:50</w:t>
            </w:r>
          </w:p>
        </w:tc>
        <w:tc>
          <w:tcPr>
            <w:tcW w:w="1559" w:type="dxa"/>
            <w:tcBorders>
              <w:top w:val="single" w:sz="4" w:space="0" w:color="auto"/>
              <w:bottom w:val="single" w:sz="4" w:space="0" w:color="auto"/>
            </w:tcBorders>
            <w:shd w:val="clear" w:color="auto" w:fill="D9D9D9"/>
            <w:vAlign w:val="center"/>
          </w:tcPr>
          <w:p w14:paraId="146FF8EF" w14:textId="77777777" w:rsidR="000E32BC" w:rsidRPr="00110A21" w:rsidRDefault="000E32BC" w:rsidP="00FD0858">
            <w:pPr>
              <w:spacing w:after="0" w:line="240" w:lineRule="auto"/>
              <w:jc w:val="center"/>
              <w:rPr>
                <w:rFonts w:ascii="David" w:hAnsi="David" w:cs="David"/>
                <w:color w:val="000000"/>
              </w:rPr>
            </w:pPr>
            <w:r w:rsidRPr="00110A21">
              <w:rPr>
                <w:rFonts w:ascii="David" w:hAnsi="David" w:cs="David"/>
                <w:color w:val="000000"/>
              </w:rPr>
              <w:t>1:52</w:t>
            </w:r>
          </w:p>
        </w:tc>
        <w:tc>
          <w:tcPr>
            <w:tcW w:w="850" w:type="dxa"/>
            <w:tcBorders>
              <w:top w:val="single" w:sz="4" w:space="0" w:color="auto"/>
              <w:bottom w:val="single" w:sz="4" w:space="0" w:color="auto"/>
            </w:tcBorders>
            <w:shd w:val="clear" w:color="auto" w:fill="D9D9D9"/>
            <w:vAlign w:val="center"/>
          </w:tcPr>
          <w:p w14:paraId="26AD9449" w14:textId="77777777" w:rsidR="000E32BC" w:rsidRPr="00110A21" w:rsidRDefault="000E32BC" w:rsidP="00FD0858">
            <w:pPr>
              <w:spacing w:after="0" w:line="240" w:lineRule="auto"/>
              <w:jc w:val="center"/>
              <w:rPr>
                <w:rFonts w:ascii="David" w:hAnsi="David" w:cs="David"/>
                <w:color w:val="000000"/>
                <w:rtl/>
              </w:rPr>
            </w:pPr>
            <w:r w:rsidRPr="00110A21">
              <w:rPr>
                <w:rFonts w:ascii="David" w:hAnsi="David" w:cs="David" w:hint="cs"/>
                <w:color w:val="000000"/>
                <w:rtl/>
              </w:rPr>
              <w:t>1:58+</w:t>
            </w:r>
          </w:p>
        </w:tc>
      </w:tr>
      <w:tr w:rsidR="000E32BC" w:rsidRPr="00110A21" w14:paraId="350B67B7"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678DDC07" w14:textId="77777777" w:rsidR="000E32BC" w:rsidRPr="00110A21" w:rsidRDefault="000E32BC" w:rsidP="00FD0858">
            <w:pPr>
              <w:spacing w:after="0" w:line="240" w:lineRule="auto"/>
              <w:rPr>
                <w:rFonts w:ascii="David" w:hAnsi="David" w:cs="David"/>
                <w:color w:val="000000"/>
                <w:rtl/>
              </w:rPr>
            </w:pPr>
            <w:r w:rsidRPr="00110A21">
              <w:rPr>
                <w:rFonts w:ascii="David" w:hAnsi="David" w:cs="David"/>
                <w:color w:val="000000"/>
                <w:rtl/>
              </w:rPr>
              <w:t>שלום</w:t>
            </w:r>
          </w:p>
        </w:tc>
        <w:tc>
          <w:tcPr>
            <w:tcW w:w="992" w:type="dxa"/>
            <w:tcBorders>
              <w:top w:val="single" w:sz="4" w:space="0" w:color="auto"/>
              <w:bottom w:val="single" w:sz="4" w:space="0" w:color="auto"/>
            </w:tcBorders>
            <w:shd w:val="clear" w:color="auto" w:fill="auto"/>
            <w:noWrap/>
            <w:vAlign w:val="center"/>
          </w:tcPr>
          <w:p w14:paraId="483EEB8F" w14:textId="77777777" w:rsidR="000E32BC" w:rsidRPr="00110A21" w:rsidRDefault="000E32BC" w:rsidP="00FD0858">
            <w:pPr>
              <w:spacing w:after="0" w:line="240" w:lineRule="auto"/>
              <w:rPr>
                <w:rFonts w:ascii="David" w:hAnsi="David" w:cs="David"/>
                <w:color w:val="000000"/>
                <w:rtl/>
              </w:rPr>
            </w:pPr>
            <w:r w:rsidRPr="00110A21">
              <w:rPr>
                <w:rFonts w:ascii="David" w:hAnsi="David" w:cs="David"/>
                <w:color w:val="000000"/>
                <w:rtl/>
              </w:rPr>
              <w:t>אזרחי/ ועדת ערר</w:t>
            </w:r>
          </w:p>
        </w:tc>
        <w:tc>
          <w:tcPr>
            <w:tcW w:w="2121" w:type="dxa"/>
            <w:tcBorders>
              <w:top w:val="single" w:sz="4" w:space="0" w:color="auto"/>
              <w:bottom w:val="single" w:sz="4" w:space="0" w:color="auto"/>
            </w:tcBorders>
            <w:shd w:val="clear" w:color="auto" w:fill="auto"/>
            <w:vAlign w:val="center"/>
          </w:tcPr>
          <w:p w14:paraId="30DF9FD2" w14:textId="77777777" w:rsidR="000E32BC" w:rsidRPr="00110A21" w:rsidRDefault="000E32BC" w:rsidP="00FD0858">
            <w:pPr>
              <w:spacing w:after="0" w:line="240" w:lineRule="auto"/>
              <w:rPr>
                <w:rFonts w:ascii="David" w:hAnsi="David" w:cs="David"/>
                <w:color w:val="000000"/>
                <w:rtl/>
              </w:rPr>
            </w:pPr>
            <w:r w:rsidRPr="00110A21">
              <w:rPr>
                <w:rFonts w:ascii="David" w:hAnsi="David" w:cs="David"/>
                <w:color w:val="000000"/>
                <w:rtl/>
              </w:rPr>
              <w:t>ועדת ערר (ו"ע)</w:t>
            </w:r>
          </w:p>
        </w:tc>
        <w:tc>
          <w:tcPr>
            <w:tcW w:w="1417" w:type="dxa"/>
            <w:tcBorders>
              <w:top w:val="single" w:sz="4" w:space="0" w:color="auto"/>
              <w:bottom w:val="single" w:sz="4" w:space="0" w:color="auto"/>
            </w:tcBorders>
            <w:vAlign w:val="center"/>
          </w:tcPr>
          <w:p w14:paraId="0E031116" w14:textId="77777777" w:rsidR="000E32BC" w:rsidRPr="00110A21" w:rsidRDefault="000E32BC" w:rsidP="00FD0858">
            <w:pPr>
              <w:spacing w:after="0" w:line="240" w:lineRule="auto"/>
              <w:jc w:val="center"/>
              <w:rPr>
                <w:rFonts w:ascii="David" w:hAnsi="David" w:cs="David"/>
                <w:color w:val="000000"/>
                <w:rtl/>
              </w:rPr>
            </w:pPr>
            <w:r w:rsidRPr="00110A21">
              <w:rPr>
                <w:rFonts w:ascii="David" w:hAnsi="David" w:cs="David"/>
                <w:color w:val="000000"/>
              </w:rPr>
              <w:t>1,905</w:t>
            </w:r>
          </w:p>
        </w:tc>
        <w:tc>
          <w:tcPr>
            <w:tcW w:w="1418" w:type="dxa"/>
            <w:tcBorders>
              <w:top w:val="single" w:sz="4" w:space="0" w:color="auto"/>
              <w:bottom w:val="single" w:sz="4" w:space="0" w:color="auto"/>
            </w:tcBorders>
            <w:shd w:val="clear" w:color="auto" w:fill="auto"/>
            <w:noWrap/>
            <w:vAlign w:val="center"/>
          </w:tcPr>
          <w:p w14:paraId="26B32BA5" w14:textId="77777777" w:rsidR="000E32BC" w:rsidRPr="00110A21" w:rsidRDefault="000E32BC" w:rsidP="00FD0858">
            <w:pPr>
              <w:spacing w:after="0" w:line="240" w:lineRule="auto"/>
              <w:jc w:val="center"/>
              <w:rPr>
                <w:rFonts w:ascii="David" w:hAnsi="David" w:cs="David"/>
                <w:b/>
                <w:bCs/>
                <w:color w:val="000000"/>
                <w:rtl/>
              </w:rPr>
            </w:pPr>
            <w:r w:rsidRPr="00110A21">
              <w:rPr>
                <w:rFonts w:ascii="David" w:hAnsi="David" w:cs="David"/>
                <w:b/>
                <w:bCs/>
                <w:color w:val="000000"/>
              </w:rPr>
              <w:t>3:38</w:t>
            </w:r>
          </w:p>
        </w:tc>
        <w:tc>
          <w:tcPr>
            <w:tcW w:w="1559" w:type="dxa"/>
            <w:tcBorders>
              <w:top w:val="single" w:sz="4" w:space="0" w:color="auto"/>
              <w:bottom w:val="single" w:sz="4" w:space="0" w:color="auto"/>
            </w:tcBorders>
            <w:shd w:val="clear" w:color="auto" w:fill="auto"/>
            <w:vAlign w:val="center"/>
          </w:tcPr>
          <w:p w14:paraId="429E2AB0" w14:textId="77777777" w:rsidR="000E32BC" w:rsidRPr="00110A21" w:rsidRDefault="000E32BC" w:rsidP="00FD0858">
            <w:pPr>
              <w:spacing w:after="0" w:line="240" w:lineRule="auto"/>
              <w:jc w:val="center"/>
              <w:rPr>
                <w:rFonts w:ascii="David" w:hAnsi="David" w:cs="David"/>
                <w:color w:val="000000"/>
              </w:rPr>
            </w:pPr>
            <w:r w:rsidRPr="00110A21">
              <w:rPr>
                <w:rFonts w:ascii="David" w:hAnsi="David" w:cs="David"/>
                <w:color w:val="000000"/>
              </w:rPr>
              <w:t>2:26</w:t>
            </w:r>
          </w:p>
        </w:tc>
        <w:tc>
          <w:tcPr>
            <w:tcW w:w="850" w:type="dxa"/>
            <w:tcBorders>
              <w:top w:val="single" w:sz="4" w:space="0" w:color="auto"/>
              <w:bottom w:val="single" w:sz="4" w:space="0" w:color="auto"/>
            </w:tcBorders>
            <w:shd w:val="clear" w:color="auto" w:fill="auto"/>
            <w:vAlign w:val="center"/>
          </w:tcPr>
          <w:p w14:paraId="48D8824C" w14:textId="77777777" w:rsidR="000E32BC" w:rsidRPr="00110A21" w:rsidRDefault="000E32BC" w:rsidP="00FD0858">
            <w:pPr>
              <w:spacing w:after="0" w:line="240" w:lineRule="auto"/>
              <w:jc w:val="center"/>
              <w:rPr>
                <w:rFonts w:ascii="David" w:hAnsi="David" w:cs="David"/>
                <w:color w:val="000000"/>
              </w:rPr>
            </w:pPr>
            <w:r w:rsidRPr="00110A21">
              <w:rPr>
                <w:rFonts w:ascii="David" w:hAnsi="David" w:cs="David" w:hint="cs"/>
                <w:color w:val="000000"/>
                <w:rtl/>
              </w:rPr>
              <w:t>1:12+</w:t>
            </w:r>
          </w:p>
        </w:tc>
      </w:tr>
      <w:tr w:rsidR="000E32BC" w:rsidRPr="00110A21" w14:paraId="721CBA68"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1196A39C" w14:textId="77777777" w:rsidR="000E32BC" w:rsidRPr="00110A21" w:rsidRDefault="000E32BC" w:rsidP="00FD0858">
            <w:pPr>
              <w:spacing w:after="0" w:line="240" w:lineRule="auto"/>
              <w:rPr>
                <w:rFonts w:ascii="David" w:hAnsi="David" w:cs="David"/>
                <w:color w:val="000000"/>
                <w:rtl/>
              </w:rPr>
            </w:pPr>
            <w:r w:rsidRPr="00110A21">
              <w:rPr>
                <w:rFonts w:ascii="David" w:hAnsi="David" w:cs="David"/>
                <w:color w:val="000000"/>
                <w:rtl/>
              </w:rPr>
              <w:t>שלום</w:t>
            </w:r>
          </w:p>
        </w:tc>
        <w:tc>
          <w:tcPr>
            <w:tcW w:w="992" w:type="dxa"/>
            <w:tcBorders>
              <w:top w:val="single" w:sz="4" w:space="0" w:color="auto"/>
              <w:bottom w:val="single" w:sz="4" w:space="0" w:color="auto"/>
            </w:tcBorders>
            <w:shd w:val="clear" w:color="auto" w:fill="D9D9D9"/>
            <w:noWrap/>
            <w:vAlign w:val="center"/>
          </w:tcPr>
          <w:p w14:paraId="5B0F6020" w14:textId="77777777" w:rsidR="000E32BC" w:rsidRPr="00110A21" w:rsidRDefault="000E32BC" w:rsidP="00FD0858">
            <w:pPr>
              <w:spacing w:after="0" w:line="240" w:lineRule="auto"/>
              <w:rPr>
                <w:rFonts w:ascii="David" w:hAnsi="David" w:cs="David"/>
                <w:color w:val="000000"/>
                <w:rtl/>
              </w:rPr>
            </w:pPr>
            <w:r w:rsidRPr="00110A21">
              <w:rPr>
                <w:rFonts w:ascii="David" w:hAnsi="David" w:cs="David"/>
                <w:color w:val="000000"/>
                <w:rtl/>
              </w:rPr>
              <w:t>אזרחי</w:t>
            </w:r>
          </w:p>
        </w:tc>
        <w:tc>
          <w:tcPr>
            <w:tcW w:w="2121" w:type="dxa"/>
            <w:tcBorders>
              <w:top w:val="single" w:sz="4" w:space="0" w:color="auto"/>
              <w:bottom w:val="single" w:sz="4" w:space="0" w:color="auto"/>
            </w:tcBorders>
            <w:shd w:val="clear" w:color="auto" w:fill="D9D9D9"/>
            <w:vAlign w:val="center"/>
          </w:tcPr>
          <w:p w14:paraId="77E79E43" w14:textId="77777777" w:rsidR="000E32BC" w:rsidRPr="00110A21" w:rsidRDefault="000E32BC" w:rsidP="00FD0858">
            <w:pPr>
              <w:spacing w:after="0" w:line="240" w:lineRule="auto"/>
              <w:rPr>
                <w:rFonts w:ascii="David" w:hAnsi="David" w:cs="David"/>
                <w:color w:val="000000"/>
                <w:rtl/>
              </w:rPr>
            </w:pPr>
            <w:r w:rsidRPr="00110A21">
              <w:rPr>
                <w:rFonts w:ascii="David" w:hAnsi="David" w:cs="David"/>
                <w:color w:val="000000"/>
                <w:rtl/>
              </w:rPr>
              <w:t>המרצת פתיחה (ה"פ)</w:t>
            </w:r>
          </w:p>
        </w:tc>
        <w:tc>
          <w:tcPr>
            <w:tcW w:w="1417" w:type="dxa"/>
            <w:tcBorders>
              <w:top w:val="single" w:sz="4" w:space="0" w:color="auto"/>
              <w:bottom w:val="single" w:sz="4" w:space="0" w:color="auto"/>
            </w:tcBorders>
            <w:shd w:val="clear" w:color="auto" w:fill="D9D9D9"/>
            <w:vAlign w:val="center"/>
          </w:tcPr>
          <w:p w14:paraId="0BAF6D19" w14:textId="77777777" w:rsidR="000E32BC" w:rsidRPr="00110A21" w:rsidRDefault="000E32BC" w:rsidP="00FD0858">
            <w:pPr>
              <w:spacing w:after="0" w:line="240" w:lineRule="auto"/>
              <w:jc w:val="center"/>
              <w:rPr>
                <w:rFonts w:asciiTheme="minorHAnsi" w:hAnsiTheme="minorHAnsi" w:cs="David"/>
                <w:color w:val="000000"/>
                <w:rtl/>
              </w:rPr>
            </w:pPr>
            <w:r w:rsidRPr="00110A21">
              <w:rPr>
                <w:rFonts w:ascii="David" w:hAnsi="David" w:cs="David"/>
                <w:color w:val="000000"/>
              </w:rPr>
              <w:t>1,992</w:t>
            </w:r>
          </w:p>
        </w:tc>
        <w:tc>
          <w:tcPr>
            <w:tcW w:w="1418" w:type="dxa"/>
            <w:tcBorders>
              <w:top w:val="single" w:sz="4" w:space="0" w:color="auto"/>
              <w:bottom w:val="single" w:sz="4" w:space="0" w:color="auto"/>
            </w:tcBorders>
            <w:shd w:val="clear" w:color="auto" w:fill="D9D9D9"/>
            <w:noWrap/>
            <w:vAlign w:val="center"/>
          </w:tcPr>
          <w:p w14:paraId="63F91C31" w14:textId="77777777" w:rsidR="000E32BC" w:rsidRPr="00110A21" w:rsidRDefault="000E32BC" w:rsidP="00FD0858">
            <w:pPr>
              <w:spacing w:after="0" w:line="240" w:lineRule="auto"/>
              <w:jc w:val="center"/>
              <w:rPr>
                <w:rFonts w:ascii="David" w:hAnsi="David" w:cs="David"/>
                <w:b/>
                <w:bCs/>
                <w:color w:val="000000"/>
              </w:rPr>
            </w:pPr>
            <w:r w:rsidRPr="00110A21">
              <w:rPr>
                <w:rFonts w:ascii="David" w:hAnsi="David" w:cs="David" w:hint="cs"/>
                <w:b/>
                <w:bCs/>
                <w:color w:val="000000"/>
                <w:rtl/>
              </w:rPr>
              <w:t>3:04</w:t>
            </w:r>
          </w:p>
        </w:tc>
        <w:tc>
          <w:tcPr>
            <w:tcW w:w="1559" w:type="dxa"/>
            <w:tcBorders>
              <w:top w:val="single" w:sz="4" w:space="0" w:color="auto"/>
              <w:bottom w:val="single" w:sz="4" w:space="0" w:color="auto"/>
            </w:tcBorders>
            <w:shd w:val="clear" w:color="auto" w:fill="D9D9D9"/>
            <w:vAlign w:val="center"/>
          </w:tcPr>
          <w:p w14:paraId="66BB61E9" w14:textId="77777777" w:rsidR="000E32BC" w:rsidRPr="00110A21" w:rsidRDefault="000E32BC" w:rsidP="00FD0858">
            <w:pPr>
              <w:spacing w:after="0" w:line="240" w:lineRule="auto"/>
              <w:jc w:val="center"/>
              <w:rPr>
                <w:rFonts w:ascii="David" w:hAnsi="David" w:cs="David"/>
                <w:color w:val="000000"/>
              </w:rPr>
            </w:pPr>
            <w:r w:rsidRPr="00110A21">
              <w:rPr>
                <w:rFonts w:ascii="David" w:hAnsi="David" w:cs="David"/>
                <w:color w:val="000000"/>
              </w:rPr>
              <w:t>2:31</w:t>
            </w:r>
          </w:p>
        </w:tc>
        <w:tc>
          <w:tcPr>
            <w:tcW w:w="850" w:type="dxa"/>
            <w:tcBorders>
              <w:top w:val="single" w:sz="4" w:space="0" w:color="auto"/>
              <w:bottom w:val="single" w:sz="4" w:space="0" w:color="auto"/>
            </w:tcBorders>
            <w:shd w:val="clear" w:color="auto" w:fill="D9D9D9"/>
            <w:vAlign w:val="center"/>
          </w:tcPr>
          <w:p w14:paraId="3DA806E1" w14:textId="77777777" w:rsidR="000E32BC" w:rsidRPr="00110A21" w:rsidRDefault="000E32BC" w:rsidP="00FD0858">
            <w:pPr>
              <w:spacing w:after="0" w:line="240" w:lineRule="auto"/>
              <w:jc w:val="center"/>
              <w:rPr>
                <w:rFonts w:ascii="David" w:hAnsi="David" w:cs="David"/>
                <w:color w:val="000000"/>
              </w:rPr>
            </w:pPr>
            <w:r w:rsidRPr="00110A21">
              <w:rPr>
                <w:rFonts w:ascii="David" w:hAnsi="David" w:cs="David" w:hint="cs"/>
                <w:color w:val="000000"/>
                <w:rtl/>
              </w:rPr>
              <w:t>0:33 +</w:t>
            </w:r>
          </w:p>
        </w:tc>
      </w:tr>
      <w:tr w:rsidR="000E32BC" w:rsidRPr="00110A21" w14:paraId="678F40E2"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53280B5C" w14:textId="77777777" w:rsidR="000E32BC" w:rsidRPr="00110A21" w:rsidRDefault="000E32BC" w:rsidP="00FD0858">
            <w:pPr>
              <w:spacing w:after="0" w:line="240" w:lineRule="auto"/>
              <w:rPr>
                <w:rFonts w:ascii="David" w:hAnsi="David" w:cs="David"/>
                <w:color w:val="000000"/>
                <w:rtl/>
              </w:rPr>
            </w:pPr>
            <w:r w:rsidRPr="00110A21">
              <w:rPr>
                <w:rFonts w:ascii="David" w:hAnsi="David" w:cs="David"/>
                <w:color w:val="000000"/>
                <w:rtl/>
              </w:rPr>
              <w:t>שלום</w:t>
            </w:r>
          </w:p>
        </w:tc>
        <w:tc>
          <w:tcPr>
            <w:tcW w:w="992" w:type="dxa"/>
            <w:tcBorders>
              <w:top w:val="single" w:sz="4" w:space="0" w:color="auto"/>
              <w:bottom w:val="single" w:sz="4" w:space="0" w:color="auto"/>
            </w:tcBorders>
            <w:shd w:val="clear" w:color="auto" w:fill="auto"/>
            <w:noWrap/>
            <w:vAlign w:val="center"/>
          </w:tcPr>
          <w:p w14:paraId="4248B1B2" w14:textId="77777777" w:rsidR="000E32BC" w:rsidRPr="00110A21" w:rsidRDefault="000E32BC" w:rsidP="00FD0858">
            <w:pPr>
              <w:spacing w:after="0" w:line="240" w:lineRule="auto"/>
              <w:rPr>
                <w:rFonts w:ascii="David" w:hAnsi="David" w:cs="David"/>
                <w:color w:val="000000"/>
                <w:rtl/>
              </w:rPr>
            </w:pPr>
            <w:r w:rsidRPr="00110A21">
              <w:rPr>
                <w:rFonts w:ascii="David" w:hAnsi="David" w:cs="David"/>
                <w:color w:val="000000"/>
                <w:rtl/>
              </w:rPr>
              <w:t>אזרחי</w:t>
            </w:r>
          </w:p>
        </w:tc>
        <w:tc>
          <w:tcPr>
            <w:tcW w:w="2121" w:type="dxa"/>
            <w:tcBorders>
              <w:top w:val="single" w:sz="4" w:space="0" w:color="auto"/>
              <w:bottom w:val="single" w:sz="4" w:space="0" w:color="auto"/>
            </w:tcBorders>
            <w:shd w:val="clear" w:color="auto" w:fill="auto"/>
            <w:vAlign w:val="center"/>
          </w:tcPr>
          <w:p w14:paraId="79D5DB5E" w14:textId="77777777" w:rsidR="000E32BC" w:rsidRPr="00110A21" w:rsidRDefault="000E32BC" w:rsidP="00FD0858">
            <w:pPr>
              <w:spacing w:after="0" w:line="240" w:lineRule="auto"/>
              <w:rPr>
                <w:rFonts w:ascii="David" w:hAnsi="David" w:cs="David"/>
                <w:color w:val="000000"/>
                <w:rtl/>
              </w:rPr>
            </w:pPr>
            <w:r w:rsidRPr="00110A21">
              <w:rPr>
                <w:rFonts w:ascii="David" w:hAnsi="David" w:cs="David"/>
                <w:color w:val="000000"/>
                <w:rtl/>
              </w:rPr>
              <w:t>צו מניעה - סגירה מנהלית לעסק (צ"מ)</w:t>
            </w:r>
          </w:p>
        </w:tc>
        <w:tc>
          <w:tcPr>
            <w:tcW w:w="1417" w:type="dxa"/>
            <w:tcBorders>
              <w:top w:val="single" w:sz="4" w:space="0" w:color="auto"/>
              <w:bottom w:val="single" w:sz="4" w:space="0" w:color="auto"/>
            </w:tcBorders>
            <w:vAlign w:val="center"/>
          </w:tcPr>
          <w:p w14:paraId="1C4D9FF5" w14:textId="77777777" w:rsidR="000E32BC" w:rsidRPr="00110A21" w:rsidRDefault="000E32BC" w:rsidP="00FD0858">
            <w:pPr>
              <w:spacing w:after="0" w:line="240" w:lineRule="auto"/>
              <w:jc w:val="center"/>
              <w:rPr>
                <w:rFonts w:ascii="David" w:hAnsi="David" w:cs="David"/>
                <w:color w:val="000000"/>
              </w:rPr>
            </w:pPr>
            <w:r w:rsidRPr="00110A21">
              <w:rPr>
                <w:rFonts w:ascii="David" w:hAnsi="David" w:cs="David"/>
                <w:color w:val="000000"/>
              </w:rPr>
              <w:t>36</w:t>
            </w:r>
          </w:p>
        </w:tc>
        <w:tc>
          <w:tcPr>
            <w:tcW w:w="1418" w:type="dxa"/>
            <w:tcBorders>
              <w:top w:val="single" w:sz="4" w:space="0" w:color="auto"/>
              <w:bottom w:val="single" w:sz="4" w:space="0" w:color="auto"/>
            </w:tcBorders>
            <w:shd w:val="clear" w:color="auto" w:fill="auto"/>
            <w:noWrap/>
            <w:vAlign w:val="center"/>
          </w:tcPr>
          <w:p w14:paraId="68FE48C0" w14:textId="77777777" w:rsidR="000E32BC" w:rsidRPr="00110A21" w:rsidRDefault="000E32BC" w:rsidP="00FD0858">
            <w:pPr>
              <w:spacing w:after="0" w:line="240" w:lineRule="auto"/>
              <w:jc w:val="center"/>
              <w:rPr>
                <w:rFonts w:ascii="David" w:hAnsi="David" w:cs="David"/>
                <w:b/>
                <w:bCs/>
                <w:color w:val="000000"/>
              </w:rPr>
            </w:pPr>
            <w:r w:rsidRPr="00110A21">
              <w:rPr>
                <w:rFonts w:ascii="David" w:hAnsi="David" w:cs="David" w:hint="cs"/>
                <w:b/>
                <w:bCs/>
                <w:color w:val="000000"/>
                <w:rtl/>
              </w:rPr>
              <w:t>2:53</w:t>
            </w:r>
          </w:p>
        </w:tc>
        <w:tc>
          <w:tcPr>
            <w:tcW w:w="1559" w:type="dxa"/>
            <w:tcBorders>
              <w:top w:val="single" w:sz="4" w:space="0" w:color="auto"/>
              <w:bottom w:val="single" w:sz="4" w:space="0" w:color="auto"/>
            </w:tcBorders>
            <w:shd w:val="clear" w:color="auto" w:fill="auto"/>
            <w:vAlign w:val="center"/>
          </w:tcPr>
          <w:p w14:paraId="7E39EA47" w14:textId="77777777" w:rsidR="000E32BC" w:rsidRPr="00110A21" w:rsidRDefault="000E32BC" w:rsidP="00FD0858">
            <w:pPr>
              <w:spacing w:after="0" w:line="240" w:lineRule="auto"/>
              <w:jc w:val="center"/>
              <w:rPr>
                <w:rFonts w:ascii="David" w:hAnsi="David" w:cs="David"/>
                <w:color w:val="000000"/>
              </w:rPr>
            </w:pPr>
            <w:r w:rsidRPr="00110A21">
              <w:rPr>
                <w:rFonts w:ascii="David" w:hAnsi="David" w:cs="David"/>
                <w:color w:val="000000"/>
              </w:rPr>
              <w:t>-</w:t>
            </w:r>
          </w:p>
        </w:tc>
        <w:tc>
          <w:tcPr>
            <w:tcW w:w="850" w:type="dxa"/>
            <w:tcBorders>
              <w:top w:val="single" w:sz="4" w:space="0" w:color="auto"/>
              <w:bottom w:val="single" w:sz="4" w:space="0" w:color="auto"/>
            </w:tcBorders>
            <w:shd w:val="clear" w:color="auto" w:fill="auto"/>
            <w:vAlign w:val="center"/>
          </w:tcPr>
          <w:p w14:paraId="0EDDA1A7" w14:textId="77777777" w:rsidR="000E32BC" w:rsidRPr="00110A21" w:rsidRDefault="000E32BC" w:rsidP="00FD0858">
            <w:pPr>
              <w:spacing w:after="0" w:line="240" w:lineRule="auto"/>
              <w:jc w:val="center"/>
              <w:rPr>
                <w:rFonts w:ascii="David" w:hAnsi="David" w:cs="David"/>
                <w:color w:val="000000"/>
              </w:rPr>
            </w:pPr>
            <w:r w:rsidRPr="00110A21">
              <w:rPr>
                <w:rFonts w:ascii="David" w:hAnsi="David" w:cs="David"/>
                <w:color w:val="000000"/>
              </w:rPr>
              <w:t>-</w:t>
            </w:r>
          </w:p>
        </w:tc>
      </w:tr>
      <w:tr w:rsidR="00FD0858" w:rsidRPr="00110A21" w14:paraId="34139F52"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7DB9074C" w14:textId="77777777" w:rsidR="00FD0858" w:rsidRPr="00110A21" w:rsidRDefault="00FD0858" w:rsidP="00FD0858">
            <w:pPr>
              <w:spacing w:after="0" w:line="240" w:lineRule="auto"/>
              <w:rPr>
                <w:rFonts w:ascii="David" w:hAnsi="David" w:cs="David"/>
                <w:color w:val="000000"/>
                <w:rtl/>
              </w:rPr>
            </w:pPr>
            <w:r w:rsidRPr="00110A21">
              <w:rPr>
                <w:rFonts w:ascii="David" w:hAnsi="David" w:cs="David"/>
                <w:color w:val="000000"/>
                <w:rtl/>
              </w:rPr>
              <w:t>שלום</w:t>
            </w:r>
          </w:p>
        </w:tc>
        <w:tc>
          <w:tcPr>
            <w:tcW w:w="992" w:type="dxa"/>
            <w:tcBorders>
              <w:top w:val="single" w:sz="4" w:space="0" w:color="auto"/>
              <w:bottom w:val="single" w:sz="4" w:space="0" w:color="auto"/>
            </w:tcBorders>
            <w:shd w:val="clear" w:color="auto" w:fill="D9D9D9"/>
            <w:noWrap/>
            <w:vAlign w:val="center"/>
          </w:tcPr>
          <w:p w14:paraId="3E59EFB6" w14:textId="77777777" w:rsidR="00FD0858" w:rsidRPr="00110A21" w:rsidRDefault="00FD0858" w:rsidP="00FD0858">
            <w:pPr>
              <w:spacing w:after="0" w:line="240" w:lineRule="auto"/>
              <w:rPr>
                <w:rFonts w:ascii="David" w:hAnsi="David" w:cs="David"/>
                <w:color w:val="000000"/>
                <w:rtl/>
              </w:rPr>
            </w:pPr>
            <w:r w:rsidRPr="00110A21">
              <w:rPr>
                <w:rFonts w:ascii="David" w:hAnsi="David" w:cs="David"/>
                <w:color w:val="000000"/>
                <w:rtl/>
              </w:rPr>
              <w:t>אזרחי</w:t>
            </w:r>
          </w:p>
        </w:tc>
        <w:tc>
          <w:tcPr>
            <w:tcW w:w="2121" w:type="dxa"/>
            <w:tcBorders>
              <w:top w:val="single" w:sz="4" w:space="0" w:color="auto"/>
              <w:bottom w:val="single" w:sz="4" w:space="0" w:color="auto"/>
            </w:tcBorders>
            <w:shd w:val="clear" w:color="auto" w:fill="D9D9D9"/>
            <w:vAlign w:val="center"/>
          </w:tcPr>
          <w:p w14:paraId="1B4DF1C3" w14:textId="77777777" w:rsidR="00FD0858" w:rsidRPr="00110A21" w:rsidRDefault="00FD0858" w:rsidP="00FD0858">
            <w:pPr>
              <w:spacing w:after="0" w:line="240" w:lineRule="auto"/>
              <w:rPr>
                <w:rFonts w:ascii="David" w:hAnsi="David" w:cs="David"/>
                <w:color w:val="000000"/>
                <w:rtl/>
              </w:rPr>
            </w:pPr>
            <w:r w:rsidRPr="00110A21">
              <w:rPr>
                <w:rFonts w:ascii="David" w:hAnsi="David" w:cs="David"/>
                <w:color w:val="000000"/>
                <w:rtl/>
              </w:rPr>
              <w:t>ערעור על החלטת רשם (ע"ר)</w:t>
            </w:r>
            <w:r w:rsidRPr="00110A21">
              <w:rPr>
                <w:rFonts w:ascii="David" w:hAnsi="David" w:cs="David" w:hint="cs"/>
                <w:color w:val="000000"/>
                <w:rtl/>
              </w:rPr>
              <w:t>*</w:t>
            </w:r>
          </w:p>
        </w:tc>
        <w:tc>
          <w:tcPr>
            <w:tcW w:w="1417" w:type="dxa"/>
            <w:tcBorders>
              <w:top w:val="single" w:sz="4" w:space="0" w:color="auto"/>
              <w:bottom w:val="single" w:sz="4" w:space="0" w:color="auto"/>
            </w:tcBorders>
            <w:shd w:val="clear" w:color="auto" w:fill="D9D9D9"/>
            <w:vAlign w:val="center"/>
          </w:tcPr>
          <w:p w14:paraId="184074BF" w14:textId="77777777" w:rsidR="00FD0858" w:rsidRPr="00110A21" w:rsidRDefault="00FD0858" w:rsidP="00FD0858">
            <w:pPr>
              <w:spacing w:after="0" w:line="240" w:lineRule="auto"/>
              <w:jc w:val="center"/>
              <w:rPr>
                <w:rFonts w:ascii="David" w:hAnsi="David" w:cs="David"/>
                <w:color w:val="000000"/>
                <w:rtl/>
              </w:rPr>
            </w:pPr>
            <w:r w:rsidRPr="00110A21">
              <w:rPr>
                <w:rFonts w:ascii="David" w:hAnsi="David" w:cs="David"/>
                <w:color w:val="000000"/>
              </w:rPr>
              <w:t>123</w:t>
            </w:r>
          </w:p>
        </w:tc>
        <w:tc>
          <w:tcPr>
            <w:tcW w:w="1418" w:type="dxa"/>
            <w:tcBorders>
              <w:top w:val="single" w:sz="4" w:space="0" w:color="auto"/>
              <w:bottom w:val="single" w:sz="4" w:space="0" w:color="auto"/>
            </w:tcBorders>
            <w:shd w:val="clear" w:color="auto" w:fill="D9D9D9"/>
            <w:noWrap/>
            <w:vAlign w:val="center"/>
          </w:tcPr>
          <w:p w14:paraId="7BCB91FC" w14:textId="77777777" w:rsidR="00FD0858" w:rsidRPr="00110A21" w:rsidRDefault="00FD0858" w:rsidP="00FD0858">
            <w:pPr>
              <w:spacing w:after="0" w:line="240" w:lineRule="auto"/>
              <w:jc w:val="center"/>
              <w:rPr>
                <w:rFonts w:ascii="David" w:hAnsi="David" w:cs="David"/>
                <w:b/>
                <w:bCs/>
                <w:color w:val="000000"/>
              </w:rPr>
            </w:pPr>
            <w:r w:rsidRPr="00110A21">
              <w:rPr>
                <w:rFonts w:ascii="David" w:hAnsi="David" w:cs="David"/>
                <w:b/>
                <w:bCs/>
                <w:color w:val="000000"/>
              </w:rPr>
              <w:t>2:42</w:t>
            </w:r>
          </w:p>
        </w:tc>
        <w:tc>
          <w:tcPr>
            <w:tcW w:w="1559" w:type="dxa"/>
            <w:tcBorders>
              <w:top w:val="single" w:sz="4" w:space="0" w:color="auto"/>
              <w:bottom w:val="single" w:sz="4" w:space="0" w:color="auto"/>
            </w:tcBorders>
            <w:shd w:val="clear" w:color="auto" w:fill="D9D9D9"/>
            <w:vAlign w:val="center"/>
          </w:tcPr>
          <w:p w14:paraId="4BAC5F24" w14:textId="77777777" w:rsidR="00FD0858" w:rsidRPr="00110A21" w:rsidRDefault="00FD0858" w:rsidP="00FD0858">
            <w:pPr>
              <w:spacing w:after="0" w:line="240" w:lineRule="auto"/>
              <w:jc w:val="center"/>
              <w:rPr>
                <w:rFonts w:ascii="David" w:hAnsi="David" w:cs="David"/>
                <w:color w:val="000000"/>
              </w:rPr>
            </w:pPr>
            <w:r w:rsidRPr="00110A21">
              <w:rPr>
                <w:rFonts w:ascii="David" w:hAnsi="David" w:cs="David"/>
                <w:color w:val="000000"/>
              </w:rPr>
              <w:t>-</w:t>
            </w:r>
          </w:p>
        </w:tc>
        <w:tc>
          <w:tcPr>
            <w:tcW w:w="850" w:type="dxa"/>
            <w:tcBorders>
              <w:top w:val="single" w:sz="4" w:space="0" w:color="auto"/>
              <w:bottom w:val="single" w:sz="4" w:space="0" w:color="auto"/>
            </w:tcBorders>
            <w:shd w:val="clear" w:color="auto" w:fill="D9D9D9"/>
            <w:vAlign w:val="center"/>
          </w:tcPr>
          <w:p w14:paraId="2ECAC5D1" w14:textId="77777777" w:rsidR="00FD0858" w:rsidRPr="00110A21" w:rsidRDefault="00FD0858" w:rsidP="00FD0858">
            <w:pPr>
              <w:spacing w:after="0" w:line="240" w:lineRule="auto"/>
              <w:jc w:val="center"/>
              <w:rPr>
                <w:rFonts w:ascii="David" w:hAnsi="David" w:cs="David"/>
                <w:color w:val="000000"/>
              </w:rPr>
            </w:pPr>
            <w:r w:rsidRPr="00110A21">
              <w:rPr>
                <w:rFonts w:ascii="David" w:hAnsi="David" w:cs="David"/>
                <w:color w:val="000000"/>
              </w:rPr>
              <w:t>-</w:t>
            </w:r>
          </w:p>
        </w:tc>
      </w:tr>
      <w:tr w:rsidR="00FD0858" w:rsidRPr="00110A21" w14:paraId="51DF754A" w14:textId="77777777" w:rsidTr="007D380E">
        <w:trPr>
          <w:trHeight w:val="430"/>
        </w:trPr>
        <w:tc>
          <w:tcPr>
            <w:tcW w:w="847" w:type="dxa"/>
            <w:tcBorders>
              <w:top w:val="single" w:sz="4" w:space="0" w:color="auto"/>
              <w:bottom w:val="single" w:sz="4" w:space="0" w:color="auto"/>
            </w:tcBorders>
            <w:shd w:val="clear" w:color="auto" w:fill="auto"/>
            <w:noWrap/>
            <w:vAlign w:val="center"/>
          </w:tcPr>
          <w:p w14:paraId="6FD3CFB3" w14:textId="77777777" w:rsidR="00FD0858" w:rsidRPr="00110A21" w:rsidRDefault="00FD0858" w:rsidP="00FD0858">
            <w:pPr>
              <w:spacing w:after="0" w:line="240" w:lineRule="auto"/>
              <w:rPr>
                <w:rFonts w:ascii="David" w:hAnsi="David" w:cs="David"/>
                <w:color w:val="000000"/>
                <w:rtl/>
              </w:rPr>
            </w:pPr>
            <w:r w:rsidRPr="00110A21">
              <w:rPr>
                <w:rFonts w:ascii="David" w:hAnsi="David" w:cs="David"/>
                <w:color w:val="000000"/>
                <w:rtl/>
              </w:rPr>
              <w:t>שלום</w:t>
            </w:r>
          </w:p>
        </w:tc>
        <w:tc>
          <w:tcPr>
            <w:tcW w:w="992" w:type="dxa"/>
            <w:tcBorders>
              <w:top w:val="single" w:sz="4" w:space="0" w:color="auto"/>
              <w:bottom w:val="single" w:sz="4" w:space="0" w:color="auto"/>
            </w:tcBorders>
            <w:shd w:val="clear" w:color="auto" w:fill="auto"/>
            <w:noWrap/>
            <w:vAlign w:val="center"/>
          </w:tcPr>
          <w:p w14:paraId="2BD3E7BC" w14:textId="77777777" w:rsidR="00FD0858" w:rsidRPr="00110A21" w:rsidRDefault="00FD0858" w:rsidP="00FD0858">
            <w:pPr>
              <w:spacing w:after="0" w:line="240" w:lineRule="auto"/>
              <w:rPr>
                <w:rFonts w:ascii="David" w:hAnsi="David" w:cs="David"/>
                <w:color w:val="000000"/>
                <w:rtl/>
              </w:rPr>
            </w:pPr>
            <w:r w:rsidRPr="00110A21">
              <w:rPr>
                <w:rFonts w:ascii="David" w:hAnsi="David" w:cs="David"/>
                <w:color w:val="000000"/>
                <w:rtl/>
              </w:rPr>
              <w:t>אזרחי</w:t>
            </w:r>
          </w:p>
        </w:tc>
        <w:tc>
          <w:tcPr>
            <w:tcW w:w="2121" w:type="dxa"/>
            <w:tcBorders>
              <w:top w:val="single" w:sz="4" w:space="0" w:color="auto"/>
              <w:bottom w:val="single" w:sz="4" w:space="0" w:color="auto"/>
            </w:tcBorders>
            <w:shd w:val="clear" w:color="auto" w:fill="auto"/>
            <w:vAlign w:val="center"/>
          </w:tcPr>
          <w:p w14:paraId="7B6DEBBD" w14:textId="77777777" w:rsidR="00FD0858" w:rsidRPr="00110A21" w:rsidRDefault="00FD0858" w:rsidP="00FD0858">
            <w:pPr>
              <w:spacing w:after="0" w:line="240" w:lineRule="auto"/>
              <w:rPr>
                <w:rFonts w:ascii="David" w:hAnsi="David" w:cs="David"/>
                <w:color w:val="000000"/>
                <w:rtl/>
              </w:rPr>
            </w:pPr>
            <w:r w:rsidRPr="00110A21">
              <w:rPr>
                <w:rFonts w:ascii="David" w:hAnsi="David" w:cs="David"/>
                <w:color w:val="000000"/>
                <w:rtl/>
              </w:rPr>
              <w:t>ערעור שונה - אזרחי (עש"א)</w:t>
            </w:r>
          </w:p>
        </w:tc>
        <w:tc>
          <w:tcPr>
            <w:tcW w:w="1417" w:type="dxa"/>
            <w:tcBorders>
              <w:top w:val="single" w:sz="4" w:space="0" w:color="auto"/>
              <w:bottom w:val="single" w:sz="4" w:space="0" w:color="auto"/>
            </w:tcBorders>
            <w:vAlign w:val="center"/>
          </w:tcPr>
          <w:p w14:paraId="42F9A6B3" w14:textId="77777777" w:rsidR="00FD0858" w:rsidRPr="00110A21" w:rsidRDefault="00FD0858" w:rsidP="00FD0858">
            <w:pPr>
              <w:spacing w:after="0" w:line="240" w:lineRule="auto"/>
              <w:jc w:val="center"/>
              <w:rPr>
                <w:rFonts w:ascii="David" w:hAnsi="David" w:cs="David"/>
                <w:color w:val="000000"/>
              </w:rPr>
            </w:pPr>
            <w:r w:rsidRPr="00110A21">
              <w:rPr>
                <w:rFonts w:ascii="David" w:hAnsi="David" w:cs="David"/>
                <w:color w:val="000000"/>
              </w:rPr>
              <w:t>1,325</w:t>
            </w:r>
          </w:p>
        </w:tc>
        <w:tc>
          <w:tcPr>
            <w:tcW w:w="1418" w:type="dxa"/>
            <w:tcBorders>
              <w:top w:val="single" w:sz="4" w:space="0" w:color="auto"/>
              <w:bottom w:val="single" w:sz="4" w:space="0" w:color="auto"/>
            </w:tcBorders>
            <w:shd w:val="clear" w:color="auto" w:fill="auto"/>
            <w:noWrap/>
            <w:vAlign w:val="center"/>
          </w:tcPr>
          <w:p w14:paraId="7E7CF05F" w14:textId="77777777" w:rsidR="00FD0858" w:rsidRPr="00110A21" w:rsidRDefault="00FD0858" w:rsidP="00FD0858">
            <w:pPr>
              <w:spacing w:after="0" w:line="240" w:lineRule="auto"/>
              <w:jc w:val="center"/>
              <w:rPr>
                <w:rFonts w:ascii="David" w:hAnsi="David" w:cs="David"/>
                <w:b/>
                <w:bCs/>
                <w:color w:val="000000"/>
              </w:rPr>
            </w:pPr>
            <w:r w:rsidRPr="00110A21">
              <w:rPr>
                <w:rFonts w:ascii="David" w:hAnsi="David" w:cs="David"/>
                <w:b/>
                <w:bCs/>
                <w:color w:val="000000"/>
              </w:rPr>
              <w:t>2:18</w:t>
            </w:r>
          </w:p>
        </w:tc>
        <w:tc>
          <w:tcPr>
            <w:tcW w:w="1559" w:type="dxa"/>
            <w:tcBorders>
              <w:top w:val="single" w:sz="4" w:space="0" w:color="auto"/>
              <w:bottom w:val="single" w:sz="4" w:space="0" w:color="auto"/>
            </w:tcBorders>
            <w:shd w:val="clear" w:color="auto" w:fill="auto"/>
            <w:vAlign w:val="center"/>
          </w:tcPr>
          <w:p w14:paraId="1A1E7A6E" w14:textId="77777777" w:rsidR="00FD0858" w:rsidRPr="00110A21" w:rsidRDefault="00FD0858" w:rsidP="00FD0858">
            <w:pPr>
              <w:spacing w:after="0" w:line="240" w:lineRule="auto"/>
              <w:jc w:val="center"/>
              <w:rPr>
                <w:rFonts w:ascii="David" w:hAnsi="David" w:cs="David"/>
                <w:color w:val="000000"/>
              </w:rPr>
            </w:pPr>
            <w:r w:rsidRPr="00110A21">
              <w:rPr>
                <w:rFonts w:ascii="David" w:hAnsi="David" w:cs="David"/>
                <w:color w:val="000000"/>
              </w:rPr>
              <w:t>2:28</w:t>
            </w:r>
          </w:p>
        </w:tc>
        <w:tc>
          <w:tcPr>
            <w:tcW w:w="850" w:type="dxa"/>
            <w:tcBorders>
              <w:top w:val="single" w:sz="4" w:space="0" w:color="auto"/>
              <w:bottom w:val="single" w:sz="4" w:space="0" w:color="auto"/>
            </w:tcBorders>
            <w:shd w:val="clear" w:color="auto" w:fill="auto"/>
            <w:vAlign w:val="center"/>
          </w:tcPr>
          <w:p w14:paraId="1E4B82A3" w14:textId="77777777" w:rsidR="00FD0858" w:rsidRPr="00110A21" w:rsidRDefault="00FD0858" w:rsidP="00FD0858">
            <w:pPr>
              <w:spacing w:after="0" w:line="240" w:lineRule="auto"/>
              <w:jc w:val="center"/>
              <w:rPr>
                <w:rFonts w:ascii="David" w:hAnsi="David" w:cs="David"/>
                <w:color w:val="000000"/>
              </w:rPr>
            </w:pPr>
            <w:r w:rsidRPr="00110A21">
              <w:rPr>
                <w:rFonts w:ascii="David" w:hAnsi="David" w:cs="David" w:hint="cs"/>
                <w:color w:val="000000"/>
                <w:rtl/>
              </w:rPr>
              <w:t>0:10-</w:t>
            </w:r>
          </w:p>
        </w:tc>
      </w:tr>
      <w:tr w:rsidR="00FD0858" w:rsidRPr="00110A21" w14:paraId="1F63D00C" w14:textId="77777777" w:rsidTr="007D380E">
        <w:trPr>
          <w:trHeight w:val="460"/>
        </w:trPr>
        <w:tc>
          <w:tcPr>
            <w:tcW w:w="847" w:type="dxa"/>
            <w:tcBorders>
              <w:top w:val="single" w:sz="4" w:space="0" w:color="auto"/>
              <w:bottom w:val="single" w:sz="4" w:space="0" w:color="auto"/>
            </w:tcBorders>
            <w:shd w:val="clear" w:color="auto" w:fill="D9D9D9"/>
            <w:noWrap/>
            <w:vAlign w:val="center"/>
          </w:tcPr>
          <w:p w14:paraId="04A37C11" w14:textId="77777777" w:rsidR="00FD0858" w:rsidRPr="00110A21" w:rsidRDefault="00FD0858" w:rsidP="00FD0858">
            <w:pPr>
              <w:spacing w:after="0" w:line="240" w:lineRule="auto"/>
              <w:rPr>
                <w:rFonts w:ascii="David" w:hAnsi="David" w:cs="David"/>
                <w:color w:val="000000"/>
                <w:rtl/>
              </w:rPr>
            </w:pPr>
            <w:r w:rsidRPr="00110A21">
              <w:rPr>
                <w:rFonts w:ascii="David" w:hAnsi="David" w:cs="David"/>
                <w:color w:val="000000"/>
                <w:rtl/>
              </w:rPr>
              <w:t>שלום</w:t>
            </w:r>
          </w:p>
        </w:tc>
        <w:tc>
          <w:tcPr>
            <w:tcW w:w="992" w:type="dxa"/>
            <w:tcBorders>
              <w:top w:val="single" w:sz="4" w:space="0" w:color="auto"/>
              <w:bottom w:val="single" w:sz="4" w:space="0" w:color="auto"/>
            </w:tcBorders>
            <w:shd w:val="clear" w:color="auto" w:fill="D9D9D9"/>
            <w:noWrap/>
            <w:vAlign w:val="center"/>
          </w:tcPr>
          <w:p w14:paraId="0EDB4609" w14:textId="77777777" w:rsidR="00FD0858" w:rsidRPr="00110A21" w:rsidRDefault="00FD0858" w:rsidP="00FD0858">
            <w:pPr>
              <w:spacing w:after="0" w:line="240" w:lineRule="auto"/>
              <w:rPr>
                <w:rFonts w:ascii="David" w:hAnsi="David" w:cs="David"/>
                <w:color w:val="000000"/>
                <w:rtl/>
              </w:rPr>
            </w:pPr>
            <w:r w:rsidRPr="00110A21">
              <w:rPr>
                <w:rFonts w:ascii="David" w:hAnsi="David" w:cs="David"/>
                <w:color w:val="000000"/>
                <w:rtl/>
              </w:rPr>
              <w:t>אזרחי</w:t>
            </w:r>
          </w:p>
        </w:tc>
        <w:tc>
          <w:tcPr>
            <w:tcW w:w="2121" w:type="dxa"/>
            <w:tcBorders>
              <w:top w:val="single" w:sz="4" w:space="0" w:color="auto"/>
              <w:bottom w:val="single" w:sz="4" w:space="0" w:color="auto"/>
            </w:tcBorders>
            <w:shd w:val="clear" w:color="auto" w:fill="D9D9D9"/>
            <w:vAlign w:val="center"/>
          </w:tcPr>
          <w:p w14:paraId="0D1A810B" w14:textId="77777777" w:rsidR="00FD0858" w:rsidRPr="00110A21" w:rsidRDefault="00FD0858" w:rsidP="00FD0858">
            <w:pPr>
              <w:spacing w:after="0" w:line="240" w:lineRule="auto"/>
              <w:rPr>
                <w:rFonts w:ascii="David" w:hAnsi="David" w:cs="David"/>
                <w:color w:val="000000"/>
                <w:rtl/>
              </w:rPr>
            </w:pPr>
            <w:r w:rsidRPr="00110A21">
              <w:rPr>
                <w:rFonts w:ascii="David" w:hAnsi="David" w:cs="David"/>
                <w:color w:val="000000"/>
                <w:rtl/>
              </w:rPr>
              <w:t>תיק אזרחי בסדר דין מהיר</w:t>
            </w:r>
            <w:r w:rsidRPr="00110A21">
              <w:rPr>
                <w:rFonts w:ascii="David" w:hAnsi="David" w:cs="David" w:hint="cs"/>
                <w:color w:val="000000"/>
                <w:rtl/>
              </w:rPr>
              <w:t xml:space="preserve"> (תא"מ) - אחר</w:t>
            </w:r>
          </w:p>
        </w:tc>
        <w:tc>
          <w:tcPr>
            <w:tcW w:w="1417" w:type="dxa"/>
            <w:tcBorders>
              <w:top w:val="single" w:sz="4" w:space="0" w:color="auto"/>
              <w:bottom w:val="single" w:sz="4" w:space="0" w:color="auto"/>
            </w:tcBorders>
            <w:shd w:val="clear" w:color="auto" w:fill="D9D9D9"/>
            <w:vAlign w:val="center"/>
          </w:tcPr>
          <w:p w14:paraId="4CD53832" w14:textId="77777777" w:rsidR="00FD0858" w:rsidRPr="00110A21" w:rsidRDefault="00FD0858" w:rsidP="00FD0858">
            <w:pPr>
              <w:spacing w:after="0" w:line="240" w:lineRule="auto"/>
              <w:jc w:val="center"/>
              <w:rPr>
                <w:rFonts w:ascii="David" w:hAnsi="David" w:cs="David"/>
                <w:color w:val="000000"/>
              </w:rPr>
            </w:pPr>
            <w:r w:rsidRPr="00110A21">
              <w:rPr>
                <w:rFonts w:ascii="David" w:hAnsi="David" w:cs="David"/>
                <w:color w:val="000000"/>
              </w:rPr>
              <w:t>36,937</w:t>
            </w:r>
          </w:p>
        </w:tc>
        <w:tc>
          <w:tcPr>
            <w:tcW w:w="1418" w:type="dxa"/>
            <w:tcBorders>
              <w:top w:val="single" w:sz="4" w:space="0" w:color="auto"/>
              <w:bottom w:val="single" w:sz="4" w:space="0" w:color="auto"/>
            </w:tcBorders>
            <w:shd w:val="clear" w:color="auto" w:fill="D9D9D9"/>
            <w:noWrap/>
            <w:vAlign w:val="center"/>
          </w:tcPr>
          <w:p w14:paraId="2AD9AEA8" w14:textId="77777777" w:rsidR="00FD0858" w:rsidRPr="00110A21" w:rsidRDefault="00FD0858" w:rsidP="00FD0858">
            <w:pPr>
              <w:spacing w:after="0" w:line="240" w:lineRule="auto"/>
              <w:jc w:val="center"/>
              <w:rPr>
                <w:rFonts w:ascii="David" w:hAnsi="David" w:cs="David"/>
                <w:b/>
                <w:bCs/>
                <w:color w:val="000000"/>
              </w:rPr>
            </w:pPr>
            <w:r w:rsidRPr="00110A21">
              <w:rPr>
                <w:rFonts w:ascii="David" w:hAnsi="David" w:cs="David"/>
                <w:b/>
                <w:bCs/>
                <w:color w:val="000000"/>
              </w:rPr>
              <w:t>2:10</w:t>
            </w:r>
          </w:p>
        </w:tc>
        <w:tc>
          <w:tcPr>
            <w:tcW w:w="1559" w:type="dxa"/>
            <w:tcBorders>
              <w:top w:val="single" w:sz="4" w:space="0" w:color="auto"/>
              <w:bottom w:val="single" w:sz="4" w:space="0" w:color="auto"/>
            </w:tcBorders>
            <w:shd w:val="clear" w:color="auto" w:fill="D9D9D9"/>
            <w:vAlign w:val="center"/>
          </w:tcPr>
          <w:p w14:paraId="7C0E2A5C" w14:textId="77777777" w:rsidR="00FD0858" w:rsidRPr="00110A21" w:rsidRDefault="00FD0858" w:rsidP="00FD0858">
            <w:pPr>
              <w:spacing w:after="0" w:line="240" w:lineRule="auto"/>
              <w:jc w:val="center"/>
              <w:rPr>
                <w:rFonts w:ascii="David" w:hAnsi="David" w:cs="David"/>
                <w:color w:val="000000"/>
              </w:rPr>
            </w:pPr>
            <w:r w:rsidRPr="00110A21">
              <w:rPr>
                <w:rFonts w:ascii="David" w:hAnsi="David" w:cs="David" w:hint="cs"/>
                <w:color w:val="000000"/>
                <w:rtl/>
              </w:rPr>
              <w:t>-</w:t>
            </w:r>
          </w:p>
        </w:tc>
        <w:tc>
          <w:tcPr>
            <w:tcW w:w="850" w:type="dxa"/>
            <w:tcBorders>
              <w:top w:val="single" w:sz="4" w:space="0" w:color="auto"/>
              <w:bottom w:val="single" w:sz="4" w:space="0" w:color="auto"/>
            </w:tcBorders>
            <w:shd w:val="clear" w:color="auto" w:fill="D9D9D9"/>
            <w:vAlign w:val="center"/>
          </w:tcPr>
          <w:p w14:paraId="467C08A1" w14:textId="77777777" w:rsidR="00FD0858" w:rsidRPr="00110A21" w:rsidRDefault="00FD0858" w:rsidP="00FD0858">
            <w:pPr>
              <w:spacing w:after="0" w:line="240" w:lineRule="auto"/>
              <w:jc w:val="center"/>
              <w:rPr>
                <w:rFonts w:ascii="David" w:hAnsi="David" w:cs="David"/>
                <w:color w:val="000000"/>
                <w:rtl/>
              </w:rPr>
            </w:pPr>
            <w:r w:rsidRPr="00110A21">
              <w:rPr>
                <w:rFonts w:ascii="David" w:hAnsi="David" w:cs="David" w:hint="cs"/>
                <w:color w:val="000000"/>
                <w:rtl/>
              </w:rPr>
              <w:t>-</w:t>
            </w:r>
          </w:p>
        </w:tc>
      </w:tr>
      <w:tr w:rsidR="00FD0858" w:rsidRPr="00110A21" w14:paraId="720BA83B" w14:textId="77777777" w:rsidTr="007D380E">
        <w:trPr>
          <w:trHeight w:val="424"/>
        </w:trPr>
        <w:tc>
          <w:tcPr>
            <w:tcW w:w="847" w:type="dxa"/>
            <w:tcBorders>
              <w:top w:val="single" w:sz="4" w:space="0" w:color="auto"/>
              <w:bottom w:val="single" w:sz="4" w:space="0" w:color="auto"/>
            </w:tcBorders>
            <w:shd w:val="clear" w:color="auto" w:fill="auto"/>
            <w:noWrap/>
            <w:vAlign w:val="center"/>
          </w:tcPr>
          <w:p w14:paraId="533121BE" w14:textId="77777777" w:rsidR="00FD0858" w:rsidRPr="00110A21" w:rsidRDefault="00FD0858" w:rsidP="00FD0858">
            <w:pPr>
              <w:spacing w:after="0" w:line="240" w:lineRule="auto"/>
              <w:rPr>
                <w:rFonts w:ascii="David" w:hAnsi="David" w:cs="David"/>
                <w:color w:val="000000"/>
                <w:rtl/>
              </w:rPr>
            </w:pPr>
            <w:r w:rsidRPr="00110A21">
              <w:rPr>
                <w:rFonts w:ascii="David" w:hAnsi="David" w:cs="David"/>
                <w:color w:val="000000"/>
                <w:rtl/>
              </w:rPr>
              <w:t>שלום</w:t>
            </w:r>
          </w:p>
        </w:tc>
        <w:tc>
          <w:tcPr>
            <w:tcW w:w="992" w:type="dxa"/>
            <w:tcBorders>
              <w:top w:val="single" w:sz="4" w:space="0" w:color="auto"/>
              <w:bottom w:val="single" w:sz="4" w:space="0" w:color="auto"/>
            </w:tcBorders>
            <w:shd w:val="clear" w:color="auto" w:fill="auto"/>
            <w:noWrap/>
            <w:vAlign w:val="center"/>
          </w:tcPr>
          <w:p w14:paraId="1EE85782" w14:textId="77777777" w:rsidR="00FD0858" w:rsidRPr="00110A21" w:rsidRDefault="00FD0858" w:rsidP="00FD0858">
            <w:pPr>
              <w:spacing w:after="0" w:line="240" w:lineRule="auto"/>
              <w:rPr>
                <w:rFonts w:ascii="David" w:hAnsi="David" w:cs="David"/>
                <w:color w:val="000000"/>
                <w:rtl/>
              </w:rPr>
            </w:pPr>
            <w:r w:rsidRPr="00110A21">
              <w:rPr>
                <w:rFonts w:ascii="David" w:hAnsi="David" w:cs="David"/>
                <w:color w:val="000000"/>
                <w:rtl/>
              </w:rPr>
              <w:t>אזרחי</w:t>
            </w:r>
          </w:p>
        </w:tc>
        <w:tc>
          <w:tcPr>
            <w:tcW w:w="2121" w:type="dxa"/>
            <w:tcBorders>
              <w:top w:val="single" w:sz="4" w:space="0" w:color="auto"/>
              <w:bottom w:val="single" w:sz="4" w:space="0" w:color="auto"/>
            </w:tcBorders>
            <w:shd w:val="clear" w:color="auto" w:fill="auto"/>
            <w:vAlign w:val="center"/>
          </w:tcPr>
          <w:p w14:paraId="5271D5C4" w14:textId="77777777" w:rsidR="00FD0858" w:rsidRPr="00110A21" w:rsidRDefault="00FD0858" w:rsidP="00FD0858">
            <w:pPr>
              <w:spacing w:after="0" w:line="240" w:lineRule="auto"/>
              <w:rPr>
                <w:rFonts w:ascii="David" w:hAnsi="David" w:cs="David"/>
                <w:color w:val="000000"/>
                <w:rtl/>
              </w:rPr>
            </w:pPr>
            <w:r w:rsidRPr="00110A21">
              <w:rPr>
                <w:rFonts w:ascii="David" w:hAnsi="David" w:cs="David"/>
                <w:color w:val="000000"/>
                <w:rtl/>
              </w:rPr>
              <w:t>המרצת פתיחה בוררות (הפ"ב)</w:t>
            </w:r>
          </w:p>
        </w:tc>
        <w:tc>
          <w:tcPr>
            <w:tcW w:w="1417" w:type="dxa"/>
            <w:tcBorders>
              <w:top w:val="single" w:sz="4" w:space="0" w:color="auto"/>
              <w:bottom w:val="single" w:sz="4" w:space="0" w:color="auto"/>
            </w:tcBorders>
            <w:vAlign w:val="center"/>
          </w:tcPr>
          <w:p w14:paraId="74229B3D" w14:textId="77777777" w:rsidR="00FD0858" w:rsidRPr="00110A21" w:rsidRDefault="00FD0858" w:rsidP="00FD0858">
            <w:pPr>
              <w:spacing w:after="0" w:line="240" w:lineRule="auto"/>
              <w:jc w:val="center"/>
              <w:rPr>
                <w:rFonts w:ascii="David" w:hAnsi="David" w:cs="David"/>
                <w:color w:val="000000"/>
              </w:rPr>
            </w:pPr>
            <w:r w:rsidRPr="00110A21">
              <w:rPr>
                <w:rFonts w:ascii="David" w:hAnsi="David" w:cs="David"/>
                <w:color w:val="000000"/>
              </w:rPr>
              <w:t>421</w:t>
            </w:r>
          </w:p>
        </w:tc>
        <w:tc>
          <w:tcPr>
            <w:tcW w:w="1418" w:type="dxa"/>
            <w:tcBorders>
              <w:top w:val="single" w:sz="4" w:space="0" w:color="auto"/>
              <w:bottom w:val="single" w:sz="4" w:space="0" w:color="auto"/>
            </w:tcBorders>
            <w:shd w:val="clear" w:color="auto" w:fill="auto"/>
            <w:noWrap/>
            <w:vAlign w:val="center"/>
          </w:tcPr>
          <w:p w14:paraId="6EAA6799" w14:textId="77777777" w:rsidR="00FD0858" w:rsidRPr="00110A21" w:rsidRDefault="00FD0858" w:rsidP="00FD0858">
            <w:pPr>
              <w:spacing w:after="0" w:line="240" w:lineRule="auto"/>
              <w:jc w:val="center"/>
              <w:rPr>
                <w:rFonts w:ascii="David" w:hAnsi="David" w:cs="David"/>
                <w:b/>
                <w:bCs/>
                <w:color w:val="000000"/>
              </w:rPr>
            </w:pPr>
            <w:r w:rsidRPr="00110A21">
              <w:rPr>
                <w:rFonts w:ascii="David" w:hAnsi="David" w:cs="David" w:hint="cs"/>
                <w:b/>
                <w:bCs/>
                <w:color w:val="000000"/>
                <w:rtl/>
              </w:rPr>
              <w:t>2:06</w:t>
            </w:r>
          </w:p>
        </w:tc>
        <w:tc>
          <w:tcPr>
            <w:tcW w:w="1559" w:type="dxa"/>
            <w:tcBorders>
              <w:top w:val="single" w:sz="4" w:space="0" w:color="auto"/>
              <w:bottom w:val="single" w:sz="4" w:space="0" w:color="auto"/>
            </w:tcBorders>
            <w:shd w:val="clear" w:color="auto" w:fill="auto"/>
            <w:vAlign w:val="center"/>
          </w:tcPr>
          <w:p w14:paraId="1A553CEA" w14:textId="77777777" w:rsidR="00FD0858" w:rsidRPr="00110A21" w:rsidRDefault="00FD0858" w:rsidP="00FD0858">
            <w:pPr>
              <w:spacing w:after="0" w:line="240" w:lineRule="auto"/>
              <w:jc w:val="center"/>
              <w:rPr>
                <w:rFonts w:ascii="David" w:hAnsi="David" w:cs="David"/>
                <w:color w:val="000000"/>
              </w:rPr>
            </w:pPr>
            <w:r w:rsidRPr="00110A21">
              <w:rPr>
                <w:rFonts w:ascii="David" w:hAnsi="David" w:cs="David"/>
                <w:color w:val="000000"/>
              </w:rPr>
              <w:t>-</w:t>
            </w:r>
          </w:p>
        </w:tc>
        <w:tc>
          <w:tcPr>
            <w:tcW w:w="850" w:type="dxa"/>
            <w:tcBorders>
              <w:top w:val="single" w:sz="4" w:space="0" w:color="auto"/>
              <w:bottom w:val="single" w:sz="4" w:space="0" w:color="auto"/>
            </w:tcBorders>
            <w:shd w:val="clear" w:color="auto" w:fill="auto"/>
            <w:vAlign w:val="center"/>
          </w:tcPr>
          <w:p w14:paraId="530E98E0" w14:textId="77777777" w:rsidR="00FD0858" w:rsidRPr="00110A21" w:rsidRDefault="00FD0858" w:rsidP="00FD0858">
            <w:pPr>
              <w:spacing w:after="0" w:line="240" w:lineRule="auto"/>
              <w:jc w:val="center"/>
              <w:rPr>
                <w:rFonts w:ascii="David" w:hAnsi="David" w:cs="David"/>
                <w:color w:val="000000"/>
                <w:rtl/>
              </w:rPr>
            </w:pPr>
            <w:r w:rsidRPr="00110A21">
              <w:rPr>
                <w:rFonts w:ascii="David" w:hAnsi="David" w:cs="David"/>
                <w:color w:val="000000"/>
              </w:rPr>
              <w:t>-</w:t>
            </w:r>
          </w:p>
        </w:tc>
      </w:tr>
      <w:tr w:rsidR="00FD0858" w:rsidRPr="00110A21" w14:paraId="3B96B6A0"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4441DDFD" w14:textId="77777777" w:rsidR="00FD0858" w:rsidRPr="00110A21" w:rsidRDefault="00FD0858" w:rsidP="00FD0858">
            <w:pPr>
              <w:spacing w:after="0" w:line="240" w:lineRule="auto"/>
              <w:rPr>
                <w:rFonts w:ascii="David" w:hAnsi="David" w:cs="David"/>
                <w:color w:val="000000"/>
                <w:rtl/>
              </w:rPr>
            </w:pPr>
            <w:r w:rsidRPr="00110A21">
              <w:rPr>
                <w:rFonts w:ascii="David" w:hAnsi="David" w:cs="David" w:hint="cs"/>
                <w:color w:val="000000"/>
                <w:rtl/>
              </w:rPr>
              <w:t>שלום</w:t>
            </w:r>
          </w:p>
        </w:tc>
        <w:tc>
          <w:tcPr>
            <w:tcW w:w="992" w:type="dxa"/>
            <w:tcBorders>
              <w:top w:val="single" w:sz="4" w:space="0" w:color="auto"/>
              <w:bottom w:val="single" w:sz="4" w:space="0" w:color="auto"/>
            </w:tcBorders>
            <w:shd w:val="clear" w:color="auto" w:fill="D9D9D9"/>
            <w:noWrap/>
            <w:vAlign w:val="center"/>
          </w:tcPr>
          <w:p w14:paraId="2DEE04CF" w14:textId="77777777" w:rsidR="00FD0858" w:rsidRPr="00110A21" w:rsidRDefault="00FD0858" w:rsidP="00FD0858">
            <w:pPr>
              <w:spacing w:after="0" w:line="240" w:lineRule="auto"/>
              <w:rPr>
                <w:rFonts w:ascii="David" w:hAnsi="David" w:cs="David"/>
                <w:color w:val="000000"/>
                <w:rtl/>
              </w:rPr>
            </w:pPr>
            <w:r w:rsidRPr="00110A21">
              <w:rPr>
                <w:rFonts w:ascii="David" w:hAnsi="David" w:cs="David" w:hint="cs"/>
                <w:color w:val="000000"/>
                <w:rtl/>
              </w:rPr>
              <w:t>אזרחי</w:t>
            </w:r>
          </w:p>
        </w:tc>
        <w:tc>
          <w:tcPr>
            <w:tcW w:w="2121" w:type="dxa"/>
            <w:tcBorders>
              <w:top w:val="single" w:sz="4" w:space="0" w:color="auto"/>
              <w:bottom w:val="single" w:sz="4" w:space="0" w:color="auto"/>
            </w:tcBorders>
            <w:shd w:val="clear" w:color="auto" w:fill="D9D9D9"/>
            <w:vAlign w:val="center"/>
          </w:tcPr>
          <w:p w14:paraId="1F3B4122" w14:textId="77777777" w:rsidR="00FD0858" w:rsidRPr="00110A21" w:rsidRDefault="00FD0858" w:rsidP="00FD0858">
            <w:pPr>
              <w:spacing w:after="0" w:line="240" w:lineRule="auto"/>
              <w:rPr>
                <w:rFonts w:ascii="David" w:hAnsi="David" w:cs="David"/>
                <w:color w:val="000000"/>
                <w:rtl/>
              </w:rPr>
            </w:pPr>
            <w:r w:rsidRPr="00110A21">
              <w:rPr>
                <w:rFonts w:ascii="David" w:hAnsi="David" w:cs="David"/>
                <w:color w:val="000000"/>
                <w:rtl/>
              </w:rPr>
              <w:t>תיק אזרחי בסדר דין מהיר</w:t>
            </w:r>
            <w:r w:rsidRPr="00110A21">
              <w:rPr>
                <w:rFonts w:ascii="David" w:hAnsi="David" w:cs="David" w:hint="cs"/>
                <w:color w:val="000000"/>
                <w:rtl/>
              </w:rPr>
              <w:t xml:space="preserve"> (תא"מ) - </w:t>
            </w:r>
            <w:r w:rsidRPr="00110A21">
              <w:rPr>
                <w:rFonts w:ascii="David" w:hAnsi="David" w:cs="David" w:hint="cs"/>
                <w:b/>
                <w:bCs/>
                <w:color w:val="000000"/>
                <w:rtl/>
              </w:rPr>
              <w:t>משוקלל</w:t>
            </w:r>
          </w:p>
        </w:tc>
        <w:tc>
          <w:tcPr>
            <w:tcW w:w="1417" w:type="dxa"/>
            <w:tcBorders>
              <w:top w:val="single" w:sz="4" w:space="0" w:color="auto"/>
              <w:bottom w:val="single" w:sz="4" w:space="0" w:color="auto"/>
            </w:tcBorders>
            <w:shd w:val="clear" w:color="auto" w:fill="D9D9D9"/>
            <w:vAlign w:val="center"/>
          </w:tcPr>
          <w:p w14:paraId="3F3E7737" w14:textId="77777777" w:rsidR="00FD0858" w:rsidRPr="00110A21" w:rsidRDefault="00FD0858" w:rsidP="00FD0858">
            <w:pPr>
              <w:spacing w:after="0" w:line="240" w:lineRule="auto"/>
              <w:jc w:val="center"/>
              <w:rPr>
                <w:rFonts w:ascii="David" w:hAnsi="David" w:cs="David"/>
                <w:color w:val="000000"/>
              </w:rPr>
            </w:pPr>
            <w:r w:rsidRPr="00110A21">
              <w:rPr>
                <w:rFonts w:ascii="David" w:hAnsi="David" w:cs="David"/>
                <w:color w:val="000000"/>
              </w:rPr>
              <w:t>84,454</w:t>
            </w:r>
          </w:p>
        </w:tc>
        <w:tc>
          <w:tcPr>
            <w:tcW w:w="1418" w:type="dxa"/>
            <w:tcBorders>
              <w:top w:val="single" w:sz="4" w:space="0" w:color="auto"/>
              <w:bottom w:val="single" w:sz="4" w:space="0" w:color="auto"/>
            </w:tcBorders>
            <w:shd w:val="clear" w:color="auto" w:fill="D9D9D9"/>
            <w:noWrap/>
            <w:vAlign w:val="center"/>
          </w:tcPr>
          <w:p w14:paraId="5A7045DB" w14:textId="77777777" w:rsidR="00FD0858" w:rsidRPr="00110A21" w:rsidRDefault="00FD0858" w:rsidP="00FD0858">
            <w:pPr>
              <w:spacing w:after="0" w:line="240" w:lineRule="auto"/>
              <w:jc w:val="center"/>
              <w:rPr>
                <w:rFonts w:ascii="David" w:hAnsi="David" w:cs="David"/>
                <w:b/>
                <w:bCs/>
                <w:color w:val="000000"/>
              </w:rPr>
            </w:pPr>
            <w:r w:rsidRPr="00110A21">
              <w:rPr>
                <w:rFonts w:ascii="David" w:hAnsi="David" w:cs="David"/>
                <w:b/>
                <w:bCs/>
                <w:color w:val="000000"/>
              </w:rPr>
              <w:t>1:27</w:t>
            </w:r>
          </w:p>
        </w:tc>
        <w:tc>
          <w:tcPr>
            <w:tcW w:w="1559" w:type="dxa"/>
            <w:tcBorders>
              <w:top w:val="single" w:sz="4" w:space="0" w:color="auto"/>
              <w:bottom w:val="single" w:sz="4" w:space="0" w:color="auto"/>
            </w:tcBorders>
            <w:shd w:val="clear" w:color="auto" w:fill="D9D9D9"/>
            <w:vAlign w:val="center"/>
          </w:tcPr>
          <w:p w14:paraId="2034CA56" w14:textId="77777777" w:rsidR="00FD0858" w:rsidRPr="00110A21" w:rsidRDefault="00FD0858" w:rsidP="00FD0858">
            <w:pPr>
              <w:spacing w:after="0" w:line="240" w:lineRule="auto"/>
              <w:jc w:val="center"/>
              <w:rPr>
                <w:rFonts w:ascii="David" w:hAnsi="David" w:cs="David"/>
                <w:color w:val="000000"/>
              </w:rPr>
            </w:pPr>
            <w:r w:rsidRPr="00110A21">
              <w:rPr>
                <w:rFonts w:ascii="David" w:hAnsi="David" w:cs="David" w:hint="cs"/>
                <w:color w:val="000000"/>
                <w:rtl/>
              </w:rPr>
              <w:t>1:35</w:t>
            </w:r>
          </w:p>
        </w:tc>
        <w:tc>
          <w:tcPr>
            <w:tcW w:w="850" w:type="dxa"/>
            <w:tcBorders>
              <w:top w:val="single" w:sz="4" w:space="0" w:color="auto"/>
              <w:bottom w:val="single" w:sz="4" w:space="0" w:color="auto"/>
            </w:tcBorders>
            <w:shd w:val="clear" w:color="auto" w:fill="D9D9D9"/>
            <w:vAlign w:val="center"/>
          </w:tcPr>
          <w:p w14:paraId="24430EAD" w14:textId="77777777" w:rsidR="00FD0858" w:rsidRPr="00110A21" w:rsidRDefault="00FD0858" w:rsidP="00FD0858">
            <w:pPr>
              <w:spacing w:after="0" w:line="240" w:lineRule="auto"/>
              <w:jc w:val="center"/>
              <w:rPr>
                <w:rFonts w:ascii="David" w:hAnsi="David" w:cs="David"/>
                <w:color w:val="000000"/>
              </w:rPr>
            </w:pPr>
            <w:r w:rsidRPr="00110A21">
              <w:rPr>
                <w:rFonts w:ascii="David" w:hAnsi="David" w:cs="David" w:hint="cs"/>
                <w:color w:val="000000"/>
                <w:rtl/>
              </w:rPr>
              <w:t>0:08-</w:t>
            </w:r>
          </w:p>
        </w:tc>
      </w:tr>
      <w:tr w:rsidR="00FD0858" w:rsidRPr="00110A21" w14:paraId="66445E04"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1FE8DF4F" w14:textId="77777777" w:rsidR="00FD0858" w:rsidRPr="00110A21" w:rsidRDefault="00FD0858" w:rsidP="00FD0858">
            <w:pPr>
              <w:spacing w:after="0" w:line="240" w:lineRule="auto"/>
              <w:rPr>
                <w:rFonts w:ascii="David" w:hAnsi="David" w:cs="David"/>
                <w:color w:val="000000"/>
                <w:rtl/>
              </w:rPr>
            </w:pPr>
            <w:r w:rsidRPr="00110A21">
              <w:rPr>
                <w:rFonts w:ascii="David" w:hAnsi="David" w:cs="David"/>
                <w:color w:val="000000"/>
                <w:rtl/>
              </w:rPr>
              <w:t>שלום</w:t>
            </w:r>
          </w:p>
        </w:tc>
        <w:tc>
          <w:tcPr>
            <w:tcW w:w="992" w:type="dxa"/>
            <w:tcBorders>
              <w:top w:val="single" w:sz="4" w:space="0" w:color="auto"/>
              <w:bottom w:val="single" w:sz="4" w:space="0" w:color="auto"/>
            </w:tcBorders>
            <w:shd w:val="clear" w:color="auto" w:fill="auto"/>
            <w:noWrap/>
            <w:vAlign w:val="center"/>
          </w:tcPr>
          <w:p w14:paraId="43CBA29B" w14:textId="77777777" w:rsidR="00FD0858" w:rsidRPr="00110A21" w:rsidRDefault="00FD0858" w:rsidP="00FD0858">
            <w:pPr>
              <w:spacing w:after="0" w:line="240" w:lineRule="auto"/>
              <w:rPr>
                <w:rFonts w:ascii="David" w:hAnsi="David" w:cs="David"/>
                <w:color w:val="000000"/>
                <w:rtl/>
              </w:rPr>
            </w:pPr>
            <w:r w:rsidRPr="00110A21">
              <w:rPr>
                <w:rFonts w:ascii="David" w:hAnsi="David" w:cs="David"/>
                <w:color w:val="000000"/>
                <w:rtl/>
              </w:rPr>
              <w:t>אזרחי</w:t>
            </w:r>
          </w:p>
        </w:tc>
        <w:tc>
          <w:tcPr>
            <w:tcW w:w="2121" w:type="dxa"/>
            <w:tcBorders>
              <w:top w:val="single" w:sz="4" w:space="0" w:color="auto"/>
              <w:bottom w:val="single" w:sz="4" w:space="0" w:color="auto"/>
            </w:tcBorders>
            <w:shd w:val="clear" w:color="auto" w:fill="auto"/>
            <w:vAlign w:val="center"/>
          </w:tcPr>
          <w:p w14:paraId="7629E408" w14:textId="77777777" w:rsidR="00FD0858" w:rsidRPr="00110A21" w:rsidRDefault="00FD0858" w:rsidP="00FD0858">
            <w:pPr>
              <w:spacing w:after="0" w:line="240" w:lineRule="auto"/>
              <w:rPr>
                <w:rFonts w:ascii="David" w:hAnsi="David" w:cs="David"/>
                <w:color w:val="000000"/>
                <w:rtl/>
              </w:rPr>
            </w:pPr>
            <w:r w:rsidRPr="00110A21">
              <w:rPr>
                <w:rFonts w:ascii="David" w:hAnsi="David" w:cs="David"/>
                <w:color w:val="000000"/>
                <w:rtl/>
              </w:rPr>
              <w:t>התנגדות לביצוע שטר (ת"ט)</w:t>
            </w:r>
          </w:p>
        </w:tc>
        <w:tc>
          <w:tcPr>
            <w:tcW w:w="1417" w:type="dxa"/>
            <w:tcBorders>
              <w:top w:val="single" w:sz="4" w:space="0" w:color="auto"/>
              <w:bottom w:val="single" w:sz="4" w:space="0" w:color="auto"/>
            </w:tcBorders>
            <w:vAlign w:val="center"/>
          </w:tcPr>
          <w:p w14:paraId="401DEAF0" w14:textId="77777777" w:rsidR="00FD0858" w:rsidRPr="00110A21" w:rsidRDefault="00FD0858" w:rsidP="00FD0858">
            <w:pPr>
              <w:spacing w:after="0" w:line="240" w:lineRule="auto"/>
              <w:jc w:val="center"/>
              <w:rPr>
                <w:rFonts w:ascii="David" w:hAnsi="David" w:cs="David"/>
                <w:color w:val="000000"/>
              </w:rPr>
            </w:pPr>
            <w:r w:rsidRPr="00110A21">
              <w:rPr>
                <w:rFonts w:ascii="David" w:hAnsi="David" w:cs="David"/>
                <w:color w:val="000000"/>
              </w:rPr>
              <w:t>5,001</w:t>
            </w:r>
          </w:p>
        </w:tc>
        <w:tc>
          <w:tcPr>
            <w:tcW w:w="1418" w:type="dxa"/>
            <w:tcBorders>
              <w:top w:val="single" w:sz="4" w:space="0" w:color="auto"/>
              <w:bottom w:val="single" w:sz="4" w:space="0" w:color="auto"/>
            </w:tcBorders>
            <w:shd w:val="clear" w:color="auto" w:fill="auto"/>
            <w:noWrap/>
            <w:vAlign w:val="center"/>
          </w:tcPr>
          <w:p w14:paraId="56CABF8B" w14:textId="77777777" w:rsidR="00FD0858" w:rsidRPr="00110A21" w:rsidRDefault="00FD0858" w:rsidP="00FD0858">
            <w:pPr>
              <w:spacing w:after="0" w:line="240" w:lineRule="auto"/>
              <w:jc w:val="center"/>
              <w:rPr>
                <w:rFonts w:ascii="David" w:hAnsi="David" w:cs="David"/>
                <w:b/>
                <w:bCs/>
                <w:color w:val="000000"/>
                <w:rtl/>
              </w:rPr>
            </w:pPr>
            <w:r w:rsidRPr="00110A21">
              <w:rPr>
                <w:rFonts w:ascii="David" w:hAnsi="David" w:cs="David" w:hint="cs"/>
                <w:b/>
                <w:bCs/>
                <w:color w:val="000000"/>
                <w:rtl/>
              </w:rPr>
              <w:t>1:21</w:t>
            </w:r>
          </w:p>
        </w:tc>
        <w:tc>
          <w:tcPr>
            <w:tcW w:w="1559" w:type="dxa"/>
            <w:tcBorders>
              <w:top w:val="single" w:sz="4" w:space="0" w:color="auto"/>
              <w:bottom w:val="single" w:sz="4" w:space="0" w:color="auto"/>
            </w:tcBorders>
            <w:shd w:val="clear" w:color="auto" w:fill="auto"/>
            <w:vAlign w:val="center"/>
          </w:tcPr>
          <w:p w14:paraId="3B2326D7" w14:textId="77777777" w:rsidR="00FD0858" w:rsidRPr="00110A21" w:rsidRDefault="00FD0858" w:rsidP="00FD0858">
            <w:pPr>
              <w:spacing w:after="0" w:line="240" w:lineRule="auto"/>
              <w:jc w:val="center"/>
              <w:rPr>
                <w:rFonts w:ascii="David" w:hAnsi="David" w:cs="David"/>
                <w:color w:val="000000"/>
              </w:rPr>
            </w:pPr>
            <w:r w:rsidRPr="00110A21">
              <w:rPr>
                <w:rFonts w:ascii="David" w:hAnsi="David" w:cs="David"/>
                <w:color w:val="000000"/>
              </w:rPr>
              <w:t>1:52</w:t>
            </w:r>
          </w:p>
        </w:tc>
        <w:tc>
          <w:tcPr>
            <w:tcW w:w="850" w:type="dxa"/>
            <w:tcBorders>
              <w:top w:val="single" w:sz="4" w:space="0" w:color="auto"/>
              <w:bottom w:val="single" w:sz="4" w:space="0" w:color="auto"/>
            </w:tcBorders>
            <w:shd w:val="clear" w:color="auto" w:fill="auto"/>
            <w:vAlign w:val="center"/>
          </w:tcPr>
          <w:p w14:paraId="4E95DCCC" w14:textId="77777777" w:rsidR="00FD0858" w:rsidRPr="00110A21" w:rsidRDefault="00FD0858" w:rsidP="00FD0858">
            <w:pPr>
              <w:spacing w:after="0" w:line="240" w:lineRule="auto"/>
              <w:jc w:val="center"/>
              <w:rPr>
                <w:rFonts w:ascii="David" w:hAnsi="David" w:cs="David"/>
                <w:color w:val="000000"/>
              </w:rPr>
            </w:pPr>
            <w:r w:rsidRPr="00110A21">
              <w:rPr>
                <w:rFonts w:ascii="David" w:hAnsi="David" w:cs="David" w:hint="cs"/>
                <w:color w:val="000000"/>
                <w:rtl/>
              </w:rPr>
              <w:t>0:31-</w:t>
            </w:r>
          </w:p>
        </w:tc>
      </w:tr>
      <w:tr w:rsidR="00FD0858" w:rsidRPr="00110A21" w14:paraId="0D613BEB"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67D7AC79" w14:textId="77777777" w:rsidR="00FD0858" w:rsidRPr="00110A21" w:rsidRDefault="00FD0858" w:rsidP="00FD0858">
            <w:pPr>
              <w:spacing w:after="0" w:line="240" w:lineRule="auto"/>
              <w:rPr>
                <w:rFonts w:ascii="David" w:hAnsi="David" w:cs="David"/>
                <w:color w:val="000000"/>
                <w:rtl/>
              </w:rPr>
            </w:pPr>
            <w:r w:rsidRPr="00110A21">
              <w:rPr>
                <w:rFonts w:ascii="David" w:hAnsi="David" w:cs="David"/>
                <w:color w:val="000000"/>
                <w:rtl/>
              </w:rPr>
              <w:t>שלום</w:t>
            </w:r>
          </w:p>
        </w:tc>
        <w:tc>
          <w:tcPr>
            <w:tcW w:w="992" w:type="dxa"/>
            <w:tcBorders>
              <w:top w:val="single" w:sz="4" w:space="0" w:color="auto"/>
              <w:bottom w:val="single" w:sz="4" w:space="0" w:color="auto"/>
            </w:tcBorders>
            <w:shd w:val="clear" w:color="auto" w:fill="D9D9D9"/>
            <w:noWrap/>
            <w:vAlign w:val="center"/>
          </w:tcPr>
          <w:p w14:paraId="580082CF" w14:textId="77777777" w:rsidR="00FD0858" w:rsidRPr="00110A21" w:rsidRDefault="00FD0858" w:rsidP="00FD0858">
            <w:pPr>
              <w:spacing w:after="0" w:line="240" w:lineRule="auto"/>
              <w:rPr>
                <w:rFonts w:ascii="David" w:hAnsi="David" w:cs="David"/>
                <w:color w:val="000000"/>
                <w:rtl/>
              </w:rPr>
            </w:pPr>
            <w:r w:rsidRPr="00110A21">
              <w:rPr>
                <w:rFonts w:ascii="David" w:hAnsi="David" w:cs="David" w:hint="cs"/>
                <w:color w:val="000000"/>
                <w:rtl/>
              </w:rPr>
              <w:t>ועדת שחרורים</w:t>
            </w:r>
          </w:p>
        </w:tc>
        <w:tc>
          <w:tcPr>
            <w:tcW w:w="2121" w:type="dxa"/>
            <w:tcBorders>
              <w:top w:val="single" w:sz="4" w:space="0" w:color="auto"/>
              <w:bottom w:val="single" w:sz="4" w:space="0" w:color="auto"/>
            </w:tcBorders>
            <w:shd w:val="clear" w:color="auto" w:fill="D9D9D9"/>
            <w:vAlign w:val="center"/>
          </w:tcPr>
          <w:p w14:paraId="26A72BC6" w14:textId="77777777" w:rsidR="00FD0858" w:rsidRPr="00110A21" w:rsidRDefault="00FD0858" w:rsidP="00FD0858">
            <w:pPr>
              <w:spacing w:after="0" w:line="240" w:lineRule="auto"/>
              <w:rPr>
                <w:rFonts w:ascii="David" w:hAnsi="David" w:cs="David"/>
                <w:color w:val="000000"/>
                <w:rtl/>
              </w:rPr>
            </w:pPr>
            <w:r w:rsidRPr="00110A21">
              <w:rPr>
                <w:rFonts w:ascii="David" w:hAnsi="David" w:cs="David"/>
                <w:color w:val="000000"/>
                <w:rtl/>
              </w:rPr>
              <w:t>ועדת שחרורים (וש"ר)</w:t>
            </w:r>
          </w:p>
        </w:tc>
        <w:tc>
          <w:tcPr>
            <w:tcW w:w="1417" w:type="dxa"/>
            <w:tcBorders>
              <w:top w:val="single" w:sz="4" w:space="0" w:color="auto"/>
              <w:bottom w:val="single" w:sz="4" w:space="0" w:color="auto"/>
            </w:tcBorders>
            <w:shd w:val="clear" w:color="auto" w:fill="D9D9D9"/>
            <w:vAlign w:val="center"/>
          </w:tcPr>
          <w:p w14:paraId="764705F8" w14:textId="77777777" w:rsidR="00FD0858" w:rsidRPr="00110A21" w:rsidRDefault="00FD0858" w:rsidP="00FD0858">
            <w:pPr>
              <w:spacing w:after="0" w:line="240" w:lineRule="auto"/>
              <w:jc w:val="center"/>
              <w:rPr>
                <w:rFonts w:ascii="David" w:hAnsi="David" w:cs="David"/>
                <w:color w:val="000000"/>
              </w:rPr>
            </w:pPr>
            <w:r w:rsidRPr="00110A21">
              <w:rPr>
                <w:rFonts w:ascii="David" w:hAnsi="David" w:cs="David"/>
                <w:color w:val="000000"/>
              </w:rPr>
              <w:t>6,969</w:t>
            </w:r>
          </w:p>
        </w:tc>
        <w:tc>
          <w:tcPr>
            <w:tcW w:w="1418" w:type="dxa"/>
            <w:tcBorders>
              <w:top w:val="single" w:sz="4" w:space="0" w:color="auto"/>
              <w:bottom w:val="single" w:sz="4" w:space="0" w:color="auto"/>
            </w:tcBorders>
            <w:shd w:val="clear" w:color="auto" w:fill="D9D9D9"/>
            <w:noWrap/>
            <w:vAlign w:val="center"/>
          </w:tcPr>
          <w:p w14:paraId="1DBD0065" w14:textId="77777777" w:rsidR="00FD0858" w:rsidRPr="00110A21" w:rsidRDefault="00FD0858" w:rsidP="00FD0858">
            <w:pPr>
              <w:spacing w:after="0" w:line="240" w:lineRule="auto"/>
              <w:jc w:val="center"/>
              <w:rPr>
                <w:rFonts w:ascii="David" w:hAnsi="David" w:cs="David"/>
                <w:b/>
                <w:bCs/>
                <w:color w:val="000000"/>
                <w:rtl/>
              </w:rPr>
            </w:pPr>
            <w:r w:rsidRPr="00110A21">
              <w:rPr>
                <w:rFonts w:ascii="David" w:hAnsi="David" w:cs="David"/>
                <w:b/>
                <w:bCs/>
                <w:color w:val="000000"/>
              </w:rPr>
              <w:t>1:20</w:t>
            </w:r>
          </w:p>
        </w:tc>
        <w:tc>
          <w:tcPr>
            <w:tcW w:w="1559" w:type="dxa"/>
            <w:tcBorders>
              <w:top w:val="single" w:sz="4" w:space="0" w:color="auto"/>
              <w:bottom w:val="single" w:sz="4" w:space="0" w:color="auto"/>
            </w:tcBorders>
            <w:shd w:val="clear" w:color="auto" w:fill="D9D9D9"/>
            <w:vAlign w:val="center"/>
          </w:tcPr>
          <w:p w14:paraId="76C4DB8F" w14:textId="77777777" w:rsidR="00FD0858" w:rsidRPr="00110A21" w:rsidRDefault="00FD0858" w:rsidP="00FD0858">
            <w:pPr>
              <w:spacing w:after="0" w:line="240" w:lineRule="auto"/>
              <w:jc w:val="center"/>
              <w:rPr>
                <w:rFonts w:ascii="David" w:hAnsi="David" w:cs="David"/>
                <w:color w:val="000000"/>
              </w:rPr>
            </w:pPr>
            <w:r w:rsidRPr="00110A21">
              <w:rPr>
                <w:rFonts w:ascii="David" w:hAnsi="David" w:cs="David"/>
                <w:color w:val="000000"/>
              </w:rPr>
              <w:t>-</w:t>
            </w:r>
          </w:p>
        </w:tc>
        <w:tc>
          <w:tcPr>
            <w:tcW w:w="850" w:type="dxa"/>
            <w:tcBorders>
              <w:top w:val="single" w:sz="4" w:space="0" w:color="auto"/>
              <w:bottom w:val="single" w:sz="4" w:space="0" w:color="auto"/>
            </w:tcBorders>
            <w:shd w:val="clear" w:color="auto" w:fill="D9D9D9"/>
            <w:vAlign w:val="center"/>
          </w:tcPr>
          <w:p w14:paraId="7927F7FA" w14:textId="77777777" w:rsidR="00FD0858" w:rsidRPr="00110A21" w:rsidRDefault="00FD0858" w:rsidP="00FD0858">
            <w:pPr>
              <w:spacing w:after="0" w:line="240" w:lineRule="auto"/>
              <w:jc w:val="center"/>
              <w:rPr>
                <w:rFonts w:ascii="David" w:hAnsi="David" w:cs="David"/>
                <w:color w:val="000000"/>
              </w:rPr>
            </w:pPr>
            <w:r w:rsidRPr="00110A21">
              <w:rPr>
                <w:rFonts w:ascii="David" w:hAnsi="David" w:cs="David"/>
                <w:color w:val="000000"/>
              </w:rPr>
              <w:t>-</w:t>
            </w:r>
          </w:p>
        </w:tc>
      </w:tr>
      <w:tr w:rsidR="00FD0858" w:rsidRPr="00110A21" w14:paraId="536C8B70"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664450DA" w14:textId="77777777" w:rsidR="00FD0858" w:rsidRPr="00110A21" w:rsidRDefault="00FD0858" w:rsidP="00FD0858">
            <w:pPr>
              <w:spacing w:after="0" w:line="240" w:lineRule="auto"/>
              <w:rPr>
                <w:rFonts w:ascii="David" w:hAnsi="David" w:cs="David"/>
                <w:color w:val="000000"/>
                <w:rtl/>
              </w:rPr>
            </w:pPr>
            <w:r w:rsidRPr="00110A21">
              <w:rPr>
                <w:rFonts w:ascii="David" w:hAnsi="David" w:cs="David"/>
                <w:color w:val="000000"/>
                <w:rtl/>
              </w:rPr>
              <w:t>שלום</w:t>
            </w:r>
          </w:p>
        </w:tc>
        <w:tc>
          <w:tcPr>
            <w:tcW w:w="992" w:type="dxa"/>
            <w:tcBorders>
              <w:top w:val="single" w:sz="4" w:space="0" w:color="auto"/>
              <w:bottom w:val="single" w:sz="4" w:space="0" w:color="auto"/>
            </w:tcBorders>
            <w:shd w:val="clear" w:color="auto" w:fill="auto"/>
            <w:noWrap/>
            <w:vAlign w:val="center"/>
          </w:tcPr>
          <w:p w14:paraId="65DEBB05" w14:textId="77777777" w:rsidR="00FD0858" w:rsidRPr="00110A21" w:rsidRDefault="00FD0858" w:rsidP="00FD0858">
            <w:pPr>
              <w:spacing w:after="0" w:line="240" w:lineRule="auto"/>
              <w:rPr>
                <w:rFonts w:ascii="David" w:hAnsi="David" w:cs="David"/>
                <w:color w:val="000000"/>
                <w:rtl/>
              </w:rPr>
            </w:pPr>
            <w:r w:rsidRPr="00110A21">
              <w:rPr>
                <w:rFonts w:ascii="David" w:hAnsi="David" w:cs="David"/>
                <w:color w:val="000000"/>
                <w:rtl/>
              </w:rPr>
              <w:t>אזרחי</w:t>
            </w:r>
          </w:p>
        </w:tc>
        <w:tc>
          <w:tcPr>
            <w:tcW w:w="2121" w:type="dxa"/>
            <w:tcBorders>
              <w:top w:val="single" w:sz="4" w:space="0" w:color="auto"/>
              <w:bottom w:val="single" w:sz="4" w:space="0" w:color="auto"/>
            </w:tcBorders>
            <w:shd w:val="clear" w:color="auto" w:fill="auto"/>
            <w:vAlign w:val="center"/>
          </w:tcPr>
          <w:p w14:paraId="2CB9AA60" w14:textId="77777777" w:rsidR="00FD0858" w:rsidRPr="00110A21" w:rsidRDefault="00FD0858" w:rsidP="00FD0858">
            <w:pPr>
              <w:spacing w:after="0" w:line="240" w:lineRule="auto"/>
              <w:rPr>
                <w:rFonts w:ascii="David" w:hAnsi="David" w:cs="David"/>
                <w:color w:val="000000"/>
                <w:rtl/>
              </w:rPr>
            </w:pPr>
            <w:r w:rsidRPr="00110A21">
              <w:rPr>
                <w:rFonts w:ascii="David" w:hAnsi="David" w:cs="David"/>
                <w:color w:val="000000"/>
                <w:rtl/>
              </w:rPr>
              <w:t>תיק אזרחי בסדר דין מיוחד (תא"ח)</w:t>
            </w:r>
          </w:p>
        </w:tc>
        <w:tc>
          <w:tcPr>
            <w:tcW w:w="1417" w:type="dxa"/>
            <w:tcBorders>
              <w:top w:val="single" w:sz="4" w:space="0" w:color="auto"/>
              <w:bottom w:val="single" w:sz="4" w:space="0" w:color="auto"/>
            </w:tcBorders>
            <w:vAlign w:val="center"/>
          </w:tcPr>
          <w:p w14:paraId="69C9EC81" w14:textId="77777777" w:rsidR="00FD0858" w:rsidRPr="00110A21" w:rsidRDefault="00FD0858" w:rsidP="00FD0858">
            <w:pPr>
              <w:spacing w:after="0" w:line="240" w:lineRule="auto"/>
              <w:jc w:val="center"/>
              <w:rPr>
                <w:rFonts w:ascii="David" w:hAnsi="David" w:cs="David"/>
                <w:color w:val="000000"/>
              </w:rPr>
            </w:pPr>
            <w:r w:rsidRPr="00110A21">
              <w:rPr>
                <w:rFonts w:ascii="David" w:hAnsi="David" w:cs="David"/>
                <w:color w:val="000000"/>
              </w:rPr>
              <w:t>2,759</w:t>
            </w:r>
          </w:p>
        </w:tc>
        <w:tc>
          <w:tcPr>
            <w:tcW w:w="1418" w:type="dxa"/>
            <w:tcBorders>
              <w:top w:val="single" w:sz="4" w:space="0" w:color="auto"/>
              <w:bottom w:val="single" w:sz="4" w:space="0" w:color="auto"/>
            </w:tcBorders>
            <w:shd w:val="clear" w:color="auto" w:fill="auto"/>
            <w:noWrap/>
            <w:vAlign w:val="center"/>
          </w:tcPr>
          <w:p w14:paraId="02830395" w14:textId="77777777" w:rsidR="00FD0858" w:rsidRPr="00110A21" w:rsidRDefault="00FD0858" w:rsidP="00FD0858">
            <w:pPr>
              <w:spacing w:after="0" w:line="240" w:lineRule="auto"/>
              <w:jc w:val="center"/>
              <w:rPr>
                <w:rFonts w:ascii="David" w:hAnsi="David" w:cs="David"/>
                <w:b/>
                <w:bCs/>
                <w:color w:val="000000"/>
              </w:rPr>
            </w:pPr>
            <w:r w:rsidRPr="00110A21">
              <w:rPr>
                <w:rFonts w:ascii="David" w:hAnsi="David" w:cs="David"/>
                <w:b/>
                <w:bCs/>
                <w:color w:val="000000"/>
              </w:rPr>
              <w:t>1:19</w:t>
            </w:r>
          </w:p>
        </w:tc>
        <w:tc>
          <w:tcPr>
            <w:tcW w:w="1559" w:type="dxa"/>
            <w:tcBorders>
              <w:top w:val="single" w:sz="4" w:space="0" w:color="auto"/>
              <w:bottom w:val="single" w:sz="4" w:space="0" w:color="auto"/>
            </w:tcBorders>
            <w:shd w:val="clear" w:color="auto" w:fill="auto"/>
            <w:vAlign w:val="center"/>
          </w:tcPr>
          <w:p w14:paraId="772D2220" w14:textId="77777777" w:rsidR="00FD0858" w:rsidRPr="00110A21" w:rsidRDefault="00FD0858" w:rsidP="00FD0858">
            <w:pPr>
              <w:spacing w:after="0" w:line="240" w:lineRule="auto"/>
              <w:jc w:val="center"/>
              <w:rPr>
                <w:rFonts w:ascii="David" w:hAnsi="David" w:cs="David"/>
                <w:color w:val="000000"/>
              </w:rPr>
            </w:pPr>
            <w:r w:rsidRPr="00110A21">
              <w:rPr>
                <w:rFonts w:ascii="David" w:hAnsi="David" w:cs="David"/>
                <w:color w:val="000000"/>
              </w:rPr>
              <w:t>1:58</w:t>
            </w:r>
          </w:p>
        </w:tc>
        <w:tc>
          <w:tcPr>
            <w:tcW w:w="850" w:type="dxa"/>
            <w:tcBorders>
              <w:top w:val="single" w:sz="4" w:space="0" w:color="auto"/>
              <w:bottom w:val="single" w:sz="4" w:space="0" w:color="auto"/>
            </w:tcBorders>
            <w:shd w:val="clear" w:color="auto" w:fill="auto"/>
            <w:vAlign w:val="center"/>
          </w:tcPr>
          <w:p w14:paraId="19830BE8" w14:textId="77777777" w:rsidR="00FD0858" w:rsidRPr="00110A21" w:rsidRDefault="00FD0858" w:rsidP="00FD0858">
            <w:pPr>
              <w:spacing w:after="0" w:line="240" w:lineRule="auto"/>
              <w:jc w:val="center"/>
              <w:rPr>
                <w:rFonts w:ascii="David" w:hAnsi="David" w:cs="David"/>
                <w:color w:val="000000"/>
              </w:rPr>
            </w:pPr>
            <w:r w:rsidRPr="00110A21">
              <w:rPr>
                <w:rFonts w:ascii="David" w:hAnsi="David" w:cs="David" w:hint="cs"/>
                <w:color w:val="000000"/>
                <w:rtl/>
              </w:rPr>
              <w:t>0:39-</w:t>
            </w:r>
          </w:p>
        </w:tc>
      </w:tr>
      <w:tr w:rsidR="00FD0858" w:rsidRPr="00110A21" w14:paraId="519BB890"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062E1E75" w14:textId="77777777" w:rsidR="00FD0858" w:rsidRPr="00110A21" w:rsidRDefault="00FD0858" w:rsidP="00FD0858">
            <w:pPr>
              <w:spacing w:after="0" w:line="240" w:lineRule="auto"/>
              <w:rPr>
                <w:rFonts w:ascii="David" w:hAnsi="David" w:cs="David"/>
                <w:color w:val="000000"/>
              </w:rPr>
            </w:pPr>
            <w:r w:rsidRPr="00110A21">
              <w:rPr>
                <w:rFonts w:ascii="David" w:hAnsi="David" w:cs="David"/>
                <w:color w:val="000000"/>
                <w:rtl/>
              </w:rPr>
              <w:t>שלום</w:t>
            </w:r>
          </w:p>
        </w:tc>
        <w:tc>
          <w:tcPr>
            <w:tcW w:w="992" w:type="dxa"/>
            <w:tcBorders>
              <w:top w:val="single" w:sz="4" w:space="0" w:color="auto"/>
              <w:bottom w:val="single" w:sz="4" w:space="0" w:color="auto"/>
            </w:tcBorders>
            <w:shd w:val="clear" w:color="auto" w:fill="D9D9D9"/>
            <w:noWrap/>
            <w:vAlign w:val="center"/>
          </w:tcPr>
          <w:p w14:paraId="32532F05" w14:textId="77777777" w:rsidR="00FD0858" w:rsidRPr="00110A21" w:rsidRDefault="00FD0858" w:rsidP="00FD0858">
            <w:pPr>
              <w:spacing w:after="0" w:line="240" w:lineRule="auto"/>
              <w:rPr>
                <w:rFonts w:ascii="David" w:hAnsi="David" w:cs="David"/>
                <w:color w:val="000000"/>
                <w:rtl/>
              </w:rPr>
            </w:pPr>
            <w:r w:rsidRPr="00110A21">
              <w:rPr>
                <w:rFonts w:ascii="David" w:hAnsi="David" w:cs="David"/>
                <w:color w:val="000000"/>
                <w:rtl/>
              </w:rPr>
              <w:t>אזרחי</w:t>
            </w:r>
          </w:p>
        </w:tc>
        <w:tc>
          <w:tcPr>
            <w:tcW w:w="2121" w:type="dxa"/>
            <w:tcBorders>
              <w:top w:val="single" w:sz="4" w:space="0" w:color="auto"/>
              <w:bottom w:val="single" w:sz="4" w:space="0" w:color="auto"/>
            </w:tcBorders>
            <w:shd w:val="clear" w:color="auto" w:fill="D9D9D9"/>
            <w:vAlign w:val="center"/>
          </w:tcPr>
          <w:p w14:paraId="3C3F955A" w14:textId="77777777" w:rsidR="00FD0858" w:rsidRPr="00110A21" w:rsidRDefault="00FD0858" w:rsidP="00FD0858">
            <w:pPr>
              <w:spacing w:after="0" w:line="240" w:lineRule="auto"/>
              <w:rPr>
                <w:rFonts w:ascii="David" w:hAnsi="David" w:cs="David"/>
                <w:color w:val="000000"/>
                <w:rtl/>
              </w:rPr>
            </w:pPr>
            <w:r w:rsidRPr="00110A21">
              <w:rPr>
                <w:rFonts w:ascii="David" w:hAnsi="David" w:cs="David"/>
                <w:color w:val="000000"/>
                <w:rtl/>
              </w:rPr>
              <w:t>בקשה לאישור עיקול (בע"ק)</w:t>
            </w:r>
          </w:p>
        </w:tc>
        <w:tc>
          <w:tcPr>
            <w:tcW w:w="1417" w:type="dxa"/>
            <w:tcBorders>
              <w:top w:val="single" w:sz="4" w:space="0" w:color="auto"/>
              <w:bottom w:val="single" w:sz="4" w:space="0" w:color="auto"/>
            </w:tcBorders>
            <w:shd w:val="clear" w:color="auto" w:fill="D9D9D9"/>
            <w:vAlign w:val="center"/>
          </w:tcPr>
          <w:p w14:paraId="6E5182EC" w14:textId="77777777" w:rsidR="00FD0858" w:rsidRPr="00110A21" w:rsidRDefault="00FD0858" w:rsidP="00FD0858">
            <w:pPr>
              <w:spacing w:after="0" w:line="240" w:lineRule="auto"/>
              <w:jc w:val="center"/>
              <w:rPr>
                <w:rFonts w:ascii="David" w:hAnsi="David" w:cs="David"/>
                <w:color w:val="000000"/>
                <w:rtl/>
              </w:rPr>
            </w:pPr>
            <w:r w:rsidRPr="00110A21">
              <w:rPr>
                <w:rFonts w:ascii="David" w:hAnsi="David" w:cs="David"/>
                <w:color w:val="000000"/>
              </w:rPr>
              <w:t>145</w:t>
            </w:r>
          </w:p>
        </w:tc>
        <w:tc>
          <w:tcPr>
            <w:tcW w:w="1418" w:type="dxa"/>
            <w:tcBorders>
              <w:top w:val="single" w:sz="4" w:space="0" w:color="auto"/>
              <w:bottom w:val="single" w:sz="4" w:space="0" w:color="auto"/>
            </w:tcBorders>
            <w:shd w:val="clear" w:color="auto" w:fill="D9D9D9"/>
            <w:noWrap/>
            <w:vAlign w:val="center"/>
          </w:tcPr>
          <w:p w14:paraId="481880C9" w14:textId="77777777" w:rsidR="00FD0858" w:rsidRPr="00110A21" w:rsidRDefault="00FD0858" w:rsidP="00FD0858">
            <w:pPr>
              <w:spacing w:after="0" w:line="240" w:lineRule="auto"/>
              <w:jc w:val="center"/>
              <w:rPr>
                <w:rFonts w:ascii="David" w:hAnsi="David" w:cs="David"/>
                <w:b/>
                <w:bCs/>
                <w:color w:val="000000"/>
                <w:rtl/>
              </w:rPr>
            </w:pPr>
            <w:r w:rsidRPr="00110A21">
              <w:rPr>
                <w:rFonts w:ascii="David" w:hAnsi="David" w:cs="David"/>
                <w:b/>
                <w:bCs/>
                <w:color w:val="000000"/>
              </w:rPr>
              <w:t>1:14</w:t>
            </w:r>
          </w:p>
        </w:tc>
        <w:tc>
          <w:tcPr>
            <w:tcW w:w="1559" w:type="dxa"/>
            <w:tcBorders>
              <w:top w:val="single" w:sz="4" w:space="0" w:color="auto"/>
              <w:bottom w:val="single" w:sz="4" w:space="0" w:color="auto"/>
            </w:tcBorders>
            <w:shd w:val="clear" w:color="auto" w:fill="D9D9D9"/>
            <w:vAlign w:val="center"/>
          </w:tcPr>
          <w:p w14:paraId="6F116BF8" w14:textId="77777777" w:rsidR="00FD0858" w:rsidRPr="00110A21" w:rsidRDefault="00FD0858" w:rsidP="00FD0858">
            <w:pPr>
              <w:spacing w:after="0" w:line="240" w:lineRule="auto"/>
              <w:jc w:val="center"/>
              <w:rPr>
                <w:rFonts w:ascii="David" w:hAnsi="David" w:cs="David"/>
                <w:color w:val="000000"/>
              </w:rPr>
            </w:pPr>
            <w:r w:rsidRPr="00110A21">
              <w:rPr>
                <w:rFonts w:ascii="David" w:hAnsi="David" w:cs="David"/>
                <w:color w:val="000000"/>
              </w:rPr>
              <w:t>-</w:t>
            </w:r>
          </w:p>
        </w:tc>
        <w:tc>
          <w:tcPr>
            <w:tcW w:w="850" w:type="dxa"/>
            <w:tcBorders>
              <w:top w:val="single" w:sz="4" w:space="0" w:color="auto"/>
              <w:bottom w:val="single" w:sz="4" w:space="0" w:color="auto"/>
            </w:tcBorders>
            <w:shd w:val="clear" w:color="auto" w:fill="D9D9D9"/>
            <w:vAlign w:val="center"/>
          </w:tcPr>
          <w:p w14:paraId="0A67F7D7" w14:textId="77777777" w:rsidR="00FD0858" w:rsidRPr="00110A21" w:rsidRDefault="00FD0858" w:rsidP="00FD0858">
            <w:pPr>
              <w:spacing w:after="0" w:line="240" w:lineRule="auto"/>
              <w:jc w:val="center"/>
              <w:rPr>
                <w:rFonts w:ascii="David" w:hAnsi="David" w:cs="David"/>
                <w:color w:val="000000"/>
              </w:rPr>
            </w:pPr>
            <w:r w:rsidRPr="00110A21">
              <w:rPr>
                <w:rFonts w:ascii="David" w:hAnsi="David" w:cs="David"/>
                <w:color w:val="000000"/>
              </w:rPr>
              <w:t>-</w:t>
            </w:r>
          </w:p>
        </w:tc>
      </w:tr>
      <w:tr w:rsidR="007D380E" w:rsidRPr="00110A21" w14:paraId="2A44F0AC"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52D3FFAA" w14:textId="3083234F" w:rsidR="007D380E" w:rsidRPr="00110A21" w:rsidRDefault="007D380E" w:rsidP="007D380E">
            <w:pPr>
              <w:spacing w:after="0" w:line="240" w:lineRule="auto"/>
              <w:rPr>
                <w:rFonts w:ascii="David" w:hAnsi="David" w:cs="David"/>
                <w:color w:val="000000"/>
                <w:rtl/>
              </w:rPr>
            </w:pPr>
            <w:r w:rsidRPr="00110A21">
              <w:rPr>
                <w:rFonts w:ascii="David" w:eastAsia="Times New Roman" w:hAnsi="David" w:cs="David"/>
                <w:b/>
                <w:bCs/>
                <w:color w:val="000000"/>
                <w:rtl/>
              </w:rPr>
              <w:lastRenderedPageBreak/>
              <w:t>ערכאה</w:t>
            </w:r>
          </w:p>
        </w:tc>
        <w:tc>
          <w:tcPr>
            <w:tcW w:w="992" w:type="dxa"/>
            <w:tcBorders>
              <w:top w:val="single" w:sz="4" w:space="0" w:color="auto"/>
              <w:bottom w:val="single" w:sz="4" w:space="0" w:color="auto"/>
            </w:tcBorders>
            <w:shd w:val="clear" w:color="auto" w:fill="auto"/>
            <w:noWrap/>
            <w:vAlign w:val="center"/>
          </w:tcPr>
          <w:p w14:paraId="2A040F7A" w14:textId="31EE5781" w:rsidR="007D380E" w:rsidRPr="00110A21" w:rsidRDefault="007D380E" w:rsidP="007D380E">
            <w:pPr>
              <w:spacing w:after="0" w:line="240" w:lineRule="auto"/>
              <w:rPr>
                <w:rFonts w:ascii="David" w:hAnsi="David" w:cs="David"/>
                <w:color w:val="000000"/>
                <w:rtl/>
              </w:rPr>
            </w:pPr>
            <w:r w:rsidRPr="00110A21">
              <w:rPr>
                <w:rFonts w:ascii="David" w:eastAsia="Times New Roman" w:hAnsi="David" w:cs="David"/>
                <w:b/>
                <w:bCs/>
                <w:color w:val="000000"/>
                <w:rtl/>
              </w:rPr>
              <w:t>הליך</w:t>
            </w:r>
          </w:p>
        </w:tc>
        <w:tc>
          <w:tcPr>
            <w:tcW w:w="2121" w:type="dxa"/>
            <w:tcBorders>
              <w:top w:val="single" w:sz="4" w:space="0" w:color="auto"/>
              <w:bottom w:val="single" w:sz="4" w:space="0" w:color="auto"/>
            </w:tcBorders>
            <w:shd w:val="clear" w:color="auto" w:fill="auto"/>
            <w:vAlign w:val="center"/>
          </w:tcPr>
          <w:p w14:paraId="78D27251" w14:textId="1F9FC67C" w:rsidR="007D380E" w:rsidRPr="00110A21" w:rsidRDefault="007D380E" w:rsidP="007D380E">
            <w:pPr>
              <w:spacing w:after="0" w:line="240" w:lineRule="auto"/>
              <w:rPr>
                <w:rFonts w:ascii="David" w:hAnsi="David" w:cs="David"/>
                <w:color w:val="000000"/>
                <w:rtl/>
              </w:rPr>
            </w:pPr>
            <w:r w:rsidRPr="00110A21">
              <w:rPr>
                <w:rFonts w:ascii="David" w:eastAsia="Times New Roman" w:hAnsi="David" w:cs="David"/>
                <w:b/>
                <w:bCs/>
                <w:color w:val="000000"/>
                <w:rtl/>
              </w:rPr>
              <w:t>סוג תיק</w:t>
            </w:r>
          </w:p>
        </w:tc>
        <w:tc>
          <w:tcPr>
            <w:tcW w:w="1417" w:type="dxa"/>
            <w:tcBorders>
              <w:top w:val="single" w:sz="4" w:space="0" w:color="auto"/>
              <w:bottom w:val="single" w:sz="4" w:space="0" w:color="auto"/>
            </w:tcBorders>
            <w:vAlign w:val="center"/>
          </w:tcPr>
          <w:p w14:paraId="3C7873B4" w14:textId="4F8E359F" w:rsidR="007D380E" w:rsidRPr="00110A21" w:rsidRDefault="007D380E" w:rsidP="007D380E">
            <w:pPr>
              <w:spacing w:after="0" w:line="240" w:lineRule="auto"/>
              <w:jc w:val="center"/>
              <w:rPr>
                <w:rFonts w:ascii="David" w:hAnsi="David" w:cs="David"/>
                <w:color w:val="000000"/>
              </w:rPr>
            </w:pPr>
            <w:r w:rsidRPr="00110A21">
              <w:rPr>
                <w:rFonts w:ascii="David" w:eastAsia="Times New Roman" w:hAnsi="David" w:cs="David" w:hint="cs"/>
                <w:b/>
                <w:bCs/>
                <w:color w:val="000000"/>
                <w:rtl/>
              </w:rPr>
              <w:t>מספר תיקים שנסגרו ב-2019</w:t>
            </w:r>
          </w:p>
        </w:tc>
        <w:tc>
          <w:tcPr>
            <w:tcW w:w="1418" w:type="dxa"/>
            <w:tcBorders>
              <w:top w:val="single" w:sz="4" w:space="0" w:color="auto"/>
              <w:bottom w:val="single" w:sz="4" w:space="0" w:color="auto"/>
            </w:tcBorders>
            <w:shd w:val="clear" w:color="auto" w:fill="auto"/>
            <w:noWrap/>
            <w:vAlign w:val="center"/>
          </w:tcPr>
          <w:p w14:paraId="73FB97FB" w14:textId="1DAC05E8" w:rsidR="007D380E" w:rsidRPr="00110A21" w:rsidRDefault="007D380E" w:rsidP="007D380E">
            <w:pPr>
              <w:spacing w:after="0" w:line="240" w:lineRule="auto"/>
              <w:jc w:val="center"/>
              <w:rPr>
                <w:rFonts w:ascii="David" w:hAnsi="David" w:cs="David"/>
                <w:b/>
                <w:bCs/>
                <w:color w:val="000000"/>
              </w:rPr>
            </w:pPr>
            <w:r w:rsidRPr="00110A21">
              <w:rPr>
                <w:rFonts w:ascii="David" w:eastAsia="Times New Roman" w:hAnsi="David" w:cs="David"/>
                <w:b/>
                <w:bCs/>
                <w:color w:val="000000"/>
                <w:rtl/>
              </w:rPr>
              <w:t>הזמן השיפוטי הממוצע לט</w:t>
            </w:r>
            <w:r w:rsidRPr="00110A21">
              <w:rPr>
                <w:rFonts w:ascii="David" w:eastAsia="Times New Roman" w:hAnsi="David" w:cs="David" w:hint="cs"/>
                <w:b/>
                <w:bCs/>
                <w:color w:val="000000"/>
                <w:rtl/>
              </w:rPr>
              <w:t>י</w:t>
            </w:r>
            <w:r w:rsidRPr="00110A21">
              <w:rPr>
                <w:rFonts w:ascii="David" w:eastAsia="Times New Roman" w:hAnsi="David" w:cs="David"/>
                <w:b/>
                <w:bCs/>
                <w:color w:val="000000"/>
                <w:rtl/>
              </w:rPr>
              <w:t>פ</w:t>
            </w:r>
            <w:r w:rsidRPr="00110A21">
              <w:rPr>
                <w:rFonts w:ascii="David" w:eastAsia="Times New Roman" w:hAnsi="David" w:cs="David" w:hint="cs"/>
                <w:b/>
                <w:bCs/>
                <w:color w:val="000000"/>
                <w:rtl/>
              </w:rPr>
              <w:t>ו</w:t>
            </w:r>
            <w:r w:rsidRPr="00110A21">
              <w:rPr>
                <w:rFonts w:ascii="David" w:eastAsia="Times New Roman" w:hAnsi="David" w:cs="David"/>
                <w:b/>
                <w:bCs/>
                <w:color w:val="000000"/>
                <w:rtl/>
              </w:rPr>
              <w:t>ל בתיק</w:t>
            </w:r>
          </w:p>
        </w:tc>
        <w:tc>
          <w:tcPr>
            <w:tcW w:w="1559" w:type="dxa"/>
            <w:tcBorders>
              <w:top w:val="single" w:sz="4" w:space="0" w:color="auto"/>
              <w:bottom w:val="single" w:sz="4" w:space="0" w:color="auto"/>
            </w:tcBorders>
            <w:shd w:val="clear" w:color="auto" w:fill="auto"/>
            <w:vAlign w:val="center"/>
          </w:tcPr>
          <w:p w14:paraId="16025EFD" w14:textId="6B6B5365" w:rsidR="007D380E" w:rsidRPr="00110A21" w:rsidRDefault="007D380E" w:rsidP="007D380E">
            <w:pPr>
              <w:spacing w:after="0" w:line="240" w:lineRule="auto"/>
              <w:jc w:val="center"/>
              <w:rPr>
                <w:rFonts w:ascii="David" w:hAnsi="David" w:cs="David"/>
                <w:color w:val="000000"/>
              </w:rPr>
            </w:pPr>
            <w:r w:rsidRPr="00110A21">
              <w:rPr>
                <w:rFonts w:ascii="David" w:eastAsia="Times New Roman" w:hAnsi="David" w:cs="David"/>
                <w:b/>
                <w:bCs/>
                <w:color w:val="000000"/>
                <w:rtl/>
              </w:rPr>
              <w:t xml:space="preserve">הזמן השיפוטי </w:t>
            </w:r>
            <w:r w:rsidRPr="00110A21">
              <w:rPr>
                <w:rFonts w:ascii="David" w:eastAsia="Times New Roman" w:hAnsi="David" w:cs="David" w:hint="cs"/>
                <w:b/>
                <w:bCs/>
                <w:color w:val="000000"/>
                <w:rtl/>
              </w:rPr>
              <w:t xml:space="preserve">הממוצע </w:t>
            </w:r>
            <w:r w:rsidRPr="00110A21">
              <w:rPr>
                <w:rFonts w:ascii="David" w:eastAsia="Times New Roman" w:hAnsi="David" w:cs="David"/>
                <w:b/>
                <w:bCs/>
                <w:color w:val="000000"/>
                <w:rtl/>
              </w:rPr>
              <w:t>לפי מחקר ה</w:t>
            </w:r>
            <w:r w:rsidRPr="00110A21">
              <w:rPr>
                <w:rFonts w:ascii="David" w:eastAsia="Times New Roman" w:hAnsi="David" w:cs="David" w:hint="cs"/>
                <w:b/>
                <w:bCs/>
                <w:color w:val="000000"/>
                <w:rtl/>
              </w:rPr>
              <w:t>קודם</w:t>
            </w:r>
          </w:p>
        </w:tc>
        <w:tc>
          <w:tcPr>
            <w:tcW w:w="850" w:type="dxa"/>
            <w:tcBorders>
              <w:top w:val="single" w:sz="4" w:space="0" w:color="auto"/>
              <w:bottom w:val="single" w:sz="4" w:space="0" w:color="auto"/>
            </w:tcBorders>
            <w:shd w:val="clear" w:color="auto" w:fill="auto"/>
            <w:vAlign w:val="center"/>
          </w:tcPr>
          <w:p w14:paraId="7402CB7A" w14:textId="0F6B39CA" w:rsidR="007D380E" w:rsidRPr="00110A21" w:rsidRDefault="007D380E" w:rsidP="007D380E">
            <w:pPr>
              <w:spacing w:after="0" w:line="240" w:lineRule="auto"/>
              <w:jc w:val="center"/>
              <w:rPr>
                <w:rFonts w:ascii="David" w:hAnsi="David" w:cs="David"/>
                <w:color w:val="000000"/>
              </w:rPr>
            </w:pPr>
            <w:r w:rsidRPr="00110A21">
              <w:rPr>
                <w:rFonts w:ascii="David" w:eastAsia="Times New Roman" w:hAnsi="David" w:cs="David"/>
                <w:b/>
                <w:bCs/>
                <w:color w:val="000000"/>
                <w:rtl/>
              </w:rPr>
              <w:t>מגמת שינ</w:t>
            </w:r>
            <w:r w:rsidRPr="00110A21">
              <w:rPr>
                <w:rFonts w:ascii="David" w:eastAsia="Times New Roman" w:hAnsi="David" w:cs="David" w:hint="cs"/>
                <w:b/>
                <w:bCs/>
                <w:color w:val="000000"/>
                <w:rtl/>
              </w:rPr>
              <w:t>ו</w:t>
            </w:r>
            <w:r w:rsidRPr="00110A21">
              <w:rPr>
                <w:rFonts w:ascii="David" w:eastAsia="Times New Roman" w:hAnsi="David" w:cs="David"/>
                <w:b/>
                <w:bCs/>
                <w:color w:val="000000"/>
                <w:rtl/>
              </w:rPr>
              <w:t>י</w:t>
            </w:r>
          </w:p>
        </w:tc>
      </w:tr>
      <w:tr w:rsidR="007D380E" w:rsidRPr="00110A21" w14:paraId="6160AF9C"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5E0454C3" w14:textId="77777777" w:rsidR="007D380E" w:rsidRPr="00110A21" w:rsidRDefault="007D380E" w:rsidP="007D380E">
            <w:pPr>
              <w:spacing w:after="0" w:line="240" w:lineRule="auto"/>
              <w:rPr>
                <w:rFonts w:ascii="David" w:hAnsi="David" w:cs="David"/>
                <w:color w:val="000000"/>
                <w:rtl/>
              </w:rPr>
            </w:pPr>
            <w:r w:rsidRPr="00110A21">
              <w:rPr>
                <w:rFonts w:ascii="David" w:hAnsi="David" w:cs="David"/>
                <w:color w:val="000000"/>
                <w:rtl/>
              </w:rPr>
              <w:t>שלום</w:t>
            </w:r>
          </w:p>
        </w:tc>
        <w:tc>
          <w:tcPr>
            <w:tcW w:w="992" w:type="dxa"/>
            <w:tcBorders>
              <w:top w:val="single" w:sz="4" w:space="0" w:color="auto"/>
              <w:bottom w:val="single" w:sz="4" w:space="0" w:color="auto"/>
            </w:tcBorders>
            <w:shd w:val="clear" w:color="auto" w:fill="auto"/>
            <w:noWrap/>
            <w:vAlign w:val="center"/>
          </w:tcPr>
          <w:p w14:paraId="67349E9F" w14:textId="77777777" w:rsidR="007D380E" w:rsidRPr="00110A21" w:rsidRDefault="007D380E" w:rsidP="007D380E">
            <w:pPr>
              <w:spacing w:after="0" w:line="240" w:lineRule="auto"/>
              <w:rPr>
                <w:rFonts w:ascii="David" w:hAnsi="David" w:cs="David"/>
                <w:color w:val="000000"/>
                <w:rtl/>
              </w:rPr>
            </w:pPr>
            <w:r w:rsidRPr="00110A21">
              <w:rPr>
                <w:rFonts w:ascii="David" w:hAnsi="David" w:cs="David"/>
                <w:color w:val="000000"/>
                <w:rtl/>
              </w:rPr>
              <w:t>אזרחי</w:t>
            </w:r>
          </w:p>
        </w:tc>
        <w:tc>
          <w:tcPr>
            <w:tcW w:w="2121" w:type="dxa"/>
            <w:tcBorders>
              <w:top w:val="single" w:sz="4" w:space="0" w:color="auto"/>
              <w:bottom w:val="single" w:sz="4" w:space="0" w:color="auto"/>
            </w:tcBorders>
            <w:shd w:val="clear" w:color="auto" w:fill="auto"/>
            <w:vAlign w:val="center"/>
          </w:tcPr>
          <w:p w14:paraId="68B6152C" w14:textId="77777777" w:rsidR="007D380E" w:rsidRPr="00110A21" w:rsidRDefault="007D380E" w:rsidP="007D380E">
            <w:pPr>
              <w:spacing w:after="0" w:line="240" w:lineRule="auto"/>
              <w:rPr>
                <w:rFonts w:ascii="David" w:hAnsi="David" w:cs="David"/>
                <w:color w:val="000000"/>
                <w:rtl/>
              </w:rPr>
            </w:pPr>
            <w:r w:rsidRPr="00110A21">
              <w:rPr>
                <w:rFonts w:ascii="David" w:hAnsi="David" w:cs="David"/>
                <w:color w:val="000000"/>
                <w:rtl/>
              </w:rPr>
              <w:t>בקשה לתשלום תכוף (בת"ת)</w:t>
            </w:r>
          </w:p>
        </w:tc>
        <w:tc>
          <w:tcPr>
            <w:tcW w:w="1417" w:type="dxa"/>
            <w:tcBorders>
              <w:top w:val="single" w:sz="4" w:space="0" w:color="auto"/>
              <w:bottom w:val="single" w:sz="4" w:space="0" w:color="auto"/>
            </w:tcBorders>
            <w:vAlign w:val="center"/>
          </w:tcPr>
          <w:p w14:paraId="2C5729E7" w14:textId="77777777" w:rsidR="007D380E" w:rsidRPr="00110A21" w:rsidRDefault="007D380E" w:rsidP="007D380E">
            <w:pPr>
              <w:spacing w:after="0" w:line="240" w:lineRule="auto"/>
              <w:jc w:val="center"/>
              <w:rPr>
                <w:rFonts w:ascii="David" w:hAnsi="David" w:cs="David"/>
                <w:color w:val="000000"/>
              </w:rPr>
            </w:pPr>
            <w:r w:rsidRPr="00110A21">
              <w:rPr>
                <w:rFonts w:ascii="David" w:hAnsi="David" w:cs="David"/>
                <w:color w:val="000000"/>
              </w:rPr>
              <w:t>167</w:t>
            </w:r>
          </w:p>
        </w:tc>
        <w:tc>
          <w:tcPr>
            <w:tcW w:w="1418" w:type="dxa"/>
            <w:tcBorders>
              <w:top w:val="single" w:sz="4" w:space="0" w:color="auto"/>
              <w:bottom w:val="single" w:sz="4" w:space="0" w:color="auto"/>
            </w:tcBorders>
            <w:shd w:val="clear" w:color="auto" w:fill="auto"/>
            <w:noWrap/>
            <w:vAlign w:val="center"/>
          </w:tcPr>
          <w:p w14:paraId="26EF527E" w14:textId="77777777" w:rsidR="007D380E" w:rsidRPr="00110A21" w:rsidRDefault="007D380E" w:rsidP="007D380E">
            <w:pPr>
              <w:spacing w:after="0" w:line="240" w:lineRule="auto"/>
              <w:jc w:val="center"/>
              <w:rPr>
                <w:rFonts w:ascii="David" w:hAnsi="David" w:cs="David"/>
                <w:b/>
                <w:bCs/>
                <w:color w:val="000000"/>
                <w:rtl/>
              </w:rPr>
            </w:pPr>
            <w:r w:rsidRPr="00110A21">
              <w:rPr>
                <w:rFonts w:ascii="David" w:hAnsi="David" w:cs="David"/>
                <w:b/>
                <w:bCs/>
                <w:color w:val="000000"/>
              </w:rPr>
              <w:t>1:05</w:t>
            </w:r>
          </w:p>
        </w:tc>
        <w:tc>
          <w:tcPr>
            <w:tcW w:w="1559" w:type="dxa"/>
            <w:tcBorders>
              <w:top w:val="single" w:sz="4" w:space="0" w:color="auto"/>
              <w:bottom w:val="single" w:sz="4" w:space="0" w:color="auto"/>
            </w:tcBorders>
            <w:shd w:val="clear" w:color="auto" w:fill="auto"/>
            <w:vAlign w:val="center"/>
          </w:tcPr>
          <w:p w14:paraId="463C81DE" w14:textId="77777777" w:rsidR="007D380E" w:rsidRPr="00110A21" w:rsidRDefault="007D380E" w:rsidP="007D380E">
            <w:pPr>
              <w:spacing w:after="0" w:line="240" w:lineRule="auto"/>
              <w:jc w:val="center"/>
              <w:rPr>
                <w:rFonts w:ascii="David" w:hAnsi="David" w:cs="David"/>
                <w:color w:val="000000"/>
              </w:rPr>
            </w:pPr>
            <w:r w:rsidRPr="00110A21">
              <w:rPr>
                <w:rFonts w:ascii="David" w:hAnsi="David" w:cs="David"/>
                <w:color w:val="000000"/>
              </w:rPr>
              <w:t>-</w:t>
            </w:r>
          </w:p>
        </w:tc>
        <w:tc>
          <w:tcPr>
            <w:tcW w:w="850" w:type="dxa"/>
            <w:tcBorders>
              <w:top w:val="single" w:sz="4" w:space="0" w:color="auto"/>
              <w:bottom w:val="single" w:sz="4" w:space="0" w:color="auto"/>
            </w:tcBorders>
            <w:shd w:val="clear" w:color="auto" w:fill="auto"/>
            <w:vAlign w:val="center"/>
          </w:tcPr>
          <w:p w14:paraId="1A4EF02D" w14:textId="77777777" w:rsidR="007D380E" w:rsidRPr="00110A21" w:rsidRDefault="007D380E" w:rsidP="007D380E">
            <w:pPr>
              <w:spacing w:after="0" w:line="240" w:lineRule="auto"/>
              <w:jc w:val="center"/>
              <w:rPr>
                <w:rFonts w:ascii="David" w:hAnsi="David" w:cs="David"/>
                <w:color w:val="000000"/>
              </w:rPr>
            </w:pPr>
            <w:r w:rsidRPr="00110A21">
              <w:rPr>
                <w:rFonts w:ascii="David" w:hAnsi="David" w:cs="David"/>
                <w:color w:val="000000"/>
              </w:rPr>
              <w:t>-</w:t>
            </w:r>
          </w:p>
        </w:tc>
      </w:tr>
      <w:tr w:rsidR="007D380E" w:rsidRPr="00110A21" w14:paraId="067ABCEE"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553DD587" w14:textId="77777777" w:rsidR="007D380E" w:rsidRPr="00110A21" w:rsidRDefault="007D380E" w:rsidP="007D380E">
            <w:pPr>
              <w:spacing w:after="0" w:line="240" w:lineRule="auto"/>
              <w:rPr>
                <w:rFonts w:ascii="David" w:hAnsi="David" w:cs="David"/>
                <w:color w:val="000000"/>
                <w:rtl/>
              </w:rPr>
            </w:pPr>
            <w:r w:rsidRPr="00110A21">
              <w:rPr>
                <w:rFonts w:ascii="David" w:hAnsi="David" w:cs="David"/>
                <w:color w:val="000000"/>
                <w:rtl/>
              </w:rPr>
              <w:t>שלום</w:t>
            </w:r>
          </w:p>
        </w:tc>
        <w:tc>
          <w:tcPr>
            <w:tcW w:w="992" w:type="dxa"/>
            <w:tcBorders>
              <w:top w:val="single" w:sz="4" w:space="0" w:color="auto"/>
              <w:bottom w:val="single" w:sz="4" w:space="0" w:color="auto"/>
            </w:tcBorders>
            <w:shd w:val="clear" w:color="auto" w:fill="D9D9D9"/>
            <w:noWrap/>
            <w:vAlign w:val="center"/>
          </w:tcPr>
          <w:p w14:paraId="40357E6D" w14:textId="77777777" w:rsidR="007D380E" w:rsidRPr="00110A21" w:rsidRDefault="007D380E" w:rsidP="007D380E">
            <w:pPr>
              <w:spacing w:after="0" w:line="240" w:lineRule="auto"/>
              <w:rPr>
                <w:rFonts w:ascii="David" w:hAnsi="David" w:cs="David"/>
                <w:color w:val="000000"/>
                <w:rtl/>
              </w:rPr>
            </w:pPr>
            <w:r w:rsidRPr="00110A21">
              <w:rPr>
                <w:rFonts w:ascii="David" w:hAnsi="David" w:cs="David"/>
                <w:color w:val="000000"/>
                <w:rtl/>
              </w:rPr>
              <w:t>תביעה קטנה</w:t>
            </w:r>
          </w:p>
        </w:tc>
        <w:tc>
          <w:tcPr>
            <w:tcW w:w="2121" w:type="dxa"/>
            <w:tcBorders>
              <w:top w:val="single" w:sz="4" w:space="0" w:color="auto"/>
              <w:bottom w:val="single" w:sz="4" w:space="0" w:color="auto"/>
            </w:tcBorders>
            <w:shd w:val="clear" w:color="auto" w:fill="D9D9D9"/>
            <w:vAlign w:val="center"/>
          </w:tcPr>
          <w:p w14:paraId="5F3FE207" w14:textId="77777777" w:rsidR="007D380E" w:rsidRPr="00110A21" w:rsidRDefault="007D380E" w:rsidP="007D380E">
            <w:pPr>
              <w:spacing w:after="0" w:line="240" w:lineRule="auto"/>
              <w:rPr>
                <w:rFonts w:ascii="David" w:hAnsi="David" w:cs="David"/>
                <w:color w:val="000000"/>
                <w:rtl/>
              </w:rPr>
            </w:pPr>
            <w:r w:rsidRPr="00110A21">
              <w:rPr>
                <w:rFonts w:ascii="David" w:hAnsi="David" w:cs="David"/>
                <w:color w:val="000000"/>
                <w:rtl/>
              </w:rPr>
              <w:t>תביעה קטנה (ת"ק)</w:t>
            </w:r>
          </w:p>
        </w:tc>
        <w:tc>
          <w:tcPr>
            <w:tcW w:w="1417" w:type="dxa"/>
            <w:tcBorders>
              <w:top w:val="single" w:sz="4" w:space="0" w:color="auto"/>
              <w:bottom w:val="single" w:sz="4" w:space="0" w:color="auto"/>
            </w:tcBorders>
            <w:shd w:val="clear" w:color="auto" w:fill="D9D9D9"/>
            <w:vAlign w:val="center"/>
          </w:tcPr>
          <w:p w14:paraId="30CF1CDB" w14:textId="77777777" w:rsidR="007D380E" w:rsidRPr="00110A21" w:rsidRDefault="007D380E" w:rsidP="007D380E">
            <w:pPr>
              <w:spacing w:after="0" w:line="240" w:lineRule="auto"/>
              <w:jc w:val="center"/>
              <w:rPr>
                <w:rFonts w:ascii="David" w:hAnsi="David" w:cs="David"/>
                <w:color w:val="000000"/>
              </w:rPr>
            </w:pPr>
            <w:r w:rsidRPr="00110A21">
              <w:rPr>
                <w:rFonts w:ascii="David" w:hAnsi="David" w:cs="David"/>
                <w:color w:val="000000"/>
              </w:rPr>
              <w:t>38,947</w:t>
            </w:r>
          </w:p>
        </w:tc>
        <w:tc>
          <w:tcPr>
            <w:tcW w:w="1418" w:type="dxa"/>
            <w:tcBorders>
              <w:top w:val="single" w:sz="4" w:space="0" w:color="auto"/>
              <w:bottom w:val="single" w:sz="4" w:space="0" w:color="auto"/>
            </w:tcBorders>
            <w:shd w:val="clear" w:color="auto" w:fill="D9D9D9"/>
            <w:noWrap/>
            <w:vAlign w:val="center"/>
          </w:tcPr>
          <w:p w14:paraId="1492D022" w14:textId="77777777" w:rsidR="007D380E" w:rsidRPr="00110A21" w:rsidRDefault="007D380E" w:rsidP="007D380E">
            <w:pPr>
              <w:spacing w:after="0" w:line="240" w:lineRule="auto"/>
              <w:jc w:val="center"/>
              <w:rPr>
                <w:rFonts w:ascii="David" w:hAnsi="David" w:cs="David"/>
                <w:b/>
                <w:bCs/>
                <w:color w:val="000000"/>
              </w:rPr>
            </w:pPr>
            <w:r w:rsidRPr="00110A21">
              <w:rPr>
                <w:rFonts w:ascii="David" w:hAnsi="David" w:cs="David"/>
                <w:b/>
                <w:bCs/>
                <w:color w:val="000000"/>
              </w:rPr>
              <w:t>1:05</w:t>
            </w:r>
          </w:p>
        </w:tc>
        <w:tc>
          <w:tcPr>
            <w:tcW w:w="1559" w:type="dxa"/>
            <w:tcBorders>
              <w:top w:val="single" w:sz="4" w:space="0" w:color="auto"/>
              <w:bottom w:val="single" w:sz="4" w:space="0" w:color="auto"/>
            </w:tcBorders>
            <w:shd w:val="clear" w:color="auto" w:fill="D9D9D9"/>
            <w:vAlign w:val="center"/>
          </w:tcPr>
          <w:p w14:paraId="5F476245" w14:textId="77777777" w:rsidR="007D380E" w:rsidRPr="00110A21" w:rsidRDefault="007D380E" w:rsidP="007D380E">
            <w:pPr>
              <w:spacing w:after="0" w:line="240" w:lineRule="auto"/>
              <w:jc w:val="center"/>
              <w:rPr>
                <w:rFonts w:ascii="David" w:hAnsi="David" w:cs="David"/>
                <w:color w:val="000000"/>
              </w:rPr>
            </w:pPr>
            <w:r w:rsidRPr="00110A21">
              <w:rPr>
                <w:rFonts w:ascii="David" w:hAnsi="David" w:cs="David"/>
                <w:color w:val="000000"/>
              </w:rPr>
              <w:t>0:59</w:t>
            </w:r>
          </w:p>
        </w:tc>
        <w:tc>
          <w:tcPr>
            <w:tcW w:w="850" w:type="dxa"/>
            <w:tcBorders>
              <w:top w:val="single" w:sz="4" w:space="0" w:color="auto"/>
              <w:bottom w:val="single" w:sz="4" w:space="0" w:color="auto"/>
            </w:tcBorders>
            <w:shd w:val="clear" w:color="auto" w:fill="D9D9D9"/>
            <w:vAlign w:val="center"/>
          </w:tcPr>
          <w:p w14:paraId="5091DA91" w14:textId="77777777" w:rsidR="007D380E" w:rsidRPr="00110A21" w:rsidRDefault="007D380E" w:rsidP="007D380E">
            <w:pPr>
              <w:spacing w:after="0" w:line="240" w:lineRule="auto"/>
              <w:jc w:val="center"/>
              <w:rPr>
                <w:rFonts w:ascii="David" w:hAnsi="David" w:cs="David"/>
                <w:color w:val="000000"/>
              </w:rPr>
            </w:pPr>
            <w:r w:rsidRPr="00110A21">
              <w:rPr>
                <w:rFonts w:ascii="David" w:hAnsi="David" w:cs="David" w:hint="cs"/>
                <w:color w:val="000000"/>
                <w:rtl/>
              </w:rPr>
              <w:t>0:06+</w:t>
            </w:r>
          </w:p>
        </w:tc>
      </w:tr>
      <w:tr w:rsidR="007D380E" w:rsidRPr="00110A21" w14:paraId="46BEEB19"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2DAE982E" w14:textId="77777777" w:rsidR="007D380E" w:rsidRPr="00110A21" w:rsidRDefault="007D380E" w:rsidP="007D380E">
            <w:pPr>
              <w:spacing w:after="0" w:line="240" w:lineRule="auto"/>
              <w:rPr>
                <w:rFonts w:ascii="David" w:hAnsi="David" w:cs="David"/>
                <w:color w:val="000000"/>
                <w:rtl/>
              </w:rPr>
            </w:pPr>
            <w:r w:rsidRPr="00110A21">
              <w:rPr>
                <w:rFonts w:ascii="David" w:hAnsi="David" w:cs="David"/>
                <w:color w:val="000000"/>
                <w:rtl/>
              </w:rPr>
              <w:t>שלום</w:t>
            </w:r>
          </w:p>
        </w:tc>
        <w:tc>
          <w:tcPr>
            <w:tcW w:w="992" w:type="dxa"/>
            <w:tcBorders>
              <w:top w:val="single" w:sz="4" w:space="0" w:color="auto"/>
              <w:bottom w:val="single" w:sz="4" w:space="0" w:color="auto"/>
            </w:tcBorders>
            <w:shd w:val="clear" w:color="auto" w:fill="auto"/>
            <w:noWrap/>
            <w:vAlign w:val="center"/>
          </w:tcPr>
          <w:p w14:paraId="1E10EC83" w14:textId="77777777" w:rsidR="007D380E" w:rsidRPr="00110A21" w:rsidRDefault="007D380E" w:rsidP="007D380E">
            <w:pPr>
              <w:spacing w:after="0" w:line="240" w:lineRule="auto"/>
              <w:rPr>
                <w:rFonts w:ascii="David" w:hAnsi="David" w:cs="David"/>
                <w:color w:val="000000"/>
                <w:rtl/>
              </w:rPr>
            </w:pPr>
            <w:r w:rsidRPr="00110A21">
              <w:rPr>
                <w:rFonts w:ascii="David" w:hAnsi="David" w:cs="David"/>
                <w:color w:val="000000"/>
                <w:rtl/>
              </w:rPr>
              <w:t>אזרחי</w:t>
            </w:r>
          </w:p>
        </w:tc>
        <w:tc>
          <w:tcPr>
            <w:tcW w:w="2121" w:type="dxa"/>
            <w:tcBorders>
              <w:top w:val="single" w:sz="4" w:space="0" w:color="auto"/>
              <w:bottom w:val="single" w:sz="4" w:space="0" w:color="auto"/>
            </w:tcBorders>
            <w:shd w:val="clear" w:color="auto" w:fill="auto"/>
            <w:vAlign w:val="center"/>
          </w:tcPr>
          <w:p w14:paraId="0A4E223A" w14:textId="77777777" w:rsidR="007D380E" w:rsidRPr="00110A21" w:rsidRDefault="007D380E" w:rsidP="007D380E">
            <w:pPr>
              <w:spacing w:after="0" w:line="240" w:lineRule="auto"/>
              <w:rPr>
                <w:rFonts w:ascii="David" w:hAnsi="David" w:cs="David"/>
                <w:color w:val="000000"/>
                <w:rtl/>
              </w:rPr>
            </w:pPr>
            <w:r w:rsidRPr="00110A21">
              <w:rPr>
                <w:rFonts w:ascii="David" w:hAnsi="David" w:cs="David"/>
                <w:color w:val="000000"/>
                <w:rtl/>
              </w:rPr>
              <w:t xml:space="preserve">הטרדה מאיימת וצו הגנה (ה"ט) </w:t>
            </w:r>
          </w:p>
        </w:tc>
        <w:tc>
          <w:tcPr>
            <w:tcW w:w="1417" w:type="dxa"/>
            <w:tcBorders>
              <w:top w:val="single" w:sz="4" w:space="0" w:color="auto"/>
              <w:bottom w:val="single" w:sz="4" w:space="0" w:color="auto"/>
            </w:tcBorders>
            <w:vAlign w:val="center"/>
          </w:tcPr>
          <w:p w14:paraId="7283CD3B" w14:textId="77777777" w:rsidR="007D380E" w:rsidRPr="00110A21" w:rsidRDefault="007D380E" w:rsidP="007D380E">
            <w:pPr>
              <w:spacing w:after="0" w:line="240" w:lineRule="auto"/>
              <w:jc w:val="center"/>
              <w:rPr>
                <w:rFonts w:ascii="David" w:hAnsi="David" w:cs="David"/>
                <w:color w:val="000000"/>
              </w:rPr>
            </w:pPr>
            <w:r w:rsidRPr="00110A21">
              <w:rPr>
                <w:rFonts w:ascii="David" w:hAnsi="David" w:cs="David"/>
                <w:color w:val="000000"/>
              </w:rPr>
              <w:t>7,558</w:t>
            </w:r>
          </w:p>
        </w:tc>
        <w:tc>
          <w:tcPr>
            <w:tcW w:w="1418" w:type="dxa"/>
            <w:tcBorders>
              <w:top w:val="single" w:sz="4" w:space="0" w:color="auto"/>
              <w:bottom w:val="single" w:sz="4" w:space="0" w:color="auto"/>
            </w:tcBorders>
            <w:shd w:val="clear" w:color="auto" w:fill="auto"/>
            <w:noWrap/>
            <w:vAlign w:val="center"/>
          </w:tcPr>
          <w:p w14:paraId="4565392F" w14:textId="77777777" w:rsidR="007D380E" w:rsidRPr="00110A21" w:rsidRDefault="007D380E" w:rsidP="007D380E">
            <w:pPr>
              <w:spacing w:after="0" w:line="240" w:lineRule="auto"/>
              <w:jc w:val="center"/>
              <w:rPr>
                <w:rFonts w:ascii="David" w:hAnsi="David" w:cs="David"/>
                <w:b/>
                <w:bCs/>
                <w:color w:val="000000"/>
              </w:rPr>
            </w:pPr>
            <w:r w:rsidRPr="00110A21">
              <w:rPr>
                <w:rFonts w:ascii="David" w:hAnsi="David" w:cs="David"/>
                <w:b/>
                <w:bCs/>
                <w:color w:val="000000"/>
              </w:rPr>
              <w:t>0:58</w:t>
            </w:r>
          </w:p>
        </w:tc>
        <w:tc>
          <w:tcPr>
            <w:tcW w:w="1559" w:type="dxa"/>
            <w:tcBorders>
              <w:top w:val="single" w:sz="4" w:space="0" w:color="auto"/>
              <w:bottom w:val="single" w:sz="4" w:space="0" w:color="auto"/>
            </w:tcBorders>
            <w:shd w:val="clear" w:color="auto" w:fill="auto"/>
            <w:vAlign w:val="center"/>
          </w:tcPr>
          <w:p w14:paraId="574F9784" w14:textId="77777777" w:rsidR="007D380E" w:rsidRPr="00110A21" w:rsidRDefault="007D380E" w:rsidP="007D380E">
            <w:pPr>
              <w:spacing w:after="0" w:line="240" w:lineRule="auto"/>
              <w:jc w:val="center"/>
              <w:rPr>
                <w:rFonts w:ascii="David" w:hAnsi="David" w:cs="David"/>
                <w:color w:val="000000"/>
              </w:rPr>
            </w:pPr>
            <w:r w:rsidRPr="00110A21">
              <w:rPr>
                <w:rFonts w:ascii="David" w:hAnsi="David" w:cs="David"/>
                <w:color w:val="000000"/>
              </w:rPr>
              <w:t>1:41</w:t>
            </w:r>
          </w:p>
        </w:tc>
        <w:tc>
          <w:tcPr>
            <w:tcW w:w="850" w:type="dxa"/>
            <w:tcBorders>
              <w:top w:val="single" w:sz="4" w:space="0" w:color="auto"/>
              <w:bottom w:val="single" w:sz="4" w:space="0" w:color="auto"/>
            </w:tcBorders>
            <w:shd w:val="clear" w:color="auto" w:fill="auto"/>
            <w:vAlign w:val="center"/>
          </w:tcPr>
          <w:p w14:paraId="23747BD2" w14:textId="77777777" w:rsidR="007D380E" w:rsidRPr="00110A21" w:rsidRDefault="007D380E" w:rsidP="007D380E">
            <w:pPr>
              <w:spacing w:after="0" w:line="240" w:lineRule="auto"/>
              <w:jc w:val="center"/>
              <w:rPr>
                <w:rFonts w:ascii="David" w:hAnsi="David" w:cs="David"/>
                <w:color w:val="000000"/>
              </w:rPr>
            </w:pPr>
            <w:r w:rsidRPr="00110A21">
              <w:rPr>
                <w:rFonts w:ascii="David" w:hAnsi="David" w:cs="David" w:hint="cs"/>
                <w:color w:val="000000"/>
                <w:rtl/>
              </w:rPr>
              <w:t>0:43-</w:t>
            </w:r>
          </w:p>
        </w:tc>
      </w:tr>
      <w:tr w:rsidR="007D380E" w:rsidRPr="00110A21" w14:paraId="7DE7699D"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254E06AF" w14:textId="77777777" w:rsidR="007D380E" w:rsidRPr="00110A21" w:rsidRDefault="007D380E" w:rsidP="007D380E">
            <w:pPr>
              <w:spacing w:after="0" w:line="240" w:lineRule="auto"/>
              <w:rPr>
                <w:rFonts w:ascii="David" w:hAnsi="David" w:cs="David"/>
                <w:color w:val="000000"/>
                <w:rtl/>
              </w:rPr>
            </w:pPr>
            <w:r w:rsidRPr="00110A21">
              <w:rPr>
                <w:rFonts w:ascii="David" w:hAnsi="David" w:cs="David"/>
                <w:color w:val="000000"/>
                <w:rtl/>
              </w:rPr>
              <w:t>שלום</w:t>
            </w:r>
          </w:p>
        </w:tc>
        <w:tc>
          <w:tcPr>
            <w:tcW w:w="992" w:type="dxa"/>
            <w:tcBorders>
              <w:top w:val="single" w:sz="4" w:space="0" w:color="auto"/>
              <w:bottom w:val="single" w:sz="4" w:space="0" w:color="auto"/>
            </w:tcBorders>
            <w:shd w:val="clear" w:color="auto" w:fill="D9D9D9"/>
            <w:noWrap/>
            <w:vAlign w:val="center"/>
          </w:tcPr>
          <w:p w14:paraId="3D6330EE" w14:textId="77777777" w:rsidR="007D380E" w:rsidRPr="00110A21" w:rsidRDefault="007D380E" w:rsidP="007D380E">
            <w:pPr>
              <w:spacing w:after="0" w:line="240" w:lineRule="auto"/>
              <w:rPr>
                <w:rFonts w:ascii="David" w:hAnsi="David" w:cs="David"/>
                <w:color w:val="000000"/>
                <w:rtl/>
              </w:rPr>
            </w:pPr>
            <w:r w:rsidRPr="00110A21">
              <w:rPr>
                <w:rFonts w:ascii="David" w:hAnsi="David" w:cs="David"/>
                <w:color w:val="000000"/>
                <w:rtl/>
              </w:rPr>
              <w:t>אזרחי</w:t>
            </w:r>
          </w:p>
        </w:tc>
        <w:tc>
          <w:tcPr>
            <w:tcW w:w="2121" w:type="dxa"/>
            <w:tcBorders>
              <w:top w:val="single" w:sz="4" w:space="0" w:color="auto"/>
              <w:bottom w:val="single" w:sz="4" w:space="0" w:color="auto"/>
            </w:tcBorders>
            <w:shd w:val="clear" w:color="auto" w:fill="D9D9D9"/>
            <w:vAlign w:val="center"/>
          </w:tcPr>
          <w:p w14:paraId="2158EDA2" w14:textId="77777777" w:rsidR="007D380E" w:rsidRPr="00110A21" w:rsidRDefault="007D380E" w:rsidP="007D380E">
            <w:pPr>
              <w:spacing w:after="0" w:line="240" w:lineRule="auto"/>
              <w:rPr>
                <w:rFonts w:ascii="David" w:hAnsi="David" w:cs="David"/>
                <w:color w:val="000000"/>
                <w:rtl/>
              </w:rPr>
            </w:pPr>
            <w:r w:rsidRPr="00110A21">
              <w:rPr>
                <w:rFonts w:ascii="David" w:hAnsi="David" w:cs="David"/>
                <w:color w:val="000000"/>
                <w:rtl/>
              </w:rPr>
              <w:t>תיק אזרחי בסדר דין מהיר</w:t>
            </w:r>
            <w:r w:rsidRPr="00110A21">
              <w:rPr>
                <w:rFonts w:ascii="David" w:hAnsi="David" w:cs="David" w:hint="cs"/>
                <w:color w:val="000000"/>
                <w:rtl/>
              </w:rPr>
              <w:t xml:space="preserve"> (תא"מ) - </w:t>
            </w:r>
            <w:r w:rsidRPr="00110A21">
              <w:rPr>
                <w:rFonts w:ascii="David" w:hAnsi="David" w:cs="David"/>
                <w:color w:val="000000"/>
                <w:rtl/>
              </w:rPr>
              <w:t>נזקי רכוש רכב</w:t>
            </w:r>
          </w:p>
        </w:tc>
        <w:tc>
          <w:tcPr>
            <w:tcW w:w="1417" w:type="dxa"/>
            <w:tcBorders>
              <w:top w:val="single" w:sz="4" w:space="0" w:color="auto"/>
              <w:bottom w:val="single" w:sz="4" w:space="0" w:color="auto"/>
            </w:tcBorders>
            <w:shd w:val="clear" w:color="auto" w:fill="D9D9D9"/>
            <w:vAlign w:val="center"/>
          </w:tcPr>
          <w:p w14:paraId="6BA12B27" w14:textId="77777777" w:rsidR="007D380E" w:rsidRPr="00110A21" w:rsidRDefault="007D380E" w:rsidP="007D380E">
            <w:pPr>
              <w:spacing w:after="0" w:line="240" w:lineRule="auto"/>
              <w:jc w:val="center"/>
              <w:rPr>
                <w:rFonts w:ascii="David" w:hAnsi="David" w:cs="David"/>
                <w:color w:val="000000"/>
              </w:rPr>
            </w:pPr>
            <w:r w:rsidRPr="00110A21">
              <w:rPr>
                <w:rFonts w:ascii="David" w:hAnsi="David" w:cs="David"/>
                <w:color w:val="000000"/>
              </w:rPr>
              <w:t>47,517</w:t>
            </w:r>
          </w:p>
        </w:tc>
        <w:tc>
          <w:tcPr>
            <w:tcW w:w="1418" w:type="dxa"/>
            <w:tcBorders>
              <w:top w:val="single" w:sz="4" w:space="0" w:color="auto"/>
              <w:bottom w:val="single" w:sz="4" w:space="0" w:color="auto"/>
            </w:tcBorders>
            <w:shd w:val="clear" w:color="auto" w:fill="D9D9D9"/>
            <w:noWrap/>
            <w:vAlign w:val="center"/>
          </w:tcPr>
          <w:p w14:paraId="21016610" w14:textId="77777777" w:rsidR="007D380E" w:rsidRPr="00110A21" w:rsidRDefault="007D380E" w:rsidP="007D380E">
            <w:pPr>
              <w:spacing w:after="0" w:line="240" w:lineRule="auto"/>
              <w:jc w:val="center"/>
              <w:rPr>
                <w:rFonts w:ascii="David" w:hAnsi="David" w:cs="David"/>
                <w:b/>
                <w:bCs/>
                <w:color w:val="000000"/>
              </w:rPr>
            </w:pPr>
            <w:r w:rsidRPr="00110A21">
              <w:rPr>
                <w:rFonts w:ascii="David" w:hAnsi="David" w:cs="David"/>
                <w:b/>
                <w:bCs/>
                <w:color w:val="000000"/>
              </w:rPr>
              <w:t>0:57</w:t>
            </w:r>
          </w:p>
        </w:tc>
        <w:tc>
          <w:tcPr>
            <w:tcW w:w="1559" w:type="dxa"/>
            <w:tcBorders>
              <w:top w:val="single" w:sz="4" w:space="0" w:color="auto"/>
              <w:bottom w:val="single" w:sz="4" w:space="0" w:color="auto"/>
            </w:tcBorders>
            <w:shd w:val="clear" w:color="auto" w:fill="D9D9D9"/>
            <w:vAlign w:val="center"/>
          </w:tcPr>
          <w:p w14:paraId="4DB5470F" w14:textId="77777777" w:rsidR="007D380E" w:rsidRPr="00110A21" w:rsidRDefault="007D380E" w:rsidP="007D380E">
            <w:pPr>
              <w:spacing w:after="0" w:line="240" w:lineRule="auto"/>
              <w:jc w:val="center"/>
              <w:rPr>
                <w:rFonts w:ascii="David" w:hAnsi="David" w:cs="David"/>
                <w:color w:val="000000"/>
              </w:rPr>
            </w:pPr>
            <w:r w:rsidRPr="00110A21">
              <w:rPr>
                <w:rFonts w:ascii="David" w:hAnsi="David" w:cs="David" w:hint="cs"/>
                <w:color w:val="000000"/>
                <w:rtl/>
              </w:rPr>
              <w:t>-</w:t>
            </w:r>
          </w:p>
        </w:tc>
        <w:tc>
          <w:tcPr>
            <w:tcW w:w="850" w:type="dxa"/>
            <w:tcBorders>
              <w:top w:val="single" w:sz="4" w:space="0" w:color="auto"/>
              <w:bottom w:val="single" w:sz="4" w:space="0" w:color="auto"/>
            </w:tcBorders>
            <w:shd w:val="clear" w:color="auto" w:fill="D9D9D9"/>
            <w:vAlign w:val="center"/>
          </w:tcPr>
          <w:p w14:paraId="3E73DCB9" w14:textId="77777777" w:rsidR="007D380E" w:rsidRPr="00110A21" w:rsidRDefault="007D380E" w:rsidP="007D380E">
            <w:pPr>
              <w:spacing w:after="0" w:line="240" w:lineRule="auto"/>
              <w:jc w:val="center"/>
              <w:rPr>
                <w:rFonts w:ascii="David" w:hAnsi="David" w:cs="David"/>
                <w:color w:val="000000"/>
                <w:rtl/>
              </w:rPr>
            </w:pPr>
            <w:r w:rsidRPr="00110A21">
              <w:rPr>
                <w:rFonts w:ascii="David" w:hAnsi="David" w:cs="David" w:hint="cs"/>
                <w:color w:val="000000"/>
                <w:rtl/>
              </w:rPr>
              <w:t>-</w:t>
            </w:r>
          </w:p>
        </w:tc>
      </w:tr>
      <w:tr w:rsidR="007D380E" w:rsidRPr="00110A21" w14:paraId="647B9F79"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31CBA605" w14:textId="77777777" w:rsidR="007D380E" w:rsidRPr="00110A21" w:rsidRDefault="007D380E" w:rsidP="007D380E">
            <w:pPr>
              <w:spacing w:after="0" w:line="240" w:lineRule="auto"/>
              <w:rPr>
                <w:rFonts w:ascii="David" w:hAnsi="David" w:cs="David"/>
                <w:color w:val="000000"/>
                <w:rtl/>
              </w:rPr>
            </w:pPr>
            <w:r w:rsidRPr="00110A21">
              <w:rPr>
                <w:rFonts w:ascii="David" w:hAnsi="David" w:cs="David"/>
                <w:color w:val="000000"/>
                <w:rtl/>
              </w:rPr>
              <w:t>שלום</w:t>
            </w:r>
          </w:p>
        </w:tc>
        <w:tc>
          <w:tcPr>
            <w:tcW w:w="992" w:type="dxa"/>
            <w:tcBorders>
              <w:top w:val="single" w:sz="4" w:space="0" w:color="auto"/>
              <w:bottom w:val="single" w:sz="4" w:space="0" w:color="auto"/>
            </w:tcBorders>
            <w:shd w:val="clear" w:color="auto" w:fill="auto"/>
            <w:noWrap/>
            <w:vAlign w:val="center"/>
          </w:tcPr>
          <w:p w14:paraId="6CACDC90" w14:textId="77777777" w:rsidR="007D380E" w:rsidRPr="00110A21" w:rsidRDefault="007D380E" w:rsidP="007D380E">
            <w:pPr>
              <w:spacing w:after="0" w:line="240" w:lineRule="auto"/>
              <w:rPr>
                <w:rFonts w:ascii="David" w:hAnsi="David" w:cs="David"/>
                <w:color w:val="000000"/>
                <w:rtl/>
              </w:rPr>
            </w:pPr>
            <w:r w:rsidRPr="00110A21">
              <w:rPr>
                <w:rFonts w:ascii="David" w:hAnsi="David" w:cs="David"/>
                <w:color w:val="000000"/>
                <w:rtl/>
              </w:rPr>
              <w:t>אזרחי</w:t>
            </w:r>
          </w:p>
        </w:tc>
        <w:tc>
          <w:tcPr>
            <w:tcW w:w="2121" w:type="dxa"/>
            <w:tcBorders>
              <w:top w:val="single" w:sz="4" w:space="0" w:color="auto"/>
              <w:bottom w:val="single" w:sz="4" w:space="0" w:color="auto"/>
            </w:tcBorders>
            <w:shd w:val="clear" w:color="auto" w:fill="auto"/>
            <w:vAlign w:val="center"/>
          </w:tcPr>
          <w:p w14:paraId="3E967CD8" w14:textId="77777777" w:rsidR="007D380E" w:rsidRPr="00110A21" w:rsidRDefault="007D380E" w:rsidP="007D380E">
            <w:pPr>
              <w:spacing w:after="0" w:line="240" w:lineRule="auto"/>
              <w:rPr>
                <w:rFonts w:ascii="David" w:hAnsi="David" w:cs="David"/>
                <w:color w:val="000000"/>
                <w:rtl/>
              </w:rPr>
            </w:pPr>
            <w:r w:rsidRPr="00110A21">
              <w:rPr>
                <w:rFonts w:ascii="David" w:hAnsi="David" w:cs="David"/>
                <w:color w:val="000000"/>
                <w:rtl/>
              </w:rPr>
              <w:t>ביצוע תביעה בהוצאה לפועל (ת"ת)</w:t>
            </w:r>
          </w:p>
        </w:tc>
        <w:tc>
          <w:tcPr>
            <w:tcW w:w="1417" w:type="dxa"/>
            <w:tcBorders>
              <w:top w:val="single" w:sz="4" w:space="0" w:color="auto"/>
              <w:bottom w:val="single" w:sz="4" w:space="0" w:color="auto"/>
            </w:tcBorders>
            <w:vAlign w:val="center"/>
          </w:tcPr>
          <w:p w14:paraId="2E40401D" w14:textId="77777777" w:rsidR="007D380E" w:rsidRPr="00110A21" w:rsidRDefault="007D380E" w:rsidP="007D380E">
            <w:pPr>
              <w:spacing w:after="0" w:line="240" w:lineRule="auto"/>
              <w:jc w:val="center"/>
              <w:rPr>
                <w:rFonts w:ascii="David" w:hAnsi="David" w:cs="David"/>
                <w:color w:val="000000"/>
                <w:rtl/>
              </w:rPr>
            </w:pPr>
            <w:r w:rsidRPr="00110A21">
              <w:rPr>
                <w:rFonts w:ascii="David" w:hAnsi="David" w:cs="David"/>
                <w:color w:val="000000"/>
              </w:rPr>
              <w:t>4,510</w:t>
            </w:r>
          </w:p>
        </w:tc>
        <w:tc>
          <w:tcPr>
            <w:tcW w:w="1418" w:type="dxa"/>
            <w:tcBorders>
              <w:top w:val="single" w:sz="4" w:space="0" w:color="auto"/>
              <w:bottom w:val="single" w:sz="4" w:space="0" w:color="auto"/>
            </w:tcBorders>
            <w:shd w:val="clear" w:color="auto" w:fill="auto"/>
            <w:noWrap/>
            <w:vAlign w:val="center"/>
          </w:tcPr>
          <w:p w14:paraId="71E8639C" w14:textId="77777777" w:rsidR="007D380E" w:rsidRPr="00110A21" w:rsidRDefault="007D380E" w:rsidP="007D380E">
            <w:pPr>
              <w:spacing w:after="0" w:line="240" w:lineRule="auto"/>
              <w:jc w:val="center"/>
              <w:rPr>
                <w:rFonts w:ascii="David" w:hAnsi="David" w:cs="David"/>
                <w:b/>
                <w:bCs/>
                <w:color w:val="000000"/>
                <w:rtl/>
              </w:rPr>
            </w:pPr>
            <w:r w:rsidRPr="00110A21">
              <w:rPr>
                <w:rFonts w:ascii="David" w:hAnsi="David" w:cs="David"/>
                <w:b/>
                <w:bCs/>
                <w:color w:val="000000"/>
              </w:rPr>
              <w:t>0:55</w:t>
            </w:r>
          </w:p>
        </w:tc>
        <w:tc>
          <w:tcPr>
            <w:tcW w:w="1559" w:type="dxa"/>
            <w:tcBorders>
              <w:top w:val="single" w:sz="4" w:space="0" w:color="auto"/>
              <w:bottom w:val="single" w:sz="4" w:space="0" w:color="auto"/>
            </w:tcBorders>
            <w:shd w:val="clear" w:color="auto" w:fill="auto"/>
            <w:vAlign w:val="center"/>
          </w:tcPr>
          <w:p w14:paraId="7B425805" w14:textId="77777777" w:rsidR="007D380E" w:rsidRPr="00110A21" w:rsidRDefault="007D380E" w:rsidP="007D380E">
            <w:pPr>
              <w:spacing w:after="0" w:line="240" w:lineRule="auto"/>
              <w:jc w:val="center"/>
              <w:rPr>
                <w:rFonts w:ascii="David" w:hAnsi="David" w:cs="David"/>
                <w:color w:val="000000"/>
              </w:rPr>
            </w:pPr>
            <w:r w:rsidRPr="00110A21">
              <w:rPr>
                <w:rFonts w:ascii="David" w:hAnsi="David" w:cs="David"/>
                <w:color w:val="000000"/>
              </w:rPr>
              <w:t>1:21</w:t>
            </w:r>
          </w:p>
        </w:tc>
        <w:tc>
          <w:tcPr>
            <w:tcW w:w="850" w:type="dxa"/>
            <w:tcBorders>
              <w:top w:val="single" w:sz="4" w:space="0" w:color="auto"/>
              <w:bottom w:val="single" w:sz="4" w:space="0" w:color="auto"/>
            </w:tcBorders>
            <w:shd w:val="clear" w:color="auto" w:fill="auto"/>
            <w:vAlign w:val="center"/>
          </w:tcPr>
          <w:p w14:paraId="3B37BDDD" w14:textId="77777777" w:rsidR="007D380E" w:rsidRPr="00110A21" w:rsidRDefault="007D380E" w:rsidP="007D380E">
            <w:pPr>
              <w:spacing w:after="0" w:line="240" w:lineRule="auto"/>
              <w:jc w:val="center"/>
              <w:rPr>
                <w:rFonts w:ascii="David" w:hAnsi="David" w:cs="David"/>
                <w:color w:val="000000"/>
              </w:rPr>
            </w:pPr>
            <w:r w:rsidRPr="00110A21">
              <w:rPr>
                <w:rFonts w:ascii="David" w:hAnsi="David" w:cs="David" w:hint="cs"/>
                <w:color w:val="000000"/>
                <w:rtl/>
              </w:rPr>
              <w:t>0:27-</w:t>
            </w:r>
          </w:p>
        </w:tc>
      </w:tr>
      <w:tr w:rsidR="007D380E" w:rsidRPr="00110A21" w14:paraId="04489CE8"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75A1DD24" w14:textId="77777777" w:rsidR="007D380E" w:rsidRPr="00110A21" w:rsidRDefault="007D380E" w:rsidP="007D380E">
            <w:pPr>
              <w:spacing w:after="0" w:line="240" w:lineRule="auto"/>
              <w:rPr>
                <w:rFonts w:ascii="David" w:hAnsi="David" w:cs="David"/>
                <w:color w:val="000000"/>
                <w:rtl/>
              </w:rPr>
            </w:pPr>
            <w:r w:rsidRPr="00110A21">
              <w:rPr>
                <w:rFonts w:ascii="David" w:hAnsi="David" w:cs="David"/>
                <w:color w:val="000000"/>
                <w:rtl/>
              </w:rPr>
              <w:t>שלום</w:t>
            </w:r>
          </w:p>
        </w:tc>
        <w:tc>
          <w:tcPr>
            <w:tcW w:w="992" w:type="dxa"/>
            <w:tcBorders>
              <w:top w:val="single" w:sz="4" w:space="0" w:color="auto"/>
              <w:bottom w:val="single" w:sz="4" w:space="0" w:color="auto"/>
            </w:tcBorders>
            <w:shd w:val="clear" w:color="auto" w:fill="D9D9D9"/>
            <w:noWrap/>
            <w:vAlign w:val="center"/>
          </w:tcPr>
          <w:p w14:paraId="5DAD9567" w14:textId="77777777" w:rsidR="007D380E" w:rsidRPr="00110A21" w:rsidRDefault="007D380E" w:rsidP="007D380E">
            <w:pPr>
              <w:spacing w:after="0" w:line="240" w:lineRule="auto"/>
              <w:rPr>
                <w:rFonts w:ascii="David" w:hAnsi="David" w:cs="David"/>
                <w:color w:val="000000"/>
                <w:rtl/>
              </w:rPr>
            </w:pPr>
            <w:r w:rsidRPr="00110A21">
              <w:rPr>
                <w:rFonts w:ascii="David" w:hAnsi="David" w:cs="David"/>
                <w:color w:val="000000"/>
                <w:rtl/>
              </w:rPr>
              <w:t>אזרחי</w:t>
            </w:r>
          </w:p>
        </w:tc>
        <w:tc>
          <w:tcPr>
            <w:tcW w:w="2121" w:type="dxa"/>
            <w:tcBorders>
              <w:top w:val="single" w:sz="4" w:space="0" w:color="auto"/>
              <w:bottom w:val="single" w:sz="4" w:space="0" w:color="auto"/>
            </w:tcBorders>
            <w:shd w:val="clear" w:color="auto" w:fill="D9D9D9"/>
            <w:vAlign w:val="center"/>
          </w:tcPr>
          <w:p w14:paraId="67497CD6" w14:textId="77777777" w:rsidR="007D380E" w:rsidRPr="00110A21" w:rsidRDefault="007D380E" w:rsidP="007D380E">
            <w:pPr>
              <w:spacing w:after="0" w:line="240" w:lineRule="auto"/>
              <w:rPr>
                <w:rFonts w:ascii="David" w:hAnsi="David" w:cs="David"/>
                <w:color w:val="000000"/>
                <w:rtl/>
              </w:rPr>
            </w:pPr>
            <w:r w:rsidRPr="00110A21">
              <w:rPr>
                <w:rFonts w:ascii="David" w:hAnsi="David" w:cs="David"/>
                <w:color w:val="000000"/>
                <w:rtl/>
              </w:rPr>
              <w:t>תיק אזרחי בסדר דין מקוצר (תא"ק)</w:t>
            </w:r>
          </w:p>
        </w:tc>
        <w:tc>
          <w:tcPr>
            <w:tcW w:w="1417" w:type="dxa"/>
            <w:tcBorders>
              <w:top w:val="single" w:sz="4" w:space="0" w:color="auto"/>
              <w:bottom w:val="single" w:sz="4" w:space="0" w:color="auto"/>
            </w:tcBorders>
            <w:shd w:val="clear" w:color="auto" w:fill="D9D9D9"/>
            <w:vAlign w:val="center"/>
          </w:tcPr>
          <w:p w14:paraId="09471794" w14:textId="77777777" w:rsidR="007D380E" w:rsidRPr="00110A21" w:rsidRDefault="007D380E" w:rsidP="007D380E">
            <w:pPr>
              <w:spacing w:after="0" w:line="240" w:lineRule="auto"/>
              <w:jc w:val="center"/>
              <w:rPr>
                <w:rFonts w:ascii="David" w:hAnsi="David" w:cs="David"/>
                <w:color w:val="000000"/>
              </w:rPr>
            </w:pPr>
            <w:r w:rsidRPr="00110A21">
              <w:rPr>
                <w:rFonts w:ascii="David" w:hAnsi="David" w:cs="David"/>
                <w:color w:val="000000"/>
              </w:rPr>
              <w:t>21,455</w:t>
            </w:r>
          </w:p>
        </w:tc>
        <w:tc>
          <w:tcPr>
            <w:tcW w:w="1418" w:type="dxa"/>
            <w:tcBorders>
              <w:top w:val="single" w:sz="4" w:space="0" w:color="auto"/>
              <w:bottom w:val="single" w:sz="4" w:space="0" w:color="auto"/>
            </w:tcBorders>
            <w:shd w:val="clear" w:color="auto" w:fill="D9D9D9"/>
            <w:noWrap/>
            <w:vAlign w:val="center"/>
          </w:tcPr>
          <w:p w14:paraId="07604995" w14:textId="77777777" w:rsidR="007D380E" w:rsidRPr="00110A21" w:rsidRDefault="007D380E" w:rsidP="007D380E">
            <w:pPr>
              <w:spacing w:after="0" w:line="240" w:lineRule="auto"/>
              <w:jc w:val="center"/>
              <w:rPr>
                <w:rFonts w:ascii="David" w:hAnsi="David" w:cs="David"/>
                <w:b/>
                <w:bCs/>
                <w:color w:val="000000"/>
              </w:rPr>
            </w:pPr>
            <w:r w:rsidRPr="00110A21">
              <w:rPr>
                <w:rFonts w:ascii="David" w:hAnsi="David" w:cs="David"/>
                <w:b/>
                <w:bCs/>
                <w:color w:val="000000"/>
              </w:rPr>
              <w:t>0:55</w:t>
            </w:r>
          </w:p>
        </w:tc>
        <w:tc>
          <w:tcPr>
            <w:tcW w:w="1559" w:type="dxa"/>
            <w:tcBorders>
              <w:top w:val="single" w:sz="4" w:space="0" w:color="auto"/>
              <w:bottom w:val="single" w:sz="4" w:space="0" w:color="auto"/>
            </w:tcBorders>
            <w:shd w:val="clear" w:color="auto" w:fill="D9D9D9"/>
            <w:vAlign w:val="center"/>
          </w:tcPr>
          <w:p w14:paraId="13F3912E" w14:textId="77777777" w:rsidR="007D380E" w:rsidRPr="00110A21" w:rsidRDefault="007D380E" w:rsidP="007D380E">
            <w:pPr>
              <w:spacing w:after="0" w:line="240" w:lineRule="auto"/>
              <w:jc w:val="center"/>
              <w:rPr>
                <w:rFonts w:ascii="David" w:hAnsi="David" w:cs="David"/>
                <w:color w:val="000000"/>
              </w:rPr>
            </w:pPr>
            <w:r w:rsidRPr="00110A21">
              <w:rPr>
                <w:rFonts w:ascii="David" w:hAnsi="David" w:cs="David"/>
                <w:color w:val="000000"/>
              </w:rPr>
              <w:t>1:04</w:t>
            </w:r>
          </w:p>
        </w:tc>
        <w:tc>
          <w:tcPr>
            <w:tcW w:w="850" w:type="dxa"/>
            <w:tcBorders>
              <w:top w:val="single" w:sz="4" w:space="0" w:color="auto"/>
              <w:bottom w:val="single" w:sz="4" w:space="0" w:color="auto"/>
            </w:tcBorders>
            <w:shd w:val="clear" w:color="auto" w:fill="D9D9D9"/>
            <w:vAlign w:val="center"/>
          </w:tcPr>
          <w:p w14:paraId="02154018" w14:textId="77777777" w:rsidR="007D380E" w:rsidRPr="00110A21" w:rsidRDefault="007D380E" w:rsidP="007D380E">
            <w:pPr>
              <w:spacing w:after="0" w:line="240" w:lineRule="auto"/>
              <w:jc w:val="center"/>
              <w:rPr>
                <w:rFonts w:ascii="David" w:hAnsi="David" w:cs="David"/>
                <w:color w:val="000000"/>
              </w:rPr>
            </w:pPr>
            <w:r w:rsidRPr="00110A21">
              <w:rPr>
                <w:rFonts w:ascii="David" w:hAnsi="David" w:cs="David" w:hint="cs"/>
                <w:color w:val="000000"/>
                <w:rtl/>
              </w:rPr>
              <w:t>0:09 -</w:t>
            </w:r>
          </w:p>
        </w:tc>
      </w:tr>
    </w:tbl>
    <w:p w14:paraId="70B82EFF" w14:textId="0CE78926" w:rsidR="00DD5068" w:rsidRDefault="00DD5068" w:rsidP="00840519">
      <w:pPr>
        <w:jc w:val="center"/>
        <w:rPr>
          <w:rFonts w:ascii="David" w:hAnsi="David" w:cs="David"/>
          <w:b/>
          <w:bCs/>
          <w:sz w:val="24"/>
          <w:szCs w:val="24"/>
          <w:u w:val="single"/>
          <w:rtl/>
        </w:rPr>
      </w:pPr>
    </w:p>
    <w:p w14:paraId="29852E54" w14:textId="77777777" w:rsidR="00110A21" w:rsidRPr="00F25744" w:rsidRDefault="00110A21" w:rsidP="00840519">
      <w:pPr>
        <w:jc w:val="center"/>
        <w:rPr>
          <w:rFonts w:ascii="David" w:hAnsi="David" w:cs="David"/>
          <w:b/>
          <w:bCs/>
          <w:sz w:val="24"/>
          <w:szCs w:val="24"/>
          <w:u w:val="single"/>
          <w:rtl/>
        </w:rPr>
      </w:pPr>
    </w:p>
    <w:p w14:paraId="64EFDEBE" w14:textId="77777777" w:rsidR="00DD5068" w:rsidRPr="00F25744" w:rsidRDefault="00E25AE7" w:rsidP="00A54D82">
      <w:pPr>
        <w:pStyle w:val="5"/>
        <w:spacing w:line="240" w:lineRule="auto"/>
        <w:ind w:left="1561"/>
        <w:rPr>
          <w:rtl/>
        </w:rPr>
      </w:pPr>
      <w:bookmarkStart w:id="498" w:name="_Toc46226068"/>
      <w:bookmarkStart w:id="499" w:name="_Toc46226212"/>
      <w:bookmarkStart w:id="500" w:name="_Toc46228379"/>
      <w:bookmarkStart w:id="501" w:name="_Toc46228477"/>
      <w:bookmarkStart w:id="502" w:name="_Toc46230404"/>
      <w:bookmarkStart w:id="503" w:name="_Toc46230502"/>
      <w:bookmarkStart w:id="504" w:name="_Toc46310392"/>
      <w:bookmarkStart w:id="505" w:name="_Toc46414034"/>
      <w:bookmarkStart w:id="506" w:name="_Toc74750996"/>
      <w:r w:rsidRPr="00F25744">
        <w:rPr>
          <w:rFonts w:hint="cs"/>
          <w:rtl/>
        </w:rPr>
        <w:t>זמני הטיפול בתיקים פליליים בערכאת השלום</w:t>
      </w:r>
      <w:bookmarkEnd w:id="498"/>
      <w:bookmarkEnd w:id="499"/>
      <w:bookmarkEnd w:id="500"/>
      <w:bookmarkEnd w:id="501"/>
      <w:bookmarkEnd w:id="502"/>
      <w:bookmarkEnd w:id="503"/>
      <w:bookmarkEnd w:id="504"/>
      <w:bookmarkEnd w:id="505"/>
      <w:bookmarkEnd w:id="506"/>
    </w:p>
    <w:p w14:paraId="61410227" w14:textId="77777777" w:rsidR="00BA3224" w:rsidRPr="00F25744" w:rsidRDefault="00BA3224" w:rsidP="00BA3224">
      <w:pPr>
        <w:pStyle w:val="af6"/>
        <w:spacing w:after="0" w:line="240" w:lineRule="auto"/>
        <w:rPr>
          <w:rtl/>
        </w:rPr>
      </w:pPr>
    </w:p>
    <w:p w14:paraId="15FC77EC" w14:textId="4ABBE5F6" w:rsidR="00DD5068" w:rsidRPr="00F25744" w:rsidRDefault="00E25AE7" w:rsidP="00706796">
      <w:pPr>
        <w:pStyle w:val="af6"/>
        <w:rPr>
          <w:rFonts w:ascii="David" w:hAnsi="David"/>
          <w:sz w:val="24"/>
          <w:rtl/>
        </w:rPr>
      </w:pPr>
      <w:bookmarkStart w:id="507" w:name="_Toc76988906"/>
      <w:r w:rsidRPr="00F25744">
        <w:rPr>
          <w:rtl/>
        </w:rPr>
        <w:t xml:space="preserve">טבלה </w:t>
      </w:r>
      <w:r w:rsidRPr="00F25744">
        <w:rPr>
          <w:rFonts w:ascii="David" w:hAnsi="David"/>
          <w:sz w:val="24"/>
          <w:rtl/>
        </w:rPr>
        <w:fldChar w:fldCharType="begin"/>
      </w:r>
      <w:r w:rsidRPr="00F25744">
        <w:rPr>
          <w:rFonts w:ascii="David" w:hAnsi="David"/>
          <w:sz w:val="24"/>
          <w:rtl/>
        </w:rPr>
        <w:instrText xml:space="preserve"> </w:instrText>
      </w:r>
      <w:r w:rsidRPr="00F25744">
        <w:rPr>
          <w:rFonts w:ascii="David" w:hAnsi="David" w:hint="cs"/>
          <w:sz w:val="24"/>
        </w:rPr>
        <w:instrText>SEQ</w:instrText>
      </w:r>
      <w:r w:rsidRPr="00F25744">
        <w:rPr>
          <w:rFonts w:ascii="David" w:hAnsi="David" w:hint="cs"/>
          <w:sz w:val="24"/>
          <w:rtl/>
        </w:rPr>
        <w:instrText xml:space="preserve"> טבלה \* </w:instrText>
      </w:r>
      <w:r w:rsidRPr="00F25744">
        <w:rPr>
          <w:rFonts w:ascii="David" w:hAnsi="David" w:hint="cs"/>
          <w:sz w:val="24"/>
        </w:rPr>
        <w:instrText>ARABIC</w:instrText>
      </w:r>
      <w:r w:rsidRPr="00F25744">
        <w:rPr>
          <w:rFonts w:ascii="David" w:hAnsi="David"/>
          <w:sz w:val="24"/>
          <w:rtl/>
        </w:rPr>
        <w:instrText xml:space="preserve"> </w:instrText>
      </w:r>
      <w:r w:rsidRPr="00F25744">
        <w:rPr>
          <w:rFonts w:ascii="David" w:hAnsi="David"/>
          <w:sz w:val="24"/>
          <w:rtl/>
        </w:rPr>
        <w:fldChar w:fldCharType="separate"/>
      </w:r>
      <w:r w:rsidR="008F1BC3">
        <w:rPr>
          <w:rFonts w:ascii="David" w:hAnsi="David"/>
          <w:noProof/>
          <w:sz w:val="24"/>
          <w:rtl/>
        </w:rPr>
        <w:t>11</w:t>
      </w:r>
      <w:r w:rsidRPr="00F25744">
        <w:rPr>
          <w:rFonts w:ascii="David" w:hAnsi="David"/>
          <w:sz w:val="24"/>
          <w:rtl/>
        </w:rPr>
        <w:fldChar w:fldCharType="end"/>
      </w:r>
      <w:r w:rsidR="007F3A52" w:rsidRPr="00F25744">
        <w:rPr>
          <w:rFonts w:ascii="David" w:hAnsi="David" w:hint="cs"/>
          <w:sz w:val="24"/>
          <w:rtl/>
        </w:rPr>
        <w:t>: זמני הטיפול בתיקים פליליים בערכאת השלום</w:t>
      </w:r>
      <w:bookmarkEnd w:id="507"/>
    </w:p>
    <w:tbl>
      <w:tblPr>
        <w:tblpPr w:rightFromText="85" w:vertAnchor="text" w:tblpXSpec="right" w:tblpY="1"/>
        <w:bidiVisual/>
        <w:tblW w:w="9204" w:type="dxa"/>
        <w:tblLayout w:type="fixed"/>
        <w:tblLook w:val="04A0" w:firstRow="1" w:lastRow="0" w:firstColumn="1" w:lastColumn="0" w:noHBand="0" w:noVBand="1"/>
      </w:tblPr>
      <w:tblGrid>
        <w:gridCol w:w="847"/>
        <w:gridCol w:w="992"/>
        <w:gridCol w:w="2262"/>
        <w:gridCol w:w="1276"/>
        <w:gridCol w:w="1418"/>
        <w:gridCol w:w="1417"/>
        <w:gridCol w:w="992"/>
      </w:tblGrid>
      <w:tr w:rsidR="00E0162E" w:rsidRPr="00127C6A" w14:paraId="179A654D" w14:textId="77777777" w:rsidTr="007D380E">
        <w:trPr>
          <w:trHeight w:val="558"/>
        </w:trPr>
        <w:tc>
          <w:tcPr>
            <w:tcW w:w="847" w:type="dxa"/>
            <w:tcBorders>
              <w:bottom w:val="single" w:sz="4" w:space="0" w:color="auto"/>
            </w:tcBorders>
            <w:shd w:val="clear" w:color="auto" w:fill="auto"/>
            <w:vAlign w:val="center"/>
            <w:hideMark/>
          </w:tcPr>
          <w:p w14:paraId="119165D7" w14:textId="77777777" w:rsidR="00181F76" w:rsidRPr="00127C6A" w:rsidRDefault="00E25AE7" w:rsidP="00FD0858">
            <w:pPr>
              <w:spacing w:after="0" w:line="240" w:lineRule="auto"/>
              <w:jc w:val="center"/>
              <w:rPr>
                <w:rFonts w:ascii="David" w:eastAsia="Times New Roman" w:hAnsi="David" w:cs="David"/>
                <w:b/>
                <w:bCs/>
                <w:color w:val="000000"/>
              </w:rPr>
            </w:pPr>
            <w:r w:rsidRPr="00127C6A">
              <w:rPr>
                <w:rFonts w:ascii="David" w:eastAsia="Times New Roman" w:hAnsi="David" w:cs="David"/>
                <w:b/>
                <w:bCs/>
                <w:color w:val="000000"/>
                <w:rtl/>
              </w:rPr>
              <w:t>ערכאה</w:t>
            </w:r>
          </w:p>
        </w:tc>
        <w:tc>
          <w:tcPr>
            <w:tcW w:w="992" w:type="dxa"/>
            <w:tcBorders>
              <w:bottom w:val="single" w:sz="4" w:space="0" w:color="auto"/>
            </w:tcBorders>
            <w:shd w:val="clear" w:color="auto" w:fill="auto"/>
            <w:vAlign w:val="center"/>
            <w:hideMark/>
          </w:tcPr>
          <w:p w14:paraId="11FC9910" w14:textId="77777777" w:rsidR="00181F76" w:rsidRPr="00127C6A" w:rsidRDefault="00E25AE7" w:rsidP="00FD0858">
            <w:pPr>
              <w:spacing w:after="0" w:line="240" w:lineRule="auto"/>
              <w:jc w:val="center"/>
              <w:rPr>
                <w:rFonts w:ascii="David" w:eastAsia="Times New Roman" w:hAnsi="David" w:cs="David"/>
                <w:b/>
                <w:bCs/>
                <w:color w:val="000000"/>
                <w:rtl/>
              </w:rPr>
            </w:pPr>
            <w:r w:rsidRPr="00127C6A">
              <w:rPr>
                <w:rFonts w:ascii="David" w:eastAsia="Times New Roman" w:hAnsi="David" w:cs="David"/>
                <w:b/>
                <w:bCs/>
                <w:color w:val="000000"/>
                <w:rtl/>
              </w:rPr>
              <w:t>הליך</w:t>
            </w:r>
          </w:p>
        </w:tc>
        <w:tc>
          <w:tcPr>
            <w:tcW w:w="2262" w:type="dxa"/>
            <w:tcBorders>
              <w:bottom w:val="single" w:sz="4" w:space="0" w:color="auto"/>
            </w:tcBorders>
            <w:shd w:val="clear" w:color="auto" w:fill="auto"/>
            <w:vAlign w:val="center"/>
            <w:hideMark/>
          </w:tcPr>
          <w:p w14:paraId="2288B7E2" w14:textId="77777777" w:rsidR="00181F76" w:rsidRPr="00127C6A" w:rsidRDefault="00E25AE7" w:rsidP="00FD0858">
            <w:pPr>
              <w:spacing w:after="0" w:line="240" w:lineRule="auto"/>
              <w:jc w:val="center"/>
              <w:rPr>
                <w:rFonts w:ascii="David" w:eastAsia="Times New Roman" w:hAnsi="David" w:cs="David"/>
                <w:b/>
                <w:bCs/>
                <w:color w:val="000000"/>
                <w:rtl/>
              </w:rPr>
            </w:pPr>
            <w:r w:rsidRPr="00127C6A">
              <w:rPr>
                <w:rFonts w:ascii="David" w:eastAsia="Times New Roman" w:hAnsi="David" w:cs="David"/>
                <w:b/>
                <w:bCs/>
                <w:color w:val="000000"/>
                <w:rtl/>
              </w:rPr>
              <w:t>סוג תיק</w:t>
            </w:r>
          </w:p>
        </w:tc>
        <w:tc>
          <w:tcPr>
            <w:tcW w:w="1276" w:type="dxa"/>
            <w:tcBorders>
              <w:bottom w:val="single" w:sz="4" w:space="0" w:color="auto"/>
            </w:tcBorders>
            <w:vAlign w:val="center"/>
          </w:tcPr>
          <w:p w14:paraId="72030E00" w14:textId="77777777" w:rsidR="00181F76" w:rsidRPr="00127C6A" w:rsidRDefault="00E25AE7" w:rsidP="00FD0858">
            <w:pPr>
              <w:spacing w:after="0" w:line="240" w:lineRule="auto"/>
              <w:jc w:val="center"/>
              <w:rPr>
                <w:rFonts w:ascii="David" w:eastAsia="Times New Roman" w:hAnsi="David" w:cs="David"/>
                <w:b/>
                <w:bCs/>
                <w:color w:val="000000"/>
                <w:rtl/>
              </w:rPr>
            </w:pPr>
            <w:r w:rsidRPr="00127C6A">
              <w:rPr>
                <w:rFonts w:ascii="David" w:eastAsia="Times New Roman" w:hAnsi="David" w:cs="David" w:hint="cs"/>
                <w:b/>
                <w:bCs/>
                <w:color w:val="000000"/>
                <w:rtl/>
              </w:rPr>
              <w:t>מספר תיקים שנסגרו ב-2019</w:t>
            </w:r>
          </w:p>
        </w:tc>
        <w:tc>
          <w:tcPr>
            <w:tcW w:w="1418" w:type="dxa"/>
            <w:tcBorders>
              <w:bottom w:val="single" w:sz="4" w:space="0" w:color="auto"/>
            </w:tcBorders>
            <w:shd w:val="clear" w:color="auto" w:fill="auto"/>
            <w:vAlign w:val="center"/>
            <w:hideMark/>
          </w:tcPr>
          <w:p w14:paraId="7A3CF8FA" w14:textId="77777777" w:rsidR="00181F76" w:rsidRPr="00127C6A" w:rsidRDefault="00E25AE7" w:rsidP="00FD0858">
            <w:pPr>
              <w:spacing w:after="0" w:line="240" w:lineRule="auto"/>
              <w:jc w:val="center"/>
              <w:rPr>
                <w:rFonts w:ascii="David" w:eastAsia="Times New Roman" w:hAnsi="David" w:cs="David"/>
                <w:b/>
                <w:bCs/>
                <w:color w:val="000000"/>
                <w:rtl/>
              </w:rPr>
            </w:pPr>
            <w:r w:rsidRPr="00127C6A">
              <w:rPr>
                <w:rFonts w:ascii="David" w:eastAsia="Times New Roman" w:hAnsi="David" w:cs="David"/>
                <w:b/>
                <w:bCs/>
                <w:color w:val="000000"/>
                <w:rtl/>
              </w:rPr>
              <w:t>הזמן השיפוטי הממוצע לט</w:t>
            </w:r>
            <w:r w:rsidRPr="00127C6A">
              <w:rPr>
                <w:rFonts w:ascii="David" w:eastAsia="Times New Roman" w:hAnsi="David" w:cs="David" w:hint="cs"/>
                <w:b/>
                <w:bCs/>
                <w:color w:val="000000"/>
                <w:rtl/>
              </w:rPr>
              <w:t>י</w:t>
            </w:r>
            <w:r w:rsidRPr="00127C6A">
              <w:rPr>
                <w:rFonts w:ascii="David" w:eastAsia="Times New Roman" w:hAnsi="David" w:cs="David"/>
                <w:b/>
                <w:bCs/>
                <w:color w:val="000000"/>
                <w:rtl/>
              </w:rPr>
              <w:t>פ</w:t>
            </w:r>
            <w:r w:rsidRPr="00127C6A">
              <w:rPr>
                <w:rFonts w:ascii="David" w:eastAsia="Times New Roman" w:hAnsi="David" w:cs="David" w:hint="cs"/>
                <w:b/>
                <w:bCs/>
                <w:color w:val="000000"/>
                <w:rtl/>
              </w:rPr>
              <w:t>ו</w:t>
            </w:r>
            <w:r w:rsidRPr="00127C6A">
              <w:rPr>
                <w:rFonts w:ascii="David" w:eastAsia="Times New Roman" w:hAnsi="David" w:cs="David"/>
                <w:b/>
                <w:bCs/>
                <w:color w:val="000000"/>
                <w:rtl/>
              </w:rPr>
              <w:t>ל בתיק</w:t>
            </w:r>
          </w:p>
        </w:tc>
        <w:tc>
          <w:tcPr>
            <w:tcW w:w="1417" w:type="dxa"/>
            <w:tcBorders>
              <w:bottom w:val="single" w:sz="4" w:space="0" w:color="auto"/>
            </w:tcBorders>
            <w:vAlign w:val="center"/>
          </w:tcPr>
          <w:p w14:paraId="10288D14" w14:textId="77777777" w:rsidR="00181F76" w:rsidRPr="00127C6A" w:rsidRDefault="00E25AE7" w:rsidP="00FD0858">
            <w:pPr>
              <w:spacing w:after="0" w:line="240" w:lineRule="auto"/>
              <w:jc w:val="center"/>
              <w:rPr>
                <w:rFonts w:ascii="David" w:eastAsia="Times New Roman" w:hAnsi="David" w:cs="David"/>
                <w:b/>
                <w:bCs/>
                <w:color w:val="000000"/>
                <w:rtl/>
              </w:rPr>
            </w:pPr>
            <w:r w:rsidRPr="00127C6A">
              <w:rPr>
                <w:rFonts w:ascii="David" w:eastAsia="Times New Roman" w:hAnsi="David" w:cs="David"/>
                <w:b/>
                <w:bCs/>
                <w:color w:val="000000"/>
                <w:rtl/>
              </w:rPr>
              <w:t xml:space="preserve">הזמן השיפוטי </w:t>
            </w:r>
            <w:r w:rsidRPr="00127C6A">
              <w:rPr>
                <w:rFonts w:ascii="David" w:eastAsia="Times New Roman" w:hAnsi="David" w:cs="David" w:hint="cs"/>
                <w:b/>
                <w:bCs/>
                <w:color w:val="000000"/>
                <w:rtl/>
              </w:rPr>
              <w:t xml:space="preserve">הממוצע </w:t>
            </w:r>
            <w:r w:rsidRPr="00127C6A">
              <w:rPr>
                <w:rFonts w:ascii="David" w:eastAsia="Times New Roman" w:hAnsi="David" w:cs="David"/>
                <w:b/>
                <w:bCs/>
                <w:color w:val="000000"/>
                <w:rtl/>
              </w:rPr>
              <w:t>לפי מחקר ה</w:t>
            </w:r>
            <w:r w:rsidRPr="00127C6A">
              <w:rPr>
                <w:rFonts w:ascii="David" w:eastAsia="Times New Roman" w:hAnsi="David" w:cs="David" w:hint="cs"/>
                <w:b/>
                <w:bCs/>
                <w:color w:val="000000"/>
                <w:rtl/>
              </w:rPr>
              <w:t>קודם</w:t>
            </w:r>
          </w:p>
        </w:tc>
        <w:tc>
          <w:tcPr>
            <w:tcW w:w="992" w:type="dxa"/>
            <w:tcBorders>
              <w:bottom w:val="single" w:sz="4" w:space="0" w:color="auto"/>
            </w:tcBorders>
            <w:vAlign w:val="center"/>
          </w:tcPr>
          <w:p w14:paraId="7EB8EE49" w14:textId="77777777" w:rsidR="00181F76" w:rsidRPr="00127C6A" w:rsidRDefault="00E25AE7" w:rsidP="00FD0858">
            <w:pPr>
              <w:spacing w:after="0" w:line="240" w:lineRule="auto"/>
              <w:jc w:val="center"/>
              <w:rPr>
                <w:rFonts w:ascii="David" w:eastAsia="Times New Roman" w:hAnsi="David" w:cs="David"/>
                <w:b/>
                <w:bCs/>
                <w:color w:val="000000"/>
                <w:rtl/>
              </w:rPr>
            </w:pPr>
            <w:r w:rsidRPr="00127C6A">
              <w:rPr>
                <w:rFonts w:ascii="David" w:eastAsia="Times New Roman" w:hAnsi="David" w:cs="David"/>
                <w:b/>
                <w:bCs/>
                <w:color w:val="000000"/>
                <w:rtl/>
              </w:rPr>
              <w:t xml:space="preserve">מגמת </w:t>
            </w:r>
            <w:r w:rsidRPr="00127C6A">
              <w:rPr>
                <w:rFonts w:ascii="David" w:eastAsia="Times New Roman" w:hAnsi="David" w:cs="David" w:hint="cs"/>
                <w:b/>
                <w:bCs/>
                <w:color w:val="000000"/>
                <w:rtl/>
              </w:rPr>
              <w:t>ה</w:t>
            </w:r>
            <w:r w:rsidRPr="00127C6A">
              <w:rPr>
                <w:rFonts w:ascii="David" w:eastAsia="Times New Roman" w:hAnsi="David" w:cs="David"/>
                <w:b/>
                <w:bCs/>
                <w:color w:val="000000"/>
                <w:rtl/>
              </w:rPr>
              <w:t>שינוי</w:t>
            </w:r>
          </w:p>
        </w:tc>
      </w:tr>
      <w:tr w:rsidR="00E0162E" w:rsidRPr="00127C6A" w14:paraId="61DE3FFC"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192CFB57" w14:textId="77777777" w:rsidR="00181F76" w:rsidRPr="00127C6A" w:rsidRDefault="00E25AE7" w:rsidP="00FD0858">
            <w:pPr>
              <w:spacing w:after="0" w:line="240" w:lineRule="auto"/>
              <w:rPr>
                <w:rFonts w:ascii="David" w:hAnsi="David" w:cs="David"/>
                <w:color w:val="000000"/>
                <w:rtl/>
              </w:rPr>
            </w:pPr>
            <w:r w:rsidRPr="00127C6A">
              <w:rPr>
                <w:rFonts w:ascii="David" w:hAnsi="David" w:cs="David"/>
                <w:color w:val="000000"/>
                <w:rtl/>
              </w:rPr>
              <w:t>שלום</w:t>
            </w:r>
          </w:p>
        </w:tc>
        <w:tc>
          <w:tcPr>
            <w:tcW w:w="992" w:type="dxa"/>
            <w:tcBorders>
              <w:top w:val="single" w:sz="4" w:space="0" w:color="auto"/>
              <w:bottom w:val="single" w:sz="4" w:space="0" w:color="auto"/>
            </w:tcBorders>
            <w:shd w:val="clear" w:color="auto" w:fill="D9D9D9"/>
            <w:noWrap/>
            <w:vAlign w:val="center"/>
          </w:tcPr>
          <w:p w14:paraId="6DB2ED34" w14:textId="77777777" w:rsidR="00181F76" w:rsidRPr="00127C6A" w:rsidRDefault="00E25AE7" w:rsidP="00FD0858">
            <w:pPr>
              <w:spacing w:after="0" w:line="240" w:lineRule="auto"/>
              <w:rPr>
                <w:rFonts w:ascii="David" w:hAnsi="David" w:cs="David"/>
                <w:color w:val="000000"/>
                <w:rtl/>
              </w:rPr>
            </w:pPr>
            <w:r w:rsidRPr="00127C6A">
              <w:rPr>
                <w:rFonts w:ascii="David" w:hAnsi="David" w:cs="David"/>
                <w:color w:val="000000"/>
                <w:rtl/>
              </w:rPr>
              <w:t>פלילי</w:t>
            </w:r>
          </w:p>
        </w:tc>
        <w:tc>
          <w:tcPr>
            <w:tcW w:w="2262" w:type="dxa"/>
            <w:tcBorders>
              <w:top w:val="single" w:sz="4" w:space="0" w:color="auto"/>
              <w:bottom w:val="single" w:sz="4" w:space="0" w:color="auto"/>
            </w:tcBorders>
            <w:shd w:val="clear" w:color="auto" w:fill="D9D9D9"/>
            <w:vAlign w:val="center"/>
          </w:tcPr>
          <w:p w14:paraId="0442D15D" w14:textId="77777777" w:rsidR="00181F76" w:rsidRPr="00127C6A" w:rsidRDefault="00E25AE7" w:rsidP="00FD0858">
            <w:pPr>
              <w:spacing w:after="0" w:line="240" w:lineRule="auto"/>
              <w:rPr>
                <w:rFonts w:ascii="David" w:hAnsi="David" w:cs="David"/>
                <w:color w:val="000000"/>
                <w:rtl/>
              </w:rPr>
            </w:pPr>
            <w:r w:rsidRPr="00127C6A">
              <w:rPr>
                <w:rFonts w:ascii="David" w:hAnsi="David" w:cs="David"/>
                <w:color w:val="000000"/>
                <w:rtl/>
              </w:rPr>
              <w:t>תיק פלילי קהילתי (תפ"ק)</w:t>
            </w:r>
          </w:p>
        </w:tc>
        <w:tc>
          <w:tcPr>
            <w:tcW w:w="1276" w:type="dxa"/>
            <w:tcBorders>
              <w:top w:val="single" w:sz="4" w:space="0" w:color="auto"/>
              <w:bottom w:val="single" w:sz="4" w:space="0" w:color="auto"/>
            </w:tcBorders>
            <w:shd w:val="clear" w:color="auto" w:fill="D9D9D9"/>
            <w:vAlign w:val="center"/>
          </w:tcPr>
          <w:p w14:paraId="12669ECD" w14:textId="77777777" w:rsidR="00181F76" w:rsidRPr="00127C6A" w:rsidRDefault="00E25AE7" w:rsidP="00FD0858">
            <w:pPr>
              <w:bidi w:val="0"/>
              <w:spacing w:after="0" w:line="240" w:lineRule="auto"/>
              <w:jc w:val="center"/>
              <w:rPr>
                <w:rFonts w:ascii="David" w:hAnsi="David" w:cs="David"/>
                <w:color w:val="000000"/>
              </w:rPr>
            </w:pPr>
            <w:r w:rsidRPr="00127C6A">
              <w:rPr>
                <w:rFonts w:ascii="David" w:hAnsi="David" w:cs="David"/>
                <w:color w:val="000000"/>
              </w:rPr>
              <w:t>228</w:t>
            </w:r>
          </w:p>
        </w:tc>
        <w:tc>
          <w:tcPr>
            <w:tcW w:w="1418" w:type="dxa"/>
            <w:tcBorders>
              <w:top w:val="single" w:sz="4" w:space="0" w:color="auto"/>
              <w:bottom w:val="single" w:sz="4" w:space="0" w:color="auto"/>
            </w:tcBorders>
            <w:shd w:val="clear" w:color="auto" w:fill="D9D9D9"/>
            <w:noWrap/>
            <w:vAlign w:val="center"/>
          </w:tcPr>
          <w:p w14:paraId="05E6D2ED" w14:textId="77777777" w:rsidR="00181F76" w:rsidRPr="00127C6A" w:rsidRDefault="00690A5F" w:rsidP="00FD0858">
            <w:pPr>
              <w:spacing w:after="0" w:line="240" w:lineRule="auto"/>
              <w:jc w:val="center"/>
              <w:rPr>
                <w:rFonts w:ascii="David" w:hAnsi="David" w:cs="David"/>
                <w:b/>
                <w:bCs/>
                <w:color w:val="000000"/>
              </w:rPr>
            </w:pPr>
            <w:r w:rsidRPr="00127C6A">
              <w:rPr>
                <w:rFonts w:ascii="David" w:hAnsi="David" w:cs="David" w:hint="cs"/>
                <w:b/>
                <w:bCs/>
                <w:color w:val="000000"/>
                <w:rtl/>
              </w:rPr>
              <w:t>7:11</w:t>
            </w:r>
          </w:p>
        </w:tc>
        <w:tc>
          <w:tcPr>
            <w:tcW w:w="1417" w:type="dxa"/>
            <w:tcBorders>
              <w:top w:val="single" w:sz="4" w:space="0" w:color="auto"/>
              <w:bottom w:val="single" w:sz="4" w:space="0" w:color="auto"/>
            </w:tcBorders>
            <w:shd w:val="clear" w:color="auto" w:fill="D9D9D9"/>
            <w:vAlign w:val="center"/>
          </w:tcPr>
          <w:p w14:paraId="03368746" w14:textId="77777777" w:rsidR="00181F76" w:rsidRPr="00127C6A" w:rsidRDefault="00E25AE7" w:rsidP="00FD0858">
            <w:pPr>
              <w:spacing w:after="0" w:line="240" w:lineRule="auto"/>
              <w:jc w:val="center"/>
              <w:rPr>
                <w:rFonts w:ascii="David" w:hAnsi="David" w:cs="David"/>
                <w:color w:val="000000"/>
              </w:rPr>
            </w:pPr>
            <w:r w:rsidRPr="00127C6A">
              <w:rPr>
                <w:rFonts w:ascii="David" w:hAnsi="David" w:cs="David"/>
                <w:color w:val="000000"/>
              </w:rPr>
              <w:t>-</w:t>
            </w:r>
          </w:p>
        </w:tc>
        <w:tc>
          <w:tcPr>
            <w:tcW w:w="992" w:type="dxa"/>
            <w:tcBorders>
              <w:top w:val="single" w:sz="4" w:space="0" w:color="auto"/>
              <w:bottom w:val="single" w:sz="4" w:space="0" w:color="auto"/>
            </w:tcBorders>
            <w:shd w:val="clear" w:color="auto" w:fill="D9D9D9"/>
            <w:vAlign w:val="center"/>
          </w:tcPr>
          <w:p w14:paraId="5DF02C3E" w14:textId="77777777" w:rsidR="00181F76" w:rsidRPr="00127C6A" w:rsidRDefault="00E25AE7" w:rsidP="00FD0858">
            <w:pPr>
              <w:spacing w:after="0" w:line="240" w:lineRule="auto"/>
              <w:jc w:val="center"/>
              <w:rPr>
                <w:rFonts w:ascii="David" w:hAnsi="David" w:cs="David"/>
                <w:color w:val="000000"/>
              </w:rPr>
            </w:pPr>
            <w:r w:rsidRPr="00127C6A">
              <w:rPr>
                <w:rFonts w:ascii="David" w:hAnsi="David" w:cs="David"/>
                <w:color w:val="000000"/>
              </w:rPr>
              <w:t>-</w:t>
            </w:r>
          </w:p>
        </w:tc>
      </w:tr>
      <w:tr w:rsidR="00E0162E" w:rsidRPr="00127C6A" w14:paraId="203CEC90"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264981E3" w14:textId="77777777" w:rsidR="00181F76" w:rsidRPr="00127C6A" w:rsidRDefault="00E25AE7" w:rsidP="00FD0858">
            <w:pPr>
              <w:spacing w:after="0" w:line="240" w:lineRule="auto"/>
              <w:rPr>
                <w:rFonts w:ascii="David" w:hAnsi="David" w:cs="David"/>
                <w:color w:val="000000"/>
                <w:rtl/>
              </w:rPr>
            </w:pPr>
            <w:r w:rsidRPr="00127C6A">
              <w:rPr>
                <w:rFonts w:ascii="David" w:hAnsi="David" w:cs="David"/>
                <w:color w:val="000000"/>
                <w:rtl/>
              </w:rPr>
              <w:t>שלום</w:t>
            </w:r>
          </w:p>
        </w:tc>
        <w:tc>
          <w:tcPr>
            <w:tcW w:w="992" w:type="dxa"/>
            <w:tcBorders>
              <w:top w:val="single" w:sz="4" w:space="0" w:color="auto"/>
              <w:bottom w:val="single" w:sz="4" w:space="0" w:color="auto"/>
            </w:tcBorders>
            <w:shd w:val="clear" w:color="auto" w:fill="auto"/>
            <w:noWrap/>
            <w:vAlign w:val="center"/>
          </w:tcPr>
          <w:p w14:paraId="6D08A50C" w14:textId="77777777" w:rsidR="00181F76" w:rsidRPr="00127C6A" w:rsidRDefault="00E25AE7" w:rsidP="00FD0858">
            <w:pPr>
              <w:spacing w:after="0" w:line="240" w:lineRule="auto"/>
              <w:rPr>
                <w:rFonts w:ascii="David" w:hAnsi="David" w:cs="David"/>
                <w:color w:val="000000"/>
                <w:rtl/>
              </w:rPr>
            </w:pPr>
            <w:r w:rsidRPr="00127C6A">
              <w:rPr>
                <w:rFonts w:ascii="David" w:hAnsi="David" w:cs="David"/>
                <w:color w:val="000000"/>
                <w:rtl/>
              </w:rPr>
              <w:t>פלילי</w:t>
            </w:r>
          </w:p>
        </w:tc>
        <w:tc>
          <w:tcPr>
            <w:tcW w:w="2262" w:type="dxa"/>
            <w:tcBorders>
              <w:top w:val="single" w:sz="4" w:space="0" w:color="auto"/>
              <w:bottom w:val="single" w:sz="4" w:space="0" w:color="auto"/>
            </w:tcBorders>
            <w:shd w:val="clear" w:color="auto" w:fill="auto"/>
            <w:vAlign w:val="center"/>
          </w:tcPr>
          <w:p w14:paraId="7FB0B76A" w14:textId="77777777" w:rsidR="00181F76" w:rsidRPr="00127C6A" w:rsidRDefault="00E25AE7" w:rsidP="00FD0858">
            <w:pPr>
              <w:spacing w:after="0" w:line="240" w:lineRule="auto"/>
              <w:rPr>
                <w:rFonts w:ascii="David" w:hAnsi="David" w:cs="David"/>
                <w:color w:val="000000"/>
                <w:rtl/>
              </w:rPr>
            </w:pPr>
            <w:r w:rsidRPr="00127C6A">
              <w:rPr>
                <w:rFonts w:ascii="David" w:hAnsi="David" w:cs="David"/>
                <w:color w:val="000000"/>
                <w:rtl/>
              </w:rPr>
              <w:t>תיק פלילי (ת"פ)</w:t>
            </w:r>
          </w:p>
        </w:tc>
        <w:tc>
          <w:tcPr>
            <w:tcW w:w="1276" w:type="dxa"/>
            <w:tcBorders>
              <w:top w:val="single" w:sz="4" w:space="0" w:color="auto"/>
              <w:bottom w:val="single" w:sz="4" w:space="0" w:color="auto"/>
            </w:tcBorders>
            <w:vAlign w:val="center"/>
          </w:tcPr>
          <w:p w14:paraId="397959AA" w14:textId="77777777" w:rsidR="00181F76" w:rsidRPr="00127C6A" w:rsidRDefault="00E25AE7" w:rsidP="00FD0858">
            <w:pPr>
              <w:spacing w:after="0" w:line="240" w:lineRule="auto"/>
              <w:jc w:val="center"/>
              <w:rPr>
                <w:rFonts w:asciiTheme="minorHAnsi" w:hAnsiTheme="minorHAnsi" w:cs="David"/>
                <w:color w:val="000000"/>
              </w:rPr>
            </w:pPr>
            <w:r w:rsidRPr="00127C6A">
              <w:rPr>
                <w:rFonts w:ascii="David" w:hAnsi="David" w:cs="David"/>
                <w:color w:val="000000"/>
              </w:rPr>
              <w:t>30,372</w:t>
            </w:r>
          </w:p>
        </w:tc>
        <w:tc>
          <w:tcPr>
            <w:tcW w:w="1418" w:type="dxa"/>
            <w:tcBorders>
              <w:top w:val="single" w:sz="4" w:space="0" w:color="auto"/>
              <w:bottom w:val="single" w:sz="4" w:space="0" w:color="auto"/>
            </w:tcBorders>
            <w:shd w:val="clear" w:color="auto" w:fill="auto"/>
            <w:noWrap/>
            <w:vAlign w:val="center"/>
          </w:tcPr>
          <w:p w14:paraId="7F71A7D8" w14:textId="77777777" w:rsidR="00181F76" w:rsidRPr="00127C6A" w:rsidRDefault="00690A5F" w:rsidP="00FD0858">
            <w:pPr>
              <w:spacing w:after="0" w:line="240" w:lineRule="auto"/>
              <w:jc w:val="center"/>
              <w:rPr>
                <w:rFonts w:ascii="David" w:hAnsi="David" w:cs="David"/>
                <w:b/>
                <w:bCs/>
                <w:color w:val="000000"/>
                <w:rtl/>
              </w:rPr>
            </w:pPr>
            <w:r w:rsidRPr="00127C6A">
              <w:rPr>
                <w:rFonts w:ascii="David" w:hAnsi="David" w:cs="David"/>
                <w:b/>
                <w:bCs/>
                <w:color w:val="000000"/>
              </w:rPr>
              <w:t>5:17</w:t>
            </w:r>
          </w:p>
        </w:tc>
        <w:tc>
          <w:tcPr>
            <w:tcW w:w="1417" w:type="dxa"/>
            <w:tcBorders>
              <w:top w:val="single" w:sz="4" w:space="0" w:color="auto"/>
              <w:bottom w:val="single" w:sz="4" w:space="0" w:color="auto"/>
            </w:tcBorders>
            <w:shd w:val="clear" w:color="auto" w:fill="auto"/>
            <w:vAlign w:val="center"/>
          </w:tcPr>
          <w:p w14:paraId="4641088C" w14:textId="77777777" w:rsidR="00181F76" w:rsidRPr="00127C6A" w:rsidRDefault="00E25AE7" w:rsidP="00FD0858">
            <w:pPr>
              <w:spacing w:after="0" w:line="240" w:lineRule="auto"/>
              <w:jc w:val="center"/>
              <w:rPr>
                <w:rFonts w:ascii="David" w:hAnsi="David" w:cs="David"/>
                <w:color w:val="000000"/>
              </w:rPr>
            </w:pPr>
            <w:r w:rsidRPr="00127C6A">
              <w:rPr>
                <w:rFonts w:ascii="David" w:hAnsi="David" w:cs="David"/>
                <w:color w:val="000000"/>
              </w:rPr>
              <w:t>2:37</w:t>
            </w:r>
          </w:p>
        </w:tc>
        <w:tc>
          <w:tcPr>
            <w:tcW w:w="992" w:type="dxa"/>
            <w:tcBorders>
              <w:top w:val="single" w:sz="4" w:space="0" w:color="auto"/>
              <w:bottom w:val="single" w:sz="4" w:space="0" w:color="auto"/>
            </w:tcBorders>
            <w:shd w:val="clear" w:color="auto" w:fill="auto"/>
            <w:vAlign w:val="center"/>
          </w:tcPr>
          <w:p w14:paraId="47F1BF19" w14:textId="77777777" w:rsidR="00181F76" w:rsidRPr="00127C6A" w:rsidRDefault="00E25AE7" w:rsidP="00FD0858">
            <w:pPr>
              <w:spacing w:after="0" w:line="240" w:lineRule="auto"/>
              <w:jc w:val="center"/>
              <w:rPr>
                <w:rFonts w:ascii="David" w:hAnsi="David" w:cs="David"/>
                <w:color w:val="000000"/>
                <w:rtl/>
              </w:rPr>
            </w:pPr>
            <w:r w:rsidRPr="00127C6A">
              <w:rPr>
                <w:rFonts w:ascii="David" w:hAnsi="David" w:cs="David"/>
                <w:color w:val="000000"/>
              </w:rPr>
              <w:t>+</w:t>
            </w:r>
            <w:r w:rsidR="00690A5F" w:rsidRPr="00127C6A">
              <w:rPr>
                <w:rFonts w:ascii="David" w:hAnsi="David" w:cs="David"/>
                <w:color w:val="000000"/>
              </w:rPr>
              <w:t>2</w:t>
            </w:r>
            <w:r w:rsidRPr="00127C6A">
              <w:rPr>
                <w:rFonts w:ascii="David" w:hAnsi="David" w:cs="David"/>
                <w:color w:val="000000"/>
              </w:rPr>
              <w:t>:</w:t>
            </w:r>
            <w:r w:rsidR="00690A5F" w:rsidRPr="00127C6A">
              <w:rPr>
                <w:rFonts w:ascii="David" w:hAnsi="David" w:cs="David"/>
                <w:color w:val="000000"/>
              </w:rPr>
              <w:t>40</w:t>
            </w:r>
          </w:p>
        </w:tc>
      </w:tr>
      <w:tr w:rsidR="00FD0858" w:rsidRPr="00127C6A" w14:paraId="563D26A9"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5C4C18EB" w14:textId="77777777" w:rsidR="00FD0858" w:rsidRPr="00127C6A" w:rsidRDefault="00FD0858" w:rsidP="00FD0858">
            <w:pPr>
              <w:spacing w:after="0" w:line="240" w:lineRule="auto"/>
              <w:rPr>
                <w:rFonts w:ascii="David" w:hAnsi="David" w:cs="David"/>
                <w:color w:val="000000"/>
                <w:rtl/>
              </w:rPr>
            </w:pPr>
            <w:r w:rsidRPr="00127C6A">
              <w:rPr>
                <w:rFonts w:ascii="David" w:hAnsi="David" w:cs="David"/>
                <w:color w:val="000000"/>
                <w:rtl/>
              </w:rPr>
              <w:t>שלום</w:t>
            </w:r>
          </w:p>
        </w:tc>
        <w:tc>
          <w:tcPr>
            <w:tcW w:w="992" w:type="dxa"/>
            <w:tcBorders>
              <w:top w:val="single" w:sz="4" w:space="0" w:color="auto"/>
              <w:bottom w:val="single" w:sz="4" w:space="0" w:color="auto"/>
            </w:tcBorders>
            <w:shd w:val="clear" w:color="auto" w:fill="D9D9D9"/>
            <w:noWrap/>
            <w:vAlign w:val="center"/>
          </w:tcPr>
          <w:p w14:paraId="6E64C995" w14:textId="77777777" w:rsidR="00FD0858" w:rsidRPr="00127C6A" w:rsidRDefault="00FD0858" w:rsidP="00FD0858">
            <w:pPr>
              <w:spacing w:after="0" w:line="240" w:lineRule="auto"/>
              <w:rPr>
                <w:rFonts w:ascii="David" w:hAnsi="David" w:cs="David"/>
                <w:color w:val="000000"/>
                <w:rtl/>
              </w:rPr>
            </w:pPr>
            <w:r w:rsidRPr="00127C6A">
              <w:rPr>
                <w:rFonts w:ascii="David" w:hAnsi="David" w:cs="David"/>
                <w:color w:val="000000"/>
                <w:rtl/>
              </w:rPr>
              <w:t>פלילי</w:t>
            </w:r>
          </w:p>
        </w:tc>
        <w:tc>
          <w:tcPr>
            <w:tcW w:w="2262" w:type="dxa"/>
            <w:tcBorders>
              <w:top w:val="single" w:sz="4" w:space="0" w:color="auto"/>
              <w:bottom w:val="single" w:sz="4" w:space="0" w:color="auto"/>
            </w:tcBorders>
            <w:shd w:val="clear" w:color="auto" w:fill="D9D9D9"/>
            <w:vAlign w:val="center"/>
          </w:tcPr>
          <w:p w14:paraId="2B964DA5" w14:textId="77777777" w:rsidR="00FD0858" w:rsidRPr="00127C6A" w:rsidRDefault="00FD0858" w:rsidP="00FD0858">
            <w:pPr>
              <w:spacing w:after="0" w:line="240" w:lineRule="auto"/>
              <w:rPr>
                <w:rFonts w:ascii="David" w:hAnsi="David" w:cs="David"/>
                <w:color w:val="000000"/>
                <w:rtl/>
              </w:rPr>
            </w:pPr>
            <w:r w:rsidRPr="00127C6A">
              <w:rPr>
                <w:rFonts w:ascii="David" w:hAnsi="David" w:cs="David"/>
                <w:color w:val="000000"/>
                <w:rtl/>
              </w:rPr>
              <w:t>קובלנה פלילית (ק"פ)</w:t>
            </w:r>
            <w:r w:rsidRPr="00127C6A">
              <w:rPr>
                <w:rFonts w:ascii="David" w:hAnsi="David" w:cs="David" w:hint="cs"/>
                <w:color w:val="000000"/>
                <w:rtl/>
              </w:rPr>
              <w:t>*</w:t>
            </w:r>
          </w:p>
        </w:tc>
        <w:tc>
          <w:tcPr>
            <w:tcW w:w="1276" w:type="dxa"/>
            <w:tcBorders>
              <w:top w:val="single" w:sz="4" w:space="0" w:color="auto"/>
              <w:bottom w:val="single" w:sz="4" w:space="0" w:color="auto"/>
            </w:tcBorders>
            <w:shd w:val="clear" w:color="auto" w:fill="D9D9D9"/>
            <w:vAlign w:val="center"/>
          </w:tcPr>
          <w:p w14:paraId="402D77CD" w14:textId="77777777" w:rsidR="00FD0858" w:rsidRPr="00127C6A" w:rsidRDefault="00FD0858" w:rsidP="00FD0858">
            <w:pPr>
              <w:bidi w:val="0"/>
              <w:spacing w:after="0" w:line="240" w:lineRule="auto"/>
              <w:jc w:val="center"/>
              <w:rPr>
                <w:rFonts w:ascii="David" w:hAnsi="David" w:cs="David"/>
                <w:color w:val="000000"/>
              </w:rPr>
            </w:pPr>
            <w:r w:rsidRPr="00127C6A">
              <w:rPr>
                <w:rFonts w:ascii="David" w:hAnsi="David" w:cs="David"/>
                <w:color w:val="000000"/>
              </w:rPr>
              <w:t>92</w:t>
            </w:r>
          </w:p>
        </w:tc>
        <w:tc>
          <w:tcPr>
            <w:tcW w:w="1418" w:type="dxa"/>
            <w:tcBorders>
              <w:top w:val="single" w:sz="4" w:space="0" w:color="auto"/>
              <w:bottom w:val="single" w:sz="4" w:space="0" w:color="auto"/>
            </w:tcBorders>
            <w:shd w:val="clear" w:color="auto" w:fill="D9D9D9"/>
            <w:noWrap/>
            <w:vAlign w:val="center"/>
          </w:tcPr>
          <w:p w14:paraId="2B59CA8A" w14:textId="77777777" w:rsidR="00FD0858" w:rsidRPr="00127C6A" w:rsidRDefault="00FD0858" w:rsidP="00FD0858">
            <w:pPr>
              <w:spacing w:after="0" w:line="240" w:lineRule="auto"/>
              <w:jc w:val="center"/>
              <w:rPr>
                <w:rFonts w:ascii="David" w:hAnsi="David" w:cs="David"/>
                <w:b/>
                <w:bCs/>
                <w:color w:val="000000"/>
              </w:rPr>
            </w:pPr>
            <w:r w:rsidRPr="00127C6A">
              <w:rPr>
                <w:rFonts w:ascii="David" w:hAnsi="David" w:cs="David"/>
                <w:b/>
                <w:bCs/>
                <w:color w:val="000000"/>
              </w:rPr>
              <w:t>4:48</w:t>
            </w:r>
          </w:p>
        </w:tc>
        <w:tc>
          <w:tcPr>
            <w:tcW w:w="1417" w:type="dxa"/>
            <w:tcBorders>
              <w:top w:val="single" w:sz="4" w:space="0" w:color="auto"/>
              <w:bottom w:val="single" w:sz="4" w:space="0" w:color="auto"/>
            </w:tcBorders>
            <w:shd w:val="clear" w:color="auto" w:fill="D9D9D9"/>
            <w:vAlign w:val="center"/>
          </w:tcPr>
          <w:p w14:paraId="2EBBEC85" w14:textId="77777777" w:rsidR="00FD0858" w:rsidRPr="00127C6A" w:rsidRDefault="00FD0858" w:rsidP="00FD0858">
            <w:pPr>
              <w:spacing w:after="0" w:line="240" w:lineRule="auto"/>
              <w:jc w:val="center"/>
              <w:rPr>
                <w:rFonts w:ascii="David" w:hAnsi="David" w:cs="David"/>
                <w:color w:val="000000"/>
              </w:rPr>
            </w:pPr>
            <w:r w:rsidRPr="00127C6A">
              <w:rPr>
                <w:rFonts w:ascii="David" w:hAnsi="David" w:cs="David"/>
                <w:color w:val="000000"/>
              </w:rPr>
              <w:t>-</w:t>
            </w:r>
          </w:p>
        </w:tc>
        <w:tc>
          <w:tcPr>
            <w:tcW w:w="992" w:type="dxa"/>
            <w:tcBorders>
              <w:top w:val="single" w:sz="4" w:space="0" w:color="auto"/>
              <w:bottom w:val="single" w:sz="4" w:space="0" w:color="auto"/>
            </w:tcBorders>
            <w:shd w:val="clear" w:color="auto" w:fill="D9D9D9"/>
            <w:vAlign w:val="center"/>
          </w:tcPr>
          <w:p w14:paraId="7A6D82BB" w14:textId="77777777" w:rsidR="00FD0858" w:rsidRPr="00127C6A" w:rsidRDefault="00FD0858" w:rsidP="00FD0858">
            <w:pPr>
              <w:spacing w:after="0" w:line="240" w:lineRule="auto"/>
              <w:jc w:val="center"/>
              <w:rPr>
                <w:rFonts w:ascii="David" w:hAnsi="David" w:cs="David"/>
                <w:color w:val="000000"/>
              </w:rPr>
            </w:pPr>
            <w:r w:rsidRPr="00127C6A">
              <w:rPr>
                <w:rFonts w:ascii="David" w:hAnsi="David" w:cs="David"/>
                <w:color w:val="000000"/>
              </w:rPr>
              <w:t>-</w:t>
            </w:r>
          </w:p>
        </w:tc>
      </w:tr>
      <w:tr w:rsidR="00FD0858" w:rsidRPr="00127C6A" w14:paraId="47B5B295"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0300FC70" w14:textId="77777777" w:rsidR="00FD0858" w:rsidRPr="00127C6A" w:rsidRDefault="00FD0858" w:rsidP="00FD0858">
            <w:pPr>
              <w:spacing w:after="0" w:line="240" w:lineRule="auto"/>
              <w:rPr>
                <w:rFonts w:ascii="David" w:hAnsi="David" w:cs="David"/>
                <w:color w:val="000000"/>
                <w:rtl/>
              </w:rPr>
            </w:pPr>
            <w:r w:rsidRPr="00127C6A">
              <w:rPr>
                <w:rFonts w:ascii="David" w:hAnsi="David" w:cs="David"/>
                <w:color w:val="000000"/>
                <w:rtl/>
              </w:rPr>
              <w:t>שלום</w:t>
            </w:r>
          </w:p>
        </w:tc>
        <w:tc>
          <w:tcPr>
            <w:tcW w:w="992" w:type="dxa"/>
            <w:tcBorders>
              <w:top w:val="single" w:sz="4" w:space="0" w:color="auto"/>
              <w:bottom w:val="single" w:sz="4" w:space="0" w:color="auto"/>
            </w:tcBorders>
            <w:shd w:val="clear" w:color="auto" w:fill="auto"/>
            <w:noWrap/>
            <w:vAlign w:val="center"/>
          </w:tcPr>
          <w:p w14:paraId="57E0FC66" w14:textId="77777777" w:rsidR="00FD0858" w:rsidRPr="00127C6A" w:rsidRDefault="00FD0858" w:rsidP="00FD0858">
            <w:pPr>
              <w:spacing w:after="0" w:line="240" w:lineRule="auto"/>
              <w:rPr>
                <w:rFonts w:ascii="David" w:hAnsi="David" w:cs="David"/>
                <w:color w:val="000000"/>
                <w:rtl/>
              </w:rPr>
            </w:pPr>
            <w:r w:rsidRPr="00127C6A">
              <w:rPr>
                <w:rFonts w:ascii="David" w:hAnsi="David" w:cs="David"/>
                <w:color w:val="000000"/>
                <w:rtl/>
              </w:rPr>
              <w:t>פלילי</w:t>
            </w:r>
          </w:p>
        </w:tc>
        <w:tc>
          <w:tcPr>
            <w:tcW w:w="2262" w:type="dxa"/>
            <w:tcBorders>
              <w:top w:val="single" w:sz="4" w:space="0" w:color="auto"/>
              <w:bottom w:val="single" w:sz="4" w:space="0" w:color="auto"/>
            </w:tcBorders>
            <w:shd w:val="clear" w:color="auto" w:fill="auto"/>
            <w:vAlign w:val="center"/>
          </w:tcPr>
          <w:p w14:paraId="6D3FB93C" w14:textId="77777777" w:rsidR="00FD0858" w:rsidRPr="00127C6A" w:rsidRDefault="00FD0858" w:rsidP="00FD0858">
            <w:pPr>
              <w:spacing w:after="0" w:line="240" w:lineRule="auto"/>
              <w:rPr>
                <w:rFonts w:ascii="David" w:hAnsi="David" w:cs="David"/>
                <w:color w:val="000000"/>
                <w:rtl/>
              </w:rPr>
            </w:pPr>
            <w:r w:rsidRPr="00127C6A">
              <w:rPr>
                <w:rFonts w:ascii="David" w:hAnsi="David" w:cs="David"/>
                <w:color w:val="000000"/>
                <w:rtl/>
              </w:rPr>
              <w:t>ביטול צו הריסה מינהלי (בצה"מ)</w:t>
            </w:r>
          </w:p>
        </w:tc>
        <w:tc>
          <w:tcPr>
            <w:tcW w:w="1276" w:type="dxa"/>
            <w:tcBorders>
              <w:top w:val="single" w:sz="4" w:space="0" w:color="auto"/>
              <w:bottom w:val="single" w:sz="4" w:space="0" w:color="auto"/>
            </w:tcBorders>
            <w:vAlign w:val="center"/>
          </w:tcPr>
          <w:p w14:paraId="40B21E05" w14:textId="77777777" w:rsidR="00FD0858" w:rsidRPr="00127C6A" w:rsidRDefault="00FD0858" w:rsidP="00FD0858">
            <w:pPr>
              <w:bidi w:val="0"/>
              <w:spacing w:after="0" w:line="240" w:lineRule="auto"/>
              <w:jc w:val="center"/>
              <w:rPr>
                <w:rFonts w:ascii="David" w:hAnsi="David" w:cs="David"/>
                <w:color w:val="000000"/>
              </w:rPr>
            </w:pPr>
            <w:r w:rsidRPr="00127C6A">
              <w:rPr>
                <w:rFonts w:ascii="David" w:hAnsi="David" w:cs="David"/>
                <w:color w:val="000000"/>
              </w:rPr>
              <w:t>353</w:t>
            </w:r>
          </w:p>
        </w:tc>
        <w:tc>
          <w:tcPr>
            <w:tcW w:w="1418" w:type="dxa"/>
            <w:tcBorders>
              <w:top w:val="single" w:sz="4" w:space="0" w:color="auto"/>
              <w:bottom w:val="single" w:sz="4" w:space="0" w:color="auto"/>
            </w:tcBorders>
            <w:shd w:val="clear" w:color="auto" w:fill="auto"/>
            <w:noWrap/>
            <w:vAlign w:val="center"/>
          </w:tcPr>
          <w:p w14:paraId="0C367CF6" w14:textId="77777777" w:rsidR="00FD0858" w:rsidRPr="00127C6A" w:rsidRDefault="00FD0858" w:rsidP="00FD0858">
            <w:pPr>
              <w:spacing w:after="0" w:line="240" w:lineRule="auto"/>
              <w:jc w:val="center"/>
              <w:rPr>
                <w:rFonts w:ascii="David" w:hAnsi="David" w:cs="David"/>
                <w:b/>
                <w:bCs/>
                <w:color w:val="000000"/>
              </w:rPr>
            </w:pPr>
            <w:r w:rsidRPr="00127C6A">
              <w:rPr>
                <w:rFonts w:ascii="David" w:hAnsi="David" w:cs="David"/>
                <w:b/>
                <w:bCs/>
                <w:color w:val="000000"/>
              </w:rPr>
              <w:t>3:57</w:t>
            </w:r>
          </w:p>
        </w:tc>
        <w:tc>
          <w:tcPr>
            <w:tcW w:w="1417" w:type="dxa"/>
            <w:tcBorders>
              <w:top w:val="single" w:sz="4" w:space="0" w:color="auto"/>
              <w:bottom w:val="single" w:sz="4" w:space="0" w:color="auto"/>
            </w:tcBorders>
            <w:shd w:val="clear" w:color="auto" w:fill="auto"/>
            <w:vAlign w:val="center"/>
          </w:tcPr>
          <w:p w14:paraId="2164A65C" w14:textId="77777777" w:rsidR="00FD0858" w:rsidRPr="00127C6A" w:rsidRDefault="00FD0858" w:rsidP="00FD0858">
            <w:pPr>
              <w:spacing w:after="0" w:line="240" w:lineRule="auto"/>
              <w:jc w:val="center"/>
              <w:rPr>
                <w:rFonts w:ascii="David" w:hAnsi="David" w:cs="David"/>
                <w:color w:val="000000"/>
              </w:rPr>
            </w:pPr>
            <w:r w:rsidRPr="00127C6A">
              <w:rPr>
                <w:rFonts w:ascii="David" w:hAnsi="David" w:cs="David"/>
                <w:color w:val="000000"/>
              </w:rPr>
              <w:t>-</w:t>
            </w:r>
          </w:p>
        </w:tc>
        <w:tc>
          <w:tcPr>
            <w:tcW w:w="992" w:type="dxa"/>
            <w:tcBorders>
              <w:top w:val="single" w:sz="4" w:space="0" w:color="auto"/>
              <w:bottom w:val="single" w:sz="4" w:space="0" w:color="auto"/>
            </w:tcBorders>
            <w:shd w:val="clear" w:color="auto" w:fill="auto"/>
            <w:vAlign w:val="center"/>
          </w:tcPr>
          <w:p w14:paraId="2D4EEBB8" w14:textId="77777777" w:rsidR="00FD0858" w:rsidRPr="00127C6A" w:rsidRDefault="00FD0858" w:rsidP="00FD0858">
            <w:pPr>
              <w:spacing w:after="0" w:line="240" w:lineRule="auto"/>
              <w:jc w:val="center"/>
              <w:rPr>
                <w:rFonts w:ascii="David" w:hAnsi="David" w:cs="David"/>
                <w:color w:val="000000"/>
              </w:rPr>
            </w:pPr>
            <w:r w:rsidRPr="00127C6A">
              <w:rPr>
                <w:rFonts w:ascii="David" w:hAnsi="David" w:cs="David"/>
                <w:color w:val="000000"/>
              </w:rPr>
              <w:t>-</w:t>
            </w:r>
          </w:p>
        </w:tc>
      </w:tr>
      <w:tr w:rsidR="00FD0858" w:rsidRPr="00127C6A" w14:paraId="1122A695" w14:textId="77777777" w:rsidTr="007D380E">
        <w:trPr>
          <w:trHeight w:val="600"/>
        </w:trPr>
        <w:tc>
          <w:tcPr>
            <w:tcW w:w="847" w:type="dxa"/>
            <w:tcBorders>
              <w:top w:val="single" w:sz="4" w:space="0" w:color="auto"/>
              <w:bottom w:val="single" w:sz="4" w:space="0" w:color="auto"/>
            </w:tcBorders>
            <w:shd w:val="clear" w:color="auto" w:fill="DBDBDB" w:themeFill="accent3" w:themeFillTint="66"/>
            <w:noWrap/>
            <w:vAlign w:val="center"/>
          </w:tcPr>
          <w:p w14:paraId="2090D593" w14:textId="77777777" w:rsidR="00FD0858" w:rsidRPr="00127C6A" w:rsidRDefault="00FD0858" w:rsidP="00FD0858">
            <w:pPr>
              <w:spacing w:after="0" w:line="240" w:lineRule="auto"/>
              <w:rPr>
                <w:rFonts w:ascii="David" w:hAnsi="David" w:cs="David"/>
                <w:color w:val="000000"/>
                <w:rtl/>
              </w:rPr>
            </w:pPr>
            <w:r w:rsidRPr="00127C6A">
              <w:rPr>
                <w:rFonts w:ascii="David" w:hAnsi="David" w:cs="David"/>
                <w:color w:val="000000"/>
                <w:rtl/>
              </w:rPr>
              <w:t>שלום</w:t>
            </w:r>
          </w:p>
        </w:tc>
        <w:tc>
          <w:tcPr>
            <w:tcW w:w="992" w:type="dxa"/>
            <w:tcBorders>
              <w:top w:val="single" w:sz="4" w:space="0" w:color="auto"/>
              <w:bottom w:val="single" w:sz="4" w:space="0" w:color="auto"/>
            </w:tcBorders>
            <w:shd w:val="clear" w:color="auto" w:fill="DBDBDB" w:themeFill="accent3" w:themeFillTint="66"/>
            <w:noWrap/>
            <w:vAlign w:val="center"/>
          </w:tcPr>
          <w:p w14:paraId="6F5E1AE7" w14:textId="77777777" w:rsidR="00FD0858" w:rsidRPr="00127C6A" w:rsidRDefault="00FD0858" w:rsidP="00FD0858">
            <w:pPr>
              <w:spacing w:after="0" w:line="240" w:lineRule="auto"/>
              <w:rPr>
                <w:rFonts w:ascii="David" w:hAnsi="David" w:cs="David"/>
                <w:color w:val="000000"/>
                <w:rtl/>
              </w:rPr>
            </w:pPr>
            <w:r w:rsidRPr="00127C6A">
              <w:rPr>
                <w:rFonts w:ascii="David" w:hAnsi="David" w:cs="David"/>
                <w:color w:val="000000"/>
                <w:rtl/>
              </w:rPr>
              <w:t>מעצרים/ פלילי</w:t>
            </w:r>
          </w:p>
        </w:tc>
        <w:tc>
          <w:tcPr>
            <w:tcW w:w="2262" w:type="dxa"/>
            <w:tcBorders>
              <w:top w:val="single" w:sz="4" w:space="0" w:color="auto"/>
              <w:bottom w:val="single" w:sz="4" w:space="0" w:color="auto"/>
            </w:tcBorders>
            <w:shd w:val="clear" w:color="auto" w:fill="DBDBDB" w:themeFill="accent3" w:themeFillTint="66"/>
            <w:vAlign w:val="center"/>
          </w:tcPr>
          <w:p w14:paraId="083AFA18" w14:textId="77777777" w:rsidR="00FD0858" w:rsidRPr="00127C6A" w:rsidRDefault="00FD0858" w:rsidP="00FD0858">
            <w:pPr>
              <w:spacing w:after="0" w:line="240" w:lineRule="auto"/>
              <w:rPr>
                <w:rFonts w:ascii="David" w:hAnsi="David" w:cs="David"/>
                <w:color w:val="000000"/>
                <w:rtl/>
              </w:rPr>
            </w:pPr>
            <w:r w:rsidRPr="00127C6A">
              <w:rPr>
                <w:rFonts w:ascii="David" w:hAnsi="David" w:cs="David"/>
                <w:color w:val="000000"/>
                <w:rtl/>
              </w:rPr>
              <w:t>מעצר עד תום ההליכים (מ"ת)</w:t>
            </w:r>
          </w:p>
        </w:tc>
        <w:tc>
          <w:tcPr>
            <w:tcW w:w="1276" w:type="dxa"/>
            <w:tcBorders>
              <w:top w:val="single" w:sz="4" w:space="0" w:color="auto"/>
              <w:bottom w:val="single" w:sz="4" w:space="0" w:color="auto"/>
            </w:tcBorders>
            <w:shd w:val="clear" w:color="auto" w:fill="DBDBDB" w:themeFill="accent3" w:themeFillTint="66"/>
            <w:vAlign w:val="center"/>
          </w:tcPr>
          <w:p w14:paraId="59992D07" w14:textId="77777777" w:rsidR="00FD0858" w:rsidRPr="00127C6A" w:rsidRDefault="00FD0858" w:rsidP="00FD0858">
            <w:pPr>
              <w:bidi w:val="0"/>
              <w:spacing w:after="0" w:line="240" w:lineRule="auto"/>
              <w:jc w:val="center"/>
              <w:rPr>
                <w:rFonts w:ascii="David" w:hAnsi="David" w:cs="David"/>
                <w:color w:val="000000"/>
              </w:rPr>
            </w:pPr>
            <w:r w:rsidRPr="00127C6A">
              <w:rPr>
                <w:rFonts w:ascii="David" w:hAnsi="David" w:cs="David"/>
                <w:color w:val="000000"/>
              </w:rPr>
              <w:t>10,583</w:t>
            </w:r>
          </w:p>
        </w:tc>
        <w:tc>
          <w:tcPr>
            <w:tcW w:w="1418" w:type="dxa"/>
            <w:tcBorders>
              <w:top w:val="single" w:sz="4" w:space="0" w:color="auto"/>
              <w:bottom w:val="single" w:sz="4" w:space="0" w:color="auto"/>
            </w:tcBorders>
            <w:shd w:val="clear" w:color="auto" w:fill="DBDBDB" w:themeFill="accent3" w:themeFillTint="66"/>
            <w:noWrap/>
            <w:vAlign w:val="center"/>
          </w:tcPr>
          <w:p w14:paraId="64615C3A" w14:textId="77777777" w:rsidR="00FD0858" w:rsidRPr="00127C6A" w:rsidRDefault="00FD0858" w:rsidP="00FD0858">
            <w:pPr>
              <w:spacing w:after="0" w:line="240" w:lineRule="auto"/>
              <w:jc w:val="center"/>
              <w:rPr>
                <w:rFonts w:ascii="David" w:hAnsi="David" w:cs="David"/>
                <w:b/>
                <w:bCs/>
                <w:color w:val="000000"/>
              </w:rPr>
            </w:pPr>
            <w:r w:rsidRPr="00127C6A">
              <w:rPr>
                <w:rFonts w:ascii="David" w:hAnsi="David" w:cs="David"/>
                <w:b/>
                <w:bCs/>
                <w:color w:val="000000"/>
              </w:rPr>
              <w:t>2:37</w:t>
            </w:r>
          </w:p>
        </w:tc>
        <w:tc>
          <w:tcPr>
            <w:tcW w:w="1417" w:type="dxa"/>
            <w:tcBorders>
              <w:top w:val="single" w:sz="4" w:space="0" w:color="auto"/>
              <w:bottom w:val="single" w:sz="4" w:space="0" w:color="auto"/>
            </w:tcBorders>
            <w:shd w:val="clear" w:color="auto" w:fill="DBDBDB" w:themeFill="accent3" w:themeFillTint="66"/>
            <w:vAlign w:val="center"/>
          </w:tcPr>
          <w:p w14:paraId="061C127D" w14:textId="77777777" w:rsidR="00FD0858" w:rsidRPr="00127C6A" w:rsidRDefault="00FD0858" w:rsidP="00FD0858">
            <w:pPr>
              <w:spacing w:after="0" w:line="240" w:lineRule="auto"/>
              <w:jc w:val="center"/>
              <w:rPr>
                <w:rFonts w:ascii="David" w:hAnsi="David" w:cs="David"/>
                <w:color w:val="000000"/>
              </w:rPr>
            </w:pPr>
            <w:r w:rsidRPr="00127C6A">
              <w:rPr>
                <w:rFonts w:ascii="David" w:hAnsi="David" w:cs="David"/>
                <w:color w:val="000000"/>
              </w:rPr>
              <w:t>2:26</w:t>
            </w:r>
          </w:p>
        </w:tc>
        <w:tc>
          <w:tcPr>
            <w:tcW w:w="992" w:type="dxa"/>
            <w:tcBorders>
              <w:top w:val="single" w:sz="4" w:space="0" w:color="auto"/>
              <w:bottom w:val="single" w:sz="4" w:space="0" w:color="auto"/>
            </w:tcBorders>
            <w:shd w:val="clear" w:color="auto" w:fill="DBDBDB" w:themeFill="accent3" w:themeFillTint="66"/>
            <w:vAlign w:val="center"/>
          </w:tcPr>
          <w:p w14:paraId="7DFDEAB9" w14:textId="77777777" w:rsidR="00FD0858" w:rsidRPr="00127C6A" w:rsidRDefault="00FD0858" w:rsidP="00FD0858">
            <w:pPr>
              <w:spacing w:after="0" w:line="240" w:lineRule="auto"/>
              <w:jc w:val="center"/>
              <w:rPr>
                <w:rFonts w:ascii="David" w:hAnsi="David" w:cs="David"/>
                <w:color w:val="000000"/>
              </w:rPr>
            </w:pPr>
            <w:r w:rsidRPr="00127C6A">
              <w:rPr>
                <w:rFonts w:ascii="David" w:hAnsi="David" w:cs="David" w:hint="cs"/>
                <w:color w:val="000000"/>
                <w:rtl/>
              </w:rPr>
              <w:t>0:11+</w:t>
            </w:r>
          </w:p>
        </w:tc>
      </w:tr>
      <w:tr w:rsidR="00FD0858" w:rsidRPr="00127C6A" w14:paraId="37B25A96"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795D60D7" w14:textId="77777777" w:rsidR="00FD0858" w:rsidRPr="00127C6A" w:rsidRDefault="00FD0858" w:rsidP="00FD0858">
            <w:pPr>
              <w:spacing w:after="0" w:line="240" w:lineRule="auto"/>
              <w:rPr>
                <w:rFonts w:ascii="David" w:hAnsi="David" w:cs="David"/>
                <w:color w:val="000000"/>
                <w:rtl/>
              </w:rPr>
            </w:pPr>
            <w:r w:rsidRPr="00127C6A">
              <w:rPr>
                <w:rFonts w:ascii="David" w:hAnsi="David" w:cs="David"/>
                <w:color w:val="000000"/>
                <w:rtl/>
              </w:rPr>
              <w:t>שלום</w:t>
            </w:r>
          </w:p>
        </w:tc>
        <w:tc>
          <w:tcPr>
            <w:tcW w:w="992" w:type="dxa"/>
            <w:tcBorders>
              <w:top w:val="single" w:sz="4" w:space="0" w:color="auto"/>
              <w:bottom w:val="single" w:sz="4" w:space="0" w:color="auto"/>
            </w:tcBorders>
            <w:shd w:val="clear" w:color="auto" w:fill="auto"/>
            <w:noWrap/>
            <w:vAlign w:val="center"/>
          </w:tcPr>
          <w:p w14:paraId="0E591996" w14:textId="77777777" w:rsidR="00FD0858" w:rsidRPr="00127C6A" w:rsidRDefault="00FD0858" w:rsidP="00FD0858">
            <w:pPr>
              <w:spacing w:after="0" w:line="240" w:lineRule="auto"/>
              <w:rPr>
                <w:rFonts w:ascii="David" w:hAnsi="David" w:cs="David"/>
                <w:color w:val="000000"/>
                <w:rtl/>
              </w:rPr>
            </w:pPr>
            <w:r w:rsidRPr="00127C6A">
              <w:rPr>
                <w:rFonts w:ascii="David" w:hAnsi="David" w:cs="David"/>
                <w:color w:val="000000"/>
                <w:rtl/>
              </w:rPr>
              <w:t>פלילי</w:t>
            </w:r>
          </w:p>
        </w:tc>
        <w:tc>
          <w:tcPr>
            <w:tcW w:w="2262" w:type="dxa"/>
            <w:tcBorders>
              <w:top w:val="single" w:sz="4" w:space="0" w:color="auto"/>
              <w:bottom w:val="single" w:sz="4" w:space="0" w:color="auto"/>
            </w:tcBorders>
            <w:shd w:val="clear" w:color="auto" w:fill="auto"/>
            <w:vAlign w:val="center"/>
          </w:tcPr>
          <w:p w14:paraId="0B373E2D" w14:textId="77777777" w:rsidR="00FD0858" w:rsidRPr="00127C6A" w:rsidRDefault="00FD0858" w:rsidP="00FD0858">
            <w:pPr>
              <w:spacing w:after="0" w:line="240" w:lineRule="auto"/>
              <w:rPr>
                <w:rFonts w:ascii="David" w:hAnsi="David" w:cs="David"/>
                <w:color w:val="000000"/>
                <w:rtl/>
              </w:rPr>
            </w:pPr>
            <w:r w:rsidRPr="00127C6A">
              <w:rPr>
                <w:rFonts w:ascii="David" w:hAnsi="David" w:cs="David"/>
                <w:color w:val="000000"/>
                <w:rtl/>
              </w:rPr>
              <w:t>בקשה לעיון בחומר חקירה (בע"ח)</w:t>
            </w:r>
          </w:p>
        </w:tc>
        <w:tc>
          <w:tcPr>
            <w:tcW w:w="1276" w:type="dxa"/>
            <w:tcBorders>
              <w:top w:val="single" w:sz="4" w:space="0" w:color="auto"/>
              <w:bottom w:val="single" w:sz="4" w:space="0" w:color="auto"/>
            </w:tcBorders>
            <w:vAlign w:val="center"/>
          </w:tcPr>
          <w:p w14:paraId="6158FE0A" w14:textId="77777777" w:rsidR="00FD0858" w:rsidRPr="00127C6A" w:rsidRDefault="00FD0858" w:rsidP="00FD0858">
            <w:pPr>
              <w:bidi w:val="0"/>
              <w:spacing w:after="0" w:line="240" w:lineRule="auto"/>
              <w:jc w:val="center"/>
              <w:rPr>
                <w:rFonts w:ascii="David" w:hAnsi="David" w:cs="David"/>
                <w:color w:val="000000"/>
              </w:rPr>
            </w:pPr>
            <w:r w:rsidRPr="00127C6A">
              <w:rPr>
                <w:rFonts w:ascii="David" w:hAnsi="David" w:cs="David"/>
                <w:color w:val="000000"/>
              </w:rPr>
              <w:t>776</w:t>
            </w:r>
          </w:p>
        </w:tc>
        <w:tc>
          <w:tcPr>
            <w:tcW w:w="1418" w:type="dxa"/>
            <w:tcBorders>
              <w:top w:val="single" w:sz="4" w:space="0" w:color="auto"/>
              <w:bottom w:val="single" w:sz="4" w:space="0" w:color="auto"/>
            </w:tcBorders>
            <w:shd w:val="clear" w:color="auto" w:fill="auto"/>
            <w:noWrap/>
            <w:vAlign w:val="center"/>
          </w:tcPr>
          <w:p w14:paraId="2E16C097" w14:textId="77777777" w:rsidR="00FD0858" w:rsidRPr="00127C6A" w:rsidRDefault="00FD0858" w:rsidP="00FD0858">
            <w:pPr>
              <w:spacing w:after="0" w:line="240" w:lineRule="auto"/>
              <w:jc w:val="center"/>
              <w:rPr>
                <w:rFonts w:ascii="David" w:hAnsi="David" w:cs="David"/>
                <w:b/>
                <w:bCs/>
                <w:color w:val="000000"/>
              </w:rPr>
            </w:pPr>
            <w:r w:rsidRPr="00127C6A">
              <w:rPr>
                <w:rFonts w:ascii="David" w:hAnsi="David" w:cs="David"/>
                <w:b/>
                <w:bCs/>
                <w:color w:val="000000"/>
              </w:rPr>
              <w:t>2:16</w:t>
            </w:r>
          </w:p>
        </w:tc>
        <w:tc>
          <w:tcPr>
            <w:tcW w:w="1417" w:type="dxa"/>
            <w:tcBorders>
              <w:top w:val="single" w:sz="4" w:space="0" w:color="auto"/>
              <w:bottom w:val="single" w:sz="4" w:space="0" w:color="auto"/>
            </w:tcBorders>
            <w:shd w:val="clear" w:color="auto" w:fill="auto"/>
            <w:vAlign w:val="center"/>
          </w:tcPr>
          <w:p w14:paraId="39E73D78" w14:textId="77777777" w:rsidR="00FD0858" w:rsidRPr="00127C6A" w:rsidRDefault="00FD0858" w:rsidP="00FD0858">
            <w:pPr>
              <w:spacing w:after="0" w:line="240" w:lineRule="auto"/>
              <w:jc w:val="center"/>
              <w:rPr>
                <w:rFonts w:ascii="David" w:hAnsi="David" w:cs="David"/>
                <w:color w:val="000000"/>
              </w:rPr>
            </w:pPr>
            <w:r w:rsidRPr="00127C6A">
              <w:rPr>
                <w:rFonts w:ascii="David" w:hAnsi="David" w:cs="David"/>
                <w:color w:val="000000"/>
              </w:rPr>
              <w:t>-</w:t>
            </w:r>
          </w:p>
        </w:tc>
        <w:tc>
          <w:tcPr>
            <w:tcW w:w="992" w:type="dxa"/>
            <w:tcBorders>
              <w:top w:val="single" w:sz="4" w:space="0" w:color="auto"/>
              <w:bottom w:val="single" w:sz="4" w:space="0" w:color="auto"/>
            </w:tcBorders>
            <w:shd w:val="clear" w:color="auto" w:fill="auto"/>
            <w:vAlign w:val="center"/>
          </w:tcPr>
          <w:p w14:paraId="772DEB8C" w14:textId="77777777" w:rsidR="00FD0858" w:rsidRPr="00127C6A" w:rsidRDefault="00FD0858" w:rsidP="00FD0858">
            <w:pPr>
              <w:spacing w:after="0" w:line="240" w:lineRule="auto"/>
              <w:jc w:val="center"/>
              <w:rPr>
                <w:rFonts w:ascii="David" w:hAnsi="David" w:cs="David"/>
                <w:color w:val="000000"/>
              </w:rPr>
            </w:pPr>
            <w:r w:rsidRPr="00127C6A">
              <w:rPr>
                <w:rFonts w:ascii="David" w:hAnsi="David" w:cs="David"/>
                <w:color w:val="000000"/>
              </w:rPr>
              <w:t>-</w:t>
            </w:r>
          </w:p>
        </w:tc>
      </w:tr>
      <w:tr w:rsidR="00FD0858" w:rsidRPr="00127C6A" w14:paraId="716C8AFD"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504A08BA" w14:textId="77777777" w:rsidR="00FD0858" w:rsidRPr="00127C6A" w:rsidRDefault="00FD0858" w:rsidP="00FD0858">
            <w:pPr>
              <w:spacing w:after="0" w:line="240" w:lineRule="auto"/>
              <w:rPr>
                <w:rFonts w:ascii="David" w:hAnsi="David" w:cs="David"/>
                <w:color w:val="000000"/>
                <w:rtl/>
              </w:rPr>
            </w:pPr>
            <w:r w:rsidRPr="00127C6A">
              <w:rPr>
                <w:rFonts w:ascii="David" w:hAnsi="David" w:cs="David"/>
                <w:color w:val="000000"/>
                <w:rtl/>
              </w:rPr>
              <w:t>שלום</w:t>
            </w:r>
          </w:p>
        </w:tc>
        <w:tc>
          <w:tcPr>
            <w:tcW w:w="992" w:type="dxa"/>
            <w:tcBorders>
              <w:top w:val="single" w:sz="4" w:space="0" w:color="auto"/>
              <w:bottom w:val="single" w:sz="4" w:space="0" w:color="auto"/>
            </w:tcBorders>
            <w:shd w:val="clear" w:color="auto" w:fill="D9D9D9"/>
            <w:noWrap/>
            <w:vAlign w:val="center"/>
          </w:tcPr>
          <w:p w14:paraId="433DB86A" w14:textId="77777777" w:rsidR="00FD0858" w:rsidRPr="00127C6A" w:rsidRDefault="00FD0858" w:rsidP="00FD0858">
            <w:pPr>
              <w:spacing w:after="0" w:line="240" w:lineRule="auto"/>
              <w:rPr>
                <w:rFonts w:ascii="David" w:hAnsi="David" w:cs="David"/>
                <w:color w:val="000000"/>
                <w:rtl/>
              </w:rPr>
            </w:pPr>
            <w:r w:rsidRPr="00127C6A">
              <w:rPr>
                <w:rFonts w:ascii="David" w:hAnsi="David" w:cs="David"/>
                <w:color w:val="000000"/>
                <w:rtl/>
              </w:rPr>
              <w:t>פלילי</w:t>
            </w:r>
          </w:p>
        </w:tc>
        <w:tc>
          <w:tcPr>
            <w:tcW w:w="2262" w:type="dxa"/>
            <w:tcBorders>
              <w:top w:val="single" w:sz="4" w:space="0" w:color="auto"/>
              <w:bottom w:val="single" w:sz="4" w:space="0" w:color="auto"/>
            </w:tcBorders>
            <w:shd w:val="clear" w:color="auto" w:fill="D9D9D9"/>
            <w:vAlign w:val="center"/>
          </w:tcPr>
          <w:p w14:paraId="31D8831D" w14:textId="77777777" w:rsidR="00FD0858" w:rsidRPr="00127C6A" w:rsidRDefault="00FD0858" w:rsidP="00FD0858">
            <w:pPr>
              <w:spacing w:after="0" w:line="240" w:lineRule="auto"/>
              <w:rPr>
                <w:rFonts w:ascii="David" w:hAnsi="David" w:cs="David"/>
                <w:color w:val="000000"/>
                <w:rtl/>
              </w:rPr>
            </w:pPr>
            <w:r w:rsidRPr="00127C6A">
              <w:rPr>
                <w:rFonts w:ascii="David" w:hAnsi="David" w:cs="David"/>
                <w:color w:val="000000"/>
                <w:rtl/>
              </w:rPr>
              <w:t>איסור פרסום (פ"ר)</w:t>
            </w:r>
          </w:p>
        </w:tc>
        <w:tc>
          <w:tcPr>
            <w:tcW w:w="1276" w:type="dxa"/>
            <w:tcBorders>
              <w:top w:val="single" w:sz="4" w:space="0" w:color="auto"/>
              <w:bottom w:val="single" w:sz="4" w:space="0" w:color="auto"/>
            </w:tcBorders>
            <w:shd w:val="clear" w:color="auto" w:fill="D9D9D9"/>
            <w:vAlign w:val="center"/>
          </w:tcPr>
          <w:p w14:paraId="5A2AC9BF" w14:textId="77777777" w:rsidR="00FD0858" w:rsidRPr="00127C6A" w:rsidRDefault="00FD0858" w:rsidP="00FD0858">
            <w:pPr>
              <w:bidi w:val="0"/>
              <w:spacing w:after="0" w:line="240" w:lineRule="auto"/>
              <w:jc w:val="center"/>
              <w:rPr>
                <w:rFonts w:ascii="David" w:hAnsi="David" w:cs="David"/>
                <w:color w:val="000000"/>
              </w:rPr>
            </w:pPr>
            <w:r w:rsidRPr="00127C6A">
              <w:rPr>
                <w:rFonts w:ascii="David" w:hAnsi="David" w:cs="David"/>
                <w:color w:val="000000"/>
              </w:rPr>
              <w:t>475</w:t>
            </w:r>
          </w:p>
        </w:tc>
        <w:tc>
          <w:tcPr>
            <w:tcW w:w="1418" w:type="dxa"/>
            <w:tcBorders>
              <w:top w:val="single" w:sz="4" w:space="0" w:color="auto"/>
              <w:bottom w:val="single" w:sz="4" w:space="0" w:color="auto"/>
            </w:tcBorders>
            <w:shd w:val="clear" w:color="auto" w:fill="D9D9D9"/>
            <w:noWrap/>
            <w:vAlign w:val="center"/>
          </w:tcPr>
          <w:p w14:paraId="368A98E7" w14:textId="77777777" w:rsidR="00FD0858" w:rsidRPr="00127C6A" w:rsidRDefault="00FD0858" w:rsidP="00FD0858">
            <w:pPr>
              <w:spacing w:after="0" w:line="240" w:lineRule="auto"/>
              <w:jc w:val="center"/>
              <w:rPr>
                <w:rFonts w:ascii="David" w:hAnsi="David" w:cs="David"/>
                <w:b/>
                <w:bCs/>
                <w:color w:val="000000"/>
              </w:rPr>
            </w:pPr>
            <w:r w:rsidRPr="00127C6A">
              <w:rPr>
                <w:rFonts w:ascii="David" w:hAnsi="David" w:cs="David"/>
                <w:b/>
                <w:bCs/>
                <w:color w:val="000000"/>
              </w:rPr>
              <w:t>1:36</w:t>
            </w:r>
          </w:p>
        </w:tc>
        <w:tc>
          <w:tcPr>
            <w:tcW w:w="1417" w:type="dxa"/>
            <w:tcBorders>
              <w:top w:val="single" w:sz="4" w:space="0" w:color="auto"/>
              <w:bottom w:val="single" w:sz="4" w:space="0" w:color="auto"/>
            </w:tcBorders>
            <w:shd w:val="clear" w:color="auto" w:fill="D9D9D9"/>
            <w:vAlign w:val="center"/>
          </w:tcPr>
          <w:p w14:paraId="7E189AB3" w14:textId="77777777" w:rsidR="00FD0858" w:rsidRPr="00127C6A" w:rsidRDefault="00FD0858" w:rsidP="00FD0858">
            <w:pPr>
              <w:spacing w:after="0" w:line="240" w:lineRule="auto"/>
              <w:jc w:val="center"/>
              <w:rPr>
                <w:rFonts w:ascii="David" w:hAnsi="David" w:cs="David"/>
                <w:color w:val="000000"/>
              </w:rPr>
            </w:pPr>
            <w:r w:rsidRPr="00127C6A">
              <w:rPr>
                <w:rFonts w:ascii="David" w:hAnsi="David" w:cs="David"/>
                <w:color w:val="000000"/>
              </w:rPr>
              <w:t>-</w:t>
            </w:r>
          </w:p>
        </w:tc>
        <w:tc>
          <w:tcPr>
            <w:tcW w:w="992" w:type="dxa"/>
            <w:tcBorders>
              <w:top w:val="single" w:sz="4" w:space="0" w:color="auto"/>
              <w:bottom w:val="single" w:sz="4" w:space="0" w:color="auto"/>
            </w:tcBorders>
            <w:shd w:val="clear" w:color="auto" w:fill="D9D9D9"/>
            <w:vAlign w:val="center"/>
          </w:tcPr>
          <w:p w14:paraId="10F3BB7E" w14:textId="77777777" w:rsidR="00FD0858" w:rsidRPr="00127C6A" w:rsidRDefault="00FD0858" w:rsidP="00FD0858">
            <w:pPr>
              <w:spacing w:after="0" w:line="240" w:lineRule="auto"/>
              <w:jc w:val="center"/>
              <w:rPr>
                <w:rFonts w:ascii="David" w:hAnsi="David" w:cs="David"/>
                <w:color w:val="000000"/>
              </w:rPr>
            </w:pPr>
            <w:r w:rsidRPr="00127C6A">
              <w:rPr>
                <w:rFonts w:ascii="David" w:hAnsi="David" w:cs="David"/>
                <w:color w:val="000000"/>
              </w:rPr>
              <w:t>-</w:t>
            </w:r>
          </w:p>
        </w:tc>
      </w:tr>
      <w:tr w:rsidR="00FD0858" w:rsidRPr="00127C6A" w14:paraId="6CC79DCA"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6C1D1148" w14:textId="77777777" w:rsidR="00FD0858" w:rsidRPr="00127C6A" w:rsidRDefault="00FD0858" w:rsidP="00FD0858">
            <w:pPr>
              <w:spacing w:after="0" w:line="240" w:lineRule="auto"/>
              <w:rPr>
                <w:rFonts w:ascii="David" w:hAnsi="David" w:cs="David"/>
                <w:color w:val="000000"/>
                <w:rtl/>
              </w:rPr>
            </w:pPr>
            <w:r w:rsidRPr="00127C6A">
              <w:rPr>
                <w:rFonts w:ascii="David" w:hAnsi="David" w:cs="David"/>
                <w:color w:val="000000"/>
                <w:rtl/>
              </w:rPr>
              <w:t>שלום</w:t>
            </w:r>
          </w:p>
        </w:tc>
        <w:tc>
          <w:tcPr>
            <w:tcW w:w="992" w:type="dxa"/>
            <w:tcBorders>
              <w:top w:val="single" w:sz="4" w:space="0" w:color="auto"/>
              <w:bottom w:val="single" w:sz="4" w:space="0" w:color="auto"/>
            </w:tcBorders>
            <w:shd w:val="clear" w:color="auto" w:fill="auto"/>
            <w:noWrap/>
            <w:vAlign w:val="center"/>
          </w:tcPr>
          <w:p w14:paraId="322CDD49" w14:textId="77777777" w:rsidR="00FD0858" w:rsidRPr="00127C6A" w:rsidRDefault="00FD0858" w:rsidP="00FD0858">
            <w:pPr>
              <w:spacing w:after="0" w:line="240" w:lineRule="auto"/>
              <w:rPr>
                <w:rFonts w:ascii="David" w:hAnsi="David" w:cs="David"/>
                <w:color w:val="000000"/>
                <w:rtl/>
              </w:rPr>
            </w:pPr>
            <w:r w:rsidRPr="00127C6A">
              <w:rPr>
                <w:rFonts w:ascii="David" w:hAnsi="David" w:cs="David"/>
                <w:color w:val="000000"/>
                <w:rtl/>
              </w:rPr>
              <w:t>פלילי</w:t>
            </w:r>
          </w:p>
        </w:tc>
        <w:tc>
          <w:tcPr>
            <w:tcW w:w="2262" w:type="dxa"/>
            <w:tcBorders>
              <w:top w:val="single" w:sz="4" w:space="0" w:color="auto"/>
              <w:bottom w:val="single" w:sz="4" w:space="0" w:color="auto"/>
            </w:tcBorders>
            <w:shd w:val="clear" w:color="auto" w:fill="auto"/>
            <w:vAlign w:val="center"/>
          </w:tcPr>
          <w:p w14:paraId="7E32032C" w14:textId="77777777" w:rsidR="00FD0858" w:rsidRPr="00127C6A" w:rsidRDefault="00FD0858" w:rsidP="00FD0858">
            <w:pPr>
              <w:spacing w:after="0" w:line="240" w:lineRule="auto"/>
              <w:rPr>
                <w:rFonts w:ascii="David" w:hAnsi="David" w:cs="David"/>
                <w:color w:val="000000"/>
                <w:rtl/>
              </w:rPr>
            </w:pPr>
            <w:r w:rsidRPr="00127C6A">
              <w:rPr>
                <w:rFonts w:ascii="David" w:hAnsi="David" w:cs="David"/>
                <w:color w:val="000000"/>
                <w:rtl/>
              </w:rPr>
              <w:t>גישור פלילי (ג"פ)</w:t>
            </w:r>
          </w:p>
        </w:tc>
        <w:tc>
          <w:tcPr>
            <w:tcW w:w="1276" w:type="dxa"/>
            <w:tcBorders>
              <w:top w:val="single" w:sz="4" w:space="0" w:color="auto"/>
              <w:bottom w:val="single" w:sz="4" w:space="0" w:color="auto"/>
            </w:tcBorders>
            <w:vAlign w:val="center"/>
          </w:tcPr>
          <w:p w14:paraId="5FB09E07" w14:textId="77777777" w:rsidR="00FD0858" w:rsidRPr="00127C6A" w:rsidRDefault="00FD0858" w:rsidP="00FD0858">
            <w:pPr>
              <w:bidi w:val="0"/>
              <w:spacing w:after="0" w:line="240" w:lineRule="auto"/>
              <w:jc w:val="center"/>
              <w:rPr>
                <w:rFonts w:ascii="David" w:hAnsi="David" w:cs="David"/>
                <w:color w:val="000000"/>
              </w:rPr>
            </w:pPr>
            <w:r w:rsidRPr="00127C6A">
              <w:rPr>
                <w:rFonts w:ascii="David" w:hAnsi="David" w:cs="David"/>
                <w:color w:val="000000"/>
              </w:rPr>
              <w:t>111</w:t>
            </w:r>
          </w:p>
        </w:tc>
        <w:tc>
          <w:tcPr>
            <w:tcW w:w="1418" w:type="dxa"/>
            <w:tcBorders>
              <w:top w:val="single" w:sz="4" w:space="0" w:color="auto"/>
              <w:bottom w:val="single" w:sz="4" w:space="0" w:color="auto"/>
            </w:tcBorders>
            <w:shd w:val="clear" w:color="auto" w:fill="auto"/>
            <w:noWrap/>
            <w:vAlign w:val="center"/>
          </w:tcPr>
          <w:p w14:paraId="15AB53E1" w14:textId="77777777" w:rsidR="00FD0858" w:rsidRPr="00127C6A" w:rsidRDefault="00FD0858" w:rsidP="00FD0858">
            <w:pPr>
              <w:spacing w:after="0" w:line="240" w:lineRule="auto"/>
              <w:jc w:val="center"/>
              <w:rPr>
                <w:rFonts w:ascii="David" w:hAnsi="David" w:cs="David"/>
                <w:b/>
                <w:bCs/>
                <w:color w:val="000000"/>
              </w:rPr>
            </w:pPr>
            <w:r w:rsidRPr="00127C6A">
              <w:rPr>
                <w:rFonts w:ascii="David" w:hAnsi="David" w:cs="David"/>
                <w:b/>
                <w:bCs/>
                <w:color w:val="000000"/>
              </w:rPr>
              <w:t>1:28</w:t>
            </w:r>
          </w:p>
        </w:tc>
        <w:tc>
          <w:tcPr>
            <w:tcW w:w="1417" w:type="dxa"/>
            <w:tcBorders>
              <w:top w:val="single" w:sz="4" w:space="0" w:color="auto"/>
              <w:bottom w:val="single" w:sz="4" w:space="0" w:color="auto"/>
            </w:tcBorders>
            <w:shd w:val="clear" w:color="auto" w:fill="auto"/>
            <w:vAlign w:val="center"/>
          </w:tcPr>
          <w:p w14:paraId="68BD9057" w14:textId="77777777" w:rsidR="00FD0858" w:rsidRPr="00127C6A" w:rsidRDefault="00FD0858" w:rsidP="00FD0858">
            <w:pPr>
              <w:spacing w:after="0" w:line="240" w:lineRule="auto"/>
              <w:jc w:val="center"/>
              <w:rPr>
                <w:rFonts w:ascii="David" w:hAnsi="David" w:cs="David"/>
                <w:color w:val="000000"/>
              </w:rPr>
            </w:pPr>
            <w:r w:rsidRPr="00127C6A">
              <w:rPr>
                <w:rFonts w:ascii="David" w:hAnsi="David" w:cs="David"/>
                <w:color w:val="000000"/>
              </w:rPr>
              <w:t>-</w:t>
            </w:r>
          </w:p>
        </w:tc>
        <w:tc>
          <w:tcPr>
            <w:tcW w:w="992" w:type="dxa"/>
            <w:tcBorders>
              <w:top w:val="single" w:sz="4" w:space="0" w:color="auto"/>
              <w:bottom w:val="single" w:sz="4" w:space="0" w:color="auto"/>
            </w:tcBorders>
            <w:shd w:val="clear" w:color="auto" w:fill="auto"/>
            <w:vAlign w:val="center"/>
          </w:tcPr>
          <w:p w14:paraId="4B573CE3" w14:textId="77777777" w:rsidR="00FD0858" w:rsidRPr="00127C6A" w:rsidRDefault="00FD0858" w:rsidP="00FD0858">
            <w:pPr>
              <w:spacing w:after="0" w:line="240" w:lineRule="auto"/>
              <w:jc w:val="center"/>
              <w:rPr>
                <w:rFonts w:ascii="David" w:hAnsi="David" w:cs="David"/>
                <w:color w:val="000000"/>
              </w:rPr>
            </w:pPr>
            <w:r w:rsidRPr="00127C6A">
              <w:rPr>
                <w:rFonts w:ascii="David" w:hAnsi="David" w:cs="David"/>
                <w:color w:val="000000"/>
              </w:rPr>
              <w:t>-</w:t>
            </w:r>
          </w:p>
        </w:tc>
      </w:tr>
      <w:tr w:rsidR="00FD0858" w:rsidRPr="00127C6A" w14:paraId="0CE78766"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40FD399B" w14:textId="77777777" w:rsidR="00FD0858" w:rsidRPr="00127C6A" w:rsidRDefault="00FD0858" w:rsidP="00FD0858">
            <w:pPr>
              <w:spacing w:after="0" w:line="240" w:lineRule="auto"/>
              <w:rPr>
                <w:rFonts w:ascii="David" w:hAnsi="David" w:cs="David"/>
                <w:color w:val="000000"/>
                <w:rtl/>
              </w:rPr>
            </w:pPr>
            <w:r w:rsidRPr="00127C6A">
              <w:rPr>
                <w:rFonts w:ascii="David" w:hAnsi="David" w:cs="David"/>
                <w:color w:val="000000"/>
                <w:rtl/>
              </w:rPr>
              <w:t>שלום</w:t>
            </w:r>
          </w:p>
        </w:tc>
        <w:tc>
          <w:tcPr>
            <w:tcW w:w="992" w:type="dxa"/>
            <w:tcBorders>
              <w:top w:val="single" w:sz="4" w:space="0" w:color="auto"/>
              <w:bottom w:val="single" w:sz="4" w:space="0" w:color="auto"/>
            </w:tcBorders>
            <w:shd w:val="clear" w:color="auto" w:fill="D9D9D9"/>
            <w:noWrap/>
            <w:vAlign w:val="center"/>
          </w:tcPr>
          <w:p w14:paraId="4D97C673" w14:textId="77777777" w:rsidR="00FD0858" w:rsidRPr="00127C6A" w:rsidRDefault="00FD0858" w:rsidP="00FD0858">
            <w:pPr>
              <w:spacing w:after="0" w:line="240" w:lineRule="auto"/>
              <w:rPr>
                <w:rFonts w:ascii="David" w:hAnsi="David" w:cs="David"/>
                <w:color w:val="000000"/>
                <w:rtl/>
              </w:rPr>
            </w:pPr>
            <w:r w:rsidRPr="00127C6A">
              <w:rPr>
                <w:rFonts w:ascii="David" w:hAnsi="David" w:cs="David"/>
                <w:color w:val="000000"/>
                <w:rtl/>
              </w:rPr>
              <w:t>מעצרים/ פלילי</w:t>
            </w:r>
          </w:p>
        </w:tc>
        <w:tc>
          <w:tcPr>
            <w:tcW w:w="2262" w:type="dxa"/>
            <w:tcBorders>
              <w:top w:val="single" w:sz="4" w:space="0" w:color="auto"/>
              <w:bottom w:val="single" w:sz="4" w:space="0" w:color="auto"/>
            </w:tcBorders>
            <w:shd w:val="clear" w:color="auto" w:fill="D9D9D9"/>
            <w:vAlign w:val="center"/>
          </w:tcPr>
          <w:p w14:paraId="52A50D22" w14:textId="77777777" w:rsidR="00FD0858" w:rsidRPr="00127C6A" w:rsidRDefault="00FD0858" w:rsidP="00FD0858">
            <w:pPr>
              <w:spacing w:after="0" w:line="240" w:lineRule="auto"/>
              <w:rPr>
                <w:rFonts w:ascii="David" w:hAnsi="David" w:cs="David"/>
                <w:color w:val="000000"/>
                <w:rtl/>
              </w:rPr>
            </w:pPr>
            <w:r w:rsidRPr="00127C6A">
              <w:rPr>
                <w:rFonts w:ascii="David" w:hAnsi="David" w:cs="David"/>
                <w:color w:val="000000"/>
                <w:rtl/>
              </w:rPr>
              <w:t>החזרה/טיפול בתפוס (ה"ת)</w:t>
            </w:r>
          </w:p>
        </w:tc>
        <w:tc>
          <w:tcPr>
            <w:tcW w:w="1276" w:type="dxa"/>
            <w:tcBorders>
              <w:top w:val="single" w:sz="4" w:space="0" w:color="auto"/>
              <w:bottom w:val="single" w:sz="4" w:space="0" w:color="auto"/>
            </w:tcBorders>
            <w:shd w:val="clear" w:color="auto" w:fill="D9D9D9"/>
            <w:vAlign w:val="center"/>
          </w:tcPr>
          <w:p w14:paraId="20F5A5A6" w14:textId="77777777" w:rsidR="00FD0858" w:rsidRPr="00127C6A" w:rsidRDefault="00FD0858" w:rsidP="00FD0858">
            <w:pPr>
              <w:bidi w:val="0"/>
              <w:spacing w:after="0" w:line="240" w:lineRule="auto"/>
              <w:jc w:val="center"/>
              <w:rPr>
                <w:rFonts w:ascii="David" w:hAnsi="David" w:cs="David"/>
                <w:color w:val="000000"/>
              </w:rPr>
            </w:pPr>
            <w:r w:rsidRPr="00127C6A">
              <w:rPr>
                <w:rFonts w:ascii="David" w:hAnsi="David" w:cs="David"/>
                <w:color w:val="000000"/>
              </w:rPr>
              <w:t>6,377</w:t>
            </w:r>
          </w:p>
        </w:tc>
        <w:tc>
          <w:tcPr>
            <w:tcW w:w="1418" w:type="dxa"/>
            <w:tcBorders>
              <w:top w:val="single" w:sz="4" w:space="0" w:color="auto"/>
              <w:bottom w:val="single" w:sz="4" w:space="0" w:color="auto"/>
            </w:tcBorders>
            <w:shd w:val="clear" w:color="auto" w:fill="D9D9D9"/>
            <w:noWrap/>
            <w:vAlign w:val="center"/>
          </w:tcPr>
          <w:p w14:paraId="0AE0920C" w14:textId="77777777" w:rsidR="00FD0858" w:rsidRPr="00127C6A" w:rsidRDefault="00FD0858" w:rsidP="00FD0858">
            <w:pPr>
              <w:spacing w:after="0" w:line="240" w:lineRule="auto"/>
              <w:jc w:val="center"/>
              <w:rPr>
                <w:rFonts w:ascii="David" w:hAnsi="David" w:cs="David"/>
                <w:b/>
                <w:bCs/>
                <w:color w:val="000000"/>
                <w:rtl/>
              </w:rPr>
            </w:pPr>
            <w:r w:rsidRPr="00127C6A">
              <w:rPr>
                <w:rFonts w:ascii="David" w:hAnsi="David" w:cs="David"/>
                <w:b/>
                <w:bCs/>
                <w:color w:val="000000"/>
              </w:rPr>
              <w:t>1:15</w:t>
            </w:r>
          </w:p>
        </w:tc>
        <w:tc>
          <w:tcPr>
            <w:tcW w:w="1417" w:type="dxa"/>
            <w:tcBorders>
              <w:top w:val="single" w:sz="4" w:space="0" w:color="auto"/>
              <w:bottom w:val="single" w:sz="4" w:space="0" w:color="auto"/>
            </w:tcBorders>
            <w:shd w:val="clear" w:color="auto" w:fill="D9D9D9"/>
            <w:vAlign w:val="center"/>
          </w:tcPr>
          <w:p w14:paraId="644F876F" w14:textId="77777777" w:rsidR="00FD0858" w:rsidRPr="00127C6A" w:rsidRDefault="00FD0858" w:rsidP="00FD0858">
            <w:pPr>
              <w:spacing w:after="0" w:line="240" w:lineRule="auto"/>
              <w:jc w:val="center"/>
              <w:rPr>
                <w:rFonts w:ascii="David" w:hAnsi="David" w:cs="David"/>
                <w:color w:val="000000"/>
              </w:rPr>
            </w:pPr>
            <w:r w:rsidRPr="00127C6A">
              <w:rPr>
                <w:rFonts w:ascii="David" w:hAnsi="David" w:cs="David"/>
                <w:color w:val="000000"/>
              </w:rPr>
              <w:t>0:14</w:t>
            </w:r>
          </w:p>
        </w:tc>
        <w:tc>
          <w:tcPr>
            <w:tcW w:w="992" w:type="dxa"/>
            <w:tcBorders>
              <w:top w:val="single" w:sz="4" w:space="0" w:color="auto"/>
              <w:bottom w:val="single" w:sz="4" w:space="0" w:color="auto"/>
            </w:tcBorders>
            <w:shd w:val="clear" w:color="auto" w:fill="D9D9D9"/>
            <w:vAlign w:val="center"/>
          </w:tcPr>
          <w:p w14:paraId="5A0BAC8D" w14:textId="77777777" w:rsidR="00FD0858" w:rsidRPr="00127C6A" w:rsidRDefault="00FD0858" w:rsidP="00FD0858">
            <w:pPr>
              <w:spacing w:after="0" w:line="240" w:lineRule="auto"/>
              <w:jc w:val="center"/>
              <w:rPr>
                <w:rFonts w:ascii="David" w:hAnsi="David" w:cs="David"/>
                <w:color w:val="000000"/>
              </w:rPr>
            </w:pPr>
            <w:r w:rsidRPr="00127C6A">
              <w:rPr>
                <w:rFonts w:ascii="David" w:hAnsi="David" w:cs="David" w:hint="cs"/>
                <w:color w:val="000000"/>
                <w:rtl/>
              </w:rPr>
              <w:t>1:01+</w:t>
            </w:r>
          </w:p>
        </w:tc>
      </w:tr>
      <w:tr w:rsidR="00FD0858" w:rsidRPr="00127C6A" w14:paraId="6BC0B548"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2942164B" w14:textId="77777777" w:rsidR="00FD0858" w:rsidRPr="00127C6A" w:rsidRDefault="00FD0858" w:rsidP="00FD0858">
            <w:pPr>
              <w:spacing w:after="0" w:line="240" w:lineRule="auto"/>
              <w:rPr>
                <w:rFonts w:ascii="David" w:hAnsi="David" w:cs="David"/>
                <w:color w:val="000000"/>
                <w:rtl/>
              </w:rPr>
            </w:pPr>
            <w:r w:rsidRPr="00127C6A">
              <w:rPr>
                <w:rFonts w:ascii="David" w:hAnsi="David" w:cs="David"/>
                <w:color w:val="000000"/>
                <w:rtl/>
              </w:rPr>
              <w:t>שלום</w:t>
            </w:r>
          </w:p>
        </w:tc>
        <w:tc>
          <w:tcPr>
            <w:tcW w:w="992" w:type="dxa"/>
            <w:tcBorders>
              <w:top w:val="single" w:sz="4" w:space="0" w:color="auto"/>
              <w:bottom w:val="single" w:sz="4" w:space="0" w:color="auto"/>
            </w:tcBorders>
            <w:shd w:val="clear" w:color="auto" w:fill="auto"/>
            <w:noWrap/>
            <w:vAlign w:val="center"/>
          </w:tcPr>
          <w:p w14:paraId="675E0499" w14:textId="77777777" w:rsidR="00FD0858" w:rsidRPr="00127C6A" w:rsidRDefault="00FD0858" w:rsidP="00FD0858">
            <w:pPr>
              <w:spacing w:after="0" w:line="240" w:lineRule="auto"/>
              <w:rPr>
                <w:rFonts w:ascii="David" w:hAnsi="David" w:cs="David"/>
                <w:color w:val="000000"/>
                <w:rtl/>
              </w:rPr>
            </w:pPr>
            <w:r w:rsidRPr="00127C6A">
              <w:rPr>
                <w:rFonts w:ascii="David" w:hAnsi="David" w:cs="David"/>
                <w:color w:val="000000"/>
                <w:rtl/>
              </w:rPr>
              <w:t>מעצרים/ פלילי</w:t>
            </w:r>
          </w:p>
        </w:tc>
        <w:tc>
          <w:tcPr>
            <w:tcW w:w="2262" w:type="dxa"/>
            <w:tcBorders>
              <w:top w:val="single" w:sz="4" w:space="0" w:color="auto"/>
              <w:bottom w:val="single" w:sz="4" w:space="0" w:color="auto"/>
            </w:tcBorders>
            <w:shd w:val="clear" w:color="auto" w:fill="auto"/>
            <w:vAlign w:val="center"/>
          </w:tcPr>
          <w:p w14:paraId="1CE35B1E" w14:textId="77777777" w:rsidR="00FD0858" w:rsidRPr="00127C6A" w:rsidRDefault="00FD0858" w:rsidP="00FD0858">
            <w:pPr>
              <w:spacing w:after="0" w:line="240" w:lineRule="auto"/>
              <w:rPr>
                <w:rFonts w:ascii="David" w:hAnsi="David" w:cs="David"/>
                <w:color w:val="000000"/>
                <w:rtl/>
              </w:rPr>
            </w:pPr>
            <w:r w:rsidRPr="00127C6A">
              <w:rPr>
                <w:rFonts w:ascii="David" w:hAnsi="David" w:cs="David"/>
                <w:color w:val="000000"/>
                <w:rtl/>
              </w:rPr>
              <w:t>מעצר ימים (מ"י)</w:t>
            </w:r>
          </w:p>
        </w:tc>
        <w:tc>
          <w:tcPr>
            <w:tcW w:w="1276" w:type="dxa"/>
            <w:tcBorders>
              <w:top w:val="single" w:sz="4" w:space="0" w:color="auto"/>
              <w:bottom w:val="single" w:sz="4" w:space="0" w:color="auto"/>
            </w:tcBorders>
            <w:vAlign w:val="center"/>
          </w:tcPr>
          <w:p w14:paraId="592B5933" w14:textId="77777777" w:rsidR="00FD0858" w:rsidRPr="00127C6A" w:rsidRDefault="00FD0858" w:rsidP="00FD0858">
            <w:pPr>
              <w:bidi w:val="0"/>
              <w:spacing w:after="0" w:line="240" w:lineRule="auto"/>
              <w:jc w:val="center"/>
              <w:rPr>
                <w:rFonts w:ascii="David" w:hAnsi="David" w:cs="David"/>
                <w:color w:val="000000"/>
              </w:rPr>
            </w:pPr>
            <w:r w:rsidRPr="00127C6A">
              <w:rPr>
                <w:rFonts w:ascii="David" w:hAnsi="David" w:cs="David"/>
                <w:color w:val="000000"/>
              </w:rPr>
              <w:t>39,112</w:t>
            </w:r>
          </w:p>
        </w:tc>
        <w:tc>
          <w:tcPr>
            <w:tcW w:w="1418" w:type="dxa"/>
            <w:tcBorders>
              <w:top w:val="single" w:sz="4" w:space="0" w:color="auto"/>
              <w:bottom w:val="single" w:sz="4" w:space="0" w:color="auto"/>
            </w:tcBorders>
            <w:shd w:val="clear" w:color="auto" w:fill="auto"/>
            <w:noWrap/>
            <w:vAlign w:val="center"/>
          </w:tcPr>
          <w:p w14:paraId="6F09E86B" w14:textId="77777777" w:rsidR="00FD0858" w:rsidRPr="00127C6A" w:rsidRDefault="00FD0858" w:rsidP="00FD0858">
            <w:pPr>
              <w:spacing w:after="0" w:line="240" w:lineRule="auto"/>
              <w:jc w:val="center"/>
              <w:rPr>
                <w:rFonts w:ascii="David" w:hAnsi="David" w:cs="David"/>
                <w:b/>
                <w:bCs/>
                <w:color w:val="000000"/>
              </w:rPr>
            </w:pPr>
            <w:r w:rsidRPr="00127C6A">
              <w:rPr>
                <w:rFonts w:ascii="David" w:hAnsi="David" w:cs="David"/>
                <w:b/>
                <w:bCs/>
                <w:color w:val="000000"/>
              </w:rPr>
              <w:t>0:35</w:t>
            </w:r>
          </w:p>
        </w:tc>
        <w:tc>
          <w:tcPr>
            <w:tcW w:w="1417" w:type="dxa"/>
            <w:tcBorders>
              <w:top w:val="single" w:sz="4" w:space="0" w:color="auto"/>
              <w:bottom w:val="single" w:sz="4" w:space="0" w:color="auto"/>
            </w:tcBorders>
            <w:shd w:val="clear" w:color="auto" w:fill="auto"/>
            <w:vAlign w:val="center"/>
          </w:tcPr>
          <w:p w14:paraId="6A264A7A" w14:textId="77777777" w:rsidR="00FD0858" w:rsidRPr="00127C6A" w:rsidRDefault="00FD0858" w:rsidP="00FD0858">
            <w:pPr>
              <w:spacing w:after="0" w:line="240" w:lineRule="auto"/>
              <w:jc w:val="center"/>
              <w:rPr>
                <w:rFonts w:ascii="David" w:hAnsi="David" w:cs="David"/>
                <w:color w:val="000000"/>
              </w:rPr>
            </w:pPr>
            <w:r w:rsidRPr="00127C6A">
              <w:rPr>
                <w:rFonts w:ascii="David" w:hAnsi="David" w:cs="David"/>
                <w:color w:val="000000"/>
              </w:rPr>
              <w:t>0:31</w:t>
            </w:r>
          </w:p>
        </w:tc>
        <w:tc>
          <w:tcPr>
            <w:tcW w:w="992" w:type="dxa"/>
            <w:tcBorders>
              <w:top w:val="single" w:sz="4" w:space="0" w:color="auto"/>
              <w:bottom w:val="single" w:sz="4" w:space="0" w:color="auto"/>
            </w:tcBorders>
            <w:shd w:val="clear" w:color="auto" w:fill="auto"/>
            <w:vAlign w:val="center"/>
          </w:tcPr>
          <w:p w14:paraId="5A042307" w14:textId="77777777" w:rsidR="00FD0858" w:rsidRPr="00127C6A" w:rsidRDefault="00FD0858" w:rsidP="00FD0858">
            <w:pPr>
              <w:spacing w:after="0" w:line="240" w:lineRule="auto"/>
              <w:jc w:val="center"/>
              <w:rPr>
                <w:rFonts w:ascii="David" w:hAnsi="David" w:cs="David"/>
                <w:color w:val="000000"/>
                <w:rtl/>
              </w:rPr>
            </w:pPr>
            <w:r w:rsidRPr="00127C6A">
              <w:rPr>
                <w:rFonts w:ascii="David" w:hAnsi="David" w:cs="David"/>
                <w:color w:val="000000"/>
              </w:rPr>
              <w:t>0:04</w:t>
            </w:r>
            <w:r w:rsidRPr="00127C6A">
              <w:rPr>
                <w:rFonts w:ascii="David" w:hAnsi="David" w:cs="David" w:hint="cs"/>
                <w:color w:val="000000"/>
                <w:rtl/>
              </w:rPr>
              <w:t>+</w:t>
            </w:r>
          </w:p>
        </w:tc>
      </w:tr>
      <w:tr w:rsidR="007D380E" w:rsidRPr="00127C6A" w14:paraId="18A789D2"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2953910B" w14:textId="07313258" w:rsidR="007D380E" w:rsidRPr="00127C6A" w:rsidRDefault="007D380E" w:rsidP="007D380E">
            <w:pPr>
              <w:spacing w:after="0" w:line="240" w:lineRule="auto"/>
              <w:rPr>
                <w:rFonts w:ascii="David" w:hAnsi="David" w:cs="David"/>
                <w:color w:val="000000"/>
                <w:rtl/>
              </w:rPr>
            </w:pPr>
            <w:r w:rsidRPr="00127C6A">
              <w:rPr>
                <w:rFonts w:ascii="David" w:eastAsia="Times New Roman" w:hAnsi="David" w:cs="David"/>
                <w:b/>
                <w:bCs/>
                <w:color w:val="000000"/>
                <w:rtl/>
              </w:rPr>
              <w:lastRenderedPageBreak/>
              <w:t>ערכאה</w:t>
            </w:r>
          </w:p>
        </w:tc>
        <w:tc>
          <w:tcPr>
            <w:tcW w:w="992" w:type="dxa"/>
            <w:tcBorders>
              <w:top w:val="single" w:sz="4" w:space="0" w:color="auto"/>
              <w:bottom w:val="single" w:sz="4" w:space="0" w:color="auto"/>
            </w:tcBorders>
            <w:shd w:val="clear" w:color="auto" w:fill="auto"/>
            <w:noWrap/>
            <w:vAlign w:val="center"/>
          </w:tcPr>
          <w:p w14:paraId="05F00E1E" w14:textId="05651876" w:rsidR="007D380E" w:rsidRPr="00127C6A" w:rsidRDefault="007D380E" w:rsidP="007D380E">
            <w:pPr>
              <w:spacing w:after="0" w:line="240" w:lineRule="auto"/>
              <w:rPr>
                <w:rFonts w:ascii="David" w:hAnsi="David" w:cs="David"/>
                <w:color w:val="000000"/>
                <w:rtl/>
              </w:rPr>
            </w:pPr>
            <w:r w:rsidRPr="00127C6A">
              <w:rPr>
                <w:rFonts w:ascii="David" w:eastAsia="Times New Roman" w:hAnsi="David" w:cs="David"/>
                <w:b/>
                <w:bCs/>
                <w:color w:val="000000"/>
                <w:rtl/>
              </w:rPr>
              <w:t>הליך</w:t>
            </w:r>
          </w:p>
        </w:tc>
        <w:tc>
          <w:tcPr>
            <w:tcW w:w="2262" w:type="dxa"/>
            <w:tcBorders>
              <w:top w:val="single" w:sz="4" w:space="0" w:color="auto"/>
              <w:bottom w:val="single" w:sz="4" w:space="0" w:color="auto"/>
            </w:tcBorders>
            <w:shd w:val="clear" w:color="auto" w:fill="auto"/>
            <w:vAlign w:val="center"/>
          </w:tcPr>
          <w:p w14:paraId="655A5470" w14:textId="12682D14" w:rsidR="007D380E" w:rsidRPr="00127C6A" w:rsidRDefault="007D380E" w:rsidP="007D380E">
            <w:pPr>
              <w:spacing w:after="0" w:line="240" w:lineRule="auto"/>
              <w:rPr>
                <w:rFonts w:ascii="David" w:hAnsi="David" w:cs="David"/>
                <w:color w:val="000000"/>
                <w:rtl/>
              </w:rPr>
            </w:pPr>
            <w:r w:rsidRPr="00127C6A">
              <w:rPr>
                <w:rFonts w:ascii="David" w:eastAsia="Times New Roman" w:hAnsi="David" w:cs="David"/>
                <w:b/>
                <w:bCs/>
                <w:color w:val="000000"/>
                <w:rtl/>
              </w:rPr>
              <w:t>סוג תיק</w:t>
            </w:r>
          </w:p>
        </w:tc>
        <w:tc>
          <w:tcPr>
            <w:tcW w:w="1276" w:type="dxa"/>
            <w:tcBorders>
              <w:top w:val="single" w:sz="4" w:space="0" w:color="auto"/>
              <w:bottom w:val="single" w:sz="4" w:space="0" w:color="auto"/>
            </w:tcBorders>
            <w:shd w:val="clear" w:color="auto" w:fill="auto"/>
            <w:vAlign w:val="center"/>
          </w:tcPr>
          <w:p w14:paraId="556627B9" w14:textId="4196134F" w:rsidR="007D380E" w:rsidRPr="00127C6A" w:rsidRDefault="007D380E" w:rsidP="007D380E">
            <w:pPr>
              <w:bidi w:val="0"/>
              <w:spacing w:after="0" w:line="240" w:lineRule="auto"/>
              <w:jc w:val="center"/>
              <w:rPr>
                <w:rFonts w:ascii="David" w:hAnsi="David" w:cs="David"/>
                <w:color w:val="000000"/>
              </w:rPr>
            </w:pPr>
            <w:r w:rsidRPr="00127C6A">
              <w:rPr>
                <w:rFonts w:ascii="David" w:eastAsia="Times New Roman" w:hAnsi="David" w:cs="David" w:hint="cs"/>
                <w:b/>
                <w:bCs/>
                <w:color w:val="000000"/>
                <w:rtl/>
              </w:rPr>
              <w:t>מספר תיקים שנסגרו ב-2019</w:t>
            </w:r>
          </w:p>
        </w:tc>
        <w:tc>
          <w:tcPr>
            <w:tcW w:w="1418" w:type="dxa"/>
            <w:tcBorders>
              <w:top w:val="single" w:sz="4" w:space="0" w:color="auto"/>
              <w:bottom w:val="single" w:sz="4" w:space="0" w:color="auto"/>
            </w:tcBorders>
            <w:shd w:val="clear" w:color="auto" w:fill="auto"/>
            <w:noWrap/>
            <w:vAlign w:val="center"/>
          </w:tcPr>
          <w:p w14:paraId="4B0ED8A5" w14:textId="356F9CA2" w:rsidR="007D380E" w:rsidRPr="00127C6A" w:rsidRDefault="007D380E" w:rsidP="007D380E">
            <w:pPr>
              <w:spacing w:after="0" w:line="240" w:lineRule="auto"/>
              <w:jc w:val="center"/>
              <w:rPr>
                <w:rFonts w:ascii="David" w:hAnsi="David" w:cs="David"/>
                <w:b/>
                <w:bCs/>
                <w:color w:val="000000"/>
              </w:rPr>
            </w:pPr>
            <w:r w:rsidRPr="00127C6A">
              <w:rPr>
                <w:rFonts w:ascii="David" w:eastAsia="Times New Roman" w:hAnsi="David" w:cs="David"/>
                <w:b/>
                <w:bCs/>
                <w:color w:val="000000"/>
                <w:rtl/>
              </w:rPr>
              <w:t>הזמן השיפוטי הממוצע לט</w:t>
            </w:r>
            <w:r w:rsidRPr="00127C6A">
              <w:rPr>
                <w:rFonts w:ascii="David" w:eastAsia="Times New Roman" w:hAnsi="David" w:cs="David" w:hint="cs"/>
                <w:b/>
                <w:bCs/>
                <w:color w:val="000000"/>
                <w:rtl/>
              </w:rPr>
              <w:t>י</w:t>
            </w:r>
            <w:r w:rsidRPr="00127C6A">
              <w:rPr>
                <w:rFonts w:ascii="David" w:eastAsia="Times New Roman" w:hAnsi="David" w:cs="David"/>
                <w:b/>
                <w:bCs/>
                <w:color w:val="000000"/>
                <w:rtl/>
              </w:rPr>
              <w:t>פ</w:t>
            </w:r>
            <w:r w:rsidRPr="00127C6A">
              <w:rPr>
                <w:rFonts w:ascii="David" w:eastAsia="Times New Roman" w:hAnsi="David" w:cs="David" w:hint="cs"/>
                <w:b/>
                <w:bCs/>
                <w:color w:val="000000"/>
                <w:rtl/>
              </w:rPr>
              <w:t>ו</w:t>
            </w:r>
            <w:r w:rsidRPr="00127C6A">
              <w:rPr>
                <w:rFonts w:ascii="David" w:eastAsia="Times New Roman" w:hAnsi="David" w:cs="David"/>
                <w:b/>
                <w:bCs/>
                <w:color w:val="000000"/>
                <w:rtl/>
              </w:rPr>
              <w:t>ל בתיק</w:t>
            </w:r>
          </w:p>
        </w:tc>
        <w:tc>
          <w:tcPr>
            <w:tcW w:w="1417" w:type="dxa"/>
            <w:tcBorders>
              <w:top w:val="single" w:sz="4" w:space="0" w:color="auto"/>
              <w:bottom w:val="single" w:sz="4" w:space="0" w:color="auto"/>
            </w:tcBorders>
            <w:shd w:val="clear" w:color="auto" w:fill="auto"/>
            <w:vAlign w:val="center"/>
          </w:tcPr>
          <w:p w14:paraId="139A1620" w14:textId="15D8D203" w:rsidR="007D380E" w:rsidRPr="00127C6A" w:rsidRDefault="007D380E" w:rsidP="007D380E">
            <w:pPr>
              <w:spacing w:after="0" w:line="240" w:lineRule="auto"/>
              <w:jc w:val="center"/>
              <w:rPr>
                <w:rFonts w:ascii="David" w:hAnsi="David" w:cs="David"/>
                <w:color w:val="000000"/>
              </w:rPr>
            </w:pPr>
            <w:r w:rsidRPr="00127C6A">
              <w:rPr>
                <w:rFonts w:ascii="David" w:eastAsia="Times New Roman" w:hAnsi="David" w:cs="David"/>
                <w:b/>
                <w:bCs/>
                <w:color w:val="000000"/>
                <w:rtl/>
              </w:rPr>
              <w:t xml:space="preserve">הזמן השיפוטי </w:t>
            </w:r>
            <w:r w:rsidRPr="00127C6A">
              <w:rPr>
                <w:rFonts w:ascii="David" w:eastAsia="Times New Roman" w:hAnsi="David" w:cs="David" w:hint="cs"/>
                <w:b/>
                <w:bCs/>
                <w:color w:val="000000"/>
                <w:rtl/>
              </w:rPr>
              <w:t xml:space="preserve">הממוצע </w:t>
            </w:r>
            <w:r w:rsidRPr="00127C6A">
              <w:rPr>
                <w:rFonts w:ascii="David" w:eastAsia="Times New Roman" w:hAnsi="David" w:cs="David"/>
                <w:b/>
                <w:bCs/>
                <w:color w:val="000000"/>
                <w:rtl/>
              </w:rPr>
              <w:t>לפי מחקר ה</w:t>
            </w:r>
            <w:r w:rsidRPr="00127C6A">
              <w:rPr>
                <w:rFonts w:ascii="David" w:eastAsia="Times New Roman" w:hAnsi="David" w:cs="David" w:hint="cs"/>
                <w:b/>
                <w:bCs/>
                <w:color w:val="000000"/>
                <w:rtl/>
              </w:rPr>
              <w:t>קודם</w:t>
            </w:r>
          </w:p>
        </w:tc>
        <w:tc>
          <w:tcPr>
            <w:tcW w:w="992" w:type="dxa"/>
            <w:tcBorders>
              <w:top w:val="single" w:sz="4" w:space="0" w:color="auto"/>
              <w:bottom w:val="single" w:sz="4" w:space="0" w:color="auto"/>
            </w:tcBorders>
            <w:shd w:val="clear" w:color="auto" w:fill="auto"/>
            <w:vAlign w:val="center"/>
          </w:tcPr>
          <w:p w14:paraId="194F777C" w14:textId="39FD8ACB" w:rsidR="007D380E" w:rsidRPr="00127C6A" w:rsidRDefault="007D380E" w:rsidP="007D380E">
            <w:pPr>
              <w:spacing w:after="0" w:line="240" w:lineRule="auto"/>
              <w:jc w:val="center"/>
              <w:rPr>
                <w:rFonts w:ascii="David" w:hAnsi="David" w:cs="David"/>
                <w:color w:val="000000"/>
              </w:rPr>
            </w:pPr>
            <w:r w:rsidRPr="00127C6A">
              <w:rPr>
                <w:rFonts w:ascii="David" w:eastAsia="Times New Roman" w:hAnsi="David" w:cs="David"/>
                <w:b/>
                <w:bCs/>
                <w:color w:val="000000"/>
                <w:rtl/>
              </w:rPr>
              <w:t xml:space="preserve">מגמת </w:t>
            </w:r>
            <w:r w:rsidRPr="00127C6A">
              <w:rPr>
                <w:rFonts w:ascii="David" w:eastAsia="Times New Roman" w:hAnsi="David" w:cs="David" w:hint="cs"/>
                <w:b/>
                <w:bCs/>
                <w:color w:val="000000"/>
                <w:rtl/>
              </w:rPr>
              <w:t>ה</w:t>
            </w:r>
            <w:r w:rsidRPr="00127C6A">
              <w:rPr>
                <w:rFonts w:ascii="David" w:eastAsia="Times New Roman" w:hAnsi="David" w:cs="David"/>
                <w:b/>
                <w:bCs/>
                <w:color w:val="000000"/>
                <w:rtl/>
              </w:rPr>
              <w:t>שינוי</w:t>
            </w:r>
          </w:p>
        </w:tc>
      </w:tr>
      <w:tr w:rsidR="007D380E" w:rsidRPr="00127C6A" w14:paraId="22E188B9"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5AF78104" w14:textId="77777777" w:rsidR="007D380E" w:rsidRPr="00127C6A" w:rsidRDefault="007D380E" w:rsidP="007D380E">
            <w:pPr>
              <w:spacing w:after="0" w:line="240" w:lineRule="auto"/>
              <w:rPr>
                <w:rFonts w:ascii="David" w:hAnsi="David" w:cs="David"/>
                <w:color w:val="000000"/>
                <w:rtl/>
              </w:rPr>
            </w:pPr>
            <w:r w:rsidRPr="00127C6A">
              <w:rPr>
                <w:rFonts w:ascii="David" w:hAnsi="David" w:cs="David"/>
                <w:color w:val="000000"/>
                <w:rtl/>
              </w:rPr>
              <w:t>שלום</w:t>
            </w:r>
          </w:p>
        </w:tc>
        <w:tc>
          <w:tcPr>
            <w:tcW w:w="992" w:type="dxa"/>
            <w:tcBorders>
              <w:top w:val="single" w:sz="4" w:space="0" w:color="auto"/>
              <w:bottom w:val="single" w:sz="4" w:space="0" w:color="auto"/>
            </w:tcBorders>
            <w:shd w:val="clear" w:color="auto" w:fill="D9D9D9"/>
            <w:noWrap/>
            <w:vAlign w:val="center"/>
          </w:tcPr>
          <w:p w14:paraId="641D6C04" w14:textId="77777777" w:rsidR="007D380E" w:rsidRPr="00127C6A" w:rsidRDefault="007D380E" w:rsidP="007D380E">
            <w:pPr>
              <w:spacing w:after="0" w:line="240" w:lineRule="auto"/>
              <w:rPr>
                <w:rFonts w:ascii="David" w:hAnsi="David" w:cs="David"/>
                <w:color w:val="000000"/>
                <w:rtl/>
              </w:rPr>
            </w:pPr>
            <w:r w:rsidRPr="00127C6A">
              <w:rPr>
                <w:rFonts w:ascii="David" w:hAnsi="David" w:cs="David"/>
                <w:color w:val="000000"/>
                <w:rtl/>
              </w:rPr>
              <w:t>פלילי</w:t>
            </w:r>
          </w:p>
        </w:tc>
        <w:tc>
          <w:tcPr>
            <w:tcW w:w="2262" w:type="dxa"/>
            <w:tcBorders>
              <w:top w:val="single" w:sz="4" w:space="0" w:color="auto"/>
              <w:bottom w:val="single" w:sz="4" w:space="0" w:color="auto"/>
            </w:tcBorders>
            <w:shd w:val="clear" w:color="auto" w:fill="D9D9D9"/>
            <w:vAlign w:val="center"/>
          </w:tcPr>
          <w:p w14:paraId="57C5AF11" w14:textId="77777777" w:rsidR="007D380E" w:rsidRPr="00127C6A" w:rsidRDefault="007D380E" w:rsidP="007D380E">
            <w:pPr>
              <w:spacing w:after="0" w:line="240" w:lineRule="auto"/>
              <w:rPr>
                <w:rFonts w:ascii="David" w:hAnsi="David" w:cs="David"/>
                <w:color w:val="000000"/>
                <w:rtl/>
              </w:rPr>
            </w:pPr>
            <w:r w:rsidRPr="00127C6A">
              <w:rPr>
                <w:rFonts w:ascii="David" w:hAnsi="David" w:cs="David"/>
                <w:color w:val="000000"/>
                <w:rtl/>
              </w:rPr>
              <w:t>ערר על החלטת קצין (ע"ק)</w:t>
            </w:r>
          </w:p>
        </w:tc>
        <w:tc>
          <w:tcPr>
            <w:tcW w:w="1276" w:type="dxa"/>
            <w:tcBorders>
              <w:top w:val="single" w:sz="4" w:space="0" w:color="auto"/>
              <w:bottom w:val="single" w:sz="4" w:space="0" w:color="auto"/>
            </w:tcBorders>
            <w:shd w:val="clear" w:color="auto" w:fill="D9D9D9"/>
            <w:vAlign w:val="center"/>
          </w:tcPr>
          <w:p w14:paraId="55DA024E" w14:textId="77777777" w:rsidR="007D380E" w:rsidRPr="00127C6A" w:rsidRDefault="007D380E" w:rsidP="007D380E">
            <w:pPr>
              <w:bidi w:val="0"/>
              <w:spacing w:after="0" w:line="240" w:lineRule="auto"/>
              <w:jc w:val="center"/>
              <w:rPr>
                <w:rFonts w:ascii="David" w:hAnsi="David" w:cs="David"/>
                <w:color w:val="000000"/>
              </w:rPr>
            </w:pPr>
            <w:r w:rsidRPr="00127C6A">
              <w:rPr>
                <w:rFonts w:ascii="David" w:hAnsi="David" w:cs="David"/>
                <w:color w:val="000000"/>
              </w:rPr>
              <w:t>499</w:t>
            </w:r>
          </w:p>
        </w:tc>
        <w:tc>
          <w:tcPr>
            <w:tcW w:w="1418" w:type="dxa"/>
            <w:tcBorders>
              <w:top w:val="single" w:sz="4" w:space="0" w:color="auto"/>
              <w:bottom w:val="single" w:sz="4" w:space="0" w:color="auto"/>
            </w:tcBorders>
            <w:shd w:val="clear" w:color="auto" w:fill="D9D9D9"/>
            <w:noWrap/>
            <w:vAlign w:val="center"/>
          </w:tcPr>
          <w:p w14:paraId="27975017" w14:textId="77777777" w:rsidR="007D380E" w:rsidRPr="00127C6A" w:rsidRDefault="007D380E" w:rsidP="007D380E">
            <w:pPr>
              <w:spacing w:after="0" w:line="240" w:lineRule="auto"/>
              <w:jc w:val="center"/>
              <w:rPr>
                <w:rFonts w:ascii="David" w:hAnsi="David" w:cs="David"/>
                <w:b/>
                <w:bCs/>
                <w:color w:val="000000"/>
              </w:rPr>
            </w:pPr>
            <w:r w:rsidRPr="00127C6A">
              <w:rPr>
                <w:rFonts w:ascii="David" w:hAnsi="David" w:cs="David"/>
                <w:b/>
                <w:bCs/>
                <w:color w:val="000000"/>
              </w:rPr>
              <w:t>0:35</w:t>
            </w:r>
          </w:p>
        </w:tc>
        <w:tc>
          <w:tcPr>
            <w:tcW w:w="1417" w:type="dxa"/>
            <w:tcBorders>
              <w:top w:val="single" w:sz="4" w:space="0" w:color="auto"/>
              <w:bottom w:val="single" w:sz="4" w:space="0" w:color="auto"/>
            </w:tcBorders>
            <w:shd w:val="clear" w:color="auto" w:fill="D9D9D9"/>
            <w:vAlign w:val="center"/>
          </w:tcPr>
          <w:p w14:paraId="72E84F74" w14:textId="77777777" w:rsidR="007D380E" w:rsidRPr="00127C6A" w:rsidRDefault="007D380E" w:rsidP="007D380E">
            <w:pPr>
              <w:spacing w:after="0" w:line="240" w:lineRule="auto"/>
              <w:jc w:val="center"/>
              <w:rPr>
                <w:rFonts w:ascii="David" w:hAnsi="David" w:cs="David"/>
                <w:color w:val="000000"/>
              </w:rPr>
            </w:pPr>
            <w:r w:rsidRPr="00127C6A">
              <w:rPr>
                <w:rFonts w:ascii="David" w:hAnsi="David" w:cs="David"/>
                <w:color w:val="000000"/>
              </w:rPr>
              <w:t>-</w:t>
            </w:r>
          </w:p>
        </w:tc>
        <w:tc>
          <w:tcPr>
            <w:tcW w:w="992" w:type="dxa"/>
            <w:tcBorders>
              <w:top w:val="single" w:sz="4" w:space="0" w:color="auto"/>
              <w:bottom w:val="single" w:sz="4" w:space="0" w:color="auto"/>
            </w:tcBorders>
            <w:shd w:val="clear" w:color="auto" w:fill="D9D9D9"/>
            <w:vAlign w:val="center"/>
          </w:tcPr>
          <w:p w14:paraId="553D11D2" w14:textId="77777777" w:rsidR="007D380E" w:rsidRPr="00127C6A" w:rsidRDefault="007D380E" w:rsidP="007D380E">
            <w:pPr>
              <w:spacing w:after="0" w:line="240" w:lineRule="auto"/>
              <w:jc w:val="center"/>
              <w:rPr>
                <w:rFonts w:ascii="David" w:hAnsi="David" w:cs="David"/>
                <w:color w:val="000000"/>
                <w:rtl/>
              </w:rPr>
            </w:pPr>
            <w:r w:rsidRPr="00127C6A">
              <w:rPr>
                <w:rFonts w:ascii="David" w:hAnsi="David" w:cs="David"/>
                <w:color w:val="000000"/>
              </w:rPr>
              <w:t>-</w:t>
            </w:r>
          </w:p>
        </w:tc>
      </w:tr>
      <w:tr w:rsidR="007D380E" w:rsidRPr="00127C6A" w14:paraId="010B764E"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4146D61B" w14:textId="77777777" w:rsidR="007D380E" w:rsidRPr="00127C6A" w:rsidRDefault="007D380E" w:rsidP="007D380E">
            <w:pPr>
              <w:spacing w:after="0" w:line="240" w:lineRule="auto"/>
              <w:rPr>
                <w:rFonts w:ascii="David" w:hAnsi="David" w:cs="David"/>
                <w:color w:val="000000"/>
                <w:rtl/>
              </w:rPr>
            </w:pPr>
            <w:r w:rsidRPr="00127C6A">
              <w:rPr>
                <w:rFonts w:ascii="David" w:hAnsi="David" w:cs="David"/>
                <w:color w:val="000000"/>
                <w:rtl/>
              </w:rPr>
              <w:t>שלום</w:t>
            </w:r>
          </w:p>
        </w:tc>
        <w:tc>
          <w:tcPr>
            <w:tcW w:w="992" w:type="dxa"/>
            <w:tcBorders>
              <w:top w:val="single" w:sz="4" w:space="0" w:color="auto"/>
              <w:bottom w:val="single" w:sz="4" w:space="0" w:color="auto"/>
            </w:tcBorders>
            <w:shd w:val="clear" w:color="auto" w:fill="auto"/>
            <w:noWrap/>
            <w:vAlign w:val="center"/>
          </w:tcPr>
          <w:p w14:paraId="5590ACCA" w14:textId="77777777" w:rsidR="007D380E" w:rsidRPr="00127C6A" w:rsidRDefault="007D380E" w:rsidP="007D380E">
            <w:pPr>
              <w:spacing w:after="0" w:line="240" w:lineRule="auto"/>
              <w:rPr>
                <w:rFonts w:ascii="David" w:hAnsi="David" w:cs="David"/>
                <w:color w:val="000000"/>
                <w:rtl/>
              </w:rPr>
            </w:pPr>
            <w:r w:rsidRPr="00127C6A">
              <w:rPr>
                <w:rFonts w:ascii="David" w:hAnsi="David" w:cs="David"/>
                <w:color w:val="000000"/>
                <w:rtl/>
              </w:rPr>
              <w:t>פלילי</w:t>
            </w:r>
          </w:p>
        </w:tc>
        <w:tc>
          <w:tcPr>
            <w:tcW w:w="2262" w:type="dxa"/>
            <w:tcBorders>
              <w:top w:val="single" w:sz="4" w:space="0" w:color="auto"/>
              <w:bottom w:val="single" w:sz="4" w:space="0" w:color="auto"/>
            </w:tcBorders>
            <w:shd w:val="clear" w:color="auto" w:fill="auto"/>
            <w:vAlign w:val="center"/>
          </w:tcPr>
          <w:p w14:paraId="2A419933" w14:textId="77777777" w:rsidR="007D380E" w:rsidRPr="00127C6A" w:rsidRDefault="007D380E" w:rsidP="007D380E">
            <w:pPr>
              <w:spacing w:after="0" w:line="240" w:lineRule="auto"/>
              <w:rPr>
                <w:rFonts w:ascii="David" w:hAnsi="David" w:cs="David"/>
                <w:color w:val="000000"/>
                <w:rtl/>
              </w:rPr>
            </w:pPr>
            <w:r w:rsidRPr="00127C6A">
              <w:rPr>
                <w:rFonts w:ascii="David" w:hAnsi="David" w:cs="David"/>
                <w:color w:val="000000"/>
                <w:rtl/>
              </w:rPr>
              <w:t>חקירת סיבות מוות (חס"מ)</w:t>
            </w:r>
          </w:p>
        </w:tc>
        <w:tc>
          <w:tcPr>
            <w:tcW w:w="1276" w:type="dxa"/>
            <w:tcBorders>
              <w:top w:val="single" w:sz="4" w:space="0" w:color="auto"/>
              <w:bottom w:val="single" w:sz="4" w:space="0" w:color="auto"/>
            </w:tcBorders>
            <w:vAlign w:val="center"/>
          </w:tcPr>
          <w:p w14:paraId="319F0EDF" w14:textId="77777777" w:rsidR="007D380E" w:rsidRPr="00127C6A" w:rsidRDefault="007D380E" w:rsidP="007D380E">
            <w:pPr>
              <w:bidi w:val="0"/>
              <w:spacing w:after="0" w:line="240" w:lineRule="auto"/>
              <w:jc w:val="center"/>
              <w:rPr>
                <w:rFonts w:ascii="David" w:hAnsi="David" w:cs="David"/>
                <w:color w:val="000000"/>
              </w:rPr>
            </w:pPr>
            <w:r w:rsidRPr="00127C6A">
              <w:rPr>
                <w:rFonts w:ascii="David" w:hAnsi="David" w:cs="David"/>
                <w:color w:val="000000"/>
              </w:rPr>
              <w:t>149</w:t>
            </w:r>
          </w:p>
        </w:tc>
        <w:tc>
          <w:tcPr>
            <w:tcW w:w="1418" w:type="dxa"/>
            <w:tcBorders>
              <w:top w:val="single" w:sz="4" w:space="0" w:color="auto"/>
              <w:bottom w:val="single" w:sz="4" w:space="0" w:color="auto"/>
            </w:tcBorders>
            <w:shd w:val="clear" w:color="auto" w:fill="auto"/>
            <w:noWrap/>
            <w:vAlign w:val="center"/>
          </w:tcPr>
          <w:p w14:paraId="3E0A5695" w14:textId="77777777" w:rsidR="007D380E" w:rsidRPr="00127C6A" w:rsidRDefault="007D380E" w:rsidP="007D380E">
            <w:pPr>
              <w:spacing w:after="0" w:line="240" w:lineRule="auto"/>
              <w:jc w:val="center"/>
              <w:rPr>
                <w:rFonts w:ascii="David" w:hAnsi="David" w:cs="David"/>
                <w:b/>
                <w:bCs/>
                <w:color w:val="000000"/>
              </w:rPr>
            </w:pPr>
            <w:r w:rsidRPr="00127C6A">
              <w:rPr>
                <w:rFonts w:ascii="David" w:hAnsi="David" w:cs="David"/>
                <w:b/>
                <w:bCs/>
                <w:color w:val="000000"/>
              </w:rPr>
              <w:t>0:30</w:t>
            </w:r>
          </w:p>
        </w:tc>
        <w:tc>
          <w:tcPr>
            <w:tcW w:w="1417" w:type="dxa"/>
            <w:tcBorders>
              <w:top w:val="single" w:sz="4" w:space="0" w:color="auto"/>
              <w:bottom w:val="single" w:sz="4" w:space="0" w:color="auto"/>
            </w:tcBorders>
            <w:shd w:val="clear" w:color="auto" w:fill="auto"/>
            <w:vAlign w:val="center"/>
          </w:tcPr>
          <w:p w14:paraId="2DA8563D" w14:textId="77777777" w:rsidR="007D380E" w:rsidRPr="00127C6A" w:rsidRDefault="007D380E" w:rsidP="007D380E">
            <w:pPr>
              <w:spacing w:after="0" w:line="240" w:lineRule="auto"/>
              <w:jc w:val="center"/>
              <w:rPr>
                <w:rFonts w:ascii="David" w:hAnsi="David" w:cs="David"/>
                <w:color w:val="000000"/>
              </w:rPr>
            </w:pPr>
            <w:r w:rsidRPr="00127C6A">
              <w:rPr>
                <w:rFonts w:ascii="David" w:hAnsi="David" w:cs="David"/>
                <w:color w:val="000000"/>
              </w:rPr>
              <w:t>-</w:t>
            </w:r>
          </w:p>
        </w:tc>
        <w:tc>
          <w:tcPr>
            <w:tcW w:w="992" w:type="dxa"/>
            <w:tcBorders>
              <w:top w:val="single" w:sz="4" w:space="0" w:color="auto"/>
              <w:bottom w:val="single" w:sz="4" w:space="0" w:color="auto"/>
            </w:tcBorders>
            <w:shd w:val="clear" w:color="auto" w:fill="auto"/>
            <w:vAlign w:val="center"/>
          </w:tcPr>
          <w:p w14:paraId="2E014046" w14:textId="77777777" w:rsidR="007D380E" w:rsidRPr="00127C6A" w:rsidRDefault="007D380E" w:rsidP="007D380E">
            <w:pPr>
              <w:spacing w:after="0" w:line="240" w:lineRule="auto"/>
              <w:jc w:val="center"/>
              <w:rPr>
                <w:rFonts w:ascii="David" w:hAnsi="David" w:cs="David"/>
                <w:color w:val="000000"/>
              </w:rPr>
            </w:pPr>
            <w:r w:rsidRPr="00127C6A">
              <w:rPr>
                <w:rFonts w:ascii="David" w:hAnsi="David" w:cs="David"/>
                <w:color w:val="000000"/>
              </w:rPr>
              <w:t>-</w:t>
            </w:r>
          </w:p>
        </w:tc>
      </w:tr>
      <w:tr w:rsidR="007D380E" w:rsidRPr="00127C6A" w14:paraId="5649DA3A"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2FC63CA5" w14:textId="77777777" w:rsidR="007D380E" w:rsidRPr="00127C6A" w:rsidRDefault="007D380E" w:rsidP="007D380E">
            <w:pPr>
              <w:spacing w:after="0" w:line="240" w:lineRule="auto"/>
              <w:rPr>
                <w:rFonts w:ascii="David" w:hAnsi="David" w:cs="David"/>
                <w:color w:val="000000"/>
                <w:rtl/>
              </w:rPr>
            </w:pPr>
            <w:r w:rsidRPr="00127C6A">
              <w:rPr>
                <w:rFonts w:ascii="David" w:hAnsi="David" w:cs="David"/>
                <w:color w:val="000000"/>
                <w:rtl/>
              </w:rPr>
              <w:t>שלום</w:t>
            </w:r>
          </w:p>
        </w:tc>
        <w:tc>
          <w:tcPr>
            <w:tcW w:w="992" w:type="dxa"/>
            <w:tcBorders>
              <w:top w:val="single" w:sz="4" w:space="0" w:color="auto"/>
              <w:bottom w:val="single" w:sz="4" w:space="0" w:color="auto"/>
            </w:tcBorders>
            <w:shd w:val="clear" w:color="auto" w:fill="D9D9D9"/>
            <w:noWrap/>
            <w:vAlign w:val="center"/>
          </w:tcPr>
          <w:p w14:paraId="63114328" w14:textId="77777777" w:rsidR="007D380E" w:rsidRPr="00127C6A" w:rsidRDefault="007D380E" w:rsidP="007D380E">
            <w:pPr>
              <w:spacing w:after="0" w:line="240" w:lineRule="auto"/>
              <w:rPr>
                <w:rFonts w:ascii="David" w:hAnsi="David" w:cs="David"/>
                <w:color w:val="000000"/>
                <w:rtl/>
              </w:rPr>
            </w:pPr>
            <w:r w:rsidRPr="00127C6A">
              <w:rPr>
                <w:rFonts w:ascii="David" w:hAnsi="David" w:cs="David"/>
                <w:color w:val="000000"/>
                <w:rtl/>
              </w:rPr>
              <w:t>פלילי</w:t>
            </w:r>
          </w:p>
        </w:tc>
        <w:tc>
          <w:tcPr>
            <w:tcW w:w="2262" w:type="dxa"/>
            <w:tcBorders>
              <w:top w:val="single" w:sz="4" w:space="0" w:color="auto"/>
              <w:bottom w:val="single" w:sz="4" w:space="0" w:color="auto"/>
            </w:tcBorders>
            <w:shd w:val="clear" w:color="auto" w:fill="D9D9D9"/>
            <w:vAlign w:val="center"/>
          </w:tcPr>
          <w:p w14:paraId="284A4A3C" w14:textId="77777777" w:rsidR="007D380E" w:rsidRPr="00127C6A" w:rsidRDefault="007D380E" w:rsidP="007D380E">
            <w:pPr>
              <w:spacing w:after="0" w:line="240" w:lineRule="auto"/>
              <w:rPr>
                <w:rFonts w:ascii="David" w:hAnsi="David" w:cs="David"/>
                <w:color w:val="000000"/>
                <w:rtl/>
              </w:rPr>
            </w:pPr>
            <w:r w:rsidRPr="00127C6A">
              <w:rPr>
                <w:rFonts w:ascii="David" w:hAnsi="David" w:cs="David"/>
                <w:color w:val="000000"/>
                <w:rtl/>
              </w:rPr>
              <w:t>מאסר - קנס מנהלי (מק"מ)</w:t>
            </w:r>
          </w:p>
        </w:tc>
        <w:tc>
          <w:tcPr>
            <w:tcW w:w="1276" w:type="dxa"/>
            <w:tcBorders>
              <w:top w:val="single" w:sz="4" w:space="0" w:color="auto"/>
              <w:bottom w:val="single" w:sz="4" w:space="0" w:color="auto"/>
            </w:tcBorders>
            <w:shd w:val="clear" w:color="auto" w:fill="D9D9D9"/>
            <w:vAlign w:val="center"/>
          </w:tcPr>
          <w:p w14:paraId="450EA2C8" w14:textId="77777777" w:rsidR="007D380E" w:rsidRPr="00127C6A" w:rsidRDefault="007D380E" w:rsidP="007D380E">
            <w:pPr>
              <w:bidi w:val="0"/>
              <w:spacing w:after="0" w:line="240" w:lineRule="auto"/>
              <w:jc w:val="center"/>
              <w:rPr>
                <w:rFonts w:ascii="David" w:hAnsi="David" w:cs="David"/>
                <w:color w:val="000000"/>
              </w:rPr>
            </w:pPr>
            <w:r w:rsidRPr="00127C6A">
              <w:rPr>
                <w:rFonts w:ascii="David" w:hAnsi="David" w:cs="David"/>
                <w:color w:val="000000"/>
              </w:rPr>
              <w:t>938</w:t>
            </w:r>
          </w:p>
        </w:tc>
        <w:tc>
          <w:tcPr>
            <w:tcW w:w="1418" w:type="dxa"/>
            <w:tcBorders>
              <w:top w:val="single" w:sz="4" w:space="0" w:color="auto"/>
              <w:bottom w:val="single" w:sz="4" w:space="0" w:color="auto"/>
            </w:tcBorders>
            <w:shd w:val="clear" w:color="auto" w:fill="D9D9D9"/>
            <w:noWrap/>
            <w:vAlign w:val="center"/>
          </w:tcPr>
          <w:p w14:paraId="5D87BB54" w14:textId="77777777" w:rsidR="007D380E" w:rsidRPr="00127C6A" w:rsidRDefault="007D380E" w:rsidP="007D380E">
            <w:pPr>
              <w:spacing w:after="0" w:line="240" w:lineRule="auto"/>
              <w:jc w:val="center"/>
              <w:rPr>
                <w:rFonts w:ascii="David" w:hAnsi="David" w:cs="David"/>
                <w:b/>
                <w:bCs/>
                <w:color w:val="000000"/>
              </w:rPr>
            </w:pPr>
            <w:r w:rsidRPr="00127C6A">
              <w:rPr>
                <w:rFonts w:ascii="David" w:hAnsi="David" w:cs="David"/>
                <w:b/>
                <w:bCs/>
                <w:color w:val="000000"/>
              </w:rPr>
              <w:t>0:11</w:t>
            </w:r>
          </w:p>
        </w:tc>
        <w:tc>
          <w:tcPr>
            <w:tcW w:w="1417" w:type="dxa"/>
            <w:tcBorders>
              <w:top w:val="single" w:sz="4" w:space="0" w:color="auto"/>
              <w:bottom w:val="single" w:sz="4" w:space="0" w:color="auto"/>
            </w:tcBorders>
            <w:shd w:val="clear" w:color="auto" w:fill="D9D9D9"/>
            <w:vAlign w:val="center"/>
          </w:tcPr>
          <w:p w14:paraId="3B2A7C34" w14:textId="77777777" w:rsidR="007D380E" w:rsidRPr="00127C6A" w:rsidRDefault="007D380E" w:rsidP="007D380E">
            <w:pPr>
              <w:spacing w:after="0" w:line="240" w:lineRule="auto"/>
              <w:jc w:val="center"/>
              <w:rPr>
                <w:rFonts w:ascii="David" w:hAnsi="David" w:cs="David"/>
                <w:color w:val="000000"/>
              </w:rPr>
            </w:pPr>
            <w:r w:rsidRPr="00127C6A">
              <w:rPr>
                <w:rFonts w:ascii="David" w:hAnsi="David" w:cs="David" w:hint="cs"/>
                <w:color w:val="000000"/>
                <w:rtl/>
              </w:rPr>
              <w:t>-</w:t>
            </w:r>
          </w:p>
        </w:tc>
        <w:tc>
          <w:tcPr>
            <w:tcW w:w="992" w:type="dxa"/>
            <w:tcBorders>
              <w:top w:val="single" w:sz="4" w:space="0" w:color="auto"/>
              <w:bottom w:val="single" w:sz="4" w:space="0" w:color="auto"/>
            </w:tcBorders>
            <w:shd w:val="clear" w:color="auto" w:fill="D9D9D9"/>
            <w:vAlign w:val="center"/>
          </w:tcPr>
          <w:p w14:paraId="67EBA5F0" w14:textId="77777777" w:rsidR="007D380E" w:rsidRPr="00127C6A" w:rsidRDefault="007D380E" w:rsidP="007D380E">
            <w:pPr>
              <w:spacing w:after="0" w:line="240" w:lineRule="auto"/>
              <w:jc w:val="center"/>
              <w:rPr>
                <w:rFonts w:ascii="David" w:hAnsi="David" w:cs="David"/>
                <w:color w:val="000000"/>
              </w:rPr>
            </w:pPr>
            <w:r w:rsidRPr="00127C6A">
              <w:rPr>
                <w:rFonts w:ascii="David" w:hAnsi="David" w:cs="David" w:hint="cs"/>
                <w:color w:val="000000"/>
                <w:rtl/>
              </w:rPr>
              <w:t>-</w:t>
            </w:r>
          </w:p>
        </w:tc>
      </w:tr>
      <w:tr w:rsidR="007D380E" w:rsidRPr="00127C6A" w14:paraId="78C8A386"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6A45CE71" w14:textId="77777777" w:rsidR="007D380E" w:rsidRPr="00127C6A" w:rsidRDefault="007D380E" w:rsidP="007D380E">
            <w:pPr>
              <w:spacing w:after="0" w:line="240" w:lineRule="auto"/>
              <w:rPr>
                <w:rFonts w:ascii="David" w:hAnsi="David" w:cs="David"/>
                <w:color w:val="000000"/>
                <w:rtl/>
              </w:rPr>
            </w:pPr>
            <w:r w:rsidRPr="00127C6A">
              <w:rPr>
                <w:rFonts w:ascii="David" w:hAnsi="David" w:cs="David"/>
                <w:color w:val="000000"/>
                <w:rtl/>
              </w:rPr>
              <w:t>שלום</w:t>
            </w:r>
          </w:p>
        </w:tc>
        <w:tc>
          <w:tcPr>
            <w:tcW w:w="992" w:type="dxa"/>
            <w:tcBorders>
              <w:top w:val="single" w:sz="4" w:space="0" w:color="auto"/>
              <w:bottom w:val="single" w:sz="4" w:space="0" w:color="auto"/>
            </w:tcBorders>
            <w:shd w:val="clear" w:color="auto" w:fill="auto"/>
            <w:noWrap/>
            <w:vAlign w:val="center"/>
          </w:tcPr>
          <w:p w14:paraId="130DAA0F" w14:textId="77777777" w:rsidR="007D380E" w:rsidRPr="00127C6A" w:rsidRDefault="007D380E" w:rsidP="007D380E">
            <w:pPr>
              <w:spacing w:after="0" w:line="240" w:lineRule="auto"/>
              <w:rPr>
                <w:rFonts w:ascii="David" w:hAnsi="David" w:cs="David"/>
                <w:color w:val="000000"/>
                <w:rtl/>
              </w:rPr>
            </w:pPr>
            <w:r w:rsidRPr="00127C6A">
              <w:rPr>
                <w:rFonts w:ascii="David" w:hAnsi="David" w:cs="David"/>
                <w:color w:val="000000"/>
                <w:rtl/>
              </w:rPr>
              <w:t>מעצרים/ פלילי</w:t>
            </w:r>
          </w:p>
        </w:tc>
        <w:tc>
          <w:tcPr>
            <w:tcW w:w="2262" w:type="dxa"/>
            <w:tcBorders>
              <w:top w:val="single" w:sz="4" w:space="0" w:color="auto"/>
              <w:bottom w:val="single" w:sz="4" w:space="0" w:color="auto"/>
            </w:tcBorders>
            <w:shd w:val="clear" w:color="auto" w:fill="auto"/>
            <w:vAlign w:val="center"/>
          </w:tcPr>
          <w:p w14:paraId="0E41AF3C" w14:textId="77777777" w:rsidR="007D380E" w:rsidRPr="00127C6A" w:rsidRDefault="007D380E" w:rsidP="007D380E">
            <w:pPr>
              <w:spacing w:after="0" w:line="240" w:lineRule="auto"/>
              <w:rPr>
                <w:rFonts w:ascii="David" w:hAnsi="David" w:cs="David"/>
                <w:color w:val="000000"/>
                <w:rtl/>
              </w:rPr>
            </w:pPr>
            <w:r w:rsidRPr="00127C6A">
              <w:rPr>
                <w:rFonts w:ascii="David" w:hAnsi="David" w:cs="David"/>
                <w:color w:val="000000"/>
                <w:rtl/>
              </w:rPr>
              <w:t xml:space="preserve">צו אחר (צ"א) </w:t>
            </w:r>
          </w:p>
        </w:tc>
        <w:tc>
          <w:tcPr>
            <w:tcW w:w="1276" w:type="dxa"/>
            <w:tcBorders>
              <w:top w:val="single" w:sz="4" w:space="0" w:color="auto"/>
              <w:bottom w:val="single" w:sz="4" w:space="0" w:color="auto"/>
            </w:tcBorders>
            <w:vAlign w:val="center"/>
          </w:tcPr>
          <w:p w14:paraId="08EC439A" w14:textId="77777777" w:rsidR="007D380E" w:rsidRPr="00127C6A" w:rsidRDefault="007D380E" w:rsidP="007D380E">
            <w:pPr>
              <w:bidi w:val="0"/>
              <w:spacing w:after="0" w:line="240" w:lineRule="auto"/>
              <w:jc w:val="center"/>
              <w:rPr>
                <w:rFonts w:asciiTheme="minorHAnsi" w:hAnsiTheme="minorHAnsi" w:cs="David"/>
                <w:color w:val="000000"/>
              </w:rPr>
            </w:pPr>
            <w:r w:rsidRPr="00127C6A">
              <w:rPr>
                <w:rFonts w:ascii="David" w:hAnsi="David" w:cs="David"/>
                <w:color w:val="000000"/>
              </w:rPr>
              <w:t>75,556</w:t>
            </w:r>
          </w:p>
        </w:tc>
        <w:tc>
          <w:tcPr>
            <w:tcW w:w="1418" w:type="dxa"/>
            <w:tcBorders>
              <w:top w:val="single" w:sz="4" w:space="0" w:color="auto"/>
              <w:bottom w:val="single" w:sz="4" w:space="0" w:color="auto"/>
            </w:tcBorders>
            <w:shd w:val="clear" w:color="auto" w:fill="auto"/>
            <w:noWrap/>
            <w:vAlign w:val="center"/>
          </w:tcPr>
          <w:p w14:paraId="6AEA2443" w14:textId="77777777" w:rsidR="007D380E" w:rsidRPr="00127C6A" w:rsidRDefault="007D380E" w:rsidP="007D380E">
            <w:pPr>
              <w:spacing w:after="0" w:line="240" w:lineRule="auto"/>
              <w:jc w:val="center"/>
              <w:rPr>
                <w:rFonts w:ascii="David" w:hAnsi="David" w:cs="David"/>
                <w:b/>
                <w:bCs/>
                <w:color w:val="000000"/>
              </w:rPr>
            </w:pPr>
            <w:r w:rsidRPr="00127C6A">
              <w:rPr>
                <w:rFonts w:ascii="David" w:hAnsi="David" w:cs="David"/>
                <w:b/>
                <w:bCs/>
                <w:color w:val="000000"/>
              </w:rPr>
              <w:t>0:09</w:t>
            </w:r>
          </w:p>
        </w:tc>
        <w:tc>
          <w:tcPr>
            <w:tcW w:w="1417" w:type="dxa"/>
            <w:tcBorders>
              <w:top w:val="single" w:sz="4" w:space="0" w:color="auto"/>
              <w:bottom w:val="single" w:sz="4" w:space="0" w:color="auto"/>
            </w:tcBorders>
            <w:shd w:val="clear" w:color="auto" w:fill="auto"/>
            <w:vAlign w:val="center"/>
          </w:tcPr>
          <w:p w14:paraId="337E1CD2" w14:textId="77777777" w:rsidR="007D380E" w:rsidRPr="00127C6A" w:rsidRDefault="007D380E" w:rsidP="007D380E">
            <w:pPr>
              <w:spacing w:after="0" w:line="240" w:lineRule="auto"/>
              <w:jc w:val="center"/>
              <w:rPr>
                <w:rFonts w:ascii="David" w:hAnsi="David" w:cs="David"/>
                <w:color w:val="000000"/>
              </w:rPr>
            </w:pPr>
            <w:r w:rsidRPr="00127C6A">
              <w:rPr>
                <w:rFonts w:ascii="David" w:hAnsi="David" w:cs="David"/>
                <w:color w:val="000000"/>
              </w:rPr>
              <w:t>0:03</w:t>
            </w:r>
          </w:p>
        </w:tc>
        <w:tc>
          <w:tcPr>
            <w:tcW w:w="992" w:type="dxa"/>
            <w:tcBorders>
              <w:top w:val="single" w:sz="4" w:space="0" w:color="auto"/>
              <w:bottom w:val="single" w:sz="4" w:space="0" w:color="auto"/>
            </w:tcBorders>
            <w:shd w:val="clear" w:color="auto" w:fill="auto"/>
            <w:vAlign w:val="center"/>
          </w:tcPr>
          <w:p w14:paraId="08246F25" w14:textId="77777777" w:rsidR="007D380E" w:rsidRPr="00127C6A" w:rsidRDefault="007D380E" w:rsidP="007D380E">
            <w:pPr>
              <w:spacing w:after="0" w:line="240" w:lineRule="auto"/>
              <w:jc w:val="center"/>
              <w:rPr>
                <w:rFonts w:ascii="David" w:hAnsi="David" w:cs="David"/>
                <w:color w:val="000000"/>
              </w:rPr>
            </w:pPr>
            <w:r w:rsidRPr="00127C6A">
              <w:rPr>
                <w:rFonts w:ascii="David" w:hAnsi="David" w:cs="David" w:hint="cs"/>
                <w:color w:val="000000"/>
                <w:rtl/>
              </w:rPr>
              <w:t>0:06+</w:t>
            </w:r>
          </w:p>
        </w:tc>
      </w:tr>
      <w:tr w:rsidR="007D380E" w:rsidRPr="00127C6A" w14:paraId="275B83DD"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443637A7" w14:textId="77777777" w:rsidR="007D380E" w:rsidRPr="00127C6A" w:rsidRDefault="007D380E" w:rsidP="007D380E">
            <w:pPr>
              <w:spacing w:after="0" w:line="240" w:lineRule="auto"/>
              <w:rPr>
                <w:rFonts w:ascii="David" w:hAnsi="David" w:cs="David"/>
                <w:color w:val="000000"/>
                <w:rtl/>
              </w:rPr>
            </w:pPr>
            <w:r w:rsidRPr="00127C6A">
              <w:rPr>
                <w:rFonts w:ascii="David" w:hAnsi="David" w:cs="David"/>
                <w:color w:val="000000"/>
                <w:rtl/>
              </w:rPr>
              <w:t>שלום</w:t>
            </w:r>
          </w:p>
        </w:tc>
        <w:tc>
          <w:tcPr>
            <w:tcW w:w="992" w:type="dxa"/>
            <w:tcBorders>
              <w:top w:val="single" w:sz="4" w:space="0" w:color="auto"/>
              <w:bottom w:val="single" w:sz="4" w:space="0" w:color="auto"/>
            </w:tcBorders>
            <w:shd w:val="clear" w:color="auto" w:fill="D9D9D9"/>
            <w:noWrap/>
            <w:vAlign w:val="center"/>
          </w:tcPr>
          <w:p w14:paraId="6F01D1C4" w14:textId="77777777" w:rsidR="007D380E" w:rsidRPr="00127C6A" w:rsidRDefault="007D380E" w:rsidP="007D380E">
            <w:pPr>
              <w:spacing w:after="0" w:line="240" w:lineRule="auto"/>
              <w:rPr>
                <w:rFonts w:ascii="David" w:hAnsi="David" w:cs="David"/>
                <w:color w:val="000000"/>
                <w:rtl/>
              </w:rPr>
            </w:pPr>
            <w:r w:rsidRPr="00127C6A">
              <w:rPr>
                <w:rFonts w:ascii="David" w:hAnsi="David" w:cs="David"/>
                <w:color w:val="000000"/>
                <w:rtl/>
              </w:rPr>
              <w:t>מעצרים/ פלילי</w:t>
            </w:r>
          </w:p>
        </w:tc>
        <w:tc>
          <w:tcPr>
            <w:tcW w:w="2262" w:type="dxa"/>
            <w:tcBorders>
              <w:top w:val="single" w:sz="4" w:space="0" w:color="auto"/>
              <w:bottom w:val="single" w:sz="4" w:space="0" w:color="auto"/>
            </w:tcBorders>
            <w:shd w:val="clear" w:color="auto" w:fill="D9D9D9"/>
            <w:vAlign w:val="center"/>
          </w:tcPr>
          <w:p w14:paraId="33D92CB6" w14:textId="77777777" w:rsidR="007D380E" w:rsidRPr="00127C6A" w:rsidRDefault="007D380E" w:rsidP="007D380E">
            <w:pPr>
              <w:spacing w:after="0" w:line="240" w:lineRule="auto"/>
              <w:rPr>
                <w:rFonts w:ascii="David" w:hAnsi="David" w:cs="David"/>
                <w:color w:val="000000"/>
                <w:rtl/>
              </w:rPr>
            </w:pPr>
            <w:r w:rsidRPr="00127C6A">
              <w:rPr>
                <w:rFonts w:ascii="David" w:hAnsi="David" w:cs="David"/>
                <w:color w:val="000000"/>
                <w:rtl/>
              </w:rPr>
              <w:t>צו חיפוש / צו כניסה (צ"ח)</w:t>
            </w:r>
          </w:p>
        </w:tc>
        <w:tc>
          <w:tcPr>
            <w:tcW w:w="1276" w:type="dxa"/>
            <w:tcBorders>
              <w:top w:val="single" w:sz="4" w:space="0" w:color="auto"/>
              <w:bottom w:val="single" w:sz="4" w:space="0" w:color="auto"/>
            </w:tcBorders>
            <w:shd w:val="clear" w:color="auto" w:fill="D9D9D9"/>
            <w:vAlign w:val="center"/>
          </w:tcPr>
          <w:p w14:paraId="2D951A29" w14:textId="77777777" w:rsidR="007D380E" w:rsidRPr="00127C6A" w:rsidRDefault="007D380E" w:rsidP="007D380E">
            <w:pPr>
              <w:bidi w:val="0"/>
              <w:spacing w:after="0" w:line="240" w:lineRule="auto"/>
              <w:jc w:val="center"/>
              <w:rPr>
                <w:rFonts w:ascii="David" w:hAnsi="David" w:cs="David"/>
                <w:color w:val="000000"/>
              </w:rPr>
            </w:pPr>
            <w:r w:rsidRPr="00127C6A">
              <w:rPr>
                <w:rFonts w:ascii="David" w:hAnsi="David" w:cs="David"/>
                <w:color w:val="000000"/>
              </w:rPr>
              <w:t>71,360</w:t>
            </w:r>
          </w:p>
        </w:tc>
        <w:tc>
          <w:tcPr>
            <w:tcW w:w="1418" w:type="dxa"/>
            <w:tcBorders>
              <w:top w:val="single" w:sz="4" w:space="0" w:color="auto"/>
              <w:bottom w:val="single" w:sz="4" w:space="0" w:color="auto"/>
            </w:tcBorders>
            <w:shd w:val="clear" w:color="auto" w:fill="D9D9D9"/>
            <w:noWrap/>
            <w:vAlign w:val="center"/>
          </w:tcPr>
          <w:p w14:paraId="4C195AC7" w14:textId="77777777" w:rsidR="007D380E" w:rsidRPr="00127C6A" w:rsidRDefault="007D380E" w:rsidP="007D380E">
            <w:pPr>
              <w:spacing w:after="0" w:line="240" w:lineRule="auto"/>
              <w:jc w:val="center"/>
              <w:rPr>
                <w:rFonts w:asciiTheme="minorHAnsi" w:hAnsiTheme="minorHAnsi" w:cs="David"/>
                <w:b/>
                <w:bCs/>
                <w:color w:val="000000"/>
                <w:rtl/>
              </w:rPr>
            </w:pPr>
            <w:r w:rsidRPr="00127C6A">
              <w:rPr>
                <w:rFonts w:ascii="David" w:hAnsi="David" w:cs="David" w:hint="cs"/>
                <w:b/>
                <w:bCs/>
                <w:color w:val="000000"/>
                <w:rtl/>
              </w:rPr>
              <w:t>0:08</w:t>
            </w:r>
          </w:p>
        </w:tc>
        <w:tc>
          <w:tcPr>
            <w:tcW w:w="1417" w:type="dxa"/>
            <w:tcBorders>
              <w:top w:val="single" w:sz="4" w:space="0" w:color="auto"/>
              <w:bottom w:val="single" w:sz="4" w:space="0" w:color="auto"/>
            </w:tcBorders>
            <w:shd w:val="clear" w:color="auto" w:fill="D9D9D9"/>
            <w:vAlign w:val="center"/>
          </w:tcPr>
          <w:p w14:paraId="03BC73DD" w14:textId="77777777" w:rsidR="007D380E" w:rsidRPr="00127C6A" w:rsidRDefault="007D380E" w:rsidP="007D380E">
            <w:pPr>
              <w:spacing w:after="0" w:line="240" w:lineRule="auto"/>
              <w:jc w:val="center"/>
              <w:rPr>
                <w:rFonts w:ascii="David" w:hAnsi="David" w:cs="David"/>
                <w:color w:val="000000"/>
              </w:rPr>
            </w:pPr>
            <w:r w:rsidRPr="00127C6A">
              <w:rPr>
                <w:rFonts w:ascii="David" w:hAnsi="David" w:cs="David"/>
                <w:color w:val="000000"/>
              </w:rPr>
              <w:t>0:03</w:t>
            </w:r>
          </w:p>
        </w:tc>
        <w:tc>
          <w:tcPr>
            <w:tcW w:w="992" w:type="dxa"/>
            <w:tcBorders>
              <w:top w:val="single" w:sz="4" w:space="0" w:color="auto"/>
              <w:bottom w:val="single" w:sz="4" w:space="0" w:color="auto"/>
            </w:tcBorders>
            <w:shd w:val="clear" w:color="auto" w:fill="D9D9D9"/>
            <w:vAlign w:val="center"/>
          </w:tcPr>
          <w:p w14:paraId="6FB5AA84" w14:textId="77777777" w:rsidR="007D380E" w:rsidRPr="00127C6A" w:rsidRDefault="007D380E" w:rsidP="007D380E">
            <w:pPr>
              <w:spacing w:after="0" w:line="240" w:lineRule="auto"/>
              <w:jc w:val="center"/>
              <w:rPr>
                <w:rFonts w:ascii="David" w:hAnsi="David" w:cs="David"/>
                <w:color w:val="000000"/>
              </w:rPr>
            </w:pPr>
            <w:r w:rsidRPr="00127C6A">
              <w:rPr>
                <w:rFonts w:ascii="David" w:hAnsi="David" w:cs="David" w:hint="cs"/>
                <w:color w:val="000000"/>
                <w:rtl/>
              </w:rPr>
              <w:t>0:05+</w:t>
            </w:r>
          </w:p>
        </w:tc>
      </w:tr>
      <w:tr w:rsidR="007D380E" w:rsidRPr="00127C6A" w14:paraId="2F180AAB"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7CDE7D23" w14:textId="77777777" w:rsidR="007D380E" w:rsidRPr="00127C6A" w:rsidRDefault="007D380E" w:rsidP="007D380E">
            <w:pPr>
              <w:spacing w:after="0" w:line="240" w:lineRule="auto"/>
              <w:rPr>
                <w:rFonts w:ascii="David" w:hAnsi="David" w:cs="David"/>
                <w:color w:val="000000"/>
                <w:rtl/>
              </w:rPr>
            </w:pPr>
            <w:r w:rsidRPr="00127C6A">
              <w:rPr>
                <w:rFonts w:ascii="David" w:hAnsi="David" w:cs="David"/>
                <w:color w:val="000000"/>
                <w:rtl/>
              </w:rPr>
              <w:t>שלום</w:t>
            </w:r>
          </w:p>
        </w:tc>
        <w:tc>
          <w:tcPr>
            <w:tcW w:w="992" w:type="dxa"/>
            <w:tcBorders>
              <w:top w:val="single" w:sz="4" w:space="0" w:color="auto"/>
              <w:bottom w:val="single" w:sz="4" w:space="0" w:color="auto"/>
            </w:tcBorders>
            <w:shd w:val="clear" w:color="auto" w:fill="auto"/>
            <w:noWrap/>
            <w:vAlign w:val="center"/>
          </w:tcPr>
          <w:p w14:paraId="7E73AF55" w14:textId="77777777" w:rsidR="007D380E" w:rsidRPr="00127C6A" w:rsidRDefault="007D380E" w:rsidP="007D380E">
            <w:pPr>
              <w:spacing w:after="0" w:line="240" w:lineRule="auto"/>
              <w:rPr>
                <w:rFonts w:ascii="David" w:hAnsi="David" w:cs="David"/>
                <w:color w:val="000000"/>
                <w:rtl/>
              </w:rPr>
            </w:pPr>
            <w:r w:rsidRPr="00127C6A">
              <w:rPr>
                <w:rFonts w:ascii="David" w:hAnsi="David" w:cs="David"/>
                <w:color w:val="000000"/>
                <w:rtl/>
              </w:rPr>
              <w:t>מעצרים/ פלילי</w:t>
            </w:r>
          </w:p>
        </w:tc>
        <w:tc>
          <w:tcPr>
            <w:tcW w:w="2262" w:type="dxa"/>
            <w:tcBorders>
              <w:top w:val="single" w:sz="4" w:space="0" w:color="auto"/>
              <w:bottom w:val="single" w:sz="4" w:space="0" w:color="auto"/>
            </w:tcBorders>
            <w:shd w:val="clear" w:color="auto" w:fill="auto"/>
            <w:vAlign w:val="center"/>
          </w:tcPr>
          <w:p w14:paraId="371A4764" w14:textId="77777777" w:rsidR="007D380E" w:rsidRPr="00127C6A" w:rsidRDefault="007D380E" w:rsidP="007D380E">
            <w:pPr>
              <w:spacing w:after="0" w:line="240" w:lineRule="auto"/>
              <w:rPr>
                <w:rFonts w:ascii="David" w:hAnsi="David" w:cs="David"/>
                <w:color w:val="000000"/>
                <w:rtl/>
              </w:rPr>
            </w:pPr>
            <w:r w:rsidRPr="00127C6A">
              <w:rPr>
                <w:rFonts w:ascii="David" w:hAnsi="David" w:cs="David"/>
                <w:color w:val="000000"/>
                <w:rtl/>
              </w:rPr>
              <w:t>מעצר ימים בהעדר (מי"ב)</w:t>
            </w:r>
          </w:p>
        </w:tc>
        <w:tc>
          <w:tcPr>
            <w:tcW w:w="1276" w:type="dxa"/>
            <w:tcBorders>
              <w:top w:val="single" w:sz="4" w:space="0" w:color="auto"/>
              <w:bottom w:val="single" w:sz="4" w:space="0" w:color="auto"/>
            </w:tcBorders>
            <w:vAlign w:val="center"/>
          </w:tcPr>
          <w:p w14:paraId="06319662" w14:textId="77777777" w:rsidR="007D380E" w:rsidRPr="00127C6A" w:rsidRDefault="007D380E" w:rsidP="007D380E">
            <w:pPr>
              <w:bidi w:val="0"/>
              <w:spacing w:after="0" w:line="240" w:lineRule="auto"/>
              <w:jc w:val="center"/>
              <w:rPr>
                <w:rFonts w:ascii="David" w:hAnsi="David" w:cs="David"/>
                <w:color w:val="000000"/>
              </w:rPr>
            </w:pPr>
            <w:r w:rsidRPr="00127C6A">
              <w:rPr>
                <w:rFonts w:ascii="David" w:hAnsi="David" w:cs="David"/>
                <w:color w:val="000000"/>
              </w:rPr>
              <w:t>13,037</w:t>
            </w:r>
          </w:p>
        </w:tc>
        <w:tc>
          <w:tcPr>
            <w:tcW w:w="1418" w:type="dxa"/>
            <w:tcBorders>
              <w:top w:val="single" w:sz="4" w:space="0" w:color="auto"/>
              <w:bottom w:val="single" w:sz="4" w:space="0" w:color="auto"/>
            </w:tcBorders>
            <w:shd w:val="clear" w:color="auto" w:fill="auto"/>
            <w:noWrap/>
            <w:vAlign w:val="center"/>
          </w:tcPr>
          <w:p w14:paraId="3762D2EB" w14:textId="77777777" w:rsidR="007D380E" w:rsidRPr="00127C6A" w:rsidRDefault="007D380E" w:rsidP="007D380E">
            <w:pPr>
              <w:spacing w:after="0" w:line="240" w:lineRule="auto"/>
              <w:jc w:val="center"/>
              <w:rPr>
                <w:rFonts w:ascii="David" w:hAnsi="David" w:cs="David"/>
                <w:b/>
                <w:bCs/>
                <w:color w:val="000000"/>
                <w:rtl/>
              </w:rPr>
            </w:pPr>
            <w:r w:rsidRPr="00127C6A">
              <w:rPr>
                <w:rFonts w:ascii="David" w:hAnsi="David" w:cs="David"/>
                <w:b/>
                <w:bCs/>
                <w:color w:val="000000"/>
              </w:rPr>
              <w:t>0:08</w:t>
            </w:r>
          </w:p>
        </w:tc>
        <w:tc>
          <w:tcPr>
            <w:tcW w:w="1417" w:type="dxa"/>
            <w:tcBorders>
              <w:top w:val="single" w:sz="4" w:space="0" w:color="auto"/>
              <w:bottom w:val="single" w:sz="4" w:space="0" w:color="auto"/>
            </w:tcBorders>
            <w:shd w:val="clear" w:color="auto" w:fill="auto"/>
            <w:vAlign w:val="center"/>
          </w:tcPr>
          <w:p w14:paraId="65424661" w14:textId="77777777" w:rsidR="007D380E" w:rsidRPr="00127C6A" w:rsidRDefault="007D380E" w:rsidP="007D380E">
            <w:pPr>
              <w:spacing w:after="0" w:line="240" w:lineRule="auto"/>
              <w:jc w:val="center"/>
              <w:rPr>
                <w:rFonts w:ascii="David" w:hAnsi="David" w:cs="David"/>
                <w:color w:val="000000"/>
              </w:rPr>
            </w:pPr>
            <w:r w:rsidRPr="00127C6A">
              <w:rPr>
                <w:rFonts w:ascii="David" w:hAnsi="David" w:cs="David"/>
                <w:color w:val="000000"/>
              </w:rPr>
              <w:t>0:08</w:t>
            </w:r>
          </w:p>
        </w:tc>
        <w:tc>
          <w:tcPr>
            <w:tcW w:w="992" w:type="dxa"/>
            <w:tcBorders>
              <w:top w:val="single" w:sz="4" w:space="0" w:color="auto"/>
              <w:bottom w:val="single" w:sz="4" w:space="0" w:color="auto"/>
            </w:tcBorders>
            <w:shd w:val="clear" w:color="auto" w:fill="auto"/>
            <w:vAlign w:val="center"/>
          </w:tcPr>
          <w:p w14:paraId="3A92DC3E" w14:textId="77777777" w:rsidR="007D380E" w:rsidRPr="00127C6A" w:rsidRDefault="007D380E" w:rsidP="007D380E">
            <w:pPr>
              <w:spacing w:after="0" w:line="240" w:lineRule="auto"/>
              <w:jc w:val="center"/>
              <w:rPr>
                <w:rFonts w:ascii="David" w:hAnsi="David" w:cs="David"/>
                <w:color w:val="000000"/>
              </w:rPr>
            </w:pPr>
            <w:r w:rsidRPr="00127C6A">
              <w:rPr>
                <w:rFonts w:ascii="David" w:hAnsi="David" w:cs="David" w:hint="cs"/>
                <w:color w:val="000000"/>
                <w:rtl/>
              </w:rPr>
              <w:t>0:00</w:t>
            </w:r>
          </w:p>
        </w:tc>
      </w:tr>
    </w:tbl>
    <w:p w14:paraId="485E1B49" w14:textId="5E32444D" w:rsidR="001A2E9E" w:rsidRDefault="001A2E9E" w:rsidP="001A2E9E">
      <w:pPr>
        <w:rPr>
          <w:rtl/>
        </w:rPr>
      </w:pPr>
    </w:p>
    <w:p w14:paraId="5D499F34" w14:textId="77777777" w:rsidR="008D44BF" w:rsidRPr="00F25744" w:rsidRDefault="00E25AE7" w:rsidP="00A54D82">
      <w:pPr>
        <w:pStyle w:val="5"/>
        <w:ind w:left="1561"/>
        <w:rPr>
          <w:rtl/>
        </w:rPr>
      </w:pPr>
      <w:bookmarkStart w:id="508" w:name="_Toc46226069"/>
      <w:bookmarkStart w:id="509" w:name="_Toc46226213"/>
      <w:bookmarkStart w:id="510" w:name="_Toc46228380"/>
      <w:bookmarkStart w:id="511" w:name="_Toc46228478"/>
      <w:bookmarkStart w:id="512" w:name="_Toc46230405"/>
      <w:bookmarkStart w:id="513" w:name="_Toc46230503"/>
      <w:bookmarkStart w:id="514" w:name="_Toc46310393"/>
      <w:bookmarkStart w:id="515" w:name="_Toc46414035"/>
      <w:bookmarkStart w:id="516" w:name="_Toc74750997"/>
      <w:r w:rsidRPr="00F25744">
        <w:rPr>
          <w:rFonts w:hint="cs"/>
          <w:rtl/>
        </w:rPr>
        <w:t>זמני הטיפול השיפוטי בתיק מסוג ת"א, בחלוקה לסוגי העניין המרכזיים</w:t>
      </w:r>
      <w:bookmarkEnd w:id="508"/>
      <w:bookmarkEnd w:id="509"/>
      <w:bookmarkEnd w:id="510"/>
      <w:bookmarkEnd w:id="511"/>
      <w:bookmarkEnd w:id="512"/>
      <w:bookmarkEnd w:id="513"/>
      <w:bookmarkEnd w:id="514"/>
      <w:bookmarkEnd w:id="515"/>
      <w:bookmarkEnd w:id="516"/>
    </w:p>
    <w:p w14:paraId="6C6D6601" w14:textId="77777777" w:rsidR="00675211" w:rsidRPr="00F25744" w:rsidRDefault="00E25AE7" w:rsidP="00F900D7">
      <w:pPr>
        <w:spacing w:before="120" w:after="0" w:line="360" w:lineRule="auto"/>
        <w:jc w:val="both"/>
        <w:rPr>
          <w:rFonts w:cs="David"/>
          <w:sz w:val="24"/>
          <w:szCs w:val="24"/>
          <w:rtl/>
        </w:rPr>
      </w:pPr>
      <w:r w:rsidRPr="00F25744">
        <w:rPr>
          <w:rFonts w:cs="David" w:hint="cs"/>
          <w:sz w:val="24"/>
          <w:szCs w:val="24"/>
          <w:rtl/>
        </w:rPr>
        <w:t xml:space="preserve">כאמור לעיל, אחת מההערות שעלו מצד </w:t>
      </w:r>
      <w:r w:rsidR="00A40FA2" w:rsidRPr="00F25744">
        <w:rPr>
          <w:rFonts w:cs="David" w:hint="cs"/>
          <w:sz w:val="24"/>
          <w:szCs w:val="24"/>
          <w:rtl/>
        </w:rPr>
        <w:t>נשיאים ושופטים</w:t>
      </w:r>
      <w:r w:rsidRPr="00F25744">
        <w:rPr>
          <w:rFonts w:cs="David" w:hint="cs"/>
          <w:sz w:val="24"/>
          <w:szCs w:val="24"/>
          <w:rtl/>
        </w:rPr>
        <w:t xml:space="preserve"> רבים בערכאת השלום לגבי המחקר הקודם הייתה</w:t>
      </w:r>
      <w:r w:rsidR="00E15A0B" w:rsidRPr="00F25744">
        <w:rPr>
          <w:rFonts w:cs="David" w:hint="cs"/>
          <w:sz w:val="24"/>
          <w:szCs w:val="24"/>
          <w:rtl/>
        </w:rPr>
        <w:t xml:space="preserve"> </w:t>
      </w:r>
      <w:r w:rsidR="00C034A7" w:rsidRPr="00F25744">
        <w:rPr>
          <w:rFonts w:cs="David" w:hint="cs"/>
          <w:sz w:val="24"/>
          <w:szCs w:val="24"/>
          <w:rtl/>
        </w:rPr>
        <w:t xml:space="preserve">לגבי </w:t>
      </w:r>
      <w:r w:rsidR="00324151" w:rsidRPr="00F25744">
        <w:rPr>
          <w:rFonts w:cs="David" w:hint="cs"/>
          <w:sz w:val="24"/>
          <w:szCs w:val="24"/>
          <w:rtl/>
        </w:rPr>
        <w:t xml:space="preserve">הזמן </w:t>
      </w:r>
      <w:r w:rsidRPr="00F25744">
        <w:rPr>
          <w:rFonts w:cs="David" w:hint="cs"/>
          <w:sz w:val="24"/>
          <w:szCs w:val="24"/>
          <w:rtl/>
        </w:rPr>
        <w:t xml:space="preserve">הכולל </w:t>
      </w:r>
      <w:r w:rsidR="00C91A6D" w:rsidRPr="00F25744">
        <w:rPr>
          <w:rFonts w:cs="David" w:hint="cs"/>
          <w:sz w:val="24"/>
          <w:szCs w:val="24"/>
          <w:rtl/>
        </w:rPr>
        <w:t xml:space="preserve">המשוקלל </w:t>
      </w:r>
      <w:r w:rsidRPr="00F25744">
        <w:rPr>
          <w:rFonts w:cs="David" w:hint="cs"/>
          <w:sz w:val="24"/>
          <w:szCs w:val="24"/>
          <w:rtl/>
        </w:rPr>
        <w:t xml:space="preserve">שניתן לתיקי ת"א, </w:t>
      </w:r>
      <w:r w:rsidR="00ED66D5" w:rsidRPr="00F25744">
        <w:rPr>
          <w:rFonts w:cs="David" w:hint="cs"/>
          <w:sz w:val="24"/>
          <w:szCs w:val="24"/>
          <w:rtl/>
        </w:rPr>
        <w:t>מבלי להתחשב בסוגי העניין השונים, למעט ההבחנה</w:t>
      </w:r>
      <w:r w:rsidR="009617E7" w:rsidRPr="00F25744">
        <w:rPr>
          <w:rFonts w:cs="David" w:hint="cs"/>
          <w:sz w:val="24"/>
          <w:szCs w:val="24"/>
          <w:rtl/>
        </w:rPr>
        <w:t xml:space="preserve"> שנעשתה</w:t>
      </w:r>
      <w:r w:rsidR="00ED66D5" w:rsidRPr="00F25744">
        <w:rPr>
          <w:rFonts w:cs="David" w:hint="cs"/>
          <w:sz w:val="24"/>
          <w:szCs w:val="24"/>
          <w:rtl/>
        </w:rPr>
        <w:t xml:space="preserve"> בין תיקי ת"א </w:t>
      </w:r>
      <w:r w:rsidR="00ED66D5" w:rsidRPr="00F25744">
        <w:rPr>
          <w:rFonts w:cs="David"/>
          <w:sz w:val="24"/>
          <w:szCs w:val="24"/>
          <w:rtl/>
        </w:rPr>
        <w:t>–</w:t>
      </w:r>
      <w:r w:rsidR="00ED66D5" w:rsidRPr="00F25744">
        <w:rPr>
          <w:rFonts w:cs="David" w:hint="cs"/>
          <w:sz w:val="24"/>
          <w:szCs w:val="24"/>
          <w:rtl/>
        </w:rPr>
        <w:t xml:space="preserve"> פלת"ד לתיקי ת"א אחרים.</w:t>
      </w:r>
      <w:r w:rsidRPr="00F25744">
        <w:rPr>
          <w:rFonts w:cs="David" w:hint="cs"/>
          <w:sz w:val="24"/>
          <w:szCs w:val="24"/>
          <w:rtl/>
        </w:rPr>
        <w:t xml:space="preserve"> על כן, כאמור, במסגרת מחקר זה הצלחנו למדוד את זמני הטיפול ב-</w:t>
      </w:r>
      <w:r w:rsidRPr="00F25744">
        <w:rPr>
          <w:rFonts w:cs="David" w:hint="cs"/>
          <w:b/>
          <w:bCs/>
          <w:sz w:val="24"/>
          <w:szCs w:val="24"/>
          <w:rtl/>
        </w:rPr>
        <w:t>15 סוגי העניין המרכזיים</w:t>
      </w:r>
      <w:r w:rsidRPr="00F25744">
        <w:rPr>
          <w:rFonts w:cs="David" w:hint="cs"/>
          <w:sz w:val="24"/>
          <w:szCs w:val="24"/>
          <w:rtl/>
        </w:rPr>
        <w:t xml:space="preserve"> בתיק מסוג ת"א. </w:t>
      </w:r>
    </w:p>
    <w:p w14:paraId="3BEF2595" w14:textId="77777777" w:rsidR="00A16713" w:rsidRPr="00F25744" w:rsidRDefault="00E25AE7" w:rsidP="00F900D7">
      <w:pPr>
        <w:spacing w:before="120" w:after="0" w:line="360" w:lineRule="auto"/>
        <w:jc w:val="both"/>
        <w:rPr>
          <w:rFonts w:cs="David"/>
          <w:sz w:val="24"/>
          <w:szCs w:val="24"/>
          <w:rtl/>
        </w:rPr>
      </w:pPr>
      <w:r w:rsidRPr="00F25744">
        <w:rPr>
          <w:rFonts w:cs="David" w:hint="cs"/>
          <w:sz w:val="24"/>
          <w:szCs w:val="24"/>
          <w:rtl/>
        </w:rPr>
        <w:t>נזכיר, כי הזמן השיפוטי הממוצע המשוקלל שנמדד במחקר זה לגבי תיקי ת"א הנדונים בשלום עומד על 4:46 שעות, לעומת הזמן המשוקלל שנמדד במחקר הקודם שעמד על 5:42 שעות. בטבלה שלהלן נציג את זמני הטיפול בסוגי העניין השונים, לעומת הזמן המשוקלל שניתן לתיק מסוג ת"א במחקר הקודם. את סוג העניין פלת"ד נציג בהשוואה לזמן הממוצע שקיבל סוג עניין זה במחקר הקודם. כמו כן, נציג את מגמת העלייה או הירידה מאז המחקר הקודם. ניתן לראות עלייה בזמני הטיפול בחלק מסוגי העניין לעומת הזמן המשוקלל שניתן במסגרת המחקר הקודם, וירידה בזמני הטיפול בסוגי העניין האחרים. מגמה זו מדגימה את הדיוק שהושג במחקר הנוכחי במדידת זמני הטיפול בתיק ת"א באמצעות הירידה לרזולוציה של סוגי העניין השונים, ואת שיקוף השוני האמתי בטיפול בסוגי העניין השונים, ובכך גם מסבירה את הירידה בזמן המשוקלל הנוכחי לעומת הזמן המשוקלל שנמצא במחקר הקודם.</w:t>
      </w:r>
    </w:p>
    <w:p w14:paraId="35B3B21E" w14:textId="77777777" w:rsidR="00167ABA" w:rsidRPr="00167ABA" w:rsidRDefault="00167ABA" w:rsidP="00167ABA">
      <w:pPr>
        <w:rPr>
          <w:rtl/>
        </w:rPr>
      </w:pPr>
    </w:p>
    <w:p w14:paraId="06B4AD54" w14:textId="3C3B0906" w:rsidR="008D44BF" w:rsidRPr="00F25744" w:rsidRDefault="00E25AE7" w:rsidP="00F900D7">
      <w:pPr>
        <w:pStyle w:val="af6"/>
        <w:spacing w:line="240" w:lineRule="auto"/>
        <w:rPr>
          <w:rFonts w:ascii="David" w:hAnsi="David"/>
          <w:sz w:val="24"/>
          <w:rtl/>
        </w:rPr>
      </w:pPr>
      <w:bookmarkStart w:id="517" w:name="_Toc76988907"/>
      <w:r w:rsidRPr="00F25744">
        <w:rPr>
          <w:rtl/>
        </w:rPr>
        <w:t xml:space="preserve">טבלה </w:t>
      </w:r>
      <w:r w:rsidRPr="00F25744">
        <w:rPr>
          <w:rFonts w:ascii="David" w:hAnsi="David"/>
          <w:sz w:val="24"/>
          <w:rtl/>
        </w:rPr>
        <w:fldChar w:fldCharType="begin"/>
      </w:r>
      <w:r w:rsidRPr="00F25744">
        <w:rPr>
          <w:rFonts w:ascii="David" w:hAnsi="David"/>
          <w:sz w:val="24"/>
          <w:rtl/>
        </w:rPr>
        <w:instrText xml:space="preserve"> </w:instrText>
      </w:r>
      <w:r w:rsidRPr="00F25744">
        <w:rPr>
          <w:rFonts w:ascii="David" w:hAnsi="David" w:hint="cs"/>
          <w:sz w:val="24"/>
        </w:rPr>
        <w:instrText>SEQ</w:instrText>
      </w:r>
      <w:r w:rsidRPr="00F25744">
        <w:rPr>
          <w:rFonts w:ascii="David" w:hAnsi="David" w:hint="cs"/>
          <w:sz w:val="24"/>
          <w:rtl/>
        </w:rPr>
        <w:instrText xml:space="preserve"> טבלה \* </w:instrText>
      </w:r>
      <w:r w:rsidRPr="00F25744">
        <w:rPr>
          <w:rFonts w:ascii="David" w:hAnsi="David" w:hint="cs"/>
          <w:sz w:val="24"/>
        </w:rPr>
        <w:instrText>ARABIC</w:instrText>
      </w:r>
      <w:r w:rsidRPr="00F25744">
        <w:rPr>
          <w:rFonts w:ascii="David" w:hAnsi="David"/>
          <w:sz w:val="24"/>
          <w:rtl/>
        </w:rPr>
        <w:instrText xml:space="preserve"> </w:instrText>
      </w:r>
      <w:r w:rsidRPr="00F25744">
        <w:rPr>
          <w:rFonts w:ascii="David" w:hAnsi="David"/>
          <w:sz w:val="24"/>
          <w:rtl/>
        </w:rPr>
        <w:fldChar w:fldCharType="separate"/>
      </w:r>
      <w:r w:rsidR="008F1BC3">
        <w:rPr>
          <w:rFonts w:ascii="David" w:hAnsi="David"/>
          <w:noProof/>
          <w:sz w:val="24"/>
          <w:rtl/>
        </w:rPr>
        <w:t>12</w:t>
      </w:r>
      <w:r w:rsidRPr="00F25744">
        <w:rPr>
          <w:rFonts w:ascii="David" w:hAnsi="David"/>
          <w:sz w:val="24"/>
          <w:rtl/>
        </w:rPr>
        <w:fldChar w:fldCharType="end"/>
      </w:r>
      <w:r w:rsidR="007F3A52" w:rsidRPr="00F25744">
        <w:rPr>
          <w:rFonts w:ascii="David" w:hAnsi="David" w:hint="cs"/>
          <w:sz w:val="24"/>
          <w:rtl/>
        </w:rPr>
        <w:t>: זמני הטיפול בתיק ת"א בערכאת השלום בחלוקה לסוגי עניין</w:t>
      </w:r>
      <w:bookmarkEnd w:id="517"/>
    </w:p>
    <w:tbl>
      <w:tblPr>
        <w:tblpPr w:rightFromText="85" w:vertAnchor="text" w:tblpXSpec="right" w:tblpY="1"/>
        <w:bidiVisual/>
        <w:tblW w:w="9226" w:type="dxa"/>
        <w:tblLayout w:type="fixed"/>
        <w:tblLook w:val="04A0" w:firstRow="1" w:lastRow="0" w:firstColumn="1" w:lastColumn="0" w:noHBand="0" w:noVBand="1"/>
      </w:tblPr>
      <w:tblGrid>
        <w:gridCol w:w="858"/>
        <w:gridCol w:w="850"/>
        <w:gridCol w:w="2130"/>
        <w:gridCol w:w="1276"/>
        <w:gridCol w:w="1417"/>
        <w:gridCol w:w="1843"/>
        <w:gridCol w:w="852"/>
      </w:tblGrid>
      <w:tr w:rsidR="00E0162E" w:rsidRPr="00542938" w14:paraId="79B539EE" w14:textId="77777777" w:rsidTr="007D380E">
        <w:trPr>
          <w:trHeight w:val="636"/>
        </w:trPr>
        <w:tc>
          <w:tcPr>
            <w:tcW w:w="858" w:type="dxa"/>
            <w:tcBorders>
              <w:bottom w:val="single" w:sz="4" w:space="0" w:color="auto"/>
            </w:tcBorders>
            <w:shd w:val="clear" w:color="auto" w:fill="auto"/>
            <w:vAlign w:val="center"/>
            <w:hideMark/>
          </w:tcPr>
          <w:p w14:paraId="5C6A1E6B" w14:textId="77777777" w:rsidR="00181F76" w:rsidRPr="00542938" w:rsidRDefault="00E25AE7" w:rsidP="00C64D3B">
            <w:pPr>
              <w:spacing w:after="0" w:line="240" w:lineRule="auto"/>
              <w:jc w:val="center"/>
              <w:rPr>
                <w:rFonts w:ascii="David" w:eastAsia="Times New Roman" w:hAnsi="David" w:cs="David"/>
                <w:b/>
                <w:bCs/>
                <w:color w:val="000000"/>
              </w:rPr>
            </w:pPr>
            <w:r w:rsidRPr="00542938">
              <w:rPr>
                <w:rFonts w:ascii="David" w:eastAsia="Times New Roman" w:hAnsi="David" w:cs="David"/>
                <w:b/>
                <w:bCs/>
                <w:color w:val="000000"/>
                <w:rtl/>
              </w:rPr>
              <w:t>ערכאה</w:t>
            </w:r>
          </w:p>
        </w:tc>
        <w:tc>
          <w:tcPr>
            <w:tcW w:w="850" w:type="dxa"/>
            <w:tcBorders>
              <w:bottom w:val="single" w:sz="4" w:space="0" w:color="auto"/>
            </w:tcBorders>
            <w:shd w:val="clear" w:color="auto" w:fill="auto"/>
            <w:vAlign w:val="center"/>
            <w:hideMark/>
          </w:tcPr>
          <w:p w14:paraId="6E1DE3D5" w14:textId="77777777" w:rsidR="00181F76" w:rsidRPr="00542938" w:rsidRDefault="00E25AE7" w:rsidP="00C64D3B">
            <w:pPr>
              <w:spacing w:after="0" w:line="240" w:lineRule="auto"/>
              <w:jc w:val="center"/>
              <w:rPr>
                <w:rFonts w:ascii="David" w:eastAsia="Times New Roman" w:hAnsi="David" w:cs="David"/>
                <w:b/>
                <w:bCs/>
                <w:color w:val="000000"/>
                <w:rtl/>
              </w:rPr>
            </w:pPr>
            <w:r w:rsidRPr="00542938">
              <w:rPr>
                <w:rFonts w:ascii="David" w:eastAsia="Times New Roman" w:hAnsi="David" w:cs="David"/>
                <w:b/>
                <w:bCs/>
                <w:color w:val="000000"/>
                <w:rtl/>
              </w:rPr>
              <w:t>הליך</w:t>
            </w:r>
          </w:p>
        </w:tc>
        <w:tc>
          <w:tcPr>
            <w:tcW w:w="2130" w:type="dxa"/>
            <w:tcBorders>
              <w:bottom w:val="single" w:sz="4" w:space="0" w:color="auto"/>
            </w:tcBorders>
            <w:shd w:val="clear" w:color="auto" w:fill="auto"/>
            <w:vAlign w:val="center"/>
            <w:hideMark/>
          </w:tcPr>
          <w:p w14:paraId="0BBA50FA" w14:textId="77777777" w:rsidR="00181F76" w:rsidRPr="00542938" w:rsidRDefault="00E25AE7" w:rsidP="00C64D3B">
            <w:pPr>
              <w:spacing w:after="0" w:line="240" w:lineRule="auto"/>
              <w:jc w:val="center"/>
              <w:rPr>
                <w:rFonts w:ascii="David" w:eastAsia="Times New Roman" w:hAnsi="David" w:cs="David"/>
                <w:b/>
                <w:bCs/>
                <w:color w:val="000000"/>
                <w:rtl/>
              </w:rPr>
            </w:pPr>
            <w:r w:rsidRPr="00542938">
              <w:rPr>
                <w:rFonts w:ascii="David" w:eastAsia="Times New Roman" w:hAnsi="David" w:cs="David"/>
                <w:b/>
                <w:bCs/>
                <w:color w:val="000000"/>
                <w:rtl/>
              </w:rPr>
              <w:t>סוג תיק</w:t>
            </w:r>
          </w:p>
        </w:tc>
        <w:tc>
          <w:tcPr>
            <w:tcW w:w="1276" w:type="dxa"/>
            <w:tcBorders>
              <w:bottom w:val="single" w:sz="4" w:space="0" w:color="auto"/>
            </w:tcBorders>
            <w:vAlign w:val="center"/>
          </w:tcPr>
          <w:p w14:paraId="05C13E32" w14:textId="77777777" w:rsidR="00181F76" w:rsidRPr="00542938" w:rsidRDefault="00E25AE7" w:rsidP="00C64D3B">
            <w:pPr>
              <w:spacing w:after="0" w:line="240" w:lineRule="auto"/>
              <w:jc w:val="center"/>
              <w:rPr>
                <w:rFonts w:ascii="David" w:eastAsia="Times New Roman" w:hAnsi="David" w:cs="David"/>
                <w:b/>
                <w:bCs/>
                <w:color w:val="000000"/>
                <w:rtl/>
              </w:rPr>
            </w:pPr>
            <w:r w:rsidRPr="00542938">
              <w:rPr>
                <w:rFonts w:ascii="David" w:eastAsia="Times New Roman" w:hAnsi="David" w:cs="David" w:hint="cs"/>
                <w:b/>
                <w:bCs/>
                <w:color w:val="000000"/>
                <w:rtl/>
              </w:rPr>
              <w:t>מספר תיקים שנסגרו ב-2019</w:t>
            </w:r>
          </w:p>
        </w:tc>
        <w:tc>
          <w:tcPr>
            <w:tcW w:w="1417" w:type="dxa"/>
            <w:tcBorders>
              <w:bottom w:val="single" w:sz="4" w:space="0" w:color="auto"/>
            </w:tcBorders>
            <w:shd w:val="clear" w:color="auto" w:fill="auto"/>
            <w:vAlign w:val="center"/>
            <w:hideMark/>
          </w:tcPr>
          <w:p w14:paraId="617BC08E" w14:textId="77777777" w:rsidR="00181F76" w:rsidRPr="00542938" w:rsidRDefault="00E25AE7" w:rsidP="00C64D3B">
            <w:pPr>
              <w:spacing w:after="0" w:line="240" w:lineRule="auto"/>
              <w:jc w:val="center"/>
              <w:rPr>
                <w:rFonts w:ascii="David" w:eastAsia="Times New Roman" w:hAnsi="David" w:cs="David"/>
                <w:b/>
                <w:bCs/>
                <w:color w:val="000000"/>
                <w:rtl/>
              </w:rPr>
            </w:pPr>
            <w:r w:rsidRPr="00542938">
              <w:rPr>
                <w:rFonts w:ascii="David" w:eastAsia="Times New Roman" w:hAnsi="David" w:cs="David"/>
                <w:b/>
                <w:bCs/>
                <w:color w:val="000000"/>
                <w:rtl/>
              </w:rPr>
              <w:t>הזמן השיפוטי הממוצע לט</w:t>
            </w:r>
            <w:r w:rsidRPr="00542938">
              <w:rPr>
                <w:rFonts w:ascii="David" w:eastAsia="Times New Roman" w:hAnsi="David" w:cs="David" w:hint="cs"/>
                <w:b/>
                <w:bCs/>
                <w:color w:val="000000"/>
                <w:rtl/>
              </w:rPr>
              <w:t>י</w:t>
            </w:r>
            <w:r w:rsidRPr="00542938">
              <w:rPr>
                <w:rFonts w:ascii="David" w:eastAsia="Times New Roman" w:hAnsi="David" w:cs="David"/>
                <w:b/>
                <w:bCs/>
                <w:color w:val="000000"/>
                <w:rtl/>
              </w:rPr>
              <w:t>פ</w:t>
            </w:r>
            <w:r w:rsidRPr="00542938">
              <w:rPr>
                <w:rFonts w:ascii="David" w:eastAsia="Times New Roman" w:hAnsi="David" w:cs="David" w:hint="cs"/>
                <w:b/>
                <w:bCs/>
                <w:color w:val="000000"/>
                <w:rtl/>
              </w:rPr>
              <w:t>ו</w:t>
            </w:r>
            <w:r w:rsidRPr="00542938">
              <w:rPr>
                <w:rFonts w:ascii="David" w:eastAsia="Times New Roman" w:hAnsi="David" w:cs="David"/>
                <w:b/>
                <w:bCs/>
                <w:color w:val="000000"/>
                <w:rtl/>
              </w:rPr>
              <w:t>ל בתיק</w:t>
            </w:r>
          </w:p>
        </w:tc>
        <w:tc>
          <w:tcPr>
            <w:tcW w:w="1843" w:type="dxa"/>
            <w:tcBorders>
              <w:bottom w:val="single" w:sz="4" w:space="0" w:color="auto"/>
            </w:tcBorders>
            <w:vAlign w:val="center"/>
          </w:tcPr>
          <w:p w14:paraId="6396F0DC" w14:textId="77777777" w:rsidR="00181F76" w:rsidRPr="00542938" w:rsidRDefault="00E25AE7" w:rsidP="00C64D3B">
            <w:pPr>
              <w:spacing w:after="0" w:line="240" w:lineRule="auto"/>
              <w:jc w:val="center"/>
              <w:rPr>
                <w:rFonts w:ascii="David" w:eastAsia="Times New Roman" w:hAnsi="David" w:cs="David"/>
                <w:b/>
                <w:bCs/>
                <w:color w:val="000000"/>
                <w:rtl/>
              </w:rPr>
            </w:pPr>
            <w:r w:rsidRPr="00542938">
              <w:rPr>
                <w:rFonts w:ascii="David" w:eastAsia="Times New Roman" w:hAnsi="David" w:cs="David"/>
                <w:b/>
                <w:bCs/>
                <w:color w:val="000000"/>
                <w:rtl/>
              </w:rPr>
              <w:t xml:space="preserve">הזמן השיפוטי </w:t>
            </w:r>
            <w:r w:rsidRPr="00542938">
              <w:rPr>
                <w:rFonts w:ascii="David" w:eastAsia="Times New Roman" w:hAnsi="David" w:cs="David" w:hint="cs"/>
                <w:b/>
                <w:bCs/>
                <w:color w:val="000000"/>
                <w:rtl/>
              </w:rPr>
              <w:t xml:space="preserve">הממוצע </w:t>
            </w:r>
            <w:r w:rsidR="00C91A6D" w:rsidRPr="00542938">
              <w:rPr>
                <w:rFonts w:ascii="David" w:eastAsia="Times New Roman" w:hAnsi="David" w:cs="David" w:hint="cs"/>
                <w:b/>
                <w:bCs/>
                <w:color w:val="000000"/>
                <w:u w:val="single"/>
                <w:rtl/>
              </w:rPr>
              <w:t>המשוקלל</w:t>
            </w:r>
            <w:r w:rsidR="00C91A6D" w:rsidRPr="00542938">
              <w:rPr>
                <w:rFonts w:ascii="David" w:eastAsia="Times New Roman" w:hAnsi="David" w:cs="David" w:hint="cs"/>
                <w:b/>
                <w:bCs/>
                <w:color w:val="000000"/>
                <w:rtl/>
              </w:rPr>
              <w:t xml:space="preserve"> </w:t>
            </w:r>
            <w:r w:rsidRPr="00542938">
              <w:rPr>
                <w:rFonts w:ascii="David" w:eastAsia="Times New Roman" w:hAnsi="David" w:cs="David"/>
                <w:b/>
                <w:bCs/>
                <w:color w:val="000000"/>
                <w:rtl/>
              </w:rPr>
              <w:t xml:space="preserve">לפי </w:t>
            </w:r>
            <w:r w:rsidRPr="00542938">
              <w:rPr>
                <w:rFonts w:ascii="David" w:eastAsia="Times New Roman" w:hAnsi="David" w:cs="David" w:hint="cs"/>
                <w:b/>
                <w:bCs/>
                <w:color w:val="000000"/>
                <w:rtl/>
              </w:rPr>
              <w:t>ה</w:t>
            </w:r>
            <w:r w:rsidRPr="00542938">
              <w:rPr>
                <w:rFonts w:ascii="David" w:eastAsia="Times New Roman" w:hAnsi="David" w:cs="David"/>
                <w:b/>
                <w:bCs/>
                <w:color w:val="000000"/>
                <w:rtl/>
              </w:rPr>
              <w:t>מחקר ה</w:t>
            </w:r>
            <w:r w:rsidRPr="00542938">
              <w:rPr>
                <w:rFonts w:ascii="David" w:eastAsia="Times New Roman" w:hAnsi="David" w:cs="David" w:hint="cs"/>
                <w:b/>
                <w:bCs/>
                <w:color w:val="000000"/>
                <w:rtl/>
              </w:rPr>
              <w:t>קודם</w:t>
            </w:r>
          </w:p>
        </w:tc>
        <w:tc>
          <w:tcPr>
            <w:tcW w:w="852" w:type="dxa"/>
            <w:tcBorders>
              <w:bottom w:val="single" w:sz="4" w:space="0" w:color="auto"/>
            </w:tcBorders>
            <w:vAlign w:val="center"/>
          </w:tcPr>
          <w:p w14:paraId="30A309A1" w14:textId="77777777" w:rsidR="00181F76" w:rsidRPr="00542938" w:rsidRDefault="00E25AE7" w:rsidP="00C64D3B">
            <w:pPr>
              <w:spacing w:after="0" w:line="240" w:lineRule="auto"/>
              <w:jc w:val="center"/>
              <w:rPr>
                <w:rFonts w:ascii="David" w:eastAsia="Times New Roman" w:hAnsi="David" w:cs="David"/>
                <w:b/>
                <w:bCs/>
                <w:color w:val="000000"/>
                <w:rtl/>
              </w:rPr>
            </w:pPr>
            <w:r w:rsidRPr="00542938">
              <w:rPr>
                <w:rFonts w:ascii="David" w:eastAsia="Times New Roman" w:hAnsi="David" w:cs="David"/>
                <w:b/>
                <w:bCs/>
                <w:color w:val="000000"/>
                <w:rtl/>
              </w:rPr>
              <w:t>מגמת שינוי</w:t>
            </w:r>
          </w:p>
        </w:tc>
      </w:tr>
      <w:tr w:rsidR="00E0162E" w:rsidRPr="00542938" w14:paraId="32B3571E" w14:textId="77777777" w:rsidTr="007D380E">
        <w:trPr>
          <w:trHeight w:val="600"/>
        </w:trPr>
        <w:tc>
          <w:tcPr>
            <w:tcW w:w="858" w:type="dxa"/>
            <w:tcBorders>
              <w:top w:val="single" w:sz="4" w:space="0" w:color="auto"/>
              <w:bottom w:val="single" w:sz="4" w:space="0" w:color="auto"/>
            </w:tcBorders>
            <w:shd w:val="clear" w:color="auto" w:fill="D9D9D9"/>
            <w:noWrap/>
            <w:vAlign w:val="center"/>
          </w:tcPr>
          <w:p w14:paraId="387C5480" w14:textId="77777777" w:rsidR="00181F76" w:rsidRPr="00542938" w:rsidRDefault="00E25AE7" w:rsidP="00C64D3B">
            <w:pPr>
              <w:spacing w:after="0" w:line="240" w:lineRule="auto"/>
              <w:rPr>
                <w:rFonts w:ascii="David" w:hAnsi="David" w:cs="David"/>
                <w:color w:val="000000"/>
                <w:rtl/>
              </w:rPr>
            </w:pPr>
            <w:r w:rsidRPr="00542938">
              <w:rPr>
                <w:rFonts w:ascii="David" w:hAnsi="David" w:cs="David"/>
                <w:color w:val="000000"/>
                <w:rtl/>
              </w:rPr>
              <w:t>שלום</w:t>
            </w:r>
          </w:p>
        </w:tc>
        <w:tc>
          <w:tcPr>
            <w:tcW w:w="850" w:type="dxa"/>
            <w:tcBorders>
              <w:top w:val="single" w:sz="4" w:space="0" w:color="auto"/>
              <w:bottom w:val="single" w:sz="4" w:space="0" w:color="auto"/>
            </w:tcBorders>
            <w:shd w:val="clear" w:color="auto" w:fill="D9D9D9"/>
            <w:noWrap/>
            <w:vAlign w:val="center"/>
          </w:tcPr>
          <w:p w14:paraId="14C281DA" w14:textId="77777777" w:rsidR="00181F76" w:rsidRPr="00542938" w:rsidRDefault="00E25AE7" w:rsidP="00C64D3B">
            <w:pPr>
              <w:spacing w:after="0" w:line="240" w:lineRule="auto"/>
              <w:rPr>
                <w:rFonts w:ascii="David" w:hAnsi="David" w:cs="David"/>
                <w:color w:val="000000"/>
                <w:rtl/>
              </w:rPr>
            </w:pPr>
            <w:r w:rsidRPr="00542938">
              <w:rPr>
                <w:rFonts w:ascii="David" w:hAnsi="David" w:cs="David"/>
                <w:color w:val="000000"/>
                <w:rtl/>
              </w:rPr>
              <w:t>אזרחי</w:t>
            </w:r>
          </w:p>
        </w:tc>
        <w:tc>
          <w:tcPr>
            <w:tcW w:w="2130" w:type="dxa"/>
            <w:tcBorders>
              <w:top w:val="single" w:sz="4" w:space="0" w:color="auto"/>
              <w:bottom w:val="single" w:sz="4" w:space="0" w:color="auto"/>
            </w:tcBorders>
            <w:shd w:val="clear" w:color="auto" w:fill="D9D9D9"/>
            <w:vAlign w:val="center"/>
          </w:tcPr>
          <w:p w14:paraId="04FC4963" w14:textId="77777777" w:rsidR="00181F76" w:rsidRPr="00542938" w:rsidRDefault="00E25AE7" w:rsidP="00C64D3B">
            <w:pPr>
              <w:spacing w:after="0" w:line="240" w:lineRule="auto"/>
              <w:rPr>
                <w:rFonts w:ascii="David" w:hAnsi="David" w:cs="David"/>
                <w:color w:val="000000"/>
                <w:rtl/>
              </w:rPr>
            </w:pPr>
            <w:r w:rsidRPr="00542938">
              <w:rPr>
                <w:rFonts w:ascii="David" w:hAnsi="David" w:cs="David"/>
                <w:color w:val="000000"/>
                <w:rtl/>
              </w:rPr>
              <w:t>תיק אזרחי בסדר דין רגיל (ת"א)</w:t>
            </w:r>
            <w:r w:rsidRPr="00542938">
              <w:rPr>
                <w:rFonts w:ascii="David" w:hAnsi="David" w:cs="David" w:hint="cs"/>
                <w:color w:val="000000"/>
                <w:rtl/>
              </w:rPr>
              <w:t xml:space="preserve"> </w:t>
            </w:r>
            <w:r w:rsidRPr="00542938">
              <w:rPr>
                <w:rFonts w:ascii="David" w:hAnsi="David" w:cs="David"/>
                <w:color w:val="000000"/>
                <w:rtl/>
              </w:rPr>
              <w:t>-</w:t>
            </w:r>
            <w:r w:rsidRPr="00542938">
              <w:rPr>
                <w:rFonts w:ascii="David" w:hAnsi="David" w:cs="David" w:hint="cs"/>
                <w:color w:val="000000"/>
                <w:rtl/>
              </w:rPr>
              <w:t xml:space="preserve"> </w:t>
            </w:r>
            <w:r w:rsidRPr="00542938">
              <w:rPr>
                <w:rFonts w:ascii="David" w:hAnsi="David" w:cs="David"/>
                <w:color w:val="000000"/>
                <w:rtl/>
              </w:rPr>
              <w:t>מקרקעין (כולל פינוי סילוק ואחר)</w:t>
            </w:r>
          </w:p>
        </w:tc>
        <w:tc>
          <w:tcPr>
            <w:tcW w:w="1276" w:type="dxa"/>
            <w:tcBorders>
              <w:top w:val="single" w:sz="4" w:space="0" w:color="auto"/>
              <w:bottom w:val="single" w:sz="4" w:space="0" w:color="auto"/>
            </w:tcBorders>
            <w:shd w:val="clear" w:color="auto" w:fill="D9D9D9"/>
            <w:vAlign w:val="center"/>
          </w:tcPr>
          <w:p w14:paraId="5D980F7D" w14:textId="77777777" w:rsidR="00181F76" w:rsidRPr="00542938" w:rsidRDefault="00E25AE7" w:rsidP="00C64D3B">
            <w:pPr>
              <w:spacing w:after="0" w:line="240" w:lineRule="auto"/>
              <w:jc w:val="center"/>
              <w:rPr>
                <w:rFonts w:ascii="David" w:hAnsi="David" w:cs="David"/>
                <w:color w:val="000000"/>
              </w:rPr>
            </w:pPr>
            <w:r w:rsidRPr="00542938">
              <w:rPr>
                <w:rFonts w:ascii="David" w:hAnsi="David" w:cs="David"/>
                <w:color w:val="000000"/>
              </w:rPr>
              <w:t>1,635</w:t>
            </w:r>
          </w:p>
        </w:tc>
        <w:tc>
          <w:tcPr>
            <w:tcW w:w="1417" w:type="dxa"/>
            <w:tcBorders>
              <w:top w:val="single" w:sz="4" w:space="0" w:color="auto"/>
              <w:bottom w:val="single" w:sz="4" w:space="0" w:color="auto"/>
            </w:tcBorders>
            <w:shd w:val="clear" w:color="auto" w:fill="D9D9D9"/>
            <w:noWrap/>
            <w:vAlign w:val="center"/>
          </w:tcPr>
          <w:p w14:paraId="2D9714EA" w14:textId="77777777" w:rsidR="00181F76" w:rsidRPr="00542938" w:rsidRDefault="00E25AE7" w:rsidP="00C64D3B">
            <w:pPr>
              <w:spacing w:after="0" w:line="240" w:lineRule="auto"/>
              <w:jc w:val="center"/>
              <w:rPr>
                <w:rFonts w:asciiTheme="minorHAnsi" w:hAnsiTheme="minorHAnsi" w:cs="David"/>
                <w:b/>
                <w:bCs/>
                <w:color w:val="000000"/>
              </w:rPr>
            </w:pPr>
            <w:r w:rsidRPr="00542938">
              <w:rPr>
                <w:rFonts w:ascii="David" w:hAnsi="David" w:cs="David"/>
                <w:b/>
                <w:bCs/>
                <w:color w:val="000000"/>
              </w:rPr>
              <w:t>12:</w:t>
            </w:r>
            <w:r w:rsidR="00431261" w:rsidRPr="00542938">
              <w:rPr>
                <w:rFonts w:ascii="David" w:hAnsi="David" w:cs="David"/>
                <w:b/>
                <w:bCs/>
                <w:color w:val="000000"/>
              </w:rPr>
              <w:t>33</w:t>
            </w:r>
          </w:p>
        </w:tc>
        <w:tc>
          <w:tcPr>
            <w:tcW w:w="1843" w:type="dxa"/>
            <w:tcBorders>
              <w:top w:val="single" w:sz="4" w:space="0" w:color="auto"/>
              <w:bottom w:val="single" w:sz="4" w:space="0" w:color="auto"/>
            </w:tcBorders>
            <w:shd w:val="clear" w:color="auto" w:fill="D9D9D9"/>
            <w:vAlign w:val="center"/>
          </w:tcPr>
          <w:p w14:paraId="180A1B12" w14:textId="77777777" w:rsidR="00181F76" w:rsidRPr="00542938" w:rsidRDefault="00E25AE7" w:rsidP="00C64D3B">
            <w:pPr>
              <w:spacing w:after="0" w:line="240" w:lineRule="auto"/>
              <w:jc w:val="center"/>
              <w:rPr>
                <w:rFonts w:ascii="David" w:hAnsi="David" w:cs="David"/>
                <w:color w:val="000000"/>
                <w:rtl/>
              </w:rPr>
            </w:pPr>
            <w:r w:rsidRPr="00542938">
              <w:rPr>
                <w:rFonts w:ascii="David" w:hAnsi="David" w:cs="David"/>
                <w:color w:val="000000"/>
              </w:rPr>
              <w:t>5:42</w:t>
            </w:r>
          </w:p>
        </w:tc>
        <w:tc>
          <w:tcPr>
            <w:tcW w:w="852" w:type="dxa"/>
            <w:tcBorders>
              <w:top w:val="single" w:sz="4" w:space="0" w:color="auto"/>
              <w:bottom w:val="single" w:sz="4" w:space="0" w:color="auto"/>
            </w:tcBorders>
            <w:shd w:val="clear" w:color="auto" w:fill="D9D9D9"/>
            <w:vAlign w:val="center"/>
          </w:tcPr>
          <w:p w14:paraId="56BD2EA5" w14:textId="77777777" w:rsidR="00181F76" w:rsidRPr="00542938" w:rsidRDefault="00E25AE7" w:rsidP="00C64D3B">
            <w:pPr>
              <w:spacing w:after="0" w:line="240" w:lineRule="auto"/>
              <w:jc w:val="center"/>
              <w:rPr>
                <w:rFonts w:ascii="David" w:hAnsi="David" w:cs="David"/>
                <w:color w:val="000000"/>
              </w:rPr>
            </w:pPr>
            <w:r w:rsidRPr="00542938">
              <w:rPr>
                <w:rFonts w:ascii="David" w:hAnsi="David" w:cs="David"/>
                <w:color w:val="000000"/>
              </w:rPr>
              <w:t>+6:</w:t>
            </w:r>
            <w:r w:rsidR="00BF0031" w:rsidRPr="00542938">
              <w:rPr>
                <w:rFonts w:ascii="David" w:hAnsi="David" w:cs="David"/>
                <w:color w:val="000000"/>
              </w:rPr>
              <w:t>51</w:t>
            </w:r>
          </w:p>
        </w:tc>
      </w:tr>
      <w:tr w:rsidR="00E0162E" w:rsidRPr="00542938" w14:paraId="662CB338" w14:textId="77777777" w:rsidTr="007D380E">
        <w:trPr>
          <w:trHeight w:val="600"/>
        </w:trPr>
        <w:tc>
          <w:tcPr>
            <w:tcW w:w="858" w:type="dxa"/>
            <w:tcBorders>
              <w:top w:val="single" w:sz="4" w:space="0" w:color="auto"/>
              <w:bottom w:val="single" w:sz="4" w:space="0" w:color="auto"/>
            </w:tcBorders>
            <w:shd w:val="clear" w:color="auto" w:fill="auto"/>
            <w:noWrap/>
            <w:vAlign w:val="center"/>
          </w:tcPr>
          <w:p w14:paraId="2521F84F" w14:textId="77777777" w:rsidR="00181F76" w:rsidRPr="00542938" w:rsidRDefault="00E25AE7" w:rsidP="00C64D3B">
            <w:pPr>
              <w:spacing w:after="0" w:line="240" w:lineRule="auto"/>
              <w:rPr>
                <w:rFonts w:ascii="David" w:hAnsi="David" w:cs="David"/>
                <w:color w:val="000000"/>
                <w:rtl/>
              </w:rPr>
            </w:pPr>
            <w:r w:rsidRPr="00542938">
              <w:rPr>
                <w:rFonts w:ascii="David" w:hAnsi="David" w:cs="David"/>
                <w:color w:val="000000"/>
                <w:rtl/>
              </w:rPr>
              <w:t>שלום</w:t>
            </w:r>
          </w:p>
        </w:tc>
        <w:tc>
          <w:tcPr>
            <w:tcW w:w="850" w:type="dxa"/>
            <w:tcBorders>
              <w:top w:val="single" w:sz="4" w:space="0" w:color="auto"/>
              <w:bottom w:val="single" w:sz="4" w:space="0" w:color="auto"/>
            </w:tcBorders>
            <w:shd w:val="clear" w:color="auto" w:fill="auto"/>
            <w:noWrap/>
            <w:vAlign w:val="center"/>
          </w:tcPr>
          <w:p w14:paraId="233FC372" w14:textId="77777777" w:rsidR="00181F76" w:rsidRPr="00542938" w:rsidRDefault="00E25AE7" w:rsidP="00C64D3B">
            <w:pPr>
              <w:spacing w:after="0" w:line="240" w:lineRule="auto"/>
              <w:rPr>
                <w:rFonts w:ascii="David" w:hAnsi="David" w:cs="David"/>
                <w:color w:val="000000"/>
                <w:rtl/>
              </w:rPr>
            </w:pPr>
            <w:r w:rsidRPr="00542938">
              <w:rPr>
                <w:rFonts w:ascii="David" w:hAnsi="David" w:cs="David"/>
                <w:color w:val="000000"/>
                <w:rtl/>
              </w:rPr>
              <w:t>אזרחי</w:t>
            </w:r>
          </w:p>
        </w:tc>
        <w:tc>
          <w:tcPr>
            <w:tcW w:w="2130" w:type="dxa"/>
            <w:tcBorders>
              <w:top w:val="single" w:sz="4" w:space="0" w:color="auto"/>
              <w:bottom w:val="single" w:sz="4" w:space="0" w:color="auto"/>
            </w:tcBorders>
            <w:shd w:val="clear" w:color="auto" w:fill="auto"/>
            <w:vAlign w:val="center"/>
          </w:tcPr>
          <w:p w14:paraId="6039B099" w14:textId="77777777" w:rsidR="00181F76" w:rsidRPr="00542938" w:rsidRDefault="00E25AE7" w:rsidP="00C64D3B">
            <w:pPr>
              <w:spacing w:after="0" w:line="240" w:lineRule="auto"/>
              <w:rPr>
                <w:rFonts w:ascii="David" w:hAnsi="David" w:cs="David"/>
                <w:color w:val="000000"/>
                <w:rtl/>
              </w:rPr>
            </w:pPr>
            <w:r w:rsidRPr="00542938">
              <w:rPr>
                <w:rFonts w:ascii="David" w:hAnsi="David" w:cs="David"/>
                <w:color w:val="000000"/>
                <w:rtl/>
              </w:rPr>
              <w:t>תיק אזרחי בסדר דין רגיל (ת"א)</w:t>
            </w:r>
            <w:r w:rsidRPr="00542938">
              <w:rPr>
                <w:rFonts w:ascii="David" w:hAnsi="David" w:cs="David" w:hint="cs"/>
                <w:color w:val="000000"/>
                <w:rtl/>
              </w:rPr>
              <w:t xml:space="preserve"> </w:t>
            </w:r>
            <w:r w:rsidRPr="00542938">
              <w:rPr>
                <w:rFonts w:ascii="David" w:hAnsi="David" w:cs="David"/>
                <w:color w:val="000000"/>
                <w:rtl/>
              </w:rPr>
              <w:t>-</w:t>
            </w:r>
            <w:r w:rsidRPr="00542938">
              <w:rPr>
                <w:rFonts w:ascii="David" w:hAnsi="David" w:cs="David" w:hint="cs"/>
                <w:color w:val="000000"/>
                <w:rtl/>
              </w:rPr>
              <w:t xml:space="preserve"> </w:t>
            </w:r>
            <w:r w:rsidRPr="00542938">
              <w:rPr>
                <w:rFonts w:ascii="David" w:hAnsi="David" w:cs="David"/>
                <w:color w:val="000000"/>
                <w:rtl/>
              </w:rPr>
              <w:t>מקרקעין ליקויי בניה</w:t>
            </w:r>
          </w:p>
        </w:tc>
        <w:tc>
          <w:tcPr>
            <w:tcW w:w="1276" w:type="dxa"/>
            <w:tcBorders>
              <w:top w:val="single" w:sz="4" w:space="0" w:color="auto"/>
              <w:bottom w:val="single" w:sz="4" w:space="0" w:color="auto"/>
            </w:tcBorders>
            <w:vAlign w:val="center"/>
          </w:tcPr>
          <w:p w14:paraId="2038C2AA" w14:textId="77777777" w:rsidR="00181F76" w:rsidRPr="00542938" w:rsidRDefault="00E25AE7" w:rsidP="00C64D3B">
            <w:pPr>
              <w:spacing w:after="0" w:line="240" w:lineRule="auto"/>
              <w:jc w:val="center"/>
              <w:rPr>
                <w:rFonts w:ascii="David" w:hAnsi="David" w:cs="David"/>
                <w:color w:val="000000"/>
              </w:rPr>
            </w:pPr>
            <w:r w:rsidRPr="00542938">
              <w:rPr>
                <w:rFonts w:ascii="David" w:hAnsi="David" w:cs="David"/>
                <w:color w:val="000000"/>
              </w:rPr>
              <w:t>352</w:t>
            </w:r>
          </w:p>
        </w:tc>
        <w:tc>
          <w:tcPr>
            <w:tcW w:w="1417" w:type="dxa"/>
            <w:tcBorders>
              <w:top w:val="single" w:sz="4" w:space="0" w:color="auto"/>
              <w:bottom w:val="single" w:sz="4" w:space="0" w:color="auto"/>
            </w:tcBorders>
            <w:shd w:val="clear" w:color="auto" w:fill="auto"/>
            <w:noWrap/>
            <w:vAlign w:val="center"/>
          </w:tcPr>
          <w:p w14:paraId="3C90A882" w14:textId="77777777" w:rsidR="00181F76" w:rsidRPr="00542938" w:rsidRDefault="00E25AE7" w:rsidP="00C64D3B">
            <w:pPr>
              <w:spacing w:after="0" w:line="240" w:lineRule="auto"/>
              <w:jc w:val="center"/>
              <w:rPr>
                <w:rFonts w:ascii="David" w:hAnsi="David" w:cs="David"/>
                <w:b/>
                <w:bCs/>
                <w:color w:val="000000"/>
              </w:rPr>
            </w:pPr>
            <w:r w:rsidRPr="00542938">
              <w:rPr>
                <w:rFonts w:ascii="David" w:hAnsi="David" w:cs="David"/>
                <w:b/>
                <w:bCs/>
                <w:color w:val="000000"/>
              </w:rPr>
              <w:t>10:4</w:t>
            </w:r>
            <w:r w:rsidR="00BF0031" w:rsidRPr="00542938">
              <w:rPr>
                <w:rFonts w:ascii="David" w:hAnsi="David" w:cs="David"/>
                <w:b/>
                <w:bCs/>
                <w:color w:val="000000"/>
              </w:rPr>
              <w:t>4</w:t>
            </w:r>
          </w:p>
        </w:tc>
        <w:tc>
          <w:tcPr>
            <w:tcW w:w="1843" w:type="dxa"/>
            <w:tcBorders>
              <w:top w:val="single" w:sz="4" w:space="0" w:color="auto"/>
              <w:bottom w:val="single" w:sz="4" w:space="0" w:color="auto"/>
            </w:tcBorders>
            <w:shd w:val="clear" w:color="auto" w:fill="auto"/>
            <w:vAlign w:val="center"/>
          </w:tcPr>
          <w:p w14:paraId="149D5846" w14:textId="77777777" w:rsidR="00181F76" w:rsidRPr="00542938" w:rsidRDefault="00E25AE7" w:rsidP="00C64D3B">
            <w:pPr>
              <w:spacing w:after="0" w:line="240" w:lineRule="auto"/>
              <w:jc w:val="center"/>
              <w:rPr>
                <w:rFonts w:ascii="David" w:hAnsi="David" w:cs="David"/>
                <w:color w:val="000000"/>
              </w:rPr>
            </w:pPr>
            <w:r w:rsidRPr="00542938">
              <w:rPr>
                <w:rFonts w:ascii="David" w:hAnsi="David" w:cs="David"/>
                <w:color w:val="000000"/>
              </w:rPr>
              <w:t>5:42</w:t>
            </w:r>
          </w:p>
        </w:tc>
        <w:tc>
          <w:tcPr>
            <w:tcW w:w="852" w:type="dxa"/>
            <w:tcBorders>
              <w:top w:val="single" w:sz="4" w:space="0" w:color="auto"/>
              <w:bottom w:val="single" w:sz="4" w:space="0" w:color="auto"/>
            </w:tcBorders>
            <w:shd w:val="clear" w:color="auto" w:fill="auto"/>
            <w:vAlign w:val="center"/>
          </w:tcPr>
          <w:p w14:paraId="73502F1F" w14:textId="77777777" w:rsidR="00181F76" w:rsidRPr="00542938" w:rsidRDefault="00E25AE7" w:rsidP="00C64D3B">
            <w:pPr>
              <w:spacing w:after="0" w:line="240" w:lineRule="auto"/>
              <w:jc w:val="center"/>
              <w:rPr>
                <w:rFonts w:ascii="David" w:hAnsi="David" w:cs="David"/>
                <w:color w:val="000000"/>
              </w:rPr>
            </w:pPr>
            <w:r w:rsidRPr="00542938">
              <w:rPr>
                <w:rFonts w:ascii="David" w:hAnsi="David" w:cs="David"/>
                <w:color w:val="000000"/>
              </w:rPr>
              <w:t>+5:0</w:t>
            </w:r>
            <w:r w:rsidR="00BF0031" w:rsidRPr="00542938">
              <w:rPr>
                <w:rFonts w:ascii="David" w:hAnsi="David" w:cs="David"/>
                <w:color w:val="000000"/>
              </w:rPr>
              <w:t>2</w:t>
            </w:r>
          </w:p>
        </w:tc>
      </w:tr>
      <w:tr w:rsidR="007D380E" w:rsidRPr="00542938" w14:paraId="3C70A002" w14:textId="77777777" w:rsidTr="007D380E">
        <w:trPr>
          <w:trHeight w:val="656"/>
        </w:trPr>
        <w:tc>
          <w:tcPr>
            <w:tcW w:w="858" w:type="dxa"/>
            <w:tcBorders>
              <w:top w:val="single" w:sz="4" w:space="0" w:color="auto"/>
              <w:bottom w:val="single" w:sz="4" w:space="0" w:color="auto"/>
            </w:tcBorders>
            <w:shd w:val="clear" w:color="auto" w:fill="auto"/>
            <w:noWrap/>
            <w:vAlign w:val="center"/>
          </w:tcPr>
          <w:p w14:paraId="536A5761" w14:textId="4AFA8F4B" w:rsidR="007D380E" w:rsidRPr="00542938" w:rsidRDefault="007D380E" w:rsidP="007D380E">
            <w:pPr>
              <w:spacing w:after="0" w:line="240" w:lineRule="auto"/>
              <w:rPr>
                <w:rFonts w:ascii="David" w:hAnsi="David" w:cs="David"/>
                <w:color w:val="000000"/>
                <w:rtl/>
              </w:rPr>
            </w:pPr>
            <w:r w:rsidRPr="00542938">
              <w:rPr>
                <w:rFonts w:ascii="David" w:eastAsia="Times New Roman" w:hAnsi="David" w:cs="David"/>
                <w:b/>
                <w:bCs/>
                <w:color w:val="000000"/>
                <w:rtl/>
              </w:rPr>
              <w:lastRenderedPageBreak/>
              <w:t>ערכאה</w:t>
            </w:r>
          </w:p>
        </w:tc>
        <w:tc>
          <w:tcPr>
            <w:tcW w:w="850" w:type="dxa"/>
            <w:tcBorders>
              <w:top w:val="single" w:sz="4" w:space="0" w:color="auto"/>
              <w:bottom w:val="single" w:sz="4" w:space="0" w:color="auto"/>
            </w:tcBorders>
            <w:shd w:val="clear" w:color="auto" w:fill="auto"/>
            <w:noWrap/>
            <w:vAlign w:val="center"/>
          </w:tcPr>
          <w:p w14:paraId="31A7190D" w14:textId="0957FDCD" w:rsidR="007D380E" w:rsidRPr="00542938" w:rsidRDefault="007D380E" w:rsidP="007D380E">
            <w:pPr>
              <w:spacing w:after="0" w:line="240" w:lineRule="auto"/>
              <w:rPr>
                <w:rFonts w:ascii="David" w:hAnsi="David" w:cs="David"/>
                <w:color w:val="000000"/>
                <w:rtl/>
              </w:rPr>
            </w:pPr>
            <w:r w:rsidRPr="00542938">
              <w:rPr>
                <w:rFonts w:ascii="David" w:eastAsia="Times New Roman" w:hAnsi="David" w:cs="David"/>
                <w:b/>
                <w:bCs/>
                <w:color w:val="000000"/>
                <w:rtl/>
              </w:rPr>
              <w:t>הליך</w:t>
            </w:r>
          </w:p>
        </w:tc>
        <w:tc>
          <w:tcPr>
            <w:tcW w:w="2130" w:type="dxa"/>
            <w:tcBorders>
              <w:top w:val="single" w:sz="4" w:space="0" w:color="auto"/>
              <w:bottom w:val="single" w:sz="4" w:space="0" w:color="auto"/>
            </w:tcBorders>
            <w:shd w:val="clear" w:color="auto" w:fill="auto"/>
            <w:vAlign w:val="center"/>
          </w:tcPr>
          <w:p w14:paraId="7278E861" w14:textId="0FB054E0" w:rsidR="007D380E" w:rsidRPr="00542938" w:rsidRDefault="007D380E" w:rsidP="007D380E">
            <w:pPr>
              <w:spacing w:after="0" w:line="240" w:lineRule="auto"/>
              <w:rPr>
                <w:rFonts w:ascii="David" w:hAnsi="David" w:cs="David"/>
                <w:color w:val="000000"/>
                <w:rtl/>
              </w:rPr>
            </w:pPr>
            <w:r w:rsidRPr="00542938">
              <w:rPr>
                <w:rFonts w:ascii="David" w:eastAsia="Times New Roman" w:hAnsi="David" w:cs="David"/>
                <w:b/>
                <w:bCs/>
                <w:color w:val="000000"/>
                <w:rtl/>
              </w:rPr>
              <w:t>סוג תיק</w:t>
            </w:r>
          </w:p>
        </w:tc>
        <w:tc>
          <w:tcPr>
            <w:tcW w:w="1276" w:type="dxa"/>
            <w:tcBorders>
              <w:top w:val="single" w:sz="4" w:space="0" w:color="auto"/>
              <w:bottom w:val="single" w:sz="4" w:space="0" w:color="auto"/>
            </w:tcBorders>
            <w:shd w:val="clear" w:color="auto" w:fill="auto"/>
            <w:vAlign w:val="center"/>
          </w:tcPr>
          <w:p w14:paraId="2377B738" w14:textId="7AB4E013" w:rsidR="007D380E" w:rsidRPr="00542938" w:rsidRDefault="007D380E" w:rsidP="007D380E">
            <w:pPr>
              <w:spacing w:after="0" w:line="240" w:lineRule="auto"/>
              <w:jc w:val="center"/>
              <w:rPr>
                <w:rFonts w:ascii="David" w:hAnsi="David" w:cs="David"/>
                <w:color w:val="000000"/>
              </w:rPr>
            </w:pPr>
            <w:r w:rsidRPr="00542938">
              <w:rPr>
                <w:rFonts w:ascii="David" w:eastAsia="Times New Roman" w:hAnsi="David" w:cs="David" w:hint="cs"/>
                <w:b/>
                <w:bCs/>
                <w:color w:val="000000"/>
                <w:rtl/>
              </w:rPr>
              <w:t>מספר תיקים שנסגרו ב-2019</w:t>
            </w:r>
          </w:p>
        </w:tc>
        <w:tc>
          <w:tcPr>
            <w:tcW w:w="1417" w:type="dxa"/>
            <w:tcBorders>
              <w:top w:val="single" w:sz="4" w:space="0" w:color="auto"/>
              <w:bottom w:val="single" w:sz="4" w:space="0" w:color="auto"/>
            </w:tcBorders>
            <w:shd w:val="clear" w:color="auto" w:fill="auto"/>
            <w:noWrap/>
            <w:vAlign w:val="center"/>
          </w:tcPr>
          <w:p w14:paraId="42BC9B10" w14:textId="08053CC8" w:rsidR="007D380E" w:rsidRPr="00542938" w:rsidRDefault="007D380E" w:rsidP="007D380E">
            <w:pPr>
              <w:spacing w:after="0" w:line="240" w:lineRule="auto"/>
              <w:jc w:val="center"/>
              <w:rPr>
                <w:rFonts w:ascii="David" w:hAnsi="David" w:cs="David"/>
                <w:b/>
                <w:bCs/>
                <w:color w:val="000000"/>
              </w:rPr>
            </w:pPr>
            <w:r w:rsidRPr="00542938">
              <w:rPr>
                <w:rFonts w:ascii="David" w:eastAsia="Times New Roman" w:hAnsi="David" w:cs="David"/>
                <w:b/>
                <w:bCs/>
                <w:color w:val="000000"/>
                <w:rtl/>
              </w:rPr>
              <w:t>הזמן השיפוטי הממוצע לט</w:t>
            </w:r>
            <w:r w:rsidRPr="00542938">
              <w:rPr>
                <w:rFonts w:ascii="David" w:eastAsia="Times New Roman" w:hAnsi="David" w:cs="David" w:hint="cs"/>
                <w:b/>
                <w:bCs/>
                <w:color w:val="000000"/>
                <w:rtl/>
              </w:rPr>
              <w:t>י</w:t>
            </w:r>
            <w:r w:rsidRPr="00542938">
              <w:rPr>
                <w:rFonts w:ascii="David" w:eastAsia="Times New Roman" w:hAnsi="David" w:cs="David"/>
                <w:b/>
                <w:bCs/>
                <w:color w:val="000000"/>
                <w:rtl/>
              </w:rPr>
              <w:t>פ</w:t>
            </w:r>
            <w:r w:rsidRPr="00542938">
              <w:rPr>
                <w:rFonts w:ascii="David" w:eastAsia="Times New Roman" w:hAnsi="David" w:cs="David" w:hint="cs"/>
                <w:b/>
                <w:bCs/>
                <w:color w:val="000000"/>
                <w:rtl/>
              </w:rPr>
              <w:t>ו</w:t>
            </w:r>
            <w:r w:rsidRPr="00542938">
              <w:rPr>
                <w:rFonts w:ascii="David" w:eastAsia="Times New Roman" w:hAnsi="David" w:cs="David"/>
                <w:b/>
                <w:bCs/>
                <w:color w:val="000000"/>
                <w:rtl/>
              </w:rPr>
              <w:t>ל בתיק</w:t>
            </w:r>
          </w:p>
        </w:tc>
        <w:tc>
          <w:tcPr>
            <w:tcW w:w="1843" w:type="dxa"/>
            <w:tcBorders>
              <w:top w:val="single" w:sz="4" w:space="0" w:color="auto"/>
              <w:bottom w:val="single" w:sz="4" w:space="0" w:color="auto"/>
            </w:tcBorders>
            <w:shd w:val="clear" w:color="auto" w:fill="auto"/>
            <w:vAlign w:val="center"/>
          </w:tcPr>
          <w:p w14:paraId="589585BC" w14:textId="4BF96C25" w:rsidR="007D380E" w:rsidRPr="00542938" w:rsidRDefault="007D380E" w:rsidP="007D380E">
            <w:pPr>
              <w:spacing w:after="0" w:line="240" w:lineRule="auto"/>
              <w:jc w:val="center"/>
              <w:rPr>
                <w:rFonts w:ascii="David" w:hAnsi="David" w:cs="David"/>
                <w:color w:val="000000"/>
              </w:rPr>
            </w:pPr>
            <w:r w:rsidRPr="00542938">
              <w:rPr>
                <w:rFonts w:ascii="David" w:eastAsia="Times New Roman" w:hAnsi="David" w:cs="David"/>
                <w:b/>
                <w:bCs/>
                <w:color w:val="000000"/>
                <w:rtl/>
              </w:rPr>
              <w:t xml:space="preserve">הזמן השיפוטי </w:t>
            </w:r>
            <w:r w:rsidRPr="00542938">
              <w:rPr>
                <w:rFonts w:ascii="David" w:eastAsia="Times New Roman" w:hAnsi="David" w:cs="David" w:hint="cs"/>
                <w:b/>
                <w:bCs/>
                <w:color w:val="000000"/>
                <w:rtl/>
              </w:rPr>
              <w:t xml:space="preserve">הממוצע </w:t>
            </w:r>
            <w:r w:rsidRPr="00542938">
              <w:rPr>
                <w:rFonts w:ascii="David" w:eastAsia="Times New Roman" w:hAnsi="David" w:cs="David" w:hint="cs"/>
                <w:b/>
                <w:bCs/>
                <w:color w:val="000000"/>
                <w:u w:val="single"/>
                <w:rtl/>
              </w:rPr>
              <w:t>המשוקלל</w:t>
            </w:r>
            <w:r w:rsidRPr="00542938">
              <w:rPr>
                <w:rFonts w:ascii="David" w:eastAsia="Times New Roman" w:hAnsi="David" w:cs="David" w:hint="cs"/>
                <w:b/>
                <w:bCs/>
                <w:color w:val="000000"/>
                <w:rtl/>
              </w:rPr>
              <w:t xml:space="preserve"> </w:t>
            </w:r>
            <w:r w:rsidRPr="00542938">
              <w:rPr>
                <w:rFonts w:ascii="David" w:eastAsia="Times New Roman" w:hAnsi="David" w:cs="David"/>
                <w:b/>
                <w:bCs/>
                <w:color w:val="000000"/>
                <w:rtl/>
              </w:rPr>
              <w:t xml:space="preserve">לפי </w:t>
            </w:r>
            <w:r w:rsidRPr="00542938">
              <w:rPr>
                <w:rFonts w:ascii="David" w:eastAsia="Times New Roman" w:hAnsi="David" w:cs="David" w:hint="cs"/>
                <w:b/>
                <w:bCs/>
                <w:color w:val="000000"/>
                <w:rtl/>
              </w:rPr>
              <w:t>ה</w:t>
            </w:r>
            <w:r w:rsidRPr="00542938">
              <w:rPr>
                <w:rFonts w:ascii="David" w:eastAsia="Times New Roman" w:hAnsi="David" w:cs="David"/>
                <w:b/>
                <w:bCs/>
                <w:color w:val="000000"/>
                <w:rtl/>
              </w:rPr>
              <w:t>מחקר ה</w:t>
            </w:r>
            <w:r w:rsidRPr="00542938">
              <w:rPr>
                <w:rFonts w:ascii="David" w:eastAsia="Times New Roman" w:hAnsi="David" w:cs="David" w:hint="cs"/>
                <w:b/>
                <w:bCs/>
                <w:color w:val="000000"/>
                <w:rtl/>
              </w:rPr>
              <w:t>קודם</w:t>
            </w:r>
          </w:p>
        </w:tc>
        <w:tc>
          <w:tcPr>
            <w:tcW w:w="852" w:type="dxa"/>
            <w:tcBorders>
              <w:top w:val="single" w:sz="4" w:space="0" w:color="auto"/>
              <w:bottom w:val="single" w:sz="4" w:space="0" w:color="auto"/>
            </w:tcBorders>
            <w:shd w:val="clear" w:color="auto" w:fill="auto"/>
            <w:vAlign w:val="center"/>
          </w:tcPr>
          <w:p w14:paraId="7B385DBA" w14:textId="3AB696B7" w:rsidR="007D380E" w:rsidRPr="00542938" w:rsidRDefault="007D380E" w:rsidP="007D380E">
            <w:pPr>
              <w:spacing w:after="0" w:line="240" w:lineRule="auto"/>
              <w:jc w:val="center"/>
              <w:rPr>
                <w:rFonts w:ascii="David" w:hAnsi="David" w:cs="David"/>
                <w:color w:val="000000"/>
              </w:rPr>
            </w:pPr>
            <w:r w:rsidRPr="00542938">
              <w:rPr>
                <w:rFonts w:ascii="David" w:eastAsia="Times New Roman" w:hAnsi="David" w:cs="David"/>
                <w:b/>
                <w:bCs/>
                <w:color w:val="000000"/>
                <w:rtl/>
              </w:rPr>
              <w:t>מגמת שינוי</w:t>
            </w:r>
          </w:p>
        </w:tc>
      </w:tr>
      <w:tr w:rsidR="007D380E" w:rsidRPr="00542938" w14:paraId="17D70658" w14:textId="77777777" w:rsidTr="007D380E">
        <w:trPr>
          <w:trHeight w:val="656"/>
        </w:trPr>
        <w:tc>
          <w:tcPr>
            <w:tcW w:w="858" w:type="dxa"/>
            <w:tcBorders>
              <w:top w:val="single" w:sz="4" w:space="0" w:color="auto"/>
              <w:bottom w:val="single" w:sz="4" w:space="0" w:color="auto"/>
            </w:tcBorders>
            <w:shd w:val="clear" w:color="auto" w:fill="D9D9D9"/>
            <w:noWrap/>
            <w:vAlign w:val="center"/>
          </w:tcPr>
          <w:p w14:paraId="5BE44807"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שלום</w:t>
            </w:r>
          </w:p>
        </w:tc>
        <w:tc>
          <w:tcPr>
            <w:tcW w:w="850" w:type="dxa"/>
            <w:tcBorders>
              <w:top w:val="single" w:sz="4" w:space="0" w:color="auto"/>
              <w:bottom w:val="single" w:sz="4" w:space="0" w:color="auto"/>
            </w:tcBorders>
            <w:shd w:val="clear" w:color="auto" w:fill="D9D9D9"/>
            <w:noWrap/>
            <w:vAlign w:val="center"/>
          </w:tcPr>
          <w:p w14:paraId="5FAC28D4"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אזרחי</w:t>
            </w:r>
          </w:p>
        </w:tc>
        <w:tc>
          <w:tcPr>
            <w:tcW w:w="2130" w:type="dxa"/>
            <w:tcBorders>
              <w:top w:val="single" w:sz="4" w:space="0" w:color="auto"/>
              <w:bottom w:val="single" w:sz="4" w:space="0" w:color="auto"/>
            </w:tcBorders>
            <w:shd w:val="clear" w:color="auto" w:fill="D9D9D9"/>
            <w:vAlign w:val="center"/>
          </w:tcPr>
          <w:p w14:paraId="6AA7499E"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תיק אזרחי בסדר דין רגיל (ת"א)</w:t>
            </w:r>
            <w:r w:rsidRPr="00542938">
              <w:rPr>
                <w:rFonts w:ascii="David" w:hAnsi="David" w:cs="David" w:hint="cs"/>
                <w:color w:val="000000"/>
                <w:rtl/>
              </w:rPr>
              <w:t xml:space="preserve"> </w:t>
            </w:r>
            <w:r w:rsidRPr="00542938">
              <w:rPr>
                <w:rFonts w:ascii="David" w:hAnsi="David" w:cs="David"/>
                <w:color w:val="000000"/>
                <w:rtl/>
              </w:rPr>
              <w:t>-</w:t>
            </w:r>
            <w:r w:rsidRPr="00542938">
              <w:rPr>
                <w:rFonts w:ascii="David" w:hAnsi="David" w:cs="David" w:hint="cs"/>
                <w:color w:val="000000"/>
                <w:rtl/>
              </w:rPr>
              <w:t xml:space="preserve"> </w:t>
            </w:r>
            <w:r w:rsidRPr="00542938">
              <w:rPr>
                <w:rFonts w:ascii="David" w:hAnsi="David" w:cs="David"/>
                <w:color w:val="000000"/>
                <w:rtl/>
              </w:rPr>
              <w:t>מקרקעין פירוק שיתוף</w:t>
            </w:r>
            <w:r w:rsidRPr="00542938">
              <w:rPr>
                <w:rFonts w:ascii="David" w:hAnsi="David" w:cs="David" w:hint="cs"/>
                <w:color w:val="000000"/>
                <w:rtl/>
              </w:rPr>
              <w:t>*</w:t>
            </w:r>
          </w:p>
        </w:tc>
        <w:tc>
          <w:tcPr>
            <w:tcW w:w="1276" w:type="dxa"/>
            <w:tcBorders>
              <w:top w:val="single" w:sz="4" w:space="0" w:color="auto"/>
              <w:bottom w:val="single" w:sz="4" w:space="0" w:color="auto"/>
            </w:tcBorders>
            <w:shd w:val="clear" w:color="auto" w:fill="D9D9D9"/>
            <w:vAlign w:val="center"/>
          </w:tcPr>
          <w:p w14:paraId="2EC03539" w14:textId="77777777" w:rsidR="007D380E" w:rsidRPr="00542938" w:rsidRDefault="007D380E" w:rsidP="007D380E">
            <w:pPr>
              <w:spacing w:after="0" w:line="240" w:lineRule="auto"/>
              <w:jc w:val="center"/>
              <w:rPr>
                <w:rFonts w:asciiTheme="minorHAnsi" w:hAnsiTheme="minorHAnsi" w:cs="David"/>
                <w:color w:val="000000"/>
              </w:rPr>
            </w:pPr>
            <w:r w:rsidRPr="00542938">
              <w:rPr>
                <w:rFonts w:ascii="David" w:hAnsi="David" w:cs="David"/>
                <w:color w:val="000000"/>
              </w:rPr>
              <w:t>489</w:t>
            </w:r>
          </w:p>
        </w:tc>
        <w:tc>
          <w:tcPr>
            <w:tcW w:w="1417" w:type="dxa"/>
            <w:tcBorders>
              <w:top w:val="single" w:sz="4" w:space="0" w:color="auto"/>
              <w:bottom w:val="single" w:sz="4" w:space="0" w:color="auto"/>
            </w:tcBorders>
            <w:shd w:val="clear" w:color="auto" w:fill="D9D9D9"/>
            <w:noWrap/>
            <w:vAlign w:val="center"/>
          </w:tcPr>
          <w:p w14:paraId="1EC6AB18" w14:textId="77777777" w:rsidR="007D380E" w:rsidRPr="00542938" w:rsidRDefault="007D380E" w:rsidP="007D380E">
            <w:pPr>
              <w:spacing w:after="0" w:line="240" w:lineRule="auto"/>
              <w:jc w:val="center"/>
              <w:rPr>
                <w:rFonts w:ascii="David" w:hAnsi="David" w:cs="David"/>
                <w:b/>
                <w:bCs/>
                <w:color w:val="000000"/>
              </w:rPr>
            </w:pPr>
            <w:r w:rsidRPr="00542938">
              <w:rPr>
                <w:rFonts w:ascii="David" w:hAnsi="David" w:cs="David"/>
                <w:b/>
                <w:bCs/>
                <w:color w:val="000000"/>
              </w:rPr>
              <w:t>10:31</w:t>
            </w:r>
          </w:p>
        </w:tc>
        <w:tc>
          <w:tcPr>
            <w:tcW w:w="1843" w:type="dxa"/>
            <w:tcBorders>
              <w:top w:val="single" w:sz="4" w:space="0" w:color="auto"/>
              <w:bottom w:val="single" w:sz="4" w:space="0" w:color="auto"/>
            </w:tcBorders>
            <w:shd w:val="clear" w:color="auto" w:fill="D9D9D9"/>
            <w:vAlign w:val="center"/>
          </w:tcPr>
          <w:p w14:paraId="469E73F6" w14:textId="77777777" w:rsidR="007D380E" w:rsidRPr="00542938" w:rsidRDefault="007D380E" w:rsidP="007D380E">
            <w:pPr>
              <w:spacing w:after="0" w:line="240" w:lineRule="auto"/>
              <w:jc w:val="center"/>
              <w:rPr>
                <w:rFonts w:ascii="David" w:hAnsi="David" w:cs="David"/>
                <w:color w:val="000000"/>
              </w:rPr>
            </w:pPr>
            <w:r w:rsidRPr="00542938">
              <w:rPr>
                <w:rFonts w:ascii="David" w:hAnsi="David" w:cs="David"/>
                <w:color w:val="000000"/>
              </w:rPr>
              <w:t>5:42</w:t>
            </w:r>
          </w:p>
        </w:tc>
        <w:tc>
          <w:tcPr>
            <w:tcW w:w="852" w:type="dxa"/>
            <w:tcBorders>
              <w:top w:val="single" w:sz="4" w:space="0" w:color="auto"/>
              <w:bottom w:val="single" w:sz="4" w:space="0" w:color="auto"/>
            </w:tcBorders>
            <w:shd w:val="clear" w:color="auto" w:fill="D9D9D9"/>
            <w:vAlign w:val="center"/>
          </w:tcPr>
          <w:p w14:paraId="47D37FB4" w14:textId="77777777" w:rsidR="007D380E" w:rsidRPr="00542938" w:rsidRDefault="007D380E" w:rsidP="007D380E">
            <w:pPr>
              <w:spacing w:after="0" w:line="240" w:lineRule="auto"/>
              <w:jc w:val="center"/>
              <w:rPr>
                <w:rFonts w:ascii="David" w:hAnsi="David" w:cs="David"/>
                <w:color w:val="000000"/>
              </w:rPr>
            </w:pPr>
            <w:r w:rsidRPr="00542938">
              <w:rPr>
                <w:rFonts w:ascii="David" w:hAnsi="David" w:cs="David"/>
                <w:color w:val="000000"/>
              </w:rPr>
              <w:t>+4:49</w:t>
            </w:r>
          </w:p>
        </w:tc>
      </w:tr>
      <w:tr w:rsidR="007D380E" w:rsidRPr="00542938" w14:paraId="01856624" w14:textId="77777777" w:rsidTr="007D380E">
        <w:trPr>
          <w:trHeight w:val="656"/>
        </w:trPr>
        <w:tc>
          <w:tcPr>
            <w:tcW w:w="858" w:type="dxa"/>
            <w:tcBorders>
              <w:top w:val="single" w:sz="4" w:space="0" w:color="auto"/>
              <w:bottom w:val="single" w:sz="4" w:space="0" w:color="auto"/>
            </w:tcBorders>
            <w:shd w:val="clear" w:color="auto" w:fill="auto"/>
            <w:noWrap/>
            <w:vAlign w:val="center"/>
          </w:tcPr>
          <w:p w14:paraId="2F1B0B4D"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שלום</w:t>
            </w:r>
          </w:p>
        </w:tc>
        <w:tc>
          <w:tcPr>
            <w:tcW w:w="850" w:type="dxa"/>
            <w:tcBorders>
              <w:top w:val="single" w:sz="4" w:space="0" w:color="auto"/>
              <w:bottom w:val="single" w:sz="4" w:space="0" w:color="auto"/>
            </w:tcBorders>
            <w:shd w:val="clear" w:color="auto" w:fill="auto"/>
            <w:noWrap/>
            <w:vAlign w:val="center"/>
          </w:tcPr>
          <w:p w14:paraId="3B8D5EB1"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אזרחי</w:t>
            </w:r>
          </w:p>
        </w:tc>
        <w:tc>
          <w:tcPr>
            <w:tcW w:w="2130" w:type="dxa"/>
            <w:tcBorders>
              <w:top w:val="single" w:sz="4" w:space="0" w:color="auto"/>
              <w:bottom w:val="single" w:sz="4" w:space="0" w:color="auto"/>
            </w:tcBorders>
            <w:shd w:val="clear" w:color="auto" w:fill="auto"/>
            <w:vAlign w:val="center"/>
          </w:tcPr>
          <w:p w14:paraId="39767E59"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תיק אזרחי בסדר דין רגיל (ת"א)</w:t>
            </w:r>
            <w:r w:rsidRPr="00542938">
              <w:rPr>
                <w:rFonts w:ascii="David" w:hAnsi="David" w:cs="David" w:hint="cs"/>
                <w:color w:val="000000"/>
                <w:rtl/>
              </w:rPr>
              <w:t xml:space="preserve"> </w:t>
            </w:r>
            <w:r w:rsidRPr="00542938">
              <w:rPr>
                <w:rFonts w:ascii="David" w:hAnsi="David" w:cs="David"/>
                <w:color w:val="000000"/>
                <w:rtl/>
              </w:rPr>
              <w:t>-</w:t>
            </w:r>
            <w:r w:rsidRPr="00542938">
              <w:rPr>
                <w:rFonts w:ascii="David" w:hAnsi="David" w:cs="David" w:hint="cs"/>
                <w:color w:val="000000"/>
                <w:rtl/>
              </w:rPr>
              <w:t xml:space="preserve"> </w:t>
            </w:r>
            <w:r w:rsidRPr="00542938">
              <w:rPr>
                <w:rFonts w:ascii="David" w:hAnsi="David" w:cs="David"/>
                <w:color w:val="000000"/>
                <w:rtl/>
              </w:rPr>
              <w:t>התנגדות לביצוע שטר/ביצוע תביעה</w:t>
            </w:r>
          </w:p>
        </w:tc>
        <w:tc>
          <w:tcPr>
            <w:tcW w:w="1276" w:type="dxa"/>
            <w:tcBorders>
              <w:top w:val="single" w:sz="4" w:space="0" w:color="auto"/>
              <w:bottom w:val="single" w:sz="4" w:space="0" w:color="auto"/>
            </w:tcBorders>
            <w:shd w:val="clear" w:color="auto" w:fill="auto"/>
            <w:vAlign w:val="center"/>
          </w:tcPr>
          <w:p w14:paraId="11D9F234" w14:textId="77777777" w:rsidR="007D380E" w:rsidRPr="00542938" w:rsidRDefault="007D380E" w:rsidP="007D380E">
            <w:pPr>
              <w:spacing w:after="0" w:line="240" w:lineRule="auto"/>
              <w:jc w:val="center"/>
              <w:rPr>
                <w:rFonts w:ascii="David" w:hAnsi="David" w:cs="David"/>
                <w:color w:val="000000"/>
              </w:rPr>
            </w:pPr>
            <w:r w:rsidRPr="00542938">
              <w:rPr>
                <w:rFonts w:ascii="David" w:hAnsi="David" w:cs="David"/>
                <w:color w:val="000000"/>
              </w:rPr>
              <w:t>622</w:t>
            </w:r>
          </w:p>
        </w:tc>
        <w:tc>
          <w:tcPr>
            <w:tcW w:w="1417" w:type="dxa"/>
            <w:tcBorders>
              <w:top w:val="single" w:sz="4" w:space="0" w:color="auto"/>
              <w:bottom w:val="single" w:sz="4" w:space="0" w:color="auto"/>
            </w:tcBorders>
            <w:shd w:val="clear" w:color="auto" w:fill="auto"/>
            <w:noWrap/>
            <w:vAlign w:val="center"/>
          </w:tcPr>
          <w:p w14:paraId="712D6E82" w14:textId="77777777" w:rsidR="007D380E" w:rsidRPr="00542938" w:rsidRDefault="007D380E" w:rsidP="007D380E">
            <w:pPr>
              <w:spacing w:after="0" w:line="240" w:lineRule="auto"/>
              <w:jc w:val="center"/>
              <w:rPr>
                <w:rFonts w:ascii="David" w:hAnsi="David" w:cs="David"/>
                <w:b/>
                <w:bCs/>
                <w:color w:val="000000"/>
              </w:rPr>
            </w:pPr>
            <w:r w:rsidRPr="00542938">
              <w:rPr>
                <w:rFonts w:ascii="David" w:hAnsi="David" w:cs="David" w:hint="cs"/>
                <w:b/>
                <w:bCs/>
                <w:color w:val="000000"/>
                <w:rtl/>
              </w:rPr>
              <w:t>9:51</w:t>
            </w:r>
          </w:p>
        </w:tc>
        <w:tc>
          <w:tcPr>
            <w:tcW w:w="1843" w:type="dxa"/>
            <w:tcBorders>
              <w:top w:val="single" w:sz="4" w:space="0" w:color="auto"/>
              <w:bottom w:val="single" w:sz="4" w:space="0" w:color="auto"/>
            </w:tcBorders>
            <w:shd w:val="clear" w:color="auto" w:fill="auto"/>
            <w:vAlign w:val="center"/>
          </w:tcPr>
          <w:p w14:paraId="76F56536" w14:textId="77777777" w:rsidR="007D380E" w:rsidRPr="00542938" w:rsidRDefault="007D380E" w:rsidP="007D380E">
            <w:pPr>
              <w:spacing w:after="0" w:line="240" w:lineRule="auto"/>
              <w:jc w:val="center"/>
              <w:rPr>
                <w:rFonts w:ascii="David" w:hAnsi="David" w:cs="David"/>
                <w:color w:val="000000"/>
              </w:rPr>
            </w:pPr>
            <w:r w:rsidRPr="00542938">
              <w:rPr>
                <w:rFonts w:ascii="David" w:hAnsi="David" w:cs="David"/>
                <w:color w:val="000000"/>
              </w:rPr>
              <w:t>5:42</w:t>
            </w:r>
          </w:p>
        </w:tc>
        <w:tc>
          <w:tcPr>
            <w:tcW w:w="852" w:type="dxa"/>
            <w:tcBorders>
              <w:top w:val="single" w:sz="4" w:space="0" w:color="auto"/>
              <w:bottom w:val="single" w:sz="4" w:space="0" w:color="auto"/>
            </w:tcBorders>
            <w:shd w:val="clear" w:color="auto" w:fill="auto"/>
            <w:vAlign w:val="center"/>
          </w:tcPr>
          <w:p w14:paraId="3F38CFB7" w14:textId="77777777" w:rsidR="007D380E" w:rsidRPr="00542938" w:rsidRDefault="007D380E" w:rsidP="007D380E">
            <w:pPr>
              <w:spacing w:after="0" w:line="240" w:lineRule="auto"/>
              <w:jc w:val="center"/>
              <w:rPr>
                <w:rFonts w:ascii="David" w:hAnsi="David" w:cs="David"/>
                <w:color w:val="000000"/>
              </w:rPr>
            </w:pPr>
            <w:r w:rsidRPr="00542938">
              <w:rPr>
                <w:rFonts w:ascii="David" w:hAnsi="David" w:cs="David" w:hint="cs"/>
                <w:color w:val="000000"/>
                <w:rtl/>
              </w:rPr>
              <w:t>4:09+</w:t>
            </w:r>
          </w:p>
        </w:tc>
      </w:tr>
      <w:tr w:rsidR="007D380E" w:rsidRPr="00542938" w14:paraId="04294104" w14:textId="77777777" w:rsidTr="007D380E">
        <w:trPr>
          <w:trHeight w:val="656"/>
        </w:trPr>
        <w:tc>
          <w:tcPr>
            <w:tcW w:w="858" w:type="dxa"/>
            <w:tcBorders>
              <w:top w:val="single" w:sz="4" w:space="0" w:color="auto"/>
              <w:bottom w:val="single" w:sz="4" w:space="0" w:color="auto"/>
            </w:tcBorders>
            <w:shd w:val="clear" w:color="auto" w:fill="D9D9D9"/>
            <w:noWrap/>
            <w:vAlign w:val="center"/>
          </w:tcPr>
          <w:p w14:paraId="75AC3191"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שלום</w:t>
            </w:r>
          </w:p>
        </w:tc>
        <w:tc>
          <w:tcPr>
            <w:tcW w:w="850" w:type="dxa"/>
            <w:tcBorders>
              <w:top w:val="single" w:sz="4" w:space="0" w:color="auto"/>
              <w:bottom w:val="single" w:sz="4" w:space="0" w:color="auto"/>
            </w:tcBorders>
            <w:shd w:val="clear" w:color="auto" w:fill="D9D9D9"/>
            <w:noWrap/>
            <w:vAlign w:val="center"/>
          </w:tcPr>
          <w:p w14:paraId="69F6743F"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אזרחי</w:t>
            </w:r>
          </w:p>
        </w:tc>
        <w:tc>
          <w:tcPr>
            <w:tcW w:w="2130" w:type="dxa"/>
            <w:tcBorders>
              <w:top w:val="single" w:sz="4" w:space="0" w:color="auto"/>
              <w:bottom w:val="single" w:sz="4" w:space="0" w:color="auto"/>
            </w:tcBorders>
            <w:shd w:val="clear" w:color="auto" w:fill="D9D9D9"/>
            <w:vAlign w:val="center"/>
          </w:tcPr>
          <w:p w14:paraId="2ED681E9"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תיק אזרחי בסדר דין רגיל (ת"א)</w:t>
            </w:r>
            <w:r w:rsidRPr="00542938">
              <w:rPr>
                <w:rFonts w:ascii="David" w:hAnsi="David" w:cs="David" w:hint="cs"/>
                <w:color w:val="000000"/>
                <w:rtl/>
              </w:rPr>
              <w:t xml:space="preserve"> </w:t>
            </w:r>
            <w:r w:rsidRPr="00542938">
              <w:rPr>
                <w:rFonts w:ascii="David" w:hAnsi="David" w:cs="David"/>
                <w:color w:val="000000"/>
                <w:rtl/>
              </w:rPr>
              <w:t>-</w:t>
            </w:r>
            <w:r w:rsidRPr="00542938">
              <w:rPr>
                <w:rFonts w:ascii="David" w:hAnsi="David" w:cs="David" w:hint="cs"/>
                <w:color w:val="000000"/>
                <w:rtl/>
              </w:rPr>
              <w:t xml:space="preserve"> </w:t>
            </w:r>
            <w:r w:rsidRPr="00542938">
              <w:rPr>
                <w:rFonts w:ascii="David" w:hAnsi="David" w:cs="David"/>
                <w:color w:val="000000"/>
                <w:rtl/>
              </w:rPr>
              <w:t>תביעה כספית</w:t>
            </w:r>
          </w:p>
        </w:tc>
        <w:tc>
          <w:tcPr>
            <w:tcW w:w="1276" w:type="dxa"/>
            <w:tcBorders>
              <w:top w:val="single" w:sz="4" w:space="0" w:color="auto"/>
              <w:bottom w:val="single" w:sz="4" w:space="0" w:color="auto"/>
            </w:tcBorders>
            <w:shd w:val="clear" w:color="auto" w:fill="D9D9D9"/>
            <w:vAlign w:val="center"/>
          </w:tcPr>
          <w:p w14:paraId="76428622" w14:textId="77777777" w:rsidR="007D380E" w:rsidRPr="00542938" w:rsidRDefault="007D380E" w:rsidP="007D380E">
            <w:pPr>
              <w:spacing w:after="0" w:line="240" w:lineRule="auto"/>
              <w:jc w:val="center"/>
              <w:rPr>
                <w:rFonts w:ascii="David" w:hAnsi="David" w:cs="David"/>
                <w:color w:val="000000"/>
              </w:rPr>
            </w:pPr>
            <w:r w:rsidRPr="00542938">
              <w:rPr>
                <w:rFonts w:ascii="David" w:hAnsi="David" w:cs="David"/>
                <w:color w:val="000000"/>
              </w:rPr>
              <w:t>15,589</w:t>
            </w:r>
          </w:p>
        </w:tc>
        <w:tc>
          <w:tcPr>
            <w:tcW w:w="1417" w:type="dxa"/>
            <w:tcBorders>
              <w:top w:val="single" w:sz="4" w:space="0" w:color="auto"/>
              <w:bottom w:val="single" w:sz="4" w:space="0" w:color="auto"/>
            </w:tcBorders>
            <w:shd w:val="clear" w:color="auto" w:fill="D9D9D9"/>
            <w:noWrap/>
            <w:vAlign w:val="center"/>
          </w:tcPr>
          <w:p w14:paraId="7120B2EC" w14:textId="77777777" w:rsidR="007D380E" w:rsidRPr="00542938" w:rsidRDefault="007D380E" w:rsidP="007D380E">
            <w:pPr>
              <w:spacing w:after="0" w:line="240" w:lineRule="auto"/>
              <w:jc w:val="center"/>
              <w:rPr>
                <w:rFonts w:ascii="David" w:hAnsi="David" w:cs="David"/>
                <w:b/>
                <w:bCs/>
                <w:color w:val="000000"/>
              </w:rPr>
            </w:pPr>
            <w:r w:rsidRPr="00542938">
              <w:rPr>
                <w:rFonts w:ascii="David" w:hAnsi="David" w:cs="David"/>
                <w:b/>
                <w:bCs/>
                <w:color w:val="000000"/>
              </w:rPr>
              <w:t>8:36</w:t>
            </w:r>
          </w:p>
        </w:tc>
        <w:tc>
          <w:tcPr>
            <w:tcW w:w="1843" w:type="dxa"/>
            <w:tcBorders>
              <w:top w:val="single" w:sz="4" w:space="0" w:color="auto"/>
              <w:bottom w:val="single" w:sz="4" w:space="0" w:color="auto"/>
            </w:tcBorders>
            <w:shd w:val="clear" w:color="auto" w:fill="D9D9D9"/>
            <w:vAlign w:val="center"/>
          </w:tcPr>
          <w:p w14:paraId="0E7CE938" w14:textId="77777777" w:rsidR="007D380E" w:rsidRPr="00542938" w:rsidRDefault="007D380E" w:rsidP="007D380E">
            <w:pPr>
              <w:spacing w:after="0" w:line="240" w:lineRule="auto"/>
              <w:jc w:val="center"/>
              <w:rPr>
                <w:rFonts w:ascii="David" w:hAnsi="David" w:cs="David"/>
                <w:color w:val="000000"/>
              </w:rPr>
            </w:pPr>
            <w:r w:rsidRPr="00542938">
              <w:rPr>
                <w:rFonts w:ascii="David" w:hAnsi="David" w:cs="David"/>
                <w:color w:val="000000"/>
              </w:rPr>
              <w:t>5:42</w:t>
            </w:r>
          </w:p>
        </w:tc>
        <w:tc>
          <w:tcPr>
            <w:tcW w:w="852" w:type="dxa"/>
            <w:tcBorders>
              <w:top w:val="single" w:sz="4" w:space="0" w:color="auto"/>
              <w:bottom w:val="single" w:sz="4" w:space="0" w:color="auto"/>
            </w:tcBorders>
            <w:shd w:val="clear" w:color="auto" w:fill="D9D9D9"/>
            <w:vAlign w:val="center"/>
          </w:tcPr>
          <w:p w14:paraId="690BC8F5" w14:textId="77777777" w:rsidR="007D380E" w:rsidRPr="00542938" w:rsidRDefault="007D380E" w:rsidP="007D380E">
            <w:pPr>
              <w:spacing w:after="0" w:line="240" w:lineRule="auto"/>
              <w:jc w:val="center"/>
              <w:rPr>
                <w:rFonts w:ascii="David" w:hAnsi="David" w:cs="David"/>
                <w:color w:val="000000"/>
              </w:rPr>
            </w:pPr>
            <w:r w:rsidRPr="00542938">
              <w:rPr>
                <w:rFonts w:ascii="David" w:hAnsi="David" w:cs="David"/>
                <w:color w:val="000000"/>
              </w:rPr>
              <w:t>+2:54</w:t>
            </w:r>
          </w:p>
        </w:tc>
      </w:tr>
      <w:tr w:rsidR="007D380E" w:rsidRPr="00542938" w14:paraId="3DCAAA83" w14:textId="77777777" w:rsidTr="007D380E">
        <w:trPr>
          <w:trHeight w:val="600"/>
        </w:trPr>
        <w:tc>
          <w:tcPr>
            <w:tcW w:w="858" w:type="dxa"/>
            <w:tcBorders>
              <w:top w:val="single" w:sz="4" w:space="0" w:color="auto"/>
              <w:bottom w:val="single" w:sz="4" w:space="0" w:color="auto"/>
            </w:tcBorders>
            <w:shd w:val="clear" w:color="auto" w:fill="auto"/>
            <w:noWrap/>
            <w:vAlign w:val="center"/>
          </w:tcPr>
          <w:p w14:paraId="3DAFDA0B"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שלום</w:t>
            </w:r>
          </w:p>
        </w:tc>
        <w:tc>
          <w:tcPr>
            <w:tcW w:w="850" w:type="dxa"/>
            <w:tcBorders>
              <w:top w:val="single" w:sz="4" w:space="0" w:color="auto"/>
              <w:bottom w:val="single" w:sz="4" w:space="0" w:color="auto"/>
            </w:tcBorders>
            <w:shd w:val="clear" w:color="auto" w:fill="auto"/>
            <w:noWrap/>
            <w:vAlign w:val="center"/>
          </w:tcPr>
          <w:p w14:paraId="1E4CBC8D"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אזרחי</w:t>
            </w:r>
          </w:p>
        </w:tc>
        <w:tc>
          <w:tcPr>
            <w:tcW w:w="2130" w:type="dxa"/>
            <w:tcBorders>
              <w:top w:val="single" w:sz="4" w:space="0" w:color="auto"/>
              <w:bottom w:val="single" w:sz="4" w:space="0" w:color="auto"/>
            </w:tcBorders>
            <w:shd w:val="clear" w:color="auto" w:fill="auto"/>
            <w:vAlign w:val="center"/>
          </w:tcPr>
          <w:p w14:paraId="00EA3DED"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תיק אזרחי בסדר דין רגיל (ת"א)</w:t>
            </w:r>
            <w:r w:rsidRPr="00542938">
              <w:rPr>
                <w:rFonts w:ascii="David" w:hAnsi="David" w:cs="David" w:hint="cs"/>
                <w:color w:val="000000"/>
                <w:rtl/>
              </w:rPr>
              <w:t xml:space="preserve"> </w:t>
            </w:r>
            <w:r w:rsidRPr="00542938">
              <w:rPr>
                <w:rFonts w:ascii="David" w:hAnsi="David" w:cs="David"/>
                <w:color w:val="000000"/>
                <w:rtl/>
              </w:rPr>
              <w:t>-</w:t>
            </w:r>
            <w:r w:rsidRPr="00542938">
              <w:rPr>
                <w:rFonts w:ascii="David" w:hAnsi="David" w:cs="David" w:hint="cs"/>
                <w:color w:val="000000"/>
                <w:rtl/>
              </w:rPr>
              <w:t xml:space="preserve"> </w:t>
            </w:r>
            <w:r w:rsidRPr="00542938">
              <w:rPr>
                <w:rFonts w:ascii="David" w:hAnsi="David" w:cs="David"/>
                <w:color w:val="000000"/>
                <w:rtl/>
              </w:rPr>
              <w:t>לשון הרע</w:t>
            </w:r>
          </w:p>
        </w:tc>
        <w:tc>
          <w:tcPr>
            <w:tcW w:w="1276" w:type="dxa"/>
            <w:tcBorders>
              <w:top w:val="single" w:sz="4" w:space="0" w:color="auto"/>
              <w:bottom w:val="single" w:sz="4" w:space="0" w:color="auto"/>
            </w:tcBorders>
            <w:vAlign w:val="center"/>
          </w:tcPr>
          <w:p w14:paraId="35565243" w14:textId="77777777" w:rsidR="007D380E" w:rsidRPr="00542938" w:rsidRDefault="007D380E" w:rsidP="007D380E">
            <w:pPr>
              <w:spacing w:after="0" w:line="240" w:lineRule="auto"/>
              <w:jc w:val="center"/>
              <w:rPr>
                <w:rFonts w:ascii="David" w:hAnsi="David" w:cs="David"/>
                <w:color w:val="000000"/>
              </w:rPr>
            </w:pPr>
            <w:r w:rsidRPr="00542938">
              <w:rPr>
                <w:rFonts w:ascii="David" w:hAnsi="David" w:cs="David"/>
                <w:color w:val="000000"/>
              </w:rPr>
              <w:t>1,002</w:t>
            </w:r>
          </w:p>
        </w:tc>
        <w:tc>
          <w:tcPr>
            <w:tcW w:w="1417" w:type="dxa"/>
            <w:tcBorders>
              <w:top w:val="single" w:sz="4" w:space="0" w:color="auto"/>
              <w:bottom w:val="single" w:sz="4" w:space="0" w:color="auto"/>
            </w:tcBorders>
            <w:shd w:val="clear" w:color="auto" w:fill="auto"/>
            <w:noWrap/>
            <w:vAlign w:val="center"/>
          </w:tcPr>
          <w:p w14:paraId="4B9EB1C7" w14:textId="77777777" w:rsidR="007D380E" w:rsidRPr="00542938" w:rsidRDefault="007D380E" w:rsidP="007D380E">
            <w:pPr>
              <w:spacing w:after="0" w:line="240" w:lineRule="auto"/>
              <w:jc w:val="center"/>
              <w:rPr>
                <w:rFonts w:ascii="David" w:hAnsi="David" w:cs="David"/>
                <w:b/>
                <w:bCs/>
                <w:color w:val="000000"/>
              </w:rPr>
            </w:pPr>
            <w:r w:rsidRPr="00542938">
              <w:rPr>
                <w:rFonts w:ascii="David" w:hAnsi="David" w:cs="David" w:hint="cs"/>
                <w:b/>
                <w:bCs/>
                <w:color w:val="000000"/>
                <w:rtl/>
              </w:rPr>
              <w:t>7:11</w:t>
            </w:r>
          </w:p>
        </w:tc>
        <w:tc>
          <w:tcPr>
            <w:tcW w:w="1843" w:type="dxa"/>
            <w:tcBorders>
              <w:top w:val="single" w:sz="4" w:space="0" w:color="auto"/>
              <w:bottom w:val="single" w:sz="4" w:space="0" w:color="auto"/>
            </w:tcBorders>
            <w:shd w:val="clear" w:color="auto" w:fill="auto"/>
            <w:vAlign w:val="center"/>
          </w:tcPr>
          <w:p w14:paraId="2216F1AE" w14:textId="77777777" w:rsidR="007D380E" w:rsidRPr="00542938" w:rsidRDefault="007D380E" w:rsidP="007D380E">
            <w:pPr>
              <w:spacing w:after="0" w:line="240" w:lineRule="auto"/>
              <w:jc w:val="center"/>
              <w:rPr>
                <w:rFonts w:ascii="David" w:hAnsi="David" w:cs="David"/>
                <w:color w:val="000000"/>
              </w:rPr>
            </w:pPr>
            <w:r w:rsidRPr="00542938">
              <w:rPr>
                <w:rFonts w:ascii="David" w:hAnsi="David" w:cs="David"/>
                <w:color w:val="000000"/>
              </w:rPr>
              <w:t>5:42</w:t>
            </w:r>
          </w:p>
        </w:tc>
        <w:tc>
          <w:tcPr>
            <w:tcW w:w="852" w:type="dxa"/>
            <w:tcBorders>
              <w:top w:val="single" w:sz="4" w:space="0" w:color="auto"/>
              <w:bottom w:val="single" w:sz="4" w:space="0" w:color="auto"/>
            </w:tcBorders>
            <w:shd w:val="clear" w:color="auto" w:fill="auto"/>
            <w:vAlign w:val="center"/>
          </w:tcPr>
          <w:p w14:paraId="65425BDA" w14:textId="77777777" w:rsidR="007D380E" w:rsidRPr="00542938" w:rsidRDefault="007D380E" w:rsidP="007D380E">
            <w:pPr>
              <w:spacing w:after="0" w:line="240" w:lineRule="auto"/>
              <w:jc w:val="center"/>
              <w:rPr>
                <w:rFonts w:ascii="David" w:hAnsi="David" w:cs="David"/>
                <w:color w:val="000000"/>
                <w:rtl/>
              </w:rPr>
            </w:pPr>
            <w:r w:rsidRPr="00542938">
              <w:rPr>
                <w:rFonts w:ascii="David" w:hAnsi="David" w:cs="David" w:hint="cs"/>
                <w:color w:val="000000"/>
                <w:rtl/>
              </w:rPr>
              <w:t>1:29+</w:t>
            </w:r>
          </w:p>
        </w:tc>
      </w:tr>
      <w:tr w:rsidR="007D380E" w:rsidRPr="00542938" w14:paraId="5257C16F" w14:textId="77777777" w:rsidTr="007D380E">
        <w:trPr>
          <w:trHeight w:val="600"/>
        </w:trPr>
        <w:tc>
          <w:tcPr>
            <w:tcW w:w="858" w:type="dxa"/>
            <w:tcBorders>
              <w:top w:val="single" w:sz="4" w:space="0" w:color="auto"/>
              <w:bottom w:val="single" w:sz="4" w:space="0" w:color="auto"/>
            </w:tcBorders>
            <w:shd w:val="clear" w:color="auto" w:fill="D9D9D9"/>
            <w:noWrap/>
            <w:vAlign w:val="center"/>
          </w:tcPr>
          <w:p w14:paraId="22FC4825"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שלום</w:t>
            </w:r>
          </w:p>
        </w:tc>
        <w:tc>
          <w:tcPr>
            <w:tcW w:w="850" w:type="dxa"/>
            <w:tcBorders>
              <w:top w:val="single" w:sz="4" w:space="0" w:color="auto"/>
              <w:bottom w:val="single" w:sz="4" w:space="0" w:color="auto"/>
            </w:tcBorders>
            <w:shd w:val="clear" w:color="auto" w:fill="D9D9D9"/>
            <w:noWrap/>
            <w:vAlign w:val="center"/>
          </w:tcPr>
          <w:p w14:paraId="43688424"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אזרחי</w:t>
            </w:r>
          </w:p>
        </w:tc>
        <w:tc>
          <w:tcPr>
            <w:tcW w:w="2130" w:type="dxa"/>
            <w:tcBorders>
              <w:top w:val="single" w:sz="4" w:space="0" w:color="auto"/>
              <w:bottom w:val="single" w:sz="4" w:space="0" w:color="auto"/>
            </w:tcBorders>
            <w:shd w:val="clear" w:color="auto" w:fill="D9D9D9"/>
            <w:vAlign w:val="center"/>
          </w:tcPr>
          <w:p w14:paraId="1BA2249C"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תיק אזרחי בסדר דין רגיל (ת"א)</w:t>
            </w:r>
            <w:r w:rsidRPr="00542938">
              <w:rPr>
                <w:rFonts w:ascii="David" w:hAnsi="David" w:cs="David" w:hint="cs"/>
                <w:color w:val="000000"/>
                <w:rtl/>
              </w:rPr>
              <w:t xml:space="preserve"> </w:t>
            </w:r>
            <w:r w:rsidRPr="00542938">
              <w:rPr>
                <w:rFonts w:ascii="David" w:hAnsi="David" w:cs="David"/>
                <w:color w:val="000000"/>
                <w:rtl/>
              </w:rPr>
              <w:t>-</w:t>
            </w:r>
            <w:r w:rsidRPr="00542938">
              <w:rPr>
                <w:rFonts w:ascii="David" w:hAnsi="David" w:cs="David" w:hint="cs"/>
                <w:color w:val="000000"/>
                <w:rtl/>
              </w:rPr>
              <w:t xml:space="preserve"> </w:t>
            </w:r>
            <w:r w:rsidRPr="00542938">
              <w:rPr>
                <w:rFonts w:ascii="David" w:hAnsi="David" w:cs="David"/>
                <w:color w:val="000000"/>
                <w:rtl/>
              </w:rPr>
              <w:t>נזקי גוף - רשלנות רפואית</w:t>
            </w:r>
          </w:p>
        </w:tc>
        <w:tc>
          <w:tcPr>
            <w:tcW w:w="1276" w:type="dxa"/>
            <w:tcBorders>
              <w:top w:val="single" w:sz="4" w:space="0" w:color="auto"/>
              <w:bottom w:val="single" w:sz="4" w:space="0" w:color="auto"/>
            </w:tcBorders>
            <w:shd w:val="clear" w:color="auto" w:fill="D9D9D9"/>
            <w:vAlign w:val="center"/>
          </w:tcPr>
          <w:p w14:paraId="36632BBF" w14:textId="77777777" w:rsidR="007D380E" w:rsidRPr="00542938" w:rsidRDefault="007D380E" w:rsidP="007D380E">
            <w:pPr>
              <w:spacing w:after="0" w:line="240" w:lineRule="auto"/>
              <w:jc w:val="center"/>
              <w:rPr>
                <w:rFonts w:ascii="David" w:hAnsi="David" w:cs="David"/>
                <w:color w:val="000000"/>
              </w:rPr>
            </w:pPr>
            <w:r w:rsidRPr="00542938">
              <w:rPr>
                <w:rFonts w:ascii="David" w:hAnsi="David" w:cs="David"/>
                <w:color w:val="000000"/>
              </w:rPr>
              <w:t>1,433</w:t>
            </w:r>
          </w:p>
        </w:tc>
        <w:tc>
          <w:tcPr>
            <w:tcW w:w="1417" w:type="dxa"/>
            <w:tcBorders>
              <w:top w:val="single" w:sz="4" w:space="0" w:color="auto"/>
              <w:bottom w:val="single" w:sz="4" w:space="0" w:color="auto"/>
            </w:tcBorders>
            <w:shd w:val="clear" w:color="auto" w:fill="D9D9D9"/>
            <w:noWrap/>
            <w:vAlign w:val="center"/>
          </w:tcPr>
          <w:p w14:paraId="15920546" w14:textId="77777777" w:rsidR="007D380E" w:rsidRPr="00542938" w:rsidRDefault="007D380E" w:rsidP="007D380E">
            <w:pPr>
              <w:spacing w:after="0" w:line="240" w:lineRule="auto"/>
              <w:jc w:val="center"/>
              <w:rPr>
                <w:rFonts w:ascii="David" w:hAnsi="David" w:cs="David"/>
                <w:b/>
                <w:bCs/>
                <w:color w:val="000000"/>
              </w:rPr>
            </w:pPr>
            <w:r w:rsidRPr="00542938">
              <w:rPr>
                <w:rFonts w:ascii="David" w:hAnsi="David" w:cs="David" w:hint="cs"/>
                <w:b/>
                <w:bCs/>
                <w:color w:val="000000"/>
                <w:rtl/>
              </w:rPr>
              <w:t>6:13</w:t>
            </w:r>
          </w:p>
        </w:tc>
        <w:tc>
          <w:tcPr>
            <w:tcW w:w="1843" w:type="dxa"/>
            <w:tcBorders>
              <w:top w:val="single" w:sz="4" w:space="0" w:color="auto"/>
              <w:bottom w:val="single" w:sz="4" w:space="0" w:color="auto"/>
            </w:tcBorders>
            <w:shd w:val="clear" w:color="auto" w:fill="D9D9D9"/>
            <w:vAlign w:val="center"/>
          </w:tcPr>
          <w:p w14:paraId="1DE0FB77" w14:textId="77777777" w:rsidR="007D380E" w:rsidRPr="00542938" w:rsidRDefault="007D380E" w:rsidP="007D380E">
            <w:pPr>
              <w:spacing w:after="0" w:line="240" w:lineRule="auto"/>
              <w:jc w:val="center"/>
              <w:rPr>
                <w:rFonts w:ascii="David" w:hAnsi="David" w:cs="David"/>
                <w:color w:val="000000"/>
              </w:rPr>
            </w:pPr>
            <w:r w:rsidRPr="00542938">
              <w:rPr>
                <w:rFonts w:ascii="David" w:hAnsi="David" w:cs="David"/>
                <w:color w:val="000000"/>
              </w:rPr>
              <w:t>5:42</w:t>
            </w:r>
          </w:p>
        </w:tc>
        <w:tc>
          <w:tcPr>
            <w:tcW w:w="852" w:type="dxa"/>
            <w:tcBorders>
              <w:top w:val="single" w:sz="4" w:space="0" w:color="auto"/>
              <w:bottom w:val="single" w:sz="4" w:space="0" w:color="auto"/>
            </w:tcBorders>
            <w:shd w:val="clear" w:color="auto" w:fill="D9D9D9"/>
            <w:vAlign w:val="center"/>
          </w:tcPr>
          <w:p w14:paraId="5B1BBE13" w14:textId="77777777" w:rsidR="007D380E" w:rsidRPr="00542938" w:rsidRDefault="007D380E" w:rsidP="007D380E">
            <w:pPr>
              <w:spacing w:after="0" w:line="240" w:lineRule="auto"/>
              <w:jc w:val="center"/>
              <w:rPr>
                <w:rFonts w:ascii="David" w:hAnsi="David" w:cs="David"/>
                <w:color w:val="000000"/>
                <w:rtl/>
              </w:rPr>
            </w:pPr>
            <w:r w:rsidRPr="00542938">
              <w:rPr>
                <w:rFonts w:ascii="David" w:hAnsi="David" w:cs="David" w:hint="cs"/>
                <w:color w:val="000000"/>
                <w:rtl/>
              </w:rPr>
              <w:t>0:31+</w:t>
            </w:r>
          </w:p>
        </w:tc>
      </w:tr>
      <w:tr w:rsidR="007D380E" w:rsidRPr="00542938" w14:paraId="5DC9383F" w14:textId="77777777" w:rsidTr="007D380E">
        <w:trPr>
          <w:trHeight w:val="600"/>
        </w:trPr>
        <w:tc>
          <w:tcPr>
            <w:tcW w:w="858" w:type="dxa"/>
            <w:tcBorders>
              <w:top w:val="single" w:sz="4" w:space="0" w:color="auto"/>
              <w:bottom w:val="single" w:sz="4" w:space="0" w:color="auto"/>
            </w:tcBorders>
            <w:shd w:val="clear" w:color="auto" w:fill="auto"/>
            <w:noWrap/>
            <w:vAlign w:val="center"/>
          </w:tcPr>
          <w:p w14:paraId="0BA493B2"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שלום</w:t>
            </w:r>
          </w:p>
        </w:tc>
        <w:tc>
          <w:tcPr>
            <w:tcW w:w="850" w:type="dxa"/>
            <w:tcBorders>
              <w:top w:val="single" w:sz="4" w:space="0" w:color="auto"/>
              <w:bottom w:val="single" w:sz="4" w:space="0" w:color="auto"/>
            </w:tcBorders>
            <w:shd w:val="clear" w:color="auto" w:fill="auto"/>
            <w:noWrap/>
            <w:vAlign w:val="center"/>
          </w:tcPr>
          <w:p w14:paraId="43C2DB5F"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אזרחי</w:t>
            </w:r>
          </w:p>
        </w:tc>
        <w:tc>
          <w:tcPr>
            <w:tcW w:w="2130" w:type="dxa"/>
            <w:tcBorders>
              <w:top w:val="single" w:sz="4" w:space="0" w:color="auto"/>
              <w:bottom w:val="single" w:sz="4" w:space="0" w:color="auto"/>
            </w:tcBorders>
            <w:shd w:val="clear" w:color="auto" w:fill="auto"/>
            <w:vAlign w:val="center"/>
          </w:tcPr>
          <w:p w14:paraId="25669ED5"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תיק אזרחי בסדר דין רגיל (ת"א)</w:t>
            </w:r>
            <w:r w:rsidRPr="00542938">
              <w:rPr>
                <w:rFonts w:ascii="David" w:hAnsi="David" w:cs="David" w:hint="cs"/>
                <w:color w:val="000000"/>
                <w:rtl/>
              </w:rPr>
              <w:t xml:space="preserve"> </w:t>
            </w:r>
            <w:r w:rsidRPr="00542938">
              <w:rPr>
                <w:rFonts w:ascii="David" w:hAnsi="David" w:cs="David"/>
                <w:color w:val="000000"/>
                <w:rtl/>
              </w:rPr>
              <w:t>-</w:t>
            </w:r>
            <w:r w:rsidRPr="00542938">
              <w:rPr>
                <w:rFonts w:ascii="David" w:hAnsi="David" w:cs="David" w:hint="cs"/>
                <w:color w:val="000000"/>
                <w:rtl/>
              </w:rPr>
              <w:t xml:space="preserve"> </w:t>
            </w:r>
            <w:r w:rsidRPr="00542938">
              <w:rPr>
                <w:rFonts w:ascii="David" w:hAnsi="David" w:cs="David"/>
                <w:color w:val="000000"/>
                <w:rtl/>
              </w:rPr>
              <w:t>שיבוב וביטוח</w:t>
            </w:r>
          </w:p>
        </w:tc>
        <w:tc>
          <w:tcPr>
            <w:tcW w:w="1276" w:type="dxa"/>
            <w:tcBorders>
              <w:top w:val="single" w:sz="4" w:space="0" w:color="auto"/>
              <w:bottom w:val="single" w:sz="4" w:space="0" w:color="auto"/>
            </w:tcBorders>
            <w:vAlign w:val="center"/>
          </w:tcPr>
          <w:p w14:paraId="6CE82A9E" w14:textId="77777777" w:rsidR="007D380E" w:rsidRPr="00542938" w:rsidRDefault="007D380E" w:rsidP="007D380E">
            <w:pPr>
              <w:spacing w:after="0" w:line="240" w:lineRule="auto"/>
              <w:jc w:val="center"/>
              <w:rPr>
                <w:rFonts w:ascii="David" w:hAnsi="David" w:cs="David"/>
                <w:color w:val="000000"/>
                <w:rtl/>
              </w:rPr>
            </w:pPr>
            <w:r w:rsidRPr="00542938">
              <w:rPr>
                <w:rFonts w:ascii="David" w:hAnsi="David" w:cs="David"/>
                <w:color w:val="000000"/>
              </w:rPr>
              <w:t>1,167</w:t>
            </w:r>
          </w:p>
        </w:tc>
        <w:tc>
          <w:tcPr>
            <w:tcW w:w="1417" w:type="dxa"/>
            <w:tcBorders>
              <w:top w:val="single" w:sz="4" w:space="0" w:color="auto"/>
              <w:bottom w:val="single" w:sz="4" w:space="0" w:color="auto"/>
            </w:tcBorders>
            <w:shd w:val="clear" w:color="auto" w:fill="auto"/>
            <w:noWrap/>
            <w:vAlign w:val="center"/>
          </w:tcPr>
          <w:p w14:paraId="21B7D60D" w14:textId="77777777" w:rsidR="007D380E" w:rsidRPr="00542938" w:rsidRDefault="007D380E" w:rsidP="007D380E">
            <w:pPr>
              <w:spacing w:after="0" w:line="240" w:lineRule="auto"/>
              <w:jc w:val="center"/>
              <w:rPr>
                <w:rFonts w:ascii="David" w:hAnsi="David" w:cs="David"/>
                <w:b/>
                <w:bCs/>
                <w:color w:val="000000"/>
                <w:rtl/>
              </w:rPr>
            </w:pPr>
            <w:r w:rsidRPr="00542938">
              <w:rPr>
                <w:rFonts w:ascii="David" w:hAnsi="David" w:cs="David" w:hint="cs"/>
                <w:b/>
                <w:bCs/>
                <w:color w:val="000000"/>
                <w:rtl/>
              </w:rPr>
              <w:t>6:10</w:t>
            </w:r>
          </w:p>
        </w:tc>
        <w:tc>
          <w:tcPr>
            <w:tcW w:w="1843" w:type="dxa"/>
            <w:tcBorders>
              <w:top w:val="single" w:sz="4" w:space="0" w:color="auto"/>
              <w:bottom w:val="single" w:sz="4" w:space="0" w:color="auto"/>
            </w:tcBorders>
            <w:shd w:val="clear" w:color="auto" w:fill="auto"/>
            <w:vAlign w:val="center"/>
          </w:tcPr>
          <w:p w14:paraId="249B84DE" w14:textId="77777777" w:rsidR="007D380E" w:rsidRPr="00542938" w:rsidRDefault="007D380E" w:rsidP="007D380E">
            <w:pPr>
              <w:spacing w:after="0" w:line="240" w:lineRule="auto"/>
              <w:jc w:val="center"/>
              <w:rPr>
                <w:rFonts w:ascii="David" w:hAnsi="David" w:cs="David"/>
                <w:color w:val="000000"/>
              </w:rPr>
            </w:pPr>
            <w:r w:rsidRPr="00542938">
              <w:rPr>
                <w:rFonts w:ascii="David" w:hAnsi="David" w:cs="David"/>
                <w:color w:val="000000"/>
              </w:rPr>
              <w:t>5:42</w:t>
            </w:r>
          </w:p>
        </w:tc>
        <w:tc>
          <w:tcPr>
            <w:tcW w:w="852" w:type="dxa"/>
            <w:tcBorders>
              <w:top w:val="single" w:sz="4" w:space="0" w:color="auto"/>
              <w:bottom w:val="single" w:sz="4" w:space="0" w:color="auto"/>
            </w:tcBorders>
            <w:shd w:val="clear" w:color="auto" w:fill="auto"/>
            <w:vAlign w:val="center"/>
          </w:tcPr>
          <w:p w14:paraId="7D4511CF" w14:textId="77777777" w:rsidR="007D380E" w:rsidRPr="00542938" w:rsidRDefault="007D380E" w:rsidP="007D380E">
            <w:pPr>
              <w:spacing w:after="0" w:line="240" w:lineRule="auto"/>
              <w:jc w:val="center"/>
              <w:rPr>
                <w:rFonts w:ascii="David" w:hAnsi="David" w:cs="David"/>
                <w:color w:val="000000"/>
                <w:rtl/>
              </w:rPr>
            </w:pPr>
            <w:r w:rsidRPr="00542938">
              <w:rPr>
                <w:rFonts w:ascii="David" w:hAnsi="David" w:cs="David"/>
                <w:color w:val="000000"/>
              </w:rPr>
              <w:t>+0:28</w:t>
            </w:r>
          </w:p>
        </w:tc>
      </w:tr>
      <w:tr w:rsidR="007D380E" w:rsidRPr="00542938" w14:paraId="6247105B" w14:textId="77777777" w:rsidTr="007D380E">
        <w:trPr>
          <w:trHeight w:val="351"/>
        </w:trPr>
        <w:tc>
          <w:tcPr>
            <w:tcW w:w="858" w:type="dxa"/>
            <w:tcBorders>
              <w:top w:val="single" w:sz="4" w:space="0" w:color="auto"/>
              <w:bottom w:val="single" w:sz="4" w:space="0" w:color="auto"/>
            </w:tcBorders>
            <w:shd w:val="clear" w:color="auto" w:fill="D9D9D9"/>
            <w:noWrap/>
            <w:vAlign w:val="center"/>
          </w:tcPr>
          <w:p w14:paraId="0B7FA115"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שלום</w:t>
            </w:r>
          </w:p>
        </w:tc>
        <w:tc>
          <w:tcPr>
            <w:tcW w:w="850" w:type="dxa"/>
            <w:tcBorders>
              <w:top w:val="single" w:sz="4" w:space="0" w:color="auto"/>
              <w:bottom w:val="single" w:sz="4" w:space="0" w:color="auto"/>
            </w:tcBorders>
            <w:shd w:val="clear" w:color="auto" w:fill="D9D9D9"/>
            <w:noWrap/>
            <w:vAlign w:val="center"/>
          </w:tcPr>
          <w:p w14:paraId="3A534E17"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אזרחי</w:t>
            </w:r>
          </w:p>
        </w:tc>
        <w:tc>
          <w:tcPr>
            <w:tcW w:w="2130" w:type="dxa"/>
            <w:tcBorders>
              <w:top w:val="single" w:sz="4" w:space="0" w:color="auto"/>
              <w:bottom w:val="single" w:sz="4" w:space="0" w:color="auto"/>
            </w:tcBorders>
            <w:shd w:val="clear" w:color="auto" w:fill="D9D9D9"/>
            <w:vAlign w:val="center"/>
          </w:tcPr>
          <w:p w14:paraId="28E78952"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תיק אזרחי בסדר דין רגיל (ת"א)</w:t>
            </w:r>
            <w:r w:rsidRPr="00542938">
              <w:rPr>
                <w:rFonts w:ascii="David" w:hAnsi="David" w:cs="David" w:hint="cs"/>
                <w:color w:val="000000"/>
                <w:rtl/>
              </w:rPr>
              <w:t xml:space="preserve"> </w:t>
            </w:r>
            <w:r w:rsidRPr="00542938">
              <w:rPr>
                <w:rFonts w:ascii="David" w:hAnsi="David" w:cs="David"/>
                <w:color w:val="000000"/>
                <w:rtl/>
              </w:rPr>
              <w:t>-</w:t>
            </w:r>
            <w:r w:rsidRPr="00542938">
              <w:rPr>
                <w:rFonts w:ascii="David" w:hAnsi="David" w:cs="David" w:hint="cs"/>
                <w:color w:val="000000"/>
                <w:rtl/>
              </w:rPr>
              <w:t xml:space="preserve"> </w:t>
            </w:r>
            <w:r w:rsidRPr="00542938">
              <w:rPr>
                <w:rFonts w:ascii="David" w:hAnsi="David" w:cs="David"/>
                <w:color w:val="000000"/>
                <w:rtl/>
              </w:rPr>
              <w:t>תקנה 3 (אגרות)</w:t>
            </w:r>
          </w:p>
        </w:tc>
        <w:tc>
          <w:tcPr>
            <w:tcW w:w="1276" w:type="dxa"/>
            <w:tcBorders>
              <w:top w:val="single" w:sz="4" w:space="0" w:color="auto"/>
              <w:bottom w:val="single" w:sz="4" w:space="0" w:color="auto"/>
            </w:tcBorders>
            <w:shd w:val="clear" w:color="auto" w:fill="D9D9D9"/>
            <w:vAlign w:val="center"/>
          </w:tcPr>
          <w:p w14:paraId="558BD4C5" w14:textId="77777777" w:rsidR="007D380E" w:rsidRPr="00542938" w:rsidRDefault="007D380E" w:rsidP="007D380E">
            <w:pPr>
              <w:spacing w:after="0" w:line="240" w:lineRule="auto"/>
              <w:jc w:val="center"/>
              <w:rPr>
                <w:rFonts w:ascii="David" w:hAnsi="David" w:cs="David"/>
                <w:color w:val="000000"/>
              </w:rPr>
            </w:pPr>
            <w:r w:rsidRPr="00542938">
              <w:rPr>
                <w:rFonts w:ascii="David" w:hAnsi="David" w:cs="David"/>
                <w:color w:val="000000"/>
              </w:rPr>
              <w:t>2,387</w:t>
            </w:r>
          </w:p>
        </w:tc>
        <w:tc>
          <w:tcPr>
            <w:tcW w:w="1417" w:type="dxa"/>
            <w:tcBorders>
              <w:top w:val="single" w:sz="4" w:space="0" w:color="auto"/>
              <w:bottom w:val="single" w:sz="4" w:space="0" w:color="auto"/>
            </w:tcBorders>
            <w:shd w:val="clear" w:color="auto" w:fill="D9D9D9"/>
            <w:noWrap/>
            <w:vAlign w:val="center"/>
          </w:tcPr>
          <w:p w14:paraId="706E7C6E" w14:textId="77777777" w:rsidR="007D380E" w:rsidRPr="00542938" w:rsidRDefault="007D380E" w:rsidP="007D380E">
            <w:pPr>
              <w:spacing w:after="0" w:line="240" w:lineRule="auto"/>
              <w:jc w:val="center"/>
              <w:rPr>
                <w:rFonts w:ascii="David" w:hAnsi="David" w:cs="David"/>
                <w:b/>
                <w:bCs/>
                <w:color w:val="000000"/>
                <w:rtl/>
              </w:rPr>
            </w:pPr>
            <w:r w:rsidRPr="00542938">
              <w:rPr>
                <w:rFonts w:ascii="David" w:hAnsi="David" w:cs="David" w:hint="cs"/>
                <w:b/>
                <w:bCs/>
                <w:color w:val="000000"/>
                <w:rtl/>
              </w:rPr>
              <w:t>6:04</w:t>
            </w:r>
          </w:p>
        </w:tc>
        <w:tc>
          <w:tcPr>
            <w:tcW w:w="1843" w:type="dxa"/>
            <w:tcBorders>
              <w:top w:val="single" w:sz="4" w:space="0" w:color="auto"/>
              <w:bottom w:val="single" w:sz="4" w:space="0" w:color="auto"/>
            </w:tcBorders>
            <w:shd w:val="clear" w:color="auto" w:fill="D9D9D9"/>
            <w:vAlign w:val="center"/>
          </w:tcPr>
          <w:p w14:paraId="59A87342" w14:textId="77777777" w:rsidR="007D380E" w:rsidRPr="00542938" w:rsidRDefault="007D380E" w:rsidP="007D380E">
            <w:pPr>
              <w:spacing w:after="0" w:line="240" w:lineRule="auto"/>
              <w:jc w:val="center"/>
              <w:rPr>
                <w:rFonts w:ascii="David" w:hAnsi="David" w:cs="David"/>
                <w:color w:val="000000"/>
              </w:rPr>
            </w:pPr>
            <w:r w:rsidRPr="00542938">
              <w:rPr>
                <w:rFonts w:ascii="David" w:hAnsi="David" w:cs="David"/>
                <w:color w:val="000000"/>
              </w:rPr>
              <w:t>5:42</w:t>
            </w:r>
          </w:p>
        </w:tc>
        <w:tc>
          <w:tcPr>
            <w:tcW w:w="852" w:type="dxa"/>
            <w:tcBorders>
              <w:top w:val="single" w:sz="4" w:space="0" w:color="auto"/>
              <w:bottom w:val="single" w:sz="4" w:space="0" w:color="auto"/>
            </w:tcBorders>
            <w:shd w:val="clear" w:color="auto" w:fill="D9D9D9"/>
            <w:vAlign w:val="center"/>
          </w:tcPr>
          <w:p w14:paraId="2E5A8903" w14:textId="77777777" w:rsidR="007D380E" w:rsidRPr="00542938" w:rsidRDefault="007D380E" w:rsidP="007D380E">
            <w:pPr>
              <w:spacing w:after="0" w:line="240" w:lineRule="auto"/>
              <w:jc w:val="center"/>
              <w:rPr>
                <w:rFonts w:ascii="David" w:hAnsi="David" w:cs="David"/>
                <w:color w:val="000000"/>
              </w:rPr>
            </w:pPr>
            <w:r w:rsidRPr="00542938">
              <w:rPr>
                <w:rFonts w:ascii="David" w:hAnsi="David" w:cs="David"/>
                <w:color w:val="000000"/>
              </w:rPr>
              <w:t>+0:22</w:t>
            </w:r>
          </w:p>
        </w:tc>
      </w:tr>
      <w:tr w:rsidR="007D380E" w:rsidRPr="00542938" w14:paraId="3A3092D0" w14:textId="77777777" w:rsidTr="007D380E">
        <w:trPr>
          <w:trHeight w:val="600"/>
        </w:trPr>
        <w:tc>
          <w:tcPr>
            <w:tcW w:w="858" w:type="dxa"/>
            <w:tcBorders>
              <w:top w:val="single" w:sz="4" w:space="0" w:color="auto"/>
              <w:bottom w:val="single" w:sz="4" w:space="0" w:color="auto"/>
            </w:tcBorders>
            <w:shd w:val="clear" w:color="auto" w:fill="auto"/>
            <w:noWrap/>
            <w:vAlign w:val="center"/>
          </w:tcPr>
          <w:p w14:paraId="5B4B4BD9"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שלום</w:t>
            </w:r>
          </w:p>
        </w:tc>
        <w:tc>
          <w:tcPr>
            <w:tcW w:w="850" w:type="dxa"/>
            <w:tcBorders>
              <w:top w:val="single" w:sz="4" w:space="0" w:color="auto"/>
              <w:bottom w:val="single" w:sz="4" w:space="0" w:color="auto"/>
            </w:tcBorders>
            <w:shd w:val="clear" w:color="auto" w:fill="auto"/>
            <w:noWrap/>
            <w:vAlign w:val="center"/>
          </w:tcPr>
          <w:p w14:paraId="72A9A709"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אזרחי</w:t>
            </w:r>
          </w:p>
        </w:tc>
        <w:tc>
          <w:tcPr>
            <w:tcW w:w="2130" w:type="dxa"/>
            <w:tcBorders>
              <w:top w:val="single" w:sz="4" w:space="0" w:color="auto"/>
              <w:bottom w:val="single" w:sz="4" w:space="0" w:color="auto"/>
            </w:tcBorders>
            <w:shd w:val="clear" w:color="auto" w:fill="auto"/>
            <w:vAlign w:val="center"/>
          </w:tcPr>
          <w:p w14:paraId="7179F0FD"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תיק אזרחי בסדר דין רגיל (ת"א)</w:t>
            </w:r>
            <w:r w:rsidRPr="00542938">
              <w:rPr>
                <w:rFonts w:ascii="David" w:hAnsi="David" w:cs="David" w:hint="cs"/>
                <w:color w:val="000000"/>
                <w:rtl/>
              </w:rPr>
              <w:t xml:space="preserve"> </w:t>
            </w:r>
            <w:r w:rsidRPr="00542938">
              <w:rPr>
                <w:rFonts w:ascii="David" w:hAnsi="David" w:cs="David"/>
                <w:color w:val="000000"/>
                <w:rtl/>
              </w:rPr>
              <w:t>-</w:t>
            </w:r>
            <w:r w:rsidRPr="00542938">
              <w:rPr>
                <w:rFonts w:ascii="David" w:hAnsi="David" w:cs="David" w:hint="cs"/>
                <w:color w:val="000000"/>
                <w:rtl/>
              </w:rPr>
              <w:t xml:space="preserve"> </w:t>
            </w:r>
            <w:r w:rsidRPr="00542938">
              <w:rPr>
                <w:rFonts w:ascii="David" w:hAnsi="David" w:cs="David"/>
                <w:color w:val="000000"/>
                <w:rtl/>
              </w:rPr>
              <w:t>בנקים ואשראי</w:t>
            </w:r>
          </w:p>
        </w:tc>
        <w:tc>
          <w:tcPr>
            <w:tcW w:w="1276" w:type="dxa"/>
            <w:tcBorders>
              <w:top w:val="single" w:sz="4" w:space="0" w:color="auto"/>
              <w:bottom w:val="single" w:sz="4" w:space="0" w:color="auto"/>
            </w:tcBorders>
            <w:vAlign w:val="center"/>
          </w:tcPr>
          <w:p w14:paraId="6E1F0953" w14:textId="77777777" w:rsidR="007D380E" w:rsidRPr="00542938" w:rsidRDefault="007D380E" w:rsidP="007D380E">
            <w:pPr>
              <w:spacing w:after="0" w:line="240" w:lineRule="auto"/>
              <w:jc w:val="center"/>
              <w:rPr>
                <w:rFonts w:ascii="David" w:hAnsi="David" w:cs="David"/>
                <w:color w:val="000000"/>
                <w:rtl/>
              </w:rPr>
            </w:pPr>
            <w:r w:rsidRPr="00542938">
              <w:rPr>
                <w:rFonts w:ascii="David" w:hAnsi="David" w:cs="David"/>
                <w:color w:val="000000"/>
              </w:rPr>
              <w:t>109</w:t>
            </w:r>
          </w:p>
        </w:tc>
        <w:tc>
          <w:tcPr>
            <w:tcW w:w="1417" w:type="dxa"/>
            <w:tcBorders>
              <w:top w:val="single" w:sz="4" w:space="0" w:color="auto"/>
              <w:bottom w:val="single" w:sz="4" w:space="0" w:color="auto"/>
            </w:tcBorders>
            <w:shd w:val="clear" w:color="auto" w:fill="auto"/>
            <w:noWrap/>
            <w:vAlign w:val="center"/>
          </w:tcPr>
          <w:p w14:paraId="37B5B940" w14:textId="77777777" w:rsidR="007D380E" w:rsidRPr="00542938" w:rsidRDefault="007D380E" w:rsidP="007D380E">
            <w:pPr>
              <w:spacing w:after="0" w:line="240" w:lineRule="auto"/>
              <w:jc w:val="center"/>
              <w:rPr>
                <w:rFonts w:ascii="David" w:hAnsi="David" w:cs="David"/>
                <w:b/>
                <w:bCs/>
                <w:color w:val="000000"/>
                <w:rtl/>
              </w:rPr>
            </w:pPr>
            <w:r w:rsidRPr="00542938">
              <w:rPr>
                <w:rFonts w:ascii="David" w:hAnsi="David" w:cs="David"/>
                <w:b/>
                <w:bCs/>
                <w:color w:val="000000"/>
              </w:rPr>
              <w:t>5:46</w:t>
            </w:r>
          </w:p>
        </w:tc>
        <w:tc>
          <w:tcPr>
            <w:tcW w:w="1843" w:type="dxa"/>
            <w:tcBorders>
              <w:top w:val="single" w:sz="4" w:space="0" w:color="auto"/>
              <w:bottom w:val="single" w:sz="4" w:space="0" w:color="auto"/>
            </w:tcBorders>
            <w:shd w:val="clear" w:color="auto" w:fill="auto"/>
            <w:vAlign w:val="center"/>
          </w:tcPr>
          <w:p w14:paraId="5190AF14" w14:textId="77777777" w:rsidR="007D380E" w:rsidRPr="00542938" w:rsidRDefault="007D380E" w:rsidP="007D380E">
            <w:pPr>
              <w:spacing w:after="0" w:line="240" w:lineRule="auto"/>
              <w:jc w:val="center"/>
              <w:rPr>
                <w:rFonts w:ascii="David" w:hAnsi="David" w:cs="David"/>
                <w:color w:val="000000"/>
              </w:rPr>
            </w:pPr>
            <w:r w:rsidRPr="00542938">
              <w:rPr>
                <w:rFonts w:ascii="David" w:hAnsi="David" w:cs="David"/>
                <w:color w:val="000000"/>
              </w:rPr>
              <w:t>5:42</w:t>
            </w:r>
          </w:p>
        </w:tc>
        <w:tc>
          <w:tcPr>
            <w:tcW w:w="852" w:type="dxa"/>
            <w:tcBorders>
              <w:top w:val="single" w:sz="4" w:space="0" w:color="auto"/>
              <w:bottom w:val="single" w:sz="4" w:space="0" w:color="auto"/>
            </w:tcBorders>
            <w:shd w:val="clear" w:color="auto" w:fill="auto"/>
            <w:vAlign w:val="center"/>
          </w:tcPr>
          <w:p w14:paraId="36998282" w14:textId="77777777" w:rsidR="007D380E" w:rsidRPr="00542938" w:rsidRDefault="007D380E" w:rsidP="007D380E">
            <w:pPr>
              <w:spacing w:after="0" w:line="240" w:lineRule="auto"/>
              <w:jc w:val="center"/>
              <w:rPr>
                <w:rFonts w:ascii="David" w:hAnsi="David" w:cs="David"/>
                <w:color w:val="000000"/>
              </w:rPr>
            </w:pPr>
            <w:r w:rsidRPr="00542938">
              <w:rPr>
                <w:rFonts w:ascii="David" w:hAnsi="David" w:cs="David"/>
                <w:color w:val="000000"/>
              </w:rPr>
              <w:t>+0:04</w:t>
            </w:r>
          </w:p>
        </w:tc>
      </w:tr>
      <w:tr w:rsidR="007D380E" w:rsidRPr="00542938" w14:paraId="38ECE611" w14:textId="77777777" w:rsidTr="007D380E">
        <w:trPr>
          <w:trHeight w:val="600"/>
        </w:trPr>
        <w:tc>
          <w:tcPr>
            <w:tcW w:w="858" w:type="dxa"/>
            <w:tcBorders>
              <w:top w:val="single" w:sz="4" w:space="0" w:color="auto"/>
              <w:bottom w:val="single" w:sz="4" w:space="0" w:color="auto"/>
            </w:tcBorders>
            <w:shd w:val="clear" w:color="auto" w:fill="D9D9D9"/>
            <w:noWrap/>
            <w:vAlign w:val="center"/>
          </w:tcPr>
          <w:p w14:paraId="747D0A61"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שלום</w:t>
            </w:r>
          </w:p>
        </w:tc>
        <w:tc>
          <w:tcPr>
            <w:tcW w:w="850" w:type="dxa"/>
            <w:tcBorders>
              <w:top w:val="single" w:sz="4" w:space="0" w:color="auto"/>
              <w:bottom w:val="single" w:sz="4" w:space="0" w:color="auto"/>
            </w:tcBorders>
            <w:shd w:val="clear" w:color="auto" w:fill="D9D9D9"/>
            <w:noWrap/>
            <w:vAlign w:val="center"/>
          </w:tcPr>
          <w:p w14:paraId="7C041CC0"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אזרחי</w:t>
            </w:r>
          </w:p>
        </w:tc>
        <w:tc>
          <w:tcPr>
            <w:tcW w:w="2130" w:type="dxa"/>
            <w:tcBorders>
              <w:top w:val="single" w:sz="4" w:space="0" w:color="auto"/>
              <w:bottom w:val="single" w:sz="4" w:space="0" w:color="auto"/>
            </w:tcBorders>
            <w:shd w:val="clear" w:color="auto" w:fill="D9D9D9"/>
            <w:vAlign w:val="center"/>
          </w:tcPr>
          <w:p w14:paraId="44CFF925"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תיק אזרחי בסדר דין רגיל (ת"א)</w:t>
            </w:r>
            <w:r w:rsidRPr="00542938">
              <w:rPr>
                <w:rFonts w:ascii="David" w:hAnsi="David" w:cs="David" w:hint="cs"/>
                <w:color w:val="000000"/>
                <w:rtl/>
              </w:rPr>
              <w:t xml:space="preserve"> </w:t>
            </w:r>
            <w:r w:rsidRPr="00542938">
              <w:rPr>
                <w:rFonts w:ascii="David" w:hAnsi="David" w:cs="David"/>
                <w:color w:val="000000"/>
                <w:rtl/>
              </w:rPr>
              <w:t>-</w:t>
            </w:r>
            <w:r w:rsidRPr="00542938">
              <w:rPr>
                <w:rFonts w:ascii="David" w:hAnsi="David" w:cs="David" w:hint="cs"/>
                <w:color w:val="000000"/>
                <w:rtl/>
              </w:rPr>
              <w:t xml:space="preserve"> </w:t>
            </w:r>
            <w:r w:rsidRPr="00542938">
              <w:rPr>
                <w:rFonts w:ascii="David" w:hAnsi="David" w:cs="David"/>
                <w:color w:val="000000"/>
                <w:rtl/>
              </w:rPr>
              <w:t>נזקי גוף – חבויות</w:t>
            </w:r>
          </w:p>
        </w:tc>
        <w:tc>
          <w:tcPr>
            <w:tcW w:w="1276" w:type="dxa"/>
            <w:tcBorders>
              <w:top w:val="single" w:sz="4" w:space="0" w:color="auto"/>
              <w:bottom w:val="single" w:sz="4" w:space="0" w:color="auto"/>
            </w:tcBorders>
            <w:shd w:val="clear" w:color="auto" w:fill="D9D9D9"/>
            <w:vAlign w:val="center"/>
          </w:tcPr>
          <w:p w14:paraId="7995E2F8" w14:textId="77777777" w:rsidR="007D380E" w:rsidRPr="00542938" w:rsidRDefault="007D380E" w:rsidP="007D380E">
            <w:pPr>
              <w:spacing w:after="0" w:line="240" w:lineRule="auto"/>
              <w:jc w:val="center"/>
              <w:rPr>
                <w:rFonts w:ascii="David" w:hAnsi="David" w:cs="David"/>
                <w:color w:val="000000"/>
              </w:rPr>
            </w:pPr>
            <w:r w:rsidRPr="00542938">
              <w:rPr>
                <w:rFonts w:ascii="David" w:hAnsi="David" w:cs="David"/>
                <w:color w:val="000000"/>
              </w:rPr>
              <w:t>15,694</w:t>
            </w:r>
          </w:p>
        </w:tc>
        <w:tc>
          <w:tcPr>
            <w:tcW w:w="1417" w:type="dxa"/>
            <w:tcBorders>
              <w:top w:val="single" w:sz="4" w:space="0" w:color="auto"/>
              <w:bottom w:val="single" w:sz="4" w:space="0" w:color="auto"/>
            </w:tcBorders>
            <w:shd w:val="clear" w:color="auto" w:fill="D9D9D9"/>
            <w:noWrap/>
            <w:vAlign w:val="center"/>
          </w:tcPr>
          <w:p w14:paraId="06313ED5" w14:textId="77777777" w:rsidR="007D380E" w:rsidRPr="00542938" w:rsidRDefault="007D380E" w:rsidP="007D380E">
            <w:pPr>
              <w:spacing w:after="0" w:line="240" w:lineRule="auto"/>
              <w:jc w:val="center"/>
              <w:rPr>
                <w:rFonts w:ascii="David" w:hAnsi="David" w:cs="David"/>
                <w:b/>
                <w:bCs/>
                <w:color w:val="000000"/>
              </w:rPr>
            </w:pPr>
            <w:r w:rsidRPr="00542938">
              <w:rPr>
                <w:rFonts w:ascii="David" w:hAnsi="David" w:cs="David"/>
                <w:b/>
                <w:bCs/>
                <w:color w:val="000000"/>
              </w:rPr>
              <w:t>4:29</w:t>
            </w:r>
          </w:p>
        </w:tc>
        <w:tc>
          <w:tcPr>
            <w:tcW w:w="1843" w:type="dxa"/>
            <w:tcBorders>
              <w:top w:val="single" w:sz="4" w:space="0" w:color="auto"/>
              <w:bottom w:val="single" w:sz="4" w:space="0" w:color="auto"/>
            </w:tcBorders>
            <w:shd w:val="clear" w:color="auto" w:fill="D9D9D9"/>
            <w:vAlign w:val="center"/>
          </w:tcPr>
          <w:p w14:paraId="2A4412E0" w14:textId="77777777" w:rsidR="007D380E" w:rsidRPr="00542938" w:rsidRDefault="007D380E" w:rsidP="007D380E">
            <w:pPr>
              <w:spacing w:after="0" w:line="240" w:lineRule="auto"/>
              <w:jc w:val="center"/>
              <w:rPr>
                <w:rFonts w:ascii="David" w:hAnsi="David" w:cs="David"/>
                <w:color w:val="000000"/>
                <w:rtl/>
              </w:rPr>
            </w:pPr>
            <w:r w:rsidRPr="00542938">
              <w:rPr>
                <w:rFonts w:ascii="David" w:hAnsi="David" w:cs="David"/>
                <w:color w:val="000000"/>
              </w:rPr>
              <w:t>5:42</w:t>
            </w:r>
          </w:p>
        </w:tc>
        <w:tc>
          <w:tcPr>
            <w:tcW w:w="852" w:type="dxa"/>
            <w:tcBorders>
              <w:top w:val="single" w:sz="4" w:space="0" w:color="auto"/>
              <w:bottom w:val="single" w:sz="4" w:space="0" w:color="auto"/>
            </w:tcBorders>
            <w:shd w:val="clear" w:color="auto" w:fill="D9D9D9"/>
            <w:vAlign w:val="center"/>
          </w:tcPr>
          <w:p w14:paraId="1094D646" w14:textId="77777777" w:rsidR="007D380E" w:rsidRPr="00542938" w:rsidRDefault="007D380E" w:rsidP="007D380E">
            <w:pPr>
              <w:spacing w:after="0" w:line="240" w:lineRule="auto"/>
              <w:jc w:val="center"/>
              <w:rPr>
                <w:rFonts w:ascii="David" w:hAnsi="David" w:cs="David"/>
                <w:color w:val="000000"/>
                <w:rtl/>
              </w:rPr>
            </w:pPr>
            <w:r w:rsidRPr="00542938">
              <w:rPr>
                <w:rFonts w:ascii="David" w:hAnsi="David" w:cs="David"/>
                <w:color w:val="000000"/>
              </w:rPr>
              <w:t>-1:13</w:t>
            </w:r>
          </w:p>
        </w:tc>
      </w:tr>
      <w:tr w:rsidR="007D380E" w:rsidRPr="00542938" w14:paraId="472384FC" w14:textId="77777777" w:rsidTr="007D380E">
        <w:trPr>
          <w:trHeight w:val="600"/>
        </w:trPr>
        <w:tc>
          <w:tcPr>
            <w:tcW w:w="858" w:type="dxa"/>
            <w:tcBorders>
              <w:top w:val="single" w:sz="4" w:space="0" w:color="auto"/>
              <w:bottom w:val="single" w:sz="4" w:space="0" w:color="auto"/>
            </w:tcBorders>
            <w:shd w:val="clear" w:color="auto" w:fill="auto"/>
            <w:noWrap/>
            <w:vAlign w:val="center"/>
          </w:tcPr>
          <w:p w14:paraId="7342DB36"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שלום</w:t>
            </w:r>
          </w:p>
        </w:tc>
        <w:tc>
          <w:tcPr>
            <w:tcW w:w="850" w:type="dxa"/>
            <w:tcBorders>
              <w:top w:val="single" w:sz="4" w:space="0" w:color="auto"/>
              <w:bottom w:val="single" w:sz="4" w:space="0" w:color="auto"/>
            </w:tcBorders>
            <w:shd w:val="clear" w:color="auto" w:fill="auto"/>
            <w:noWrap/>
            <w:vAlign w:val="center"/>
          </w:tcPr>
          <w:p w14:paraId="66E099EE"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אזרחי</w:t>
            </w:r>
          </w:p>
        </w:tc>
        <w:tc>
          <w:tcPr>
            <w:tcW w:w="2130" w:type="dxa"/>
            <w:tcBorders>
              <w:top w:val="single" w:sz="4" w:space="0" w:color="auto"/>
              <w:bottom w:val="single" w:sz="4" w:space="0" w:color="auto"/>
            </w:tcBorders>
            <w:shd w:val="clear" w:color="auto" w:fill="auto"/>
            <w:vAlign w:val="center"/>
          </w:tcPr>
          <w:p w14:paraId="517E2E47"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תיק אזרחי בסדר דין רגיל (ת"א)</w:t>
            </w:r>
            <w:r w:rsidRPr="00542938">
              <w:rPr>
                <w:rFonts w:ascii="David" w:hAnsi="David" w:cs="David" w:hint="cs"/>
                <w:color w:val="000000"/>
                <w:rtl/>
              </w:rPr>
              <w:t xml:space="preserve"> </w:t>
            </w:r>
            <w:r w:rsidRPr="00542938">
              <w:rPr>
                <w:rFonts w:ascii="David" w:hAnsi="David" w:cs="David"/>
                <w:color w:val="000000"/>
                <w:rtl/>
              </w:rPr>
              <w:t>-</w:t>
            </w:r>
            <w:r w:rsidRPr="00542938">
              <w:rPr>
                <w:rFonts w:ascii="David" w:hAnsi="David" w:cs="David" w:hint="cs"/>
                <w:color w:val="000000"/>
                <w:rtl/>
              </w:rPr>
              <w:t xml:space="preserve"> </w:t>
            </w:r>
            <w:r w:rsidRPr="00542938">
              <w:rPr>
                <w:rFonts w:ascii="David" w:hAnsi="David" w:cs="David"/>
                <w:color w:val="000000"/>
                <w:rtl/>
              </w:rPr>
              <w:t>נזקי רכוש – רכב</w:t>
            </w:r>
          </w:p>
        </w:tc>
        <w:tc>
          <w:tcPr>
            <w:tcW w:w="1276" w:type="dxa"/>
            <w:tcBorders>
              <w:top w:val="single" w:sz="4" w:space="0" w:color="auto"/>
              <w:bottom w:val="single" w:sz="4" w:space="0" w:color="auto"/>
            </w:tcBorders>
            <w:vAlign w:val="center"/>
          </w:tcPr>
          <w:p w14:paraId="70C24C6E" w14:textId="77777777" w:rsidR="007D380E" w:rsidRPr="00542938" w:rsidRDefault="007D380E" w:rsidP="007D380E">
            <w:pPr>
              <w:spacing w:after="0" w:line="240" w:lineRule="auto"/>
              <w:jc w:val="center"/>
              <w:rPr>
                <w:rFonts w:ascii="David" w:hAnsi="David" w:cs="David"/>
                <w:color w:val="000000"/>
              </w:rPr>
            </w:pPr>
            <w:r w:rsidRPr="00542938">
              <w:rPr>
                <w:rFonts w:ascii="David" w:hAnsi="David" w:cs="David"/>
                <w:color w:val="000000"/>
              </w:rPr>
              <w:t>874</w:t>
            </w:r>
          </w:p>
        </w:tc>
        <w:tc>
          <w:tcPr>
            <w:tcW w:w="1417" w:type="dxa"/>
            <w:tcBorders>
              <w:top w:val="single" w:sz="4" w:space="0" w:color="auto"/>
              <w:bottom w:val="single" w:sz="4" w:space="0" w:color="auto"/>
            </w:tcBorders>
            <w:shd w:val="clear" w:color="auto" w:fill="auto"/>
            <w:noWrap/>
            <w:vAlign w:val="center"/>
          </w:tcPr>
          <w:p w14:paraId="68FB14B7" w14:textId="77777777" w:rsidR="007D380E" w:rsidRPr="00542938" w:rsidRDefault="007D380E" w:rsidP="007D380E">
            <w:pPr>
              <w:spacing w:after="0" w:line="240" w:lineRule="auto"/>
              <w:jc w:val="center"/>
              <w:rPr>
                <w:rFonts w:ascii="David" w:hAnsi="David" w:cs="David"/>
                <w:b/>
                <w:bCs/>
                <w:color w:val="000000"/>
                <w:rtl/>
              </w:rPr>
            </w:pPr>
            <w:r w:rsidRPr="00542938">
              <w:rPr>
                <w:rFonts w:ascii="David" w:hAnsi="David" w:cs="David"/>
                <w:b/>
                <w:bCs/>
                <w:color w:val="000000"/>
              </w:rPr>
              <w:t>3:23</w:t>
            </w:r>
          </w:p>
        </w:tc>
        <w:tc>
          <w:tcPr>
            <w:tcW w:w="1843" w:type="dxa"/>
            <w:tcBorders>
              <w:top w:val="single" w:sz="4" w:space="0" w:color="auto"/>
              <w:bottom w:val="single" w:sz="4" w:space="0" w:color="auto"/>
            </w:tcBorders>
            <w:shd w:val="clear" w:color="auto" w:fill="auto"/>
            <w:vAlign w:val="center"/>
          </w:tcPr>
          <w:p w14:paraId="03569AF5" w14:textId="77777777" w:rsidR="007D380E" w:rsidRPr="00542938" w:rsidRDefault="007D380E" w:rsidP="007D380E">
            <w:pPr>
              <w:spacing w:after="0" w:line="240" w:lineRule="auto"/>
              <w:jc w:val="center"/>
              <w:rPr>
                <w:rFonts w:ascii="David" w:hAnsi="David" w:cs="David"/>
                <w:color w:val="000000"/>
                <w:rtl/>
              </w:rPr>
            </w:pPr>
            <w:r w:rsidRPr="00542938">
              <w:rPr>
                <w:rFonts w:ascii="David" w:hAnsi="David" w:cs="David"/>
                <w:color w:val="000000"/>
              </w:rPr>
              <w:t>5:42</w:t>
            </w:r>
          </w:p>
        </w:tc>
        <w:tc>
          <w:tcPr>
            <w:tcW w:w="852" w:type="dxa"/>
            <w:tcBorders>
              <w:top w:val="single" w:sz="4" w:space="0" w:color="auto"/>
              <w:bottom w:val="single" w:sz="4" w:space="0" w:color="auto"/>
            </w:tcBorders>
            <w:shd w:val="clear" w:color="auto" w:fill="auto"/>
            <w:vAlign w:val="center"/>
          </w:tcPr>
          <w:p w14:paraId="2C8360C1" w14:textId="77777777" w:rsidR="007D380E" w:rsidRPr="00542938" w:rsidRDefault="007D380E" w:rsidP="007D380E">
            <w:pPr>
              <w:spacing w:after="0" w:line="240" w:lineRule="auto"/>
              <w:jc w:val="center"/>
              <w:rPr>
                <w:rFonts w:ascii="David" w:hAnsi="David" w:cs="David"/>
                <w:color w:val="000000"/>
                <w:rtl/>
              </w:rPr>
            </w:pPr>
            <w:r w:rsidRPr="00542938">
              <w:rPr>
                <w:rFonts w:ascii="David" w:hAnsi="David" w:cs="David"/>
                <w:color w:val="000000"/>
              </w:rPr>
              <w:t>-2:19</w:t>
            </w:r>
          </w:p>
        </w:tc>
      </w:tr>
      <w:tr w:rsidR="007D380E" w:rsidRPr="00542938" w14:paraId="1DA50BD6" w14:textId="77777777" w:rsidTr="007D380E">
        <w:trPr>
          <w:trHeight w:val="600"/>
        </w:trPr>
        <w:tc>
          <w:tcPr>
            <w:tcW w:w="858" w:type="dxa"/>
            <w:tcBorders>
              <w:top w:val="single" w:sz="4" w:space="0" w:color="auto"/>
              <w:bottom w:val="single" w:sz="4" w:space="0" w:color="auto"/>
            </w:tcBorders>
            <w:shd w:val="clear" w:color="auto" w:fill="D9D9D9"/>
            <w:noWrap/>
            <w:vAlign w:val="center"/>
          </w:tcPr>
          <w:p w14:paraId="38B18C37"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שלום</w:t>
            </w:r>
          </w:p>
        </w:tc>
        <w:tc>
          <w:tcPr>
            <w:tcW w:w="850" w:type="dxa"/>
            <w:tcBorders>
              <w:top w:val="single" w:sz="4" w:space="0" w:color="auto"/>
              <w:bottom w:val="single" w:sz="4" w:space="0" w:color="auto"/>
            </w:tcBorders>
            <w:shd w:val="clear" w:color="auto" w:fill="D9D9D9"/>
            <w:noWrap/>
            <w:vAlign w:val="center"/>
          </w:tcPr>
          <w:p w14:paraId="0E5CFD90"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אזרחי</w:t>
            </w:r>
          </w:p>
        </w:tc>
        <w:tc>
          <w:tcPr>
            <w:tcW w:w="2130" w:type="dxa"/>
            <w:tcBorders>
              <w:top w:val="single" w:sz="4" w:space="0" w:color="auto"/>
              <w:bottom w:val="single" w:sz="4" w:space="0" w:color="auto"/>
            </w:tcBorders>
            <w:shd w:val="clear" w:color="auto" w:fill="D9D9D9"/>
            <w:vAlign w:val="center"/>
          </w:tcPr>
          <w:p w14:paraId="20784027"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תיק אזרחי בסדר דין רגיל (ת"א)</w:t>
            </w:r>
            <w:r w:rsidRPr="00542938">
              <w:rPr>
                <w:rFonts w:ascii="David" w:hAnsi="David" w:cs="David" w:hint="cs"/>
                <w:color w:val="000000"/>
                <w:rtl/>
              </w:rPr>
              <w:t xml:space="preserve"> </w:t>
            </w:r>
            <w:r w:rsidRPr="00542938">
              <w:rPr>
                <w:rFonts w:ascii="David" w:hAnsi="David" w:cs="David"/>
                <w:color w:val="000000"/>
                <w:rtl/>
              </w:rPr>
              <w:t>-</w:t>
            </w:r>
            <w:r w:rsidRPr="00542938">
              <w:rPr>
                <w:rFonts w:ascii="David" w:hAnsi="David" w:cs="David" w:hint="cs"/>
                <w:color w:val="000000"/>
                <w:rtl/>
              </w:rPr>
              <w:t xml:space="preserve"> </w:t>
            </w:r>
            <w:r w:rsidRPr="00542938">
              <w:rPr>
                <w:rFonts w:ascii="David" w:hAnsi="David" w:cs="David"/>
                <w:color w:val="000000"/>
                <w:rtl/>
              </w:rPr>
              <w:t>קניין רוחני</w:t>
            </w:r>
            <w:r w:rsidRPr="00542938">
              <w:rPr>
                <w:rFonts w:ascii="David" w:hAnsi="David" w:cs="David" w:hint="cs"/>
                <w:color w:val="000000"/>
                <w:rtl/>
              </w:rPr>
              <w:t>*</w:t>
            </w:r>
          </w:p>
        </w:tc>
        <w:tc>
          <w:tcPr>
            <w:tcW w:w="1276" w:type="dxa"/>
            <w:tcBorders>
              <w:top w:val="single" w:sz="4" w:space="0" w:color="auto"/>
              <w:bottom w:val="single" w:sz="4" w:space="0" w:color="auto"/>
            </w:tcBorders>
            <w:shd w:val="clear" w:color="auto" w:fill="D9D9D9"/>
            <w:vAlign w:val="center"/>
          </w:tcPr>
          <w:p w14:paraId="4041CC8B" w14:textId="77777777" w:rsidR="007D380E" w:rsidRPr="00542938" w:rsidRDefault="007D380E" w:rsidP="007D380E">
            <w:pPr>
              <w:spacing w:after="0" w:line="240" w:lineRule="auto"/>
              <w:jc w:val="center"/>
              <w:rPr>
                <w:rFonts w:ascii="David" w:hAnsi="David" w:cs="David"/>
                <w:color w:val="000000"/>
              </w:rPr>
            </w:pPr>
            <w:r w:rsidRPr="00542938">
              <w:rPr>
                <w:rFonts w:ascii="David" w:hAnsi="David" w:cs="David"/>
                <w:color w:val="000000"/>
              </w:rPr>
              <w:t>287</w:t>
            </w:r>
          </w:p>
        </w:tc>
        <w:tc>
          <w:tcPr>
            <w:tcW w:w="1417" w:type="dxa"/>
            <w:tcBorders>
              <w:top w:val="single" w:sz="4" w:space="0" w:color="auto"/>
              <w:bottom w:val="single" w:sz="4" w:space="0" w:color="auto"/>
            </w:tcBorders>
            <w:shd w:val="clear" w:color="auto" w:fill="D9D9D9"/>
            <w:noWrap/>
            <w:vAlign w:val="center"/>
          </w:tcPr>
          <w:p w14:paraId="3750C910" w14:textId="77777777" w:rsidR="007D380E" w:rsidRPr="00542938" w:rsidRDefault="007D380E" w:rsidP="007D380E">
            <w:pPr>
              <w:spacing w:after="0" w:line="240" w:lineRule="auto"/>
              <w:jc w:val="center"/>
              <w:rPr>
                <w:rFonts w:ascii="David" w:hAnsi="David" w:cs="David"/>
                <w:b/>
                <w:bCs/>
                <w:color w:val="000000"/>
              </w:rPr>
            </w:pPr>
            <w:r w:rsidRPr="00542938">
              <w:rPr>
                <w:rFonts w:ascii="David" w:hAnsi="David" w:cs="David"/>
                <w:b/>
                <w:bCs/>
                <w:color w:val="000000"/>
              </w:rPr>
              <w:t>3:12</w:t>
            </w:r>
          </w:p>
        </w:tc>
        <w:tc>
          <w:tcPr>
            <w:tcW w:w="1843" w:type="dxa"/>
            <w:tcBorders>
              <w:top w:val="single" w:sz="4" w:space="0" w:color="auto"/>
              <w:bottom w:val="single" w:sz="4" w:space="0" w:color="auto"/>
            </w:tcBorders>
            <w:shd w:val="clear" w:color="auto" w:fill="D9D9D9"/>
            <w:vAlign w:val="center"/>
          </w:tcPr>
          <w:p w14:paraId="313E391D" w14:textId="77777777" w:rsidR="007D380E" w:rsidRPr="00542938" w:rsidRDefault="007D380E" w:rsidP="007D380E">
            <w:pPr>
              <w:spacing w:after="0" w:line="240" w:lineRule="auto"/>
              <w:jc w:val="center"/>
              <w:rPr>
                <w:rFonts w:ascii="David" w:hAnsi="David" w:cs="David"/>
                <w:color w:val="000000"/>
              </w:rPr>
            </w:pPr>
            <w:r w:rsidRPr="00542938">
              <w:rPr>
                <w:rFonts w:ascii="David" w:hAnsi="David" w:cs="David" w:hint="cs"/>
                <w:color w:val="000000"/>
                <w:rtl/>
              </w:rPr>
              <w:t>5:42</w:t>
            </w:r>
          </w:p>
        </w:tc>
        <w:tc>
          <w:tcPr>
            <w:tcW w:w="852" w:type="dxa"/>
            <w:tcBorders>
              <w:top w:val="single" w:sz="4" w:space="0" w:color="auto"/>
              <w:bottom w:val="single" w:sz="4" w:space="0" w:color="auto"/>
            </w:tcBorders>
            <w:shd w:val="clear" w:color="auto" w:fill="D9D9D9"/>
            <w:vAlign w:val="center"/>
          </w:tcPr>
          <w:p w14:paraId="3B21E042" w14:textId="77777777" w:rsidR="007D380E" w:rsidRPr="00542938" w:rsidRDefault="007D380E" w:rsidP="007D380E">
            <w:pPr>
              <w:spacing w:after="0" w:line="240" w:lineRule="auto"/>
              <w:jc w:val="center"/>
              <w:rPr>
                <w:rFonts w:ascii="David" w:hAnsi="David" w:cs="David"/>
                <w:color w:val="000000"/>
              </w:rPr>
            </w:pPr>
            <w:r w:rsidRPr="00542938">
              <w:rPr>
                <w:rFonts w:ascii="David" w:hAnsi="David" w:cs="David"/>
                <w:color w:val="000000"/>
              </w:rPr>
              <w:t>-2:30</w:t>
            </w:r>
          </w:p>
        </w:tc>
      </w:tr>
      <w:tr w:rsidR="007D380E" w:rsidRPr="00542938" w14:paraId="399C6D63" w14:textId="77777777" w:rsidTr="007D380E">
        <w:trPr>
          <w:trHeight w:val="600"/>
        </w:trPr>
        <w:tc>
          <w:tcPr>
            <w:tcW w:w="858" w:type="dxa"/>
            <w:tcBorders>
              <w:top w:val="single" w:sz="4" w:space="0" w:color="auto"/>
              <w:bottom w:val="single" w:sz="4" w:space="0" w:color="auto"/>
            </w:tcBorders>
            <w:shd w:val="clear" w:color="auto" w:fill="auto"/>
            <w:noWrap/>
            <w:vAlign w:val="center"/>
          </w:tcPr>
          <w:p w14:paraId="5FC3CBA2"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שלום</w:t>
            </w:r>
          </w:p>
        </w:tc>
        <w:tc>
          <w:tcPr>
            <w:tcW w:w="850" w:type="dxa"/>
            <w:tcBorders>
              <w:top w:val="single" w:sz="4" w:space="0" w:color="auto"/>
              <w:bottom w:val="single" w:sz="4" w:space="0" w:color="auto"/>
            </w:tcBorders>
            <w:shd w:val="clear" w:color="auto" w:fill="auto"/>
            <w:noWrap/>
            <w:vAlign w:val="center"/>
          </w:tcPr>
          <w:p w14:paraId="7567FD36"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אזרחי</w:t>
            </w:r>
          </w:p>
        </w:tc>
        <w:tc>
          <w:tcPr>
            <w:tcW w:w="2130" w:type="dxa"/>
            <w:tcBorders>
              <w:top w:val="single" w:sz="4" w:space="0" w:color="auto"/>
              <w:bottom w:val="single" w:sz="4" w:space="0" w:color="auto"/>
            </w:tcBorders>
            <w:shd w:val="clear" w:color="auto" w:fill="auto"/>
            <w:vAlign w:val="center"/>
          </w:tcPr>
          <w:p w14:paraId="3169E805"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תיק אזרחי בסדר דין רגיל (ת"א)</w:t>
            </w:r>
            <w:r w:rsidRPr="00542938">
              <w:rPr>
                <w:rFonts w:ascii="David" w:hAnsi="David" w:cs="David" w:hint="cs"/>
                <w:color w:val="000000"/>
                <w:rtl/>
              </w:rPr>
              <w:t xml:space="preserve"> </w:t>
            </w:r>
            <w:r w:rsidRPr="00542938">
              <w:rPr>
                <w:rFonts w:ascii="David" w:hAnsi="David" w:cs="David"/>
                <w:color w:val="000000"/>
                <w:rtl/>
              </w:rPr>
              <w:t>-</w:t>
            </w:r>
            <w:r w:rsidRPr="00542938">
              <w:rPr>
                <w:rFonts w:ascii="David" w:hAnsi="David" w:cs="David" w:hint="cs"/>
                <w:color w:val="000000"/>
                <w:rtl/>
              </w:rPr>
              <w:t xml:space="preserve"> </w:t>
            </w:r>
            <w:r w:rsidRPr="00542938">
              <w:rPr>
                <w:rFonts w:ascii="David" w:hAnsi="David" w:cs="David"/>
                <w:color w:val="000000"/>
                <w:rtl/>
              </w:rPr>
              <w:t>נזקי גוף ביטוח (פוליסה)</w:t>
            </w:r>
          </w:p>
        </w:tc>
        <w:tc>
          <w:tcPr>
            <w:tcW w:w="1276" w:type="dxa"/>
            <w:tcBorders>
              <w:top w:val="single" w:sz="4" w:space="0" w:color="auto"/>
              <w:bottom w:val="single" w:sz="4" w:space="0" w:color="auto"/>
            </w:tcBorders>
            <w:vAlign w:val="center"/>
          </w:tcPr>
          <w:p w14:paraId="46F6D4C5" w14:textId="77777777" w:rsidR="007D380E" w:rsidRPr="00542938" w:rsidRDefault="007D380E" w:rsidP="007D380E">
            <w:pPr>
              <w:spacing w:after="0" w:line="240" w:lineRule="auto"/>
              <w:jc w:val="center"/>
              <w:rPr>
                <w:rFonts w:ascii="David" w:hAnsi="David" w:cs="David"/>
                <w:color w:val="000000"/>
              </w:rPr>
            </w:pPr>
            <w:r w:rsidRPr="00542938">
              <w:rPr>
                <w:rFonts w:ascii="David" w:hAnsi="David" w:cs="David"/>
                <w:color w:val="000000"/>
              </w:rPr>
              <w:t>894</w:t>
            </w:r>
          </w:p>
        </w:tc>
        <w:tc>
          <w:tcPr>
            <w:tcW w:w="1417" w:type="dxa"/>
            <w:tcBorders>
              <w:top w:val="single" w:sz="4" w:space="0" w:color="auto"/>
              <w:bottom w:val="single" w:sz="4" w:space="0" w:color="auto"/>
            </w:tcBorders>
            <w:shd w:val="clear" w:color="auto" w:fill="auto"/>
            <w:noWrap/>
            <w:vAlign w:val="center"/>
          </w:tcPr>
          <w:p w14:paraId="064D51F3" w14:textId="77777777" w:rsidR="007D380E" w:rsidRPr="00542938" w:rsidRDefault="007D380E" w:rsidP="007D380E">
            <w:pPr>
              <w:spacing w:after="0" w:line="240" w:lineRule="auto"/>
              <w:jc w:val="center"/>
              <w:rPr>
                <w:rFonts w:ascii="David" w:hAnsi="David" w:cs="David"/>
                <w:b/>
                <w:bCs/>
                <w:color w:val="000000"/>
              </w:rPr>
            </w:pPr>
            <w:r w:rsidRPr="00542938">
              <w:rPr>
                <w:rFonts w:ascii="David" w:hAnsi="David" w:cs="David"/>
                <w:b/>
                <w:bCs/>
                <w:color w:val="000000"/>
              </w:rPr>
              <w:t>2:32</w:t>
            </w:r>
          </w:p>
        </w:tc>
        <w:tc>
          <w:tcPr>
            <w:tcW w:w="1843" w:type="dxa"/>
            <w:tcBorders>
              <w:top w:val="single" w:sz="4" w:space="0" w:color="auto"/>
              <w:bottom w:val="single" w:sz="4" w:space="0" w:color="auto"/>
            </w:tcBorders>
            <w:shd w:val="clear" w:color="auto" w:fill="auto"/>
            <w:vAlign w:val="center"/>
          </w:tcPr>
          <w:p w14:paraId="5F4D9C96" w14:textId="77777777" w:rsidR="007D380E" w:rsidRPr="00542938" w:rsidRDefault="007D380E" w:rsidP="007D380E">
            <w:pPr>
              <w:spacing w:after="0" w:line="240" w:lineRule="auto"/>
              <w:jc w:val="center"/>
              <w:rPr>
                <w:rFonts w:ascii="David" w:hAnsi="David" w:cs="David"/>
                <w:color w:val="000000"/>
              </w:rPr>
            </w:pPr>
            <w:r w:rsidRPr="00542938">
              <w:rPr>
                <w:rFonts w:ascii="David" w:hAnsi="David" w:cs="David"/>
                <w:color w:val="000000"/>
              </w:rPr>
              <w:t>5:42</w:t>
            </w:r>
          </w:p>
        </w:tc>
        <w:tc>
          <w:tcPr>
            <w:tcW w:w="852" w:type="dxa"/>
            <w:tcBorders>
              <w:top w:val="single" w:sz="4" w:space="0" w:color="auto"/>
              <w:bottom w:val="single" w:sz="4" w:space="0" w:color="auto"/>
            </w:tcBorders>
            <w:shd w:val="clear" w:color="auto" w:fill="auto"/>
            <w:vAlign w:val="center"/>
          </w:tcPr>
          <w:p w14:paraId="3F7D0102" w14:textId="77777777" w:rsidR="007D380E" w:rsidRPr="00542938" w:rsidRDefault="007D380E" w:rsidP="007D380E">
            <w:pPr>
              <w:spacing w:after="0" w:line="240" w:lineRule="auto"/>
              <w:jc w:val="center"/>
              <w:rPr>
                <w:rFonts w:ascii="David" w:hAnsi="David" w:cs="David"/>
                <w:color w:val="000000"/>
              </w:rPr>
            </w:pPr>
            <w:r w:rsidRPr="00542938">
              <w:rPr>
                <w:rFonts w:ascii="David" w:hAnsi="David" w:cs="David"/>
                <w:color w:val="000000"/>
              </w:rPr>
              <w:t>-3:10</w:t>
            </w:r>
          </w:p>
        </w:tc>
      </w:tr>
      <w:tr w:rsidR="007D380E" w:rsidRPr="00542938" w14:paraId="597B2675" w14:textId="77777777" w:rsidTr="007D380E">
        <w:trPr>
          <w:trHeight w:val="600"/>
        </w:trPr>
        <w:tc>
          <w:tcPr>
            <w:tcW w:w="858" w:type="dxa"/>
            <w:tcBorders>
              <w:top w:val="single" w:sz="4" w:space="0" w:color="auto"/>
              <w:bottom w:val="single" w:sz="4" w:space="0" w:color="auto"/>
            </w:tcBorders>
            <w:shd w:val="clear" w:color="auto" w:fill="D9D9D9"/>
            <w:noWrap/>
            <w:vAlign w:val="center"/>
          </w:tcPr>
          <w:p w14:paraId="411D49A1"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שלום</w:t>
            </w:r>
          </w:p>
        </w:tc>
        <w:tc>
          <w:tcPr>
            <w:tcW w:w="850" w:type="dxa"/>
            <w:tcBorders>
              <w:top w:val="single" w:sz="4" w:space="0" w:color="auto"/>
              <w:bottom w:val="single" w:sz="4" w:space="0" w:color="auto"/>
            </w:tcBorders>
            <w:shd w:val="clear" w:color="auto" w:fill="D9D9D9"/>
            <w:noWrap/>
            <w:vAlign w:val="center"/>
          </w:tcPr>
          <w:p w14:paraId="1B9E7716"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אזרחי</w:t>
            </w:r>
          </w:p>
        </w:tc>
        <w:tc>
          <w:tcPr>
            <w:tcW w:w="2130" w:type="dxa"/>
            <w:tcBorders>
              <w:top w:val="single" w:sz="4" w:space="0" w:color="auto"/>
              <w:bottom w:val="single" w:sz="4" w:space="0" w:color="auto"/>
            </w:tcBorders>
            <w:shd w:val="clear" w:color="auto" w:fill="D9D9D9"/>
            <w:vAlign w:val="center"/>
          </w:tcPr>
          <w:p w14:paraId="294B596A" w14:textId="77777777" w:rsidR="007D380E" w:rsidRPr="00542938" w:rsidRDefault="007D380E" w:rsidP="007D380E">
            <w:pPr>
              <w:spacing w:after="0" w:line="240" w:lineRule="auto"/>
              <w:rPr>
                <w:rFonts w:ascii="David" w:hAnsi="David" w:cs="David"/>
                <w:color w:val="000000"/>
                <w:rtl/>
              </w:rPr>
            </w:pPr>
            <w:r w:rsidRPr="00542938">
              <w:rPr>
                <w:rFonts w:ascii="David" w:hAnsi="David" w:cs="David"/>
                <w:color w:val="000000"/>
                <w:rtl/>
              </w:rPr>
              <w:t>תיק אזרחי בסדר דין רגיל (ת"א)</w:t>
            </w:r>
            <w:r w:rsidRPr="00542938">
              <w:rPr>
                <w:rFonts w:ascii="David" w:hAnsi="David" w:cs="David" w:hint="cs"/>
                <w:color w:val="000000"/>
                <w:rtl/>
              </w:rPr>
              <w:t xml:space="preserve"> </w:t>
            </w:r>
            <w:r w:rsidRPr="00542938">
              <w:rPr>
                <w:rFonts w:ascii="David" w:hAnsi="David" w:cs="David"/>
                <w:color w:val="000000"/>
                <w:rtl/>
              </w:rPr>
              <w:t>-</w:t>
            </w:r>
            <w:r w:rsidRPr="00542938">
              <w:rPr>
                <w:rFonts w:ascii="David" w:hAnsi="David" w:cs="David" w:hint="cs"/>
                <w:color w:val="000000"/>
                <w:rtl/>
              </w:rPr>
              <w:t xml:space="preserve"> </w:t>
            </w:r>
            <w:r w:rsidRPr="00542938">
              <w:rPr>
                <w:rFonts w:ascii="David" w:hAnsi="David" w:cs="David"/>
                <w:color w:val="000000"/>
                <w:rtl/>
              </w:rPr>
              <w:t>פלת"ד</w:t>
            </w:r>
          </w:p>
        </w:tc>
        <w:tc>
          <w:tcPr>
            <w:tcW w:w="1276" w:type="dxa"/>
            <w:tcBorders>
              <w:top w:val="single" w:sz="4" w:space="0" w:color="auto"/>
              <w:bottom w:val="single" w:sz="4" w:space="0" w:color="auto"/>
            </w:tcBorders>
            <w:shd w:val="clear" w:color="auto" w:fill="D9D9D9"/>
            <w:vAlign w:val="center"/>
          </w:tcPr>
          <w:p w14:paraId="4AB209DB" w14:textId="77777777" w:rsidR="007D380E" w:rsidRPr="00542938" w:rsidRDefault="007D380E" w:rsidP="007D380E">
            <w:pPr>
              <w:spacing w:after="0" w:line="240" w:lineRule="auto"/>
              <w:jc w:val="center"/>
              <w:rPr>
                <w:rFonts w:ascii="David" w:hAnsi="David" w:cs="David"/>
                <w:color w:val="000000"/>
              </w:rPr>
            </w:pPr>
            <w:r w:rsidRPr="00542938">
              <w:rPr>
                <w:rFonts w:ascii="David" w:hAnsi="David" w:cs="David"/>
                <w:color w:val="000000"/>
              </w:rPr>
              <w:t>28,681</w:t>
            </w:r>
          </w:p>
        </w:tc>
        <w:tc>
          <w:tcPr>
            <w:tcW w:w="1417" w:type="dxa"/>
            <w:tcBorders>
              <w:top w:val="single" w:sz="4" w:space="0" w:color="auto"/>
              <w:bottom w:val="single" w:sz="4" w:space="0" w:color="auto"/>
            </w:tcBorders>
            <w:shd w:val="clear" w:color="auto" w:fill="D9D9D9"/>
            <w:noWrap/>
            <w:vAlign w:val="center"/>
          </w:tcPr>
          <w:p w14:paraId="2B30E1F0" w14:textId="77777777" w:rsidR="007D380E" w:rsidRPr="00542938" w:rsidRDefault="007D380E" w:rsidP="007D380E">
            <w:pPr>
              <w:spacing w:after="0" w:line="240" w:lineRule="auto"/>
              <w:jc w:val="center"/>
              <w:rPr>
                <w:rFonts w:ascii="David" w:hAnsi="David" w:cs="David"/>
                <w:b/>
                <w:bCs/>
                <w:color w:val="000000"/>
              </w:rPr>
            </w:pPr>
            <w:r w:rsidRPr="00542938">
              <w:rPr>
                <w:rFonts w:ascii="David" w:hAnsi="David" w:cs="David"/>
                <w:b/>
                <w:bCs/>
                <w:color w:val="000000"/>
              </w:rPr>
              <w:t>2:26</w:t>
            </w:r>
          </w:p>
        </w:tc>
        <w:tc>
          <w:tcPr>
            <w:tcW w:w="1843" w:type="dxa"/>
            <w:tcBorders>
              <w:top w:val="single" w:sz="4" w:space="0" w:color="auto"/>
              <w:bottom w:val="single" w:sz="4" w:space="0" w:color="auto"/>
            </w:tcBorders>
            <w:shd w:val="clear" w:color="auto" w:fill="D9D9D9"/>
            <w:vAlign w:val="center"/>
          </w:tcPr>
          <w:p w14:paraId="0D5883B1" w14:textId="77777777" w:rsidR="007D380E" w:rsidRPr="00542938" w:rsidRDefault="007D380E" w:rsidP="007D380E">
            <w:pPr>
              <w:spacing w:after="0" w:line="240" w:lineRule="auto"/>
              <w:jc w:val="center"/>
              <w:rPr>
                <w:rFonts w:ascii="David" w:hAnsi="David" w:cs="David"/>
                <w:color w:val="000000"/>
                <w:rtl/>
              </w:rPr>
            </w:pPr>
            <w:r w:rsidRPr="00542938">
              <w:rPr>
                <w:rFonts w:ascii="David" w:hAnsi="David" w:cs="David"/>
                <w:color w:val="000000"/>
              </w:rPr>
              <w:t>3:27</w:t>
            </w:r>
          </w:p>
        </w:tc>
        <w:tc>
          <w:tcPr>
            <w:tcW w:w="852" w:type="dxa"/>
            <w:tcBorders>
              <w:top w:val="single" w:sz="4" w:space="0" w:color="auto"/>
              <w:bottom w:val="single" w:sz="4" w:space="0" w:color="auto"/>
            </w:tcBorders>
            <w:shd w:val="clear" w:color="auto" w:fill="D9D9D9"/>
            <w:vAlign w:val="center"/>
          </w:tcPr>
          <w:p w14:paraId="17C0C611" w14:textId="77777777" w:rsidR="007D380E" w:rsidRPr="00542938" w:rsidRDefault="007D380E" w:rsidP="007D380E">
            <w:pPr>
              <w:spacing w:after="0" w:line="240" w:lineRule="auto"/>
              <w:jc w:val="center"/>
              <w:rPr>
                <w:rFonts w:ascii="David" w:hAnsi="David" w:cs="David"/>
                <w:color w:val="000000"/>
              </w:rPr>
            </w:pPr>
            <w:r w:rsidRPr="00542938">
              <w:rPr>
                <w:rFonts w:ascii="David" w:hAnsi="David" w:cs="David" w:hint="cs"/>
                <w:color w:val="000000"/>
                <w:rtl/>
              </w:rPr>
              <w:t>1:01-</w:t>
            </w:r>
          </w:p>
        </w:tc>
      </w:tr>
    </w:tbl>
    <w:p w14:paraId="647F3DC1" w14:textId="77777777" w:rsidR="008D44BF" w:rsidRPr="00F25744" w:rsidRDefault="008D44BF" w:rsidP="004F0412">
      <w:pPr>
        <w:spacing w:line="240" w:lineRule="auto"/>
        <w:jc w:val="both"/>
        <w:rPr>
          <w:rFonts w:cs="David"/>
          <w:sz w:val="24"/>
          <w:szCs w:val="24"/>
          <w:rtl/>
        </w:rPr>
      </w:pPr>
    </w:p>
    <w:p w14:paraId="0070FA7F" w14:textId="77777777" w:rsidR="00153211" w:rsidRPr="00F25744" w:rsidRDefault="00E25AE7" w:rsidP="00F900D7">
      <w:pPr>
        <w:spacing w:before="120" w:after="0" w:line="360" w:lineRule="auto"/>
        <w:ind w:left="-1"/>
        <w:jc w:val="both"/>
        <w:rPr>
          <w:rFonts w:cs="David"/>
          <w:sz w:val="24"/>
          <w:szCs w:val="24"/>
          <w:rtl/>
        </w:rPr>
      </w:pPr>
      <w:r w:rsidRPr="00F25744">
        <w:rPr>
          <w:rFonts w:cs="David" w:hint="cs"/>
          <w:sz w:val="24"/>
          <w:szCs w:val="24"/>
          <w:rtl/>
        </w:rPr>
        <w:t xml:space="preserve">כאן המקום לציין, כי במסגרת השאלון המסכם התבקשו השופטים לדרג את התיקים שבטיפולם מן הכבד אל הקל. ככלל, לגבי מרבית סוגי התיקים, ראינו התאמה בין דירוגים אלו לזמנים שנמדדו במסגרת המחקר. עם זאת, ראינו שונות מסוימת לגבי הדירוג שניתן לחלק מסוגי העניין בתיקי ת"א. כך, למשל, </w:t>
      </w:r>
      <w:r w:rsidR="00FF6952" w:rsidRPr="00F25744">
        <w:rPr>
          <w:rFonts w:cs="David" w:hint="cs"/>
          <w:sz w:val="24"/>
          <w:szCs w:val="24"/>
          <w:rtl/>
        </w:rPr>
        <w:t xml:space="preserve">מצאנו הבדלים בין הדירוג שנתנו </w:t>
      </w:r>
      <w:r w:rsidRPr="00F25744">
        <w:rPr>
          <w:rFonts w:cs="David" w:hint="cs"/>
          <w:sz w:val="24"/>
          <w:szCs w:val="24"/>
          <w:rtl/>
        </w:rPr>
        <w:t xml:space="preserve">שופטי </w:t>
      </w:r>
      <w:r w:rsidR="00FF6952" w:rsidRPr="00F25744">
        <w:rPr>
          <w:rFonts w:cs="David" w:hint="cs"/>
          <w:sz w:val="24"/>
          <w:szCs w:val="24"/>
          <w:rtl/>
        </w:rPr>
        <w:t xml:space="preserve">השלום לתיקי רשלנות רפואית לעומת תיקי ליקויי בנייה, למשל.  </w:t>
      </w:r>
    </w:p>
    <w:p w14:paraId="09468466" w14:textId="77777777" w:rsidR="00153211" w:rsidRPr="00F25744" w:rsidRDefault="00E25AE7" w:rsidP="00F900D7">
      <w:pPr>
        <w:spacing w:before="120" w:after="0" w:line="360" w:lineRule="auto"/>
        <w:ind w:left="-1"/>
        <w:jc w:val="both"/>
        <w:rPr>
          <w:rFonts w:cs="David"/>
          <w:sz w:val="24"/>
          <w:szCs w:val="24"/>
          <w:rtl/>
        </w:rPr>
      </w:pPr>
      <w:r w:rsidRPr="00F25744">
        <w:rPr>
          <w:rFonts w:cs="David" w:hint="cs"/>
          <w:sz w:val="24"/>
          <w:szCs w:val="24"/>
          <w:rtl/>
        </w:rPr>
        <w:t xml:space="preserve">כפי שהסברנו בפתיחה לפרק הממצאים, הזמנים המוצגים משקפים את שקלול </w:t>
      </w:r>
      <w:r w:rsidRPr="00F25744">
        <w:rPr>
          <w:rFonts w:cs="David" w:hint="cs"/>
          <w:b/>
          <w:bCs/>
          <w:sz w:val="24"/>
          <w:szCs w:val="24"/>
          <w:rtl/>
        </w:rPr>
        <w:t>הזמנים</w:t>
      </w:r>
      <w:r w:rsidRPr="00F25744">
        <w:rPr>
          <w:rFonts w:cs="David" w:hint="cs"/>
          <w:sz w:val="24"/>
          <w:szCs w:val="24"/>
          <w:rtl/>
        </w:rPr>
        <w:t xml:space="preserve"> שנמדדו באירועים השונים בכל תיק </w:t>
      </w:r>
      <w:r w:rsidRPr="00F25744">
        <w:rPr>
          <w:rFonts w:cs="David"/>
          <w:sz w:val="24"/>
          <w:szCs w:val="24"/>
          <w:rtl/>
        </w:rPr>
        <w:t>–</w:t>
      </w:r>
      <w:r w:rsidRPr="00F25744">
        <w:rPr>
          <w:rFonts w:cs="David" w:hint="cs"/>
          <w:sz w:val="24"/>
          <w:szCs w:val="24"/>
          <w:rtl/>
        </w:rPr>
        <w:t xml:space="preserve"> זמני ההכנה לדיונים, זמני הדיונים וזמני הכתיבה, כפי שאלו דווחו על ידי השופטים והקלדניות, במכפלה של השכיחות להתרחשותם של אותם אירועים, אשר לקוחה מנתוני המחשב (כפי שפורט בהרחבה בפרק המתודולוגיה). </w:t>
      </w:r>
      <w:r w:rsidRPr="00F25744">
        <w:rPr>
          <w:rFonts w:cs="David" w:hint="cs"/>
          <w:b/>
          <w:bCs/>
          <w:sz w:val="24"/>
          <w:szCs w:val="24"/>
          <w:rtl/>
        </w:rPr>
        <w:t xml:space="preserve">אין בזמנים אלו כדי למצות את מלוא העומס </w:t>
      </w:r>
      <w:r w:rsidRPr="00F25744">
        <w:rPr>
          <w:rFonts w:cs="David" w:hint="cs"/>
          <w:b/>
          <w:bCs/>
          <w:sz w:val="24"/>
          <w:szCs w:val="24"/>
          <w:rtl/>
        </w:rPr>
        <w:lastRenderedPageBreak/>
        <w:t>השיפוטי אשר מטיל כל סוג תיק על השופט המטפל בו</w:t>
      </w:r>
      <w:r w:rsidRPr="00F25744">
        <w:rPr>
          <w:rFonts w:cs="David" w:hint="cs"/>
          <w:sz w:val="24"/>
          <w:szCs w:val="24"/>
          <w:rtl/>
        </w:rPr>
        <w:t>, בין היתר, בשל כובד ומהות הסוגיה המשפטית הנדונה בו.</w:t>
      </w:r>
      <w:r w:rsidRPr="00F25744">
        <w:rPr>
          <w:rFonts w:cs="David" w:hint="cs"/>
          <w:b/>
          <w:bCs/>
          <w:sz w:val="24"/>
          <w:szCs w:val="24"/>
          <w:rtl/>
        </w:rPr>
        <w:t xml:space="preserve"> </w:t>
      </w:r>
    </w:p>
    <w:p w14:paraId="7152019D" w14:textId="77777777" w:rsidR="00FF6952" w:rsidRPr="00F25744" w:rsidRDefault="00E25AE7" w:rsidP="00F900D7">
      <w:pPr>
        <w:spacing w:before="120" w:after="0" w:line="360" w:lineRule="auto"/>
        <w:ind w:left="-1"/>
        <w:jc w:val="both"/>
        <w:rPr>
          <w:rFonts w:cs="David"/>
          <w:sz w:val="24"/>
          <w:szCs w:val="24"/>
          <w:rtl/>
        </w:rPr>
      </w:pPr>
      <w:r w:rsidRPr="00F25744">
        <w:rPr>
          <w:rFonts w:cs="David" w:hint="cs"/>
          <w:sz w:val="24"/>
          <w:szCs w:val="24"/>
          <w:rtl/>
        </w:rPr>
        <w:t xml:space="preserve">כעת </w:t>
      </w:r>
      <w:r w:rsidRPr="00F25744">
        <w:rPr>
          <w:rFonts w:cs="David" w:hint="cs"/>
          <w:b/>
          <w:bCs/>
          <w:sz w:val="24"/>
          <w:szCs w:val="24"/>
          <w:rtl/>
        </w:rPr>
        <w:t>נדגים</w:t>
      </w:r>
      <w:r w:rsidRPr="00F25744">
        <w:rPr>
          <w:rFonts w:cs="David" w:hint="cs"/>
          <w:sz w:val="24"/>
          <w:szCs w:val="24"/>
          <w:rtl/>
        </w:rPr>
        <w:t xml:space="preserve"> הסבר זה על הדוגמאות שהבאנו לעיל: תיק ת"א </w:t>
      </w:r>
      <w:r w:rsidRPr="00F25744">
        <w:rPr>
          <w:rFonts w:cs="David"/>
          <w:sz w:val="24"/>
          <w:szCs w:val="24"/>
          <w:rtl/>
        </w:rPr>
        <w:t>–</w:t>
      </w:r>
      <w:r w:rsidRPr="00F25744">
        <w:rPr>
          <w:rFonts w:cs="David" w:hint="cs"/>
          <w:sz w:val="24"/>
          <w:szCs w:val="24"/>
          <w:rtl/>
        </w:rPr>
        <w:t xml:space="preserve"> </w:t>
      </w:r>
      <w:r w:rsidR="007F3A52" w:rsidRPr="00F25744">
        <w:rPr>
          <w:rFonts w:cs="David" w:hint="cs"/>
          <w:sz w:val="24"/>
          <w:szCs w:val="24"/>
          <w:rtl/>
        </w:rPr>
        <w:t>ליקויי בנייה</w:t>
      </w:r>
      <w:r w:rsidRPr="00F25744">
        <w:rPr>
          <w:rFonts w:cs="David" w:hint="cs"/>
          <w:sz w:val="24"/>
          <w:szCs w:val="24"/>
          <w:rtl/>
        </w:rPr>
        <w:t xml:space="preserve"> לעומת תיק ת"א </w:t>
      </w:r>
      <w:r w:rsidRPr="00F25744">
        <w:rPr>
          <w:rFonts w:cs="David"/>
          <w:sz w:val="24"/>
          <w:szCs w:val="24"/>
          <w:rtl/>
        </w:rPr>
        <w:t>–</w:t>
      </w:r>
      <w:r w:rsidRPr="00F25744">
        <w:rPr>
          <w:rFonts w:cs="David" w:hint="cs"/>
          <w:sz w:val="24"/>
          <w:szCs w:val="24"/>
          <w:rtl/>
        </w:rPr>
        <w:t xml:space="preserve"> </w:t>
      </w:r>
      <w:r w:rsidR="007F3A52" w:rsidRPr="00F25744">
        <w:rPr>
          <w:rFonts w:cs="David" w:hint="cs"/>
          <w:sz w:val="24"/>
          <w:szCs w:val="24"/>
          <w:rtl/>
        </w:rPr>
        <w:t>רשלנות רפואית, ו</w:t>
      </w:r>
      <w:r w:rsidRPr="00F25744">
        <w:rPr>
          <w:rFonts w:cs="David" w:hint="cs"/>
          <w:sz w:val="24"/>
          <w:szCs w:val="24"/>
          <w:rtl/>
        </w:rPr>
        <w:t>נפרט כי בתיק</w:t>
      </w:r>
      <w:r w:rsidR="007F3A52" w:rsidRPr="00F25744">
        <w:rPr>
          <w:rFonts w:cs="David" w:hint="cs"/>
          <w:sz w:val="24"/>
          <w:szCs w:val="24"/>
          <w:rtl/>
        </w:rPr>
        <w:t xml:space="preserve"> ליקויי בנייה יש בממוצע פי ש</w:t>
      </w:r>
      <w:r w:rsidR="00341018" w:rsidRPr="00F25744">
        <w:rPr>
          <w:rFonts w:cs="David" w:hint="cs"/>
          <w:sz w:val="24"/>
          <w:szCs w:val="24"/>
          <w:rtl/>
        </w:rPr>
        <w:t>נ</w:t>
      </w:r>
      <w:r w:rsidR="007F3A52" w:rsidRPr="00F25744">
        <w:rPr>
          <w:rFonts w:cs="David" w:hint="cs"/>
          <w:sz w:val="24"/>
          <w:szCs w:val="24"/>
          <w:rtl/>
        </w:rPr>
        <w:t>יים יותר דיונים (דיוני הוכחות ודיונים אחרים) לעומת תיקי רשלנות רפואית</w:t>
      </w:r>
      <w:r w:rsidR="00341018" w:rsidRPr="00F25744">
        <w:rPr>
          <w:rFonts w:cs="David" w:hint="cs"/>
          <w:sz w:val="24"/>
          <w:szCs w:val="24"/>
          <w:rtl/>
        </w:rPr>
        <w:t>;</w:t>
      </w:r>
      <w:r w:rsidR="007F3A52" w:rsidRPr="00F25744">
        <w:rPr>
          <w:rFonts w:cs="David" w:hint="cs"/>
          <w:sz w:val="24"/>
          <w:szCs w:val="24"/>
          <w:rtl/>
        </w:rPr>
        <w:t xml:space="preserve"> </w:t>
      </w:r>
      <w:r w:rsidR="00A578E0" w:rsidRPr="00F25744">
        <w:rPr>
          <w:rFonts w:cs="David" w:hint="cs"/>
          <w:sz w:val="24"/>
          <w:szCs w:val="24"/>
          <w:rtl/>
        </w:rPr>
        <w:t>בתיקי ליקויי בנייה יש</w:t>
      </w:r>
      <w:r w:rsidR="00341018" w:rsidRPr="00F25744">
        <w:rPr>
          <w:rFonts w:cs="David" w:hint="cs"/>
          <w:sz w:val="24"/>
          <w:szCs w:val="24"/>
          <w:rtl/>
        </w:rPr>
        <w:t xml:space="preserve"> ארבע</w:t>
      </w:r>
      <w:r w:rsidR="00A578E0" w:rsidRPr="00F25744">
        <w:rPr>
          <w:rFonts w:cs="David" w:hint="cs"/>
          <w:sz w:val="24"/>
          <w:szCs w:val="24"/>
          <w:rtl/>
        </w:rPr>
        <w:t xml:space="preserve"> פתקיות יותר בממוצע מתיקי רשלנות רפואית, </w:t>
      </w:r>
      <w:r w:rsidR="00B5015C" w:rsidRPr="00F25744">
        <w:rPr>
          <w:rFonts w:cs="David" w:hint="cs"/>
          <w:sz w:val="24"/>
          <w:szCs w:val="24"/>
          <w:rtl/>
        </w:rPr>
        <w:t xml:space="preserve">בתיקי רשלנות רפואית יש הסתברות של 7.5% למתן פסק דין מנומק לעומת הסתברות של 30% למתן פסק דין מנומק בתיקי ליקויי בנייה ועוד.  </w:t>
      </w:r>
    </w:p>
    <w:p w14:paraId="7214D117" w14:textId="77777777" w:rsidR="00493D50" w:rsidRPr="00F25744" w:rsidRDefault="00E25AE7" w:rsidP="00F900D7">
      <w:pPr>
        <w:spacing w:before="120" w:after="0" w:line="360" w:lineRule="auto"/>
        <w:ind w:left="-1"/>
        <w:jc w:val="both"/>
        <w:rPr>
          <w:rFonts w:cs="David"/>
          <w:sz w:val="24"/>
          <w:szCs w:val="24"/>
          <w:rtl/>
        </w:rPr>
      </w:pPr>
      <w:r w:rsidRPr="00F25744">
        <w:rPr>
          <w:rFonts w:cs="David" w:hint="cs"/>
          <w:sz w:val="24"/>
          <w:szCs w:val="24"/>
          <w:rtl/>
        </w:rPr>
        <w:t>מכאן ניתן להסיק, כי אף שייתכן שהסוגיות המשפטיות הנדונות בתיק</w:t>
      </w:r>
      <w:r w:rsidR="00B5015C" w:rsidRPr="00F25744">
        <w:rPr>
          <w:rFonts w:cs="David" w:hint="cs"/>
          <w:sz w:val="24"/>
          <w:szCs w:val="24"/>
          <w:rtl/>
        </w:rPr>
        <w:t xml:space="preserve">י רשלנות רפואית </w:t>
      </w:r>
      <w:r w:rsidRPr="00F25744">
        <w:rPr>
          <w:rFonts w:cs="David" w:hint="cs"/>
          <w:sz w:val="24"/>
          <w:szCs w:val="24"/>
          <w:rtl/>
        </w:rPr>
        <w:t xml:space="preserve">מטילות תחושה של עומס רב יותר על השופטים, הרי שמבחינת </w:t>
      </w:r>
      <w:r w:rsidRPr="00F25744">
        <w:rPr>
          <w:rFonts w:cs="David" w:hint="cs"/>
          <w:b/>
          <w:bCs/>
          <w:sz w:val="24"/>
          <w:szCs w:val="24"/>
          <w:rtl/>
        </w:rPr>
        <w:t>זמני הטיפול</w:t>
      </w:r>
      <w:r w:rsidR="00B5015C" w:rsidRPr="00F25744">
        <w:rPr>
          <w:rFonts w:cs="David" w:hint="cs"/>
          <w:sz w:val="24"/>
          <w:szCs w:val="24"/>
          <w:rtl/>
        </w:rPr>
        <w:t xml:space="preserve"> בתיק, תיק ליקויי בנייה </w:t>
      </w:r>
      <w:r w:rsidRPr="00F25744">
        <w:rPr>
          <w:rFonts w:cs="David" w:hint="cs"/>
          <w:sz w:val="24"/>
          <w:szCs w:val="24"/>
          <w:rtl/>
        </w:rPr>
        <w:t>דורש טיפול רב יותר, גם אם הוא יותר טכני במהותו. עוד נציין כאן, כי משיחות עם שופטי</w:t>
      </w:r>
      <w:r w:rsidR="00E16C82" w:rsidRPr="00F25744">
        <w:rPr>
          <w:rFonts w:cs="David" w:hint="cs"/>
          <w:sz w:val="24"/>
          <w:szCs w:val="24"/>
          <w:rtl/>
        </w:rPr>
        <w:t>ם עולה, כי אכן חלק מתיקי ליקויי הבנייה עשויים להיות מורכבים</w:t>
      </w:r>
      <w:r w:rsidRPr="00F25744">
        <w:rPr>
          <w:rFonts w:cs="David" w:hint="cs"/>
          <w:sz w:val="24"/>
          <w:szCs w:val="24"/>
          <w:rtl/>
        </w:rPr>
        <w:t xml:space="preserve"> </w:t>
      </w:r>
      <w:r w:rsidR="007F3A52" w:rsidRPr="00F25744">
        <w:rPr>
          <w:rFonts w:cs="David" w:hint="cs"/>
          <w:sz w:val="24"/>
          <w:szCs w:val="24"/>
          <w:rtl/>
        </w:rPr>
        <w:t>וארוכים, כאשר דנים במספר רב של ליקויי בנייה בתיק אחד או כאשר עולה צורך למנות מומחה מטעם בית המשפט, עניין שמעלה את מספר ההחלטות והדיונים ואת אורכם, ובכך גם מעלה משמעותית את זמני הטיפול השיפוטי בתיקים אלו. לעומת זאת, תיקי הרשלנות הרפואית, אף שאין חולק כי הם מסובכים מבחינה משפטית</w:t>
      </w:r>
      <w:r w:rsidR="00E704DB" w:rsidRPr="00F25744">
        <w:rPr>
          <w:rFonts w:cs="David" w:hint="cs"/>
          <w:sz w:val="24"/>
          <w:szCs w:val="24"/>
          <w:rtl/>
        </w:rPr>
        <w:t xml:space="preserve"> ולעתים גם רגשית</w:t>
      </w:r>
      <w:r w:rsidR="007F3A52" w:rsidRPr="00F25744">
        <w:rPr>
          <w:rFonts w:cs="David" w:hint="cs"/>
          <w:sz w:val="24"/>
          <w:szCs w:val="24"/>
          <w:rtl/>
        </w:rPr>
        <w:t>, לרוב אינם מגיעים לכדי דיוני הוכחות ו</w:t>
      </w:r>
      <w:r w:rsidR="00E704DB" w:rsidRPr="00F25744">
        <w:rPr>
          <w:rFonts w:cs="David" w:hint="cs"/>
          <w:sz w:val="24"/>
          <w:szCs w:val="24"/>
          <w:rtl/>
        </w:rPr>
        <w:t xml:space="preserve">מעל מחצית מהם </w:t>
      </w:r>
      <w:r w:rsidR="00341018" w:rsidRPr="00F25744">
        <w:rPr>
          <w:rFonts w:cs="David" w:hint="cs"/>
          <w:sz w:val="24"/>
          <w:szCs w:val="24"/>
          <w:rtl/>
        </w:rPr>
        <w:t>מסתיימים בפשרה ואינם מצריכים כתיבת פסק דין מנומק</w:t>
      </w:r>
      <w:r w:rsidR="00E704DB" w:rsidRPr="00F25744">
        <w:rPr>
          <w:rFonts w:cs="David" w:hint="cs"/>
          <w:sz w:val="24"/>
          <w:szCs w:val="24"/>
          <w:rtl/>
        </w:rPr>
        <w:t>. גורמים אלו משפיעים על הזמן השיפוטי הנמוך יותר שנמדד לגבי תיקי הרשלנות הרפואית ביחס להערכות השופטים את העומס שמטילים עליהם תיקים אלו.</w:t>
      </w:r>
    </w:p>
    <w:p w14:paraId="23A65AEA" w14:textId="77777777" w:rsidR="00AE6BC1" w:rsidRPr="00F25744" w:rsidRDefault="00E25AE7" w:rsidP="00F900D7">
      <w:pPr>
        <w:spacing w:before="120" w:after="0" w:line="360" w:lineRule="auto"/>
        <w:jc w:val="both"/>
        <w:rPr>
          <w:rFonts w:cs="David"/>
          <w:sz w:val="24"/>
          <w:szCs w:val="24"/>
          <w:rtl/>
        </w:rPr>
      </w:pPr>
      <w:r w:rsidRPr="00F25744">
        <w:rPr>
          <w:rFonts w:cs="David" w:hint="cs"/>
          <w:sz w:val="24"/>
          <w:szCs w:val="24"/>
          <w:rtl/>
        </w:rPr>
        <w:t xml:space="preserve">הסבר נוסף להבדלים המשמעותיים בזמנים לעומת הערכות השופטים לגבי חלק מסוגי העניין בתיקי  הת"א, עשוי להיות ההבדלים הקיימים </w:t>
      </w:r>
      <w:r w:rsidRPr="00F25744">
        <w:rPr>
          <w:rFonts w:cs="David" w:hint="cs"/>
          <w:b/>
          <w:bCs/>
          <w:sz w:val="24"/>
          <w:szCs w:val="24"/>
          <w:rtl/>
        </w:rPr>
        <w:t>בין המחוזות</w:t>
      </w:r>
      <w:r w:rsidRPr="00F25744">
        <w:rPr>
          <w:rFonts w:cs="David" w:hint="cs"/>
          <w:sz w:val="24"/>
          <w:szCs w:val="24"/>
          <w:rtl/>
        </w:rPr>
        <w:t xml:space="preserve"> השונים בטיפול בתיקים מאותו סוג עניין, מבחינת העומס המוטל על השופטים</w:t>
      </w:r>
      <w:r w:rsidR="003603E1" w:rsidRPr="00F25744">
        <w:rPr>
          <w:rFonts w:cs="David" w:hint="cs"/>
          <w:sz w:val="24"/>
          <w:szCs w:val="24"/>
          <w:rtl/>
        </w:rPr>
        <w:t>. הבדלים אלו עשויים לנבוע מ</w:t>
      </w:r>
      <w:r w:rsidRPr="00F25744">
        <w:rPr>
          <w:rFonts w:cs="David" w:hint="cs"/>
          <w:sz w:val="24"/>
          <w:szCs w:val="24"/>
          <w:rtl/>
        </w:rPr>
        <w:t xml:space="preserve">אופן ניהול שונה של התיק ממחוז למחוז, למשל בשל כמות השופטים העוסקים באותו סוג עניין או מידת ההתמחות של השופטים באותו סוג עניין, </w:t>
      </w:r>
      <w:r w:rsidR="003603E1" w:rsidRPr="00F25744">
        <w:rPr>
          <w:rFonts w:cs="David" w:hint="cs"/>
          <w:sz w:val="24"/>
          <w:szCs w:val="24"/>
          <w:rtl/>
        </w:rPr>
        <w:t>או מ</w:t>
      </w:r>
      <w:r w:rsidRPr="00F25744">
        <w:rPr>
          <w:rFonts w:cs="David" w:hint="cs"/>
          <w:sz w:val="24"/>
          <w:szCs w:val="24"/>
          <w:rtl/>
        </w:rPr>
        <w:t xml:space="preserve">רמת מורכבות שונה הנובעת מעצם העובדה שהתיק מתנהל דווקא במחוז מסוים. ואכן זו הערה משמעותית נוספת שקיבלנו עובר למחקר משופטים רבים. כך, לשם הדוגמה, ייתכן שהטיפול בתיק ת"א מסוג עניין מסוים במחוז ירושלים ייקח זמן שיפוטי רב יותר, למשל מפני שבחלק גדול מתיקים אלו הצדדים הם תושבי מזרח ירושלים, ועל כן יש צורך להזמין מתורגמן לדיונים בתיק, </w:t>
      </w:r>
      <w:r w:rsidR="00341018" w:rsidRPr="00F25744">
        <w:rPr>
          <w:rFonts w:cs="David" w:hint="cs"/>
          <w:sz w:val="24"/>
          <w:szCs w:val="24"/>
          <w:rtl/>
        </w:rPr>
        <w:t xml:space="preserve">עניין המאריך </w:t>
      </w:r>
      <w:r w:rsidRPr="00F25744">
        <w:rPr>
          <w:rFonts w:cs="David" w:hint="cs"/>
          <w:sz w:val="24"/>
          <w:szCs w:val="24"/>
          <w:rtl/>
        </w:rPr>
        <w:t>את זמן הדיון. דוגמה אחרת יכולה להיות תיקי מקרקעין למשל במחוז הדרום, בכל הנוגע ל</w:t>
      </w:r>
      <w:r w:rsidR="00341018" w:rsidRPr="00F25744">
        <w:rPr>
          <w:rFonts w:cs="David" w:hint="cs"/>
          <w:sz w:val="24"/>
          <w:szCs w:val="24"/>
          <w:rtl/>
        </w:rPr>
        <w:t>מקרקעין שאינם מוסדרים, אשר בעניינם הדיון עשוי להיות מורכב יותר</w:t>
      </w:r>
      <w:r w:rsidRPr="00F25744">
        <w:rPr>
          <w:rFonts w:cs="David" w:hint="cs"/>
          <w:sz w:val="24"/>
          <w:szCs w:val="24"/>
          <w:rtl/>
        </w:rPr>
        <w:t>, או שיש ריבוי של צדדים בכל תיק בהשוואה לתיקי מקרקעין במחוזות האחרים. על כן, מעבר לחישוב הזמן הממוצע הנפרד לסוגי העניין המרכזיים בתיקי ת"א (אשר גובשו, כאמור, בעצה אחת עם מספר שופטי שלום), ניסינו לתת זמן נפרד לסוגי העניין המרכזיים, גם בחלוקה למחוזות השיפוט השונים, על מנת לבחון את השונות האפשרית הקיימת בין המחוזות מהסיבות שהוצגו לעיל ומסיבות אחרות. עם זאת, התברר כי בחלק גדול מסוגי העניין, החלוקה למחוזות הותירה אותנו עם כמות מועטה של דיווחים על חלק מהאירועים המרכזיים בתיק</w:t>
      </w:r>
      <w:r w:rsidR="00341018" w:rsidRPr="00F25744">
        <w:rPr>
          <w:rFonts w:cs="David" w:hint="cs"/>
          <w:sz w:val="24"/>
          <w:szCs w:val="24"/>
          <w:rtl/>
        </w:rPr>
        <w:t>,</w:t>
      </w:r>
      <w:r w:rsidRPr="00F25744">
        <w:rPr>
          <w:rFonts w:cs="David" w:hint="cs"/>
          <w:sz w:val="24"/>
          <w:szCs w:val="24"/>
          <w:rtl/>
        </w:rPr>
        <w:t xml:space="preserve"> למשל,</w:t>
      </w:r>
      <w:r w:rsidR="00341018" w:rsidRPr="00F25744">
        <w:rPr>
          <w:rFonts w:cs="David" w:hint="cs"/>
          <w:sz w:val="24"/>
          <w:szCs w:val="24"/>
          <w:rtl/>
        </w:rPr>
        <w:t xml:space="preserve"> שני</w:t>
      </w:r>
      <w:r w:rsidRPr="00F25744">
        <w:rPr>
          <w:rFonts w:cs="David" w:hint="cs"/>
          <w:sz w:val="24"/>
          <w:szCs w:val="24"/>
          <w:rtl/>
        </w:rPr>
        <w:t xml:space="preserve"> דיווחים בלבד על משך דיון הוכחות בסוג עניין מסוים במחוז מסוים. יש לזכור כי תקופת המחקר כללה חמישה שבועות רצופים בלבד, ועל כן ייתכן, שבירידה לרזולוציה של המחוזות בסוגי העניין השונים בתיק ת"א, לא יתקבל כלל דיווחים על אירוע מסוים בתיק, או שיתקבלו דיווחים מעטים בלבד. בכך אין הכוונה כי תיקים מסוג עניין מסוים לא נשמעו כלל במחוז מסוים, אלא </w:t>
      </w:r>
      <w:r w:rsidRPr="00F25744">
        <w:rPr>
          <w:rFonts w:cs="David" w:hint="cs"/>
          <w:sz w:val="24"/>
          <w:szCs w:val="24"/>
          <w:rtl/>
        </w:rPr>
        <w:lastRenderedPageBreak/>
        <w:t>שלא התקיים למשל דיון הוכחות במהלך תקופת המחקר. במצב כזה, הפילוח למחוזות בסוגי העניין השונים הותיר תוצאות לעתים קיצוניות ולא מהימנות דיין על מנת להציג אותן במסגרת דוח מחקר זה. עם זאת, התוצאות שהתקבלו אכן הראו מגמה של זמנים שונים משמעותית בין המחוזות השונים, וזמנים שונים אלו על כן בהחלט יכולים להוות אחד ההסברים לזמני הטיפול השונים בתיקי הת"א בסוגי העניין השונים, אשר לעתים לא תאמו את ציפיות השופטים.</w:t>
      </w:r>
    </w:p>
    <w:p w14:paraId="3FFA8AB7" w14:textId="713F37A3" w:rsidR="00AC1F05" w:rsidRDefault="00AC1F05" w:rsidP="00F900D7">
      <w:pPr>
        <w:spacing w:before="120" w:after="0" w:line="360" w:lineRule="auto"/>
        <w:jc w:val="both"/>
        <w:rPr>
          <w:rFonts w:cs="David"/>
          <w:sz w:val="24"/>
          <w:szCs w:val="24"/>
          <w:rtl/>
        </w:rPr>
      </w:pPr>
      <w:r w:rsidRPr="00F25744">
        <w:rPr>
          <w:rFonts w:cs="David" w:hint="cs"/>
          <w:sz w:val="24"/>
          <w:szCs w:val="24"/>
          <w:rtl/>
        </w:rPr>
        <w:t>טרם סיום תת פרק זה נציין, כי בכל הנוגע לפערים בזמנים שנמדדו במחקר זה בין תיקים מקבילים הנדונים במחוזי ובשלום, וביניהם תיקי הת"א, ביצענו מהלך נוסף של תיקוף, שעליו פירט</w:t>
      </w:r>
      <w:r w:rsidR="00B62340" w:rsidRPr="00F25744">
        <w:rPr>
          <w:rFonts w:cs="David" w:hint="cs"/>
          <w:sz w:val="24"/>
          <w:szCs w:val="24"/>
          <w:rtl/>
        </w:rPr>
        <w:t xml:space="preserve">נו </w:t>
      </w:r>
      <w:r w:rsidR="00A213B4" w:rsidRPr="00F25744">
        <w:rPr>
          <w:rFonts w:cs="David" w:hint="cs"/>
          <w:sz w:val="24"/>
          <w:szCs w:val="24"/>
          <w:rtl/>
        </w:rPr>
        <w:t xml:space="preserve">בהרחבה </w:t>
      </w:r>
      <w:r w:rsidR="00B62340" w:rsidRPr="00F25744">
        <w:rPr>
          <w:rFonts w:cs="David" w:hint="cs"/>
          <w:sz w:val="24"/>
          <w:szCs w:val="24"/>
          <w:rtl/>
        </w:rPr>
        <w:t>בפרק הממצאים של ערכאת המחוזי (ראו תת פרק 3.1.2.2).</w:t>
      </w:r>
    </w:p>
    <w:p w14:paraId="21466100" w14:textId="77777777" w:rsidR="00327700" w:rsidRDefault="00327700" w:rsidP="00F900D7">
      <w:pPr>
        <w:spacing w:before="120" w:after="0" w:line="360" w:lineRule="auto"/>
        <w:jc w:val="both"/>
        <w:rPr>
          <w:rFonts w:cs="David"/>
          <w:sz w:val="24"/>
          <w:szCs w:val="24"/>
          <w:rtl/>
        </w:rPr>
      </w:pPr>
    </w:p>
    <w:p w14:paraId="1BBCCEB7" w14:textId="77777777" w:rsidR="00DD5068" w:rsidRPr="00F25744" w:rsidRDefault="00E25AE7" w:rsidP="00A54D82">
      <w:pPr>
        <w:pStyle w:val="5"/>
        <w:ind w:left="1561"/>
        <w:rPr>
          <w:rtl/>
        </w:rPr>
      </w:pPr>
      <w:bookmarkStart w:id="518" w:name="_Toc46226070"/>
      <w:bookmarkStart w:id="519" w:name="_Toc46226214"/>
      <w:bookmarkStart w:id="520" w:name="_Toc46228381"/>
      <w:bookmarkStart w:id="521" w:name="_Toc46228479"/>
      <w:bookmarkStart w:id="522" w:name="_Toc46230406"/>
      <w:bookmarkStart w:id="523" w:name="_Toc46230504"/>
      <w:bookmarkStart w:id="524" w:name="_Toc46310394"/>
      <w:bookmarkStart w:id="525" w:name="_Toc46414036"/>
      <w:bookmarkStart w:id="526" w:name="_Toc74750998"/>
      <w:r w:rsidRPr="00F25744">
        <w:rPr>
          <w:rFonts w:hint="cs"/>
          <w:rtl/>
        </w:rPr>
        <w:t>זמני הטיפול בתיקי עניינים מקומיים בערכאת השלום</w:t>
      </w:r>
      <w:bookmarkEnd w:id="518"/>
      <w:bookmarkEnd w:id="519"/>
      <w:bookmarkEnd w:id="520"/>
      <w:bookmarkEnd w:id="521"/>
      <w:bookmarkEnd w:id="522"/>
      <w:bookmarkEnd w:id="523"/>
      <w:bookmarkEnd w:id="524"/>
      <w:bookmarkEnd w:id="525"/>
      <w:bookmarkEnd w:id="526"/>
    </w:p>
    <w:p w14:paraId="355302C5" w14:textId="77777777" w:rsidR="00F900D7" w:rsidRPr="00F25744" w:rsidRDefault="00F900D7" w:rsidP="00F900D7">
      <w:pPr>
        <w:spacing w:after="0" w:line="240" w:lineRule="auto"/>
        <w:rPr>
          <w:rtl/>
        </w:rPr>
      </w:pPr>
    </w:p>
    <w:p w14:paraId="4C9E1390" w14:textId="370325FD" w:rsidR="00DD5068" w:rsidRPr="00F25744" w:rsidRDefault="00E25AE7" w:rsidP="00706796">
      <w:pPr>
        <w:pStyle w:val="af6"/>
        <w:rPr>
          <w:rFonts w:ascii="David" w:hAnsi="David"/>
          <w:sz w:val="24"/>
          <w:rtl/>
        </w:rPr>
      </w:pPr>
      <w:bookmarkStart w:id="527" w:name="_Toc76988908"/>
      <w:r w:rsidRPr="00F25744">
        <w:rPr>
          <w:rtl/>
        </w:rPr>
        <w:t xml:space="preserve">טבלה </w:t>
      </w:r>
      <w:r w:rsidRPr="00F25744">
        <w:rPr>
          <w:rFonts w:ascii="David" w:hAnsi="David"/>
          <w:sz w:val="24"/>
          <w:rtl/>
        </w:rPr>
        <w:fldChar w:fldCharType="begin"/>
      </w:r>
      <w:r w:rsidRPr="00F25744">
        <w:rPr>
          <w:rFonts w:ascii="David" w:hAnsi="David"/>
          <w:sz w:val="24"/>
          <w:rtl/>
        </w:rPr>
        <w:instrText xml:space="preserve"> </w:instrText>
      </w:r>
      <w:r w:rsidRPr="00F25744">
        <w:rPr>
          <w:rFonts w:ascii="David" w:hAnsi="David" w:hint="cs"/>
          <w:sz w:val="24"/>
        </w:rPr>
        <w:instrText>SEQ</w:instrText>
      </w:r>
      <w:r w:rsidRPr="00F25744">
        <w:rPr>
          <w:rFonts w:ascii="David" w:hAnsi="David" w:hint="cs"/>
          <w:sz w:val="24"/>
          <w:rtl/>
        </w:rPr>
        <w:instrText xml:space="preserve"> טבלה \* </w:instrText>
      </w:r>
      <w:r w:rsidRPr="00F25744">
        <w:rPr>
          <w:rFonts w:ascii="David" w:hAnsi="David" w:hint="cs"/>
          <w:sz w:val="24"/>
        </w:rPr>
        <w:instrText>ARABIC</w:instrText>
      </w:r>
      <w:r w:rsidRPr="00F25744">
        <w:rPr>
          <w:rFonts w:ascii="David" w:hAnsi="David"/>
          <w:sz w:val="24"/>
          <w:rtl/>
        </w:rPr>
        <w:instrText xml:space="preserve"> </w:instrText>
      </w:r>
      <w:r w:rsidRPr="00F25744">
        <w:rPr>
          <w:rFonts w:ascii="David" w:hAnsi="David"/>
          <w:sz w:val="24"/>
          <w:rtl/>
        </w:rPr>
        <w:fldChar w:fldCharType="separate"/>
      </w:r>
      <w:r w:rsidR="008F1BC3">
        <w:rPr>
          <w:rFonts w:ascii="David" w:hAnsi="David"/>
          <w:noProof/>
          <w:sz w:val="24"/>
          <w:rtl/>
        </w:rPr>
        <w:t>13</w:t>
      </w:r>
      <w:r w:rsidRPr="00F25744">
        <w:rPr>
          <w:rFonts w:ascii="David" w:hAnsi="David"/>
          <w:sz w:val="24"/>
          <w:rtl/>
        </w:rPr>
        <w:fldChar w:fldCharType="end"/>
      </w:r>
      <w:r w:rsidR="007F3A52" w:rsidRPr="00F25744">
        <w:rPr>
          <w:rFonts w:ascii="David" w:hAnsi="David" w:hint="cs"/>
          <w:sz w:val="24"/>
          <w:rtl/>
        </w:rPr>
        <w:t>: זמני הטיפול בתיקי עניינים מקומיים בערכאת השלום</w:t>
      </w:r>
      <w:r w:rsidR="00E22D68" w:rsidRPr="00F25744">
        <w:rPr>
          <w:rStyle w:val="a6"/>
          <w:rFonts w:ascii="David" w:hAnsi="David"/>
          <w:sz w:val="24"/>
          <w:rtl/>
        </w:rPr>
        <w:footnoteReference w:id="29"/>
      </w:r>
      <w:bookmarkEnd w:id="527"/>
    </w:p>
    <w:tbl>
      <w:tblPr>
        <w:tblpPr w:rightFromText="85" w:vertAnchor="text" w:tblpXSpec="right" w:tblpY="1"/>
        <w:bidiVisual/>
        <w:tblW w:w="9204" w:type="dxa"/>
        <w:tblLayout w:type="fixed"/>
        <w:tblLook w:val="04A0" w:firstRow="1" w:lastRow="0" w:firstColumn="1" w:lastColumn="0" w:noHBand="0" w:noVBand="1"/>
      </w:tblPr>
      <w:tblGrid>
        <w:gridCol w:w="847"/>
        <w:gridCol w:w="992"/>
        <w:gridCol w:w="1979"/>
        <w:gridCol w:w="1276"/>
        <w:gridCol w:w="1701"/>
        <w:gridCol w:w="1559"/>
        <w:gridCol w:w="850"/>
      </w:tblGrid>
      <w:tr w:rsidR="00E0162E" w:rsidRPr="008C41AB" w14:paraId="56E62F60" w14:textId="77777777" w:rsidTr="007D380E">
        <w:trPr>
          <w:trHeight w:val="777"/>
        </w:trPr>
        <w:tc>
          <w:tcPr>
            <w:tcW w:w="847" w:type="dxa"/>
            <w:tcBorders>
              <w:bottom w:val="single" w:sz="4" w:space="0" w:color="auto"/>
            </w:tcBorders>
            <w:shd w:val="clear" w:color="auto" w:fill="auto"/>
            <w:vAlign w:val="center"/>
            <w:hideMark/>
          </w:tcPr>
          <w:p w14:paraId="6761468A" w14:textId="77777777" w:rsidR="0052347A" w:rsidRPr="008C41AB" w:rsidRDefault="00E25AE7" w:rsidP="00C64D3B">
            <w:pPr>
              <w:spacing w:after="0" w:line="240" w:lineRule="auto"/>
              <w:jc w:val="center"/>
              <w:rPr>
                <w:rFonts w:ascii="David" w:eastAsia="Times New Roman" w:hAnsi="David" w:cs="David"/>
                <w:b/>
                <w:bCs/>
                <w:color w:val="000000"/>
              </w:rPr>
            </w:pPr>
            <w:r w:rsidRPr="008C41AB">
              <w:rPr>
                <w:rFonts w:ascii="David" w:eastAsia="Times New Roman" w:hAnsi="David" w:cs="David"/>
                <w:b/>
                <w:bCs/>
                <w:color w:val="000000"/>
                <w:rtl/>
              </w:rPr>
              <w:t>ערכאה</w:t>
            </w:r>
          </w:p>
        </w:tc>
        <w:tc>
          <w:tcPr>
            <w:tcW w:w="992" w:type="dxa"/>
            <w:tcBorders>
              <w:bottom w:val="single" w:sz="4" w:space="0" w:color="auto"/>
            </w:tcBorders>
            <w:shd w:val="clear" w:color="auto" w:fill="auto"/>
            <w:vAlign w:val="center"/>
            <w:hideMark/>
          </w:tcPr>
          <w:p w14:paraId="19DC0410" w14:textId="77777777" w:rsidR="0052347A" w:rsidRPr="008C41AB" w:rsidRDefault="00E25AE7" w:rsidP="00C64D3B">
            <w:pPr>
              <w:spacing w:after="0" w:line="240" w:lineRule="auto"/>
              <w:jc w:val="center"/>
              <w:rPr>
                <w:rFonts w:ascii="David" w:eastAsia="Times New Roman" w:hAnsi="David" w:cs="David"/>
                <w:b/>
                <w:bCs/>
                <w:color w:val="000000"/>
                <w:rtl/>
              </w:rPr>
            </w:pPr>
            <w:r w:rsidRPr="008C41AB">
              <w:rPr>
                <w:rFonts w:ascii="David" w:eastAsia="Times New Roman" w:hAnsi="David" w:cs="David"/>
                <w:b/>
                <w:bCs/>
                <w:color w:val="000000"/>
                <w:rtl/>
              </w:rPr>
              <w:t>הליך</w:t>
            </w:r>
          </w:p>
        </w:tc>
        <w:tc>
          <w:tcPr>
            <w:tcW w:w="1979" w:type="dxa"/>
            <w:tcBorders>
              <w:bottom w:val="single" w:sz="4" w:space="0" w:color="auto"/>
            </w:tcBorders>
            <w:shd w:val="clear" w:color="auto" w:fill="auto"/>
            <w:vAlign w:val="center"/>
            <w:hideMark/>
          </w:tcPr>
          <w:p w14:paraId="28948AD1" w14:textId="77777777" w:rsidR="0052347A" w:rsidRPr="008C41AB" w:rsidRDefault="00E25AE7" w:rsidP="00C64D3B">
            <w:pPr>
              <w:spacing w:after="0" w:line="240" w:lineRule="auto"/>
              <w:jc w:val="center"/>
              <w:rPr>
                <w:rFonts w:ascii="David" w:eastAsia="Times New Roman" w:hAnsi="David" w:cs="David"/>
                <w:b/>
                <w:bCs/>
                <w:color w:val="000000"/>
                <w:rtl/>
              </w:rPr>
            </w:pPr>
            <w:r w:rsidRPr="008C41AB">
              <w:rPr>
                <w:rFonts w:ascii="David" w:eastAsia="Times New Roman" w:hAnsi="David" w:cs="David"/>
                <w:b/>
                <w:bCs/>
                <w:color w:val="000000"/>
                <w:rtl/>
              </w:rPr>
              <w:t>סוג תיק</w:t>
            </w:r>
          </w:p>
        </w:tc>
        <w:tc>
          <w:tcPr>
            <w:tcW w:w="1276" w:type="dxa"/>
            <w:tcBorders>
              <w:bottom w:val="single" w:sz="4" w:space="0" w:color="auto"/>
            </w:tcBorders>
            <w:vAlign w:val="center"/>
          </w:tcPr>
          <w:p w14:paraId="659E45D2" w14:textId="77777777" w:rsidR="0052347A" w:rsidRPr="008C41AB" w:rsidRDefault="0052347A" w:rsidP="00C64D3B">
            <w:pPr>
              <w:spacing w:after="0" w:line="240" w:lineRule="auto"/>
              <w:jc w:val="center"/>
              <w:rPr>
                <w:rFonts w:ascii="David" w:eastAsia="Times New Roman" w:hAnsi="David" w:cs="David"/>
                <w:b/>
                <w:bCs/>
                <w:color w:val="000000"/>
                <w:rtl/>
              </w:rPr>
            </w:pPr>
          </w:p>
          <w:p w14:paraId="03E97796" w14:textId="77777777" w:rsidR="0052347A" w:rsidRPr="008C41AB" w:rsidRDefault="00E25AE7" w:rsidP="00C64D3B">
            <w:pPr>
              <w:spacing w:after="0" w:line="240" w:lineRule="auto"/>
              <w:jc w:val="center"/>
              <w:rPr>
                <w:rFonts w:ascii="David" w:eastAsia="Times New Roman" w:hAnsi="David" w:cs="David"/>
                <w:b/>
                <w:bCs/>
                <w:color w:val="000000"/>
                <w:rtl/>
              </w:rPr>
            </w:pPr>
            <w:r w:rsidRPr="008C41AB">
              <w:rPr>
                <w:rFonts w:ascii="David" w:eastAsia="Times New Roman" w:hAnsi="David" w:cs="David" w:hint="cs"/>
                <w:b/>
                <w:bCs/>
                <w:color w:val="000000"/>
                <w:rtl/>
              </w:rPr>
              <w:t>מספר תיקים שנסגרו ב-2019</w:t>
            </w:r>
          </w:p>
        </w:tc>
        <w:tc>
          <w:tcPr>
            <w:tcW w:w="1701" w:type="dxa"/>
            <w:tcBorders>
              <w:bottom w:val="single" w:sz="4" w:space="0" w:color="auto"/>
            </w:tcBorders>
            <w:shd w:val="clear" w:color="auto" w:fill="auto"/>
            <w:vAlign w:val="center"/>
            <w:hideMark/>
          </w:tcPr>
          <w:p w14:paraId="2E9D775B" w14:textId="77777777" w:rsidR="0052347A" w:rsidRPr="008C41AB" w:rsidRDefault="00E25AE7" w:rsidP="00C64D3B">
            <w:pPr>
              <w:spacing w:after="0" w:line="240" w:lineRule="auto"/>
              <w:jc w:val="center"/>
              <w:rPr>
                <w:rFonts w:ascii="David" w:eastAsia="Times New Roman" w:hAnsi="David" w:cs="David"/>
                <w:b/>
                <w:bCs/>
                <w:color w:val="000000"/>
                <w:rtl/>
              </w:rPr>
            </w:pPr>
            <w:r w:rsidRPr="008C41AB">
              <w:rPr>
                <w:rFonts w:ascii="David" w:eastAsia="Times New Roman" w:hAnsi="David" w:cs="David"/>
                <w:b/>
                <w:bCs/>
                <w:color w:val="000000"/>
                <w:rtl/>
              </w:rPr>
              <w:t>הזמן השיפוטי הממוצע לט</w:t>
            </w:r>
            <w:r w:rsidRPr="008C41AB">
              <w:rPr>
                <w:rFonts w:ascii="David" w:eastAsia="Times New Roman" w:hAnsi="David" w:cs="David" w:hint="cs"/>
                <w:b/>
                <w:bCs/>
                <w:color w:val="000000"/>
                <w:rtl/>
              </w:rPr>
              <w:t>י</w:t>
            </w:r>
            <w:r w:rsidRPr="008C41AB">
              <w:rPr>
                <w:rFonts w:ascii="David" w:eastAsia="Times New Roman" w:hAnsi="David" w:cs="David"/>
                <w:b/>
                <w:bCs/>
                <w:color w:val="000000"/>
                <w:rtl/>
              </w:rPr>
              <w:t>פ</w:t>
            </w:r>
            <w:r w:rsidRPr="008C41AB">
              <w:rPr>
                <w:rFonts w:ascii="David" w:eastAsia="Times New Roman" w:hAnsi="David" w:cs="David" w:hint="cs"/>
                <w:b/>
                <w:bCs/>
                <w:color w:val="000000"/>
                <w:rtl/>
              </w:rPr>
              <w:t>ו</w:t>
            </w:r>
            <w:r w:rsidRPr="008C41AB">
              <w:rPr>
                <w:rFonts w:ascii="David" w:eastAsia="Times New Roman" w:hAnsi="David" w:cs="David"/>
                <w:b/>
                <w:bCs/>
                <w:color w:val="000000"/>
                <w:rtl/>
              </w:rPr>
              <w:t>ל בתיק</w:t>
            </w:r>
            <w:r w:rsidRPr="008C41AB">
              <w:rPr>
                <w:rFonts w:ascii="David" w:eastAsia="Times New Roman" w:hAnsi="David" w:cs="David" w:hint="cs"/>
                <w:b/>
                <w:bCs/>
                <w:color w:val="000000"/>
                <w:rtl/>
              </w:rPr>
              <w:t xml:space="preserve"> </w:t>
            </w:r>
          </w:p>
        </w:tc>
        <w:tc>
          <w:tcPr>
            <w:tcW w:w="1559" w:type="dxa"/>
            <w:tcBorders>
              <w:bottom w:val="single" w:sz="4" w:space="0" w:color="auto"/>
            </w:tcBorders>
            <w:vAlign w:val="center"/>
          </w:tcPr>
          <w:p w14:paraId="69F8AAEF" w14:textId="77777777" w:rsidR="0052347A" w:rsidRPr="008C41AB" w:rsidRDefault="00E25AE7" w:rsidP="00C64D3B">
            <w:pPr>
              <w:spacing w:after="0" w:line="240" w:lineRule="auto"/>
              <w:jc w:val="center"/>
              <w:rPr>
                <w:rFonts w:ascii="David" w:eastAsia="Times New Roman" w:hAnsi="David" w:cs="David"/>
                <w:b/>
                <w:bCs/>
                <w:color w:val="000000"/>
                <w:rtl/>
              </w:rPr>
            </w:pPr>
            <w:r w:rsidRPr="008C41AB">
              <w:rPr>
                <w:rFonts w:ascii="David" w:eastAsia="Times New Roman" w:hAnsi="David" w:cs="David"/>
                <w:b/>
                <w:bCs/>
                <w:color w:val="000000"/>
                <w:rtl/>
              </w:rPr>
              <w:t xml:space="preserve">הזמן השיפוטי </w:t>
            </w:r>
            <w:r w:rsidRPr="008C41AB">
              <w:rPr>
                <w:rFonts w:ascii="David" w:eastAsia="Times New Roman" w:hAnsi="David" w:cs="David" w:hint="cs"/>
                <w:b/>
                <w:bCs/>
                <w:color w:val="000000"/>
                <w:rtl/>
              </w:rPr>
              <w:t xml:space="preserve">הממוצע </w:t>
            </w:r>
            <w:r w:rsidRPr="008C41AB">
              <w:rPr>
                <w:rFonts w:ascii="David" w:eastAsia="Times New Roman" w:hAnsi="David" w:cs="David"/>
                <w:b/>
                <w:bCs/>
                <w:color w:val="000000"/>
                <w:rtl/>
              </w:rPr>
              <w:t>לפי מחקר ה</w:t>
            </w:r>
            <w:r w:rsidRPr="008C41AB">
              <w:rPr>
                <w:rFonts w:ascii="David" w:eastAsia="Times New Roman" w:hAnsi="David" w:cs="David" w:hint="cs"/>
                <w:b/>
                <w:bCs/>
                <w:color w:val="000000"/>
                <w:rtl/>
              </w:rPr>
              <w:t>קודם</w:t>
            </w:r>
          </w:p>
        </w:tc>
        <w:tc>
          <w:tcPr>
            <w:tcW w:w="850" w:type="dxa"/>
            <w:tcBorders>
              <w:bottom w:val="single" w:sz="4" w:space="0" w:color="auto"/>
            </w:tcBorders>
            <w:vAlign w:val="center"/>
          </w:tcPr>
          <w:p w14:paraId="03C27A9B" w14:textId="77777777" w:rsidR="0052347A" w:rsidRPr="008C41AB" w:rsidRDefault="00E25AE7" w:rsidP="00C64D3B">
            <w:pPr>
              <w:spacing w:after="0" w:line="240" w:lineRule="auto"/>
              <w:jc w:val="center"/>
              <w:rPr>
                <w:rFonts w:ascii="David" w:eastAsia="Times New Roman" w:hAnsi="David" w:cs="David"/>
                <w:b/>
                <w:bCs/>
                <w:color w:val="000000"/>
                <w:rtl/>
              </w:rPr>
            </w:pPr>
            <w:r w:rsidRPr="008C41AB">
              <w:rPr>
                <w:rFonts w:ascii="David" w:eastAsia="Times New Roman" w:hAnsi="David" w:cs="David"/>
                <w:b/>
                <w:bCs/>
                <w:color w:val="000000"/>
                <w:rtl/>
              </w:rPr>
              <w:t>מגמת שינוי</w:t>
            </w:r>
          </w:p>
        </w:tc>
      </w:tr>
      <w:tr w:rsidR="00E0162E" w:rsidRPr="008C41AB" w14:paraId="0712E41D"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57B45003" w14:textId="77777777" w:rsidR="0052347A" w:rsidRPr="008C41AB" w:rsidRDefault="00E25AE7" w:rsidP="00C64D3B">
            <w:pPr>
              <w:spacing w:after="0" w:line="240" w:lineRule="auto"/>
              <w:rPr>
                <w:rFonts w:ascii="David" w:hAnsi="David" w:cs="David"/>
                <w:color w:val="000000"/>
                <w:rtl/>
              </w:rPr>
            </w:pPr>
            <w:r w:rsidRPr="008C41AB">
              <w:rPr>
                <w:rFonts w:ascii="David" w:hAnsi="David" w:cs="David"/>
                <w:color w:val="000000"/>
                <w:rtl/>
              </w:rPr>
              <w:t>שלום</w:t>
            </w:r>
          </w:p>
        </w:tc>
        <w:tc>
          <w:tcPr>
            <w:tcW w:w="992" w:type="dxa"/>
            <w:tcBorders>
              <w:top w:val="single" w:sz="4" w:space="0" w:color="auto"/>
              <w:bottom w:val="single" w:sz="4" w:space="0" w:color="auto"/>
            </w:tcBorders>
            <w:shd w:val="clear" w:color="auto" w:fill="D9D9D9"/>
            <w:noWrap/>
            <w:vAlign w:val="center"/>
          </w:tcPr>
          <w:p w14:paraId="3B6E70A3" w14:textId="77777777" w:rsidR="0052347A" w:rsidRPr="008C41AB" w:rsidRDefault="00E25AE7" w:rsidP="00C64D3B">
            <w:pPr>
              <w:spacing w:after="0" w:line="240" w:lineRule="auto"/>
              <w:rPr>
                <w:rFonts w:ascii="David" w:hAnsi="David" w:cs="David"/>
                <w:color w:val="000000"/>
                <w:rtl/>
              </w:rPr>
            </w:pPr>
            <w:r w:rsidRPr="008C41AB">
              <w:rPr>
                <w:rFonts w:ascii="David" w:hAnsi="David" w:cs="David"/>
                <w:color w:val="000000"/>
                <w:rtl/>
              </w:rPr>
              <w:t>עניינים מקומיים</w:t>
            </w:r>
          </w:p>
        </w:tc>
        <w:tc>
          <w:tcPr>
            <w:tcW w:w="1979" w:type="dxa"/>
            <w:tcBorders>
              <w:top w:val="single" w:sz="4" w:space="0" w:color="auto"/>
              <w:bottom w:val="single" w:sz="4" w:space="0" w:color="auto"/>
            </w:tcBorders>
            <w:shd w:val="clear" w:color="auto" w:fill="D9D9D9"/>
            <w:vAlign w:val="center"/>
          </w:tcPr>
          <w:p w14:paraId="16E3E61F" w14:textId="77777777" w:rsidR="0052347A" w:rsidRPr="008C41AB" w:rsidRDefault="00E25AE7" w:rsidP="00C64D3B">
            <w:pPr>
              <w:spacing w:after="0" w:line="240" w:lineRule="auto"/>
              <w:rPr>
                <w:rFonts w:ascii="David" w:hAnsi="David" w:cs="David"/>
                <w:color w:val="000000"/>
                <w:rtl/>
              </w:rPr>
            </w:pPr>
            <w:r w:rsidRPr="008C41AB">
              <w:rPr>
                <w:rFonts w:ascii="David" w:hAnsi="David" w:cs="David"/>
                <w:color w:val="000000"/>
                <w:rtl/>
              </w:rPr>
              <w:t>תכנון ובנייה - ועדות מקומיות (תו"ב)</w:t>
            </w:r>
          </w:p>
        </w:tc>
        <w:tc>
          <w:tcPr>
            <w:tcW w:w="1276" w:type="dxa"/>
            <w:tcBorders>
              <w:top w:val="single" w:sz="4" w:space="0" w:color="auto"/>
              <w:bottom w:val="single" w:sz="4" w:space="0" w:color="auto"/>
            </w:tcBorders>
            <w:shd w:val="clear" w:color="auto" w:fill="D9D9D9"/>
            <w:vAlign w:val="center"/>
          </w:tcPr>
          <w:p w14:paraId="400002FC" w14:textId="77777777" w:rsidR="0052347A" w:rsidRPr="008C41AB" w:rsidRDefault="00E25AE7" w:rsidP="00C64D3B">
            <w:pPr>
              <w:spacing w:after="0" w:line="240" w:lineRule="auto"/>
              <w:jc w:val="center"/>
              <w:rPr>
                <w:rFonts w:ascii="David" w:hAnsi="David" w:cs="David"/>
                <w:color w:val="000000"/>
              </w:rPr>
            </w:pPr>
            <w:r w:rsidRPr="008C41AB">
              <w:rPr>
                <w:rFonts w:ascii="David" w:hAnsi="David" w:cs="David"/>
                <w:color w:val="000000"/>
              </w:rPr>
              <w:t>4,386</w:t>
            </w:r>
          </w:p>
        </w:tc>
        <w:tc>
          <w:tcPr>
            <w:tcW w:w="1701" w:type="dxa"/>
            <w:tcBorders>
              <w:top w:val="single" w:sz="4" w:space="0" w:color="auto"/>
              <w:bottom w:val="single" w:sz="4" w:space="0" w:color="auto"/>
            </w:tcBorders>
            <w:shd w:val="clear" w:color="auto" w:fill="D9D9D9"/>
            <w:noWrap/>
            <w:vAlign w:val="center"/>
          </w:tcPr>
          <w:p w14:paraId="5B7F6193" w14:textId="77777777" w:rsidR="0052347A" w:rsidRPr="008C41AB" w:rsidRDefault="00F24725" w:rsidP="00C64D3B">
            <w:pPr>
              <w:spacing w:after="0" w:line="240" w:lineRule="auto"/>
              <w:jc w:val="center"/>
              <w:rPr>
                <w:rFonts w:ascii="David" w:hAnsi="David" w:cs="David"/>
                <w:b/>
                <w:bCs/>
                <w:color w:val="000000"/>
              </w:rPr>
            </w:pPr>
            <w:r w:rsidRPr="008C41AB">
              <w:rPr>
                <w:rFonts w:ascii="David" w:hAnsi="David" w:cs="David"/>
                <w:b/>
                <w:bCs/>
                <w:color w:val="000000"/>
              </w:rPr>
              <w:t>4</w:t>
            </w:r>
            <w:r w:rsidR="00E25AE7" w:rsidRPr="008C41AB">
              <w:rPr>
                <w:rFonts w:ascii="David" w:hAnsi="David" w:cs="David"/>
                <w:b/>
                <w:bCs/>
                <w:color w:val="000000"/>
              </w:rPr>
              <w:t>:</w:t>
            </w:r>
            <w:r w:rsidRPr="008C41AB">
              <w:rPr>
                <w:rFonts w:ascii="David" w:hAnsi="David" w:cs="David"/>
                <w:b/>
                <w:bCs/>
                <w:color w:val="000000"/>
              </w:rPr>
              <w:t>07</w:t>
            </w:r>
          </w:p>
        </w:tc>
        <w:tc>
          <w:tcPr>
            <w:tcW w:w="1559" w:type="dxa"/>
            <w:tcBorders>
              <w:top w:val="single" w:sz="4" w:space="0" w:color="auto"/>
              <w:bottom w:val="single" w:sz="4" w:space="0" w:color="auto"/>
            </w:tcBorders>
            <w:shd w:val="clear" w:color="auto" w:fill="D9D9D9"/>
            <w:vAlign w:val="center"/>
          </w:tcPr>
          <w:p w14:paraId="40CF310C" w14:textId="77777777" w:rsidR="0052347A" w:rsidRPr="008C41AB" w:rsidRDefault="00E25AE7" w:rsidP="00C64D3B">
            <w:pPr>
              <w:spacing w:after="0" w:line="240" w:lineRule="auto"/>
              <w:jc w:val="center"/>
              <w:rPr>
                <w:rFonts w:ascii="David" w:hAnsi="David" w:cs="David"/>
                <w:color w:val="000000"/>
                <w:rtl/>
              </w:rPr>
            </w:pPr>
            <w:r w:rsidRPr="008C41AB">
              <w:rPr>
                <w:rFonts w:ascii="David" w:hAnsi="David" w:cs="David" w:hint="cs"/>
                <w:color w:val="000000"/>
                <w:rtl/>
              </w:rPr>
              <w:t>1:04</w:t>
            </w:r>
          </w:p>
        </w:tc>
        <w:tc>
          <w:tcPr>
            <w:tcW w:w="850" w:type="dxa"/>
            <w:tcBorders>
              <w:top w:val="single" w:sz="4" w:space="0" w:color="auto"/>
              <w:bottom w:val="single" w:sz="4" w:space="0" w:color="auto"/>
            </w:tcBorders>
            <w:shd w:val="clear" w:color="auto" w:fill="D9D9D9"/>
            <w:vAlign w:val="center"/>
          </w:tcPr>
          <w:p w14:paraId="679981BB" w14:textId="77777777" w:rsidR="0052347A" w:rsidRPr="008C41AB" w:rsidRDefault="00F24725" w:rsidP="00C64D3B">
            <w:pPr>
              <w:spacing w:after="0" w:line="240" w:lineRule="auto"/>
              <w:rPr>
                <w:rFonts w:ascii="David" w:hAnsi="David" w:cs="David"/>
                <w:color w:val="000000"/>
              </w:rPr>
            </w:pPr>
            <w:r w:rsidRPr="008C41AB">
              <w:rPr>
                <w:rFonts w:ascii="David" w:hAnsi="David" w:cs="David" w:hint="cs"/>
                <w:color w:val="000000"/>
                <w:rtl/>
              </w:rPr>
              <w:t>3:03</w:t>
            </w:r>
            <w:r w:rsidR="00E25AE7" w:rsidRPr="008C41AB">
              <w:rPr>
                <w:rFonts w:ascii="David" w:hAnsi="David" w:cs="David" w:hint="cs"/>
                <w:color w:val="000000"/>
                <w:rtl/>
              </w:rPr>
              <w:t>+</w:t>
            </w:r>
          </w:p>
        </w:tc>
      </w:tr>
      <w:tr w:rsidR="00E0162E" w:rsidRPr="008C41AB" w14:paraId="5240569F"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7AC5E5B4" w14:textId="77777777" w:rsidR="0052347A" w:rsidRPr="008C41AB" w:rsidRDefault="00E25AE7" w:rsidP="00C64D3B">
            <w:pPr>
              <w:spacing w:after="0" w:line="240" w:lineRule="auto"/>
              <w:rPr>
                <w:rFonts w:ascii="David" w:hAnsi="David" w:cs="David"/>
                <w:color w:val="000000"/>
                <w:rtl/>
              </w:rPr>
            </w:pPr>
            <w:r w:rsidRPr="008C41AB">
              <w:rPr>
                <w:rFonts w:ascii="David" w:hAnsi="David" w:cs="David"/>
                <w:color w:val="000000"/>
                <w:rtl/>
              </w:rPr>
              <w:t>שלום</w:t>
            </w:r>
          </w:p>
        </w:tc>
        <w:tc>
          <w:tcPr>
            <w:tcW w:w="992" w:type="dxa"/>
            <w:tcBorders>
              <w:top w:val="single" w:sz="4" w:space="0" w:color="auto"/>
              <w:bottom w:val="single" w:sz="4" w:space="0" w:color="auto"/>
            </w:tcBorders>
            <w:shd w:val="clear" w:color="auto" w:fill="auto"/>
            <w:noWrap/>
            <w:vAlign w:val="center"/>
          </w:tcPr>
          <w:p w14:paraId="150A1AF0" w14:textId="77777777" w:rsidR="0052347A" w:rsidRPr="008C41AB" w:rsidRDefault="00E25AE7" w:rsidP="00C64D3B">
            <w:pPr>
              <w:spacing w:after="0" w:line="240" w:lineRule="auto"/>
              <w:rPr>
                <w:rFonts w:ascii="David" w:hAnsi="David" w:cs="David"/>
                <w:color w:val="000000"/>
                <w:rtl/>
              </w:rPr>
            </w:pPr>
            <w:r w:rsidRPr="008C41AB">
              <w:rPr>
                <w:rFonts w:ascii="David" w:hAnsi="David" w:cs="David"/>
                <w:color w:val="000000"/>
                <w:rtl/>
              </w:rPr>
              <w:t>עניינים מקומיים</w:t>
            </w:r>
          </w:p>
        </w:tc>
        <w:tc>
          <w:tcPr>
            <w:tcW w:w="1979" w:type="dxa"/>
            <w:tcBorders>
              <w:top w:val="single" w:sz="4" w:space="0" w:color="auto"/>
              <w:bottom w:val="single" w:sz="4" w:space="0" w:color="auto"/>
            </w:tcBorders>
            <w:shd w:val="clear" w:color="auto" w:fill="auto"/>
            <w:vAlign w:val="center"/>
          </w:tcPr>
          <w:p w14:paraId="3FB81612" w14:textId="77777777" w:rsidR="0052347A" w:rsidRPr="008C41AB" w:rsidRDefault="00E25AE7" w:rsidP="00C64D3B">
            <w:pPr>
              <w:spacing w:after="0" w:line="240" w:lineRule="auto"/>
              <w:rPr>
                <w:rFonts w:ascii="David" w:hAnsi="David" w:cs="David"/>
                <w:color w:val="000000"/>
                <w:rtl/>
              </w:rPr>
            </w:pPr>
            <w:r w:rsidRPr="008C41AB">
              <w:rPr>
                <w:rFonts w:ascii="David" w:hAnsi="David" w:cs="David"/>
                <w:color w:val="000000"/>
                <w:rtl/>
              </w:rPr>
              <w:t>עניינים מקומיים אחרים (עמ"א)</w:t>
            </w:r>
          </w:p>
        </w:tc>
        <w:tc>
          <w:tcPr>
            <w:tcW w:w="1276" w:type="dxa"/>
            <w:tcBorders>
              <w:top w:val="single" w:sz="4" w:space="0" w:color="auto"/>
              <w:bottom w:val="single" w:sz="4" w:space="0" w:color="auto"/>
            </w:tcBorders>
            <w:vAlign w:val="center"/>
          </w:tcPr>
          <w:p w14:paraId="143382D0" w14:textId="77777777" w:rsidR="0052347A" w:rsidRPr="008C41AB" w:rsidRDefault="00E25AE7" w:rsidP="00C64D3B">
            <w:pPr>
              <w:spacing w:after="0" w:line="240" w:lineRule="auto"/>
              <w:jc w:val="center"/>
              <w:rPr>
                <w:rFonts w:ascii="David" w:hAnsi="David" w:cs="David"/>
                <w:color w:val="000000"/>
              </w:rPr>
            </w:pPr>
            <w:r w:rsidRPr="008C41AB">
              <w:rPr>
                <w:rFonts w:ascii="David" w:hAnsi="David" w:cs="David"/>
                <w:color w:val="000000"/>
              </w:rPr>
              <w:t>501</w:t>
            </w:r>
          </w:p>
        </w:tc>
        <w:tc>
          <w:tcPr>
            <w:tcW w:w="1701" w:type="dxa"/>
            <w:tcBorders>
              <w:top w:val="single" w:sz="4" w:space="0" w:color="auto"/>
              <w:bottom w:val="single" w:sz="4" w:space="0" w:color="auto"/>
            </w:tcBorders>
            <w:shd w:val="clear" w:color="auto" w:fill="auto"/>
            <w:noWrap/>
            <w:vAlign w:val="center"/>
          </w:tcPr>
          <w:p w14:paraId="172E29FA" w14:textId="77777777" w:rsidR="0052347A" w:rsidRPr="008C41AB" w:rsidRDefault="00F24725" w:rsidP="00C64D3B">
            <w:pPr>
              <w:spacing w:after="0" w:line="240" w:lineRule="auto"/>
              <w:jc w:val="center"/>
              <w:rPr>
                <w:rFonts w:ascii="David" w:hAnsi="David" w:cs="David"/>
                <w:b/>
                <w:bCs/>
                <w:color w:val="000000"/>
              </w:rPr>
            </w:pPr>
            <w:r w:rsidRPr="008C41AB">
              <w:rPr>
                <w:rFonts w:ascii="David" w:hAnsi="David" w:cs="David" w:hint="cs"/>
                <w:b/>
                <w:bCs/>
                <w:color w:val="000000"/>
                <w:rtl/>
              </w:rPr>
              <w:t>2</w:t>
            </w:r>
            <w:r w:rsidR="00E25AE7" w:rsidRPr="008C41AB">
              <w:rPr>
                <w:rFonts w:ascii="David" w:hAnsi="David" w:cs="David" w:hint="cs"/>
                <w:b/>
                <w:bCs/>
                <w:color w:val="000000"/>
                <w:rtl/>
              </w:rPr>
              <w:t>:</w:t>
            </w:r>
            <w:r w:rsidRPr="008C41AB">
              <w:rPr>
                <w:rFonts w:ascii="David" w:hAnsi="David" w:cs="David" w:hint="cs"/>
                <w:b/>
                <w:bCs/>
                <w:color w:val="000000"/>
                <w:rtl/>
              </w:rPr>
              <w:t>49</w:t>
            </w:r>
          </w:p>
        </w:tc>
        <w:tc>
          <w:tcPr>
            <w:tcW w:w="1559" w:type="dxa"/>
            <w:tcBorders>
              <w:top w:val="single" w:sz="4" w:space="0" w:color="auto"/>
              <w:bottom w:val="single" w:sz="4" w:space="0" w:color="auto"/>
            </w:tcBorders>
            <w:shd w:val="clear" w:color="auto" w:fill="auto"/>
            <w:vAlign w:val="center"/>
          </w:tcPr>
          <w:p w14:paraId="610D0913" w14:textId="77777777" w:rsidR="0052347A" w:rsidRPr="008C41AB" w:rsidRDefault="00E25AE7" w:rsidP="00C64D3B">
            <w:pPr>
              <w:spacing w:after="0" w:line="240" w:lineRule="auto"/>
              <w:jc w:val="center"/>
              <w:rPr>
                <w:rFonts w:ascii="David" w:hAnsi="David" w:cs="David"/>
                <w:color w:val="000000"/>
              </w:rPr>
            </w:pPr>
            <w:r w:rsidRPr="008C41AB">
              <w:rPr>
                <w:rFonts w:ascii="David" w:hAnsi="David" w:cs="David"/>
                <w:color w:val="000000"/>
              </w:rPr>
              <w:t>-</w:t>
            </w:r>
          </w:p>
        </w:tc>
        <w:tc>
          <w:tcPr>
            <w:tcW w:w="850" w:type="dxa"/>
            <w:tcBorders>
              <w:top w:val="single" w:sz="4" w:space="0" w:color="auto"/>
              <w:bottom w:val="single" w:sz="4" w:space="0" w:color="auto"/>
            </w:tcBorders>
            <w:shd w:val="clear" w:color="auto" w:fill="auto"/>
            <w:vAlign w:val="center"/>
          </w:tcPr>
          <w:p w14:paraId="4C221304" w14:textId="77777777" w:rsidR="0052347A" w:rsidRPr="008C41AB" w:rsidRDefault="00E25AE7" w:rsidP="00C64D3B">
            <w:pPr>
              <w:spacing w:after="0" w:line="240" w:lineRule="auto"/>
              <w:jc w:val="center"/>
              <w:rPr>
                <w:rFonts w:ascii="David" w:hAnsi="David" w:cs="David"/>
                <w:color w:val="000000"/>
              </w:rPr>
            </w:pPr>
            <w:r w:rsidRPr="008C41AB">
              <w:rPr>
                <w:rFonts w:ascii="David" w:hAnsi="David" w:cs="David"/>
                <w:color w:val="000000"/>
              </w:rPr>
              <w:t>-</w:t>
            </w:r>
          </w:p>
        </w:tc>
      </w:tr>
      <w:tr w:rsidR="00E75190" w:rsidRPr="008C41AB" w14:paraId="43FDD980" w14:textId="77777777" w:rsidTr="007D380E">
        <w:trPr>
          <w:trHeight w:val="600"/>
        </w:trPr>
        <w:tc>
          <w:tcPr>
            <w:tcW w:w="847" w:type="dxa"/>
            <w:tcBorders>
              <w:top w:val="single" w:sz="4" w:space="0" w:color="auto"/>
              <w:bottom w:val="single" w:sz="4" w:space="0" w:color="auto"/>
            </w:tcBorders>
            <w:shd w:val="clear" w:color="auto" w:fill="D0CECE" w:themeFill="background2" w:themeFillShade="E6"/>
            <w:noWrap/>
            <w:vAlign w:val="center"/>
          </w:tcPr>
          <w:p w14:paraId="0947E742" w14:textId="77777777" w:rsidR="00E75190" w:rsidRPr="008C41AB" w:rsidRDefault="00E75190" w:rsidP="00C64D3B">
            <w:pPr>
              <w:spacing w:after="0" w:line="240" w:lineRule="auto"/>
              <w:rPr>
                <w:rFonts w:ascii="David" w:hAnsi="David" w:cs="David"/>
                <w:color w:val="000000"/>
                <w:rtl/>
              </w:rPr>
            </w:pPr>
            <w:r w:rsidRPr="008C41AB">
              <w:rPr>
                <w:rFonts w:ascii="David" w:hAnsi="David" w:cs="David"/>
                <w:color w:val="000000"/>
                <w:rtl/>
              </w:rPr>
              <w:t>שלום</w:t>
            </w:r>
          </w:p>
        </w:tc>
        <w:tc>
          <w:tcPr>
            <w:tcW w:w="992" w:type="dxa"/>
            <w:tcBorders>
              <w:top w:val="single" w:sz="4" w:space="0" w:color="auto"/>
              <w:bottom w:val="single" w:sz="4" w:space="0" w:color="auto"/>
            </w:tcBorders>
            <w:shd w:val="clear" w:color="auto" w:fill="D0CECE" w:themeFill="background2" w:themeFillShade="E6"/>
            <w:noWrap/>
            <w:vAlign w:val="center"/>
          </w:tcPr>
          <w:p w14:paraId="267F8C1F" w14:textId="77777777" w:rsidR="00E75190" w:rsidRPr="008C41AB" w:rsidRDefault="00E75190" w:rsidP="00C64D3B">
            <w:pPr>
              <w:spacing w:after="0" w:line="240" w:lineRule="auto"/>
              <w:rPr>
                <w:rFonts w:ascii="David" w:hAnsi="David" w:cs="David"/>
                <w:color w:val="000000"/>
                <w:rtl/>
              </w:rPr>
            </w:pPr>
            <w:r w:rsidRPr="008C41AB">
              <w:rPr>
                <w:rFonts w:ascii="David" w:hAnsi="David" w:cs="David"/>
                <w:color w:val="000000"/>
                <w:rtl/>
              </w:rPr>
              <w:t>עניינים מקומיים</w:t>
            </w:r>
          </w:p>
        </w:tc>
        <w:tc>
          <w:tcPr>
            <w:tcW w:w="1979" w:type="dxa"/>
            <w:tcBorders>
              <w:top w:val="single" w:sz="4" w:space="0" w:color="auto"/>
              <w:bottom w:val="single" w:sz="4" w:space="0" w:color="auto"/>
            </w:tcBorders>
            <w:shd w:val="clear" w:color="auto" w:fill="D0CECE" w:themeFill="background2" w:themeFillShade="E6"/>
            <w:vAlign w:val="center"/>
          </w:tcPr>
          <w:p w14:paraId="062F3D22" w14:textId="77777777" w:rsidR="00E75190" w:rsidRPr="008C41AB" w:rsidRDefault="00E75190" w:rsidP="00C64D3B">
            <w:pPr>
              <w:spacing w:after="0" w:line="240" w:lineRule="auto"/>
              <w:rPr>
                <w:rFonts w:ascii="David" w:hAnsi="David" w:cs="David"/>
                <w:color w:val="000000"/>
                <w:rtl/>
              </w:rPr>
            </w:pPr>
            <w:r w:rsidRPr="008C41AB">
              <w:rPr>
                <w:rFonts w:ascii="David" w:hAnsi="David" w:cs="David"/>
                <w:color w:val="000000"/>
                <w:rtl/>
              </w:rPr>
              <w:t>בקשות בנייה (בב"נ)</w:t>
            </w:r>
          </w:p>
        </w:tc>
        <w:tc>
          <w:tcPr>
            <w:tcW w:w="1276" w:type="dxa"/>
            <w:tcBorders>
              <w:top w:val="single" w:sz="4" w:space="0" w:color="auto"/>
              <w:bottom w:val="single" w:sz="4" w:space="0" w:color="auto"/>
            </w:tcBorders>
            <w:shd w:val="clear" w:color="auto" w:fill="D0CECE" w:themeFill="background2" w:themeFillShade="E6"/>
            <w:vAlign w:val="center"/>
          </w:tcPr>
          <w:p w14:paraId="5D48F9D9" w14:textId="77777777" w:rsidR="00E75190" w:rsidRPr="008C41AB" w:rsidRDefault="00E75190" w:rsidP="00C64D3B">
            <w:pPr>
              <w:spacing w:after="0" w:line="240" w:lineRule="auto"/>
              <w:jc w:val="center"/>
              <w:rPr>
                <w:rFonts w:ascii="David" w:hAnsi="David" w:cs="David"/>
                <w:color w:val="000000"/>
              </w:rPr>
            </w:pPr>
            <w:r w:rsidRPr="008C41AB">
              <w:rPr>
                <w:rFonts w:ascii="David" w:hAnsi="David" w:cs="David"/>
                <w:color w:val="000000"/>
              </w:rPr>
              <w:t>1,472</w:t>
            </w:r>
          </w:p>
        </w:tc>
        <w:tc>
          <w:tcPr>
            <w:tcW w:w="1701" w:type="dxa"/>
            <w:tcBorders>
              <w:top w:val="single" w:sz="4" w:space="0" w:color="auto"/>
              <w:bottom w:val="single" w:sz="4" w:space="0" w:color="auto"/>
            </w:tcBorders>
            <w:shd w:val="clear" w:color="auto" w:fill="D0CECE" w:themeFill="background2" w:themeFillShade="E6"/>
            <w:noWrap/>
            <w:vAlign w:val="center"/>
          </w:tcPr>
          <w:p w14:paraId="53A5D206" w14:textId="77777777" w:rsidR="00E75190" w:rsidRPr="008C41AB" w:rsidRDefault="00E75190" w:rsidP="00C64D3B">
            <w:pPr>
              <w:spacing w:after="0" w:line="240" w:lineRule="auto"/>
              <w:jc w:val="center"/>
              <w:rPr>
                <w:rFonts w:ascii="David" w:hAnsi="David" w:cs="David"/>
                <w:b/>
                <w:bCs/>
                <w:color w:val="000000"/>
                <w:rtl/>
              </w:rPr>
            </w:pPr>
            <w:r w:rsidRPr="008C41AB">
              <w:rPr>
                <w:rFonts w:ascii="David" w:hAnsi="David" w:cs="David" w:hint="cs"/>
                <w:b/>
                <w:bCs/>
                <w:color w:val="000000"/>
                <w:rtl/>
              </w:rPr>
              <w:t>2:26</w:t>
            </w:r>
          </w:p>
        </w:tc>
        <w:tc>
          <w:tcPr>
            <w:tcW w:w="1559" w:type="dxa"/>
            <w:tcBorders>
              <w:top w:val="single" w:sz="4" w:space="0" w:color="auto"/>
              <w:bottom w:val="single" w:sz="4" w:space="0" w:color="auto"/>
            </w:tcBorders>
            <w:shd w:val="clear" w:color="auto" w:fill="D0CECE" w:themeFill="background2" w:themeFillShade="E6"/>
            <w:vAlign w:val="center"/>
          </w:tcPr>
          <w:p w14:paraId="1B770201" w14:textId="77777777" w:rsidR="00E75190" w:rsidRPr="008C41AB" w:rsidRDefault="00E75190" w:rsidP="00C64D3B">
            <w:pPr>
              <w:spacing w:after="0" w:line="240" w:lineRule="auto"/>
              <w:jc w:val="center"/>
              <w:rPr>
                <w:rFonts w:ascii="David" w:hAnsi="David" w:cs="David"/>
                <w:color w:val="000000"/>
              </w:rPr>
            </w:pPr>
            <w:r w:rsidRPr="008C41AB">
              <w:rPr>
                <w:rFonts w:ascii="David" w:hAnsi="David" w:cs="David"/>
                <w:color w:val="000000"/>
              </w:rPr>
              <w:t>-</w:t>
            </w:r>
          </w:p>
        </w:tc>
        <w:tc>
          <w:tcPr>
            <w:tcW w:w="850" w:type="dxa"/>
            <w:tcBorders>
              <w:top w:val="single" w:sz="4" w:space="0" w:color="auto"/>
              <w:bottom w:val="single" w:sz="4" w:space="0" w:color="auto"/>
            </w:tcBorders>
            <w:shd w:val="clear" w:color="auto" w:fill="D0CECE" w:themeFill="background2" w:themeFillShade="E6"/>
            <w:vAlign w:val="center"/>
          </w:tcPr>
          <w:p w14:paraId="3F94A154" w14:textId="77777777" w:rsidR="00E75190" w:rsidRPr="008C41AB" w:rsidRDefault="00E75190" w:rsidP="00C64D3B">
            <w:pPr>
              <w:spacing w:after="0" w:line="240" w:lineRule="auto"/>
              <w:jc w:val="center"/>
              <w:rPr>
                <w:rFonts w:ascii="David" w:hAnsi="David" w:cs="David"/>
                <w:color w:val="000000"/>
              </w:rPr>
            </w:pPr>
            <w:r w:rsidRPr="008C41AB">
              <w:rPr>
                <w:rFonts w:ascii="David" w:hAnsi="David" w:cs="David"/>
                <w:color w:val="000000"/>
              </w:rPr>
              <w:t>-</w:t>
            </w:r>
          </w:p>
        </w:tc>
      </w:tr>
      <w:tr w:rsidR="00E75190" w:rsidRPr="008C41AB" w14:paraId="427AF23B"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7C8DD000" w14:textId="77777777" w:rsidR="00E75190" w:rsidRPr="008C41AB" w:rsidRDefault="00E75190" w:rsidP="00C64D3B">
            <w:pPr>
              <w:spacing w:after="0" w:line="240" w:lineRule="auto"/>
              <w:rPr>
                <w:rFonts w:ascii="David" w:hAnsi="David" w:cs="David"/>
                <w:color w:val="000000"/>
                <w:rtl/>
              </w:rPr>
            </w:pPr>
            <w:r w:rsidRPr="008C41AB">
              <w:rPr>
                <w:rFonts w:ascii="David" w:hAnsi="David" w:cs="David"/>
                <w:color w:val="000000"/>
                <w:rtl/>
              </w:rPr>
              <w:t>שלום</w:t>
            </w:r>
          </w:p>
        </w:tc>
        <w:tc>
          <w:tcPr>
            <w:tcW w:w="992" w:type="dxa"/>
            <w:tcBorders>
              <w:top w:val="single" w:sz="4" w:space="0" w:color="auto"/>
              <w:bottom w:val="single" w:sz="4" w:space="0" w:color="auto"/>
            </w:tcBorders>
            <w:shd w:val="clear" w:color="auto" w:fill="auto"/>
            <w:noWrap/>
            <w:vAlign w:val="center"/>
          </w:tcPr>
          <w:p w14:paraId="67717B4C" w14:textId="77777777" w:rsidR="00E75190" w:rsidRPr="008C41AB" w:rsidRDefault="00E75190" w:rsidP="00C64D3B">
            <w:pPr>
              <w:spacing w:after="0" w:line="240" w:lineRule="auto"/>
              <w:rPr>
                <w:rFonts w:ascii="David" w:hAnsi="David" w:cs="David"/>
                <w:color w:val="000000"/>
                <w:rtl/>
              </w:rPr>
            </w:pPr>
            <w:r w:rsidRPr="008C41AB">
              <w:rPr>
                <w:rFonts w:ascii="David" w:hAnsi="David" w:cs="David"/>
                <w:color w:val="000000"/>
                <w:rtl/>
              </w:rPr>
              <w:t>עניינים מקומיים</w:t>
            </w:r>
          </w:p>
        </w:tc>
        <w:tc>
          <w:tcPr>
            <w:tcW w:w="1979" w:type="dxa"/>
            <w:tcBorders>
              <w:top w:val="single" w:sz="4" w:space="0" w:color="auto"/>
              <w:bottom w:val="single" w:sz="4" w:space="0" w:color="auto"/>
            </w:tcBorders>
            <w:shd w:val="clear" w:color="auto" w:fill="auto"/>
            <w:vAlign w:val="center"/>
          </w:tcPr>
          <w:p w14:paraId="0793F0A6" w14:textId="77777777" w:rsidR="00E75190" w:rsidRPr="008C41AB" w:rsidRDefault="00E75190" w:rsidP="00C64D3B">
            <w:pPr>
              <w:spacing w:after="0" w:line="240" w:lineRule="auto"/>
              <w:rPr>
                <w:rFonts w:ascii="David" w:hAnsi="David" w:cs="David"/>
                <w:color w:val="000000"/>
                <w:rtl/>
              </w:rPr>
            </w:pPr>
            <w:r w:rsidRPr="008C41AB">
              <w:rPr>
                <w:rFonts w:ascii="David" w:hAnsi="David" w:cs="David"/>
                <w:color w:val="000000"/>
                <w:rtl/>
              </w:rPr>
              <w:t>רישוי עסקים (רע"ס)</w:t>
            </w:r>
          </w:p>
        </w:tc>
        <w:tc>
          <w:tcPr>
            <w:tcW w:w="1276" w:type="dxa"/>
            <w:tcBorders>
              <w:top w:val="single" w:sz="4" w:space="0" w:color="auto"/>
              <w:bottom w:val="single" w:sz="4" w:space="0" w:color="auto"/>
            </w:tcBorders>
            <w:vAlign w:val="center"/>
          </w:tcPr>
          <w:p w14:paraId="5183C235" w14:textId="77777777" w:rsidR="00E75190" w:rsidRPr="008C41AB" w:rsidRDefault="00E75190" w:rsidP="00C64D3B">
            <w:pPr>
              <w:spacing w:after="0" w:line="240" w:lineRule="auto"/>
              <w:jc w:val="center"/>
              <w:rPr>
                <w:rFonts w:ascii="David" w:hAnsi="David" w:cs="David"/>
                <w:color w:val="000000"/>
              </w:rPr>
            </w:pPr>
            <w:r w:rsidRPr="008C41AB">
              <w:rPr>
                <w:rFonts w:ascii="David" w:hAnsi="David" w:cs="David"/>
                <w:color w:val="000000"/>
              </w:rPr>
              <w:t>2,428</w:t>
            </w:r>
          </w:p>
        </w:tc>
        <w:tc>
          <w:tcPr>
            <w:tcW w:w="1701" w:type="dxa"/>
            <w:tcBorders>
              <w:top w:val="single" w:sz="4" w:space="0" w:color="auto"/>
              <w:bottom w:val="single" w:sz="4" w:space="0" w:color="auto"/>
            </w:tcBorders>
            <w:shd w:val="clear" w:color="auto" w:fill="auto"/>
            <w:noWrap/>
            <w:vAlign w:val="center"/>
          </w:tcPr>
          <w:p w14:paraId="46BE440B" w14:textId="77777777" w:rsidR="00E75190" w:rsidRPr="008C41AB" w:rsidRDefault="00E75190" w:rsidP="00C64D3B">
            <w:pPr>
              <w:spacing w:after="0" w:line="240" w:lineRule="auto"/>
              <w:jc w:val="center"/>
              <w:rPr>
                <w:rFonts w:ascii="David" w:hAnsi="David" w:cs="David"/>
                <w:b/>
                <w:bCs/>
                <w:color w:val="000000"/>
                <w:rtl/>
              </w:rPr>
            </w:pPr>
            <w:r w:rsidRPr="008C41AB">
              <w:rPr>
                <w:rFonts w:ascii="David" w:hAnsi="David" w:cs="David" w:hint="cs"/>
                <w:b/>
                <w:bCs/>
                <w:color w:val="000000"/>
                <w:rtl/>
              </w:rPr>
              <w:t>2:13</w:t>
            </w:r>
          </w:p>
        </w:tc>
        <w:tc>
          <w:tcPr>
            <w:tcW w:w="1559" w:type="dxa"/>
            <w:tcBorders>
              <w:top w:val="single" w:sz="4" w:space="0" w:color="auto"/>
              <w:bottom w:val="single" w:sz="4" w:space="0" w:color="auto"/>
            </w:tcBorders>
            <w:shd w:val="clear" w:color="auto" w:fill="auto"/>
            <w:vAlign w:val="center"/>
          </w:tcPr>
          <w:p w14:paraId="0C453D34" w14:textId="77777777" w:rsidR="00E75190" w:rsidRPr="008C41AB" w:rsidRDefault="00E75190" w:rsidP="00C64D3B">
            <w:pPr>
              <w:spacing w:after="0" w:line="240" w:lineRule="auto"/>
              <w:jc w:val="center"/>
              <w:rPr>
                <w:rFonts w:ascii="David" w:hAnsi="David" w:cs="David"/>
                <w:color w:val="000000"/>
              </w:rPr>
            </w:pPr>
            <w:r w:rsidRPr="008C41AB">
              <w:rPr>
                <w:rFonts w:ascii="David" w:hAnsi="David" w:cs="David"/>
                <w:color w:val="000000"/>
              </w:rPr>
              <w:t>-</w:t>
            </w:r>
          </w:p>
        </w:tc>
        <w:tc>
          <w:tcPr>
            <w:tcW w:w="850" w:type="dxa"/>
            <w:tcBorders>
              <w:top w:val="single" w:sz="4" w:space="0" w:color="auto"/>
              <w:bottom w:val="single" w:sz="4" w:space="0" w:color="auto"/>
            </w:tcBorders>
            <w:shd w:val="clear" w:color="auto" w:fill="auto"/>
            <w:vAlign w:val="center"/>
          </w:tcPr>
          <w:p w14:paraId="5749BA3F" w14:textId="77777777" w:rsidR="00E75190" w:rsidRPr="008C41AB" w:rsidRDefault="00E75190" w:rsidP="00C64D3B">
            <w:pPr>
              <w:spacing w:after="0" w:line="240" w:lineRule="auto"/>
              <w:jc w:val="center"/>
              <w:rPr>
                <w:rFonts w:ascii="David" w:hAnsi="David" w:cs="David"/>
                <w:color w:val="000000"/>
              </w:rPr>
            </w:pPr>
            <w:r w:rsidRPr="008C41AB">
              <w:rPr>
                <w:rFonts w:ascii="David" w:hAnsi="David" w:cs="David"/>
                <w:color w:val="000000"/>
              </w:rPr>
              <w:t>-</w:t>
            </w:r>
          </w:p>
        </w:tc>
      </w:tr>
      <w:tr w:rsidR="00E75190" w:rsidRPr="008C41AB" w14:paraId="708ABBDC" w14:textId="77777777" w:rsidTr="007D380E">
        <w:trPr>
          <w:trHeight w:val="460"/>
        </w:trPr>
        <w:tc>
          <w:tcPr>
            <w:tcW w:w="847" w:type="dxa"/>
            <w:tcBorders>
              <w:top w:val="single" w:sz="4" w:space="0" w:color="auto"/>
              <w:bottom w:val="single" w:sz="4" w:space="0" w:color="auto"/>
            </w:tcBorders>
            <w:shd w:val="clear" w:color="auto" w:fill="D9D9D9"/>
            <w:noWrap/>
            <w:vAlign w:val="center"/>
          </w:tcPr>
          <w:p w14:paraId="01AB9821" w14:textId="77777777" w:rsidR="00E75190" w:rsidRPr="008C41AB" w:rsidRDefault="00E75190" w:rsidP="00C64D3B">
            <w:pPr>
              <w:spacing w:after="0" w:line="240" w:lineRule="auto"/>
              <w:rPr>
                <w:rFonts w:ascii="David" w:hAnsi="David" w:cs="David"/>
                <w:color w:val="000000"/>
                <w:rtl/>
              </w:rPr>
            </w:pPr>
            <w:r w:rsidRPr="008C41AB">
              <w:rPr>
                <w:rFonts w:ascii="David" w:hAnsi="David" w:cs="David"/>
                <w:color w:val="000000"/>
                <w:rtl/>
              </w:rPr>
              <w:t>שלום</w:t>
            </w:r>
          </w:p>
        </w:tc>
        <w:tc>
          <w:tcPr>
            <w:tcW w:w="992" w:type="dxa"/>
            <w:tcBorders>
              <w:top w:val="single" w:sz="4" w:space="0" w:color="auto"/>
              <w:bottom w:val="single" w:sz="4" w:space="0" w:color="auto"/>
            </w:tcBorders>
            <w:shd w:val="clear" w:color="auto" w:fill="D9D9D9"/>
            <w:noWrap/>
            <w:vAlign w:val="center"/>
          </w:tcPr>
          <w:p w14:paraId="2EF7E389" w14:textId="77777777" w:rsidR="00E75190" w:rsidRPr="008C41AB" w:rsidRDefault="00E75190" w:rsidP="00C64D3B">
            <w:pPr>
              <w:spacing w:after="0" w:line="240" w:lineRule="auto"/>
              <w:rPr>
                <w:rFonts w:ascii="David" w:hAnsi="David" w:cs="David"/>
                <w:color w:val="000000"/>
                <w:rtl/>
              </w:rPr>
            </w:pPr>
            <w:r w:rsidRPr="008C41AB">
              <w:rPr>
                <w:rFonts w:ascii="David" w:hAnsi="David" w:cs="David"/>
                <w:color w:val="000000"/>
                <w:rtl/>
              </w:rPr>
              <w:t>עניינים מקומיים</w:t>
            </w:r>
          </w:p>
        </w:tc>
        <w:tc>
          <w:tcPr>
            <w:tcW w:w="1979" w:type="dxa"/>
            <w:tcBorders>
              <w:top w:val="single" w:sz="4" w:space="0" w:color="auto"/>
              <w:bottom w:val="single" w:sz="4" w:space="0" w:color="auto"/>
            </w:tcBorders>
            <w:shd w:val="clear" w:color="auto" w:fill="D9D9D9"/>
            <w:vAlign w:val="center"/>
          </w:tcPr>
          <w:p w14:paraId="76E0C56D" w14:textId="77777777" w:rsidR="00E75190" w:rsidRPr="008C41AB" w:rsidRDefault="00E75190" w:rsidP="00C64D3B">
            <w:pPr>
              <w:spacing w:after="0" w:line="240" w:lineRule="auto"/>
              <w:rPr>
                <w:rFonts w:ascii="David" w:hAnsi="David" w:cs="David"/>
                <w:color w:val="000000"/>
                <w:rtl/>
              </w:rPr>
            </w:pPr>
            <w:r w:rsidRPr="008C41AB">
              <w:rPr>
                <w:rFonts w:ascii="David" w:hAnsi="David" w:cs="David"/>
                <w:color w:val="000000"/>
                <w:rtl/>
              </w:rPr>
              <w:t>צו הריסה ללא הרשעה (212) (צ"ה)</w:t>
            </w:r>
          </w:p>
        </w:tc>
        <w:tc>
          <w:tcPr>
            <w:tcW w:w="1276" w:type="dxa"/>
            <w:tcBorders>
              <w:top w:val="single" w:sz="4" w:space="0" w:color="auto"/>
              <w:bottom w:val="single" w:sz="4" w:space="0" w:color="auto"/>
            </w:tcBorders>
            <w:shd w:val="clear" w:color="auto" w:fill="D9D9D9"/>
            <w:vAlign w:val="center"/>
          </w:tcPr>
          <w:p w14:paraId="2802E275" w14:textId="77777777" w:rsidR="00E75190" w:rsidRPr="008C41AB" w:rsidRDefault="00E75190" w:rsidP="00C64D3B">
            <w:pPr>
              <w:spacing w:after="0" w:line="240" w:lineRule="auto"/>
              <w:jc w:val="center"/>
              <w:rPr>
                <w:rFonts w:ascii="David" w:hAnsi="David" w:cs="David"/>
                <w:color w:val="000000"/>
              </w:rPr>
            </w:pPr>
            <w:r w:rsidRPr="008C41AB">
              <w:rPr>
                <w:rFonts w:ascii="David" w:hAnsi="David" w:cs="David"/>
                <w:color w:val="000000"/>
              </w:rPr>
              <w:t>395</w:t>
            </w:r>
          </w:p>
        </w:tc>
        <w:tc>
          <w:tcPr>
            <w:tcW w:w="1701" w:type="dxa"/>
            <w:tcBorders>
              <w:top w:val="single" w:sz="4" w:space="0" w:color="auto"/>
              <w:bottom w:val="single" w:sz="4" w:space="0" w:color="auto"/>
            </w:tcBorders>
            <w:shd w:val="clear" w:color="auto" w:fill="D9D9D9"/>
            <w:noWrap/>
            <w:vAlign w:val="center"/>
          </w:tcPr>
          <w:p w14:paraId="11B65FB9" w14:textId="77777777" w:rsidR="00E75190" w:rsidRPr="008C41AB" w:rsidRDefault="00E75190" w:rsidP="00C64D3B">
            <w:pPr>
              <w:spacing w:after="0" w:line="240" w:lineRule="auto"/>
              <w:jc w:val="center"/>
              <w:rPr>
                <w:rFonts w:ascii="David" w:hAnsi="David" w:cs="David"/>
                <w:b/>
                <w:bCs/>
                <w:color w:val="000000"/>
                <w:rtl/>
              </w:rPr>
            </w:pPr>
            <w:r w:rsidRPr="008C41AB">
              <w:rPr>
                <w:rFonts w:ascii="David" w:hAnsi="David" w:cs="David"/>
                <w:b/>
                <w:bCs/>
                <w:color w:val="000000"/>
              </w:rPr>
              <w:t>1:16</w:t>
            </w:r>
          </w:p>
        </w:tc>
        <w:tc>
          <w:tcPr>
            <w:tcW w:w="1559" w:type="dxa"/>
            <w:tcBorders>
              <w:top w:val="single" w:sz="4" w:space="0" w:color="auto"/>
              <w:bottom w:val="single" w:sz="4" w:space="0" w:color="auto"/>
            </w:tcBorders>
            <w:shd w:val="clear" w:color="auto" w:fill="D9D9D9"/>
            <w:vAlign w:val="center"/>
          </w:tcPr>
          <w:p w14:paraId="1C82FF0C" w14:textId="77777777" w:rsidR="00E75190" w:rsidRPr="008C41AB" w:rsidRDefault="00E75190" w:rsidP="00C64D3B">
            <w:pPr>
              <w:spacing w:after="0" w:line="240" w:lineRule="auto"/>
              <w:jc w:val="center"/>
              <w:rPr>
                <w:rFonts w:ascii="David" w:hAnsi="David" w:cs="David"/>
                <w:color w:val="000000"/>
              </w:rPr>
            </w:pPr>
            <w:r w:rsidRPr="008C41AB">
              <w:rPr>
                <w:rFonts w:ascii="David" w:hAnsi="David" w:cs="David"/>
                <w:color w:val="000000"/>
              </w:rPr>
              <w:t>-</w:t>
            </w:r>
          </w:p>
        </w:tc>
        <w:tc>
          <w:tcPr>
            <w:tcW w:w="850" w:type="dxa"/>
            <w:tcBorders>
              <w:top w:val="single" w:sz="4" w:space="0" w:color="auto"/>
              <w:bottom w:val="single" w:sz="4" w:space="0" w:color="auto"/>
            </w:tcBorders>
            <w:shd w:val="clear" w:color="auto" w:fill="D9D9D9"/>
            <w:vAlign w:val="center"/>
          </w:tcPr>
          <w:p w14:paraId="687F23BB" w14:textId="77777777" w:rsidR="00E75190" w:rsidRPr="008C41AB" w:rsidRDefault="00E75190" w:rsidP="00C64D3B">
            <w:pPr>
              <w:spacing w:after="0" w:line="240" w:lineRule="auto"/>
              <w:jc w:val="center"/>
              <w:rPr>
                <w:rFonts w:ascii="David" w:hAnsi="David" w:cs="David"/>
                <w:color w:val="000000"/>
              </w:rPr>
            </w:pPr>
            <w:r w:rsidRPr="008C41AB">
              <w:rPr>
                <w:rFonts w:ascii="David" w:hAnsi="David" w:cs="David"/>
                <w:color w:val="000000"/>
              </w:rPr>
              <w:t>-</w:t>
            </w:r>
          </w:p>
        </w:tc>
      </w:tr>
      <w:tr w:rsidR="00E75190" w:rsidRPr="008C41AB" w14:paraId="1FF5BD08" w14:textId="77777777" w:rsidTr="007D380E">
        <w:trPr>
          <w:trHeight w:val="460"/>
        </w:trPr>
        <w:tc>
          <w:tcPr>
            <w:tcW w:w="847" w:type="dxa"/>
            <w:tcBorders>
              <w:top w:val="single" w:sz="4" w:space="0" w:color="auto"/>
              <w:bottom w:val="single" w:sz="4" w:space="0" w:color="auto"/>
            </w:tcBorders>
            <w:shd w:val="clear" w:color="auto" w:fill="auto"/>
            <w:noWrap/>
            <w:vAlign w:val="center"/>
          </w:tcPr>
          <w:p w14:paraId="1555DB97" w14:textId="77777777" w:rsidR="00E75190" w:rsidRPr="008C41AB" w:rsidRDefault="00E75190" w:rsidP="00C64D3B">
            <w:pPr>
              <w:spacing w:after="0" w:line="240" w:lineRule="auto"/>
              <w:rPr>
                <w:rFonts w:ascii="David" w:hAnsi="David" w:cs="David"/>
                <w:color w:val="000000"/>
                <w:rtl/>
              </w:rPr>
            </w:pPr>
            <w:r w:rsidRPr="008C41AB">
              <w:rPr>
                <w:rFonts w:ascii="David" w:hAnsi="David" w:cs="David"/>
                <w:color w:val="000000"/>
                <w:rtl/>
              </w:rPr>
              <w:t>שלום</w:t>
            </w:r>
          </w:p>
        </w:tc>
        <w:tc>
          <w:tcPr>
            <w:tcW w:w="992" w:type="dxa"/>
            <w:tcBorders>
              <w:top w:val="single" w:sz="4" w:space="0" w:color="auto"/>
              <w:bottom w:val="single" w:sz="4" w:space="0" w:color="auto"/>
            </w:tcBorders>
            <w:shd w:val="clear" w:color="auto" w:fill="auto"/>
            <w:noWrap/>
            <w:vAlign w:val="center"/>
          </w:tcPr>
          <w:p w14:paraId="19D5DC4A" w14:textId="77777777" w:rsidR="00E75190" w:rsidRPr="008C41AB" w:rsidRDefault="00E75190" w:rsidP="00C64D3B">
            <w:pPr>
              <w:spacing w:after="0" w:line="240" w:lineRule="auto"/>
              <w:rPr>
                <w:rFonts w:ascii="David" w:hAnsi="David" w:cs="David"/>
                <w:color w:val="000000"/>
                <w:rtl/>
              </w:rPr>
            </w:pPr>
            <w:r w:rsidRPr="008C41AB">
              <w:rPr>
                <w:rFonts w:ascii="David" w:hAnsi="David" w:cs="David"/>
                <w:color w:val="000000"/>
                <w:rtl/>
              </w:rPr>
              <w:t>עניינים מקומיים</w:t>
            </w:r>
          </w:p>
        </w:tc>
        <w:tc>
          <w:tcPr>
            <w:tcW w:w="1979" w:type="dxa"/>
            <w:tcBorders>
              <w:top w:val="single" w:sz="4" w:space="0" w:color="auto"/>
              <w:bottom w:val="single" w:sz="4" w:space="0" w:color="auto"/>
            </w:tcBorders>
            <w:shd w:val="clear" w:color="auto" w:fill="auto"/>
            <w:vAlign w:val="center"/>
          </w:tcPr>
          <w:p w14:paraId="3C70D1B5" w14:textId="77777777" w:rsidR="00E75190" w:rsidRPr="008C41AB" w:rsidRDefault="00E75190" w:rsidP="00C64D3B">
            <w:pPr>
              <w:spacing w:after="0" w:line="240" w:lineRule="auto"/>
              <w:rPr>
                <w:rFonts w:ascii="David" w:hAnsi="David" w:cs="David"/>
                <w:color w:val="000000"/>
                <w:rtl/>
              </w:rPr>
            </w:pPr>
            <w:r w:rsidRPr="008C41AB">
              <w:rPr>
                <w:rFonts w:ascii="David" w:hAnsi="David" w:cs="David"/>
                <w:color w:val="000000"/>
                <w:rtl/>
              </w:rPr>
              <w:t>פיקוח וחוקים אחרים (פק"ח)</w:t>
            </w:r>
          </w:p>
        </w:tc>
        <w:tc>
          <w:tcPr>
            <w:tcW w:w="1276" w:type="dxa"/>
            <w:tcBorders>
              <w:top w:val="single" w:sz="4" w:space="0" w:color="auto"/>
              <w:bottom w:val="single" w:sz="4" w:space="0" w:color="auto"/>
            </w:tcBorders>
            <w:vAlign w:val="center"/>
          </w:tcPr>
          <w:p w14:paraId="4F29E9E4" w14:textId="77777777" w:rsidR="00E75190" w:rsidRPr="008C41AB" w:rsidRDefault="00E75190" w:rsidP="00C64D3B">
            <w:pPr>
              <w:spacing w:after="0" w:line="240" w:lineRule="auto"/>
              <w:jc w:val="center"/>
              <w:rPr>
                <w:rFonts w:ascii="David" w:hAnsi="David" w:cs="David"/>
                <w:color w:val="000000"/>
              </w:rPr>
            </w:pPr>
            <w:r w:rsidRPr="008C41AB">
              <w:rPr>
                <w:rFonts w:ascii="David" w:hAnsi="David" w:cs="David"/>
                <w:color w:val="000000"/>
              </w:rPr>
              <w:t>734</w:t>
            </w:r>
          </w:p>
        </w:tc>
        <w:tc>
          <w:tcPr>
            <w:tcW w:w="1701" w:type="dxa"/>
            <w:tcBorders>
              <w:top w:val="single" w:sz="4" w:space="0" w:color="auto"/>
              <w:bottom w:val="single" w:sz="4" w:space="0" w:color="auto"/>
            </w:tcBorders>
            <w:shd w:val="clear" w:color="auto" w:fill="auto"/>
            <w:noWrap/>
            <w:vAlign w:val="center"/>
          </w:tcPr>
          <w:p w14:paraId="15FEA134" w14:textId="77777777" w:rsidR="00E75190" w:rsidRPr="008C41AB" w:rsidRDefault="00E75190" w:rsidP="00C64D3B">
            <w:pPr>
              <w:spacing w:after="0" w:line="240" w:lineRule="auto"/>
              <w:jc w:val="center"/>
              <w:rPr>
                <w:rFonts w:ascii="David" w:hAnsi="David" w:cs="David"/>
                <w:b/>
                <w:bCs/>
                <w:color w:val="000000"/>
              </w:rPr>
            </w:pPr>
            <w:r w:rsidRPr="008C41AB">
              <w:rPr>
                <w:rFonts w:ascii="David" w:hAnsi="David" w:cs="David"/>
                <w:b/>
                <w:bCs/>
                <w:color w:val="000000"/>
              </w:rPr>
              <w:t>0:57</w:t>
            </w:r>
          </w:p>
        </w:tc>
        <w:tc>
          <w:tcPr>
            <w:tcW w:w="1559" w:type="dxa"/>
            <w:tcBorders>
              <w:top w:val="single" w:sz="4" w:space="0" w:color="auto"/>
              <w:bottom w:val="single" w:sz="4" w:space="0" w:color="auto"/>
            </w:tcBorders>
            <w:shd w:val="clear" w:color="auto" w:fill="auto"/>
            <w:vAlign w:val="center"/>
          </w:tcPr>
          <w:p w14:paraId="647B0568" w14:textId="77777777" w:rsidR="00E75190" w:rsidRPr="008C41AB" w:rsidRDefault="00E75190" w:rsidP="00C64D3B">
            <w:pPr>
              <w:spacing w:after="0" w:line="240" w:lineRule="auto"/>
              <w:jc w:val="center"/>
              <w:rPr>
                <w:rFonts w:ascii="David" w:hAnsi="David" w:cs="David"/>
                <w:color w:val="000000"/>
              </w:rPr>
            </w:pPr>
            <w:r w:rsidRPr="008C41AB">
              <w:rPr>
                <w:rFonts w:ascii="David" w:hAnsi="David" w:cs="David" w:hint="cs"/>
                <w:color w:val="000000"/>
                <w:rtl/>
              </w:rPr>
              <w:t>-</w:t>
            </w:r>
          </w:p>
        </w:tc>
        <w:tc>
          <w:tcPr>
            <w:tcW w:w="850" w:type="dxa"/>
            <w:tcBorders>
              <w:top w:val="single" w:sz="4" w:space="0" w:color="auto"/>
              <w:bottom w:val="single" w:sz="4" w:space="0" w:color="auto"/>
            </w:tcBorders>
            <w:shd w:val="clear" w:color="auto" w:fill="auto"/>
            <w:vAlign w:val="center"/>
          </w:tcPr>
          <w:p w14:paraId="5E8B457D" w14:textId="77777777" w:rsidR="00E75190" w:rsidRPr="008C41AB" w:rsidRDefault="00E75190" w:rsidP="00C64D3B">
            <w:pPr>
              <w:spacing w:after="0" w:line="240" w:lineRule="auto"/>
              <w:jc w:val="center"/>
              <w:rPr>
                <w:rFonts w:ascii="David" w:hAnsi="David" w:cs="David"/>
                <w:color w:val="000000"/>
              </w:rPr>
            </w:pPr>
            <w:r w:rsidRPr="008C41AB">
              <w:rPr>
                <w:rFonts w:ascii="David" w:hAnsi="David" w:cs="David" w:hint="cs"/>
                <w:color w:val="000000"/>
                <w:rtl/>
              </w:rPr>
              <w:t>-</w:t>
            </w:r>
          </w:p>
        </w:tc>
      </w:tr>
      <w:tr w:rsidR="00E75190" w:rsidRPr="008C41AB" w14:paraId="465F3537"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31618F9C" w14:textId="77777777" w:rsidR="00E75190" w:rsidRPr="008C41AB" w:rsidRDefault="00E75190" w:rsidP="00C64D3B">
            <w:pPr>
              <w:spacing w:after="0" w:line="240" w:lineRule="auto"/>
              <w:rPr>
                <w:rFonts w:ascii="David" w:hAnsi="David" w:cs="David"/>
                <w:color w:val="000000"/>
                <w:rtl/>
              </w:rPr>
            </w:pPr>
            <w:r w:rsidRPr="008C41AB">
              <w:rPr>
                <w:rFonts w:ascii="David" w:hAnsi="David" w:cs="David"/>
                <w:color w:val="000000"/>
                <w:rtl/>
              </w:rPr>
              <w:t>שלום</w:t>
            </w:r>
          </w:p>
        </w:tc>
        <w:tc>
          <w:tcPr>
            <w:tcW w:w="992" w:type="dxa"/>
            <w:tcBorders>
              <w:top w:val="single" w:sz="4" w:space="0" w:color="auto"/>
              <w:bottom w:val="single" w:sz="4" w:space="0" w:color="auto"/>
            </w:tcBorders>
            <w:shd w:val="clear" w:color="auto" w:fill="D9D9D9"/>
            <w:noWrap/>
            <w:vAlign w:val="center"/>
          </w:tcPr>
          <w:p w14:paraId="06CF13E4" w14:textId="77777777" w:rsidR="00E75190" w:rsidRPr="008C41AB" w:rsidRDefault="00E75190" w:rsidP="00C64D3B">
            <w:pPr>
              <w:spacing w:after="0" w:line="240" w:lineRule="auto"/>
              <w:rPr>
                <w:rFonts w:ascii="David" w:hAnsi="David" w:cs="David"/>
                <w:color w:val="000000"/>
                <w:rtl/>
              </w:rPr>
            </w:pPr>
            <w:r w:rsidRPr="008C41AB">
              <w:rPr>
                <w:rFonts w:ascii="David" w:hAnsi="David" w:cs="David"/>
                <w:color w:val="000000"/>
                <w:rtl/>
              </w:rPr>
              <w:t>עניינים מקומיים</w:t>
            </w:r>
          </w:p>
        </w:tc>
        <w:tc>
          <w:tcPr>
            <w:tcW w:w="1979" w:type="dxa"/>
            <w:tcBorders>
              <w:top w:val="single" w:sz="4" w:space="0" w:color="auto"/>
              <w:bottom w:val="single" w:sz="4" w:space="0" w:color="auto"/>
            </w:tcBorders>
            <w:shd w:val="clear" w:color="auto" w:fill="D9D9D9"/>
            <w:vAlign w:val="center"/>
          </w:tcPr>
          <w:p w14:paraId="513AB87E" w14:textId="77777777" w:rsidR="00E75190" w:rsidRPr="008C41AB" w:rsidRDefault="00E75190" w:rsidP="00C64D3B">
            <w:pPr>
              <w:spacing w:after="0" w:line="240" w:lineRule="auto"/>
              <w:rPr>
                <w:rFonts w:ascii="David" w:hAnsi="David" w:cs="David"/>
                <w:color w:val="000000"/>
                <w:rtl/>
              </w:rPr>
            </w:pPr>
            <w:r w:rsidRPr="008C41AB">
              <w:rPr>
                <w:rFonts w:ascii="David" w:hAnsi="David" w:cs="David"/>
                <w:color w:val="000000"/>
                <w:rtl/>
              </w:rPr>
              <w:t>חוקי עזר עירוניים - ברירת קנס (חע"ק)</w:t>
            </w:r>
            <w:r w:rsidRPr="008C41AB">
              <w:rPr>
                <w:rFonts w:ascii="David" w:hAnsi="David" w:cs="David" w:hint="cs"/>
                <w:color w:val="000000"/>
                <w:rtl/>
              </w:rPr>
              <w:t>*</w:t>
            </w:r>
          </w:p>
        </w:tc>
        <w:tc>
          <w:tcPr>
            <w:tcW w:w="1276" w:type="dxa"/>
            <w:tcBorders>
              <w:top w:val="single" w:sz="4" w:space="0" w:color="auto"/>
              <w:bottom w:val="single" w:sz="4" w:space="0" w:color="auto"/>
            </w:tcBorders>
            <w:shd w:val="clear" w:color="auto" w:fill="D9D9D9"/>
            <w:vAlign w:val="center"/>
          </w:tcPr>
          <w:p w14:paraId="54C4891F" w14:textId="77777777" w:rsidR="00E75190" w:rsidRPr="008C41AB" w:rsidRDefault="00E75190" w:rsidP="00C64D3B">
            <w:pPr>
              <w:spacing w:after="0" w:line="240" w:lineRule="auto"/>
              <w:jc w:val="center"/>
              <w:rPr>
                <w:rFonts w:ascii="David" w:hAnsi="David" w:cs="David"/>
                <w:color w:val="000000"/>
                <w:rtl/>
              </w:rPr>
            </w:pPr>
            <w:r w:rsidRPr="008C41AB">
              <w:rPr>
                <w:rFonts w:ascii="David" w:hAnsi="David" w:cs="David"/>
                <w:color w:val="000000"/>
              </w:rPr>
              <w:t>785</w:t>
            </w:r>
          </w:p>
        </w:tc>
        <w:tc>
          <w:tcPr>
            <w:tcW w:w="1701" w:type="dxa"/>
            <w:tcBorders>
              <w:top w:val="single" w:sz="4" w:space="0" w:color="auto"/>
              <w:bottom w:val="single" w:sz="4" w:space="0" w:color="auto"/>
            </w:tcBorders>
            <w:shd w:val="clear" w:color="auto" w:fill="D9D9D9"/>
            <w:noWrap/>
            <w:vAlign w:val="center"/>
          </w:tcPr>
          <w:p w14:paraId="12CD51D1" w14:textId="77777777" w:rsidR="00E75190" w:rsidRPr="008C41AB" w:rsidRDefault="00E75190" w:rsidP="00C64D3B">
            <w:pPr>
              <w:spacing w:after="0" w:line="240" w:lineRule="auto"/>
              <w:jc w:val="center"/>
              <w:rPr>
                <w:rFonts w:asciiTheme="minorHAnsi" w:hAnsiTheme="minorHAnsi" w:cs="David"/>
                <w:b/>
                <w:bCs/>
                <w:color w:val="000000"/>
                <w:rtl/>
              </w:rPr>
            </w:pPr>
            <w:r w:rsidRPr="008C41AB">
              <w:rPr>
                <w:rFonts w:asciiTheme="minorHAnsi" w:hAnsiTheme="minorHAnsi" w:cs="David" w:hint="cs"/>
                <w:b/>
                <w:bCs/>
                <w:color w:val="000000"/>
                <w:rtl/>
              </w:rPr>
              <w:t>0:36</w:t>
            </w:r>
          </w:p>
        </w:tc>
        <w:tc>
          <w:tcPr>
            <w:tcW w:w="1559" w:type="dxa"/>
            <w:tcBorders>
              <w:top w:val="single" w:sz="4" w:space="0" w:color="auto"/>
              <w:bottom w:val="single" w:sz="4" w:space="0" w:color="auto"/>
            </w:tcBorders>
            <w:shd w:val="clear" w:color="auto" w:fill="D9D9D9"/>
            <w:vAlign w:val="center"/>
          </w:tcPr>
          <w:p w14:paraId="69C87373" w14:textId="77777777" w:rsidR="00E75190" w:rsidRPr="008C41AB" w:rsidRDefault="00E75190" w:rsidP="00C64D3B">
            <w:pPr>
              <w:spacing w:after="0" w:line="240" w:lineRule="auto"/>
              <w:jc w:val="center"/>
              <w:rPr>
                <w:rFonts w:ascii="David" w:hAnsi="David" w:cs="David"/>
                <w:color w:val="000000"/>
              </w:rPr>
            </w:pPr>
            <w:r w:rsidRPr="008C41AB">
              <w:rPr>
                <w:rFonts w:ascii="David" w:hAnsi="David" w:cs="David" w:hint="cs"/>
                <w:color w:val="000000"/>
                <w:rtl/>
              </w:rPr>
              <w:t>0:17</w:t>
            </w:r>
          </w:p>
        </w:tc>
        <w:tc>
          <w:tcPr>
            <w:tcW w:w="850" w:type="dxa"/>
            <w:tcBorders>
              <w:top w:val="single" w:sz="4" w:space="0" w:color="auto"/>
              <w:bottom w:val="single" w:sz="4" w:space="0" w:color="auto"/>
            </w:tcBorders>
            <w:shd w:val="clear" w:color="auto" w:fill="D9D9D9"/>
            <w:vAlign w:val="center"/>
          </w:tcPr>
          <w:p w14:paraId="4A01E947" w14:textId="77777777" w:rsidR="00E75190" w:rsidRPr="008C41AB" w:rsidRDefault="00E75190" w:rsidP="00C64D3B">
            <w:pPr>
              <w:spacing w:after="0" w:line="240" w:lineRule="auto"/>
              <w:jc w:val="center"/>
              <w:rPr>
                <w:rFonts w:ascii="David" w:hAnsi="David" w:cs="David"/>
                <w:color w:val="000000"/>
              </w:rPr>
            </w:pPr>
            <w:r w:rsidRPr="008C41AB">
              <w:rPr>
                <w:rFonts w:ascii="David" w:hAnsi="David" w:cs="David" w:hint="cs"/>
                <w:color w:val="000000"/>
                <w:rtl/>
              </w:rPr>
              <w:t>0:19+</w:t>
            </w:r>
          </w:p>
        </w:tc>
      </w:tr>
      <w:tr w:rsidR="00E75190" w:rsidRPr="008C41AB" w14:paraId="3768DA2B" w14:textId="77777777" w:rsidTr="007D380E">
        <w:trPr>
          <w:trHeight w:val="600"/>
        </w:trPr>
        <w:tc>
          <w:tcPr>
            <w:tcW w:w="847" w:type="dxa"/>
            <w:tcBorders>
              <w:top w:val="single" w:sz="4" w:space="0" w:color="auto"/>
              <w:bottom w:val="single" w:sz="4" w:space="0" w:color="auto"/>
            </w:tcBorders>
            <w:shd w:val="clear" w:color="auto" w:fill="auto"/>
            <w:noWrap/>
            <w:vAlign w:val="center"/>
          </w:tcPr>
          <w:p w14:paraId="4D895273" w14:textId="77777777" w:rsidR="00E75190" w:rsidRPr="008C41AB" w:rsidRDefault="00E75190" w:rsidP="00C64D3B">
            <w:pPr>
              <w:spacing w:after="0" w:line="240" w:lineRule="auto"/>
              <w:rPr>
                <w:rFonts w:ascii="David" w:hAnsi="David" w:cs="David"/>
                <w:color w:val="000000"/>
                <w:rtl/>
              </w:rPr>
            </w:pPr>
            <w:r w:rsidRPr="008C41AB">
              <w:rPr>
                <w:rFonts w:ascii="David" w:hAnsi="David" w:cs="David"/>
                <w:color w:val="000000"/>
                <w:rtl/>
              </w:rPr>
              <w:t>שלום</w:t>
            </w:r>
          </w:p>
        </w:tc>
        <w:tc>
          <w:tcPr>
            <w:tcW w:w="992" w:type="dxa"/>
            <w:tcBorders>
              <w:top w:val="single" w:sz="4" w:space="0" w:color="auto"/>
              <w:bottom w:val="single" w:sz="4" w:space="0" w:color="auto"/>
            </w:tcBorders>
            <w:shd w:val="clear" w:color="auto" w:fill="auto"/>
            <w:noWrap/>
            <w:vAlign w:val="center"/>
          </w:tcPr>
          <w:p w14:paraId="282CECF5" w14:textId="77777777" w:rsidR="00E75190" w:rsidRPr="008C41AB" w:rsidRDefault="00E75190" w:rsidP="00C64D3B">
            <w:pPr>
              <w:spacing w:after="0" w:line="240" w:lineRule="auto"/>
              <w:rPr>
                <w:rFonts w:ascii="David" w:hAnsi="David" w:cs="David"/>
                <w:color w:val="000000"/>
                <w:rtl/>
              </w:rPr>
            </w:pPr>
            <w:r w:rsidRPr="008C41AB">
              <w:rPr>
                <w:rFonts w:ascii="David" w:hAnsi="David" w:cs="David"/>
                <w:color w:val="000000"/>
                <w:rtl/>
              </w:rPr>
              <w:t>עניינים מקומיים</w:t>
            </w:r>
          </w:p>
        </w:tc>
        <w:tc>
          <w:tcPr>
            <w:tcW w:w="1979" w:type="dxa"/>
            <w:tcBorders>
              <w:top w:val="single" w:sz="4" w:space="0" w:color="auto"/>
              <w:bottom w:val="single" w:sz="4" w:space="0" w:color="auto"/>
            </w:tcBorders>
            <w:shd w:val="clear" w:color="auto" w:fill="auto"/>
            <w:vAlign w:val="center"/>
          </w:tcPr>
          <w:p w14:paraId="5E8B2B0C" w14:textId="77777777" w:rsidR="00E75190" w:rsidRPr="008C41AB" w:rsidRDefault="00E75190" w:rsidP="00C64D3B">
            <w:pPr>
              <w:spacing w:after="0" w:line="240" w:lineRule="auto"/>
              <w:rPr>
                <w:rFonts w:ascii="David" w:hAnsi="David" w:cs="David"/>
                <w:color w:val="000000"/>
                <w:rtl/>
              </w:rPr>
            </w:pPr>
            <w:r w:rsidRPr="008C41AB">
              <w:rPr>
                <w:rFonts w:ascii="David" w:hAnsi="David" w:cs="David"/>
                <w:color w:val="000000"/>
                <w:rtl/>
              </w:rPr>
              <w:t>חנייה (ח"נ)</w:t>
            </w:r>
          </w:p>
        </w:tc>
        <w:tc>
          <w:tcPr>
            <w:tcW w:w="1276" w:type="dxa"/>
            <w:tcBorders>
              <w:top w:val="single" w:sz="4" w:space="0" w:color="auto"/>
              <w:bottom w:val="single" w:sz="4" w:space="0" w:color="auto"/>
            </w:tcBorders>
            <w:vAlign w:val="center"/>
          </w:tcPr>
          <w:p w14:paraId="1BFF6678" w14:textId="77777777" w:rsidR="00E75190" w:rsidRPr="008C41AB" w:rsidRDefault="00E75190" w:rsidP="00C64D3B">
            <w:pPr>
              <w:spacing w:after="0" w:line="240" w:lineRule="auto"/>
              <w:jc w:val="center"/>
              <w:rPr>
                <w:rFonts w:ascii="David" w:hAnsi="David" w:cs="David"/>
                <w:color w:val="000000"/>
              </w:rPr>
            </w:pPr>
            <w:r w:rsidRPr="008C41AB">
              <w:rPr>
                <w:rFonts w:ascii="David" w:hAnsi="David" w:cs="David"/>
                <w:color w:val="000000"/>
              </w:rPr>
              <w:t>23,851</w:t>
            </w:r>
          </w:p>
        </w:tc>
        <w:tc>
          <w:tcPr>
            <w:tcW w:w="1701" w:type="dxa"/>
            <w:tcBorders>
              <w:top w:val="single" w:sz="4" w:space="0" w:color="auto"/>
              <w:bottom w:val="single" w:sz="4" w:space="0" w:color="auto"/>
            </w:tcBorders>
            <w:shd w:val="clear" w:color="auto" w:fill="auto"/>
            <w:noWrap/>
            <w:vAlign w:val="center"/>
          </w:tcPr>
          <w:p w14:paraId="300ACDC8" w14:textId="77777777" w:rsidR="00E75190" w:rsidRPr="008C41AB" w:rsidRDefault="00E75190" w:rsidP="00C64D3B">
            <w:pPr>
              <w:spacing w:after="0" w:line="240" w:lineRule="auto"/>
              <w:jc w:val="center"/>
              <w:rPr>
                <w:rFonts w:ascii="David" w:hAnsi="David" w:cs="David"/>
                <w:b/>
                <w:bCs/>
                <w:color w:val="000000"/>
              </w:rPr>
            </w:pPr>
            <w:r w:rsidRPr="008C41AB">
              <w:rPr>
                <w:rFonts w:ascii="David" w:hAnsi="David" w:cs="David"/>
                <w:b/>
                <w:bCs/>
                <w:color w:val="000000"/>
              </w:rPr>
              <w:t>0:23</w:t>
            </w:r>
          </w:p>
        </w:tc>
        <w:tc>
          <w:tcPr>
            <w:tcW w:w="1559" w:type="dxa"/>
            <w:tcBorders>
              <w:top w:val="single" w:sz="4" w:space="0" w:color="auto"/>
              <w:bottom w:val="single" w:sz="4" w:space="0" w:color="auto"/>
            </w:tcBorders>
            <w:shd w:val="clear" w:color="auto" w:fill="auto"/>
            <w:vAlign w:val="center"/>
          </w:tcPr>
          <w:p w14:paraId="2985305F" w14:textId="77777777" w:rsidR="00E75190" w:rsidRPr="008C41AB" w:rsidRDefault="00E75190" w:rsidP="00C64D3B">
            <w:pPr>
              <w:spacing w:after="0" w:line="240" w:lineRule="auto"/>
              <w:jc w:val="center"/>
              <w:rPr>
                <w:rFonts w:ascii="David" w:hAnsi="David" w:cs="David"/>
                <w:color w:val="000000"/>
              </w:rPr>
            </w:pPr>
            <w:r w:rsidRPr="008C41AB">
              <w:rPr>
                <w:rFonts w:ascii="David" w:hAnsi="David" w:cs="David" w:hint="cs"/>
                <w:color w:val="000000"/>
                <w:rtl/>
              </w:rPr>
              <w:t>0:28</w:t>
            </w:r>
          </w:p>
        </w:tc>
        <w:tc>
          <w:tcPr>
            <w:tcW w:w="850" w:type="dxa"/>
            <w:tcBorders>
              <w:top w:val="single" w:sz="4" w:space="0" w:color="auto"/>
              <w:bottom w:val="single" w:sz="4" w:space="0" w:color="auto"/>
            </w:tcBorders>
            <w:shd w:val="clear" w:color="auto" w:fill="auto"/>
            <w:vAlign w:val="center"/>
          </w:tcPr>
          <w:p w14:paraId="759D879F" w14:textId="77777777" w:rsidR="00E75190" w:rsidRPr="008C41AB" w:rsidRDefault="00E75190" w:rsidP="00C64D3B">
            <w:pPr>
              <w:spacing w:after="0" w:line="240" w:lineRule="auto"/>
              <w:jc w:val="center"/>
              <w:rPr>
                <w:rFonts w:ascii="David" w:hAnsi="David" w:cs="David"/>
                <w:color w:val="000000"/>
              </w:rPr>
            </w:pPr>
            <w:r w:rsidRPr="008C41AB">
              <w:rPr>
                <w:rFonts w:ascii="David" w:hAnsi="David" w:cs="David" w:hint="cs"/>
                <w:color w:val="000000"/>
                <w:rtl/>
              </w:rPr>
              <w:t>0:05-</w:t>
            </w:r>
          </w:p>
        </w:tc>
      </w:tr>
      <w:tr w:rsidR="00E75190" w:rsidRPr="008C41AB" w14:paraId="521B09AA" w14:textId="77777777" w:rsidTr="007D380E">
        <w:trPr>
          <w:trHeight w:val="600"/>
        </w:trPr>
        <w:tc>
          <w:tcPr>
            <w:tcW w:w="847" w:type="dxa"/>
            <w:tcBorders>
              <w:top w:val="single" w:sz="4" w:space="0" w:color="auto"/>
              <w:bottom w:val="single" w:sz="4" w:space="0" w:color="auto"/>
            </w:tcBorders>
            <w:shd w:val="clear" w:color="auto" w:fill="D9D9D9"/>
            <w:noWrap/>
            <w:vAlign w:val="center"/>
          </w:tcPr>
          <w:p w14:paraId="4C8683C1" w14:textId="77777777" w:rsidR="00E75190" w:rsidRPr="008C41AB" w:rsidRDefault="00E75190" w:rsidP="00C64D3B">
            <w:pPr>
              <w:spacing w:after="0" w:line="240" w:lineRule="auto"/>
              <w:rPr>
                <w:rFonts w:ascii="David" w:hAnsi="David" w:cs="David"/>
                <w:color w:val="000000"/>
                <w:rtl/>
              </w:rPr>
            </w:pPr>
            <w:r w:rsidRPr="008C41AB">
              <w:rPr>
                <w:rFonts w:ascii="David" w:hAnsi="David" w:cs="David"/>
                <w:color w:val="000000"/>
                <w:rtl/>
              </w:rPr>
              <w:t>שלום</w:t>
            </w:r>
          </w:p>
        </w:tc>
        <w:tc>
          <w:tcPr>
            <w:tcW w:w="992" w:type="dxa"/>
            <w:tcBorders>
              <w:top w:val="single" w:sz="4" w:space="0" w:color="auto"/>
              <w:bottom w:val="single" w:sz="4" w:space="0" w:color="auto"/>
            </w:tcBorders>
            <w:shd w:val="clear" w:color="auto" w:fill="D9D9D9"/>
            <w:noWrap/>
            <w:vAlign w:val="center"/>
          </w:tcPr>
          <w:p w14:paraId="5F795EAD" w14:textId="77777777" w:rsidR="00E75190" w:rsidRPr="008C41AB" w:rsidRDefault="00E75190" w:rsidP="00C64D3B">
            <w:pPr>
              <w:spacing w:after="0" w:line="240" w:lineRule="auto"/>
              <w:rPr>
                <w:rFonts w:ascii="David" w:hAnsi="David" w:cs="David"/>
                <w:color w:val="000000"/>
                <w:rtl/>
              </w:rPr>
            </w:pPr>
            <w:r w:rsidRPr="008C41AB">
              <w:rPr>
                <w:rFonts w:ascii="David" w:hAnsi="David" w:cs="David"/>
                <w:color w:val="000000"/>
                <w:rtl/>
              </w:rPr>
              <w:t>עניינים מקומיים</w:t>
            </w:r>
          </w:p>
        </w:tc>
        <w:tc>
          <w:tcPr>
            <w:tcW w:w="1979" w:type="dxa"/>
            <w:tcBorders>
              <w:top w:val="single" w:sz="4" w:space="0" w:color="auto"/>
              <w:bottom w:val="single" w:sz="4" w:space="0" w:color="auto"/>
            </w:tcBorders>
            <w:shd w:val="clear" w:color="auto" w:fill="D9D9D9"/>
            <w:vAlign w:val="center"/>
          </w:tcPr>
          <w:p w14:paraId="4E31EB56" w14:textId="77777777" w:rsidR="00E75190" w:rsidRPr="008C41AB" w:rsidRDefault="00E75190" w:rsidP="00C64D3B">
            <w:pPr>
              <w:spacing w:after="0" w:line="240" w:lineRule="auto"/>
              <w:rPr>
                <w:rFonts w:ascii="David" w:hAnsi="David" w:cs="David"/>
                <w:color w:val="000000"/>
                <w:rtl/>
              </w:rPr>
            </w:pPr>
            <w:r w:rsidRPr="008C41AB">
              <w:rPr>
                <w:rFonts w:ascii="David" w:hAnsi="David" w:cs="David"/>
                <w:color w:val="000000"/>
                <w:rtl/>
              </w:rPr>
              <w:t>חוקי עזר עירוניים - ברירת משפט (חע"מ)</w:t>
            </w:r>
          </w:p>
        </w:tc>
        <w:tc>
          <w:tcPr>
            <w:tcW w:w="1276" w:type="dxa"/>
            <w:tcBorders>
              <w:top w:val="single" w:sz="4" w:space="0" w:color="auto"/>
              <w:bottom w:val="single" w:sz="4" w:space="0" w:color="auto"/>
            </w:tcBorders>
            <w:shd w:val="clear" w:color="auto" w:fill="D9D9D9"/>
            <w:vAlign w:val="center"/>
          </w:tcPr>
          <w:p w14:paraId="6C1E2FEF" w14:textId="77777777" w:rsidR="00E75190" w:rsidRPr="008C41AB" w:rsidRDefault="00E75190" w:rsidP="00C64D3B">
            <w:pPr>
              <w:spacing w:after="0" w:line="240" w:lineRule="auto"/>
              <w:jc w:val="center"/>
              <w:rPr>
                <w:rFonts w:ascii="David" w:hAnsi="David" w:cs="David"/>
                <w:color w:val="000000"/>
              </w:rPr>
            </w:pPr>
            <w:r w:rsidRPr="008C41AB">
              <w:rPr>
                <w:rFonts w:ascii="David" w:hAnsi="David" w:cs="David"/>
                <w:color w:val="000000"/>
              </w:rPr>
              <w:t>6,705</w:t>
            </w:r>
          </w:p>
        </w:tc>
        <w:tc>
          <w:tcPr>
            <w:tcW w:w="1701" w:type="dxa"/>
            <w:tcBorders>
              <w:top w:val="single" w:sz="4" w:space="0" w:color="auto"/>
              <w:bottom w:val="single" w:sz="4" w:space="0" w:color="auto"/>
            </w:tcBorders>
            <w:shd w:val="clear" w:color="auto" w:fill="D9D9D9"/>
            <w:noWrap/>
            <w:vAlign w:val="center"/>
          </w:tcPr>
          <w:p w14:paraId="5D21E107" w14:textId="77777777" w:rsidR="00E75190" w:rsidRPr="008C41AB" w:rsidRDefault="00E75190" w:rsidP="00C64D3B">
            <w:pPr>
              <w:spacing w:after="0" w:line="240" w:lineRule="auto"/>
              <w:jc w:val="center"/>
              <w:rPr>
                <w:rFonts w:ascii="David" w:hAnsi="David" w:cs="David"/>
                <w:b/>
                <w:bCs/>
                <w:color w:val="000000"/>
              </w:rPr>
            </w:pPr>
            <w:r w:rsidRPr="008C41AB">
              <w:rPr>
                <w:rFonts w:ascii="David" w:hAnsi="David" w:cs="David"/>
                <w:b/>
                <w:bCs/>
                <w:color w:val="000000"/>
              </w:rPr>
              <w:t>0:21</w:t>
            </w:r>
          </w:p>
        </w:tc>
        <w:tc>
          <w:tcPr>
            <w:tcW w:w="1559" w:type="dxa"/>
            <w:tcBorders>
              <w:top w:val="single" w:sz="4" w:space="0" w:color="auto"/>
              <w:bottom w:val="single" w:sz="4" w:space="0" w:color="auto"/>
            </w:tcBorders>
            <w:shd w:val="clear" w:color="auto" w:fill="D9D9D9"/>
            <w:vAlign w:val="center"/>
          </w:tcPr>
          <w:p w14:paraId="77C2B776" w14:textId="77777777" w:rsidR="00E75190" w:rsidRPr="008C41AB" w:rsidRDefault="00E75190" w:rsidP="00C64D3B">
            <w:pPr>
              <w:spacing w:after="0" w:line="240" w:lineRule="auto"/>
              <w:jc w:val="center"/>
              <w:rPr>
                <w:rFonts w:ascii="David" w:hAnsi="David" w:cs="David"/>
                <w:color w:val="000000"/>
              </w:rPr>
            </w:pPr>
            <w:r w:rsidRPr="008C41AB">
              <w:rPr>
                <w:rFonts w:ascii="David" w:hAnsi="David" w:cs="David" w:hint="cs"/>
                <w:color w:val="000000"/>
                <w:rtl/>
              </w:rPr>
              <w:t>0:53</w:t>
            </w:r>
          </w:p>
        </w:tc>
        <w:tc>
          <w:tcPr>
            <w:tcW w:w="850" w:type="dxa"/>
            <w:tcBorders>
              <w:top w:val="single" w:sz="4" w:space="0" w:color="auto"/>
              <w:bottom w:val="single" w:sz="4" w:space="0" w:color="auto"/>
            </w:tcBorders>
            <w:shd w:val="clear" w:color="auto" w:fill="D9D9D9"/>
            <w:vAlign w:val="center"/>
          </w:tcPr>
          <w:p w14:paraId="0405159E" w14:textId="77777777" w:rsidR="00E75190" w:rsidRPr="008C41AB" w:rsidRDefault="00E75190" w:rsidP="00C64D3B">
            <w:pPr>
              <w:spacing w:after="0" w:line="240" w:lineRule="auto"/>
              <w:jc w:val="center"/>
              <w:rPr>
                <w:rFonts w:ascii="David" w:hAnsi="David" w:cs="David"/>
                <w:color w:val="000000"/>
                <w:rtl/>
              </w:rPr>
            </w:pPr>
            <w:r w:rsidRPr="008C41AB">
              <w:rPr>
                <w:rFonts w:ascii="David" w:hAnsi="David" w:cs="David" w:hint="cs"/>
                <w:color w:val="000000"/>
                <w:rtl/>
              </w:rPr>
              <w:t>0:32-</w:t>
            </w:r>
          </w:p>
        </w:tc>
      </w:tr>
    </w:tbl>
    <w:p w14:paraId="724EB298" w14:textId="77777777" w:rsidR="001B0FA3" w:rsidRPr="00F25744" w:rsidRDefault="001B0FA3" w:rsidP="001B0FA3">
      <w:pPr>
        <w:pStyle w:val="a3"/>
        <w:widowControl w:val="0"/>
        <w:autoSpaceDE w:val="0"/>
        <w:autoSpaceDN w:val="0"/>
        <w:bidi/>
        <w:adjustRightInd w:val="0"/>
        <w:spacing w:before="60" w:after="60" w:line="240" w:lineRule="auto"/>
        <w:ind w:left="0"/>
        <w:rPr>
          <w:rFonts w:ascii="David" w:hAnsi="David" w:cs="David"/>
          <w:b/>
          <w:bCs/>
          <w:sz w:val="24"/>
          <w:szCs w:val="24"/>
          <w:rtl/>
        </w:rPr>
      </w:pPr>
    </w:p>
    <w:p w14:paraId="52964EDC" w14:textId="77777777" w:rsidR="007D380E" w:rsidRDefault="007D380E" w:rsidP="001B0FA3">
      <w:pPr>
        <w:pStyle w:val="a3"/>
        <w:widowControl w:val="0"/>
        <w:autoSpaceDE w:val="0"/>
        <w:autoSpaceDN w:val="0"/>
        <w:bidi/>
        <w:adjustRightInd w:val="0"/>
        <w:spacing w:before="60" w:after="60" w:line="360" w:lineRule="auto"/>
        <w:ind w:left="0"/>
        <w:rPr>
          <w:rFonts w:ascii="David" w:hAnsi="David" w:cs="David"/>
          <w:b/>
          <w:bCs/>
          <w:sz w:val="24"/>
          <w:szCs w:val="24"/>
          <w:rtl/>
        </w:rPr>
      </w:pPr>
    </w:p>
    <w:p w14:paraId="50266A61" w14:textId="476D9913" w:rsidR="001416BC" w:rsidRPr="00F25744" w:rsidRDefault="00E25AE7" w:rsidP="007D380E">
      <w:pPr>
        <w:pStyle w:val="a3"/>
        <w:widowControl w:val="0"/>
        <w:autoSpaceDE w:val="0"/>
        <w:autoSpaceDN w:val="0"/>
        <w:bidi/>
        <w:adjustRightInd w:val="0"/>
        <w:spacing w:before="60" w:after="60" w:line="360" w:lineRule="auto"/>
        <w:ind w:left="0"/>
        <w:rPr>
          <w:rFonts w:ascii="David" w:hAnsi="David" w:cs="David"/>
          <w:b/>
          <w:bCs/>
          <w:sz w:val="24"/>
          <w:szCs w:val="24"/>
          <w:rtl/>
        </w:rPr>
      </w:pPr>
      <w:r w:rsidRPr="00F25744">
        <w:rPr>
          <w:rFonts w:ascii="David" w:hAnsi="David" w:cs="David" w:hint="cs"/>
          <w:b/>
          <w:bCs/>
          <w:sz w:val="24"/>
          <w:szCs w:val="24"/>
          <w:rtl/>
        </w:rPr>
        <w:lastRenderedPageBreak/>
        <w:t>הערה</w:t>
      </w:r>
      <w:r w:rsidRPr="00F25744">
        <w:rPr>
          <w:rFonts w:ascii="David" w:hAnsi="David" w:cs="David" w:hint="cs"/>
          <w:sz w:val="24"/>
          <w:szCs w:val="24"/>
          <w:rtl/>
        </w:rPr>
        <w:t xml:space="preserve"> - </w:t>
      </w:r>
      <w:r w:rsidR="007F3A52" w:rsidRPr="00F25744">
        <w:rPr>
          <w:rFonts w:ascii="David" w:hAnsi="David" w:cs="David" w:hint="cs"/>
          <w:sz w:val="24"/>
          <w:szCs w:val="24"/>
          <w:rtl/>
        </w:rPr>
        <w:t xml:space="preserve">מעבר להצגת הממצאים לגבי זמני הטיפול השיפוטי בתיקים השונים, ולצרכים הניהוליים של הערכאות השונות, ניתן למצוא בנספחים טבלה המראה את משקלות התיקים של ערכאת </w:t>
      </w:r>
      <w:r w:rsidR="00DC1581" w:rsidRPr="00F25744">
        <w:rPr>
          <w:rFonts w:ascii="David" w:hAnsi="David" w:cs="David" w:hint="cs"/>
          <w:sz w:val="24"/>
          <w:szCs w:val="24"/>
          <w:rtl/>
        </w:rPr>
        <w:t>השלום</w:t>
      </w:r>
      <w:r w:rsidR="007F3A52" w:rsidRPr="00F25744">
        <w:rPr>
          <w:rFonts w:ascii="David" w:hAnsi="David" w:cs="David" w:hint="cs"/>
          <w:sz w:val="24"/>
          <w:szCs w:val="24"/>
          <w:rtl/>
        </w:rPr>
        <w:t xml:space="preserve"> ברמה </w:t>
      </w:r>
      <w:r w:rsidR="007F3A52" w:rsidRPr="00F25744">
        <w:rPr>
          <w:rFonts w:ascii="David" w:hAnsi="David" w:cs="David" w:hint="cs"/>
          <w:b/>
          <w:bCs/>
          <w:sz w:val="24"/>
          <w:szCs w:val="24"/>
          <w:rtl/>
        </w:rPr>
        <w:t>הערכאתית</w:t>
      </w:r>
      <w:r w:rsidR="007F3A52" w:rsidRPr="00F25744">
        <w:rPr>
          <w:rFonts w:ascii="David" w:hAnsi="David" w:cs="David" w:hint="cs"/>
          <w:sz w:val="24"/>
          <w:szCs w:val="24"/>
          <w:rtl/>
        </w:rPr>
        <w:t xml:space="preserve"> (כלומר, את הזמנים היחסיים של כל סוג תיק ביחס לתיקים האחרים ב</w:t>
      </w:r>
      <w:r w:rsidR="00CD7916" w:rsidRPr="00F25744">
        <w:rPr>
          <w:rFonts w:ascii="David" w:hAnsi="David" w:cs="David" w:hint="cs"/>
          <w:sz w:val="24"/>
          <w:szCs w:val="24"/>
          <w:rtl/>
        </w:rPr>
        <w:t>ערכאת השלום בלבד</w:t>
      </w:r>
      <w:r w:rsidR="007F3A52" w:rsidRPr="00F25744">
        <w:rPr>
          <w:rFonts w:ascii="David" w:hAnsi="David" w:cs="David" w:hint="cs"/>
          <w:sz w:val="24"/>
          <w:szCs w:val="24"/>
          <w:rtl/>
        </w:rPr>
        <w:t xml:space="preserve">) ובחלוקה </w:t>
      </w:r>
      <w:r w:rsidR="00F56A28" w:rsidRPr="00F25744">
        <w:rPr>
          <w:rFonts w:ascii="David" w:hAnsi="David" w:cs="David" w:hint="cs"/>
          <w:sz w:val="24"/>
          <w:szCs w:val="24"/>
          <w:rtl/>
        </w:rPr>
        <w:t xml:space="preserve">להליך </w:t>
      </w:r>
      <w:r w:rsidR="007F3A52" w:rsidRPr="00F25744">
        <w:rPr>
          <w:rFonts w:ascii="David" w:hAnsi="David" w:cs="David" w:hint="cs"/>
          <w:sz w:val="24"/>
          <w:szCs w:val="24"/>
          <w:rtl/>
        </w:rPr>
        <w:t>פלילי</w:t>
      </w:r>
      <w:r w:rsidR="0052511A" w:rsidRPr="00F25744">
        <w:rPr>
          <w:rFonts w:ascii="David" w:hAnsi="David" w:cs="David" w:hint="cs"/>
          <w:sz w:val="24"/>
          <w:szCs w:val="24"/>
          <w:rtl/>
        </w:rPr>
        <w:t>, אזרחי</w:t>
      </w:r>
      <w:r w:rsidR="00F56A28" w:rsidRPr="00F25744">
        <w:rPr>
          <w:rFonts w:ascii="David" w:hAnsi="David" w:cs="David" w:hint="cs"/>
          <w:sz w:val="24"/>
          <w:szCs w:val="24"/>
          <w:rtl/>
        </w:rPr>
        <w:t xml:space="preserve"> ועניינים מקומיים</w:t>
      </w:r>
      <w:r w:rsidR="007F3A52" w:rsidRPr="00F25744">
        <w:rPr>
          <w:rFonts w:ascii="David" w:hAnsi="David" w:cs="David" w:hint="cs"/>
          <w:sz w:val="24"/>
          <w:szCs w:val="24"/>
          <w:rtl/>
        </w:rPr>
        <w:t>, ב</w:t>
      </w:r>
      <w:r w:rsidR="007F3A52" w:rsidRPr="00F25744">
        <w:rPr>
          <w:rFonts w:ascii="David" w:hAnsi="David" w:cs="David" w:hint="cs"/>
          <w:b/>
          <w:bCs/>
          <w:sz w:val="24"/>
          <w:szCs w:val="24"/>
          <w:rtl/>
        </w:rPr>
        <w:t>נספחים ה</w:t>
      </w:r>
      <w:r w:rsidR="00FB23DC" w:rsidRPr="00F25744">
        <w:rPr>
          <w:rFonts w:ascii="David" w:hAnsi="David" w:cs="David" w:hint="cs"/>
          <w:b/>
          <w:bCs/>
          <w:sz w:val="24"/>
          <w:szCs w:val="24"/>
          <w:rtl/>
        </w:rPr>
        <w:t>3</w:t>
      </w:r>
      <w:r w:rsidR="00F56A28" w:rsidRPr="00F25744">
        <w:rPr>
          <w:rFonts w:ascii="David" w:hAnsi="David" w:cs="David" w:hint="cs"/>
          <w:b/>
          <w:bCs/>
          <w:sz w:val="24"/>
          <w:szCs w:val="24"/>
          <w:rtl/>
        </w:rPr>
        <w:t xml:space="preserve">, </w:t>
      </w:r>
      <w:r w:rsidR="007F3A52" w:rsidRPr="00F25744">
        <w:rPr>
          <w:rFonts w:ascii="David" w:hAnsi="David" w:cs="David" w:hint="cs"/>
          <w:b/>
          <w:bCs/>
          <w:sz w:val="24"/>
          <w:szCs w:val="24"/>
          <w:rtl/>
        </w:rPr>
        <w:t>ה</w:t>
      </w:r>
      <w:r w:rsidR="00FB23DC" w:rsidRPr="00F25744">
        <w:rPr>
          <w:rFonts w:ascii="David" w:hAnsi="David" w:cs="David" w:hint="cs"/>
          <w:b/>
          <w:bCs/>
          <w:sz w:val="24"/>
          <w:szCs w:val="24"/>
          <w:rtl/>
        </w:rPr>
        <w:t>4</w:t>
      </w:r>
      <w:r w:rsidR="00F56A28" w:rsidRPr="00F25744">
        <w:rPr>
          <w:rFonts w:ascii="David" w:hAnsi="David" w:cs="David" w:hint="cs"/>
          <w:sz w:val="24"/>
          <w:szCs w:val="24"/>
          <w:rtl/>
        </w:rPr>
        <w:t xml:space="preserve"> </w:t>
      </w:r>
      <w:r w:rsidR="00F56A28" w:rsidRPr="00F25744">
        <w:rPr>
          <w:rFonts w:ascii="David" w:hAnsi="David" w:cs="David" w:hint="cs"/>
          <w:b/>
          <w:bCs/>
          <w:sz w:val="24"/>
          <w:szCs w:val="24"/>
          <w:rtl/>
        </w:rPr>
        <w:t>ו-ה5</w:t>
      </w:r>
      <w:r w:rsidR="00F56A28" w:rsidRPr="00F25744">
        <w:rPr>
          <w:rFonts w:ascii="David" w:hAnsi="David" w:cs="David" w:hint="cs"/>
          <w:sz w:val="24"/>
          <w:szCs w:val="24"/>
          <w:rtl/>
        </w:rPr>
        <w:t>,</w:t>
      </w:r>
      <w:r w:rsidR="00F56A28" w:rsidRPr="00F25744">
        <w:rPr>
          <w:rFonts w:ascii="David" w:hAnsi="David" w:cs="David" w:hint="cs"/>
          <w:b/>
          <w:bCs/>
          <w:sz w:val="24"/>
          <w:szCs w:val="24"/>
          <w:rtl/>
        </w:rPr>
        <w:t xml:space="preserve"> </w:t>
      </w:r>
      <w:r w:rsidR="00F56A28" w:rsidRPr="00F25744">
        <w:rPr>
          <w:rFonts w:ascii="David" w:hAnsi="David" w:cs="David" w:hint="cs"/>
          <w:sz w:val="24"/>
          <w:szCs w:val="24"/>
          <w:rtl/>
        </w:rPr>
        <w:t>בהתאמה.</w:t>
      </w:r>
    </w:p>
    <w:p w14:paraId="6CCBDA23" w14:textId="77777777" w:rsidR="00C73ADE" w:rsidRPr="00F25744" w:rsidRDefault="00C73ADE" w:rsidP="001B0FA3">
      <w:pPr>
        <w:pStyle w:val="a3"/>
        <w:widowControl w:val="0"/>
        <w:autoSpaceDE w:val="0"/>
        <w:autoSpaceDN w:val="0"/>
        <w:bidi/>
        <w:adjustRightInd w:val="0"/>
        <w:spacing w:before="60" w:after="60" w:line="240" w:lineRule="auto"/>
        <w:ind w:left="0"/>
        <w:rPr>
          <w:rFonts w:ascii="David" w:hAnsi="David" w:cs="David"/>
          <w:sz w:val="24"/>
          <w:szCs w:val="24"/>
          <w:rtl/>
        </w:rPr>
      </w:pPr>
    </w:p>
    <w:p w14:paraId="637C54D1" w14:textId="77777777" w:rsidR="00840519" w:rsidRPr="00F25744" w:rsidRDefault="00E25AE7" w:rsidP="00A54D82">
      <w:pPr>
        <w:pStyle w:val="3"/>
        <w:ind w:left="852"/>
        <w:rPr>
          <w:rtl/>
        </w:rPr>
      </w:pPr>
      <w:bookmarkStart w:id="528" w:name="_Toc46226071"/>
      <w:bookmarkStart w:id="529" w:name="_Toc46226215"/>
      <w:bookmarkStart w:id="530" w:name="_Toc46228382"/>
      <w:bookmarkStart w:id="531" w:name="_Toc46228480"/>
      <w:bookmarkStart w:id="532" w:name="_Toc46230407"/>
      <w:bookmarkStart w:id="533" w:name="_Toc46230505"/>
      <w:bookmarkStart w:id="534" w:name="_Toc46310395"/>
      <w:bookmarkStart w:id="535" w:name="_Toc46414037"/>
      <w:bookmarkStart w:id="536" w:name="_Toc49352761"/>
      <w:bookmarkStart w:id="537" w:name="_Toc49429666"/>
      <w:bookmarkStart w:id="538" w:name="_Toc49435895"/>
      <w:bookmarkStart w:id="539" w:name="_Toc74750999"/>
      <w:r w:rsidRPr="00F25744">
        <w:rPr>
          <w:rFonts w:hint="cs"/>
          <w:rtl/>
        </w:rPr>
        <w:t>תמהיל יום העבודה השיפוטי - השלום</w:t>
      </w:r>
      <w:bookmarkEnd w:id="528"/>
      <w:bookmarkEnd w:id="529"/>
      <w:bookmarkEnd w:id="530"/>
      <w:bookmarkEnd w:id="531"/>
      <w:bookmarkEnd w:id="532"/>
      <w:bookmarkEnd w:id="533"/>
      <w:bookmarkEnd w:id="534"/>
      <w:bookmarkEnd w:id="535"/>
      <w:bookmarkEnd w:id="536"/>
      <w:bookmarkEnd w:id="537"/>
      <w:bookmarkEnd w:id="538"/>
      <w:bookmarkEnd w:id="539"/>
    </w:p>
    <w:p w14:paraId="33CEC98B" w14:textId="77777777" w:rsidR="008D44BF" w:rsidRPr="00F25744" w:rsidRDefault="00E25AE7" w:rsidP="001B0FA3">
      <w:pPr>
        <w:pStyle w:val="a3"/>
        <w:widowControl w:val="0"/>
        <w:autoSpaceDE w:val="0"/>
        <w:autoSpaceDN w:val="0"/>
        <w:bidi/>
        <w:adjustRightInd w:val="0"/>
        <w:spacing w:before="120" w:after="0" w:line="360" w:lineRule="auto"/>
        <w:ind w:left="0"/>
        <w:rPr>
          <w:rFonts w:ascii="David" w:hAnsi="David" w:cs="David"/>
          <w:sz w:val="24"/>
          <w:szCs w:val="24"/>
          <w:rtl/>
        </w:rPr>
      </w:pPr>
      <w:r w:rsidRPr="00F25744">
        <w:rPr>
          <w:rFonts w:ascii="David" w:hAnsi="David" w:cs="David" w:hint="cs"/>
          <w:sz w:val="24"/>
          <w:szCs w:val="24"/>
          <w:rtl/>
        </w:rPr>
        <w:t>התוצר השני של מחקר עומס העבודה השיפוטית, הוא כאמור הצגת תמהיל יום העבודה השיפוטי. מהנתונים עולה כי בערכאת השלום 8</w:t>
      </w:r>
      <w:r w:rsidR="00AE0D32" w:rsidRPr="00F25744">
        <w:rPr>
          <w:rFonts w:ascii="David" w:hAnsi="David" w:cs="David" w:hint="cs"/>
          <w:sz w:val="24"/>
          <w:szCs w:val="24"/>
          <w:rtl/>
        </w:rPr>
        <w:t>8</w:t>
      </w:r>
      <w:r w:rsidRPr="00F25744">
        <w:rPr>
          <w:rFonts w:ascii="David" w:hAnsi="David" w:cs="David" w:hint="cs"/>
          <w:sz w:val="24"/>
          <w:szCs w:val="24"/>
          <w:rtl/>
        </w:rPr>
        <w:t>% מיום העבודה השיפוטי מוקדש לעבודה הקשורה בתיקים (</w:t>
      </w:r>
      <w:r w:rsidR="00C40B4A" w:rsidRPr="00F25744">
        <w:rPr>
          <w:rFonts w:ascii="David" w:hAnsi="David" w:cs="David" w:hint="cs"/>
          <w:sz w:val="24"/>
          <w:szCs w:val="24"/>
          <w:rtl/>
        </w:rPr>
        <w:t xml:space="preserve">אדמיניסטרציה הקשורה בתיקים, </w:t>
      </w:r>
      <w:r w:rsidRPr="00F25744">
        <w:rPr>
          <w:rFonts w:ascii="David" w:hAnsi="David" w:cs="David" w:hint="cs"/>
          <w:sz w:val="24"/>
          <w:szCs w:val="24"/>
          <w:rtl/>
        </w:rPr>
        <w:t xml:space="preserve">הכנה לדיונים, שמיעת דיונים, כתיבת החלטות ופסקי דין), בעוד שיתר הזמן מוקדש לעבודה שיפוטית שאינה קשורה בתיקים </w:t>
      </w:r>
      <w:r w:rsidR="00E15A0B" w:rsidRPr="00F25744">
        <w:rPr>
          <w:rFonts w:ascii="David" w:hAnsi="David" w:cs="David" w:hint="cs"/>
          <w:sz w:val="24"/>
          <w:szCs w:val="24"/>
          <w:rtl/>
        </w:rPr>
        <w:t>[</w:t>
      </w:r>
      <w:r w:rsidRPr="00F25744">
        <w:rPr>
          <w:rFonts w:ascii="David" w:hAnsi="David" w:cs="David" w:hint="cs"/>
          <w:sz w:val="24"/>
          <w:szCs w:val="24"/>
          <w:rtl/>
        </w:rPr>
        <w:t>התעדכנות בפסיקה, ישיבות צוות, השתלמויות וכדומה</w:t>
      </w:r>
      <w:r w:rsidR="004A3E56" w:rsidRPr="00F25744">
        <w:rPr>
          <w:rFonts w:ascii="David" w:hAnsi="David" w:cs="David" w:hint="cs"/>
          <w:sz w:val="24"/>
          <w:szCs w:val="24"/>
          <w:rtl/>
        </w:rPr>
        <w:t xml:space="preserve"> (</w:t>
      </w:r>
      <w:r w:rsidRPr="00F25744">
        <w:rPr>
          <w:rFonts w:ascii="David" w:hAnsi="David" w:cs="David" w:hint="cs"/>
          <w:sz w:val="24"/>
          <w:szCs w:val="24"/>
          <w:rtl/>
        </w:rPr>
        <w:t>12%)</w:t>
      </w:r>
      <w:r w:rsidR="00E15A0B" w:rsidRPr="00F25744">
        <w:rPr>
          <w:rFonts w:ascii="David" w:hAnsi="David" w:cs="David" w:hint="cs"/>
          <w:sz w:val="24"/>
          <w:szCs w:val="24"/>
          <w:rtl/>
        </w:rPr>
        <w:t>].</w:t>
      </w:r>
    </w:p>
    <w:p w14:paraId="1F169764" w14:textId="4AC939AF" w:rsidR="008D44BF" w:rsidRPr="00F25744" w:rsidRDefault="00E25AE7" w:rsidP="00B4065B">
      <w:pPr>
        <w:pStyle w:val="a3"/>
        <w:widowControl w:val="0"/>
        <w:autoSpaceDE w:val="0"/>
        <w:autoSpaceDN w:val="0"/>
        <w:bidi/>
        <w:adjustRightInd w:val="0"/>
        <w:spacing w:before="120" w:after="0" w:line="360" w:lineRule="auto"/>
        <w:ind w:left="0"/>
        <w:rPr>
          <w:rFonts w:ascii="David" w:hAnsi="David" w:cs="David"/>
          <w:sz w:val="24"/>
          <w:szCs w:val="24"/>
          <w:rtl/>
        </w:rPr>
      </w:pPr>
      <w:r w:rsidRPr="00F25744">
        <w:rPr>
          <w:rFonts w:ascii="David" w:hAnsi="David" w:cs="David" w:hint="cs"/>
          <w:sz w:val="24"/>
          <w:szCs w:val="24"/>
          <w:rtl/>
        </w:rPr>
        <w:t>מפילוח פנימי של הפעולות השיפוטיות השונות, כפי שמצטייר ב</w:t>
      </w:r>
      <w:r w:rsidRPr="00B4065B">
        <w:rPr>
          <w:rFonts w:ascii="David" w:hAnsi="David" w:cs="David" w:hint="cs"/>
          <w:b/>
          <w:bCs/>
          <w:sz w:val="24"/>
          <w:szCs w:val="24"/>
          <w:rtl/>
        </w:rPr>
        <w:t xml:space="preserve">תרשים </w:t>
      </w:r>
      <w:r w:rsidR="00B4065B" w:rsidRPr="00B4065B">
        <w:rPr>
          <w:rFonts w:ascii="David" w:hAnsi="David" w:cs="David" w:hint="cs"/>
          <w:b/>
          <w:bCs/>
          <w:sz w:val="24"/>
          <w:szCs w:val="24"/>
          <w:rtl/>
          <w:lang w:val="en-US"/>
        </w:rPr>
        <w:t>9</w:t>
      </w:r>
      <w:r w:rsidRPr="00F25744">
        <w:rPr>
          <w:rFonts w:ascii="David" w:hAnsi="David" w:cs="David" w:hint="cs"/>
          <w:sz w:val="24"/>
          <w:szCs w:val="24"/>
          <w:rtl/>
          <w:lang w:val="en-US"/>
        </w:rPr>
        <w:t xml:space="preserve"> להלן,</w:t>
      </w:r>
      <w:r w:rsidRPr="00F25744">
        <w:rPr>
          <w:rFonts w:ascii="David" w:hAnsi="David" w:cs="David" w:hint="cs"/>
          <w:sz w:val="24"/>
          <w:szCs w:val="24"/>
          <w:rtl/>
        </w:rPr>
        <w:t xml:space="preserve"> עולה כי 42% מיום העבודה השיפוטי מוקדש לכתיבה, 31% מוקדשים לשמיעת דיונים ו-13% להכנה לדיונים. </w:t>
      </w:r>
    </w:p>
    <w:p w14:paraId="40BA8C27" w14:textId="77777777" w:rsidR="008D0CFF" w:rsidRPr="00F25744" w:rsidRDefault="00E25AE7" w:rsidP="001B0FA3">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 xml:space="preserve">את הזמן המוקדש לכתיבה ניתן לחלק בין פעולות הכתיבה השונות: 48% מזמן זה מוקדש לכתיבת פסקי דין או החלטות שעניינן סגירת התיק (המהווים 20% מתמהיל יום העבודה השיפוטי); 17% מהזמן מוקדש לכתיבת החלטות ביניים במסמך עצמאי (המהווים 7% מתמהיל יום העבודה השיפוטי); ו-35% מהזמן מושקע בעבודה על משימות בסל העבודה (המהווים 15% מתמהיל יום העבודה השיפוטי). </w:t>
      </w:r>
    </w:p>
    <w:p w14:paraId="1894EE82" w14:textId="77777777" w:rsidR="00002241" w:rsidRPr="00F25744" w:rsidRDefault="00002241" w:rsidP="001B0FA3">
      <w:pPr>
        <w:pStyle w:val="af6"/>
        <w:spacing w:after="0" w:line="240" w:lineRule="auto"/>
        <w:rPr>
          <w:rtl/>
        </w:rPr>
      </w:pPr>
    </w:p>
    <w:p w14:paraId="376B10A6" w14:textId="1AAF7A6E" w:rsidR="008D44BF" w:rsidRPr="00F25744" w:rsidRDefault="00E25AE7" w:rsidP="001B0FA3">
      <w:pPr>
        <w:pStyle w:val="af6"/>
        <w:spacing w:after="0" w:line="240" w:lineRule="auto"/>
        <w:rPr>
          <w:rtl/>
        </w:rPr>
      </w:pPr>
      <w:bookmarkStart w:id="540" w:name="_Toc76988530"/>
      <w:r w:rsidRPr="00F25744">
        <w:rPr>
          <w:rtl/>
        </w:rPr>
        <w:t xml:space="preserve">תרשים </w:t>
      </w:r>
      <w:r w:rsidRPr="00F25744">
        <w:rPr>
          <w:rtl/>
        </w:rPr>
        <w:fldChar w:fldCharType="begin"/>
      </w:r>
      <w:r w:rsidRPr="00F25744">
        <w:rPr>
          <w:rtl/>
        </w:rPr>
        <w:instrText xml:space="preserve"> </w:instrText>
      </w:r>
      <w:r w:rsidRPr="00F25744">
        <w:rPr>
          <w:rFonts w:hint="cs"/>
        </w:rPr>
        <w:instrText>SEQ</w:instrText>
      </w:r>
      <w:r w:rsidRPr="00F25744">
        <w:rPr>
          <w:rFonts w:hint="cs"/>
          <w:rtl/>
        </w:rPr>
        <w:instrText xml:space="preserve"> תרשים \* </w:instrText>
      </w:r>
      <w:r w:rsidRPr="00F25744">
        <w:rPr>
          <w:rFonts w:hint="cs"/>
        </w:rPr>
        <w:instrText>ARABIC</w:instrText>
      </w:r>
      <w:r w:rsidRPr="00F25744">
        <w:rPr>
          <w:rtl/>
        </w:rPr>
        <w:instrText xml:space="preserve"> </w:instrText>
      </w:r>
      <w:r w:rsidRPr="00F25744">
        <w:rPr>
          <w:rtl/>
        </w:rPr>
        <w:fldChar w:fldCharType="separate"/>
      </w:r>
      <w:r w:rsidR="008F1BC3">
        <w:rPr>
          <w:noProof/>
          <w:rtl/>
        </w:rPr>
        <w:t>9</w:t>
      </w:r>
      <w:r w:rsidRPr="00F25744">
        <w:rPr>
          <w:rtl/>
        </w:rPr>
        <w:fldChar w:fldCharType="end"/>
      </w:r>
      <w:r w:rsidR="00CC1064" w:rsidRPr="00F25744">
        <w:rPr>
          <w:rFonts w:hint="cs"/>
          <w:rtl/>
        </w:rPr>
        <w:t xml:space="preserve">: </w:t>
      </w:r>
      <w:r w:rsidR="007F3A52" w:rsidRPr="00F25744">
        <w:rPr>
          <w:rFonts w:hint="cs"/>
          <w:rtl/>
        </w:rPr>
        <w:t>פילוח יום העבודה השיפוטי של שופט שלום</w:t>
      </w:r>
      <w:bookmarkEnd w:id="540"/>
    </w:p>
    <w:p w14:paraId="216A8547" w14:textId="77777777" w:rsidR="008D44BF" w:rsidRPr="00F25744" w:rsidRDefault="008D44BF" w:rsidP="008D44BF">
      <w:pPr>
        <w:widowControl w:val="0"/>
        <w:autoSpaceDE w:val="0"/>
        <w:autoSpaceDN w:val="0"/>
        <w:adjustRightInd w:val="0"/>
        <w:spacing w:after="0" w:line="240" w:lineRule="auto"/>
        <w:jc w:val="both"/>
        <w:rPr>
          <w:rFonts w:ascii="David" w:hAnsi="David" w:cs="David"/>
          <w:sz w:val="24"/>
          <w:szCs w:val="24"/>
          <w:rtl/>
        </w:rPr>
      </w:pPr>
    </w:p>
    <w:p w14:paraId="0E87A786" w14:textId="77777777" w:rsidR="008D44BF" w:rsidRPr="00F25744" w:rsidRDefault="00E25AE7" w:rsidP="008D44BF">
      <w:pPr>
        <w:widowControl w:val="0"/>
        <w:autoSpaceDE w:val="0"/>
        <w:autoSpaceDN w:val="0"/>
        <w:adjustRightInd w:val="0"/>
        <w:spacing w:after="0" w:line="360" w:lineRule="auto"/>
        <w:jc w:val="both"/>
        <w:rPr>
          <w:rFonts w:ascii="David" w:hAnsi="David" w:cs="David"/>
          <w:b/>
          <w:bCs/>
          <w:sz w:val="24"/>
          <w:szCs w:val="24"/>
          <w:rtl/>
        </w:rPr>
      </w:pPr>
      <w:r w:rsidRPr="00F25744">
        <w:rPr>
          <w:noProof/>
        </w:rPr>
        <w:drawing>
          <wp:inline distT="0" distB="0" distL="0" distR="0" wp14:anchorId="7F8E3243" wp14:editId="5F02826A">
            <wp:extent cx="5492052" cy="2084832"/>
            <wp:effectExtent l="0" t="0" r="0" b="0"/>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369187" name="Picture 11"/>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5534358" cy="2100892"/>
                    </a:xfrm>
                    <a:prstGeom prst="rect">
                      <a:avLst/>
                    </a:prstGeom>
                    <a:noFill/>
                    <a:ln>
                      <a:noFill/>
                    </a:ln>
                  </pic:spPr>
                </pic:pic>
              </a:graphicData>
            </a:graphic>
          </wp:inline>
        </w:drawing>
      </w:r>
    </w:p>
    <w:p w14:paraId="05327209" w14:textId="77777777" w:rsidR="008D44BF" w:rsidRPr="00F25744" w:rsidRDefault="008D44BF" w:rsidP="001B0FA3">
      <w:pPr>
        <w:spacing w:after="0" w:line="240" w:lineRule="auto"/>
        <w:ind w:left="-1"/>
        <w:jc w:val="both"/>
        <w:rPr>
          <w:rFonts w:cs="David"/>
          <w:sz w:val="24"/>
          <w:szCs w:val="24"/>
          <w:rtl/>
        </w:rPr>
      </w:pPr>
    </w:p>
    <w:p w14:paraId="7B4D7924" w14:textId="307A8CCC" w:rsidR="008D44BF" w:rsidRDefault="00E25AE7" w:rsidP="0073222B">
      <w:pPr>
        <w:widowControl w:val="0"/>
        <w:autoSpaceDE w:val="0"/>
        <w:autoSpaceDN w:val="0"/>
        <w:adjustRightInd w:val="0"/>
        <w:spacing w:after="0" w:line="360" w:lineRule="auto"/>
        <w:jc w:val="both"/>
        <w:rPr>
          <w:rFonts w:ascii="David" w:hAnsi="David" w:cs="David"/>
          <w:sz w:val="24"/>
          <w:szCs w:val="24"/>
          <w:rtl/>
        </w:rPr>
      </w:pPr>
      <w:r w:rsidRPr="00F25744">
        <w:rPr>
          <w:rFonts w:ascii="David" w:hAnsi="David" w:cs="David" w:hint="cs"/>
          <w:sz w:val="24"/>
          <w:szCs w:val="24"/>
          <w:rtl/>
        </w:rPr>
        <w:t>תמהיל יום העבודה השיפוטי הממוצע שהוצג לעיל, יוצג בהמשך פרק זה גם בחלוקה לפרמטרים נוספים שעשויים להשפיע על תמהיל זה, כגון האם יש לשופט מערך תמיכה והאם הוא</w:t>
      </w:r>
      <w:r w:rsidR="0073222B" w:rsidRPr="00F25744">
        <w:rPr>
          <w:rFonts w:ascii="David" w:hAnsi="David" w:cs="David" w:hint="cs"/>
          <w:sz w:val="24"/>
          <w:szCs w:val="24"/>
          <w:rtl/>
        </w:rPr>
        <w:t xml:space="preserve"> נושא ב</w:t>
      </w:r>
      <w:r w:rsidRPr="00F25744">
        <w:rPr>
          <w:rFonts w:ascii="David" w:hAnsi="David" w:cs="David" w:hint="cs"/>
          <w:sz w:val="24"/>
          <w:szCs w:val="24"/>
          <w:rtl/>
        </w:rPr>
        <w:t>תפקיד נוסף על השפיטה. בתתי הפרקים הבאים, נפלח את תמהיל יום העבודה השיפוטי לרזולוציות נוספות שיש בהן כדי לתרום להבנת אופי העבודה של השופטים והרשמים, והפעולות שהם מבצעים במהלך יום העבודה שלהם.</w:t>
      </w:r>
    </w:p>
    <w:p w14:paraId="6878403B" w14:textId="317CDC39" w:rsidR="007D380E" w:rsidRDefault="007D380E" w:rsidP="0073222B">
      <w:pPr>
        <w:widowControl w:val="0"/>
        <w:autoSpaceDE w:val="0"/>
        <w:autoSpaceDN w:val="0"/>
        <w:adjustRightInd w:val="0"/>
        <w:spacing w:after="0" w:line="360" w:lineRule="auto"/>
        <w:jc w:val="both"/>
        <w:rPr>
          <w:rFonts w:ascii="David" w:hAnsi="David" w:cs="David"/>
          <w:sz w:val="24"/>
          <w:szCs w:val="24"/>
          <w:rtl/>
        </w:rPr>
      </w:pPr>
    </w:p>
    <w:p w14:paraId="662D4AEB" w14:textId="04FBFFC2" w:rsidR="000E094A" w:rsidRPr="00F25744" w:rsidRDefault="000E094A" w:rsidP="001B0FA3">
      <w:pPr>
        <w:widowControl w:val="0"/>
        <w:autoSpaceDE w:val="0"/>
        <w:autoSpaceDN w:val="0"/>
        <w:adjustRightInd w:val="0"/>
        <w:spacing w:after="0" w:line="240" w:lineRule="auto"/>
        <w:jc w:val="both"/>
        <w:rPr>
          <w:rFonts w:ascii="David" w:hAnsi="David" w:cs="David"/>
          <w:sz w:val="24"/>
          <w:szCs w:val="24"/>
          <w:rtl/>
        </w:rPr>
      </w:pPr>
    </w:p>
    <w:p w14:paraId="7539DCD7" w14:textId="77777777" w:rsidR="007D380E" w:rsidRDefault="007D380E" w:rsidP="007D380E">
      <w:pPr>
        <w:pStyle w:val="4"/>
        <w:numPr>
          <w:ilvl w:val="0"/>
          <w:numId w:val="0"/>
        </w:numPr>
        <w:ind w:left="994"/>
      </w:pPr>
      <w:bookmarkStart w:id="541" w:name="_Toc46226072"/>
      <w:bookmarkStart w:id="542" w:name="_Toc46226216"/>
      <w:bookmarkStart w:id="543" w:name="_Toc46228383"/>
      <w:bookmarkStart w:id="544" w:name="_Toc46228481"/>
      <w:bookmarkStart w:id="545" w:name="_Toc46230408"/>
      <w:bookmarkStart w:id="546" w:name="_Toc46230506"/>
      <w:bookmarkStart w:id="547" w:name="_Toc46310396"/>
      <w:bookmarkStart w:id="548" w:name="_Toc46414038"/>
    </w:p>
    <w:p w14:paraId="72A0087D" w14:textId="412CF82E" w:rsidR="00840519" w:rsidRPr="00F25744" w:rsidRDefault="00A54D82" w:rsidP="00A54D82">
      <w:pPr>
        <w:pStyle w:val="4"/>
        <w:ind w:left="994"/>
        <w:rPr>
          <w:rtl/>
        </w:rPr>
      </w:pPr>
      <w:r>
        <w:rPr>
          <w:rFonts w:hint="cs"/>
          <w:rtl/>
        </w:rPr>
        <w:lastRenderedPageBreak/>
        <w:t xml:space="preserve"> </w:t>
      </w:r>
      <w:bookmarkStart w:id="549" w:name="_Toc74751000"/>
      <w:r w:rsidR="00E25AE7" w:rsidRPr="00F25744">
        <w:rPr>
          <w:rFonts w:hint="cs"/>
          <w:rtl/>
        </w:rPr>
        <w:t>פילוח בהבחנה בין שופט אזרחי לפלילי</w:t>
      </w:r>
      <w:bookmarkEnd w:id="541"/>
      <w:bookmarkEnd w:id="542"/>
      <w:bookmarkEnd w:id="543"/>
      <w:bookmarkEnd w:id="544"/>
      <w:bookmarkEnd w:id="545"/>
      <w:bookmarkEnd w:id="546"/>
      <w:bookmarkEnd w:id="547"/>
      <w:bookmarkEnd w:id="548"/>
      <w:bookmarkEnd w:id="549"/>
      <w:r w:rsidR="00E25AE7" w:rsidRPr="00F25744">
        <w:rPr>
          <w:rFonts w:hint="cs"/>
          <w:rtl/>
        </w:rPr>
        <w:t xml:space="preserve"> </w:t>
      </w:r>
    </w:p>
    <w:p w14:paraId="00728B91" w14:textId="29A94BC1" w:rsidR="008D44BF" w:rsidRDefault="00E25AE7" w:rsidP="001B0FA3">
      <w:pPr>
        <w:widowControl w:val="0"/>
        <w:autoSpaceDE w:val="0"/>
        <w:autoSpaceDN w:val="0"/>
        <w:adjustRightInd w:val="0"/>
        <w:spacing w:before="120" w:after="0" w:line="360" w:lineRule="auto"/>
        <w:jc w:val="both"/>
        <w:rPr>
          <w:rFonts w:ascii="David" w:hAnsi="David" w:cs="David"/>
          <w:b/>
          <w:bCs/>
          <w:sz w:val="24"/>
          <w:szCs w:val="24"/>
          <w:rtl/>
        </w:rPr>
      </w:pPr>
      <w:r w:rsidRPr="00F25744">
        <w:rPr>
          <w:rFonts w:ascii="David" w:hAnsi="David" w:cs="David" w:hint="cs"/>
          <w:sz w:val="24"/>
          <w:szCs w:val="24"/>
          <w:rtl/>
        </w:rPr>
        <w:t xml:space="preserve">בשאלון הרקע נשאלו השופטים והרשמים האם הם מטפלים בעיקר בתיקים אזרחיים, בתיקים פליליים או </w:t>
      </w:r>
      <w:r w:rsidR="004A3E56" w:rsidRPr="00F25744">
        <w:rPr>
          <w:rFonts w:ascii="David" w:hAnsi="David" w:cs="David" w:hint="cs"/>
          <w:sz w:val="24"/>
          <w:szCs w:val="24"/>
          <w:rtl/>
        </w:rPr>
        <w:t xml:space="preserve">בשני הסוגים גם יחד. </w:t>
      </w:r>
      <w:r w:rsidRPr="00F25744">
        <w:rPr>
          <w:rFonts w:ascii="David" w:hAnsi="David" w:cs="David" w:hint="cs"/>
          <w:sz w:val="24"/>
          <w:szCs w:val="24"/>
          <w:rtl/>
        </w:rPr>
        <w:t>מהממצאים עולה, כי כ-70% מן השופטים בערכאת השלום ציינו כי הם מטפלים בתיקים אזרחיים בלבד (68.8%), כ-28% הגדירו את עיסוקם בתחום הפלילי בלבד (27.4%)</w:t>
      </w:r>
      <w:r w:rsidR="004A3E56" w:rsidRPr="00F25744">
        <w:rPr>
          <w:rFonts w:ascii="David" w:hAnsi="David" w:cs="David" w:hint="cs"/>
          <w:sz w:val="24"/>
          <w:szCs w:val="24"/>
          <w:rtl/>
        </w:rPr>
        <w:t xml:space="preserve">, </w:t>
      </w:r>
      <w:r w:rsidRPr="00F25744">
        <w:rPr>
          <w:rFonts w:ascii="David" w:hAnsi="David" w:cs="David" w:hint="cs"/>
          <w:sz w:val="24"/>
          <w:szCs w:val="24"/>
          <w:rtl/>
        </w:rPr>
        <w:t xml:space="preserve">ויתר השופטים (3.9%) ציינו כי הם מטפלים בשני סוגי התיקים. על מנת לבחון האם קיים הבדל בתמהיל יום העבודה השיפוטי בהתחשב בסוג התיקים שבהם מטפלים השופטים, הוחלט לפלח את תמהיל יום העבודה השיפוטי לפי קבוצות אלו (ראו </w:t>
      </w:r>
      <w:r w:rsidRPr="00F25744">
        <w:rPr>
          <w:rFonts w:ascii="David" w:hAnsi="David" w:cs="David" w:hint="cs"/>
          <w:b/>
          <w:bCs/>
          <w:sz w:val="24"/>
          <w:szCs w:val="24"/>
          <w:rtl/>
        </w:rPr>
        <w:t xml:space="preserve">תרשים </w:t>
      </w:r>
      <w:r w:rsidR="00044A7F" w:rsidRPr="00F25744">
        <w:rPr>
          <w:rFonts w:ascii="David" w:hAnsi="David" w:cs="David" w:hint="cs"/>
          <w:b/>
          <w:bCs/>
          <w:sz w:val="24"/>
          <w:szCs w:val="24"/>
          <w:rtl/>
        </w:rPr>
        <w:t>1</w:t>
      </w:r>
      <w:r w:rsidR="00095719" w:rsidRPr="00F25744">
        <w:rPr>
          <w:rFonts w:ascii="David" w:hAnsi="David" w:cs="David" w:hint="cs"/>
          <w:b/>
          <w:bCs/>
          <w:sz w:val="24"/>
          <w:szCs w:val="24"/>
          <w:rtl/>
        </w:rPr>
        <w:t>0</w:t>
      </w:r>
      <w:r w:rsidRPr="00F25744">
        <w:rPr>
          <w:rFonts w:ascii="David" w:hAnsi="David" w:cs="David" w:hint="cs"/>
          <w:sz w:val="24"/>
          <w:szCs w:val="24"/>
          <w:rtl/>
        </w:rPr>
        <w:t>).</w:t>
      </w:r>
    </w:p>
    <w:p w14:paraId="5ECC0626" w14:textId="77777777" w:rsidR="008C41AB" w:rsidRPr="00F25744" w:rsidRDefault="008C41AB" w:rsidP="001B0FA3">
      <w:pPr>
        <w:widowControl w:val="0"/>
        <w:autoSpaceDE w:val="0"/>
        <w:autoSpaceDN w:val="0"/>
        <w:adjustRightInd w:val="0"/>
        <w:spacing w:before="120" w:after="0" w:line="360" w:lineRule="auto"/>
        <w:jc w:val="both"/>
        <w:rPr>
          <w:rFonts w:ascii="David" w:hAnsi="David" w:cs="David"/>
          <w:b/>
          <w:bCs/>
          <w:sz w:val="24"/>
          <w:szCs w:val="24"/>
          <w:rtl/>
        </w:rPr>
      </w:pPr>
    </w:p>
    <w:p w14:paraId="2F7FE4FC" w14:textId="1603088B" w:rsidR="00C34F2F" w:rsidRPr="00F25744" w:rsidRDefault="00E25AE7" w:rsidP="00C00012">
      <w:pPr>
        <w:pStyle w:val="af6"/>
        <w:rPr>
          <w:rFonts w:ascii="David" w:hAnsi="David"/>
          <w:sz w:val="24"/>
        </w:rPr>
      </w:pPr>
      <w:bookmarkStart w:id="550" w:name="_Toc76988531"/>
      <w:r w:rsidRPr="00F25744">
        <w:rPr>
          <w:rtl/>
        </w:rPr>
        <w:t xml:space="preserve">תרשים </w:t>
      </w:r>
      <w:r w:rsidRPr="00F25744">
        <w:rPr>
          <w:rtl/>
        </w:rPr>
        <w:fldChar w:fldCharType="begin"/>
      </w:r>
      <w:r w:rsidRPr="00F25744">
        <w:rPr>
          <w:rtl/>
        </w:rPr>
        <w:instrText xml:space="preserve"> </w:instrText>
      </w:r>
      <w:r w:rsidRPr="00F25744">
        <w:rPr>
          <w:rFonts w:hint="cs"/>
        </w:rPr>
        <w:instrText>SEQ</w:instrText>
      </w:r>
      <w:r w:rsidRPr="00F25744">
        <w:rPr>
          <w:rFonts w:hint="cs"/>
          <w:rtl/>
        </w:rPr>
        <w:instrText xml:space="preserve"> תרשים \* </w:instrText>
      </w:r>
      <w:r w:rsidRPr="00F25744">
        <w:rPr>
          <w:rFonts w:hint="cs"/>
        </w:rPr>
        <w:instrText>ARABIC</w:instrText>
      </w:r>
      <w:r w:rsidRPr="00F25744">
        <w:rPr>
          <w:rtl/>
        </w:rPr>
        <w:instrText xml:space="preserve"> </w:instrText>
      </w:r>
      <w:r w:rsidRPr="00F25744">
        <w:rPr>
          <w:rtl/>
        </w:rPr>
        <w:fldChar w:fldCharType="separate"/>
      </w:r>
      <w:r w:rsidR="008F1BC3">
        <w:rPr>
          <w:noProof/>
          <w:rtl/>
        </w:rPr>
        <w:t>10</w:t>
      </w:r>
      <w:r w:rsidRPr="00F25744">
        <w:rPr>
          <w:rtl/>
        </w:rPr>
        <w:fldChar w:fldCharType="end"/>
      </w:r>
      <w:r w:rsidR="00CC1064" w:rsidRPr="00F25744">
        <w:rPr>
          <w:rFonts w:hint="cs"/>
          <w:rtl/>
        </w:rPr>
        <w:t xml:space="preserve">: </w:t>
      </w:r>
      <w:r w:rsidR="002E0E3F" w:rsidRPr="00F25744">
        <w:rPr>
          <w:rtl/>
        </w:rPr>
        <w:t>פילוח בהבחנה בין שופט אזרחי לפלילי</w:t>
      </w:r>
      <w:bookmarkEnd w:id="550"/>
      <w:r w:rsidR="002E0E3F" w:rsidRPr="00F25744">
        <w:rPr>
          <w:rFonts w:ascii="David" w:hAnsi="David"/>
          <w:sz w:val="24"/>
          <w:rtl/>
        </w:rPr>
        <w:t xml:space="preserve"> </w:t>
      </w:r>
    </w:p>
    <w:p w14:paraId="588063D3" w14:textId="77777777" w:rsidR="008D44BF" w:rsidRPr="00F25744" w:rsidRDefault="00E25AE7" w:rsidP="00C00012">
      <w:pPr>
        <w:pStyle w:val="af6"/>
        <w:rPr>
          <w:rFonts w:ascii="David" w:hAnsi="David"/>
          <w:b w:val="0"/>
          <w:bCs w:val="0"/>
          <w:sz w:val="24"/>
          <w:rtl/>
        </w:rPr>
      </w:pPr>
      <w:r w:rsidRPr="00F25744">
        <w:rPr>
          <w:noProof/>
        </w:rPr>
        <w:drawing>
          <wp:inline distT="0" distB="0" distL="0" distR="0" wp14:anchorId="4C4F5878" wp14:editId="7BB14424">
            <wp:extent cx="5487531" cy="2435962"/>
            <wp:effectExtent l="0" t="0" r="0" b="2540"/>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741850" name="Picture 12"/>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5568977" cy="2472117"/>
                    </a:xfrm>
                    <a:prstGeom prst="rect">
                      <a:avLst/>
                    </a:prstGeom>
                    <a:noFill/>
                    <a:ln>
                      <a:noFill/>
                    </a:ln>
                  </pic:spPr>
                </pic:pic>
              </a:graphicData>
            </a:graphic>
          </wp:inline>
        </w:drawing>
      </w:r>
    </w:p>
    <w:p w14:paraId="113CDF63" w14:textId="77777777" w:rsidR="007D380E" w:rsidRDefault="007D380E" w:rsidP="00095719">
      <w:pPr>
        <w:widowControl w:val="0"/>
        <w:autoSpaceDE w:val="0"/>
        <w:autoSpaceDN w:val="0"/>
        <w:adjustRightInd w:val="0"/>
        <w:spacing w:after="0" w:line="360" w:lineRule="auto"/>
        <w:jc w:val="both"/>
        <w:rPr>
          <w:rFonts w:ascii="David" w:hAnsi="David" w:cs="David"/>
          <w:sz w:val="24"/>
          <w:szCs w:val="24"/>
          <w:rtl/>
        </w:rPr>
      </w:pPr>
    </w:p>
    <w:p w14:paraId="50826C0B" w14:textId="5C4D016F" w:rsidR="00840519" w:rsidRPr="00F25744" w:rsidRDefault="00E25AE7" w:rsidP="00095719">
      <w:pPr>
        <w:widowControl w:val="0"/>
        <w:autoSpaceDE w:val="0"/>
        <w:autoSpaceDN w:val="0"/>
        <w:adjustRightInd w:val="0"/>
        <w:spacing w:after="0" w:line="360" w:lineRule="auto"/>
        <w:jc w:val="both"/>
        <w:rPr>
          <w:rFonts w:ascii="David" w:hAnsi="David" w:cs="David"/>
          <w:b/>
          <w:bCs/>
          <w:sz w:val="24"/>
          <w:szCs w:val="24"/>
          <w:rtl/>
        </w:rPr>
      </w:pPr>
      <w:r w:rsidRPr="00F25744">
        <w:rPr>
          <w:rFonts w:ascii="David" w:hAnsi="David" w:cs="David" w:hint="cs"/>
          <w:sz w:val="24"/>
          <w:szCs w:val="24"/>
          <w:rtl/>
        </w:rPr>
        <w:t>מ</w:t>
      </w:r>
      <w:r w:rsidRPr="00F25744">
        <w:rPr>
          <w:rFonts w:ascii="David" w:hAnsi="David" w:cs="David" w:hint="cs"/>
          <w:b/>
          <w:bCs/>
          <w:sz w:val="24"/>
          <w:szCs w:val="24"/>
          <w:rtl/>
        </w:rPr>
        <w:t xml:space="preserve">תרשים </w:t>
      </w:r>
      <w:r w:rsidR="00140F40" w:rsidRPr="00F25744">
        <w:rPr>
          <w:rFonts w:ascii="David" w:hAnsi="David" w:cs="David" w:hint="cs"/>
          <w:b/>
          <w:bCs/>
          <w:sz w:val="24"/>
          <w:szCs w:val="24"/>
          <w:rtl/>
        </w:rPr>
        <w:t>1</w:t>
      </w:r>
      <w:r w:rsidR="00095719" w:rsidRPr="00F25744">
        <w:rPr>
          <w:rFonts w:ascii="David" w:hAnsi="David" w:cs="David" w:hint="cs"/>
          <w:b/>
          <w:bCs/>
          <w:sz w:val="24"/>
          <w:szCs w:val="24"/>
          <w:rtl/>
        </w:rPr>
        <w:t>0</w:t>
      </w:r>
      <w:r w:rsidRPr="00F25744">
        <w:rPr>
          <w:rFonts w:ascii="David" w:hAnsi="David" w:cs="David" w:hint="cs"/>
          <w:sz w:val="24"/>
          <w:szCs w:val="24"/>
          <w:rtl/>
        </w:rPr>
        <w:t xml:space="preserve"> ניתן לראות כי השופטים הפליליים הקדישו מחצית מהזמן שהוקדש על ידי שופטים אזרחיים להכנה לדיונים ולטיפול במשימות בסל העבודה שלהם</w:t>
      </w:r>
      <w:r w:rsidR="00293140" w:rsidRPr="00F25744">
        <w:rPr>
          <w:rFonts w:ascii="David" w:hAnsi="David" w:cs="David" w:hint="cs"/>
          <w:sz w:val="24"/>
          <w:szCs w:val="24"/>
          <w:rtl/>
        </w:rPr>
        <w:t>,</w:t>
      </w:r>
      <w:r w:rsidRPr="00F25744">
        <w:rPr>
          <w:rFonts w:ascii="David" w:hAnsi="David" w:cs="David" w:hint="cs"/>
          <w:sz w:val="24"/>
          <w:szCs w:val="24"/>
          <w:rtl/>
        </w:rPr>
        <w:t xml:space="preserve"> ואף פחות זמן לפעולות כתיבה הנעשות מחוץ לאולם הדיונים. לעומת זאת, הם הקדישו זמן רב יותר מיום העבודה שלהם לשמיעת דיונים וכמעט פי שניים זמן לעבודה שיפוטית שאינה קשורה בתיקים לעומת השופטים האזרחיים. </w:t>
      </w:r>
    </w:p>
    <w:p w14:paraId="3677CC65" w14:textId="77777777" w:rsidR="00B92FDC" w:rsidRPr="00F25744" w:rsidRDefault="00B92FDC" w:rsidP="001B0FA3">
      <w:pPr>
        <w:widowControl w:val="0"/>
        <w:autoSpaceDE w:val="0"/>
        <w:autoSpaceDN w:val="0"/>
        <w:adjustRightInd w:val="0"/>
        <w:spacing w:after="0" w:line="240" w:lineRule="auto"/>
        <w:jc w:val="both"/>
        <w:rPr>
          <w:rFonts w:ascii="David" w:hAnsi="David" w:cs="David"/>
          <w:b/>
          <w:bCs/>
          <w:sz w:val="24"/>
          <w:szCs w:val="24"/>
          <w:rtl/>
        </w:rPr>
      </w:pPr>
    </w:p>
    <w:p w14:paraId="2CE915D6" w14:textId="3CB2DF34" w:rsidR="00840519" w:rsidRPr="00F25744" w:rsidRDefault="00A54D82" w:rsidP="00A54D82">
      <w:pPr>
        <w:pStyle w:val="4"/>
        <w:ind w:left="994"/>
      </w:pPr>
      <w:bookmarkStart w:id="551" w:name="_Toc46226073"/>
      <w:bookmarkStart w:id="552" w:name="_Toc46226217"/>
      <w:bookmarkStart w:id="553" w:name="_Toc46228384"/>
      <w:bookmarkStart w:id="554" w:name="_Toc46228482"/>
      <w:bookmarkStart w:id="555" w:name="_Toc46230409"/>
      <w:bookmarkStart w:id="556" w:name="_Toc46230507"/>
      <w:bookmarkStart w:id="557" w:name="_Toc46310397"/>
      <w:bookmarkStart w:id="558" w:name="_Toc46414039"/>
      <w:r>
        <w:rPr>
          <w:rFonts w:hint="cs"/>
          <w:rtl/>
        </w:rPr>
        <w:t xml:space="preserve"> </w:t>
      </w:r>
      <w:bookmarkStart w:id="559" w:name="_Toc74751001"/>
      <w:r w:rsidR="00E25AE7" w:rsidRPr="00F25744">
        <w:rPr>
          <w:rFonts w:hint="cs"/>
          <w:rtl/>
        </w:rPr>
        <w:t>פילוח הממצאים בחלוקה בין שופטים לרשמים</w:t>
      </w:r>
      <w:bookmarkEnd w:id="551"/>
      <w:bookmarkEnd w:id="552"/>
      <w:bookmarkEnd w:id="553"/>
      <w:bookmarkEnd w:id="554"/>
      <w:bookmarkEnd w:id="555"/>
      <w:bookmarkEnd w:id="556"/>
      <w:bookmarkEnd w:id="557"/>
      <w:bookmarkEnd w:id="558"/>
      <w:bookmarkEnd w:id="559"/>
      <w:r w:rsidR="00E25AE7" w:rsidRPr="00F25744">
        <w:rPr>
          <w:rFonts w:hint="cs"/>
          <w:rtl/>
        </w:rPr>
        <w:t xml:space="preserve"> </w:t>
      </w:r>
    </w:p>
    <w:p w14:paraId="04F76FBD" w14:textId="19D7F647" w:rsidR="007E5E78" w:rsidRDefault="00E25AE7" w:rsidP="001B0FA3">
      <w:pPr>
        <w:widowControl w:val="0"/>
        <w:autoSpaceDE w:val="0"/>
        <w:autoSpaceDN w:val="0"/>
        <w:adjustRightInd w:val="0"/>
        <w:spacing w:before="120" w:after="0" w:line="360" w:lineRule="auto"/>
        <w:jc w:val="both"/>
        <w:rPr>
          <w:u w:val="single"/>
          <w:rtl/>
        </w:rPr>
      </w:pPr>
      <w:r w:rsidRPr="00F25744">
        <w:rPr>
          <w:rFonts w:ascii="David" w:hAnsi="David" w:cs="David" w:hint="cs"/>
          <w:sz w:val="24"/>
          <w:szCs w:val="24"/>
          <w:rtl/>
        </w:rPr>
        <w:t xml:space="preserve">פילוח מעניין נוסף יוצג להלן על פי סוג הגורם השיפוטי. על פי הנתונים שקיבלנו משאלוני הרקע של השופטים, 84.1% ממשתפי המחקר הם שופטים, ו-18.9% ממשתתפי המחקר הם רשמים. ההבדלים בחלק מסוגי התיקים אשר בהם מטפלים שופטים לעומת רשמים, והמשימות השונות שהם מבצעים בחלק מן התיקים, מעלים את החשיבות בפילוח זה. יוער, כי בשל הצורך בשמירה על אנונימיות השופטים, רק בשאלון הרקע של ערכאת השלום שאלנו לגבי התפקיד השיפוטי של המשתתפים (ראו </w:t>
      </w:r>
      <w:r w:rsidRPr="00F25744">
        <w:rPr>
          <w:rFonts w:ascii="David" w:hAnsi="David" w:cs="David" w:hint="cs"/>
          <w:b/>
          <w:bCs/>
          <w:sz w:val="24"/>
          <w:szCs w:val="24"/>
          <w:rtl/>
        </w:rPr>
        <w:t xml:space="preserve">תרשים </w:t>
      </w:r>
      <w:r w:rsidR="00706112" w:rsidRPr="00F25744">
        <w:rPr>
          <w:rFonts w:ascii="David" w:hAnsi="David" w:cs="David"/>
          <w:b/>
          <w:bCs/>
          <w:sz w:val="24"/>
          <w:szCs w:val="24"/>
        </w:rPr>
        <w:t>1</w:t>
      </w:r>
      <w:r w:rsidR="00095719" w:rsidRPr="00F25744">
        <w:rPr>
          <w:rFonts w:ascii="David" w:hAnsi="David" w:cs="David"/>
          <w:b/>
          <w:bCs/>
          <w:sz w:val="24"/>
          <w:szCs w:val="24"/>
        </w:rPr>
        <w:t>1</w:t>
      </w:r>
      <w:r w:rsidR="00C95831" w:rsidRPr="00F25744">
        <w:rPr>
          <w:rFonts w:ascii="David" w:hAnsi="David" w:cs="David" w:hint="cs"/>
          <w:sz w:val="24"/>
          <w:szCs w:val="24"/>
          <w:rtl/>
        </w:rPr>
        <w:t>).</w:t>
      </w:r>
    </w:p>
    <w:p w14:paraId="0D0FD198" w14:textId="1859AC9A" w:rsidR="00327700" w:rsidRDefault="00327700" w:rsidP="001B0FA3">
      <w:pPr>
        <w:widowControl w:val="0"/>
        <w:autoSpaceDE w:val="0"/>
        <w:autoSpaceDN w:val="0"/>
        <w:adjustRightInd w:val="0"/>
        <w:spacing w:before="120" w:after="0" w:line="360" w:lineRule="auto"/>
        <w:jc w:val="both"/>
        <w:rPr>
          <w:u w:val="single"/>
          <w:rtl/>
        </w:rPr>
      </w:pPr>
    </w:p>
    <w:p w14:paraId="433F40E0" w14:textId="747AE93F" w:rsidR="00327700" w:rsidRDefault="00327700" w:rsidP="001B0FA3">
      <w:pPr>
        <w:widowControl w:val="0"/>
        <w:autoSpaceDE w:val="0"/>
        <w:autoSpaceDN w:val="0"/>
        <w:adjustRightInd w:val="0"/>
        <w:spacing w:before="120" w:after="0" w:line="360" w:lineRule="auto"/>
        <w:jc w:val="both"/>
        <w:rPr>
          <w:u w:val="single"/>
          <w:rtl/>
        </w:rPr>
      </w:pPr>
    </w:p>
    <w:p w14:paraId="23865398" w14:textId="5B54B937" w:rsidR="008D44BF" w:rsidRPr="00F25744" w:rsidRDefault="00E25AE7" w:rsidP="002500B8">
      <w:pPr>
        <w:pStyle w:val="af6"/>
        <w:rPr>
          <w:rtl/>
        </w:rPr>
      </w:pPr>
      <w:bookmarkStart w:id="560" w:name="_Toc76988532"/>
      <w:r w:rsidRPr="00F25744">
        <w:rPr>
          <w:rtl/>
        </w:rPr>
        <w:lastRenderedPageBreak/>
        <w:t xml:space="preserve">תרשים </w:t>
      </w:r>
      <w:r w:rsidRPr="00F25744">
        <w:rPr>
          <w:rtl/>
        </w:rPr>
        <w:fldChar w:fldCharType="begin"/>
      </w:r>
      <w:r w:rsidRPr="00F25744">
        <w:rPr>
          <w:rtl/>
        </w:rPr>
        <w:instrText xml:space="preserve"> </w:instrText>
      </w:r>
      <w:r w:rsidRPr="00F25744">
        <w:rPr>
          <w:rFonts w:hint="cs"/>
        </w:rPr>
        <w:instrText>SEQ</w:instrText>
      </w:r>
      <w:r w:rsidRPr="00F25744">
        <w:rPr>
          <w:rFonts w:hint="cs"/>
          <w:rtl/>
        </w:rPr>
        <w:instrText xml:space="preserve"> תרשים \* </w:instrText>
      </w:r>
      <w:r w:rsidRPr="00F25744">
        <w:rPr>
          <w:rFonts w:hint="cs"/>
        </w:rPr>
        <w:instrText>ARABIC</w:instrText>
      </w:r>
      <w:r w:rsidRPr="00F25744">
        <w:rPr>
          <w:rtl/>
        </w:rPr>
        <w:instrText xml:space="preserve"> </w:instrText>
      </w:r>
      <w:r w:rsidRPr="00F25744">
        <w:rPr>
          <w:rtl/>
        </w:rPr>
        <w:fldChar w:fldCharType="separate"/>
      </w:r>
      <w:r w:rsidR="008F1BC3">
        <w:rPr>
          <w:noProof/>
          <w:rtl/>
        </w:rPr>
        <w:t>11</w:t>
      </w:r>
      <w:r w:rsidRPr="00F25744">
        <w:rPr>
          <w:rtl/>
        </w:rPr>
        <w:fldChar w:fldCharType="end"/>
      </w:r>
      <w:r w:rsidR="00CC1064" w:rsidRPr="00F25744">
        <w:rPr>
          <w:rFonts w:hint="cs"/>
          <w:rtl/>
        </w:rPr>
        <w:t xml:space="preserve">: </w:t>
      </w:r>
      <w:r w:rsidR="007F3A52" w:rsidRPr="00F25744">
        <w:rPr>
          <w:rFonts w:hint="cs"/>
          <w:rtl/>
        </w:rPr>
        <w:t>תמהיל יום העבודה השיפוטי לפי סוג הגורם השיפוטי</w:t>
      </w:r>
      <w:bookmarkEnd w:id="560"/>
    </w:p>
    <w:p w14:paraId="7341AEF4" w14:textId="77777777" w:rsidR="008D44BF" w:rsidRPr="00F25744" w:rsidRDefault="00E25AE7" w:rsidP="00CC59A3">
      <w:pPr>
        <w:widowControl w:val="0"/>
        <w:autoSpaceDE w:val="0"/>
        <w:autoSpaceDN w:val="0"/>
        <w:adjustRightInd w:val="0"/>
        <w:spacing w:after="0" w:line="240" w:lineRule="auto"/>
        <w:ind w:left="2"/>
        <w:jc w:val="both"/>
        <w:rPr>
          <w:rFonts w:ascii="David" w:hAnsi="David" w:cs="David"/>
          <w:sz w:val="24"/>
          <w:szCs w:val="24"/>
          <w:rtl/>
        </w:rPr>
      </w:pPr>
      <w:r w:rsidRPr="00F25744">
        <w:rPr>
          <w:noProof/>
        </w:rPr>
        <w:drawing>
          <wp:inline distT="0" distB="0" distL="0" distR="0" wp14:anchorId="2F1ECDE7" wp14:editId="0A82C429">
            <wp:extent cx="5484315" cy="2289657"/>
            <wp:effectExtent l="0" t="0" r="2540" b="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116737" name="Picture 13"/>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5500048" cy="2296225"/>
                    </a:xfrm>
                    <a:prstGeom prst="rect">
                      <a:avLst/>
                    </a:prstGeom>
                    <a:noFill/>
                    <a:ln>
                      <a:noFill/>
                    </a:ln>
                  </pic:spPr>
                </pic:pic>
              </a:graphicData>
            </a:graphic>
          </wp:inline>
        </w:drawing>
      </w:r>
    </w:p>
    <w:p w14:paraId="29CF8EBA" w14:textId="77777777" w:rsidR="00327700" w:rsidRDefault="00327700" w:rsidP="00C62B71">
      <w:pPr>
        <w:widowControl w:val="0"/>
        <w:autoSpaceDE w:val="0"/>
        <w:autoSpaceDN w:val="0"/>
        <w:adjustRightInd w:val="0"/>
        <w:spacing w:after="0" w:line="360" w:lineRule="auto"/>
        <w:jc w:val="both"/>
        <w:rPr>
          <w:rFonts w:ascii="David" w:hAnsi="David" w:cs="David"/>
          <w:sz w:val="24"/>
          <w:szCs w:val="24"/>
          <w:rtl/>
        </w:rPr>
      </w:pPr>
    </w:p>
    <w:p w14:paraId="253A225B" w14:textId="7D89C821" w:rsidR="00B10CCC" w:rsidRPr="00F25744" w:rsidRDefault="00E25AE7" w:rsidP="00C62B71">
      <w:pPr>
        <w:widowControl w:val="0"/>
        <w:autoSpaceDE w:val="0"/>
        <w:autoSpaceDN w:val="0"/>
        <w:adjustRightInd w:val="0"/>
        <w:spacing w:after="0" w:line="360" w:lineRule="auto"/>
        <w:jc w:val="both"/>
        <w:rPr>
          <w:rFonts w:ascii="David" w:hAnsi="David" w:cs="David"/>
          <w:sz w:val="24"/>
          <w:szCs w:val="24"/>
          <w:rtl/>
        </w:rPr>
      </w:pPr>
      <w:r w:rsidRPr="00F25744">
        <w:rPr>
          <w:rFonts w:ascii="David" w:hAnsi="David" w:cs="David" w:hint="cs"/>
          <w:sz w:val="24"/>
          <w:szCs w:val="24"/>
          <w:rtl/>
        </w:rPr>
        <w:t xml:space="preserve">בחינת הזמנים שהוקדשו לפעילויות השיפוטיות השונות בפילוח בין שופטים לרשמים, מעלה כי בהתאם לאופי העבודה השונה של רשם לעומת שופט, רשמים מקדישים את הזמן הרב ביותר לטיפול גורף בסל העבודה </w:t>
      </w:r>
      <w:r w:rsidRPr="00F25744">
        <w:rPr>
          <w:rFonts w:ascii="David" w:hAnsi="David" w:cs="David"/>
          <w:sz w:val="24"/>
          <w:szCs w:val="24"/>
          <w:rtl/>
        </w:rPr>
        <w:t>–</w:t>
      </w:r>
      <w:r w:rsidRPr="00F25744">
        <w:rPr>
          <w:rFonts w:ascii="David" w:hAnsi="David" w:cs="David" w:hint="cs"/>
          <w:sz w:val="24"/>
          <w:szCs w:val="24"/>
          <w:rtl/>
        </w:rPr>
        <w:t xml:space="preserve"> 30.9% מהזמן, לעומת שופטים אשר מקדישים לפעולה זו 18% מהזמן בלבד. ייתכן כי חלק משונות זו נובעת, נוסף על אופי העבודה וחלוקת המשימות השונה במעט בין שופט לרשם, גם מכך שלמרבית הרשמים אין עוזרים משפטיים אלא מתמחים. על כך נרחיב את הפירוט בתת הפרק הבא. עוד ניתן לראות, כי שופטים מקדישים בממוצע את עיקר זמנם לשמיעת דיונים </w:t>
      </w:r>
      <w:r w:rsidRPr="00F25744">
        <w:rPr>
          <w:rFonts w:ascii="David" w:hAnsi="David" w:cs="David"/>
          <w:sz w:val="24"/>
          <w:szCs w:val="24"/>
          <w:rtl/>
        </w:rPr>
        <w:t>–</w:t>
      </w:r>
      <w:r w:rsidRPr="00F25744">
        <w:rPr>
          <w:rFonts w:ascii="David" w:hAnsi="David" w:cs="David" w:hint="cs"/>
          <w:sz w:val="24"/>
          <w:szCs w:val="24"/>
          <w:rtl/>
        </w:rPr>
        <w:t xml:space="preserve"> 31.7% מהיום, לעומת רשמים אשר שומעים דיונים 28% מהיום. עם זאת, רשמים מקדישים מעט יותר זמן להכנה לדיונים לעומת שופטים </w:t>
      </w:r>
      <w:r w:rsidRPr="00F25744">
        <w:rPr>
          <w:rFonts w:ascii="David" w:hAnsi="David" w:cs="David"/>
          <w:sz w:val="24"/>
          <w:szCs w:val="24"/>
          <w:rtl/>
        </w:rPr>
        <w:t>–</w:t>
      </w:r>
      <w:r w:rsidRPr="00F25744">
        <w:rPr>
          <w:rFonts w:ascii="David" w:hAnsi="David" w:cs="David" w:hint="cs"/>
          <w:sz w:val="24"/>
          <w:szCs w:val="24"/>
          <w:rtl/>
        </w:rPr>
        <w:t xml:space="preserve"> 13.6% מהיום לעומת 13.1% מהיום, בהתאמה. ניתן לראות כי שופטים מקדישים זמן רב יותר מהרשמים לעבודה שיפוטית שאינה קשורה בתיקים </w:t>
      </w:r>
      <w:r w:rsidRPr="00F25744">
        <w:rPr>
          <w:rFonts w:ascii="David" w:hAnsi="David" w:cs="David"/>
          <w:sz w:val="24"/>
          <w:szCs w:val="24"/>
          <w:rtl/>
        </w:rPr>
        <w:t>–</w:t>
      </w:r>
      <w:r w:rsidRPr="00F25744">
        <w:rPr>
          <w:rFonts w:ascii="David" w:hAnsi="David" w:cs="David" w:hint="cs"/>
          <w:sz w:val="24"/>
          <w:szCs w:val="24"/>
          <w:rtl/>
        </w:rPr>
        <w:t xml:space="preserve"> 12.1% לעומת 8.9% מהיום בהתאמה. ייתכן כי ההבדל נובע מתפקידים נוספים שבהם נושאים חלק מן השופטים, או שגם כאן יש קשר לעובדה שלמרבית הרשמים אין עוזר משפטי. </w:t>
      </w:r>
    </w:p>
    <w:p w14:paraId="4244C7D6" w14:textId="4242A25B" w:rsidR="00840519" w:rsidRPr="00F25744" w:rsidRDefault="00E25AE7" w:rsidP="00AD3218">
      <w:pPr>
        <w:pStyle w:val="2"/>
        <w:rPr>
          <w:rtl/>
        </w:rPr>
      </w:pPr>
      <w:bookmarkStart w:id="561" w:name="_Toc46226076"/>
      <w:bookmarkStart w:id="562" w:name="_Toc46226220"/>
      <w:bookmarkStart w:id="563" w:name="_Toc46228387"/>
      <w:bookmarkStart w:id="564" w:name="_Toc46228485"/>
      <w:bookmarkStart w:id="565" w:name="_Toc46230412"/>
      <w:bookmarkStart w:id="566" w:name="_Toc46230510"/>
      <w:bookmarkStart w:id="567" w:name="_Toc46310400"/>
      <w:bookmarkStart w:id="568" w:name="_Toc46414042"/>
      <w:bookmarkStart w:id="569" w:name="_Toc49352762"/>
      <w:bookmarkStart w:id="570" w:name="_Toc49429667"/>
      <w:bookmarkStart w:id="571" w:name="_Toc49435896"/>
      <w:r w:rsidRPr="00F25744">
        <w:rPr>
          <w:rtl/>
        </w:rPr>
        <w:br w:type="page"/>
      </w:r>
      <w:r w:rsidR="00A54D82" w:rsidRPr="00A54D82">
        <w:rPr>
          <w:rFonts w:hint="cs"/>
          <w:u w:val="none"/>
          <w:rtl/>
        </w:rPr>
        <w:lastRenderedPageBreak/>
        <w:t xml:space="preserve"> </w:t>
      </w:r>
      <w:bookmarkStart w:id="572" w:name="_Toc74751002"/>
      <w:r w:rsidR="00936625" w:rsidRPr="00F25744">
        <w:rPr>
          <w:rFonts w:hint="cs"/>
          <w:rtl/>
        </w:rPr>
        <w:t xml:space="preserve">ממצאי </w:t>
      </w:r>
      <w:r w:rsidR="00D775BC" w:rsidRPr="00F25744">
        <w:rPr>
          <w:rFonts w:hint="cs"/>
          <w:rtl/>
        </w:rPr>
        <w:t>בתי המשפט ל</w:t>
      </w:r>
      <w:r w:rsidR="007F3A52" w:rsidRPr="00F25744">
        <w:rPr>
          <w:rFonts w:hint="cs"/>
          <w:rtl/>
        </w:rPr>
        <w:t>תעבורה</w:t>
      </w:r>
      <w:bookmarkEnd w:id="561"/>
      <w:bookmarkEnd w:id="562"/>
      <w:bookmarkEnd w:id="563"/>
      <w:bookmarkEnd w:id="564"/>
      <w:bookmarkEnd w:id="565"/>
      <w:bookmarkEnd w:id="566"/>
      <w:bookmarkEnd w:id="567"/>
      <w:bookmarkEnd w:id="568"/>
      <w:bookmarkEnd w:id="569"/>
      <w:bookmarkEnd w:id="570"/>
      <w:bookmarkEnd w:id="571"/>
      <w:bookmarkEnd w:id="572"/>
    </w:p>
    <w:p w14:paraId="63B34138" w14:textId="77777777" w:rsidR="00293140" w:rsidRPr="00F25744" w:rsidRDefault="00293140" w:rsidP="001B0FA3">
      <w:pPr>
        <w:spacing w:after="0" w:line="240" w:lineRule="auto"/>
        <w:rPr>
          <w:rtl/>
        </w:rPr>
      </w:pPr>
    </w:p>
    <w:p w14:paraId="6ED9F16F" w14:textId="77777777" w:rsidR="00840519" w:rsidRPr="00F25744" w:rsidRDefault="00E25AE7" w:rsidP="00A54D82">
      <w:pPr>
        <w:pStyle w:val="3"/>
        <w:ind w:left="852"/>
      </w:pPr>
      <w:bookmarkStart w:id="573" w:name="_Toc46226077"/>
      <w:bookmarkStart w:id="574" w:name="_Toc46226221"/>
      <w:bookmarkStart w:id="575" w:name="_Toc46228388"/>
      <w:bookmarkStart w:id="576" w:name="_Toc46228486"/>
      <w:bookmarkStart w:id="577" w:name="_Toc46230413"/>
      <w:bookmarkStart w:id="578" w:name="_Toc46230511"/>
      <w:bookmarkStart w:id="579" w:name="_Toc46310401"/>
      <w:bookmarkStart w:id="580" w:name="_Toc46414043"/>
      <w:bookmarkStart w:id="581" w:name="_Toc49352763"/>
      <w:bookmarkStart w:id="582" w:name="_Toc49429668"/>
      <w:bookmarkStart w:id="583" w:name="_Toc49435897"/>
      <w:bookmarkStart w:id="584" w:name="_Toc74751003"/>
      <w:r w:rsidRPr="00F25744">
        <w:rPr>
          <w:rFonts w:hint="cs"/>
          <w:rtl/>
        </w:rPr>
        <w:t xml:space="preserve">התאמות ליומני השופטים </w:t>
      </w:r>
      <w:r w:rsidR="00D775BC" w:rsidRPr="00F25744">
        <w:rPr>
          <w:rFonts w:hint="cs"/>
          <w:rtl/>
        </w:rPr>
        <w:t>בבתי המשפט ל</w:t>
      </w:r>
      <w:r w:rsidRPr="00F25744">
        <w:rPr>
          <w:rFonts w:hint="cs"/>
          <w:rtl/>
        </w:rPr>
        <w:t>תעבורה</w:t>
      </w:r>
      <w:bookmarkEnd w:id="573"/>
      <w:bookmarkEnd w:id="574"/>
      <w:bookmarkEnd w:id="575"/>
      <w:bookmarkEnd w:id="576"/>
      <w:bookmarkEnd w:id="577"/>
      <w:bookmarkEnd w:id="578"/>
      <w:bookmarkEnd w:id="579"/>
      <w:bookmarkEnd w:id="580"/>
      <w:bookmarkEnd w:id="581"/>
      <w:bookmarkEnd w:id="582"/>
      <w:bookmarkEnd w:id="583"/>
      <w:bookmarkEnd w:id="584"/>
      <w:r w:rsidRPr="00F25744">
        <w:rPr>
          <w:rFonts w:hint="cs"/>
          <w:rtl/>
        </w:rPr>
        <w:t xml:space="preserve"> </w:t>
      </w:r>
    </w:p>
    <w:p w14:paraId="3A102556" w14:textId="77777777" w:rsidR="00554AEA" w:rsidRPr="00F25744" w:rsidRDefault="00E25AE7" w:rsidP="001B0FA3">
      <w:pPr>
        <w:spacing w:before="120" w:after="0" w:line="360" w:lineRule="auto"/>
        <w:jc w:val="both"/>
        <w:rPr>
          <w:rFonts w:cs="David"/>
          <w:sz w:val="24"/>
          <w:szCs w:val="24"/>
          <w:rtl/>
        </w:rPr>
      </w:pPr>
      <w:r w:rsidRPr="00F25744">
        <w:rPr>
          <w:rFonts w:cs="David" w:hint="cs"/>
          <w:sz w:val="24"/>
          <w:szCs w:val="24"/>
          <w:rtl/>
        </w:rPr>
        <w:t xml:space="preserve">בפרק 2 שעסק במתודולוגיית המחקר, הצגנו את המבנה הבסיסי של היומן שאותו מילאו השופטים במהלך חמשת שבועות המחקר. ביומן בסיסי זה, אשר תיעד את הזמן השיפוטי שאותו הקדישו השופטים במהלך יום העבודה שלהם בפילוח לפעולות השיפוטיות השונות, ערכנו את ההתאמות הבאות לאופי הדיונים הייחודי של </w:t>
      </w:r>
      <w:r w:rsidR="00E00900" w:rsidRPr="00F25744">
        <w:rPr>
          <w:rFonts w:cs="David" w:hint="cs"/>
          <w:sz w:val="24"/>
          <w:szCs w:val="24"/>
          <w:rtl/>
        </w:rPr>
        <w:t>בתי המשפט ל</w:t>
      </w:r>
      <w:r w:rsidRPr="00F25744">
        <w:rPr>
          <w:rFonts w:cs="David" w:hint="cs"/>
          <w:sz w:val="24"/>
          <w:szCs w:val="24"/>
          <w:rtl/>
        </w:rPr>
        <w:t xml:space="preserve">תעבורה:    </w:t>
      </w:r>
      <w:r w:rsidR="007F3A52" w:rsidRPr="00F25744">
        <w:rPr>
          <w:rFonts w:cs="David" w:hint="cs"/>
          <w:sz w:val="24"/>
          <w:szCs w:val="24"/>
          <w:rtl/>
        </w:rPr>
        <w:t xml:space="preserve">  </w:t>
      </w:r>
    </w:p>
    <w:p w14:paraId="18753161" w14:textId="77777777" w:rsidR="00554AEA" w:rsidRPr="00F25744" w:rsidRDefault="00E25AE7" w:rsidP="001B0FA3">
      <w:pPr>
        <w:numPr>
          <w:ilvl w:val="0"/>
          <w:numId w:val="19"/>
        </w:numPr>
        <w:spacing w:before="120" w:after="0" w:line="360" w:lineRule="auto"/>
        <w:ind w:left="425" w:hanging="425"/>
        <w:jc w:val="both"/>
        <w:rPr>
          <w:rFonts w:cs="David"/>
          <w:sz w:val="24"/>
          <w:szCs w:val="24"/>
        </w:rPr>
      </w:pPr>
      <w:r w:rsidRPr="00F25744">
        <w:rPr>
          <w:rFonts w:cs="David" w:hint="cs"/>
          <w:b/>
          <w:bCs/>
          <w:sz w:val="24"/>
          <w:szCs w:val="24"/>
          <w:rtl/>
        </w:rPr>
        <w:t>הכנה לימי הקראות</w:t>
      </w:r>
      <w:r w:rsidRPr="00F25744">
        <w:rPr>
          <w:rFonts w:cs="David" w:hint="cs"/>
          <w:sz w:val="24"/>
          <w:szCs w:val="24"/>
          <w:rtl/>
        </w:rPr>
        <w:t xml:space="preserve"> </w:t>
      </w:r>
      <w:r w:rsidRPr="00F25744">
        <w:rPr>
          <w:rFonts w:cs="David"/>
          <w:sz w:val="24"/>
          <w:szCs w:val="24"/>
          <w:rtl/>
        </w:rPr>
        <w:t>–</w:t>
      </w:r>
      <w:r w:rsidRPr="00F25744">
        <w:rPr>
          <w:rFonts w:cs="David" w:hint="cs"/>
          <w:sz w:val="24"/>
          <w:szCs w:val="24"/>
          <w:rtl/>
        </w:rPr>
        <w:t xml:space="preserve"> </w:t>
      </w:r>
      <w:r w:rsidR="00E00900" w:rsidRPr="00F25744">
        <w:rPr>
          <w:rFonts w:cs="David" w:hint="cs"/>
          <w:sz w:val="24"/>
          <w:szCs w:val="24"/>
          <w:rtl/>
        </w:rPr>
        <w:t>בבתי המשפט לתעבורה</w:t>
      </w:r>
      <w:r w:rsidRPr="00F25744">
        <w:rPr>
          <w:rFonts w:cs="David" w:hint="cs"/>
          <w:sz w:val="24"/>
          <w:szCs w:val="24"/>
          <w:rtl/>
        </w:rPr>
        <w:t xml:space="preserve"> עלתה סוגית ימי ההקראות, אשר בהם, בדומה לימי המוקד בערכאת השלום, נשמעים מספר רב של תיקים לצורך דיון </w:t>
      </w:r>
      <w:r w:rsidR="009E2AA4" w:rsidRPr="00F25744">
        <w:rPr>
          <w:rFonts w:cs="David" w:hint="cs"/>
          <w:sz w:val="24"/>
          <w:szCs w:val="24"/>
          <w:rtl/>
        </w:rPr>
        <w:t>מקדמי</w:t>
      </w:r>
      <w:r w:rsidRPr="00F25744">
        <w:rPr>
          <w:rFonts w:cs="David" w:hint="cs"/>
          <w:sz w:val="24"/>
          <w:szCs w:val="24"/>
          <w:rtl/>
        </w:rPr>
        <w:t xml:space="preserve">, בדרך כלל תיקים מסוג תת"ע (תיק תעבורה). לנוכח הכמות הגדולה של התיקים שנשמעים בימים אלו, הבנו כי לא ניתן יהיה לבקש מן השופטים כי ימלאו שורה נפרדת לצורך דיווח על ההכנה לאותם דיונים (הדיווח על הדיונים עצמם נעשה כאמור ביומני הקלדניות, והותאם לצורך העניין יומן מיוחד, כמפורט בפרק העוסק ביומני הקלדניות). על כן, על מנת להקל על השופטים במילוי היומנים בהכנה לימים אלו, הנחינו אותם לציין במסגרת עמודת הכנה לדיון שאינו הוכחות את </w:t>
      </w:r>
      <w:r w:rsidRPr="00F25744">
        <w:rPr>
          <w:rFonts w:cs="David" w:hint="cs"/>
          <w:b/>
          <w:bCs/>
          <w:sz w:val="24"/>
          <w:szCs w:val="24"/>
          <w:rtl/>
        </w:rPr>
        <w:t>מספר</w:t>
      </w:r>
      <w:r w:rsidRPr="00F25744">
        <w:rPr>
          <w:rFonts w:cs="David" w:hint="cs"/>
          <w:sz w:val="24"/>
          <w:szCs w:val="24"/>
          <w:rtl/>
        </w:rPr>
        <w:t xml:space="preserve"> התיקים מאותו סוג שאליהם התכוננו. </w:t>
      </w:r>
    </w:p>
    <w:p w14:paraId="62F4279C" w14:textId="77777777" w:rsidR="00554AEA" w:rsidRPr="00F25744" w:rsidRDefault="00E25AE7" w:rsidP="001B0FA3">
      <w:pPr>
        <w:numPr>
          <w:ilvl w:val="0"/>
          <w:numId w:val="19"/>
        </w:numPr>
        <w:spacing w:before="120" w:after="0" w:line="360" w:lineRule="auto"/>
        <w:ind w:left="425" w:hanging="425"/>
        <w:jc w:val="both"/>
        <w:rPr>
          <w:rFonts w:cs="David"/>
          <w:sz w:val="24"/>
          <w:szCs w:val="24"/>
        </w:rPr>
      </w:pPr>
      <w:r w:rsidRPr="00F25744">
        <w:rPr>
          <w:rFonts w:cs="David" w:hint="cs"/>
          <w:b/>
          <w:bCs/>
          <w:sz w:val="24"/>
          <w:szCs w:val="24"/>
          <w:rtl/>
        </w:rPr>
        <w:t xml:space="preserve">תיקים הנסגרים בהסדרי טיעון </w:t>
      </w:r>
      <w:r w:rsidRPr="00F25744">
        <w:rPr>
          <w:rFonts w:cs="David"/>
          <w:sz w:val="24"/>
          <w:szCs w:val="24"/>
          <w:rtl/>
        </w:rPr>
        <w:t>–</w:t>
      </w:r>
      <w:r w:rsidRPr="00F25744">
        <w:rPr>
          <w:rFonts w:cs="David" w:hint="cs"/>
          <w:sz w:val="24"/>
          <w:szCs w:val="24"/>
          <w:rtl/>
        </w:rPr>
        <w:t xml:space="preserve"> לגבי </w:t>
      </w:r>
      <w:r w:rsidRPr="00F25744">
        <w:rPr>
          <w:rFonts w:cs="David" w:hint="cs"/>
          <w:b/>
          <w:bCs/>
          <w:sz w:val="24"/>
          <w:szCs w:val="24"/>
          <w:rtl/>
        </w:rPr>
        <w:t>התיקים הפליליים</w:t>
      </w:r>
      <w:r w:rsidRPr="00F25744">
        <w:rPr>
          <w:rFonts w:cs="David" w:hint="cs"/>
          <w:sz w:val="24"/>
          <w:szCs w:val="24"/>
          <w:rtl/>
        </w:rPr>
        <w:t xml:space="preserve">, הוספנו עמודה המתייחסת לכתיבת פסקי הדין בתיקים שנסגרו </w:t>
      </w:r>
      <w:r w:rsidRPr="00F25744">
        <w:rPr>
          <w:rFonts w:cs="David" w:hint="cs"/>
          <w:b/>
          <w:bCs/>
          <w:sz w:val="24"/>
          <w:szCs w:val="24"/>
          <w:rtl/>
        </w:rPr>
        <w:t>בהסדר טיעון</w:t>
      </w:r>
      <w:r w:rsidRPr="00F25744">
        <w:rPr>
          <w:rFonts w:cs="David" w:hint="cs"/>
          <w:sz w:val="24"/>
          <w:szCs w:val="24"/>
          <w:rtl/>
        </w:rPr>
        <w:t>, תוך הבחנה בין הסדר טיעון פתוח, סגור או הסדר טיעון שבו ניתן טווח ענישה, מתוך הנחה שזמני הכתיבה של פסקי הדין בכל אחת מהאפשרויות הללו שונים. כאן המקום להדגיש כי ברור לנו שמרביתם המכרעת של פסקי הדין בתיקי</w:t>
      </w:r>
      <w:r w:rsidR="009E2AA4" w:rsidRPr="00F25744">
        <w:rPr>
          <w:rFonts w:cs="David" w:hint="cs"/>
          <w:sz w:val="24"/>
          <w:szCs w:val="24"/>
          <w:rtl/>
        </w:rPr>
        <w:t xml:space="preserve"> התעבורה</w:t>
      </w:r>
      <w:r w:rsidRPr="00F25744">
        <w:rPr>
          <w:rFonts w:cs="David" w:hint="cs"/>
          <w:sz w:val="24"/>
          <w:szCs w:val="24"/>
          <w:rtl/>
        </w:rPr>
        <w:t xml:space="preserve">, במיוחד אלו שניתנים לאחר הסדר טיעון סגור, מוכתבים וניתנים באולם. במקרים אלו, זמני כתיבת פסק הדין שניתן באולם חושבו כחלק מזמן הדיון. אולם, על מנת שנוכל למדוד את זמני הכתיבה לגבי אותם פסקי דין פליליים שבכל זאת נכתבו מחוץ לאולם, הוספנו את עמודת הסדרי הטיעון.  </w:t>
      </w:r>
    </w:p>
    <w:p w14:paraId="4BA06F8D" w14:textId="77777777" w:rsidR="001B0FA3" w:rsidRPr="00F25744" w:rsidRDefault="001B0FA3" w:rsidP="000C1408">
      <w:pPr>
        <w:spacing w:after="0" w:line="240" w:lineRule="auto"/>
        <w:jc w:val="both"/>
        <w:rPr>
          <w:rFonts w:cs="David"/>
          <w:sz w:val="24"/>
          <w:szCs w:val="24"/>
          <w:rtl/>
        </w:rPr>
      </w:pPr>
    </w:p>
    <w:p w14:paraId="64E452EE" w14:textId="77777777" w:rsidR="00044A7F" w:rsidRPr="00F25744" w:rsidRDefault="00E25AE7" w:rsidP="001B0FA3">
      <w:pPr>
        <w:spacing w:before="120" w:after="0" w:line="360" w:lineRule="auto"/>
        <w:jc w:val="both"/>
        <w:rPr>
          <w:rFonts w:cs="David"/>
          <w:sz w:val="24"/>
          <w:szCs w:val="24"/>
          <w:rtl/>
        </w:rPr>
      </w:pPr>
      <w:r w:rsidRPr="00F25744">
        <w:rPr>
          <w:rFonts w:cs="David" w:hint="cs"/>
          <w:sz w:val="24"/>
          <w:szCs w:val="24"/>
          <w:rtl/>
        </w:rPr>
        <w:t xml:space="preserve">ניתן להתרשם מיומן העבודה השיפוטי שנבנה עבור </w:t>
      </w:r>
      <w:r w:rsidR="00E00900" w:rsidRPr="00F25744">
        <w:rPr>
          <w:rFonts w:cs="David" w:hint="cs"/>
          <w:sz w:val="24"/>
          <w:szCs w:val="24"/>
          <w:rtl/>
        </w:rPr>
        <w:t xml:space="preserve">בתי המשפט לתעבורה </w:t>
      </w:r>
      <w:r w:rsidRPr="00F25744">
        <w:rPr>
          <w:rFonts w:cs="David" w:hint="cs"/>
          <w:sz w:val="24"/>
          <w:szCs w:val="24"/>
          <w:rtl/>
        </w:rPr>
        <w:t>ביומן לדוגמה המצורף כ</w:t>
      </w:r>
      <w:r w:rsidR="007F3A52" w:rsidRPr="00F25744">
        <w:rPr>
          <w:rFonts w:cs="David" w:hint="cs"/>
          <w:b/>
          <w:bCs/>
          <w:sz w:val="24"/>
          <w:szCs w:val="24"/>
          <w:rtl/>
        </w:rPr>
        <w:t>נספח</w:t>
      </w:r>
      <w:r w:rsidR="007F3A52" w:rsidRPr="00F25744">
        <w:rPr>
          <w:rFonts w:cs="David" w:hint="cs"/>
          <w:sz w:val="24"/>
          <w:szCs w:val="24"/>
          <w:rtl/>
        </w:rPr>
        <w:t xml:space="preserve"> </w:t>
      </w:r>
      <w:r w:rsidR="007F3A52" w:rsidRPr="00F25744">
        <w:rPr>
          <w:rFonts w:cs="David" w:hint="cs"/>
          <w:b/>
          <w:bCs/>
          <w:sz w:val="24"/>
          <w:szCs w:val="24"/>
          <w:rtl/>
        </w:rPr>
        <w:t>ד3</w:t>
      </w:r>
      <w:r w:rsidR="007F3A52" w:rsidRPr="00F25744">
        <w:rPr>
          <w:rFonts w:cs="David" w:hint="cs"/>
          <w:sz w:val="24"/>
          <w:szCs w:val="24"/>
          <w:rtl/>
        </w:rPr>
        <w:t xml:space="preserve">. </w:t>
      </w:r>
    </w:p>
    <w:p w14:paraId="264E6514" w14:textId="77777777" w:rsidR="00554AEA" w:rsidRPr="00F25744" w:rsidRDefault="00554AEA" w:rsidP="001B0FA3">
      <w:pPr>
        <w:spacing w:after="0" w:line="240" w:lineRule="auto"/>
        <w:jc w:val="both"/>
        <w:rPr>
          <w:rFonts w:cs="David"/>
          <w:sz w:val="24"/>
          <w:szCs w:val="24"/>
        </w:rPr>
      </w:pPr>
    </w:p>
    <w:p w14:paraId="28888A55" w14:textId="77777777" w:rsidR="00840519" w:rsidRPr="00F25744" w:rsidRDefault="00E25AE7" w:rsidP="00A54D82">
      <w:pPr>
        <w:pStyle w:val="3"/>
        <w:ind w:left="852"/>
        <w:rPr>
          <w:rtl/>
        </w:rPr>
      </w:pPr>
      <w:bookmarkStart w:id="585" w:name="_Toc49352764"/>
      <w:bookmarkStart w:id="586" w:name="_Toc49429669"/>
      <w:bookmarkStart w:id="587" w:name="_Toc49435898"/>
      <w:bookmarkStart w:id="588" w:name="_Toc74751004"/>
      <w:bookmarkStart w:id="589" w:name="_Toc46226078"/>
      <w:bookmarkStart w:id="590" w:name="_Toc46226222"/>
      <w:bookmarkStart w:id="591" w:name="_Toc46228389"/>
      <w:bookmarkStart w:id="592" w:name="_Toc46228487"/>
      <w:bookmarkStart w:id="593" w:name="_Toc46230414"/>
      <w:bookmarkStart w:id="594" w:name="_Toc46230512"/>
      <w:bookmarkStart w:id="595" w:name="_Toc46310402"/>
      <w:bookmarkStart w:id="596" w:name="_Toc46414044"/>
      <w:r w:rsidRPr="00F25744">
        <w:rPr>
          <w:rFonts w:hint="cs"/>
          <w:rtl/>
        </w:rPr>
        <w:t xml:space="preserve">הזמן השיפוטי הדרוש לטיפול בתיקי </w:t>
      </w:r>
      <w:r w:rsidR="00E00900" w:rsidRPr="00F25744">
        <w:rPr>
          <w:rFonts w:hint="cs"/>
          <w:rtl/>
        </w:rPr>
        <w:t>בתי המשפט לתעבורה</w:t>
      </w:r>
      <w:bookmarkEnd w:id="585"/>
      <w:bookmarkEnd w:id="586"/>
      <w:bookmarkEnd w:id="587"/>
      <w:bookmarkEnd w:id="588"/>
      <w:r w:rsidR="00E00900" w:rsidRPr="00F25744">
        <w:rPr>
          <w:rFonts w:hint="cs"/>
          <w:rtl/>
        </w:rPr>
        <w:t xml:space="preserve"> </w:t>
      </w:r>
      <w:bookmarkEnd w:id="589"/>
      <w:bookmarkEnd w:id="590"/>
      <w:bookmarkEnd w:id="591"/>
      <w:bookmarkEnd w:id="592"/>
      <w:bookmarkEnd w:id="593"/>
      <w:bookmarkEnd w:id="594"/>
      <w:bookmarkEnd w:id="595"/>
      <w:bookmarkEnd w:id="596"/>
    </w:p>
    <w:p w14:paraId="192F9F18" w14:textId="77777777" w:rsidR="008677EE" w:rsidRPr="00F25744" w:rsidRDefault="00E25AE7" w:rsidP="001B0FA3">
      <w:pPr>
        <w:spacing w:before="120" w:after="0" w:line="360" w:lineRule="auto"/>
        <w:jc w:val="both"/>
        <w:rPr>
          <w:rFonts w:cs="David"/>
          <w:sz w:val="24"/>
          <w:szCs w:val="24"/>
          <w:rtl/>
        </w:rPr>
      </w:pPr>
      <w:r w:rsidRPr="00F25744">
        <w:rPr>
          <w:rFonts w:cs="David" w:hint="cs"/>
          <w:sz w:val="24"/>
          <w:szCs w:val="24"/>
          <w:rtl/>
        </w:rPr>
        <w:t xml:space="preserve">התוצר הראשון של מחקר עומס העבודה השיפוטית הוא חישוב הזמן השיפוטי הדרוש לטיפול בכל אחד מסוגי התיקים השונים </w:t>
      </w:r>
      <w:r w:rsidR="00E00900" w:rsidRPr="00F25744">
        <w:rPr>
          <w:rFonts w:cs="David" w:hint="cs"/>
          <w:sz w:val="24"/>
          <w:szCs w:val="24"/>
          <w:rtl/>
        </w:rPr>
        <w:t>בבתי המשפט לתעבורה</w:t>
      </w:r>
      <w:r w:rsidRPr="00F25744">
        <w:rPr>
          <w:rFonts w:cs="David" w:hint="cs"/>
          <w:sz w:val="24"/>
          <w:szCs w:val="24"/>
          <w:rtl/>
        </w:rPr>
        <w:t>. המחקר הנוכחי הצליח לחשב את הזמן השיפוטי הדרוש לטיפול ב-</w:t>
      </w:r>
      <w:r w:rsidR="00992EB4" w:rsidRPr="00F25744">
        <w:rPr>
          <w:rFonts w:cs="David" w:hint="cs"/>
          <w:sz w:val="24"/>
          <w:szCs w:val="24"/>
          <w:rtl/>
        </w:rPr>
        <w:t>18</w:t>
      </w:r>
      <w:r w:rsidRPr="00F25744">
        <w:rPr>
          <w:rFonts w:cs="David" w:hint="cs"/>
          <w:sz w:val="24"/>
          <w:szCs w:val="24"/>
          <w:rtl/>
        </w:rPr>
        <w:t xml:space="preserve"> סוגי התיקים העיקריים ב</w:t>
      </w:r>
      <w:r w:rsidR="00E00900" w:rsidRPr="00F25744">
        <w:rPr>
          <w:rFonts w:cs="David" w:hint="cs"/>
          <w:sz w:val="24"/>
          <w:szCs w:val="24"/>
          <w:rtl/>
        </w:rPr>
        <w:t>בתי המשפט לתעבורה</w:t>
      </w:r>
      <w:r w:rsidRPr="00F25744">
        <w:rPr>
          <w:rFonts w:cs="David" w:hint="cs"/>
          <w:sz w:val="24"/>
          <w:szCs w:val="24"/>
          <w:rtl/>
        </w:rPr>
        <w:t xml:space="preserve">, אשר מהווים למעלה מ-98% מכלל תיקי התעבורה שנסגרו במהלך שנת 2019. כך, שגם אם לא התאפשר לחשב את הזמן השיפוטי הדרוש לפחות מ-2% מכלל התיקים האחרים, הרי שההשפעה של סוגי התיקים שלגביהם לא חושב הזמן השיפוטי על העומס אינה משמעותית.  </w:t>
      </w:r>
    </w:p>
    <w:p w14:paraId="52F728BF" w14:textId="77777777" w:rsidR="008677EE" w:rsidRPr="00F25744" w:rsidRDefault="00E25AE7" w:rsidP="001B0FA3">
      <w:pPr>
        <w:spacing w:before="120" w:after="0" w:line="360" w:lineRule="auto"/>
        <w:jc w:val="both"/>
        <w:rPr>
          <w:rFonts w:cs="David"/>
          <w:sz w:val="24"/>
          <w:szCs w:val="24"/>
          <w:rtl/>
        </w:rPr>
      </w:pPr>
      <w:r w:rsidRPr="00F25744">
        <w:rPr>
          <w:rFonts w:cs="David" w:hint="cs"/>
          <w:sz w:val="24"/>
          <w:szCs w:val="24"/>
          <w:rtl/>
        </w:rPr>
        <w:lastRenderedPageBreak/>
        <w:t xml:space="preserve">אם כן, בטבלה שלפניכם מובאים </w:t>
      </w:r>
      <w:r w:rsidR="005A5642" w:rsidRPr="00F25744">
        <w:rPr>
          <w:rFonts w:cs="David" w:hint="cs"/>
          <w:sz w:val="24"/>
          <w:szCs w:val="24"/>
          <w:rtl/>
        </w:rPr>
        <w:t>18</w:t>
      </w:r>
      <w:r w:rsidRPr="00F25744">
        <w:rPr>
          <w:rFonts w:cs="David" w:hint="cs"/>
          <w:sz w:val="24"/>
          <w:szCs w:val="24"/>
          <w:rtl/>
        </w:rPr>
        <w:t xml:space="preserve"> סוגי התיקים שלגביהם נאספו נתונים מספקים בכל מערכי המחקר לגבי </w:t>
      </w:r>
      <w:r w:rsidR="00040D38" w:rsidRPr="00F25744">
        <w:rPr>
          <w:rFonts w:cs="David" w:hint="cs"/>
          <w:sz w:val="24"/>
          <w:szCs w:val="24"/>
          <w:rtl/>
        </w:rPr>
        <w:t>בתי המשפט לתעבורה</w:t>
      </w:r>
      <w:r w:rsidRPr="00F25744">
        <w:rPr>
          <w:rFonts w:cs="David" w:hint="cs"/>
          <w:sz w:val="24"/>
          <w:szCs w:val="24"/>
          <w:rtl/>
        </w:rPr>
        <w:t xml:space="preserve">, יחד עם מספר התיקים מאותו סוג אשר נסגרו במהלך שנת 2019, הזמן השיפוטי הדרוש לטפל בהם, הזמן השיפוטי שנמדד במחקר הקודם ומגמת השינוי מהמחקר הקודם. </w:t>
      </w:r>
    </w:p>
    <w:p w14:paraId="6EE2F6BC" w14:textId="71094701" w:rsidR="001167E2" w:rsidRPr="00F25744" w:rsidRDefault="001167E2" w:rsidP="00B625FC">
      <w:pPr>
        <w:spacing w:before="120" w:after="0" w:line="360" w:lineRule="auto"/>
        <w:jc w:val="both"/>
        <w:rPr>
          <w:rFonts w:cs="David"/>
          <w:sz w:val="24"/>
          <w:szCs w:val="24"/>
          <w:rtl/>
        </w:rPr>
      </w:pPr>
      <w:r w:rsidRPr="00F25744">
        <w:rPr>
          <w:rFonts w:cs="David" w:hint="cs"/>
          <w:sz w:val="24"/>
          <w:szCs w:val="24"/>
          <w:rtl/>
        </w:rPr>
        <w:t xml:space="preserve">ניתן לראות עלייה משמעותית בזמני הטיפול שנמדדו לתיק גמ"ר </w:t>
      </w:r>
      <w:r w:rsidRPr="00F25744">
        <w:rPr>
          <w:rFonts w:ascii="David" w:hAnsi="David" w:cs="David" w:hint="cs"/>
          <w:color w:val="000000"/>
          <w:sz w:val="24"/>
          <w:szCs w:val="24"/>
          <w:rtl/>
        </w:rPr>
        <w:t>(</w:t>
      </w:r>
      <w:r w:rsidRPr="00F25744">
        <w:rPr>
          <w:rFonts w:ascii="David" w:hAnsi="David" w:cs="David"/>
          <w:color w:val="000000"/>
          <w:sz w:val="24"/>
          <w:szCs w:val="24"/>
          <w:rtl/>
        </w:rPr>
        <w:t>גרימת מוות בנהיגה רשלנית</w:t>
      </w:r>
      <w:r w:rsidRPr="00F25744">
        <w:rPr>
          <w:rFonts w:ascii="David" w:hAnsi="David" w:cs="David" w:hint="cs"/>
          <w:color w:val="000000"/>
          <w:sz w:val="24"/>
          <w:szCs w:val="24"/>
          <w:rtl/>
        </w:rPr>
        <w:t>)</w:t>
      </w:r>
      <w:r w:rsidRPr="00F25744">
        <w:rPr>
          <w:rFonts w:ascii="David" w:hAnsi="David" w:cs="David"/>
          <w:color w:val="000000"/>
          <w:sz w:val="24"/>
          <w:szCs w:val="24"/>
          <w:rtl/>
        </w:rPr>
        <w:t xml:space="preserve"> </w:t>
      </w:r>
      <w:r w:rsidRPr="00F25744">
        <w:rPr>
          <w:rFonts w:cs="David" w:hint="cs"/>
          <w:sz w:val="24"/>
          <w:szCs w:val="24"/>
          <w:rtl/>
        </w:rPr>
        <w:t xml:space="preserve">לעומת המשקל המוערך שניתן לו במחקר הקודם. </w:t>
      </w:r>
      <w:r w:rsidR="00057C46" w:rsidRPr="00F25744">
        <w:rPr>
          <w:rFonts w:cs="David" w:hint="cs"/>
          <w:sz w:val="24"/>
          <w:szCs w:val="24"/>
          <w:rtl/>
        </w:rPr>
        <w:t xml:space="preserve">לאור ההפרש הגדול בזמנים, ערכנו </w:t>
      </w:r>
      <w:r w:rsidRPr="00F25744">
        <w:rPr>
          <w:rFonts w:cs="David" w:hint="cs"/>
          <w:sz w:val="24"/>
          <w:szCs w:val="24"/>
          <w:rtl/>
        </w:rPr>
        <w:t>שיח</w:t>
      </w:r>
      <w:r w:rsidR="00057C46" w:rsidRPr="00F25744">
        <w:rPr>
          <w:rFonts w:cs="David" w:hint="cs"/>
          <w:sz w:val="24"/>
          <w:szCs w:val="24"/>
          <w:rtl/>
        </w:rPr>
        <w:t xml:space="preserve">ות </w:t>
      </w:r>
      <w:r w:rsidRPr="00F25744">
        <w:rPr>
          <w:rFonts w:cs="David" w:hint="cs"/>
          <w:sz w:val="24"/>
          <w:szCs w:val="24"/>
          <w:rtl/>
        </w:rPr>
        <w:t>עם שני סגני נשיא</w:t>
      </w:r>
      <w:r w:rsidR="003256C8" w:rsidRPr="00F25744">
        <w:rPr>
          <w:rFonts w:cs="David" w:hint="cs"/>
          <w:sz w:val="24"/>
          <w:szCs w:val="24"/>
          <w:rtl/>
        </w:rPr>
        <w:t xml:space="preserve"> של בתי משפט לתעבורה. משיחות אלו</w:t>
      </w:r>
      <w:r w:rsidRPr="00F25744">
        <w:rPr>
          <w:rFonts w:cs="David" w:hint="cs"/>
          <w:sz w:val="24"/>
          <w:szCs w:val="24"/>
          <w:rtl/>
        </w:rPr>
        <w:t xml:space="preserve"> </w:t>
      </w:r>
      <w:r w:rsidR="003256C8" w:rsidRPr="00F25744">
        <w:rPr>
          <w:rFonts w:cs="David" w:hint="cs"/>
          <w:sz w:val="24"/>
          <w:szCs w:val="24"/>
          <w:rtl/>
        </w:rPr>
        <w:t>על</w:t>
      </w:r>
      <w:r w:rsidRPr="00F25744">
        <w:rPr>
          <w:rFonts w:cs="David" w:hint="cs"/>
          <w:sz w:val="24"/>
          <w:szCs w:val="24"/>
          <w:rtl/>
        </w:rPr>
        <w:t>ה</w:t>
      </w:r>
      <w:r w:rsidR="003256C8" w:rsidRPr="00F25744">
        <w:rPr>
          <w:rFonts w:cs="David" w:hint="cs"/>
          <w:sz w:val="24"/>
          <w:szCs w:val="24"/>
          <w:rtl/>
        </w:rPr>
        <w:t>,</w:t>
      </w:r>
      <w:r w:rsidRPr="00F25744">
        <w:rPr>
          <w:rFonts w:cs="David" w:hint="cs"/>
          <w:sz w:val="24"/>
          <w:szCs w:val="24"/>
          <w:rtl/>
        </w:rPr>
        <w:t xml:space="preserve"> כי אכן עלייה זו משקפת את המציאות, מאחר שתיקים אלו נעשו מסובכים ומורכבים יותר בשנים האחרונות, הם כוללים עדים רבים, מומחים מטעם הצדדים ולעתים נדירות אף מינוי מומחה מטעם בית המשפט, כתיבה ארוכה ועוד. </w:t>
      </w:r>
      <w:r w:rsidR="007C0242" w:rsidRPr="00F25744">
        <w:rPr>
          <w:rFonts w:cs="David" w:hint="cs"/>
          <w:sz w:val="24"/>
          <w:szCs w:val="24"/>
          <w:rtl/>
        </w:rPr>
        <w:t xml:space="preserve">נקודה נוספת שעלתה משיחות אלו הייתה, כי </w:t>
      </w:r>
      <w:r w:rsidR="00E16B3A" w:rsidRPr="00F25744">
        <w:rPr>
          <w:rFonts w:cs="David" w:hint="cs"/>
          <w:sz w:val="24"/>
          <w:szCs w:val="24"/>
          <w:rtl/>
        </w:rPr>
        <w:t xml:space="preserve">נכונות הצדדים להסדרי טיעון </w:t>
      </w:r>
      <w:r w:rsidR="007C0242" w:rsidRPr="00F25744">
        <w:rPr>
          <w:rFonts w:cs="David" w:hint="cs"/>
          <w:sz w:val="24"/>
          <w:szCs w:val="24"/>
          <w:rtl/>
        </w:rPr>
        <w:t xml:space="preserve">כיום </w:t>
      </w:r>
      <w:r w:rsidR="00E16B3A" w:rsidRPr="00F25744">
        <w:rPr>
          <w:rFonts w:cs="David" w:hint="cs"/>
          <w:sz w:val="24"/>
          <w:szCs w:val="24"/>
          <w:rtl/>
        </w:rPr>
        <w:t>בתיקי גמ"ר פחותה לעומת שנים קודמות</w:t>
      </w:r>
      <w:r w:rsidR="007C0242" w:rsidRPr="00F25744">
        <w:rPr>
          <w:rFonts w:cs="David" w:hint="cs"/>
          <w:sz w:val="24"/>
          <w:szCs w:val="24"/>
          <w:rtl/>
        </w:rPr>
        <w:t xml:space="preserve">. ואכן, </w:t>
      </w:r>
      <w:r w:rsidR="00E16B3A" w:rsidRPr="00F25744">
        <w:rPr>
          <w:rFonts w:cs="David" w:hint="cs"/>
          <w:sz w:val="24"/>
          <w:szCs w:val="24"/>
          <w:rtl/>
        </w:rPr>
        <w:t>הערה</w:t>
      </w:r>
      <w:r w:rsidR="007C0242" w:rsidRPr="00F25744">
        <w:rPr>
          <w:rFonts w:cs="David" w:hint="cs"/>
          <w:sz w:val="24"/>
          <w:szCs w:val="24"/>
          <w:rtl/>
        </w:rPr>
        <w:t xml:space="preserve"> זו תואמת את הנתונים</w:t>
      </w:r>
      <w:r w:rsidR="00E16B3A" w:rsidRPr="00F25744">
        <w:rPr>
          <w:rFonts w:cs="David" w:hint="cs"/>
          <w:sz w:val="24"/>
          <w:szCs w:val="24"/>
          <w:rtl/>
        </w:rPr>
        <w:t xml:space="preserve"> שבידינו</w:t>
      </w:r>
      <w:r w:rsidR="007C0242" w:rsidRPr="00F25744">
        <w:rPr>
          <w:rFonts w:cs="David" w:hint="cs"/>
          <w:sz w:val="24"/>
          <w:szCs w:val="24"/>
          <w:rtl/>
        </w:rPr>
        <w:t xml:space="preserve"> </w:t>
      </w:r>
      <w:r w:rsidR="007C0242" w:rsidRPr="00F25744">
        <w:rPr>
          <w:rFonts w:cs="David"/>
          <w:sz w:val="24"/>
          <w:szCs w:val="24"/>
          <w:rtl/>
        </w:rPr>
        <w:t>–</w:t>
      </w:r>
      <w:r w:rsidR="007C0242" w:rsidRPr="00F25744">
        <w:rPr>
          <w:rFonts w:cs="David" w:hint="cs"/>
          <w:sz w:val="24"/>
          <w:szCs w:val="24"/>
          <w:rtl/>
        </w:rPr>
        <w:t xml:space="preserve"> לפי נתוני המחקר הקודם, </w:t>
      </w:r>
      <w:r w:rsidR="00B625FC" w:rsidRPr="00F25744">
        <w:rPr>
          <w:rFonts w:cs="David" w:hint="cs"/>
          <w:sz w:val="24"/>
          <w:szCs w:val="24"/>
          <w:rtl/>
        </w:rPr>
        <w:t>ב</w:t>
      </w:r>
      <w:r w:rsidR="007C0242" w:rsidRPr="00F25744">
        <w:rPr>
          <w:rFonts w:cs="David" w:hint="cs"/>
          <w:sz w:val="24"/>
          <w:szCs w:val="24"/>
          <w:rtl/>
        </w:rPr>
        <w:t xml:space="preserve">כשלושת רבעי מתיקי הגמ"ר </w:t>
      </w:r>
      <w:r w:rsidR="00B625FC" w:rsidRPr="00F25744">
        <w:rPr>
          <w:rFonts w:cs="David" w:hint="cs"/>
          <w:sz w:val="24"/>
          <w:szCs w:val="24"/>
          <w:rtl/>
        </w:rPr>
        <w:t>נערכו</w:t>
      </w:r>
      <w:r w:rsidR="007C0242" w:rsidRPr="00F25744">
        <w:rPr>
          <w:rFonts w:cs="David" w:hint="cs"/>
          <w:sz w:val="24"/>
          <w:szCs w:val="24"/>
          <w:rtl/>
        </w:rPr>
        <w:t xml:space="preserve">  הסדר</w:t>
      </w:r>
      <w:r w:rsidR="00B625FC" w:rsidRPr="00F25744">
        <w:rPr>
          <w:rFonts w:cs="David" w:hint="cs"/>
          <w:sz w:val="24"/>
          <w:szCs w:val="24"/>
          <w:rtl/>
        </w:rPr>
        <w:t>י טיעון כלשהם</w:t>
      </w:r>
      <w:r w:rsidR="007C0242" w:rsidRPr="00F25744">
        <w:rPr>
          <w:rFonts w:cs="David" w:hint="cs"/>
          <w:sz w:val="24"/>
          <w:szCs w:val="24"/>
          <w:rtl/>
        </w:rPr>
        <w:t xml:space="preserve"> (פתוח</w:t>
      </w:r>
      <w:r w:rsidR="00B625FC" w:rsidRPr="00F25744">
        <w:rPr>
          <w:rFonts w:cs="David" w:hint="cs"/>
          <w:sz w:val="24"/>
          <w:szCs w:val="24"/>
          <w:rtl/>
        </w:rPr>
        <w:t>ים</w:t>
      </w:r>
      <w:r w:rsidR="007C0242" w:rsidRPr="00F25744">
        <w:rPr>
          <w:rFonts w:cs="David" w:hint="cs"/>
          <w:sz w:val="24"/>
          <w:szCs w:val="24"/>
          <w:rtl/>
        </w:rPr>
        <w:t xml:space="preserve"> או סגור</w:t>
      </w:r>
      <w:r w:rsidR="00B625FC" w:rsidRPr="00F25744">
        <w:rPr>
          <w:rFonts w:cs="David" w:hint="cs"/>
          <w:sz w:val="24"/>
          <w:szCs w:val="24"/>
          <w:rtl/>
        </w:rPr>
        <w:t>ים</w:t>
      </w:r>
      <w:r w:rsidR="007C0242" w:rsidRPr="00F25744">
        <w:rPr>
          <w:rFonts w:cs="David" w:hint="cs"/>
          <w:sz w:val="24"/>
          <w:szCs w:val="24"/>
          <w:rtl/>
        </w:rPr>
        <w:t xml:space="preserve">), ולפי נתוני מחקר זה, </w:t>
      </w:r>
      <w:r w:rsidR="00B625FC" w:rsidRPr="00F25744">
        <w:rPr>
          <w:rFonts w:cs="David" w:hint="cs"/>
          <w:sz w:val="24"/>
          <w:szCs w:val="24"/>
          <w:rtl/>
        </w:rPr>
        <w:t>ב</w:t>
      </w:r>
      <w:r w:rsidR="007C0242" w:rsidRPr="00F25744">
        <w:rPr>
          <w:rFonts w:cs="David" w:hint="cs"/>
          <w:sz w:val="24"/>
          <w:szCs w:val="24"/>
          <w:rtl/>
        </w:rPr>
        <w:t>כמחצית מתיקי הגמ"ר</w:t>
      </w:r>
      <w:r w:rsidR="00B625FC" w:rsidRPr="00F25744">
        <w:rPr>
          <w:rFonts w:cs="David" w:hint="cs"/>
          <w:sz w:val="24"/>
          <w:szCs w:val="24"/>
          <w:rtl/>
        </w:rPr>
        <w:t xml:space="preserve"> נערכו </w:t>
      </w:r>
      <w:r w:rsidR="007C0242" w:rsidRPr="00F25744">
        <w:rPr>
          <w:rFonts w:cs="David" w:hint="cs"/>
          <w:sz w:val="24"/>
          <w:szCs w:val="24"/>
          <w:rtl/>
        </w:rPr>
        <w:t>הסדר</w:t>
      </w:r>
      <w:r w:rsidR="00B625FC" w:rsidRPr="00F25744">
        <w:rPr>
          <w:rFonts w:cs="David" w:hint="cs"/>
          <w:sz w:val="24"/>
          <w:szCs w:val="24"/>
          <w:rtl/>
        </w:rPr>
        <w:t>י</w:t>
      </w:r>
      <w:r w:rsidR="007C0242" w:rsidRPr="00F25744">
        <w:rPr>
          <w:rFonts w:cs="David" w:hint="cs"/>
          <w:sz w:val="24"/>
          <w:szCs w:val="24"/>
          <w:rtl/>
        </w:rPr>
        <w:t xml:space="preserve"> טיעון. </w:t>
      </w:r>
      <w:r w:rsidRPr="00F25744">
        <w:rPr>
          <w:rFonts w:cs="David" w:hint="cs"/>
          <w:sz w:val="24"/>
          <w:szCs w:val="24"/>
          <w:rtl/>
        </w:rPr>
        <w:t>אחד מסגני הנשיא אף סבר, כי המשקל שהוערך לתיק זה במחקר הקודם לא שיקף את זמני הט</w:t>
      </w:r>
      <w:r w:rsidR="007C0242" w:rsidRPr="00F25744">
        <w:rPr>
          <w:rFonts w:cs="David" w:hint="cs"/>
          <w:sz w:val="24"/>
          <w:szCs w:val="24"/>
          <w:rtl/>
        </w:rPr>
        <w:t>יפול האמתיים בו</w:t>
      </w:r>
      <w:r w:rsidRPr="00F25744">
        <w:rPr>
          <w:rFonts w:cs="David" w:hint="cs"/>
          <w:sz w:val="24"/>
          <w:szCs w:val="24"/>
          <w:rtl/>
        </w:rPr>
        <w:t>.</w:t>
      </w:r>
    </w:p>
    <w:p w14:paraId="142071DA" w14:textId="77777777" w:rsidR="00C12CA2" w:rsidRPr="00F25744" w:rsidRDefault="00E25AE7" w:rsidP="001B0FA3">
      <w:pPr>
        <w:spacing w:before="120" w:after="0" w:line="360" w:lineRule="auto"/>
        <w:jc w:val="both"/>
        <w:rPr>
          <w:rtl/>
        </w:rPr>
      </w:pPr>
      <w:r w:rsidRPr="00F25744">
        <w:rPr>
          <w:rFonts w:cs="David" w:hint="cs"/>
          <w:sz w:val="24"/>
          <w:szCs w:val="24"/>
          <w:rtl/>
        </w:rPr>
        <w:t>הטבלה מציגה את סוגי התיקים בסדר יורד, מן התיק שדרוש לו הזמן השיפוטי הארוך ביותר ועד התיק שדרוש לו הזמן השיפוטי הקצר ביותר.</w:t>
      </w:r>
    </w:p>
    <w:p w14:paraId="3BBC6CDF" w14:textId="77777777" w:rsidR="001B0FA3" w:rsidRPr="00F25744" w:rsidRDefault="001B0FA3" w:rsidP="001B0FA3">
      <w:pPr>
        <w:pStyle w:val="af6"/>
        <w:spacing w:after="0" w:line="240" w:lineRule="auto"/>
        <w:rPr>
          <w:rtl/>
        </w:rPr>
      </w:pPr>
    </w:p>
    <w:p w14:paraId="46A97516" w14:textId="3525F50C" w:rsidR="00554AEA" w:rsidRPr="00F25744" w:rsidRDefault="00E25AE7" w:rsidP="001B0FA3">
      <w:pPr>
        <w:pStyle w:val="af6"/>
        <w:spacing w:after="0"/>
        <w:rPr>
          <w:sz w:val="24"/>
          <w:rtl/>
        </w:rPr>
      </w:pPr>
      <w:bookmarkStart w:id="597" w:name="_Toc76988909"/>
      <w:r w:rsidRPr="00F25744">
        <w:rPr>
          <w:rtl/>
        </w:rPr>
        <w:t xml:space="preserve">טבלה </w:t>
      </w:r>
      <w:r w:rsidRPr="00F25744">
        <w:rPr>
          <w:sz w:val="24"/>
          <w:rtl/>
        </w:rPr>
        <w:fldChar w:fldCharType="begin"/>
      </w:r>
      <w:r w:rsidRPr="00F25744">
        <w:rPr>
          <w:sz w:val="24"/>
          <w:rtl/>
        </w:rPr>
        <w:instrText xml:space="preserve"> </w:instrText>
      </w:r>
      <w:r w:rsidRPr="00F25744">
        <w:rPr>
          <w:rFonts w:hint="cs"/>
          <w:sz w:val="24"/>
        </w:rPr>
        <w:instrText>SEQ</w:instrText>
      </w:r>
      <w:r w:rsidRPr="00F25744">
        <w:rPr>
          <w:rFonts w:hint="cs"/>
          <w:sz w:val="24"/>
          <w:rtl/>
        </w:rPr>
        <w:instrText xml:space="preserve"> טבלה \* </w:instrText>
      </w:r>
      <w:r w:rsidRPr="00F25744">
        <w:rPr>
          <w:rFonts w:hint="cs"/>
          <w:sz w:val="24"/>
        </w:rPr>
        <w:instrText>ARABIC</w:instrText>
      </w:r>
      <w:r w:rsidRPr="00F25744">
        <w:rPr>
          <w:sz w:val="24"/>
          <w:rtl/>
        </w:rPr>
        <w:instrText xml:space="preserve"> </w:instrText>
      </w:r>
      <w:r w:rsidRPr="00F25744">
        <w:rPr>
          <w:sz w:val="24"/>
          <w:rtl/>
        </w:rPr>
        <w:fldChar w:fldCharType="separate"/>
      </w:r>
      <w:r w:rsidR="008F1BC3">
        <w:rPr>
          <w:noProof/>
          <w:sz w:val="24"/>
          <w:rtl/>
        </w:rPr>
        <w:t>14</w:t>
      </w:r>
      <w:r w:rsidRPr="00F25744">
        <w:rPr>
          <w:sz w:val="24"/>
          <w:rtl/>
        </w:rPr>
        <w:fldChar w:fldCharType="end"/>
      </w:r>
      <w:r w:rsidR="007F3A52" w:rsidRPr="00F25744">
        <w:rPr>
          <w:rFonts w:hint="cs"/>
          <w:sz w:val="24"/>
          <w:rtl/>
        </w:rPr>
        <w:t xml:space="preserve">: </w:t>
      </w:r>
      <w:r w:rsidR="007F3A52" w:rsidRPr="00F25744">
        <w:rPr>
          <w:rFonts w:ascii="David" w:hAnsi="David" w:hint="cs"/>
          <w:sz w:val="24"/>
          <w:rtl/>
        </w:rPr>
        <w:t xml:space="preserve">זמני הטיפול בתיקי </w:t>
      </w:r>
      <w:r w:rsidR="00D775BC" w:rsidRPr="00F25744">
        <w:rPr>
          <w:rFonts w:ascii="David" w:hAnsi="David" w:hint="cs"/>
          <w:sz w:val="24"/>
          <w:rtl/>
        </w:rPr>
        <w:t>בתי המשפט ל</w:t>
      </w:r>
      <w:r w:rsidR="007F3A52" w:rsidRPr="00F25744">
        <w:rPr>
          <w:rFonts w:ascii="David" w:hAnsi="David" w:hint="cs"/>
          <w:sz w:val="24"/>
          <w:rtl/>
        </w:rPr>
        <w:t>תעבורה</w:t>
      </w:r>
      <w:bookmarkEnd w:id="597"/>
    </w:p>
    <w:p w14:paraId="6DFDB12B" w14:textId="77777777" w:rsidR="001B0FA3" w:rsidRPr="00F25744" w:rsidRDefault="001B0FA3" w:rsidP="001B0FA3">
      <w:pPr>
        <w:spacing w:after="0" w:line="240" w:lineRule="auto"/>
        <w:rPr>
          <w:rtl/>
        </w:rPr>
      </w:pPr>
    </w:p>
    <w:tbl>
      <w:tblPr>
        <w:tblpPr w:rightFromText="85" w:vertAnchor="text" w:tblpXSpec="right" w:tblpY="1"/>
        <w:bidiVisual/>
        <w:tblW w:w="8794" w:type="dxa"/>
        <w:tblBorders>
          <w:bottom w:val="single" w:sz="4" w:space="0" w:color="auto"/>
          <w:insideH w:val="single" w:sz="4" w:space="0" w:color="auto"/>
        </w:tblBorders>
        <w:tblLayout w:type="fixed"/>
        <w:tblLook w:val="04A0" w:firstRow="1" w:lastRow="0" w:firstColumn="1" w:lastColumn="0" w:noHBand="0" w:noVBand="1"/>
      </w:tblPr>
      <w:tblGrid>
        <w:gridCol w:w="997"/>
        <w:gridCol w:w="2269"/>
        <w:gridCol w:w="1417"/>
        <w:gridCol w:w="1560"/>
        <w:gridCol w:w="1559"/>
        <w:gridCol w:w="992"/>
      </w:tblGrid>
      <w:tr w:rsidR="00E0162E" w:rsidRPr="007A525F" w14:paraId="12743929" w14:textId="77777777" w:rsidTr="007D380E">
        <w:trPr>
          <w:trHeight w:val="460"/>
        </w:trPr>
        <w:tc>
          <w:tcPr>
            <w:tcW w:w="997" w:type="dxa"/>
            <w:shd w:val="clear" w:color="auto" w:fill="auto"/>
            <w:noWrap/>
            <w:vAlign w:val="center"/>
          </w:tcPr>
          <w:p w14:paraId="3882B934" w14:textId="77777777" w:rsidR="00B21D92" w:rsidRPr="007A525F" w:rsidRDefault="00E25AE7" w:rsidP="007A525F">
            <w:pPr>
              <w:spacing w:after="0" w:line="240" w:lineRule="auto"/>
              <w:jc w:val="center"/>
              <w:rPr>
                <w:rFonts w:ascii="David" w:eastAsia="Times New Roman" w:hAnsi="David" w:cs="David"/>
                <w:b/>
                <w:bCs/>
                <w:color w:val="000000"/>
              </w:rPr>
            </w:pPr>
            <w:r w:rsidRPr="007A525F">
              <w:rPr>
                <w:rFonts w:ascii="David" w:eastAsia="Times New Roman" w:hAnsi="David" w:cs="David"/>
                <w:b/>
                <w:bCs/>
                <w:color w:val="000000"/>
                <w:rtl/>
              </w:rPr>
              <w:t>ערכאה</w:t>
            </w:r>
          </w:p>
        </w:tc>
        <w:tc>
          <w:tcPr>
            <w:tcW w:w="2269" w:type="dxa"/>
            <w:shd w:val="clear" w:color="auto" w:fill="auto"/>
            <w:vAlign w:val="center"/>
          </w:tcPr>
          <w:p w14:paraId="0A07E007" w14:textId="77777777" w:rsidR="00B21D92" w:rsidRPr="007A525F" w:rsidRDefault="00E25AE7" w:rsidP="007A525F">
            <w:pPr>
              <w:spacing w:after="0" w:line="240" w:lineRule="auto"/>
              <w:jc w:val="center"/>
              <w:rPr>
                <w:rFonts w:ascii="David" w:eastAsia="Times New Roman" w:hAnsi="David" w:cs="David"/>
                <w:b/>
                <w:bCs/>
                <w:color w:val="000000"/>
                <w:rtl/>
              </w:rPr>
            </w:pPr>
            <w:r w:rsidRPr="007A525F">
              <w:rPr>
                <w:rFonts w:ascii="David" w:eastAsia="Times New Roman" w:hAnsi="David" w:cs="David"/>
                <w:b/>
                <w:bCs/>
                <w:color w:val="000000"/>
                <w:rtl/>
              </w:rPr>
              <w:t>סוג תיק</w:t>
            </w:r>
          </w:p>
        </w:tc>
        <w:tc>
          <w:tcPr>
            <w:tcW w:w="1417" w:type="dxa"/>
            <w:vAlign w:val="center"/>
          </w:tcPr>
          <w:p w14:paraId="6B2A21BD" w14:textId="77777777" w:rsidR="00B21D92" w:rsidRPr="007A525F" w:rsidRDefault="00E25AE7" w:rsidP="007A525F">
            <w:pPr>
              <w:spacing w:after="0" w:line="240" w:lineRule="auto"/>
              <w:jc w:val="center"/>
              <w:rPr>
                <w:rFonts w:ascii="David" w:eastAsia="Times New Roman" w:hAnsi="David" w:cs="David"/>
                <w:b/>
                <w:bCs/>
                <w:color w:val="000000"/>
                <w:rtl/>
              </w:rPr>
            </w:pPr>
            <w:r w:rsidRPr="007A525F">
              <w:rPr>
                <w:rFonts w:ascii="David" w:eastAsia="Times New Roman" w:hAnsi="David" w:cs="David" w:hint="cs"/>
                <w:b/>
                <w:bCs/>
                <w:color w:val="000000"/>
                <w:rtl/>
              </w:rPr>
              <w:t>מספר תיקים שנסגרו ב-2019</w:t>
            </w:r>
          </w:p>
        </w:tc>
        <w:tc>
          <w:tcPr>
            <w:tcW w:w="1560" w:type="dxa"/>
            <w:shd w:val="clear" w:color="auto" w:fill="auto"/>
            <w:noWrap/>
            <w:vAlign w:val="center"/>
          </w:tcPr>
          <w:p w14:paraId="4A5D4E83" w14:textId="77777777" w:rsidR="00B21D92" w:rsidRPr="007A525F" w:rsidRDefault="00E25AE7" w:rsidP="007A525F">
            <w:pPr>
              <w:spacing w:after="0" w:line="240" w:lineRule="auto"/>
              <w:jc w:val="center"/>
              <w:rPr>
                <w:rFonts w:ascii="David" w:eastAsia="Times New Roman" w:hAnsi="David" w:cs="David"/>
                <w:b/>
                <w:bCs/>
                <w:color w:val="000000"/>
                <w:rtl/>
              </w:rPr>
            </w:pPr>
            <w:r w:rsidRPr="007A525F">
              <w:rPr>
                <w:rFonts w:ascii="David" w:eastAsia="Times New Roman" w:hAnsi="David" w:cs="David"/>
                <w:b/>
                <w:bCs/>
                <w:color w:val="000000"/>
                <w:rtl/>
              </w:rPr>
              <w:t>הזמן השיפוטי הממוצע לט</w:t>
            </w:r>
            <w:r w:rsidRPr="007A525F">
              <w:rPr>
                <w:rFonts w:ascii="David" w:eastAsia="Times New Roman" w:hAnsi="David" w:cs="David" w:hint="cs"/>
                <w:b/>
                <w:bCs/>
                <w:color w:val="000000"/>
                <w:rtl/>
              </w:rPr>
              <w:t>י</w:t>
            </w:r>
            <w:r w:rsidRPr="007A525F">
              <w:rPr>
                <w:rFonts w:ascii="David" w:eastAsia="Times New Roman" w:hAnsi="David" w:cs="David"/>
                <w:b/>
                <w:bCs/>
                <w:color w:val="000000"/>
                <w:rtl/>
              </w:rPr>
              <w:t>פ</w:t>
            </w:r>
            <w:r w:rsidRPr="007A525F">
              <w:rPr>
                <w:rFonts w:ascii="David" w:eastAsia="Times New Roman" w:hAnsi="David" w:cs="David" w:hint="cs"/>
                <w:b/>
                <w:bCs/>
                <w:color w:val="000000"/>
                <w:rtl/>
              </w:rPr>
              <w:t>ו</w:t>
            </w:r>
            <w:r w:rsidRPr="007A525F">
              <w:rPr>
                <w:rFonts w:ascii="David" w:eastAsia="Times New Roman" w:hAnsi="David" w:cs="David"/>
                <w:b/>
                <w:bCs/>
                <w:color w:val="000000"/>
                <w:rtl/>
              </w:rPr>
              <w:t>ל בתיק</w:t>
            </w:r>
          </w:p>
        </w:tc>
        <w:tc>
          <w:tcPr>
            <w:tcW w:w="1559" w:type="dxa"/>
            <w:shd w:val="clear" w:color="auto" w:fill="auto"/>
            <w:vAlign w:val="center"/>
          </w:tcPr>
          <w:p w14:paraId="7899E55B" w14:textId="77777777" w:rsidR="00B21D92" w:rsidRPr="007A525F" w:rsidRDefault="00E25AE7" w:rsidP="007A525F">
            <w:pPr>
              <w:spacing w:after="0" w:line="240" w:lineRule="auto"/>
              <w:jc w:val="center"/>
              <w:rPr>
                <w:rFonts w:ascii="David" w:eastAsia="Times New Roman" w:hAnsi="David" w:cs="David"/>
                <w:b/>
                <w:bCs/>
                <w:color w:val="000000"/>
                <w:rtl/>
              </w:rPr>
            </w:pPr>
            <w:r w:rsidRPr="007A525F">
              <w:rPr>
                <w:rFonts w:ascii="David" w:eastAsia="Times New Roman" w:hAnsi="David" w:cs="David"/>
                <w:b/>
                <w:bCs/>
                <w:color w:val="000000"/>
                <w:rtl/>
              </w:rPr>
              <w:t xml:space="preserve">הזמן השיפוטי </w:t>
            </w:r>
            <w:r w:rsidRPr="007A525F">
              <w:rPr>
                <w:rFonts w:ascii="David" w:eastAsia="Times New Roman" w:hAnsi="David" w:cs="David" w:hint="cs"/>
                <w:b/>
                <w:bCs/>
                <w:color w:val="000000"/>
                <w:rtl/>
              </w:rPr>
              <w:t xml:space="preserve">הממוצע </w:t>
            </w:r>
            <w:r w:rsidRPr="007A525F">
              <w:rPr>
                <w:rFonts w:ascii="David" w:eastAsia="Times New Roman" w:hAnsi="David" w:cs="David"/>
                <w:b/>
                <w:bCs/>
                <w:color w:val="000000"/>
                <w:rtl/>
              </w:rPr>
              <w:t xml:space="preserve">לפי </w:t>
            </w:r>
            <w:r w:rsidRPr="007A525F">
              <w:rPr>
                <w:rFonts w:ascii="David" w:eastAsia="Times New Roman" w:hAnsi="David" w:cs="David" w:hint="cs"/>
                <w:b/>
                <w:bCs/>
                <w:color w:val="000000"/>
                <w:rtl/>
              </w:rPr>
              <w:t>ה</w:t>
            </w:r>
            <w:r w:rsidRPr="007A525F">
              <w:rPr>
                <w:rFonts w:ascii="David" w:eastAsia="Times New Roman" w:hAnsi="David" w:cs="David"/>
                <w:b/>
                <w:bCs/>
                <w:color w:val="000000"/>
                <w:rtl/>
              </w:rPr>
              <w:t>מחקר ה</w:t>
            </w:r>
            <w:r w:rsidRPr="007A525F">
              <w:rPr>
                <w:rFonts w:ascii="David" w:eastAsia="Times New Roman" w:hAnsi="David" w:cs="David" w:hint="cs"/>
                <w:b/>
                <w:bCs/>
                <w:color w:val="000000"/>
                <w:rtl/>
              </w:rPr>
              <w:t>קודם</w:t>
            </w:r>
          </w:p>
        </w:tc>
        <w:tc>
          <w:tcPr>
            <w:tcW w:w="992" w:type="dxa"/>
            <w:shd w:val="clear" w:color="auto" w:fill="auto"/>
            <w:vAlign w:val="center"/>
          </w:tcPr>
          <w:p w14:paraId="4300D83B" w14:textId="77777777" w:rsidR="00B21D92" w:rsidRPr="007A525F" w:rsidRDefault="00E25AE7" w:rsidP="007A525F">
            <w:pPr>
              <w:spacing w:after="0" w:line="240" w:lineRule="auto"/>
              <w:jc w:val="center"/>
              <w:rPr>
                <w:rFonts w:ascii="David" w:eastAsia="Times New Roman" w:hAnsi="David" w:cs="David"/>
                <w:b/>
                <w:bCs/>
                <w:color w:val="000000"/>
                <w:rtl/>
              </w:rPr>
            </w:pPr>
            <w:r w:rsidRPr="007A525F">
              <w:rPr>
                <w:rFonts w:ascii="David" w:eastAsia="Times New Roman" w:hAnsi="David" w:cs="David"/>
                <w:b/>
                <w:bCs/>
                <w:color w:val="000000"/>
                <w:rtl/>
              </w:rPr>
              <w:t>מגמת שינוי</w:t>
            </w:r>
          </w:p>
        </w:tc>
      </w:tr>
      <w:tr w:rsidR="00E0162E" w:rsidRPr="007A525F" w14:paraId="2675C7BD" w14:textId="77777777" w:rsidTr="007D380E">
        <w:trPr>
          <w:trHeight w:val="460"/>
        </w:trPr>
        <w:tc>
          <w:tcPr>
            <w:tcW w:w="997" w:type="dxa"/>
            <w:shd w:val="clear" w:color="auto" w:fill="D9D9D9"/>
            <w:noWrap/>
            <w:vAlign w:val="center"/>
          </w:tcPr>
          <w:p w14:paraId="0FC198B0" w14:textId="77777777" w:rsidR="00B21D92" w:rsidRPr="007A525F" w:rsidRDefault="00E25AE7" w:rsidP="007A525F">
            <w:pPr>
              <w:spacing w:after="0" w:line="240" w:lineRule="auto"/>
              <w:rPr>
                <w:rFonts w:ascii="David" w:hAnsi="David" w:cs="David"/>
                <w:color w:val="000000"/>
              </w:rPr>
            </w:pPr>
            <w:r w:rsidRPr="007A525F">
              <w:rPr>
                <w:rFonts w:ascii="David" w:hAnsi="David" w:cs="David"/>
                <w:color w:val="000000"/>
                <w:rtl/>
              </w:rPr>
              <w:t>תעבורה</w:t>
            </w:r>
          </w:p>
        </w:tc>
        <w:tc>
          <w:tcPr>
            <w:tcW w:w="2269" w:type="dxa"/>
            <w:shd w:val="clear" w:color="auto" w:fill="D9D9D9"/>
            <w:vAlign w:val="center"/>
          </w:tcPr>
          <w:p w14:paraId="110B53A9" w14:textId="77777777" w:rsidR="00B21D92" w:rsidRPr="007A525F" w:rsidRDefault="00E25AE7" w:rsidP="007A525F">
            <w:pPr>
              <w:spacing w:after="0" w:line="240" w:lineRule="auto"/>
              <w:rPr>
                <w:rFonts w:ascii="David" w:hAnsi="David" w:cs="David"/>
                <w:color w:val="000000"/>
              </w:rPr>
            </w:pPr>
            <w:r w:rsidRPr="007A525F">
              <w:rPr>
                <w:rFonts w:ascii="David" w:hAnsi="David" w:cs="David"/>
                <w:color w:val="000000"/>
                <w:rtl/>
              </w:rPr>
              <w:t>גרימת מוות בנהיגה רשלנית (גמ"ר)</w:t>
            </w:r>
          </w:p>
        </w:tc>
        <w:tc>
          <w:tcPr>
            <w:tcW w:w="1417" w:type="dxa"/>
            <w:shd w:val="clear" w:color="auto" w:fill="D9D9D9"/>
            <w:vAlign w:val="center"/>
          </w:tcPr>
          <w:p w14:paraId="7A9524F3" w14:textId="77777777" w:rsidR="00B21D92" w:rsidRPr="007A525F" w:rsidRDefault="00E25AE7" w:rsidP="007A525F">
            <w:pPr>
              <w:spacing w:after="0" w:line="240" w:lineRule="auto"/>
              <w:jc w:val="center"/>
              <w:rPr>
                <w:rFonts w:ascii="David" w:hAnsi="David" w:cs="David"/>
                <w:color w:val="000000"/>
              </w:rPr>
            </w:pPr>
            <w:r w:rsidRPr="007A525F">
              <w:rPr>
                <w:rFonts w:ascii="David" w:hAnsi="David" w:cs="David" w:hint="cs"/>
                <w:color w:val="000000"/>
                <w:rtl/>
              </w:rPr>
              <w:t>94</w:t>
            </w:r>
          </w:p>
        </w:tc>
        <w:tc>
          <w:tcPr>
            <w:tcW w:w="1560" w:type="dxa"/>
            <w:shd w:val="clear" w:color="auto" w:fill="D9D9D9"/>
            <w:noWrap/>
            <w:vAlign w:val="center"/>
          </w:tcPr>
          <w:p w14:paraId="46B78513" w14:textId="77777777" w:rsidR="00B21D92" w:rsidRPr="007A525F" w:rsidRDefault="00E25AE7" w:rsidP="007A525F">
            <w:pPr>
              <w:spacing w:after="0" w:line="240" w:lineRule="auto"/>
              <w:jc w:val="center"/>
              <w:rPr>
                <w:rFonts w:ascii="David" w:hAnsi="David" w:cs="David"/>
                <w:b/>
                <w:bCs/>
                <w:color w:val="000000"/>
              </w:rPr>
            </w:pPr>
            <w:r w:rsidRPr="007A525F">
              <w:rPr>
                <w:rFonts w:ascii="David" w:hAnsi="David" w:cs="David"/>
                <w:b/>
                <w:bCs/>
                <w:color w:val="000000"/>
              </w:rPr>
              <w:t>2</w:t>
            </w:r>
            <w:r w:rsidR="009D75EC" w:rsidRPr="007A525F">
              <w:rPr>
                <w:rFonts w:ascii="David" w:hAnsi="David" w:cs="David"/>
                <w:b/>
                <w:bCs/>
                <w:color w:val="000000"/>
              </w:rPr>
              <w:t>5</w:t>
            </w:r>
            <w:r w:rsidRPr="007A525F">
              <w:rPr>
                <w:rFonts w:ascii="David" w:hAnsi="David" w:cs="David"/>
                <w:b/>
                <w:bCs/>
                <w:color w:val="000000"/>
              </w:rPr>
              <w:t>:</w:t>
            </w:r>
            <w:r w:rsidR="009D75EC" w:rsidRPr="007A525F">
              <w:rPr>
                <w:rFonts w:ascii="David" w:hAnsi="David" w:cs="David"/>
                <w:b/>
                <w:bCs/>
                <w:color w:val="000000"/>
              </w:rPr>
              <w:t>16</w:t>
            </w:r>
          </w:p>
        </w:tc>
        <w:tc>
          <w:tcPr>
            <w:tcW w:w="1559" w:type="dxa"/>
            <w:shd w:val="clear" w:color="auto" w:fill="D9D9D9"/>
            <w:vAlign w:val="center"/>
          </w:tcPr>
          <w:p w14:paraId="0978FB0E" w14:textId="77777777" w:rsidR="00B21D92" w:rsidRPr="007A525F" w:rsidRDefault="00E25AE7" w:rsidP="007A525F">
            <w:pPr>
              <w:spacing w:after="0" w:line="240" w:lineRule="auto"/>
              <w:jc w:val="center"/>
              <w:rPr>
                <w:rFonts w:ascii="David" w:hAnsi="David" w:cs="David"/>
                <w:color w:val="000000"/>
              </w:rPr>
            </w:pPr>
            <w:r w:rsidRPr="007A525F">
              <w:rPr>
                <w:rFonts w:ascii="David" w:hAnsi="David" w:cs="David"/>
                <w:color w:val="000000"/>
              </w:rPr>
              <w:t>10:52</w:t>
            </w:r>
          </w:p>
        </w:tc>
        <w:tc>
          <w:tcPr>
            <w:tcW w:w="992" w:type="dxa"/>
            <w:shd w:val="clear" w:color="auto" w:fill="D9D9D9"/>
            <w:vAlign w:val="center"/>
          </w:tcPr>
          <w:p w14:paraId="0143F0B4" w14:textId="77777777" w:rsidR="00B21D92" w:rsidRPr="007A525F" w:rsidRDefault="009D75EC" w:rsidP="007A525F">
            <w:pPr>
              <w:spacing w:after="0" w:line="240" w:lineRule="auto"/>
              <w:jc w:val="center"/>
              <w:rPr>
                <w:rFonts w:ascii="David" w:hAnsi="David" w:cs="David"/>
                <w:color w:val="000000"/>
              </w:rPr>
            </w:pPr>
            <w:r w:rsidRPr="007A525F">
              <w:rPr>
                <w:rFonts w:ascii="David" w:hAnsi="David" w:cs="David" w:hint="cs"/>
                <w:color w:val="000000"/>
                <w:rtl/>
              </w:rPr>
              <w:t>14:24</w:t>
            </w:r>
            <w:r w:rsidR="00E25AE7" w:rsidRPr="007A525F">
              <w:rPr>
                <w:rFonts w:ascii="David" w:hAnsi="David" w:cs="David" w:hint="cs"/>
                <w:color w:val="000000"/>
                <w:rtl/>
              </w:rPr>
              <w:t>+</w:t>
            </w:r>
          </w:p>
        </w:tc>
      </w:tr>
      <w:tr w:rsidR="001661EA" w:rsidRPr="007A525F" w14:paraId="3D3A0E47" w14:textId="77777777" w:rsidTr="007D380E">
        <w:trPr>
          <w:trHeight w:val="460"/>
        </w:trPr>
        <w:tc>
          <w:tcPr>
            <w:tcW w:w="997" w:type="dxa"/>
            <w:shd w:val="clear" w:color="auto" w:fill="auto"/>
            <w:noWrap/>
            <w:vAlign w:val="center"/>
          </w:tcPr>
          <w:p w14:paraId="0F7C66CB" w14:textId="77777777" w:rsidR="001661EA" w:rsidRPr="007A525F" w:rsidRDefault="001661EA" w:rsidP="007A525F">
            <w:pPr>
              <w:spacing w:after="0" w:line="240" w:lineRule="auto"/>
              <w:rPr>
                <w:rFonts w:ascii="David" w:hAnsi="David" w:cs="David"/>
                <w:color w:val="000000"/>
                <w:rtl/>
              </w:rPr>
            </w:pPr>
            <w:r w:rsidRPr="007A525F">
              <w:rPr>
                <w:rFonts w:ascii="David" w:hAnsi="David" w:cs="David"/>
                <w:color w:val="000000"/>
                <w:rtl/>
              </w:rPr>
              <w:t>תעבורה</w:t>
            </w:r>
          </w:p>
        </w:tc>
        <w:tc>
          <w:tcPr>
            <w:tcW w:w="2269" w:type="dxa"/>
            <w:shd w:val="clear" w:color="auto" w:fill="auto"/>
            <w:vAlign w:val="center"/>
          </w:tcPr>
          <w:p w14:paraId="32804384" w14:textId="77777777" w:rsidR="001661EA" w:rsidRPr="007A525F" w:rsidRDefault="001661EA" w:rsidP="007A525F">
            <w:pPr>
              <w:spacing w:after="0" w:line="240" w:lineRule="auto"/>
              <w:rPr>
                <w:rFonts w:ascii="David" w:hAnsi="David" w:cs="David"/>
                <w:color w:val="000000"/>
                <w:rtl/>
              </w:rPr>
            </w:pPr>
            <w:r w:rsidRPr="007A525F">
              <w:rPr>
                <w:rFonts w:ascii="David" w:hAnsi="David" w:cs="David"/>
                <w:color w:val="000000"/>
                <w:rtl/>
              </w:rPr>
              <w:t>תיק ת"ד אדום (תד"א)</w:t>
            </w:r>
          </w:p>
        </w:tc>
        <w:tc>
          <w:tcPr>
            <w:tcW w:w="1417" w:type="dxa"/>
            <w:shd w:val="clear" w:color="auto" w:fill="auto"/>
            <w:vAlign w:val="center"/>
          </w:tcPr>
          <w:p w14:paraId="7DAADEE7" w14:textId="77777777" w:rsidR="001661EA" w:rsidRPr="007A525F" w:rsidRDefault="001661EA" w:rsidP="007A525F">
            <w:pPr>
              <w:spacing w:after="0" w:line="240" w:lineRule="auto"/>
              <w:jc w:val="center"/>
              <w:rPr>
                <w:rFonts w:ascii="David" w:hAnsi="David" w:cs="David"/>
                <w:color w:val="000000"/>
                <w:rtl/>
              </w:rPr>
            </w:pPr>
            <w:r w:rsidRPr="007A525F">
              <w:rPr>
                <w:rFonts w:ascii="David" w:hAnsi="David" w:cs="David" w:hint="cs"/>
                <w:color w:val="000000"/>
                <w:rtl/>
              </w:rPr>
              <w:t>87</w:t>
            </w:r>
          </w:p>
        </w:tc>
        <w:tc>
          <w:tcPr>
            <w:tcW w:w="1560" w:type="dxa"/>
            <w:shd w:val="clear" w:color="auto" w:fill="auto"/>
            <w:noWrap/>
            <w:vAlign w:val="center"/>
          </w:tcPr>
          <w:p w14:paraId="1F36321A" w14:textId="77777777" w:rsidR="001661EA" w:rsidRPr="007A525F" w:rsidRDefault="001661EA" w:rsidP="007A525F">
            <w:pPr>
              <w:spacing w:after="0" w:line="240" w:lineRule="auto"/>
              <w:jc w:val="center"/>
              <w:rPr>
                <w:rFonts w:ascii="David" w:hAnsi="David" w:cs="David"/>
                <w:b/>
                <w:bCs/>
                <w:color w:val="000000"/>
              </w:rPr>
            </w:pPr>
            <w:r w:rsidRPr="007A525F">
              <w:rPr>
                <w:rFonts w:ascii="David" w:hAnsi="David" w:cs="David"/>
                <w:b/>
                <w:bCs/>
                <w:color w:val="000000"/>
              </w:rPr>
              <w:t>2:04</w:t>
            </w:r>
          </w:p>
        </w:tc>
        <w:tc>
          <w:tcPr>
            <w:tcW w:w="1559" w:type="dxa"/>
            <w:shd w:val="clear" w:color="auto" w:fill="auto"/>
            <w:vAlign w:val="center"/>
          </w:tcPr>
          <w:p w14:paraId="7D2CDA25" w14:textId="77777777" w:rsidR="001661EA" w:rsidRPr="007A525F" w:rsidRDefault="001661EA" w:rsidP="007A525F">
            <w:pPr>
              <w:spacing w:after="0" w:line="240" w:lineRule="auto"/>
              <w:jc w:val="center"/>
              <w:rPr>
                <w:rFonts w:ascii="David" w:hAnsi="David" w:cs="David"/>
                <w:color w:val="000000"/>
              </w:rPr>
            </w:pPr>
            <w:r w:rsidRPr="007A525F">
              <w:rPr>
                <w:rFonts w:ascii="David" w:hAnsi="David" w:cs="David" w:hint="cs"/>
                <w:color w:val="000000"/>
                <w:rtl/>
              </w:rPr>
              <w:t>-</w:t>
            </w:r>
          </w:p>
        </w:tc>
        <w:tc>
          <w:tcPr>
            <w:tcW w:w="992" w:type="dxa"/>
            <w:shd w:val="clear" w:color="auto" w:fill="auto"/>
            <w:vAlign w:val="center"/>
          </w:tcPr>
          <w:p w14:paraId="3CB9C151" w14:textId="77777777" w:rsidR="001661EA" w:rsidRPr="007A525F" w:rsidRDefault="001661EA" w:rsidP="007A525F">
            <w:pPr>
              <w:spacing w:after="0" w:line="240" w:lineRule="auto"/>
              <w:jc w:val="center"/>
              <w:rPr>
                <w:rFonts w:ascii="David" w:hAnsi="David" w:cs="David"/>
                <w:color w:val="000000"/>
                <w:rtl/>
              </w:rPr>
            </w:pPr>
            <w:r w:rsidRPr="007A525F">
              <w:rPr>
                <w:rFonts w:ascii="David" w:hAnsi="David" w:cs="David" w:hint="cs"/>
                <w:color w:val="000000"/>
                <w:rtl/>
              </w:rPr>
              <w:t>-</w:t>
            </w:r>
          </w:p>
        </w:tc>
      </w:tr>
      <w:tr w:rsidR="001661EA" w:rsidRPr="007A525F" w14:paraId="70A414A7" w14:textId="77777777" w:rsidTr="007D380E">
        <w:trPr>
          <w:trHeight w:val="460"/>
        </w:trPr>
        <w:tc>
          <w:tcPr>
            <w:tcW w:w="997" w:type="dxa"/>
            <w:shd w:val="clear" w:color="auto" w:fill="D9D9D9"/>
            <w:noWrap/>
            <w:vAlign w:val="center"/>
          </w:tcPr>
          <w:p w14:paraId="77428910" w14:textId="77777777" w:rsidR="001661EA" w:rsidRPr="007A525F" w:rsidRDefault="001661EA" w:rsidP="007A525F">
            <w:pPr>
              <w:spacing w:after="0" w:line="240" w:lineRule="auto"/>
              <w:rPr>
                <w:rFonts w:ascii="David" w:hAnsi="David" w:cs="David"/>
                <w:color w:val="000000"/>
                <w:rtl/>
              </w:rPr>
            </w:pPr>
            <w:r w:rsidRPr="007A525F">
              <w:rPr>
                <w:rFonts w:ascii="David" w:hAnsi="David" w:cs="David"/>
                <w:color w:val="000000"/>
                <w:rtl/>
              </w:rPr>
              <w:t>תעבורה</w:t>
            </w:r>
          </w:p>
        </w:tc>
        <w:tc>
          <w:tcPr>
            <w:tcW w:w="2269" w:type="dxa"/>
            <w:shd w:val="clear" w:color="auto" w:fill="D9D9D9"/>
            <w:vAlign w:val="center"/>
          </w:tcPr>
          <w:p w14:paraId="4E9131C2" w14:textId="77777777" w:rsidR="001661EA" w:rsidRPr="007A525F" w:rsidRDefault="001661EA" w:rsidP="007A525F">
            <w:pPr>
              <w:spacing w:after="0" w:line="240" w:lineRule="auto"/>
              <w:rPr>
                <w:rFonts w:ascii="David" w:hAnsi="David" w:cs="David"/>
                <w:color w:val="000000"/>
                <w:rtl/>
              </w:rPr>
            </w:pPr>
            <w:r w:rsidRPr="007A525F">
              <w:rPr>
                <w:rFonts w:ascii="David" w:hAnsi="David" w:cs="David"/>
                <w:color w:val="000000"/>
                <w:rtl/>
              </w:rPr>
              <w:t>תיק פ"ל אדום (פל"א)</w:t>
            </w:r>
          </w:p>
        </w:tc>
        <w:tc>
          <w:tcPr>
            <w:tcW w:w="1417" w:type="dxa"/>
            <w:shd w:val="clear" w:color="auto" w:fill="D9D9D9"/>
            <w:vAlign w:val="center"/>
          </w:tcPr>
          <w:p w14:paraId="332EBE90" w14:textId="77777777" w:rsidR="001661EA" w:rsidRPr="007A525F" w:rsidRDefault="001661EA" w:rsidP="007A525F">
            <w:pPr>
              <w:spacing w:after="0" w:line="240" w:lineRule="auto"/>
              <w:jc w:val="center"/>
              <w:rPr>
                <w:rFonts w:ascii="David" w:hAnsi="David" w:cs="David"/>
                <w:color w:val="000000"/>
                <w:rtl/>
              </w:rPr>
            </w:pPr>
            <w:r w:rsidRPr="007A525F">
              <w:rPr>
                <w:rFonts w:ascii="David" w:hAnsi="David" w:cs="David" w:hint="cs"/>
                <w:color w:val="000000"/>
                <w:rtl/>
              </w:rPr>
              <w:t>2,113</w:t>
            </w:r>
          </w:p>
        </w:tc>
        <w:tc>
          <w:tcPr>
            <w:tcW w:w="1560" w:type="dxa"/>
            <w:shd w:val="clear" w:color="auto" w:fill="D9D9D9"/>
            <w:noWrap/>
            <w:vAlign w:val="center"/>
          </w:tcPr>
          <w:p w14:paraId="2351610C" w14:textId="77777777" w:rsidR="001661EA" w:rsidRPr="007A525F" w:rsidRDefault="001661EA" w:rsidP="007A525F">
            <w:pPr>
              <w:spacing w:after="0" w:line="240" w:lineRule="auto"/>
              <w:jc w:val="center"/>
              <w:rPr>
                <w:rFonts w:ascii="David" w:hAnsi="David" w:cs="David"/>
                <w:b/>
                <w:bCs/>
                <w:color w:val="000000"/>
              </w:rPr>
            </w:pPr>
            <w:r w:rsidRPr="007A525F">
              <w:rPr>
                <w:rFonts w:ascii="David" w:hAnsi="David" w:cs="David"/>
                <w:b/>
                <w:bCs/>
                <w:color w:val="000000"/>
              </w:rPr>
              <w:t>1:57</w:t>
            </w:r>
          </w:p>
        </w:tc>
        <w:tc>
          <w:tcPr>
            <w:tcW w:w="1559" w:type="dxa"/>
            <w:shd w:val="clear" w:color="auto" w:fill="D9D9D9"/>
            <w:vAlign w:val="center"/>
          </w:tcPr>
          <w:p w14:paraId="0404CED2" w14:textId="77777777" w:rsidR="001661EA" w:rsidRPr="007A525F" w:rsidRDefault="001661EA" w:rsidP="007A525F">
            <w:pPr>
              <w:spacing w:after="0" w:line="240" w:lineRule="auto"/>
              <w:jc w:val="center"/>
              <w:rPr>
                <w:rFonts w:ascii="David" w:hAnsi="David" w:cs="David"/>
                <w:color w:val="000000"/>
              </w:rPr>
            </w:pPr>
            <w:r w:rsidRPr="007A525F">
              <w:rPr>
                <w:rFonts w:ascii="David" w:hAnsi="David" w:cs="David" w:hint="cs"/>
                <w:color w:val="000000"/>
                <w:rtl/>
              </w:rPr>
              <w:t>-</w:t>
            </w:r>
          </w:p>
        </w:tc>
        <w:tc>
          <w:tcPr>
            <w:tcW w:w="992" w:type="dxa"/>
            <w:shd w:val="clear" w:color="auto" w:fill="D9D9D9"/>
            <w:vAlign w:val="center"/>
          </w:tcPr>
          <w:p w14:paraId="477F1060" w14:textId="77777777" w:rsidR="001661EA" w:rsidRPr="007A525F" w:rsidRDefault="001661EA" w:rsidP="007A525F">
            <w:pPr>
              <w:spacing w:after="0" w:line="240" w:lineRule="auto"/>
              <w:jc w:val="center"/>
              <w:rPr>
                <w:rFonts w:ascii="David" w:hAnsi="David" w:cs="David"/>
                <w:color w:val="000000"/>
                <w:rtl/>
              </w:rPr>
            </w:pPr>
            <w:r w:rsidRPr="007A525F">
              <w:rPr>
                <w:rFonts w:ascii="David" w:hAnsi="David" w:cs="David" w:hint="cs"/>
                <w:color w:val="000000"/>
                <w:rtl/>
              </w:rPr>
              <w:t>-</w:t>
            </w:r>
          </w:p>
        </w:tc>
      </w:tr>
      <w:tr w:rsidR="001661EA" w:rsidRPr="007A525F" w14:paraId="764F4B43" w14:textId="77777777" w:rsidTr="007D380E">
        <w:trPr>
          <w:trHeight w:val="600"/>
        </w:trPr>
        <w:tc>
          <w:tcPr>
            <w:tcW w:w="997" w:type="dxa"/>
            <w:shd w:val="clear" w:color="auto" w:fill="auto"/>
            <w:noWrap/>
            <w:vAlign w:val="center"/>
          </w:tcPr>
          <w:p w14:paraId="61B94C71" w14:textId="77777777" w:rsidR="001661EA" w:rsidRPr="007A525F" w:rsidRDefault="001661EA" w:rsidP="007A525F">
            <w:pPr>
              <w:spacing w:after="0" w:line="240" w:lineRule="auto"/>
              <w:rPr>
                <w:rFonts w:ascii="David" w:hAnsi="David" w:cs="David"/>
                <w:color w:val="000000"/>
              </w:rPr>
            </w:pPr>
            <w:r w:rsidRPr="007A525F">
              <w:rPr>
                <w:rFonts w:ascii="David" w:hAnsi="David" w:cs="David"/>
                <w:color w:val="000000"/>
                <w:rtl/>
              </w:rPr>
              <w:t>תעבורה</w:t>
            </w:r>
          </w:p>
        </w:tc>
        <w:tc>
          <w:tcPr>
            <w:tcW w:w="2269" w:type="dxa"/>
            <w:shd w:val="clear" w:color="auto" w:fill="auto"/>
            <w:vAlign w:val="center"/>
          </w:tcPr>
          <w:p w14:paraId="1CB67BF8" w14:textId="77777777" w:rsidR="001661EA" w:rsidRPr="007A525F" w:rsidRDefault="001661EA" w:rsidP="007A525F">
            <w:pPr>
              <w:spacing w:after="0" w:line="240" w:lineRule="auto"/>
              <w:rPr>
                <w:rFonts w:ascii="David" w:hAnsi="David" w:cs="David"/>
                <w:color w:val="000000"/>
                <w:rtl/>
              </w:rPr>
            </w:pPr>
            <w:r w:rsidRPr="007A525F">
              <w:rPr>
                <w:rFonts w:ascii="David" w:hAnsi="David" w:cs="David"/>
                <w:color w:val="000000"/>
                <w:rtl/>
              </w:rPr>
              <w:t>עבירות שאינן תאונות דרכים ואינן דו"חות (פ"ל)</w:t>
            </w:r>
          </w:p>
        </w:tc>
        <w:tc>
          <w:tcPr>
            <w:tcW w:w="1417" w:type="dxa"/>
            <w:vAlign w:val="center"/>
          </w:tcPr>
          <w:p w14:paraId="1FBEA8AB" w14:textId="77777777" w:rsidR="001661EA" w:rsidRPr="007A525F" w:rsidRDefault="001661EA" w:rsidP="007A525F">
            <w:pPr>
              <w:spacing w:after="0" w:line="240" w:lineRule="auto"/>
              <w:jc w:val="center"/>
              <w:rPr>
                <w:rFonts w:ascii="David" w:hAnsi="David" w:cs="David"/>
                <w:color w:val="000000"/>
              </w:rPr>
            </w:pPr>
            <w:r w:rsidRPr="007A525F">
              <w:rPr>
                <w:rFonts w:ascii="David" w:hAnsi="David" w:cs="David" w:hint="cs"/>
                <w:color w:val="000000"/>
                <w:rtl/>
              </w:rPr>
              <w:t>3,449</w:t>
            </w:r>
          </w:p>
        </w:tc>
        <w:tc>
          <w:tcPr>
            <w:tcW w:w="1560" w:type="dxa"/>
            <w:shd w:val="clear" w:color="auto" w:fill="auto"/>
            <w:noWrap/>
            <w:vAlign w:val="center"/>
          </w:tcPr>
          <w:p w14:paraId="70597E36" w14:textId="77777777" w:rsidR="001661EA" w:rsidRPr="007A525F" w:rsidRDefault="001661EA" w:rsidP="007A525F">
            <w:pPr>
              <w:spacing w:after="0" w:line="240" w:lineRule="auto"/>
              <w:jc w:val="center"/>
              <w:rPr>
                <w:rFonts w:ascii="David" w:hAnsi="David" w:cs="David"/>
                <w:b/>
                <w:bCs/>
                <w:color w:val="000000"/>
              </w:rPr>
            </w:pPr>
            <w:r w:rsidRPr="007A525F">
              <w:rPr>
                <w:rFonts w:ascii="David" w:hAnsi="David" w:cs="David"/>
                <w:b/>
                <w:bCs/>
                <w:color w:val="000000"/>
              </w:rPr>
              <w:t>1:38</w:t>
            </w:r>
          </w:p>
        </w:tc>
        <w:tc>
          <w:tcPr>
            <w:tcW w:w="1559" w:type="dxa"/>
            <w:shd w:val="clear" w:color="auto" w:fill="auto"/>
            <w:vAlign w:val="center"/>
          </w:tcPr>
          <w:p w14:paraId="344BD282" w14:textId="77777777" w:rsidR="001661EA" w:rsidRPr="007A525F" w:rsidRDefault="001661EA" w:rsidP="007A525F">
            <w:pPr>
              <w:spacing w:after="0" w:line="240" w:lineRule="auto"/>
              <w:jc w:val="center"/>
              <w:rPr>
                <w:rFonts w:ascii="David" w:hAnsi="David" w:cs="David"/>
                <w:color w:val="000000"/>
              </w:rPr>
            </w:pPr>
            <w:r w:rsidRPr="007A525F">
              <w:rPr>
                <w:rFonts w:ascii="David" w:hAnsi="David" w:cs="David"/>
                <w:color w:val="000000"/>
              </w:rPr>
              <w:t>2:14</w:t>
            </w:r>
          </w:p>
        </w:tc>
        <w:tc>
          <w:tcPr>
            <w:tcW w:w="992" w:type="dxa"/>
            <w:shd w:val="clear" w:color="auto" w:fill="auto"/>
            <w:vAlign w:val="center"/>
          </w:tcPr>
          <w:p w14:paraId="5BD7867D" w14:textId="77777777" w:rsidR="001661EA" w:rsidRPr="007A525F" w:rsidRDefault="001661EA" w:rsidP="007A525F">
            <w:pPr>
              <w:spacing w:after="0" w:line="240" w:lineRule="auto"/>
              <w:jc w:val="center"/>
              <w:rPr>
                <w:rFonts w:ascii="David" w:hAnsi="David" w:cs="David"/>
                <w:color w:val="000000"/>
              </w:rPr>
            </w:pPr>
            <w:r w:rsidRPr="007A525F">
              <w:rPr>
                <w:rFonts w:ascii="David" w:hAnsi="David" w:cs="David" w:hint="cs"/>
                <w:color w:val="000000"/>
                <w:rtl/>
              </w:rPr>
              <w:t>0:36-</w:t>
            </w:r>
          </w:p>
        </w:tc>
      </w:tr>
      <w:tr w:rsidR="001661EA" w:rsidRPr="007A525F" w14:paraId="0C24FB56" w14:textId="77777777" w:rsidTr="007D380E">
        <w:trPr>
          <w:trHeight w:val="600"/>
        </w:trPr>
        <w:tc>
          <w:tcPr>
            <w:tcW w:w="997" w:type="dxa"/>
            <w:shd w:val="clear" w:color="auto" w:fill="D9D9D9"/>
            <w:noWrap/>
            <w:vAlign w:val="center"/>
          </w:tcPr>
          <w:p w14:paraId="5B075215" w14:textId="77777777" w:rsidR="001661EA" w:rsidRPr="007A525F" w:rsidRDefault="001661EA" w:rsidP="007A525F">
            <w:pPr>
              <w:spacing w:after="0" w:line="240" w:lineRule="auto"/>
              <w:rPr>
                <w:rFonts w:ascii="David" w:hAnsi="David" w:cs="David"/>
                <w:color w:val="000000"/>
              </w:rPr>
            </w:pPr>
            <w:r w:rsidRPr="007A525F">
              <w:rPr>
                <w:rFonts w:ascii="David" w:hAnsi="David" w:cs="David"/>
                <w:color w:val="000000"/>
                <w:rtl/>
              </w:rPr>
              <w:t>תעבורה</w:t>
            </w:r>
          </w:p>
        </w:tc>
        <w:tc>
          <w:tcPr>
            <w:tcW w:w="2269" w:type="dxa"/>
            <w:shd w:val="clear" w:color="auto" w:fill="D9D9D9"/>
            <w:vAlign w:val="center"/>
          </w:tcPr>
          <w:p w14:paraId="42E4DC80" w14:textId="77777777" w:rsidR="001661EA" w:rsidRPr="007A525F" w:rsidRDefault="001661EA" w:rsidP="007A525F">
            <w:pPr>
              <w:spacing w:after="0" w:line="240" w:lineRule="auto"/>
              <w:rPr>
                <w:rFonts w:ascii="David" w:hAnsi="David" w:cs="David"/>
                <w:color w:val="000000"/>
                <w:rtl/>
              </w:rPr>
            </w:pPr>
            <w:r w:rsidRPr="007A525F">
              <w:rPr>
                <w:rFonts w:ascii="David" w:hAnsi="David" w:cs="David"/>
                <w:color w:val="000000"/>
                <w:rtl/>
              </w:rPr>
              <w:t>מעצר עד תום ההליכים (מ"ת)</w:t>
            </w:r>
          </w:p>
        </w:tc>
        <w:tc>
          <w:tcPr>
            <w:tcW w:w="1417" w:type="dxa"/>
            <w:shd w:val="clear" w:color="auto" w:fill="D9D9D9"/>
            <w:vAlign w:val="center"/>
          </w:tcPr>
          <w:p w14:paraId="60EBF16A" w14:textId="77777777" w:rsidR="001661EA" w:rsidRPr="007A525F" w:rsidRDefault="001661EA" w:rsidP="007A525F">
            <w:pPr>
              <w:spacing w:after="0" w:line="240" w:lineRule="auto"/>
              <w:jc w:val="center"/>
              <w:rPr>
                <w:rFonts w:ascii="David" w:hAnsi="David" w:cs="David"/>
                <w:color w:val="000000"/>
              </w:rPr>
            </w:pPr>
            <w:r w:rsidRPr="007A525F">
              <w:rPr>
                <w:rFonts w:ascii="David" w:hAnsi="David" w:cs="David" w:hint="cs"/>
                <w:color w:val="000000"/>
                <w:rtl/>
              </w:rPr>
              <w:t>1,774</w:t>
            </w:r>
          </w:p>
        </w:tc>
        <w:tc>
          <w:tcPr>
            <w:tcW w:w="1560" w:type="dxa"/>
            <w:shd w:val="clear" w:color="auto" w:fill="D9D9D9"/>
            <w:noWrap/>
            <w:vAlign w:val="center"/>
          </w:tcPr>
          <w:p w14:paraId="56996452" w14:textId="77777777" w:rsidR="001661EA" w:rsidRPr="007A525F" w:rsidRDefault="001661EA" w:rsidP="007A525F">
            <w:pPr>
              <w:spacing w:after="0" w:line="240" w:lineRule="auto"/>
              <w:jc w:val="center"/>
              <w:rPr>
                <w:rFonts w:ascii="David" w:hAnsi="David" w:cs="David"/>
                <w:b/>
                <w:bCs/>
                <w:color w:val="000000"/>
              </w:rPr>
            </w:pPr>
            <w:r w:rsidRPr="007A525F">
              <w:rPr>
                <w:rFonts w:ascii="David" w:hAnsi="David" w:cs="David"/>
                <w:b/>
                <w:bCs/>
                <w:color w:val="000000"/>
              </w:rPr>
              <w:t>1:32</w:t>
            </w:r>
          </w:p>
        </w:tc>
        <w:tc>
          <w:tcPr>
            <w:tcW w:w="1559" w:type="dxa"/>
            <w:shd w:val="clear" w:color="auto" w:fill="D9D9D9"/>
            <w:vAlign w:val="center"/>
          </w:tcPr>
          <w:p w14:paraId="55AA7E72" w14:textId="77777777" w:rsidR="001661EA" w:rsidRPr="007A525F" w:rsidRDefault="001661EA" w:rsidP="007A525F">
            <w:pPr>
              <w:spacing w:after="0" w:line="240" w:lineRule="auto"/>
              <w:jc w:val="center"/>
              <w:rPr>
                <w:rFonts w:ascii="David" w:hAnsi="David" w:cs="David"/>
                <w:color w:val="000000"/>
              </w:rPr>
            </w:pPr>
            <w:r w:rsidRPr="007A525F">
              <w:rPr>
                <w:rFonts w:ascii="David" w:hAnsi="David" w:cs="David"/>
                <w:color w:val="000000"/>
              </w:rPr>
              <w:t>2:40</w:t>
            </w:r>
          </w:p>
        </w:tc>
        <w:tc>
          <w:tcPr>
            <w:tcW w:w="992" w:type="dxa"/>
            <w:shd w:val="clear" w:color="auto" w:fill="D9D9D9"/>
            <w:vAlign w:val="center"/>
          </w:tcPr>
          <w:p w14:paraId="08C1C165" w14:textId="77777777" w:rsidR="001661EA" w:rsidRPr="007A525F" w:rsidRDefault="001661EA" w:rsidP="007A525F">
            <w:pPr>
              <w:spacing w:after="0" w:line="240" w:lineRule="auto"/>
              <w:jc w:val="center"/>
              <w:rPr>
                <w:rFonts w:ascii="David" w:hAnsi="David" w:cs="David"/>
                <w:color w:val="000000"/>
              </w:rPr>
            </w:pPr>
            <w:r w:rsidRPr="007A525F">
              <w:rPr>
                <w:rFonts w:ascii="David" w:hAnsi="David" w:cs="David" w:hint="cs"/>
                <w:color w:val="000000"/>
                <w:rtl/>
              </w:rPr>
              <w:t>1:08-</w:t>
            </w:r>
          </w:p>
        </w:tc>
      </w:tr>
      <w:tr w:rsidR="001661EA" w:rsidRPr="007A525F" w14:paraId="22B333CE" w14:textId="77777777" w:rsidTr="007D380E">
        <w:trPr>
          <w:trHeight w:val="600"/>
        </w:trPr>
        <w:tc>
          <w:tcPr>
            <w:tcW w:w="997" w:type="dxa"/>
            <w:shd w:val="clear" w:color="auto" w:fill="auto"/>
            <w:noWrap/>
            <w:vAlign w:val="center"/>
          </w:tcPr>
          <w:p w14:paraId="01CADC33" w14:textId="77777777" w:rsidR="001661EA" w:rsidRPr="007A525F" w:rsidRDefault="001661EA" w:rsidP="007A525F">
            <w:pPr>
              <w:spacing w:after="0" w:line="240" w:lineRule="auto"/>
              <w:rPr>
                <w:rFonts w:ascii="David" w:hAnsi="David" w:cs="David"/>
                <w:color w:val="000000"/>
              </w:rPr>
            </w:pPr>
            <w:r w:rsidRPr="007A525F">
              <w:rPr>
                <w:rFonts w:ascii="David" w:hAnsi="David" w:cs="David"/>
                <w:color w:val="000000"/>
                <w:rtl/>
              </w:rPr>
              <w:t>תעבורה</w:t>
            </w:r>
          </w:p>
        </w:tc>
        <w:tc>
          <w:tcPr>
            <w:tcW w:w="2269" w:type="dxa"/>
            <w:shd w:val="clear" w:color="auto" w:fill="auto"/>
            <w:vAlign w:val="center"/>
          </w:tcPr>
          <w:p w14:paraId="5E6E4EB7" w14:textId="77777777" w:rsidR="001661EA" w:rsidRPr="007A525F" w:rsidRDefault="001661EA" w:rsidP="007A525F">
            <w:pPr>
              <w:spacing w:after="0" w:line="240" w:lineRule="auto"/>
              <w:rPr>
                <w:rFonts w:ascii="David" w:hAnsi="David" w:cs="David"/>
                <w:color w:val="000000"/>
                <w:rtl/>
              </w:rPr>
            </w:pPr>
            <w:r w:rsidRPr="007A525F">
              <w:rPr>
                <w:rFonts w:ascii="David" w:hAnsi="David" w:cs="David"/>
                <w:color w:val="000000"/>
                <w:rtl/>
              </w:rPr>
              <w:t>תאונת דרכים ללא נפגעי גוף (נ"ב)</w:t>
            </w:r>
          </w:p>
        </w:tc>
        <w:tc>
          <w:tcPr>
            <w:tcW w:w="1417" w:type="dxa"/>
            <w:vAlign w:val="center"/>
          </w:tcPr>
          <w:p w14:paraId="48CEB98B" w14:textId="77777777" w:rsidR="001661EA" w:rsidRPr="007A525F" w:rsidRDefault="001661EA" w:rsidP="007A525F">
            <w:pPr>
              <w:spacing w:after="0" w:line="240" w:lineRule="auto"/>
              <w:jc w:val="center"/>
              <w:rPr>
                <w:rFonts w:ascii="David" w:hAnsi="David" w:cs="David"/>
                <w:color w:val="000000"/>
              </w:rPr>
            </w:pPr>
            <w:r w:rsidRPr="007A525F">
              <w:rPr>
                <w:rFonts w:ascii="David" w:hAnsi="David" w:cs="David" w:hint="cs"/>
                <w:color w:val="000000"/>
                <w:rtl/>
              </w:rPr>
              <w:t>483</w:t>
            </w:r>
          </w:p>
        </w:tc>
        <w:tc>
          <w:tcPr>
            <w:tcW w:w="1560" w:type="dxa"/>
            <w:shd w:val="clear" w:color="auto" w:fill="auto"/>
            <w:noWrap/>
            <w:vAlign w:val="center"/>
          </w:tcPr>
          <w:p w14:paraId="3DB0EC07" w14:textId="77777777" w:rsidR="001661EA" w:rsidRPr="007A525F" w:rsidRDefault="001661EA" w:rsidP="007A525F">
            <w:pPr>
              <w:spacing w:after="0" w:line="240" w:lineRule="auto"/>
              <w:jc w:val="center"/>
              <w:rPr>
                <w:rFonts w:ascii="David" w:hAnsi="David" w:cs="David"/>
                <w:b/>
                <w:bCs/>
                <w:color w:val="000000"/>
                <w:rtl/>
              </w:rPr>
            </w:pPr>
            <w:r w:rsidRPr="007A525F">
              <w:rPr>
                <w:rFonts w:ascii="David" w:hAnsi="David" w:cs="David"/>
                <w:b/>
                <w:bCs/>
                <w:color w:val="000000"/>
              </w:rPr>
              <w:t>1:22</w:t>
            </w:r>
          </w:p>
        </w:tc>
        <w:tc>
          <w:tcPr>
            <w:tcW w:w="1559" w:type="dxa"/>
            <w:shd w:val="clear" w:color="auto" w:fill="auto"/>
            <w:vAlign w:val="center"/>
          </w:tcPr>
          <w:p w14:paraId="475B9CE9" w14:textId="77777777" w:rsidR="001661EA" w:rsidRPr="007A525F" w:rsidRDefault="001661EA" w:rsidP="007A525F">
            <w:pPr>
              <w:spacing w:after="0" w:line="240" w:lineRule="auto"/>
              <w:jc w:val="center"/>
              <w:rPr>
                <w:rFonts w:asciiTheme="minorHAnsi" w:hAnsiTheme="minorHAnsi" w:cs="David"/>
                <w:color w:val="000000"/>
              </w:rPr>
            </w:pPr>
            <w:r w:rsidRPr="007A525F">
              <w:rPr>
                <w:rFonts w:ascii="David" w:hAnsi="David" w:cs="David" w:hint="cs"/>
                <w:color w:val="000000"/>
                <w:rtl/>
              </w:rPr>
              <w:t>-</w:t>
            </w:r>
          </w:p>
        </w:tc>
        <w:tc>
          <w:tcPr>
            <w:tcW w:w="992" w:type="dxa"/>
            <w:shd w:val="clear" w:color="auto" w:fill="auto"/>
            <w:vAlign w:val="center"/>
          </w:tcPr>
          <w:p w14:paraId="209F84B7" w14:textId="77777777" w:rsidR="001661EA" w:rsidRPr="007A525F" w:rsidRDefault="001661EA" w:rsidP="007A525F">
            <w:pPr>
              <w:spacing w:after="0" w:line="240" w:lineRule="auto"/>
              <w:jc w:val="center"/>
              <w:rPr>
                <w:rFonts w:ascii="David" w:hAnsi="David" w:cs="David"/>
                <w:color w:val="000000"/>
              </w:rPr>
            </w:pPr>
            <w:r w:rsidRPr="007A525F">
              <w:rPr>
                <w:rFonts w:ascii="David" w:hAnsi="David" w:cs="David" w:hint="cs"/>
                <w:color w:val="000000"/>
                <w:rtl/>
              </w:rPr>
              <w:t>-</w:t>
            </w:r>
          </w:p>
        </w:tc>
      </w:tr>
      <w:tr w:rsidR="001661EA" w:rsidRPr="007A525F" w14:paraId="4A525FC5" w14:textId="77777777" w:rsidTr="007D380E">
        <w:trPr>
          <w:trHeight w:val="600"/>
        </w:trPr>
        <w:tc>
          <w:tcPr>
            <w:tcW w:w="997" w:type="dxa"/>
            <w:shd w:val="clear" w:color="auto" w:fill="D9D9D9"/>
            <w:noWrap/>
            <w:vAlign w:val="center"/>
          </w:tcPr>
          <w:p w14:paraId="4FD718B6" w14:textId="77777777" w:rsidR="001661EA" w:rsidRPr="007A525F" w:rsidRDefault="001661EA" w:rsidP="007A525F">
            <w:pPr>
              <w:spacing w:after="0" w:line="240" w:lineRule="auto"/>
              <w:rPr>
                <w:rFonts w:ascii="David" w:hAnsi="David" w:cs="David"/>
                <w:color w:val="000000"/>
              </w:rPr>
            </w:pPr>
            <w:r w:rsidRPr="007A525F">
              <w:rPr>
                <w:rFonts w:ascii="David" w:hAnsi="David" w:cs="David"/>
                <w:color w:val="000000"/>
                <w:rtl/>
              </w:rPr>
              <w:t>תעבורה</w:t>
            </w:r>
          </w:p>
        </w:tc>
        <w:tc>
          <w:tcPr>
            <w:tcW w:w="2269" w:type="dxa"/>
            <w:shd w:val="clear" w:color="auto" w:fill="D9D9D9"/>
            <w:vAlign w:val="center"/>
          </w:tcPr>
          <w:p w14:paraId="09DBE4C6" w14:textId="77777777" w:rsidR="001661EA" w:rsidRPr="007A525F" w:rsidRDefault="001661EA" w:rsidP="007A525F">
            <w:pPr>
              <w:spacing w:after="0" w:line="240" w:lineRule="auto"/>
              <w:rPr>
                <w:rFonts w:ascii="David" w:hAnsi="David" w:cs="David"/>
                <w:color w:val="000000"/>
                <w:rtl/>
              </w:rPr>
            </w:pPr>
            <w:r w:rsidRPr="007A525F">
              <w:rPr>
                <w:rFonts w:ascii="David" w:hAnsi="David" w:cs="David"/>
                <w:color w:val="000000"/>
                <w:rtl/>
              </w:rPr>
              <w:t>בקשה לעיון בחומר חקירה (בע"ח)</w:t>
            </w:r>
          </w:p>
        </w:tc>
        <w:tc>
          <w:tcPr>
            <w:tcW w:w="1417" w:type="dxa"/>
            <w:shd w:val="clear" w:color="auto" w:fill="D9D9D9"/>
            <w:vAlign w:val="center"/>
          </w:tcPr>
          <w:p w14:paraId="53E42D8F" w14:textId="77777777" w:rsidR="001661EA" w:rsidRPr="007A525F" w:rsidRDefault="001661EA" w:rsidP="007A525F">
            <w:pPr>
              <w:spacing w:after="0" w:line="240" w:lineRule="auto"/>
              <w:jc w:val="center"/>
              <w:rPr>
                <w:rFonts w:ascii="David" w:hAnsi="David" w:cs="David"/>
                <w:color w:val="000000"/>
              </w:rPr>
            </w:pPr>
            <w:r w:rsidRPr="007A525F">
              <w:rPr>
                <w:rFonts w:ascii="David" w:hAnsi="David" w:cs="David" w:hint="cs"/>
                <w:color w:val="000000"/>
                <w:rtl/>
              </w:rPr>
              <w:t>232</w:t>
            </w:r>
          </w:p>
        </w:tc>
        <w:tc>
          <w:tcPr>
            <w:tcW w:w="1560" w:type="dxa"/>
            <w:shd w:val="clear" w:color="auto" w:fill="D9D9D9"/>
            <w:noWrap/>
            <w:vAlign w:val="center"/>
          </w:tcPr>
          <w:p w14:paraId="73B4B88A" w14:textId="77777777" w:rsidR="001661EA" w:rsidRPr="007A525F" w:rsidRDefault="001661EA" w:rsidP="007A525F">
            <w:pPr>
              <w:spacing w:after="0" w:line="240" w:lineRule="auto"/>
              <w:jc w:val="center"/>
              <w:rPr>
                <w:rFonts w:asciiTheme="minorHAnsi" w:hAnsiTheme="minorHAnsi" w:cs="David"/>
                <w:b/>
                <w:bCs/>
                <w:color w:val="000000"/>
              </w:rPr>
            </w:pPr>
            <w:r w:rsidRPr="007A525F">
              <w:rPr>
                <w:rFonts w:ascii="David" w:hAnsi="David" w:cs="David"/>
                <w:b/>
                <w:bCs/>
                <w:color w:val="000000"/>
              </w:rPr>
              <w:t>1:19</w:t>
            </w:r>
          </w:p>
        </w:tc>
        <w:tc>
          <w:tcPr>
            <w:tcW w:w="1559" w:type="dxa"/>
            <w:shd w:val="clear" w:color="auto" w:fill="D9D9D9"/>
            <w:vAlign w:val="center"/>
          </w:tcPr>
          <w:p w14:paraId="77186E0E" w14:textId="77777777" w:rsidR="001661EA" w:rsidRPr="007A525F" w:rsidRDefault="001661EA" w:rsidP="007A525F">
            <w:pPr>
              <w:spacing w:after="0" w:line="240" w:lineRule="auto"/>
              <w:jc w:val="center"/>
              <w:rPr>
                <w:rFonts w:ascii="David" w:hAnsi="David" w:cs="David"/>
                <w:color w:val="000000"/>
              </w:rPr>
            </w:pPr>
            <w:r w:rsidRPr="007A525F">
              <w:rPr>
                <w:rFonts w:ascii="David" w:hAnsi="David" w:cs="David" w:hint="cs"/>
                <w:color w:val="000000"/>
                <w:rtl/>
              </w:rPr>
              <w:t>-</w:t>
            </w:r>
          </w:p>
        </w:tc>
        <w:tc>
          <w:tcPr>
            <w:tcW w:w="992" w:type="dxa"/>
            <w:shd w:val="clear" w:color="auto" w:fill="D9D9D9"/>
            <w:vAlign w:val="center"/>
          </w:tcPr>
          <w:p w14:paraId="7F430CE3" w14:textId="77777777" w:rsidR="001661EA" w:rsidRPr="007A525F" w:rsidRDefault="001661EA" w:rsidP="007A525F">
            <w:pPr>
              <w:spacing w:after="0" w:line="240" w:lineRule="auto"/>
              <w:jc w:val="center"/>
              <w:rPr>
                <w:rFonts w:ascii="David" w:hAnsi="David" w:cs="David"/>
                <w:color w:val="000000"/>
              </w:rPr>
            </w:pPr>
            <w:r w:rsidRPr="007A525F">
              <w:rPr>
                <w:rFonts w:ascii="David" w:hAnsi="David" w:cs="David" w:hint="cs"/>
                <w:color w:val="000000"/>
                <w:rtl/>
              </w:rPr>
              <w:t>-</w:t>
            </w:r>
          </w:p>
        </w:tc>
      </w:tr>
      <w:tr w:rsidR="001661EA" w:rsidRPr="007A525F" w14:paraId="0D5F85AA" w14:textId="77777777" w:rsidTr="007D380E">
        <w:trPr>
          <w:trHeight w:val="600"/>
        </w:trPr>
        <w:tc>
          <w:tcPr>
            <w:tcW w:w="997" w:type="dxa"/>
            <w:shd w:val="clear" w:color="auto" w:fill="auto"/>
            <w:noWrap/>
            <w:vAlign w:val="center"/>
          </w:tcPr>
          <w:p w14:paraId="5530D36B" w14:textId="77777777" w:rsidR="001661EA" w:rsidRPr="007A525F" w:rsidRDefault="001661EA" w:rsidP="007A525F">
            <w:pPr>
              <w:spacing w:after="0" w:line="240" w:lineRule="auto"/>
              <w:rPr>
                <w:rFonts w:ascii="David" w:hAnsi="David" w:cs="David"/>
                <w:color w:val="000000"/>
              </w:rPr>
            </w:pPr>
            <w:r w:rsidRPr="007A525F">
              <w:rPr>
                <w:rFonts w:ascii="David" w:hAnsi="David" w:cs="David"/>
                <w:color w:val="000000"/>
                <w:rtl/>
              </w:rPr>
              <w:t>תעבורה</w:t>
            </w:r>
          </w:p>
        </w:tc>
        <w:tc>
          <w:tcPr>
            <w:tcW w:w="2269" w:type="dxa"/>
            <w:shd w:val="clear" w:color="auto" w:fill="auto"/>
            <w:vAlign w:val="center"/>
          </w:tcPr>
          <w:p w14:paraId="4D2B9B51" w14:textId="77777777" w:rsidR="001661EA" w:rsidRPr="007A525F" w:rsidRDefault="001661EA" w:rsidP="007A525F">
            <w:pPr>
              <w:spacing w:after="0" w:line="240" w:lineRule="auto"/>
              <w:rPr>
                <w:rFonts w:ascii="David" w:hAnsi="David" w:cs="David"/>
                <w:color w:val="000000"/>
                <w:rtl/>
              </w:rPr>
            </w:pPr>
            <w:r w:rsidRPr="007A525F">
              <w:rPr>
                <w:rFonts w:ascii="David" w:hAnsi="David" w:cs="David"/>
                <w:color w:val="000000"/>
                <w:rtl/>
              </w:rPr>
              <w:t>תיק נ"ב אדום (נב"א)</w:t>
            </w:r>
          </w:p>
        </w:tc>
        <w:tc>
          <w:tcPr>
            <w:tcW w:w="1417" w:type="dxa"/>
            <w:vAlign w:val="center"/>
          </w:tcPr>
          <w:p w14:paraId="1CF25E66" w14:textId="77777777" w:rsidR="001661EA" w:rsidRPr="007A525F" w:rsidRDefault="001661EA" w:rsidP="007A525F">
            <w:pPr>
              <w:spacing w:after="0" w:line="240" w:lineRule="auto"/>
              <w:jc w:val="center"/>
              <w:rPr>
                <w:rFonts w:ascii="David" w:hAnsi="David" w:cs="David"/>
                <w:color w:val="000000"/>
              </w:rPr>
            </w:pPr>
            <w:r w:rsidRPr="007A525F">
              <w:rPr>
                <w:rFonts w:ascii="David" w:hAnsi="David" w:cs="David" w:hint="cs"/>
                <w:color w:val="000000"/>
                <w:rtl/>
              </w:rPr>
              <w:t>120</w:t>
            </w:r>
          </w:p>
        </w:tc>
        <w:tc>
          <w:tcPr>
            <w:tcW w:w="1560" w:type="dxa"/>
            <w:shd w:val="clear" w:color="auto" w:fill="auto"/>
            <w:noWrap/>
            <w:vAlign w:val="center"/>
          </w:tcPr>
          <w:p w14:paraId="191C3F15" w14:textId="77777777" w:rsidR="001661EA" w:rsidRPr="007A525F" w:rsidRDefault="001661EA" w:rsidP="007A525F">
            <w:pPr>
              <w:spacing w:after="0" w:line="240" w:lineRule="auto"/>
              <w:jc w:val="center"/>
              <w:rPr>
                <w:rFonts w:ascii="David" w:hAnsi="David" w:cs="David"/>
                <w:b/>
                <w:bCs/>
                <w:color w:val="000000"/>
              </w:rPr>
            </w:pPr>
            <w:r w:rsidRPr="007A525F">
              <w:rPr>
                <w:rFonts w:ascii="David" w:hAnsi="David" w:cs="David"/>
                <w:b/>
                <w:bCs/>
                <w:color w:val="000000"/>
              </w:rPr>
              <w:t>1:14</w:t>
            </w:r>
          </w:p>
        </w:tc>
        <w:tc>
          <w:tcPr>
            <w:tcW w:w="1559" w:type="dxa"/>
            <w:shd w:val="clear" w:color="auto" w:fill="auto"/>
            <w:vAlign w:val="center"/>
          </w:tcPr>
          <w:p w14:paraId="6BACBBCD" w14:textId="77777777" w:rsidR="001661EA" w:rsidRPr="007A525F" w:rsidRDefault="001661EA" w:rsidP="007A525F">
            <w:pPr>
              <w:spacing w:after="0" w:line="240" w:lineRule="auto"/>
              <w:jc w:val="center"/>
              <w:rPr>
                <w:rFonts w:ascii="David" w:hAnsi="David" w:cs="David"/>
                <w:color w:val="000000"/>
              </w:rPr>
            </w:pPr>
            <w:r w:rsidRPr="007A525F">
              <w:rPr>
                <w:rFonts w:ascii="David" w:hAnsi="David" w:cs="David" w:hint="cs"/>
                <w:color w:val="000000"/>
                <w:rtl/>
              </w:rPr>
              <w:t>-</w:t>
            </w:r>
          </w:p>
        </w:tc>
        <w:tc>
          <w:tcPr>
            <w:tcW w:w="992" w:type="dxa"/>
            <w:shd w:val="clear" w:color="auto" w:fill="auto"/>
            <w:vAlign w:val="center"/>
          </w:tcPr>
          <w:p w14:paraId="5CADA9FF" w14:textId="77777777" w:rsidR="001661EA" w:rsidRPr="007A525F" w:rsidRDefault="001661EA" w:rsidP="007A525F">
            <w:pPr>
              <w:spacing w:after="0" w:line="240" w:lineRule="auto"/>
              <w:jc w:val="center"/>
              <w:rPr>
                <w:rFonts w:ascii="David" w:hAnsi="David" w:cs="David"/>
                <w:color w:val="000000"/>
              </w:rPr>
            </w:pPr>
            <w:r w:rsidRPr="007A525F">
              <w:rPr>
                <w:rFonts w:ascii="David" w:hAnsi="David" w:cs="David" w:hint="cs"/>
                <w:color w:val="000000"/>
                <w:rtl/>
              </w:rPr>
              <w:t>-</w:t>
            </w:r>
          </w:p>
        </w:tc>
      </w:tr>
      <w:tr w:rsidR="001661EA" w:rsidRPr="007A525F" w14:paraId="05F72A05" w14:textId="77777777" w:rsidTr="007D380E">
        <w:trPr>
          <w:trHeight w:val="600"/>
        </w:trPr>
        <w:tc>
          <w:tcPr>
            <w:tcW w:w="997" w:type="dxa"/>
            <w:shd w:val="clear" w:color="auto" w:fill="D9D9D9"/>
            <w:noWrap/>
            <w:vAlign w:val="center"/>
          </w:tcPr>
          <w:p w14:paraId="24977F0F" w14:textId="77777777" w:rsidR="001661EA" w:rsidRPr="007A525F" w:rsidRDefault="001661EA" w:rsidP="007A525F">
            <w:pPr>
              <w:spacing w:after="0" w:line="240" w:lineRule="auto"/>
              <w:rPr>
                <w:rFonts w:ascii="David" w:hAnsi="David" w:cs="David"/>
                <w:color w:val="000000"/>
              </w:rPr>
            </w:pPr>
            <w:r w:rsidRPr="007A525F">
              <w:rPr>
                <w:rFonts w:ascii="David" w:hAnsi="David" w:cs="David"/>
                <w:color w:val="000000"/>
                <w:rtl/>
              </w:rPr>
              <w:t>תעבורה</w:t>
            </w:r>
          </w:p>
        </w:tc>
        <w:tc>
          <w:tcPr>
            <w:tcW w:w="2269" w:type="dxa"/>
            <w:shd w:val="clear" w:color="auto" w:fill="D9D9D9"/>
            <w:vAlign w:val="center"/>
          </w:tcPr>
          <w:p w14:paraId="62F2340B" w14:textId="77777777" w:rsidR="001661EA" w:rsidRPr="007A525F" w:rsidRDefault="001661EA" w:rsidP="007A525F">
            <w:pPr>
              <w:spacing w:after="0" w:line="240" w:lineRule="auto"/>
              <w:rPr>
                <w:rFonts w:ascii="David" w:hAnsi="David" w:cs="David"/>
                <w:color w:val="000000"/>
                <w:rtl/>
              </w:rPr>
            </w:pPr>
            <w:r w:rsidRPr="007A525F">
              <w:rPr>
                <w:rFonts w:ascii="David" w:hAnsi="David" w:cs="David"/>
                <w:color w:val="000000"/>
                <w:rtl/>
              </w:rPr>
              <w:t>תאונת דרכים (ת"ד)</w:t>
            </w:r>
          </w:p>
        </w:tc>
        <w:tc>
          <w:tcPr>
            <w:tcW w:w="1417" w:type="dxa"/>
            <w:shd w:val="clear" w:color="auto" w:fill="D9D9D9"/>
            <w:vAlign w:val="center"/>
          </w:tcPr>
          <w:p w14:paraId="00C382C9" w14:textId="77777777" w:rsidR="001661EA" w:rsidRPr="007A525F" w:rsidRDefault="001661EA" w:rsidP="007A525F">
            <w:pPr>
              <w:spacing w:after="0" w:line="240" w:lineRule="auto"/>
              <w:jc w:val="center"/>
              <w:rPr>
                <w:rFonts w:ascii="David" w:hAnsi="David" w:cs="David"/>
                <w:color w:val="000000"/>
              </w:rPr>
            </w:pPr>
            <w:r w:rsidRPr="007A525F">
              <w:rPr>
                <w:rFonts w:ascii="David" w:hAnsi="David" w:cs="David" w:hint="cs"/>
                <w:color w:val="000000"/>
                <w:rtl/>
              </w:rPr>
              <w:t>8,337</w:t>
            </w:r>
          </w:p>
        </w:tc>
        <w:tc>
          <w:tcPr>
            <w:tcW w:w="1560" w:type="dxa"/>
            <w:shd w:val="clear" w:color="auto" w:fill="D9D9D9"/>
            <w:noWrap/>
            <w:vAlign w:val="center"/>
          </w:tcPr>
          <w:p w14:paraId="677D0500" w14:textId="77777777" w:rsidR="001661EA" w:rsidRPr="007A525F" w:rsidRDefault="001661EA" w:rsidP="007A525F">
            <w:pPr>
              <w:spacing w:after="0" w:line="240" w:lineRule="auto"/>
              <w:jc w:val="center"/>
              <w:rPr>
                <w:rFonts w:asciiTheme="minorHAnsi" w:hAnsiTheme="minorHAnsi" w:cs="David"/>
                <w:b/>
                <w:bCs/>
                <w:color w:val="000000"/>
              </w:rPr>
            </w:pPr>
            <w:r w:rsidRPr="007A525F">
              <w:rPr>
                <w:rFonts w:ascii="David" w:hAnsi="David" w:cs="David"/>
                <w:b/>
                <w:bCs/>
                <w:color w:val="000000"/>
              </w:rPr>
              <w:t>1:02</w:t>
            </w:r>
          </w:p>
        </w:tc>
        <w:tc>
          <w:tcPr>
            <w:tcW w:w="1559" w:type="dxa"/>
            <w:shd w:val="clear" w:color="auto" w:fill="D9D9D9"/>
            <w:vAlign w:val="center"/>
          </w:tcPr>
          <w:p w14:paraId="4235C2BE" w14:textId="77777777" w:rsidR="001661EA" w:rsidRPr="007A525F" w:rsidRDefault="001661EA" w:rsidP="007A525F">
            <w:pPr>
              <w:spacing w:after="0" w:line="240" w:lineRule="auto"/>
              <w:jc w:val="center"/>
              <w:rPr>
                <w:rFonts w:ascii="David" w:hAnsi="David" w:cs="David"/>
                <w:color w:val="000000"/>
              </w:rPr>
            </w:pPr>
            <w:r w:rsidRPr="007A525F">
              <w:rPr>
                <w:rFonts w:ascii="David" w:hAnsi="David" w:cs="David"/>
                <w:color w:val="000000"/>
              </w:rPr>
              <w:t>0:50</w:t>
            </w:r>
          </w:p>
        </w:tc>
        <w:tc>
          <w:tcPr>
            <w:tcW w:w="992" w:type="dxa"/>
            <w:shd w:val="clear" w:color="auto" w:fill="D9D9D9"/>
            <w:vAlign w:val="center"/>
          </w:tcPr>
          <w:p w14:paraId="237CCDFD" w14:textId="77777777" w:rsidR="001661EA" w:rsidRPr="007A525F" w:rsidRDefault="001661EA" w:rsidP="007A525F">
            <w:pPr>
              <w:spacing w:after="0" w:line="240" w:lineRule="auto"/>
              <w:jc w:val="center"/>
              <w:rPr>
                <w:rFonts w:ascii="David" w:hAnsi="David" w:cs="David"/>
                <w:color w:val="000000"/>
              </w:rPr>
            </w:pPr>
            <w:r w:rsidRPr="007A525F">
              <w:rPr>
                <w:rFonts w:ascii="David" w:hAnsi="David" w:cs="David" w:hint="cs"/>
                <w:color w:val="000000"/>
                <w:rtl/>
              </w:rPr>
              <w:t>0:12+</w:t>
            </w:r>
          </w:p>
        </w:tc>
      </w:tr>
      <w:tr w:rsidR="007A525F" w:rsidRPr="007A525F" w14:paraId="6DDEFBB6" w14:textId="77777777" w:rsidTr="007D380E">
        <w:trPr>
          <w:trHeight w:val="600"/>
        </w:trPr>
        <w:tc>
          <w:tcPr>
            <w:tcW w:w="997" w:type="dxa"/>
            <w:shd w:val="clear" w:color="auto" w:fill="auto"/>
            <w:noWrap/>
            <w:vAlign w:val="center"/>
          </w:tcPr>
          <w:p w14:paraId="7613C3C0" w14:textId="77777777" w:rsidR="007A525F" w:rsidRPr="007A525F" w:rsidRDefault="007A525F" w:rsidP="007A525F">
            <w:pPr>
              <w:spacing w:after="0" w:line="240" w:lineRule="auto"/>
              <w:rPr>
                <w:rFonts w:ascii="David" w:hAnsi="David" w:cs="David"/>
                <w:color w:val="000000"/>
              </w:rPr>
            </w:pPr>
            <w:r w:rsidRPr="007A525F">
              <w:rPr>
                <w:rFonts w:ascii="David" w:hAnsi="David" w:cs="David"/>
                <w:color w:val="000000"/>
                <w:rtl/>
              </w:rPr>
              <w:t>תעבורה</w:t>
            </w:r>
          </w:p>
        </w:tc>
        <w:tc>
          <w:tcPr>
            <w:tcW w:w="2269" w:type="dxa"/>
            <w:shd w:val="clear" w:color="auto" w:fill="auto"/>
            <w:vAlign w:val="center"/>
          </w:tcPr>
          <w:p w14:paraId="6F4996F5" w14:textId="77777777" w:rsidR="007A525F" w:rsidRPr="007A525F" w:rsidRDefault="007A525F" w:rsidP="007A525F">
            <w:pPr>
              <w:spacing w:after="0" w:line="240" w:lineRule="auto"/>
              <w:rPr>
                <w:rFonts w:ascii="David" w:hAnsi="David" w:cs="David"/>
                <w:color w:val="000000"/>
                <w:rtl/>
              </w:rPr>
            </w:pPr>
            <w:r w:rsidRPr="007A525F">
              <w:rPr>
                <w:rFonts w:ascii="David" w:hAnsi="David" w:cs="David"/>
                <w:color w:val="000000"/>
                <w:rtl/>
              </w:rPr>
              <w:t>תיק תת"ע אדום (תתע"א)</w:t>
            </w:r>
          </w:p>
        </w:tc>
        <w:tc>
          <w:tcPr>
            <w:tcW w:w="1417" w:type="dxa"/>
            <w:vAlign w:val="center"/>
          </w:tcPr>
          <w:p w14:paraId="753118BB" w14:textId="77777777" w:rsidR="007A525F" w:rsidRPr="007A525F" w:rsidRDefault="007A525F" w:rsidP="007A525F">
            <w:pPr>
              <w:spacing w:after="0" w:line="240" w:lineRule="auto"/>
              <w:jc w:val="center"/>
              <w:rPr>
                <w:rFonts w:ascii="David" w:hAnsi="David" w:cs="David"/>
                <w:color w:val="000000"/>
              </w:rPr>
            </w:pPr>
            <w:r w:rsidRPr="007A525F">
              <w:rPr>
                <w:rFonts w:ascii="David" w:hAnsi="David" w:cs="David" w:hint="cs"/>
                <w:color w:val="000000"/>
                <w:rtl/>
              </w:rPr>
              <w:t>3,425</w:t>
            </w:r>
          </w:p>
        </w:tc>
        <w:tc>
          <w:tcPr>
            <w:tcW w:w="1560" w:type="dxa"/>
            <w:shd w:val="clear" w:color="auto" w:fill="auto"/>
            <w:noWrap/>
            <w:vAlign w:val="center"/>
          </w:tcPr>
          <w:p w14:paraId="778EB524" w14:textId="77777777" w:rsidR="007A525F" w:rsidRPr="007A525F" w:rsidRDefault="007A525F" w:rsidP="007A525F">
            <w:pPr>
              <w:spacing w:after="0" w:line="240" w:lineRule="auto"/>
              <w:jc w:val="center"/>
              <w:rPr>
                <w:rFonts w:ascii="David" w:hAnsi="David" w:cs="David"/>
                <w:b/>
                <w:bCs/>
                <w:color w:val="000000"/>
              </w:rPr>
            </w:pPr>
            <w:r w:rsidRPr="007A525F">
              <w:rPr>
                <w:rFonts w:ascii="David" w:hAnsi="David" w:cs="David"/>
                <w:b/>
                <w:bCs/>
                <w:color w:val="000000"/>
              </w:rPr>
              <w:t>0:45</w:t>
            </w:r>
          </w:p>
        </w:tc>
        <w:tc>
          <w:tcPr>
            <w:tcW w:w="1559" w:type="dxa"/>
            <w:shd w:val="clear" w:color="auto" w:fill="auto"/>
            <w:vAlign w:val="center"/>
          </w:tcPr>
          <w:p w14:paraId="38C825FB" w14:textId="77777777" w:rsidR="007A525F" w:rsidRPr="007A525F" w:rsidRDefault="007A525F" w:rsidP="007A525F">
            <w:pPr>
              <w:spacing w:after="0" w:line="240" w:lineRule="auto"/>
              <w:jc w:val="center"/>
              <w:rPr>
                <w:rFonts w:ascii="David" w:hAnsi="David" w:cs="David"/>
                <w:color w:val="000000"/>
              </w:rPr>
            </w:pPr>
            <w:r w:rsidRPr="007A525F">
              <w:rPr>
                <w:rFonts w:ascii="David" w:hAnsi="David" w:cs="David" w:hint="cs"/>
                <w:color w:val="000000"/>
                <w:rtl/>
              </w:rPr>
              <w:t>-</w:t>
            </w:r>
          </w:p>
        </w:tc>
        <w:tc>
          <w:tcPr>
            <w:tcW w:w="992" w:type="dxa"/>
            <w:shd w:val="clear" w:color="auto" w:fill="auto"/>
            <w:vAlign w:val="center"/>
          </w:tcPr>
          <w:p w14:paraId="7165EA6B" w14:textId="77777777" w:rsidR="007A525F" w:rsidRPr="007A525F" w:rsidRDefault="007A525F" w:rsidP="007A525F">
            <w:pPr>
              <w:spacing w:after="0" w:line="240" w:lineRule="auto"/>
              <w:jc w:val="center"/>
              <w:rPr>
                <w:rFonts w:ascii="David" w:hAnsi="David" w:cs="David"/>
                <w:color w:val="000000"/>
              </w:rPr>
            </w:pPr>
            <w:r w:rsidRPr="007A525F">
              <w:rPr>
                <w:rFonts w:ascii="David" w:hAnsi="David" w:cs="David" w:hint="cs"/>
                <w:color w:val="000000"/>
                <w:rtl/>
              </w:rPr>
              <w:t>-</w:t>
            </w:r>
          </w:p>
        </w:tc>
      </w:tr>
      <w:tr w:rsidR="007A525F" w:rsidRPr="007A525F" w14:paraId="577286B4" w14:textId="77777777" w:rsidTr="007D380E">
        <w:trPr>
          <w:trHeight w:val="600"/>
        </w:trPr>
        <w:tc>
          <w:tcPr>
            <w:tcW w:w="997" w:type="dxa"/>
            <w:shd w:val="clear" w:color="auto" w:fill="D9D9D9"/>
            <w:noWrap/>
            <w:vAlign w:val="center"/>
          </w:tcPr>
          <w:p w14:paraId="1E6B643D" w14:textId="77777777" w:rsidR="007A525F" w:rsidRPr="007A525F" w:rsidRDefault="007A525F" w:rsidP="007A525F">
            <w:pPr>
              <w:spacing w:after="0" w:line="240" w:lineRule="auto"/>
              <w:rPr>
                <w:rFonts w:ascii="David" w:hAnsi="David" w:cs="David"/>
                <w:color w:val="000000"/>
              </w:rPr>
            </w:pPr>
            <w:r w:rsidRPr="007A525F">
              <w:rPr>
                <w:rFonts w:ascii="David" w:hAnsi="David" w:cs="David"/>
                <w:color w:val="000000"/>
                <w:rtl/>
              </w:rPr>
              <w:t>תעבורה</w:t>
            </w:r>
          </w:p>
        </w:tc>
        <w:tc>
          <w:tcPr>
            <w:tcW w:w="2269" w:type="dxa"/>
            <w:shd w:val="clear" w:color="auto" w:fill="D9D9D9"/>
            <w:vAlign w:val="center"/>
          </w:tcPr>
          <w:p w14:paraId="18F13A06" w14:textId="77777777" w:rsidR="007A525F" w:rsidRPr="007A525F" w:rsidRDefault="007A525F" w:rsidP="007A525F">
            <w:pPr>
              <w:spacing w:after="0" w:line="240" w:lineRule="auto"/>
              <w:rPr>
                <w:rFonts w:ascii="David" w:hAnsi="David" w:cs="David"/>
                <w:color w:val="000000"/>
                <w:rtl/>
              </w:rPr>
            </w:pPr>
            <w:r w:rsidRPr="007A525F">
              <w:rPr>
                <w:rFonts w:ascii="David" w:hAnsi="David" w:cs="David"/>
                <w:color w:val="000000"/>
                <w:rtl/>
              </w:rPr>
              <w:t>בקשה לפסילה עד תום ההליכים (בפ"ת)</w:t>
            </w:r>
          </w:p>
        </w:tc>
        <w:tc>
          <w:tcPr>
            <w:tcW w:w="1417" w:type="dxa"/>
            <w:shd w:val="clear" w:color="auto" w:fill="D9D9D9"/>
            <w:vAlign w:val="center"/>
          </w:tcPr>
          <w:p w14:paraId="794BC50E" w14:textId="77777777" w:rsidR="007A525F" w:rsidRPr="007A525F" w:rsidRDefault="007A525F" w:rsidP="007A525F">
            <w:pPr>
              <w:spacing w:after="0" w:line="240" w:lineRule="auto"/>
              <w:jc w:val="center"/>
              <w:rPr>
                <w:rFonts w:ascii="David" w:hAnsi="David" w:cs="David"/>
                <w:color w:val="000000"/>
              </w:rPr>
            </w:pPr>
            <w:r w:rsidRPr="007A525F">
              <w:rPr>
                <w:rFonts w:ascii="David" w:hAnsi="David" w:cs="David" w:hint="cs"/>
                <w:color w:val="000000"/>
                <w:rtl/>
              </w:rPr>
              <w:t>3,726</w:t>
            </w:r>
          </w:p>
        </w:tc>
        <w:tc>
          <w:tcPr>
            <w:tcW w:w="1560" w:type="dxa"/>
            <w:shd w:val="clear" w:color="auto" w:fill="D9D9D9"/>
            <w:noWrap/>
            <w:vAlign w:val="center"/>
          </w:tcPr>
          <w:p w14:paraId="6AD391DC" w14:textId="77777777" w:rsidR="007A525F" w:rsidRPr="007A525F" w:rsidRDefault="007A525F" w:rsidP="007A525F">
            <w:pPr>
              <w:spacing w:after="0" w:line="240" w:lineRule="auto"/>
              <w:jc w:val="center"/>
              <w:rPr>
                <w:rFonts w:ascii="David" w:hAnsi="David" w:cs="David"/>
                <w:b/>
                <w:bCs/>
                <w:color w:val="000000"/>
              </w:rPr>
            </w:pPr>
            <w:r w:rsidRPr="007A525F">
              <w:rPr>
                <w:rFonts w:ascii="David" w:hAnsi="David" w:cs="David"/>
                <w:b/>
                <w:bCs/>
                <w:color w:val="000000"/>
              </w:rPr>
              <w:t>0:39</w:t>
            </w:r>
          </w:p>
        </w:tc>
        <w:tc>
          <w:tcPr>
            <w:tcW w:w="1559" w:type="dxa"/>
            <w:shd w:val="clear" w:color="auto" w:fill="D9D9D9"/>
            <w:vAlign w:val="center"/>
          </w:tcPr>
          <w:p w14:paraId="518F94CA" w14:textId="77777777" w:rsidR="007A525F" w:rsidRPr="007A525F" w:rsidRDefault="007A525F" w:rsidP="007A525F">
            <w:pPr>
              <w:spacing w:after="0" w:line="240" w:lineRule="auto"/>
              <w:jc w:val="center"/>
              <w:rPr>
                <w:rFonts w:ascii="David" w:hAnsi="David" w:cs="David"/>
                <w:color w:val="000000"/>
              </w:rPr>
            </w:pPr>
            <w:r w:rsidRPr="007A525F">
              <w:rPr>
                <w:rFonts w:ascii="David" w:hAnsi="David" w:cs="David" w:hint="cs"/>
                <w:color w:val="000000"/>
                <w:rtl/>
              </w:rPr>
              <w:t>-</w:t>
            </w:r>
          </w:p>
        </w:tc>
        <w:tc>
          <w:tcPr>
            <w:tcW w:w="992" w:type="dxa"/>
            <w:shd w:val="clear" w:color="auto" w:fill="D9D9D9"/>
            <w:vAlign w:val="center"/>
          </w:tcPr>
          <w:p w14:paraId="0C4BEA91" w14:textId="77777777" w:rsidR="007A525F" w:rsidRPr="007A525F" w:rsidRDefault="007A525F" w:rsidP="007A525F">
            <w:pPr>
              <w:spacing w:after="0" w:line="240" w:lineRule="auto"/>
              <w:jc w:val="center"/>
              <w:rPr>
                <w:rFonts w:ascii="David" w:hAnsi="David" w:cs="David"/>
                <w:color w:val="000000"/>
              </w:rPr>
            </w:pPr>
            <w:r w:rsidRPr="007A525F">
              <w:rPr>
                <w:rFonts w:ascii="David" w:hAnsi="David" w:cs="David" w:hint="cs"/>
                <w:color w:val="000000"/>
                <w:rtl/>
              </w:rPr>
              <w:t>-</w:t>
            </w:r>
          </w:p>
        </w:tc>
      </w:tr>
      <w:tr w:rsidR="007D380E" w:rsidRPr="007A525F" w14:paraId="2F5BE4F8" w14:textId="77777777" w:rsidTr="007D380E">
        <w:trPr>
          <w:trHeight w:val="600"/>
        </w:trPr>
        <w:tc>
          <w:tcPr>
            <w:tcW w:w="997" w:type="dxa"/>
            <w:shd w:val="clear" w:color="auto" w:fill="auto"/>
            <w:noWrap/>
            <w:vAlign w:val="center"/>
          </w:tcPr>
          <w:p w14:paraId="4D682FD9" w14:textId="23C55EA7" w:rsidR="007D380E" w:rsidRPr="007A525F" w:rsidRDefault="007D380E" w:rsidP="007D380E">
            <w:pPr>
              <w:spacing w:after="0" w:line="240" w:lineRule="auto"/>
              <w:rPr>
                <w:rFonts w:ascii="David" w:hAnsi="David" w:cs="David"/>
                <w:color w:val="000000"/>
                <w:rtl/>
              </w:rPr>
            </w:pPr>
            <w:r w:rsidRPr="007A525F">
              <w:rPr>
                <w:rFonts w:ascii="David" w:eastAsia="Times New Roman" w:hAnsi="David" w:cs="David"/>
                <w:b/>
                <w:bCs/>
                <w:color w:val="000000"/>
                <w:rtl/>
              </w:rPr>
              <w:lastRenderedPageBreak/>
              <w:t>ערכאה</w:t>
            </w:r>
          </w:p>
        </w:tc>
        <w:tc>
          <w:tcPr>
            <w:tcW w:w="2269" w:type="dxa"/>
            <w:shd w:val="clear" w:color="auto" w:fill="auto"/>
            <w:vAlign w:val="center"/>
          </w:tcPr>
          <w:p w14:paraId="31007B6A" w14:textId="65CCF9EB" w:rsidR="007D380E" w:rsidRPr="007A525F" w:rsidRDefault="007D380E" w:rsidP="007D380E">
            <w:pPr>
              <w:spacing w:after="0" w:line="240" w:lineRule="auto"/>
              <w:rPr>
                <w:rFonts w:ascii="David" w:hAnsi="David" w:cs="David"/>
                <w:color w:val="000000"/>
                <w:rtl/>
              </w:rPr>
            </w:pPr>
            <w:r w:rsidRPr="007A525F">
              <w:rPr>
                <w:rFonts w:ascii="David" w:eastAsia="Times New Roman" w:hAnsi="David" w:cs="David"/>
                <w:b/>
                <w:bCs/>
                <w:color w:val="000000"/>
                <w:rtl/>
              </w:rPr>
              <w:t>סוג תיק</w:t>
            </w:r>
          </w:p>
        </w:tc>
        <w:tc>
          <w:tcPr>
            <w:tcW w:w="1417" w:type="dxa"/>
            <w:vAlign w:val="center"/>
          </w:tcPr>
          <w:p w14:paraId="7A8B5457" w14:textId="039C90A1" w:rsidR="007D380E" w:rsidRPr="007A525F" w:rsidRDefault="007D380E" w:rsidP="007D380E">
            <w:pPr>
              <w:spacing w:after="0" w:line="240" w:lineRule="auto"/>
              <w:jc w:val="center"/>
              <w:rPr>
                <w:rFonts w:ascii="David" w:hAnsi="David" w:cs="David"/>
                <w:color w:val="000000"/>
                <w:rtl/>
              </w:rPr>
            </w:pPr>
            <w:r w:rsidRPr="007A525F">
              <w:rPr>
                <w:rFonts w:ascii="David" w:eastAsia="Times New Roman" w:hAnsi="David" w:cs="David" w:hint="cs"/>
                <w:b/>
                <w:bCs/>
                <w:color w:val="000000"/>
                <w:rtl/>
              </w:rPr>
              <w:t>מספר תיקים שנסגרו ב-2019</w:t>
            </w:r>
          </w:p>
        </w:tc>
        <w:tc>
          <w:tcPr>
            <w:tcW w:w="1560" w:type="dxa"/>
            <w:shd w:val="clear" w:color="auto" w:fill="auto"/>
            <w:noWrap/>
            <w:vAlign w:val="center"/>
          </w:tcPr>
          <w:p w14:paraId="4E2F8EB5" w14:textId="28652551" w:rsidR="007D380E" w:rsidRPr="007A525F" w:rsidRDefault="007D380E" w:rsidP="007D380E">
            <w:pPr>
              <w:spacing w:after="0" w:line="240" w:lineRule="auto"/>
              <w:jc w:val="center"/>
              <w:rPr>
                <w:rFonts w:ascii="David" w:hAnsi="David" w:cs="David"/>
                <w:b/>
                <w:bCs/>
                <w:color w:val="000000"/>
              </w:rPr>
            </w:pPr>
            <w:r w:rsidRPr="007A525F">
              <w:rPr>
                <w:rFonts w:ascii="David" w:eastAsia="Times New Roman" w:hAnsi="David" w:cs="David"/>
                <w:b/>
                <w:bCs/>
                <w:color w:val="000000"/>
                <w:rtl/>
              </w:rPr>
              <w:t>הזמן השיפוטי הממוצע לט</w:t>
            </w:r>
            <w:r w:rsidRPr="007A525F">
              <w:rPr>
                <w:rFonts w:ascii="David" w:eastAsia="Times New Roman" w:hAnsi="David" w:cs="David" w:hint="cs"/>
                <w:b/>
                <w:bCs/>
                <w:color w:val="000000"/>
                <w:rtl/>
              </w:rPr>
              <w:t>י</w:t>
            </w:r>
            <w:r w:rsidRPr="007A525F">
              <w:rPr>
                <w:rFonts w:ascii="David" w:eastAsia="Times New Roman" w:hAnsi="David" w:cs="David"/>
                <w:b/>
                <w:bCs/>
                <w:color w:val="000000"/>
                <w:rtl/>
              </w:rPr>
              <w:t>פ</w:t>
            </w:r>
            <w:r w:rsidRPr="007A525F">
              <w:rPr>
                <w:rFonts w:ascii="David" w:eastAsia="Times New Roman" w:hAnsi="David" w:cs="David" w:hint="cs"/>
                <w:b/>
                <w:bCs/>
                <w:color w:val="000000"/>
                <w:rtl/>
              </w:rPr>
              <w:t>ו</w:t>
            </w:r>
            <w:r w:rsidRPr="007A525F">
              <w:rPr>
                <w:rFonts w:ascii="David" w:eastAsia="Times New Roman" w:hAnsi="David" w:cs="David"/>
                <w:b/>
                <w:bCs/>
                <w:color w:val="000000"/>
                <w:rtl/>
              </w:rPr>
              <w:t>ל בתיק</w:t>
            </w:r>
          </w:p>
        </w:tc>
        <w:tc>
          <w:tcPr>
            <w:tcW w:w="1559" w:type="dxa"/>
            <w:shd w:val="clear" w:color="auto" w:fill="auto"/>
            <w:vAlign w:val="center"/>
          </w:tcPr>
          <w:p w14:paraId="11828E66" w14:textId="4B554A13" w:rsidR="007D380E" w:rsidRPr="007A525F" w:rsidRDefault="007D380E" w:rsidP="007D380E">
            <w:pPr>
              <w:spacing w:after="0" w:line="240" w:lineRule="auto"/>
              <w:jc w:val="center"/>
              <w:rPr>
                <w:rFonts w:ascii="David" w:hAnsi="David" w:cs="David"/>
                <w:color w:val="000000"/>
              </w:rPr>
            </w:pPr>
            <w:r w:rsidRPr="007A525F">
              <w:rPr>
                <w:rFonts w:ascii="David" w:eastAsia="Times New Roman" w:hAnsi="David" w:cs="David"/>
                <w:b/>
                <w:bCs/>
                <w:color w:val="000000"/>
                <w:rtl/>
              </w:rPr>
              <w:t xml:space="preserve">הזמן השיפוטי </w:t>
            </w:r>
            <w:r w:rsidRPr="007A525F">
              <w:rPr>
                <w:rFonts w:ascii="David" w:eastAsia="Times New Roman" w:hAnsi="David" w:cs="David" w:hint="cs"/>
                <w:b/>
                <w:bCs/>
                <w:color w:val="000000"/>
                <w:rtl/>
              </w:rPr>
              <w:t xml:space="preserve">הממוצע </w:t>
            </w:r>
            <w:r w:rsidRPr="007A525F">
              <w:rPr>
                <w:rFonts w:ascii="David" w:eastAsia="Times New Roman" w:hAnsi="David" w:cs="David"/>
                <w:b/>
                <w:bCs/>
                <w:color w:val="000000"/>
                <w:rtl/>
              </w:rPr>
              <w:t xml:space="preserve">לפי </w:t>
            </w:r>
            <w:r w:rsidRPr="007A525F">
              <w:rPr>
                <w:rFonts w:ascii="David" w:eastAsia="Times New Roman" w:hAnsi="David" w:cs="David" w:hint="cs"/>
                <w:b/>
                <w:bCs/>
                <w:color w:val="000000"/>
                <w:rtl/>
              </w:rPr>
              <w:t>ה</w:t>
            </w:r>
            <w:r w:rsidRPr="007A525F">
              <w:rPr>
                <w:rFonts w:ascii="David" w:eastAsia="Times New Roman" w:hAnsi="David" w:cs="David"/>
                <w:b/>
                <w:bCs/>
                <w:color w:val="000000"/>
                <w:rtl/>
              </w:rPr>
              <w:t>מחקר ה</w:t>
            </w:r>
            <w:r w:rsidRPr="007A525F">
              <w:rPr>
                <w:rFonts w:ascii="David" w:eastAsia="Times New Roman" w:hAnsi="David" w:cs="David" w:hint="cs"/>
                <w:b/>
                <w:bCs/>
                <w:color w:val="000000"/>
                <w:rtl/>
              </w:rPr>
              <w:t>קודם</w:t>
            </w:r>
          </w:p>
        </w:tc>
        <w:tc>
          <w:tcPr>
            <w:tcW w:w="992" w:type="dxa"/>
            <w:shd w:val="clear" w:color="auto" w:fill="auto"/>
            <w:vAlign w:val="center"/>
          </w:tcPr>
          <w:p w14:paraId="589D8DF5" w14:textId="220796D7" w:rsidR="007D380E" w:rsidRPr="007A525F" w:rsidRDefault="007D380E" w:rsidP="007D380E">
            <w:pPr>
              <w:spacing w:after="0" w:line="240" w:lineRule="auto"/>
              <w:jc w:val="center"/>
              <w:rPr>
                <w:rFonts w:ascii="David" w:hAnsi="David" w:cs="David"/>
                <w:color w:val="000000"/>
                <w:rtl/>
              </w:rPr>
            </w:pPr>
            <w:r w:rsidRPr="007A525F">
              <w:rPr>
                <w:rFonts w:ascii="David" w:eastAsia="Times New Roman" w:hAnsi="David" w:cs="David"/>
                <w:b/>
                <w:bCs/>
                <w:color w:val="000000"/>
                <w:rtl/>
              </w:rPr>
              <w:t>מגמת שינוי</w:t>
            </w:r>
          </w:p>
        </w:tc>
      </w:tr>
      <w:tr w:rsidR="007D380E" w:rsidRPr="007A525F" w14:paraId="6ADDBB75" w14:textId="77777777" w:rsidTr="007D380E">
        <w:trPr>
          <w:trHeight w:val="600"/>
        </w:trPr>
        <w:tc>
          <w:tcPr>
            <w:tcW w:w="997" w:type="dxa"/>
            <w:shd w:val="clear" w:color="auto" w:fill="auto"/>
            <w:noWrap/>
            <w:vAlign w:val="center"/>
          </w:tcPr>
          <w:p w14:paraId="5FA692E9" w14:textId="77777777" w:rsidR="007D380E" w:rsidRPr="007A525F" w:rsidRDefault="007D380E" w:rsidP="007D380E">
            <w:pPr>
              <w:spacing w:after="0" w:line="240" w:lineRule="auto"/>
              <w:rPr>
                <w:rFonts w:ascii="David" w:hAnsi="David" w:cs="David"/>
                <w:color w:val="000000"/>
              </w:rPr>
            </w:pPr>
            <w:r w:rsidRPr="007A525F">
              <w:rPr>
                <w:rFonts w:ascii="David" w:hAnsi="David" w:cs="David"/>
                <w:color w:val="000000"/>
                <w:rtl/>
              </w:rPr>
              <w:t>תעבורה</w:t>
            </w:r>
          </w:p>
        </w:tc>
        <w:tc>
          <w:tcPr>
            <w:tcW w:w="2269" w:type="dxa"/>
            <w:shd w:val="clear" w:color="auto" w:fill="auto"/>
            <w:vAlign w:val="center"/>
          </w:tcPr>
          <w:p w14:paraId="145EE796" w14:textId="77777777" w:rsidR="007D380E" w:rsidRPr="007A525F" w:rsidRDefault="007D380E" w:rsidP="007D380E">
            <w:pPr>
              <w:spacing w:after="0" w:line="240" w:lineRule="auto"/>
              <w:rPr>
                <w:rFonts w:ascii="David" w:hAnsi="David" w:cs="David"/>
                <w:color w:val="000000"/>
                <w:rtl/>
              </w:rPr>
            </w:pPr>
            <w:r w:rsidRPr="007A525F">
              <w:rPr>
                <w:rFonts w:ascii="David" w:hAnsi="David" w:cs="David"/>
                <w:color w:val="000000"/>
                <w:rtl/>
              </w:rPr>
              <w:t>בקשה לביטול - פסילה מנהלית (בפ"מ)</w:t>
            </w:r>
          </w:p>
        </w:tc>
        <w:tc>
          <w:tcPr>
            <w:tcW w:w="1417" w:type="dxa"/>
            <w:vAlign w:val="center"/>
          </w:tcPr>
          <w:p w14:paraId="17E73166" w14:textId="77777777" w:rsidR="007D380E" w:rsidRPr="007A525F" w:rsidRDefault="007D380E" w:rsidP="007D380E">
            <w:pPr>
              <w:spacing w:after="0" w:line="240" w:lineRule="auto"/>
              <w:jc w:val="center"/>
              <w:rPr>
                <w:rFonts w:ascii="David" w:hAnsi="David" w:cs="David"/>
                <w:color w:val="000000"/>
              </w:rPr>
            </w:pPr>
            <w:r w:rsidRPr="007A525F">
              <w:rPr>
                <w:rFonts w:ascii="David" w:hAnsi="David" w:cs="David" w:hint="cs"/>
                <w:color w:val="000000"/>
                <w:rtl/>
              </w:rPr>
              <w:t>4,108</w:t>
            </w:r>
          </w:p>
        </w:tc>
        <w:tc>
          <w:tcPr>
            <w:tcW w:w="1560" w:type="dxa"/>
            <w:shd w:val="clear" w:color="auto" w:fill="auto"/>
            <w:noWrap/>
            <w:vAlign w:val="center"/>
          </w:tcPr>
          <w:p w14:paraId="1B5EC99C" w14:textId="77777777" w:rsidR="007D380E" w:rsidRPr="007A525F" w:rsidRDefault="007D380E" w:rsidP="007D380E">
            <w:pPr>
              <w:spacing w:after="0" w:line="240" w:lineRule="auto"/>
              <w:jc w:val="center"/>
              <w:rPr>
                <w:rFonts w:ascii="David" w:hAnsi="David" w:cs="David"/>
                <w:b/>
                <w:bCs/>
                <w:color w:val="000000"/>
              </w:rPr>
            </w:pPr>
            <w:r w:rsidRPr="007A525F">
              <w:rPr>
                <w:rFonts w:ascii="David" w:hAnsi="David" w:cs="David"/>
                <w:b/>
                <w:bCs/>
                <w:color w:val="000000"/>
              </w:rPr>
              <w:t>0:34</w:t>
            </w:r>
          </w:p>
        </w:tc>
        <w:tc>
          <w:tcPr>
            <w:tcW w:w="1559" w:type="dxa"/>
            <w:shd w:val="clear" w:color="auto" w:fill="auto"/>
            <w:vAlign w:val="center"/>
          </w:tcPr>
          <w:p w14:paraId="1E6917F3" w14:textId="77777777" w:rsidR="007D380E" w:rsidRPr="007A525F" w:rsidRDefault="007D380E" w:rsidP="007D380E">
            <w:pPr>
              <w:spacing w:after="0" w:line="240" w:lineRule="auto"/>
              <w:jc w:val="center"/>
              <w:rPr>
                <w:rFonts w:ascii="David" w:hAnsi="David" w:cs="David"/>
                <w:color w:val="000000"/>
              </w:rPr>
            </w:pPr>
            <w:r w:rsidRPr="007A525F">
              <w:rPr>
                <w:rFonts w:ascii="David" w:hAnsi="David" w:cs="David"/>
                <w:color w:val="000000"/>
              </w:rPr>
              <w:t>0:28</w:t>
            </w:r>
          </w:p>
        </w:tc>
        <w:tc>
          <w:tcPr>
            <w:tcW w:w="992" w:type="dxa"/>
            <w:shd w:val="clear" w:color="auto" w:fill="auto"/>
            <w:vAlign w:val="center"/>
          </w:tcPr>
          <w:p w14:paraId="40C89A8C" w14:textId="77777777" w:rsidR="007D380E" w:rsidRPr="007A525F" w:rsidRDefault="007D380E" w:rsidP="007D380E">
            <w:pPr>
              <w:spacing w:after="0" w:line="240" w:lineRule="auto"/>
              <w:jc w:val="center"/>
              <w:rPr>
                <w:rFonts w:ascii="David" w:hAnsi="David" w:cs="David"/>
                <w:color w:val="000000"/>
                <w:rtl/>
              </w:rPr>
            </w:pPr>
            <w:r w:rsidRPr="007A525F">
              <w:rPr>
                <w:rFonts w:ascii="David" w:hAnsi="David" w:cs="David" w:hint="cs"/>
                <w:color w:val="000000"/>
                <w:rtl/>
              </w:rPr>
              <w:t>0:06+</w:t>
            </w:r>
          </w:p>
        </w:tc>
      </w:tr>
      <w:tr w:rsidR="007D380E" w:rsidRPr="007A525F" w14:paraId="17C364A0" w14:textId="77777777" w:rsidTr="007D380E">
        <w:trPr>
          <w:trHeight w:val="600"/>
        </w:trPr>
        <w:tc>
          <w:tcPr>
            <w:tcW w:w="997" w:type="dxa"/>
            <w:shd w:val="clear" w:color="auto" w:fill="D9D9D9"/>
            <w:noWrap/>
            <w:vAlign w:val="center"/>
          </w:tcPr>
          <w:p w14:paraId="576D6619" w14:textId="77777777" w:rsidR="007D380E" w:rsidRPr="007A525F" w:rsidRDefault="007D380E" w:rsidP="007D380E">
            <w:pPr>
              <w:spacing w:after="0" w:line="240" w:lineRule="auto"/>
              <w:rPr>
                <w:rFonts w:ascii="David" w:hAnsi="David" w:cs="David"/>
                <w:color w:val="000000"/>
              </w:rPr>
            </w:pPr>
            <w:r w:rsidRPr="007A525F">
              <w:rPr>
                <w:rFonts w:ascii="David" w:hAnsi="David" w:cs="David"/>
                <w:color w:val="000000"/>
                <w:rtl/>
              </w:rPr>
              <w:t>תעבורה</w:t>
            </w:r>
          </w:p>
        </w:tc>
        <w:tc>
          <w:tcPr>
            <w:tcW w:w="2269" w:type="dxa"/>
            <w:shd w:val="clear" w:color="auto" w:fill="D9D9D9"/>
            <w:vAlign w:val="center"/>
          </w:tcPr>
          <w:p w14:paraId="1AF2AAD2" w14:textId="77777777" w:rsidR="007D380E" w:rsidRPr="007A525F" w:rsidRDefault="007D380E" w:rsidP="007D380E">
            <w:pPr>
              <w:spacing w:after="0" w:line="240" w:lineRule="auto"/>
              <w:rPr>
                <w:rFonts w:ascii="David" w:hAnsi="David" w:cs="David"/>
                <w:color w:val="000000"/>
                <w:rtl/>
              </w:rPr>
            </w:pPr>
            <w:r w:rsidRPr="007A525F">
              <w:rPr>
                <w:rFonts w:ascii="David" w:hAnsi="David" w:cs="David"/>
                <w:color w:val="000000"/>
                <w:rtl/>
              </w:rPr>
              <w:t>בקשה לביטול איסור שימוש ברכב (בא"ש)</w:t>
            </w:r>
          </w:p>
        </w:tc>
        <w:tc>
          <w:tcPr>
            <w:tcW w:w="1417" w:type="dxa"/>
            <w:shd w:val="clear" w:color="auto" w:fill="D9D9D9"/>
            <w:vAlign w:val="center"/>
          </w:tcPr>
          <w:p w14:paraId="6A8FF6AE" w14:textId="77777777" w:rsidR="007D380E" w:rsidRPr="007A525F" w:rsidRDefault="007D380E" w:rsidP="007D380E">
            <w:pPr>
              <w:spacing w:after="0" w:line="240" w:lineRule="auto"/>
              <w:jc w:val="center"/>
              <w:rPr>
                <w:rFonts w:ascii="David" w:hAnsi="David" w:cs="David"/>
                <w:color w:val="000000"/>
              </w:rPr>
            </w:pPr>
            <w:r w:rsidRPr="007A525F">
              <w:rPr>
                <w:rFonts w:ascii="David" w:hAnsi="David" w:cs="David" w:hint="cs"/>
                <w:color w:val="000000"/>
                <w:rtl/>
              </w:rPr>
              <w:t>2,909</w:t>
            </w:r>
          </w:p>
        </w:tc>
        <w:tc>
          <w:tcPr>
            <w:tcW w:w="1560" w:type="dxa"/>
            <w:shd w:val="clear" w:color="auto" w:fill="D9D9D9"/>
            <w:noWrap/>
            <w:vAlign w:val="center"/>
          </w:tcPr>
          <w:p w14:paraId="2FF75A7D" w14:textId="77777777" w:rsidR="007D380E" w:rsidRPr="007A525F" w:rsidRDefault="007D380E" w:rsidP="007D380E">
            <w:pPr>
              <w:spacing w:after="0" w:line="240" w:lineRule="auto"/>
              <w:jc w:val="center"/>
              <w:rPr>
                <w:rFonts w:ascii="David" w:hAnsi="David" w:cs="David"/>
                <w:b/>
                <w:bCs/>
                <w:color w:val="000000"/>
              </w:rPr>
            </w:pPr>
            <w:r w:rsidRPr="007A525F">
              <w:rPr>
                <w:rFonts w:ascii="David" w:hAnsi="David" w:cs="David"/>
                <w:b/>
                <w:bCs/>
                <w:color w:val="000000"/>
              </w:rPr>
              <w:t>0:34</w:t>
            </w:r>
          </w:p>
        </w:tc>
        <w:tc>
          <w:tcPr>
            <w:tcW w:w="1559" w:type="dxa"/>
            <w:shd w:val="clear" w:color="auto" w:fill="D9D9D9"/>
            <w:vAlign w:val="center"/>
          </w:tcPr>
          <w:p w14:paraId="3F5728C1" w14:textId="77777777" w:rsidR="007D380E" w:rsidRPr="007A525F" w:rsidRDefault="007D380E" w:rsidP="007D380E">
            <w:pPr>
              <w:spacing w:after="0" w:line="240" w:lineRule="auto"/>
              <w:jc w:val="center"/>
              <w:rPr>
                <w:rFonts w:ascii="David" w:hAnsi="David" w:cs="David"/>
                <w:color w:val="000000"/>
              </w:rPr>
            </w:pPr>
            <w:r w:rsidRPr="007A525F">
              <w:rPr>
                <w:rFonts w:ascii="David" w:hAnsi="David" w:cs="David" w:hint="cs"/>
                <w:color w:val="000000"/>
                <w:rtl/>
              </w:rPr>
              <w:t>-</w:t>
            </w:r>
          </w:p>
        </w:tc>
        <w:tc>
          <w:tcPr>
            <w:tcW w:w="992" w:type="dxa"/>
            <w:shd w:val="clear" w:color="auto" w:fill="D9D9D9"/>
            <w:vAlign w:val="center"/>
          </w:tcPr>
          <w:p w14:paraId="0DC34890" w14:textId="77777777" w:rsidR="007D380E" w:rsidRPr="007A525F" w:rsidRDefault="007D380E" w:rsidP="007D380E">
            <w:pPr>
              <w:spacing w:after="0" w:line="240" w:lineRule="auto"/>
              <w:jc w:val="center"/>
              <w:rPr>
                <w:rFonts w:ascii="David" w:hAnsi="David" w:cs="David"/>
                <w:color w:val="000000"/>
              </w:rPr>
            </w:pPr>
            <w:r w:rsidRPr="007A525F">
              <w:rPr>
                <w:rFonts w:ascii="David" w:hAnsi="David" w:cs="David" w:hint="cs"/>
                <w:color w:val="000000"/>
                <w:rtl/>
              </w:rPr>
              <w:t>-</w:t>
            </w:r>
          </w:p>
        </w:tc>
      </w:tr>
      <w:tr w:rsidR="007D380E" w:rsidRPr="007A525F" w14:paraId="2EA459A3" w14:textId="77777777" w:rsidTr="007D380E">
        <w:trPr>
          <w:trHeight w:val="600"/>
        </w:trPr>
        <w:tc>
          <w:tcPr>
            <w:tcW w:w="997" w:type="dxa"/>
            <w:shd w:val="clear" w:color="auto" w:fill="auto"/>
            <w:noWrap/>
            <w:vAlign w:val="center"/>
          </w:tcPr>
          <w:p w14:paraId="3DF81D53" w14:textId="77777777" w:rsidR="007D380E" w:rsidRPr="007A525F" w:rsidRDefault="007D380E" w:rsidP="007D380E">
            <w:pPr>
              <w:spacing w:after="0" w:line="240" w:lineRule="auto"/>
              <w:rPr>
                <w:rFonts w:ascii="David" w:hAnsi="David" w:cs="David"/>
                <w:color w:val="000000"/>
              </w:rPr>
            </w:pPr>
            <w:r w:rsidRPr="007A525F">
              <w:rPr>
                <w:rFonts w:ascii="David" w:hAnsi="David" w:cs="David"/>
                <w:color w:val="000000"/>
                <w:rtl/>
              </w:rPr>
              <w:t>תעבורה</w:t>
            </w:r>
          </w:p>
        </w:tc>
        <w:tc>
          <w:tcPr>
            <w:tcW w:w="2269" w:type="dxa"/>
            <w:shd w:val="clear" w:color="auto" w:fill="auto"/>
            <w:vAlign w:val="center"/>
          </w:tcPr>
          <w:p w14:paraId="7289D2C4" w14:textId="77777777" w:rsidR="007D380E" w:rsidRPr="007A525F" w:rsidRDefault="007D380E" w:rsidP="007D380E">
            <w:pPr>
              <w:spacing w:after="0" w:line="240" w:lineRule="auto"/>
              <w:rPr>
                <w:rFonts w:ascii="David" w:hAnsi="David" w:cs="David"/>
                <w:color w:val="000000"/>
                <w:rtl/>
              </w:rPr>
            </w:pPr>
            <w:r w:rsidRPr="007A525F">
              <w:rPr>
                <w:rFonts w:ascii="David" w:hAnsi="David" w:cs="David"/>
                <w:color w:val="000000"/>
                <w:rtl/>
              </w:rPr>
              <w:t>תיק תעבורה (תת"ע)</w:t>
            </w:r>
          </w:p>
        </w:tc>
        <w:tc>
          <w:tcPr>
            <w:tcW w:w="1417" w:type="dxa"/>
            <w:vAlign w:val="center"/>
          </w:tcPr>
          <w:p w14:paraId="2C678C56" w14:textId="77777777" w:rsidR="007D380E" w:rsidRPr="007A525F" w:rsidRDefault="007D380E" w:rsidP="007D380E">
            <w:pPr>
              <w:spacing w:after="0" w:line="240" w:lineRule="auto"/>
              <w:jc w:val="center"/>
              <w:rPr>
                <w:rFonts w:ascii="David" w:hAnsi="David" w:cs="David"/>
                <w:color w:val="000000"/>
              </w:rPr>
            </w:pPr>
            <w:r w:rsidRPr="007A525F">
              <w:rPr>
                <w:rFonts w:ascii="David" w:hAnsi="David" w:cs="David"/>
                <w:color w:val="000000"/>
              </w:rPr>
              <w:t>113,190</w:t>
            </w:r>
          </w:p>
        </w:tc>
        <w:tc>
          <w:tcPr>
            <w:tcW w:w="1560" w:type="dxa"/>
            <w:shd w:val="clear" w:color="auto" w:fill="auto"/>
            <w:noWrap/>
            <w:vAlign w:val="center"/>
          </w:tcPr>
          <w:p w14:paraId="1B7F7EB6" w14:textId="77777777" w:rsidR="007D380E" w:rsidRPr="007A525F" w:rsidRDefault="007D380E" w:rsidP="007D380E">
            <w:pPr>
              <w:spacing w:after="0" w:line="240" w:lineRule="auto"/>
              <w:jc w:val="center"/>
              <w:rPr>
                <w:rFonts w:ascii="David" w:hAnsi="David" w:cs="David"/>
                <w:b/>
                <w:bCs/>
                <w:color w:val="000000"/>
              </w:rPr>
            </w:pPr>
            <w:r w:rsidRPr="007A525F">
              <w:rPr>
                <w:rFonts w:ascii="David" w:hAnsi="David" w:cs="David"/>
                <w:b/>
                <w:bCs/>
                <w:color w:val="000000"/>
              </w:rPr>
              <w:t>0:27</w:t>
            </w:r>
          </w:p>
        </w:tc>
        <w:tc>
          <w:tcPr>
            <w:tcW w:w="1559" w:type="dxa"/>
            <w:shd w:val="clear" w:color="auto" w:fill="auto"/>
            <w:vAlign w:val="center"/>
          </w:tcPr>
          <w:p w14:paraId="052CB9D4" w14:textId="77777777" w:rsidR="007D380E" w:rsidRPr="007A525F" w:rsidRDefault="007D380E" w:rsidP="007D380E">
            <w:pPr>
              <w:spacing w:after="0" w:line="240" w:lineRule="auto"/>
              <w:jc w:val="center"/>
              <w:rPr>
                <w:rFonts w:ascii="David" w:hAnsi="David" w:cs="David"/>
                <w:color w:val="000000"/>
              </w:rPr>
            </w:pPr>
            <w:r w:rsidRPr="007A525F">
              <w:rPr>
                <w:rFonts w:ascii="David" w:hAnsi="David" w:cs="David"/>
                <w:color w:val="000000"/>
              </w:rPr>
              <w:t>0:28</w:t>
            </w:r>
          </w:p>
        </w:tc>
        <w:tc>
          <w:tcPr>
            <w:tcW w:w="992" w:type="dxa"/>
            <w:shd w:val="clear" w:color="auto" w:fill="auto"/>
            <w:vAlign w:val="center"/>
          </w:tcPr>
          <w:p w14:paraId="1FE1A5DA" w14:textId="77777777" w:rsidR="007D380E" w:rsidRPr="007A525F" w:rsidRDefault="007D380E" w:rsidP="007D380E">
            <w:pPr>
              <w:spacing w:after="0" w:line="240" w:lineRule="auto"/>
              <w:jc w:val="center"/>
              <w:rPr>
                <w:rFonts w:ascii="David" w:hAnsi="David" w:cs="David"/>
                <w:color w:val="000000"/>
                <w:rtl/>
              </w:rPr>
            </w:pPr>
            <w:r w:rsidRPr="007A525F">
              <w:rPr>
                <w:rFonts w:ascii="David" w:hAnsi="David" w:cs="David" w:hint="cs"/>
                <w:color w:val="000000"/>
                <w:rtl/>
              </w:rPr>
              <w:t>0:01-</w:t>
            </w:r>
          </w:p>
        </w:tc>
      </w:tr>
      <w:tr w:rsidR="007D380E" w:rsidRPr="007A525F" w14:paraId="50675007" w14:textId="77777777" w:rsidTr="007D380E">
        <w:trPr>
          <w:trHeight w:val="600"/>
        </w:trPr>
        <w:tc>
          <w:tcPr>
            <w:tcW w:w="997" w:type="dxa"/>
            <w:shd w:val="clear" w:color="auto" w:fill="D9D9D9"/>
            <w:noWrap/>
            <w:vAlign w:val="center"/>
          </w:tcPr>
          <w:p w14:paraId="720F99F4" w14:textId="77777777" w:rsidR="007D380E" w:rsidRPr="007A525F" w:rsidRDefault="007D380E" w:rsidP="007D380E">
            <w:pPr>
              <w:spacing w:after="0" w:line="240" w:lineRule="auto"/>
              <w:rPr>
                <w:rFonts w:ascii="David" w:hAnsi="David" w:cs="David"/>
                <w:color w:val="000000"/>
              </w:rPr>
            </w:pPr>
            <w:r w:rsidRPr="007A525F">
              <w:rPr>
                <w:rFonts w:ascii="David" w:hAnsi="David" w:cs="David"/>
                <w:color w:val="000000"/>
                <w:rtl/>
              </w:rPr>
              <w:t>תעבורה</w:t>
            </w:r>
          </w:p>
        </w:tc>
        <w:tc>
          <w:tcPr>
            <w:tcW w:w="2269" w:type="dxa"/>
            <w:shd w:val="clear" w:color="auto" w:fill="D9D9D9"/>
            <w:vAlign w:val="center"/>
          </w:tcPr>
          <w:p w14:paraId="5B921A61" w14:textId="77777777" w:rsidR="007D380E" w:rsidRPr="007A525F" w:rsidRDefault="007D380E" w:rsidP="007D380E">
            <w:pPr>
              <w:spacing w:after="0" w:line="240" w:lineRule="auto"/>
              <w:rPr>
                <w:rFonts w:ascii="David" w:hAnsi="David" w:cs="David"/>
                <w:color w:val="000000"/>
                <w:rtl/>
              </w:rPr>
            </w:pPr>
            <w:r w:rsidRPr="007A525F">
              <w:rPr>
                <w:rFonts w:ascii="David" w:hAnsi="David" w:cs="David"/>
                <w:color w:val="000000"/>
                <w:rtl/>
              </w:rPr>
              <w:t>מעצר ימים (מ"י)</w:t>
            </w:r>
          </w:p>
        </w:tc>
        <w:tc>
          <w:tcPr>
            <w:tcW w:w="1417" w:type="dxa"/>
            <w:shd w:val="clear" w:color="auto" w:fill="D9D9D9"/>
            <w:vAlign w:val="center"/>
          </w:tcPr>
          <w:p w14:paraId="0F0AD515" w14:textId="77777777" w:rsidR="007D380E" w:rsidRPr="007A525F" w:rsidRDefault="007D380E" w:rsidP="007D380E">
            <w:pPr>
              <w:spacing w:after="0" w:line="240" w:lineRule="auto"/>
              <w:jc w:val="center"/>
              <w:rPr>
                <w:rFonts w:ascii="David" w:hAnsi="David" w:cs="David"/>
                <w:color w:val="000000"/>
                <w:rtl/>
              </w:rPr>
            </w:pPr>
            <w:r w:rsidRPr="007A525F">
              <w:rPr>
                <w:rFonts w:ascii="David" w:hAnsi="David" w:cs="David" w:hint="cs"/>
                <w:color w:val="000000"/>
                <w:rtl/>
              </w:rPr>
              <w:t>101</w:t>
            </w:r>
          </w:p>
        </w:tc>
        <w:tc>
          <w:tcPr>
            <w:tcW w:w="1560" w:type="dxa"/>
            <w:shd w:val="clear" w:color="auto" w:fill="D9D9D9"/>
            <w:noWrap/>
            <w:vAlign w:val="center"/>
          </w:tcPr>
          <w:p w14:paraId="2D9D31F0" w14:textId="77777777" w:rsidR="007D380E" w:rsidRPr="007A525F" w:rsidRDefault="007D380E" w:rsidP="007D380E">
            <w:pPr>
              <w:spacing w:after="0" w:line="240" w:lineRule="auto"/>
              <w:jc w:val="center"/>
              <w:rPr>
                <w:rFonts w:asciiTheme="minorHAnsi" w:hAnsiTheme="minorHAnsi" w:cs="David"/>
                <w:b/>
                <w:bCs/>
                <w:color w:val="000000"/>
              </w:rPr>
            </w:pPr>
            <w:r w:rsidRPr="007A525F">
              <w:rPr>
                <w:rFonts w:ascii="David" w:hAnsi="David" w:cs="David"/>
                <w:b/>
                <w:bCs/>
                <w:color w:val="000000"/>
              </w:rPr>
              <w:t>0:21</w:t>
            </w:r>
          </w:p>
        </w:tc>
        <w:tc>
          <w:tcPr>
            <w:tcW w:w="1559" w:type="dxa"/>
            <w:shd w:val="clear" w:color="auto" w:fill="D9D9D9"/>
            <w:vAlign w:val="center"/>
          </w:tcPr>
          <w:p w14:paraId="02919D95" w14:textId="77777777" w:rsidR="007D380E" w:rsidRPr="007A525F" w:rsidRDefault="007D380E" w:rsidP="007D380E">
            <w:pPr>
              <w:spacing w:after="0" w:line="240" w:lineRule="auto"/>
              <w:jc w:val="center"/>
              <w:rPr>
                <w:rFonts w:ascii="David" w:hAnsi="David" w:cs="David"/>
                <w:color w:val="000000"/>
              </w:rPr>
            </w:pPr>
            <w:r w:rsidRPr="007A525F">
              <w:rPr>
                <w:rFonts w:ascii="David" w:hAnsi="David" w:cs="David"/>
                <w:color w:val="000000"/>
              </w:rPr>
              <w:t>0:34</w:t>
            </w:r>
          </w:p>
        </w:tc>
        <w:tc>
          <w:tcPr>
            <w:tcW w:w="992" w:type="dxa"/>
            <w:shd w:val="clear" w:color="auto" w:fill="D9D9D9"/>
            <w:vAlign w:val="center"/>
          </w:tcPr>
          <w:p w14:paraId="275704FE" w14:textId="77777777" w:rsidR="007D380E" w:rsidRPr="007A525F" w:rsidRDefault="007D380E" w:rsidP="007D380E">
            <w:pPr>
              <w:spacing w:after="0" w:line="240" w:lineRule="auto"/>
              <w:jc w:val="center"/>
              <w:rPr>
                <w:rFonts w:ascii="David" w:hAnsi="David" w:cs="David"/>
                <w:color w:val="000000"/>
                <w:rtl/>
              </w:rPr>
            </w:pPr>
            <w:r w:rsidRPr="007A525F">
              <w:rPr>
                <w:rFonts w:ascii="David" w:hAnsi="David" w:cs="David" w:hint="cs"/>
                <w:color w:val="000000"/>
                <w:rtl/>
              </w:rPr>
              <w:t>0:13-</w:t>
            </w:r>
          </w:p>
        </w:tc>
      </w:tr>
      <w:tr w:rsidR="007D380E" w:rsidRPr="007A525F" w14:paraId="06582A89" w14:textId="77777777" w:rsidTr="007D380E">
        <w:trPr>
          <w:trHeight w:val="600"/>
        </w:trPr>
        <w:tc>
          <w:tcPr>
            <w:tcW w:w="997" w:type="dxa"/>
            <w:shd w:val="clear" w:color="auto" w:fill="auto"/>
            <w:noWrap/>
            <w:vAlign w:val="center"/>
          </w:tcPr>
          <w:p w14:paraId="2675FF86" w14:textId="77777777" w:rsidR="007D380E" w:rsidRPr="007A525F" w:rsidRDefault="007D380E" w:rsidP="007D380E">
            <w:pPr>
              <w:spacing w:after="0" w:line="240" w:lineRule="auto"/>
              <w:rPr>
                <w:rFonts w:ascii="David" w:hAnsi="David" w:cs="David"/>
                <w:color w:val="000000"/>
              </w:rPr>
            </w:pPr>
            <w:r w:rsidRPr="007A525F">
              <w:rPr>
                <w:rFonts w:ascii="David" w:hAnsi="David" w:cs="David"/>
                <w:color w:val="000000"/>
                <w:rtl/>
              </w:rPr>
              <w:t>תעבורה</w:t>
            </w:r>
          </w:p>
        </w:tc>
        <w:tc>
          <w:tcPr>
            <w:tcW w:w="2269" w:type="dxa"/>
            <w:shd w:val="clear" w:color="auto" w:fill="auto"/>
            <w:vAlign w:val="center"/>
          </w:tcPr>
          <w:p w14:paraId="17D88F80" w14:textId="77777777" w:rsidR="007D380E" w:rsidRPr="007A525F" w:rsidRDefault="007D380E" w:rsidP="007D380E">
            <w:pPr>
              <w:spacing w:after="0" w:line="240" w:lineRule="auto"/>
              <w:rPr>
                <w:rFonts w:ascii="David" w:hAnsi="David" w:cs="David"/>
                <w:color w:val="000000"/>
                <w:rtl/>
              </w:rPr>
            </w:pPr>
            <w:r w:rsidRPr="007A525F">
              <w:rPr>
                <w:rFonts w:ascii="David" w:hAnsi="David" w:cs="David"/>
                <w:color w:val="000000"/>
                <w:rtl/>
              </w:rPr>
              <w:t>בקשה לשחרור בערובה (בש"ע)</w:t>
            </w:r>
          </w:p>
        </w:tc>
        <w:tc>
          <w:tcPr>
            <w:tcW w:w="1417" w:type="dxa"/>
            <w:vAlign w:val="center"/>
          </w:tcPr>
          <w:p w14:paraId="6A05D07A" w14:textId="77777777" w:rsidR="007D380E" w:rsidRPr="007A525F" w:rsidRDefault="007D380E" w:rsidP="007D380E">
            <w:pPr>
              <w:spacing w:after="0" w:line="240" w:lineRule="auto"/>
              <w:jc w:val="center"/>
              <w:rPr>
                <w:rFonts w:ascii="David" w:hAnsi="David" w:cs="David"/>
                <w:color w:val="000000"/>
              </w:rPr>
            </w:pPr>
            <w:r w:rsidRPr="007A525F">
              <w:rPr>
                <w:rFonts w:ascii="David" w:hAnsi="David" w:cs="David" w:hint="cs"/>
                <w:color w:val="000000"/>
                <w:rtl/>
              </w:rPr>
              <w:t>176</w:t>
            </w:r>
          </w:p>
        </w:tc>
        <w:tc>
          <w:tcPr>
            <w:tcW w:w="1560" w:type="dxa"/>
            <w:shd w:val="clear" w:color="auto" w:fill="auto"/>
            <w:noWrap/>
            <w:vAlign w:val="center"/>
          </w:tcPr>
          <w:p w14:paraId="7C1BD440" w14:textId="77777777" w:rsidR="007D380E" w:rsidRPr="007A525F" w:rsidRDefault="007D380E" w:rsidP="007D380E">
            <w:pPr>
              <w:spacing w:after="0" w:line="240" w:lineRule="auto"/>
              <w:jc w:val="center"/>
              <w:rPr>
                <w:rFonts w:ascii="David" w:hAnsi="David" w:cs="David"/>
                <w:b/>
                <w:bCs/>
                <w:color w:val="000000"/>
              </w:rPr>
            </w:pPr>
            <w:r w:rsidRPr="007A525F">
              <w:rPr>
                <w:rFonts w:ascii="David" w:hAnsi="David" w:cs="David"/>
                <w:b/>
                <w:bCs/>
                <w:color w:val="000000"/>
              </w:rPr>
              <w:t>0:21</w:t>
            </w:r>
          </w:p>
        </w:tc>
        <w:tc>
          <w:tcPr>
            <w:tcW w:w="1559" w:type="dxa"/>
            <w:shd w:val="clear" w:color="auto" w:fill="auto"/>
            <w:vAlign w:val="center"/>
          </w:tcPr>
          <w:p w14:paraId="52AA85B9" w14:textId="77777777" w:rsidR="007D380E" w:rsidRPr="007A525F" w:rsidRDefault="007D380E" w:rsidP="007D380E">
            <w:pPr>
              <w:spacing w:after="0" w:line="240" w:lineRule="auto"/>
              <w:jc w:val="center"/>
              <w:rPr>
                <w:rFonts w:ascii="David" w:hAnsi="David" w:cs="David"/>
                <w:color w:val="000000"/>
              </w:rPr>
            </w:pPr>
            <w:r w:rsidRPr="007A525F">
              <w:rPr>
                <w:rFonts w:ascii="David" w:hAnsi="David" w:cs="David" w:hint="cs"/>
                <w:color w:val="000000"/>
                <w:rtl/>
              </w:rPr>
              <w:t>-</w:t>
            </w:r>
          </w:p>
        </w:tc>
        <w:tc>
          <w:tcPr>
            <w:tcW w:w="992" w:type="dxa"/>
            <w:shd w:val="clear" w:color="auto" w:fill="auto"/>
            <w:vAlign w:val="center"/>
          </w:tcPr>
          <w:p w14:paraId="72D8E864" w14:textId="77777777" w:rsidR="007D380E" w:rsidRPr="007A525F" w:rsidRDefault="007D380E" w:rsidP="007D380E">
            <w:pPr>
              <w:spacing w:after="0" w:line="240" w:lineRule="auto"/>
              <w:jc w:val="center"/>
              <w:rPr>
                <w:rFonts w:ascii="David" w:hAnsi="David" w:cs="David"/>
                <w:color w:val="000000"/>
              </w:rPr>
            </w:pPr>
            <w:r w:rsidRPr="007A525F">
              <w:rPr>
                <w:rFonts w:ascii="David" w:hAnsi="David" w:cs="David" w:hint="cs"/>
                <w:color w:val="000000"/>
                <w:rtl/>
              </w:rPr>
              <w:t>-</w:t>
            </w:r>
          </w:p>
        </w:tc>
      </w:tr>
      <w:tr w:rsidR="007D380E" w:rsidRPr="007A525F" w14:paraId="7758EEDA" w14:textId="77777777" w:rsidTr="007D380E">
        <w:trPr>
          <w:trHeight w:val="446"/>
        </w:trPr>
        <w:tc>
          <w:tcPr>
            <w:tcW w:w="997" w:type="dxa"/>
            <w:shd w:val="clear" w:color="auto" w:fill="D9D9D9"/>
            <w:noWrap/>
            <w:vAlign w:val="center"/>
          </w:tcPr>
          <w:p w14:paraId="7F6473F3" w14:textId="77777777" w:rsidR="007D380E" w:rsidRPr="007A525F" w:rsidRDefault="007D380E" w:rsidP="007D380E">
            <w:pPr>
              <w:spacing w:after="0" w:line="240" w:lineRule="auto"/>
              <w:rPr>
                <w:rFonts w:ascii="David" w:hAnsi="David" w:cs="David"/>
                <w:color w:val="000000"/>
              </w:rPr>
            </w:pPr>
            <w:r w:rsidRPr="007A525F">
              <w:rPr>
                <w:rFonts w:ascii="David" w:hAnsi="David" w:cs="David"/>
                <w:color w:val="000000"/>
                <w:rtl/>
              </w:rPr>
              <w:t>תעבורה</w:t>
            </w:r>
          </w:p>
        </w:tc>
        <w:tc>
          <w:tcPr>
            <w:tcW w:w="2269" w:type="dxa"/>
            <w:shd w:val="clear" w:color="auto" w:fill="D9D9D9"/>
            <w:vAlign w:val="center"/>
          </w:tcPr>
          <w:p w14:paraId="4BC13B98" w14:textId="77777777" w:rsidR="007D380E" w:rsidRPr="007A525F" w:rsidRDefault="007D380E" w:rsidP="007D380E">
            <w:pPr>
              <w:spacing w:after="0" w:line="240" w:lineRule="auto"/>
              <w:rPr>
                <w:rFonts w:ascii="David" w:hAnsi="David" w:cs="David"/>
                <w:color w:val="000000"/>
                <w:rtl/>
              </w:rPr>
            </w:pPr>
            <w:r w:rsidRPr="007A525F">
              <w:rPr>
                <w:rFonts w:ascii="David" w:hAnsi="David" w:cs="David"/>
                <w:color w:val="000000"/>
                <w:rtl/>
              </w:rPr>
              <w:t>הארכת מועד להישפט (המ"ש)</w:t>
            </w:r>
          </w:p>
        </w:tc>
        <w:tc>
          <w:tcPr>
            <w:tcW w:w="1417" w:type="dxa"/>
            <w:shd w:val="clear" w:color="auto" w:fill="D9D9D9"/>
            <w:vAlign w:val="center"/>
          </w:tcPr>
          <w:p w14:paraId="4F181C0C" w14:textId="77777777" w:rsidR="007D380E" w:rsidRPr="007A525F" w:rsidRDefault="007D380E" w:rsidP="007D380E">
            <w:pPr>
              <w:spacing w:after="0" w:line="240" w:lineRule="auto"/>
              <w:jc w:val="center"/>
              <w:rPr>
                <w:rFonts w:ascii="David" w:hAnsi="David" w:cs="David"/>
                <w:color w:val="000000"/>
              </w:rPr>
            </w:pPr>
            <w:r w:rsidRPr="007A525F">
              <w:rPr>
                <w:rFonts w:ascii="David" w:hAnsi="David" w:cs="David" w:hint="cs"/>
                <w:color w:val="000000"/>
                <w:rtl/>
              </w:rPr>
              <w:t>9,283</w:t>
            </w:r>
          </w:p>
        </w:tc>
        <w:tc>
          <w:tcPr>
            <w:tcW w:w="1560" w:type="dxa"/>
            <w:shd w:val="clear" w:color="auto" w:fill="D9D9D9"/>
            <w:noWrap/>
            <w:vAlign w:val="center"/>
          </w:tcPr>
          <w:p w14:paraId="6AF8CC6D" w14:textId="77777777" w:rsidR="007D380E" w:rsidRPr="007A525F" w:rsidRDefault="007D380E" w:rsidP="007D380E">
            <w:pPr>
              <w:spacing w:after="0" w:line="240" w:lineRule="auto"/>
              <w:jc w:val="center"/>
              <w:rPr>
                <w:rFonts w:ascii="David" w:hAnsi="David" w:cs="David"/>
                <w:b/>
                <w:bCs/>
                <w:color w:val="000000"/>
                <w:rtl/>
              </w:rPr>
            </w:pPr>
            <w:r w:rsidRPr="007A525F">
              <w:rPr>
                <w:rFonts w:ascii="David" w:hAnsi="David" w:cs="David"/>
                <w:b/>
                <w:bCs/>
                <w:color w:val="000000"/>
              </w:rPr>
              <w:t>0:21</w:t>
            </w:r>
          </w:p>
        </w:tc>
        <w:tc>
          <w:tcPr>
            <w:tcW w:w="1559" w:type="dxa"/>
            <w:shd w:val="clear" w:color="auto" w:fill="D9D9D9"/>
            <w:vAlign w:val="center"/>
          </w:tcPr>
          <w:p w14:paraId="65C76A28" w14:textId="77777777" w:rsidR="007D380E" w:rsidRPr="007A525F" w:rsidRDefault="007D380E" w:rsidP="007D380E">
            <w:pPr>
              <w:spacing w:after="0" w:line="240" w:lineRule="auto"/>
              <w:jc w:val="center"/>
              <w:rPr>
                <w:rFonts w:ascii="David" w:hAnsi="David" w:cs="David"/>
                <w:color w:val="000000"/>
              </w:rPr>
            </w:pPr>
            <w:r w:rsidRPr="007A525F">
              <w:rPr>
                <w:rFonts w:ascii="David" w:hAnsi="David" w:cs="David"/>
                <w:color w:val="000000"/>
              </w:rPr>
              <w:t>0:34</w:t>
            </w:r>
          </w:p>
        </w:tc>
        <w:tc>
          <w:tcPr>
            <w:tcW w:w="992" w:type="dxa"/>
            <w:shd w:val="clear" w:color="auto" w:fill="D9D9D9"/>
            <w:vAlign w:val="center"/>
          </w:tcPr>
          <w:p w14:paraId="2E406469" w14:textId="77777777" w:rsidR="007D380E" w:rsidRPr="007A525F" w:rsidRDefault="007D380E" w:rsidP="007D380E">
            <w:pPr>
              <w:spacing w:after="0" w:line="240" w:lineRule="auto"/>
              <w:jc w:val="center"/>
              <w:rPr>
                <w:rFonts w:ascii="David" w:hAnsi="David" w:cs="David"/>
                <w:color w:val="000000"/>
              </w:rPr>
            </w:pPr>
            <w:r w:rsidRPr="007A525F">
              <w:rPr>
                <w:rFonts w:ascii="David" w:hAnsi="David" w:cs="David" w:hint="cs"/>
                <w:color w:val="000000"/>
                <w:rtl/>
              </w:rPr>
              <w:t>0:13-</w:t>
            </w:r>
          </w:p>
        </w:tc>
      </w:tr>
      <w:tr w:rsidR="007D380E" w:rsidRPr="007A525F" w14:paraId="45D14DFC" w14:textId="77777777" w:rsidTr="007D380E">
        <w:trPr>
          <w:trHeight w:val="446"/>
        </w:trPr>
        <w:tc>
          <w:tcPr>
            <w:tcW w:w="997" w:type="dxa"/>
            <w:shd w:val="clear" w:color="auto" w:fill="auto"/>
            <w:noWrap/>
            <w:vAlign w:val="center"/>
          </w:tcPr>
          <w:p w14:paraId="29D011D0" w14:textId="77777777" w:rsidR="007D380E" w:rsidRPr="007A525F" w:rsidRDefault="007D380E" w:rsidP="007D380E">
            <w:pPr>
              <w:spacing w:after="0" w:line="240" w:lineRule="auto"/>
              <w:rPr>
                <w:rFonts w:ascii="David" w:hAnsi="David" w:cs="David"/>
                <w:color w:val="000000"/>
                <w:rtl/>
              </w:rPr>
            </w:pPr>
            <w:r w:rsidRPr="007A525F">
              <w:rPr>
                <w:rFonts w:ascii="David" w:hAnsi="David" w:cs="David" w:hint="cs"/>
                <w:color w:val="000000"/>
                <w:rtl/>
              </w:rPr>
              <w:t>תעבורה</w:t>
            </w:r>
          </w:p>
        </w:tc>
        <w:tc>
          <w:tcPr>
            <w:tcW w:w="2269" w:type="dxa"/>
            <w:shd w:val="clear" w:color="auto" w:fill="auto"/>
            <w:vAlign w:val="center"/>
          </w:tcPr>
          <w:p w14:paraId="2E4832B4" w14:textId="77777777" w:rsidR="007D380E" w:rsidRPr="007A525F" w:rsidRDefault="007D380E" w:rsidP="007D380E">
            <w:pPr>
              <w:spacing w:after="0" w:line="240" w:lineRule="auto"/>
              <w:rPr>
                <w:rFonts w:ascii="David" w:hAnsi="David" w:cs="David"/>
                <w:color w:val="000000"/>
                <w:rtl/>
              </w:rPr>
            </w:pPr>
            <w:r w:rsidRPr="007A525F">
              <w:rPr>
                <w:rFonts w:ascii="David" w:hAnsi="David" w:cs="David" w:hint="cs"/>
                <w:color w:val="000000"/>
                <w:rtl/>
              </w:rPr>
              <w:t>צו אחר (</w:t>
            </w:r>
            <w:r w:rsidRPr="007A525F">
              <w:rPr>
                <w:rFonts w:ascii="David" w:hAnsi="David" w:cs="David"/>
                <w:color w:val="000000"/>
                <w:rtl/>
              </w:rPr>
              <w:t>צ"א</w:t>
            </w:r>
            <w:r w:rsidRPr="007A525F">
              <w:rPr>
                <w:rFonts w:ascii="David" w:hAnsi="David" w:cs="David" w:hint="cs"/>
                <w:color w:val="000000"/>
                <w:rtl/>
              </w:rPr>
              <w:t>)</w:t>
            </w:r>
          </w:p>
        </w:tc>
        <w:tc>
          <w:tcPr>
            <w:tcW w:w="1417" w:type="dxa"/>
            <w:shd w:val="clear" w:color="auto" w:fill="auto"/>
            <w:vAlign w:val="center"/>
          </w:tcPr>
          <w:p w14:paraId="22CDEA93" w14:textId="77777777" w:rsidR="007D380E" w:rsidRPr="007A525F" w:rsidRDefault="007D380E" w:rsidP="007D380E">
            <w:pPr>
              <w:spacing w:after="0" w:line="240" w:lineRule="auto"/>
              <w:jc w:val="center"/>
              <w:rPr>
                <w:rFonts w:ascii="David" w:hAnsi="David" w:cs="David"/>
                <w:color w:val="000000"/>
                <w:rtl/>
              </w:rPr>
            </w:pPr>
            <w:r w:rsidRPr="007A525F">
              <w:rPr>
                <w:rFonts w:ascii="David" w:hAnsi="David" w:cs="David" w:hint="cs"/>
                <w:color w:val="000000"/>
                <w:rtl/>
              </w:rPr>
              <w:t>487</w:t>
            </w:r>
          </w:p>
        </w:tc>
        <w:tc>
          <w:tcPr>
            <w:tcW w:w="1560" w:type="dxa"/>
            <w:shd w:val="clear" w:color="auto" w:fill="auto"/>
            <w:noWrap/>
            <w:vAlign w:val="center"/>
          </w:tcPr>
          <w:p w14:paraId="50ACD24F" w14:textId="77777777" w:rsidR="007D380E" w:rsidRPr="007A525F" w:rsidRDefault="007D380E" w:rsidP="007D380E">
            <w:pPr>
              <w:spacing w:after="0" w:line="240" w:lineRule="auto"/>
              <w:jc w:val="center"/>
              <w:rPr>
                <w:rFonts w:ascii="David" w:hAnsi="David" w:cs="David"/>
                <w:b/>
                <w:bCs/>
                <w:color w:val="000000"/>
              </w:rPr>
            </w:pPr>
            <w:r w:rsidRPr="007A525F">
              <w:rPr>
                <w:rFonts w:ascii="David" w:hAnsi="David" w:cs="David" w:hint="cs"/>
                <w:b/>
                <w:bCs/>
                <w:color w:val="000000"/>
                <w:rtl/>
              </w:rPr>
              <w:t>0:08</w:t>
            </w:r>
          </w:p>
        </w:tc>
        <w:tc>
          <w:tcPr>
            <w:tcW w:w="1559" w:type="dxa"/>
            <w:shd w:val="clear" w:color="auto" w:fill="auto"/>
            <w:vAlign w:val="center"/>
          </w:tcPr>
          <w:p w14:paraId="110CF06D" w14:textId="77777777" w:rsidR="007D380E" w:rsidRPr="007A525F" w:rsidRDefault="007D380E" w:rsidP="007D380E">
            <w:pPr>
              <w:spacing w:after="0" w:line="240" w:lineRule="auto"/>
              <w:jc w:val="center"/>
              <w:rPr>
                <w:rFonts w:ascii="David" w:hAnsi="David" w:cs="David"/>
                <w:color w:val="000000"/>
              </w:rPr>
            </w:pPr>
            <w:r w:rsidRPr="007A525F">
              <w:rPr>
                <w:rFonts w:ascii="David" w:hAnsi="David" w:cs="David" w:hint="cs"/>
                <w:color w:val="000000"/>
                <w:rtl/>
              </w:rPr>
              <w:t>-</w:t>
            </w:r>
          </w:p>
        </w:tc>
        <w:tc>
          <w:tcPr>
            <w:tcW w:w="992" w:type="dxa"/>
            <w:shd w:val="clear" w:color="auto" w:fill="auto"/>
            <w:vAlign w:val="center"/>
          </w:tcPr>
          <w:p w14:paraId="38704344" w14:textId="77777777" w:rsidR="007D380E" w:rsidRPr="007A525F" w:rsidRDefault="007D380E" w:rsidP="007D380E">
            <w:pPr>
              <w:spacing w:after="0" w:line="240" w:lineRule="auto"/>
              <w:jc w:val="center"/>
              <w:rPr>
                <w:rFonts w:ascii="David" w:hAnsi="David" w:cs="David"/>
                <w:color w:val="000000"/>
                <w:rtl/>
              </w:rPr>
            </w:pPr>
            <w:r w:rsidRPr="007A525F">
              <w:rPr>
                <w:rFonts w:ascii="David" w:hAnsi="David" w:cs="David" w:hint="cs"/>
                <w:color w:val="000000"/>
                <w:rtl/>
              </w:rPr>
              <w:t>-</w:t>
            </w:r>
          </w:p>
        </w:tc>
      </w:tr>
    </w:tbl>
    <w:p w14:paraId="09A9A4ED" w14:textId="77777777" w:rsidR="00071DA2" w:rsidRPr="00F25744" w:rsidRDefault="00071DA2" w:rsidP="001B0FA3">
      <w:pPr>
        <w:pStyle w:val="a3"/>
        <w:widowControl w:val="0"/>
        <w:autoSpaceDE w:val="0"/>
        <w:autoSpaceDN w:val="0"/>
        <w:bidi/>
        <w:adjustRightInd w:val="0"/>
        <w:spacing w:before="60" w:after="60" w:line="240" w:lineRule="auto"/>
        <w:ind w:left="0"/>
        <w:rPr>
          <w:rFonts w:ascii="David" w:hAnsi="David" w:cs="David"/>
          <w:b/>
          <w:bCs/>
          <w:sz w:val="24"/>
          <w:szCs w:val="24"/>
          <w:rtl/>
        </w:rPr>
      </w:pPr>
    </w:p>
    <w:p w14:paraId="4C28CC8C" w14:textId="77777777" w:rsidR="00293140" w:rsidRPr="00F25744" w:rsidRDefault="00E25AE7" w:rsidP="00AA70EF">
      <w:pPr>
        <w:pStyle w:val="a3"/>
        <w:widowControl w:val="0"/>
        <w:autoSpaceDE w:val="0"/>
        <w:autoSpaceDN w:val="0"/>
        <w:bidi/>
        <w:adjustRightInd w:val="0"/>
        <w:spacing w:before="60" w:after="60" w:line="360" w:lineRule="auto"/>
        <w:ind w:left="0"/>
        <w:rPr>
          <w:rFonts w:ascii="David" w:hAnsi="David" w:cs="David"/>
          <w:sz w:val="24"/>
          <w:szCs w:val="24"/>
          <w:rtl/>
        </w:rPr>
      </w:pPr>
      <w:r w:rsidRPr="00F25744">
        <w:rPr>
          <w:rFonts w:ascii="David" w:hAnsi="David" w:cs="David" w:hint="cs"/>
          <w:b/>
          <w:bCs/>
          <w:sz w:val="24"/>
          <w:szCs w:val="24"/>
          <w:rtl/>
        </w:rPr>
        <w:t>הערה</w:t>
      </w:r>
      <w:r w:rsidRPr="00F25744">
        <w:rPr>
          <w:rFonts w:ascii="David" w:hAnsi="David" w:cs="David" w:hint="cs"/>
          <w:sz w:val="24"/>
          <w:szCs w:val="24"/>
          <w:rtl/>
        </w:rPr>
        <w:t xml:space="preserve"> - מעבר להצגת הממצאים לגבי זמני הטיפול השיפוטי בתיקים השונים, ולצרכים הניהוליים של הערכאות השונות, ניתן למצוא בנספחים טבלה המראה את משקלות התיקים של </w:t>
      </w:r>
      <w:r w:rsidR="00AA70EF" w:rsidRPr="00F25744">
        <w:rPr>
          <w:rFonts w:ascii="David" w:hAnsi="David" w:cs="David" w:hint="cs"/>
          <w:sz w:val="24"/>
          <w:szCs w:val="24"/>
          <w:rtl/>
        </w:rPr>
        <w:t>בתי המשפט ל</w:t>
      </w:r>
      <w:r w:rsidRPr="00F25744">
        <w:rPr>
          <w:rFonts w:ascii="David" w:hAnsi="David" w:cs="David" w:hint="cs"/>
          <w:sz w:val="24"/>
          <w:szCs w:val="24"/>
          <w:rtl/>
        </w:rPr>
        <w:t xml:space="preserve">תעבורה ברמה </w:t>
      </w:r>
      <w:r w:rsidRPr="00F25744">
        <w:rPr>
          <w:rFonts w:ascii="David" w:hAnsi="David" w:cs="David" w:hint="cs"/>
          <w:b/>
          <w:bCs/>
          <w:sz w:val="24"/>
          <w:szCs w:val="24"/>
          <w:rtl/>
        </w:rPr>
        <w:t>הערכאתית</w:t>
      </w:r>
      <w:r w:rsidRPr="00F25744">
        <w:rPr>
          <w:rFonts w:ascii="David" w:hAnsi="David" w:cs="David" w:hint="cs"/>
          <w:sz w:val="24"/>
          <w:szCs w:val="24"/>
          <w:rtl/>
        </w:rPr>
        <w:t xml:space="preserve"> (כלומר, את הזמנים היחסיים של כל סוג תיק ביחס לתיקים האחרים ב</w:t>
      </w:r>
      <w:r w:rsidR="00AA70EF" w:rsidRPr="00F25744">
        <w:rPr>
          <w:rFonts w:ascii="David" w:hAnsi="David" w:cs="David" w:hint="cs"/>
          <w:sz w:val="24"/>
          <w:szCs w:val="24"/>
          <w:rtl/>
        </w:rPr>
        <w:t>בתי המשפט ל</w:t>
      </w:r>
      <w:r w:rsidRPr="00F25744">
        <w:rPr>
          <w:rFonts w:ascii="David" w:hAnsi="David" w:cs="David" w:hint="cs"/>
          <w:sz w:val="24"/>
          <w:szCs w:val="24"/>
          <w:rtl/>
        </w:rPr>
        <w:t>תעבורה בלבד), ב</w:t>
      </w:r>
      <w:r w:rsidRPr="00F25744">
        <w:rPr>
          <w:rFonts w:ascii="David" w:hAnsi="David" w:cs="David" w:hint="cs"/>
          <w:b/>
          <w:bCs/>
          <w:sz w:val="24"/>
          <w:szCs w:val="24"/>
          <w:rtl/>
        </w:rPr>
        <w:t>נספח ה</w:t>
      </w:r>
      <w:r w:rsidR="005009A1" w:rsidRPr="00F25744">
        <w:rPr>
          <w:rFonts w:ascii="David" w:hAnsi="David" w:cs="David" w:hint="cs"/>
          <w:b/>
          <w:bCs/>
          <w:sz w:val="24"/>
          <w:szCs w:val="24"/>
          <w:rtl/>
        </w:rPr>
        <w:t>6</w:t>
      </w:r>
      <w:r w:rsidRPr="00F25744">
        <w:rPr>
          <w:rFonts w:ascii="David" w:hAnsi="David" w:cs="David" w:hint="cs"/>
          <w:sz w:val="24"/>
          <w:szCs w:val="24"/>
          <w:rtl/>
        </w:rPr>
        <w:t>.</w:t>
      </w:r>
    </w:p>
    <w:p w14:paraId="543BF664" w14:textId="77777777" w:rsidR="00293140" w:rsidRPr="00F25744" w:rsidRDefault="00293140" w:rsidP="001B0FA3">
      <w:pPr>
        <w:pStyle w:val="a3"/>
        <w:widowControl w:val="0"/>
        <w:autoSpaceDE w:val="0"/>
        <w:autoSpaceDN w:val="0"/>
        <w:bidi/>
        <w:adjustRightInd w:val="0"/>
        <w:spacing w:before="60" w:after="60" w:line="240" w:lineRule="auto"/>
        <w:ind w:left="0"/>
        <w:rPr>
          <w:rFonts w:ascii="David" w:hAnsi="David" w:cs="David"/>
          <w:sz w:val="24"/>
          <w:szCs w:val="24"/>
          <w:rtl/>
        </w:rPr>
      </w:pPr>
    </w:p>
    <w:p w14:paraId="1B684ADF" w14:textId="77777777" w:rsidR="00840519" w:rsidRPr="00F25744" w:rsidRDefault="00E25AE7" w:rsidP="000C1408">
      <w:pPr>
        <w:pStyle w:val="3"/>
        <w:ind w:left="852"/>
        <w:rPr>
          <w:rtl/>
        </w:rPr>
      </w:pPr>
      <w:bookmarkStart w:id="598" w:name="_Toc46226079"/>
      <w:bookmarkStart w:id="599" w:name="_Toc46226223"/>
      <w:bookmarkStart w:id="600" w:name="_Toc46228390"/>
      <w:bookmarkStart w:id="601" w:name="_Toc46228488"/>
      <w:bookmarkStart w:id="602" w:name="_Toc46230415"/>
      <w:bookmarkStart w:id="603" w:name="_Toc46230513"/>
      <w:bookmarkStart w:id="604" w:name="_Toc46310403"/>
      <w:bookmarkStart w:id="605" w:name="_Toc46414045"/>
      <w:bookmarkStart w:id="606" w:name="_Toc49352765"/>
      <w:bookmarkStart w:id="607" w:name="_Toc49429670"/>
      <w:bookmarkStart w:id="608" w:name="_Toc49435899"/>
      <w:bookmarkStart w:id="609" w:name="_Toc74751005"/>
      <w:r w:rsidRPr="00F25744">
        <w:rPr>
          <w:rFonts w:hint="cs"/>
          <w:rtl/>
        </w:rPr>
        <w:t>תמהיל יום העבודה השיפוטי - תעבורה</w:t>
      </w:r>
      <w:bookmarkEnd w:id="598"/>
      <w:bookmarkEnd w:id="599"/>
      <w:bookmarkEnd w:id="600"/>
      <w:bookmarkEnd w:id="601"/>
      <w:bookmarkEnd w:id="602"/>
      <w:bookmarkEnd w:id="603"/>
      <w:bookmarkEnd w:id="604"/>
      <w:bookmarkEnd w:id="605"/>
      <w:bookmarkEnd w:id="606"/>
      <w:bookmarkEnd w:id="607"/>
      <w:bookmarkEnd w:id="608"/>
      <w:bookmarkEnd w:id="609"/>
    </w:p>
    <w:p w14:paraId="0B0D201C" w14:textId="1E1FCA68" w:rsidR="00BC07E9" w:rsidRDefault="00E25AE7" w:rsidP="001B0FA3">
      <w:pPr>
        <w:pStyle w:val="a3"/>
        <w:widowControl w:val="0"/>
        <w:autoSpaceDE w:val="0"/>
        <w:autoSpaceDN w:val="0"/>
        <w:bidi/>
        <w:adjustRightInd w:val="0"/>
        <w:spacing w:before="120" w:after="0" w:line="360" w:lineRule="auto"/>
        <w:ind w:left="0"/>
        <w:rPr>
          <w:rFonts w:ascii="David" w:hAnsi="David" w:cs="David"/>
          <w:noProof/>
          <w:sz w:val="24"/>
          <w:szCs w:val="24"/>
          <w:rtl/>
        </w:rPr>
      </w:pPr>
      <w:r w:rsidRPr="00F25744">
        <w:rPr>
          <w:rFonts w:ascii="David" w:hAnsi="David" w:cs="David" w:hint="cs"/>
          <w:sz w:val="24"/>
          <w:szCs w:val="24"/>
          <w:rtl/>
        </w:rPr>
        <w:t xml:space="preserve">התוצר השני של מחקר עומס העבודה השיפוטית הוא כאמור הצגת תמהיל יום העבודה השיפוטי. </w:t>
      </w:r>
      <w:r w:rsidRPr="00F25744">
        <w:rPr>
          <w:rFonts w:ascii="David" w:hAnsi="David" w:cs="David"/>
          <w:noProof/>
          <w:sz w:val="24"/>
          <w:szCs w:val="24"/>
          <w:rtl/>
        </w:rPr>
        <w:t>ב</w:t>
      </w:r>
      <w:r w:rsidR="00040D38" w:rsidRPr="00F25744">
        <w:rPr>
          <w:rFonts w:cs="David" w:hint="cs"/>
          <w:sz w:val="24"/>
          <w:szCs w:val="24"/>
          <w:rtl/>
        </w:rPr>
        <w:t>בתי המשפט לתעבורה</w:t>
      </w:r>
      <w:r w:rsidRPr="00F25744">
        <w:rPr>
          <w:rFonts w:ascii="David" w:hAnsi="David" w:cs="David"/>
          <w:noProof/>
          <w:sz w:val="24"/>
          <w:szCs w:val="24"/>
          <w:rtl/>
        </w:rPr>
        <w:t xml:space="preserve"> ניתן לראות באופן בולט, כי בממוצע, למעלה ממחצית יום העבודה השיפוטי</w:t>
      </w:r>
      <w:r w:rsidRPr="00F25744">
        <w:rPr>
          <w:rFonts w:ascii="David" w:hAnsi="David" w:cs="David" w:hint="cs"/>
          <w:noProof/>
          <w:sz w:val="24"/>
          <w:szCs w:val="24"/>
          <w:rtl/>
        </w:rPr>
        <w:t xml:space="preserve"> הוקדשה</w:t>
      </w:r>
      <w:r w:rsidRPr="00F25744">
        <w:rPr>
          <w:rFonts w:ascii="David" w:hAnsi="David" w:cs="David"/>
          <w:noProof/>
          <w:sz w:val="24"/>
          <w:szCs w:val="24"/>
          <w:rtl/>
        </w:rPr>
        <w:t xml:space="preserve"> לפעילות שמיעת הדיונים – 55%. לעומת זאת, לפעילות ההכנה לדיונים הוקדשו בממוצע </w:t>
      </w:r>
      <w:r w:rsidRPr="00F25744">
        <w:rPr>
          <w:rFonts w:ascii="David" w:hAnsi="David" w:cs="David" w:hint="cs"/>
          <w:noProof/>
          <w:sz w:val="24"/>
          <w:szCs w:val="24"/>
          <w:rtl/>
        </w:rPr>
        <w:t>4</w:t>
      </w:r>
      <w:r w:rsidRPr="00F25744">
        <w:rPr>
          <w:rFonts w:ascii="David" w:hAnsi="David" w:cs="David"/>
          <w:noProof/>
          <w:sz w:val="24"/>
          <w:szCs w:val="24"/>
          <w:rtl/>
        </w:rPr>
        <w:t xml:space="preserve">% מהיום השיפוטי בלבד. ממצאים אלו מתיישבים היטב עם מבנה יום העבודה השיפוטי אשר עליו למדנו במהלך ההכנות למחקר, מפי שופטי תעבורה שונים, אשר מורכב בעיקר מימי הקראות שבהם שומעים שופטי התעבורה מספר רב של תיקים אשר זהו להם הדיון הראשון, באופן שאינו מצריך </w:t>
      </w:r>
      <w:r w:rsidRPr="00F25744">
        <w:rPr>
          <w:rFonts w:ascii="David" w:hAnsi="David" w:cs="David" w:hint="cs"/>
          <w:noProof/>
          <w:sz w:val="24"/>
          <w:szCs w:val="24"/>
          <w:rtl/>
        </w:rPr>
        <w:t>ז</w:t>
      </w:r>
      <w:r w:rsidRPr="00F25744">
        <w:rPr>
          <w:rFonts w:ascii="David" w:hAnsi="David" w:cs="David"/>
          <w:noProof/>
          <w:sz w:val="24"/>
          <w:szCs w:val="24"/>
          <w:rtl/>
        </w:rPr>
        <w:t>מן הכנה מרובה, אך מצריך שעות דיונים רבות</w:t>
      </w:r>
      <w:r w:rsidRPr="00F25744">
        <w:rPr>
          <w:rFonts w:ascii="David" w:hAnsi="David" w:cs="David" w:hint="cs"/>
          <w:noProof/>
          <w:sz w:val="24"/>
          <w:szCs w:val="24"/>
          <w:rtl/>
        </w:rPr>
        <w:t>. ממצא זה תוקף במסגרת השאלון המסכם לערכאת התעבורה, שבו נשאלו השופטים בין היתר באיזה אחוז מן התיקים הם מקדישים זמן להכנה לקראת הדיון</w:t>
      </w:r>
      <w:r w:rsidRPr="00F25744">
        <w:rPr>
          <w:rFonts w:ascii="David" w:hAnsi="David" w:cs="David"/>
          <w:noProof/>
          <w:sz w:val="24"/>
          <w:szCs w:val="24"/>
          <w:rtl/>
        </w:rPr>
        <w:t xml:space="preserve">. </w:t>
      </w:r>
      <w:r w:rsidRPr="00F25744">
        <w:rPr>
          <w:rFonts w:ascii="David" w:hAnsi="David" w:cs="David" w:hint="cs"/>
          <w:noProof/>
          <w:sz w:val="24"/>
          <w:szCs w:val="24"/>
          <w:rtl/>
        </w:rPr>
        <w:t>כרבע מיום העבודה השיפוטי של שופטי התעבורה הוקדש לפעולות הכתיבה השונות, 4% הוקדש להכנה לדיונים ו-3% נוספים לאדמיניסטרציה קשורה בתיקים. כל הפעולות שתוארו לעיל שייכות לעבודה שיפוטית שקשורה בתיקים, והן מרכיבות 87% מיום העבודה השיפוטי של השופטים</w:t>
      </w:r>
      <w:r w:rsidRPr="00F25744">
        <w:rPr>
          <w:rFonts w:ascii="David" w:hAnsi="David" w:cs="David"/>
          <w:noProof/>
          <w:sz w:val="24"/>
          <w:szCs w:val="24"/>
          <w:rtl/>
        </w:rPr>
        <w:t>.</w:t>
      </w:r>
      <w:r w:rsidRPr="00F25744">
        <w:rPr>
          <w:rFonts w:ascii="David" w:hAnsi="David" w:cs="David" w:hint="cs"/>
          <w:noProof/>
          <w:sz w:val="24"/>
          <w:szCs w:val="24"/>
          <w:rtl/>
        </w:rPr>
        <w:t xml:space="preserve"> 13% הנותרים הוקדשו על ידי השופטים לעבודה שיפוטית שאינה קשורה בתיקים, לרבות התעדכנות בפסיקה, השתתפות בישיבות צוות ובהשתלמויות. </w:t>
      </w:r>
    </w:p>
    <w:p w14:paraId="44A4C389" w14:textId="332F6F55" w:rsidR="007D380E" w:rsidRDefault="007D380E" w:rsidP="007D380E">
      <w:pPr>
        <w:pStyle w:val="a3"/>
        <w:widowControl w:val="0"/>
        <w:autoSpaceDE w:val="0"/>
        <w:autoSpaceDN w:val="0"/>
        <w:bidi/>
        <w:adjustRightInd w:val="0"/>
        <w:spacing w:before="120" w:after="0" w:line="360" w:lineRule="auto"/>
        <w:ind w:left="0"/>
        <w:rPr>
          <w:rFonts w:ascii="David" w:hAnsi="David" w:cs="David"/>
          <w:noProof/>
          <w:sz w:val="24"/>
          <w:szCs w:val="24"/>
          <w:rtl/>
        </w:rPr>
      </w:pPr>
    </w:p>
    <w:p w14:paraId="3DCEDF4E" w14:textId="7F3B0C3C" w:rsidR="007D380E" w:rsidRDefault="007D380E" w:rsidP="007D380E">
      <w:pPr>
        <w:pStyle w:val="a3"/>
        <w:widowControl w:val="0"/>
        <w:autoSpaceDE w:val="0"/>
        <w:autoSpaceDN w:val="0"/>
        <w:bidi/>
        <w:adjustRightInd w:val="0"/>
        <w:spacing w:before="120" w:after="0" w:line="360" w:lineRule="auto"/>
        <w:ind w:left="0"/>
        <w:rPr>
          <w:rFonts w:ascii="David" w:hAnsi="David" w:cs="David"/>
          <w:noProof/>
          <w:sz w:val="24"/>
          <w:szCs w:val="24"/>
          <w:rtl/>
        </w:rPr>
      </w:pPr>
    </w:p>
    <w:p w14:paraId="17515641" w14:textId="77777777" w:rsidR="007D380E" w:rsidRDefault="007D380E" w:rsidP="007D380E">
      <w:pPr>
        <w:pStyle w:val="a3"/>
        <w:widowControl w:val="0"/>
        <w:autoSpaceDE w:val="0"/>
        <w:autoSpaceDN w:val="0"/>
        <w:bidi/>
        <w:adjustRightInd w:val="0"/>
        <w:spacing w:before="120" w:after="0" w:line="360" w:lineRule="auto"/>
        <w:ind w:left="0"/>
        <w:rPr>
          <w:rFonts w:ascii="David" w:hAnsi="David" w:cs="David"/>
          <w:noProof/>
          <w:sz w:val="24"/>
          <w:szCs w:val="24"/>
          <w:rtl/>
        </w:rPr>
      </w:pPr>
    </w:p>
    <w:p w14:paraId="4B8EE77C" w14:textId="77777777" w:rsidR="003E67B5" w:rsidRPr="00F25744" w:rsidRDefault="003E67B5" w:rsidP="003E67B5">
      <w:pPr>
        <w:pStyle w:val="a3"/>
        <w:widowControl w:val="0"/>
        <w:autoSpaceDE w:val="0"/>
        <w:autoSpaceDN w:val="0"/>
        <w:bidi/>
        <w:adjustRightInd w:val="0"/>
        <w:spacing w:before="120" w:after="0" w:line="360" w:lineRule="auto"/>
        <w:ind w:left="0"/>
        <w:rPr>
          <w:rFonts w:ascii="David" w:hAnsi="David" w:cs="David"/>
          <w:noProof/>
          <w:sz w:val="24"/>
          <w:szCs w:val="24"/>
          <w:rtl/>
        </w:rPr>
      </w:pPr>
    </w:p>
    <w:p w14:paraId="68A31B9B" w14:textId="040CB806" w:rsidR="006A2354" w:rsidRPr="00F25744" w:rsidRDefault="00E25AE7" w:rsidP="00053813">
      <w:pPr>
        <w:pStyle w:val="af6"/>
        <w:spacing w:line="240" w:lineRule="auto"/>
        <w:rPr>
          <w:rFonts w:ascii="David" w:hAnsi="David"/>
          <w:sz w:val="24"/>
        </w:rPr>
      </w:pPr>
      <w:bookmarkStart w:id="610" w:name="_Toc76988533"/>
      <w:r w:rsidRPr="00F25744">
        <w:rPr>
          <w:rtl/>
        </w:rPr>
        <w:lastRenderedPageBreak/>
        <w:t xml:space="preserve">תרשים </w:t>
      </w:r>
      <w:r w:rsidRPr="00F25744">
        <w:rPr>
          <w:rFonts w:ascii="David" w:hAnsi="David"/>
          <w:sz w:val="24"/>
          <w:rtl/>
        </w:rPr>
        <w:fldChar w:fldCharType="begin"/>
      </w:r>
      <w:r w:rsidRPr="00F25744">
        <w:rPr>
          <w:rFonts w:ascii="David" w:hAnsi="David"/>
          <w:sz w:val="24"/>
          <w:rtl/>
        </w:rPr>
        <w:instrText xml:space="preserve"> </w:instrText>
      </w:r>
      <w:r w:rsidRPr="00F25744">
        <w:rPr>
          <w:rFonts w:ascii="David" w:hAnsi="David" w:hint="cs"/>
          <w:sz w:val="24"/>
        </w:rPr>
        <w:instrText>SEQ</w:instrText>
      </w:r>
      <w:r w:rsidRPr="00F25744">
        <w:rPr>
          <w:rFonts w:ascii="David" w:hAnsi="David" w:hint="cs"/>
          <w:sz w:val="24"/>
          <w:rtl/>
        </w:rPr>
        <w:instrText xml:space="preserve"> תרשים \* </w:instrText>
      </w:r>
      <w:r w:rsidRPr="00F25744">
        <w:rPr>
          <w:rFonts w:ascii="David" w:hAnsi="David" w:hint="cs"/>
          <w:sz w:val="24"/>
        </w:rPr>
        <w:instrText>ARABIC</w:instrText>
      </w:r>
      <w:r w:rsidRPr="00F25744">
        <w:rPr>
          <w:rFonts w:ascii="David" w:hAnsi="David"/>
          <w:sz w:val="24"/>
          <w:rtl/>
        </w:rPr>
        <w:instrText xml:space="preserve"> </w:instrText>
      </w:r>
      <w:r w:rsidRPr="00F25744">
        <w:rPr>
          <w:rFonts w:ascii="David" w:hAnsi="David"/>
          <w:sz w:val="24"/>
          <w:rtl/>
        </w:rPr>
        <w:fldChar w:fldCharType="separate"/>
      </w:r>
      <w:r w:rsidR="008F1BC3">
        <w:rPr>
          <w:rFonts w:ascii="David" w:hAnsi="David"/>
          <w:noProof/>
          <w:sz w:val="24"/>
          <w:rtl/>
        </w:rPr>
        <w:t>12</w:t>
      </w:r>
      <w:r w:rsidRPr="00F25744">
        <w:rPr>
          <w:rFonts w:ascii="David" w:hAnsi="David"/>
          <w:sz w:val="24"/>
          <w:rtl/>
        </w:rPr>
        <w:fldChar w:fldCharType="end"/>
      </w:r>
      <w:r w:rsidR="00CC1064" w:rsidRPr="00F25744">
        <w:rPr>
          <w:rFonts w:ascii="David" w:hAnsi="David" w:hint="cs"/>
          <w:sz w:val="24"/>
          <w:rtl/>
        </w:rPr>
        <w:t xml:space="preserve">: </w:t>
      </w:r>
      <w:r w:rsidR="007F3A52" w:rsidRPr="00F25744">
        <w:rPr>
          <w:rFonts w:ascii="David" w:hAnsi="David" w:hint="cs"/>
          <w:sz w:val="24"/>
          <w:rtl/>
        </w:rPr>
        <w:t>תמהיל יום העבודה שיפוטי של שופטי תעבורה</w:t>
      </w:r>
      <w:bookmarkEnd w:id="610"/>
    </w:p>
    <w:p w14:paraId="54670577" w14:textId="77777777" w:rsidR="00C34F2F" w:rsidRPr="00F25744" w:rsidRDefault="00E25AE7" w:rsidP="00053813">
      <w:pPr>
        <w:pStyle w:val="af6"/>
        <w:spacing w:line="240" w:lineRule="auto"/>
        <w:rPr>
          <w:noProof/>
          <w:rtl/>
        </w:rPr>
      </w:pPr>
      <w:r w:rsidRPr="00F25744">
        <w:rPr>
          <w:noProof/>
        </w:rPr>
        <w:drawing>
          <wp:inline distT="0" distB="0" distL="0" distR="0" wp14:anchorId="351BC55A" wp14:editId="3525A900">
            <wp:extent cx="5462270" cy="2501799"/>
            <wp:effectExtent l="0" t="0" r="5080" b="0"/>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301558" name="Picture 14"/>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5469090" cy="2504923"/>
                    </a:xfrm>
                    <a:prstGeom prst="rect">
                      <a:avLst/>
                    </a:prstGeom>
                    <a:noFill/>
                    <a:ln>
                      <a:noFill/>
                    </a:ln>
                  </pic:spPr>
                </pic:pic>
              </a:graphicData>
            </a:graphic>
          </wp:inline>
        </w:drawing>
      </w:r>
    </w:p>
    <w:p w14:paraId="0F497F40" w14:textId="77777777" w:rsidR="00AD3218" w:rsidRPr="00F25744" w:rsidRDefault="00AD3218" w:rsidP="00053813">
      <w:pPr>
        <w:pStyle w:val="af6"/>
        <w:spacing w:line="240" w:lineRule="auto"/>
        <w:rPr>
          <w:noProof/>
          <w:rtl/>
        </w:rPr>
      </w:pPr>
    </w:p>
    <w:p w14:paraId="11A365A3" w14:textId="77777777" w:rsidR="00C34F2F" w:rsidRPr="00F25744" w:rsidRDefault="00C34F2F">
      <w:pPr>
        <w:bidi w:val="0"/>
        <w:spacing w:after="0" w:line="240" w:lineRule="auto"/>
        <w:rPr>
          <w:rFonts w:ascii="David" w:hAnsi="David" w:cs="David"/>
          <w:b/>
          <w:bCs/>
          <w:sz w:val="24"/>
          <w:szCs w:val="24"/>
          <w:u w:val="single"/>
          <w:rtl/>
        </w:rPr>
      </w:pPr>
      <w:bookmarkStart w:id="611" w:name="_Toc46226087"/>
      <w:bookmarkStart w:id="612" w:name="_Toc46226231"/>
      <w:bookmarkStart w:id="613" w:name="_Toc46228398"/>
      <w:bookmarkStart w:id="614" w:name="_Toc46228496"/>
      <w:bookmarkStart w:id="615" w:name="_Toc46230423"/>
      <w:bookmarkStart w:id="616" w:name="_Toc46230521"/>
      <w:bookmarkStart w:id="617" w:name="_Toc46310411"/>
      <w:bookmarkStart w:id="618" w:name="_Toc46414053"/>
      <w:bookmarkStart w:id="619" w:name="_Toc49352766"/>
      <w:bookmarkStart w:id="620" w:name="_Toc49429671"/>
      <w:bookmarkStart w:id="621" w:name="_Toc49435900"/>
      <w:r w:rsidRPr="00F25744">
        <w:rPr>
          <w:rtl/>
        </w:rPr>
        <w:br w:type="page"/>
      </w:r>
    </w:p>
    <w:p w14:paraId="447ED836" w14:textId="65160647" w:rsidR="00840519" w:rsidRPr="00F25744" w:rsidRDefault="000C1408" w:rsidP="00AA70EF">
      <w:pPr>
        <w:pStyle w:val="2"/>
        <w:rPr>
          <w:rtl/>
        </w:rPr>
      </w:pPr>
      <w:r>
        <w:rPr>
          <w:rFonts w:hint="cs"/>
          <w:u w:val="none"/>
          <w:rtl/>
        </w:rPr>
        <w:lastRenderedPageBreak/>
        <w:t xml:space="preserve"> </w:t>
      </w:r>
      <w:bookmarkStart w:id="622" w:name="_Toc74751006"/>
      <w:r w:rsidR="007C2A2C" w:rsidRPr="00F25744">
        <w:rPr>
          <w:rFonts w:hint="cs"/>
          <w:rtl/>
        </w:rPr>
        <w:t xml:space="preserve">ממצאי </w:t>
      </w:r>
      <w:r w:rsidR="00AA70EF" w:rsidRPr="00F25744">
        <w:rPr>
          <w:rFonts w:hint="cs"/>
          <w:rtl/>
        </w:rPr>
        <w:t xml:space="preserve">בתי המשפט לענייני </w:t>
      </w:r>
      <w:r w:rsidR="007F3A52" w:rsidRPr="00F25744">
        <w:rPr>
          <w:rFonts w:hint="cs"/>
          <w:rtl/>
        </w:rPr>
        <w:t>משפחה</w:t>
      </w:r>
      <w:bookmarkEnd w:id="611"/>
      <w:bookmarkEnd w:id="612"/>
      <w:bookmarkEnd w:id="613"/>
      <w:bookmarkEnd w:id="614"/>
      <w:bookmarkEnd w:id="615"/>
      <w:bookmarkEnd w:id="616"/>
      <w:bookmarkEnd w:id="617"/>
      <w:bookmarkEnd w:id="618"/>
      <w:bookmarkEnd w:id="619"/>
      <w:bookmarkEnd w:id="620"/>
      <w:bookmarkEnd w:id="621"/>
      <w:bookmarkEnd w:id="622"/>
    </w:p>
    <w:p w14:paraId="513959B8" w14:textId="77777777" w:rsidR="002D67FE" w:rsidRPr="00F25744" w:rsidRDefault="002D67FE" w:rsidP="001B0FA3">
      <w:pPr>
        <w:spacing w:after="0" w:line="240" w:lineRule="auto"/>
        <w:rPr>
          <w:rtl/>
        </w:rPr>
      </w:pPr>
    </w:p>
    <w:p w14:paraId="2033DA56" w14:textId="77777777" w:rsidR="00840519" w:rsidRPr="00F25744" w:rsidRDefault="00E25AE7" w:rsidP="000C1408">
      <w:pPr>
        <w:pStyle w:val="3"/>
        <w:ind w:left="852"/>
      </w:pPr>
      <w:bookmarkStart w:id="623" w:name="_Toc46226088"/>
      <w:bookmarkStart w:id="624" w:name="_Toc46226232"/>
      <w:bookmarkStart w:id="625" w:name="_Toc46228399"/>
      <w:bookmarkStart w:id="626" w:name="_Toc46228497"/>
      <w:bookmarkStart w:id="627" w:name="_Toc46230424"/>
      <w:bookmarkStart w:id="628" w:name="_Toc46230522"/>
      <w:bookmarkStart w:id="629" w:name="_Toc46310412"/>
      <w:bookmarkStart w:id="630" w:name="_Toc46414054"/>
      <w:bookmarkStart w:id="631" w:name="_Toc49352767"/>
      <w:bookmarkStart w:id="632" w:name="_Toc49429672"/>
      <w:bookmarkStart w:id="633" w:name="_Toc49435901"/>
      <w:bookmarkStart w:id="634" w:name="_Toc74751007"/>
      <w:r w:rsidRPr="00F25744">
        <w:rPr>
          <w:rFonts w:hint="cs"/>
          <w:rtl/>
        </w:rPr>
        <w:t xml:space="preserve">התאמות ליומני השופטים </w:t>
      </w:r>
      <w:r w:rsidR="00AA70EF" w:rsidRPr="00F25744">
        <w:rPr>
          <w:rFonts w:hint="cs"/>
          <w:rtl/>
        </w:rPr>
        <w:t>בבתי המשפט לענייני משפחה</w:t>
      </w:r>
      <w:bookmarkEnd w:id="623"/>
      <w:bookmarkEnd w:id="624"/>
      <w:bookmarkEnd w:id="625"/>
      <w:bookmarkEnd w:id="626"/>
      <w:bookmarkEnd w:id="627"/>
      <w:bookmarkEnd w:id="628"/>
      <w:bookmarkEnd w:id="629"/>
      <w:bookmarkEnd w:id="630"/>
      <w:bookmarkEnd w:id="631"/>
      <w:bookmarkEnd w:id="632"/>
      <w:bookmarkEnd w:id="633"/>
      <w:bookmarkEnd w:id="634"/>
    </w:p>
    <w:p w14:paraId="004BDDB4" w14:textId="77777777" w:rsidR="0029712A" w:rsidRPr="00F25744" w:rsidRDefault="00E25AE7" w:rsidP="001B0FA3">
      <w:pPr>
        <w:spacing w:before="120" w:after="0" w:line="360" w:lineRule="auto"/>
        <w:jc w:val="both"/>
        <w:rPr>
          <w:rFonts w:cs="David"/>
          <w:sz w:val="24"/>
          <w:szCs w:val="24"/>
          <w:rtl/>
        </w:rPr>
      </w:pPr>
      <w:r w:rsidRPr="00F25744">
        <w:rPr>
          <w:rFonts w:cs="David" w:hint="cs"/>
          <w:sz w:val="24"/>
          <w:szCs w:val="24"/>
          <w:rtl/>
        </w:rPr>
        <w:t>אופי הדיונים המיוחד ב</w:t>
      </w:r>
      <w:r w:rsidR="00AA70EF" w:rsidRPr="00F25744">
        <w:rPr>
          <w:rFonts w:cs="David" w:hint="cs"/>
          <w:sz w:val="24"/>
          <w:szCs w:val="24"/>
          <w:rtl/>
        </w:rPr>
        <w:t xml:space="preserve">בתי המשפט לענייני משפחה </w:t>
      </w:r>
      <w:r w:rsidRPr="00F25744">
        <w:rPr>
          <w:rFonts w:cs="David" w:hint="cs"/>
          <w:sz w:val="24"/>
          <w:szCs w:val="24"/>
          <w:rtl/>
        </w:rPr>
        <w:t xml:space="preserve">הציב </w:t>
      </w:r>
      <w:r w:rsidR="00AA70EF" w:rsidRPr="00F25744">
        <w:rPr>
          <w:rFonts w:cs="David" w:hint="cs"/>
          <w:sz w:val="24"/>
          <w:szCs w:val="24"/>
          <w:rtl/>
        </w:rPr>
        <w:t xml:space="preserve">בפנינו </w:t>
      </w:r>
      <w:r w:rsidRPr="00F25744">
        <w:rPr>
          <w:rFonts w:cs="David" w:hint="cs"/>
          <w:sz w:val="24"/>
          <w:szCs w:val="24"/>
          <w:rtl/>
        </w:rPr>
        <w:t xml:space="preserve">אתגר מיוחד מבחינת בניית היומן הידני (וגם המקוון). </w:t>
      </w:r>
      <w:r w:rsidR="00AA70EF" w:rsidRPr="00F25744">
        <w:rPr>
          <w:rFonts w:cs="David" w:hint="cs"/>
          <w:sz w:val="24"/>
          <w:szCs w:val="24"/>
          <w:rtl/>
        </w:rPr>
        <w:t>בבתי המשפט לענייני משפחה,</w:t>
      </w:r>
      <w:r w:rsidRPr="00F25744">
        <w:rPr>
          <w:rFonts w:cs="David" w:hint="cs"/>
          <w:sz w:val="24"/>
          <w:szCs w:val="24"/>
          <w:rtl/>
        </w:rPr>
        <w:t xml:space="preserve"> בתיקים מסוימים כמו תלה"מ (</w:t>
      </w:r>
      <w:r w:rsidRPr="00F25744">
        <w:rPr>
          <w:rFonts w:cs="David"/>
          <w:sz w:val="24"/>
          <w:szCs w:val="24"/>
          <w:rtl/>
        </w:rPr>
        <w:t>תביעה לאחר הסדר התדיינויות במשפחה)</w:t>
      </w:r>
      <w:r w:rsidRPr="00F25744">
        <w:rPr>
          <w:rFonts w:cs="David" w:hint="cs"/>
          <w:sz w:val="24"/>
          <w:szCs w:val="24"/>
          <w:rtl/>
        </w:rPr>
        <w:t xml:space="preserve"> או תמ"ש (תיק משפחה), מתקיימים לעתים דיונים במספר תיקים בו זמנית, השייכים כולם לאותה המשפחה. כך, למשל, בדיון שנקבע בתיק תלה"מ מסוים, ייתכן שיידונו גם תיק המשמורת, גם תיק המזונות, וגם תביעה רכושית. ככל שיינתן פסק דין לאחר אותו דיון, הוא עתיד לסגור את </w:t>
      </w:r>
      <w:r w:rsidR="00E543E4" w:rsidRPr="00F25744">
        <w:rPr>
          <w:rFonts w:cs="David" w:hint="cs"/>
          <w:sz w:val="24"/>
          <w:szCs w:val="24"/>
          <w:rtl/>
        </w:rPr>
        <w:t xml:space="preserve">שלושת </w:t>
      </w:r>
      <w:r w:rsidRPr="00F25744">
        <w:rPr>
          <w:rFonts w:cs="David" w:hint="cs"/>
          <w:sz w:val="24"/>
          <w:szCs w:val="24"/>
          <w:rtl/>
        </w:rPr>
        <w:t xml:space="preserve">התיקים הללו גם יחד, או חלק מהם. מסיבה זו, התייחסות לדיונים כאלו או לכתיבה בתיקים אלו כאל פעילות שיפוטית רגילה בתיק אחד, חוטאת למציאות ואינה משקפת את העומס האמתי שמטילות פעילויות שיפוטיות </w:t>
      </w:r>
      <w:r w:rsidR="00E543E4" w:rsidRPr="00F25744">
        <w:rPr>
          <w:rFonts w:cs="David" w:hint="cs"/>
          <w:sz w:val="24"/>
          <w:szCs w:val="24"/>
          <w:rtl/>
        </w:rPr>
        <w:t xml:space="preserve">שונות </w:t>
      </w:r>
      <w:r w:rsidRPr="00F25744">
        <w:rPr>
          <w:rFonts w:cs="David" w:hint="cs"/>
          <w:sz w:val="24"/>
          <w:szCs w:val="24"/>
          <w:rtl/>
        </w:rPr>
        <w:t xml:space="preserve">בתיקים מסוג זה על השופטים </w:t>
      </w:r>
      <w:r w:rsidR="00AA70EF" w:rsidRPr="00F25744">
        <w:rPr>
          <w:rFonts w:cs="David" w:hint="cs"/>
          <w:sz w:val="24"/>
          <w:szCs w:val="24"/>
          <w:rtl/>
        </w:rPr>
        <w:t>בבתי המשפט לענייני משפחה</w:t>
      </w:r>
      <w:r w:rsidRPr="00F25744">
        <w:rPr>
          <w:rFonts w:cs="David" w:hint="cs"/>
          <w:sz w:val="24"/>
          <w:szCs w:val="24"/>
          <w:rtl/>
        </w:rPr>
        <w:t xml:space="preserve">. </w:t>
      </w:r>
    </w:p>
    <w:p w14:paraId="7984E84D" w14:textId="7B280F3B" w:rsidR="0029712A" w:rsidRPr="00F25744" w:rsidRDefault="00E25AE7" w:rsidP="00A5508E">
      <w:pPr>
        <w:spacing w:before="120" w:after="0" w:line="360" w:lineRule="auto"/>
        <w:jc w:val="both"/>
        <w:rPr>
          <w:rFonts w:cs="David"/>
          <w:sz w:val="24"/>
          <w:szCs w:val="24"/>
          <w:rtl/>
        </w:rPr>
      </w:pPr>
      <w:r w:rsidRPr="00F25744">
        <w:rPr>
          <w:rFonts w:cs="David" w:hint="cs"/>
          <w:sz w:val="24"/>
          <w:szCs w:val="24"/>
          <w:rtl/>
        </w:rPr>
        <w:t xml:space="preserve">לאחר מחשבה מרובה שהוקדשה לעניין, הן לגבי ההכנה לדיונים והן לגבי הכתיבה (כמו גם לגבי תיעוד הדיונים עצמם בידי הקלדניות), והתייעצות עם שופטי משפחה, הוחלט </w:t>
      </w:r>
      <w:r w:rsidR="00A5508E">
        <w:rPr>
          <w:rFonts w:cs="David" w:hint="cs"/>
          <w:sz w:val="24"/>
          <w:szCs w:val="24"/>
          <w:rtl/>
        </w:rPr>
        <w:t>לפעול</w:t>
      </w:r>
      <w:r w:rsidRPr="00F25744">
        <w:rPr>
          <w:rFonts w:cs="David" w:hint="cs"/>
          <w:sz w:val="24"/>
          <w:szCs w:val="24"/>
          <w:rtl/>
        </w:rPr>
        <w:t xml:space="preserve"> כך: בעת הכנה לדיונים, התבקשו השופטים </w:t>
      </w:r>
      <w:r w:rsidRPr="00F25744">
        <w:rPr>
          <w:rFonts w:cs="David"/>
          <w:sz w:val="24"/>
          <w:szCs w:val="24"/>
          <w:rtl/>
        </w:rPr>
        <w:t>לציין את מספר התיקים של אותה משפחה שאליהם התכוננ</w:t>
      </w:r>
      <w:r w:rsidRPr="00F25744">
        <w:rPr>
          <w:rFonts w:cs="David" w:hint="cs"/>
          <w:sz w:val="24"/>
          <w:szCs w:val="24"/>
          <w:rtl/>
        </w:rPr>
        <w:t xml:space="preserve">ו (לדוגמה מזונות, משמורת וכדומה), כאשר </w:t>
      </w:r>
      <w:r w:rsidRPr="00F25744">
        <w:rPr>
          <w:rFonts w:cs="David"/>
          <w:sz w:val="24"/>
          <w:szCs w:val="24"/>
          <w:rtl/>
        </w:rPr>
        <w:t>כל שורה תייצג הכנה לדיון של משפחה נפרדת</w:t>
      </w:r>
      <w:r w:rsidRPr="00F25744">
        <w:rPr>
          <w:rFonts w:cs="David" w:hint="cs"/>
          <w:sz w:val="24"/>
          <w:szCs w:val="24"/>
          <w:rtl/>
        </w:rPr>
        <w:t>.</w:t>
      </w:r>
      <w:r w:rsidR="00E543E4" w:rsidRPr="00F25744">
        <w:rPr>
          <w:rFonts w:cs="David" w:hint="cs"/>
          <w:sz w:val="24"/>
          <w:szCs w:val="24"/>
          <w:rtl/>
        </w:rPr>
        <w:t xml:space="preserve"> </w:t>
      </w:r>
      <w:r w:rsidRPr="00F25744">
        <w:rPr>
          <w:rFonts w:cs="David" w:hint="cs"/>
          <w:sz w:val="24"/>
          <w:szCs w:val="24"/>
          <w:rtl/>
        </w:rPr>
        <w:t xml:space="preserve">לגבי כתיבת החלטות/ פסקי דין, הוספנו עמודה שבה, לאחר מילוי מספר העמודים שנכתבו באותה החלטה/ פסק דין, התבקשו השופטים לציין את מספר התיקים שאליהם החלטה זו התייחסה. </w:t>
      </w:r>
    </w:p>
    <w:p w14:paraId="7AD0CEBA" w14:textId="77777777" w:rsidR="0029712A" w:rsidRPr="00F25744" w:rsidRDefault="00E25AE7" w:rsidP="001B0FA3">
      <w:pPr>
        <w:spacing w:before="120" w:after="0" w:line="360" w:lineRule="auto"/>
        <w:jc w:val="both"/>
        <w:rPr>
          <w:rFonts w:cs="David"/>
          <w:sz w:val="24"/>
          <w:szCs w:val="24"/>
          <w:rtl/>
        </w:rPr>
      </w:pPr>
      <w:r w:rsidRPr="00F25744">
        <w:rPr>
          <w:rFonts w:cs="David" w:hint="cs"/>
          <w:sz w:val="24"/>
          <w:szCs w:val="24"/>
          <w:rtl/>
        </w:rPr>
        <w:t xml:space="preserve">בהתאם לכך, הנחינו את הקלדניות לציין ביומנים שלהן לגבי דיוני משפחה את סוגי התיקים השונים שנדונו באותו דיון (למשל: משעה 9:00 עד שעה 10:00 נשמע דיון אחד, שבו נדונו שלושה תיקים מסוג תמ"ש </w:t>
      </w:r>
      <w:r w:rsidRPr="00F25744">
        <w:rPr>
          <w:rFonts w:cs="David"/>
          <w:sz w:val="24"/>
          <w:szCs w:val="24"/>
          <w:rtl/>
        </w:rPr>
        <w:t>–</w:t>
      </w:r>
      <w:r w:rsidRPr="00F25744">
        <w:rPr>
          <w:rFonts w:cs="David" w:hint="cs"/>
          <w:sz w:val="24"/>
          <w:szCs w:val="24"/>
          <w:rtl/>
        </w:rPr>
        <w:t xml:space="preserve"> משמורת, מזונות ורכוש).</w:t>
      </w:r>
    </w:p>
    <w:p w14:paraId="3797AE6E" w14:textId="77777777" w:rsidR="001B0FA3" w:rsidRPr="00F25744" w:rsidRDefault="001B0FA3" w:rsidP="001B0FA3">
      <w:pPr>
        <w:spacing w:after="0" w:line="240" w:lineRule="auto"/>
        <w:jc w:val="both"/>
        <w:rPr>
          <w:rFonts w:cs="David"/>
          <w:sz w:val="24"/>
          <w:szCs w:val="24"/>
          <w:rtl/>
        </w:rPr>
      </w:pPr>
    </w:p>
    <w:p w14:paraId="510B8B5A" w14:textId="77777777" w:rsidR="004730E0" w:rsidRPr="00F25744" w:rsidRDefault="00E25AE7" w:rsidP="001B0FA3">
      <w:pPr>
        <w:spacing w:before="120" w:after="0" w:line="360" w:lineRule="auto"/>
        <w:jc w:val="both"/>
        <w:rPr>
          <w:rFonts w:cs="David"/>
          <w:sz w:val="24"/>
          <w:szCs w:val="24"/>
          <w:rtl/>
        </w:rPr>
      </w:pPr>
      <w:r w:rsidRPr="00F25744">
        <w:rPr>
          <w:rFonts w:cs="David" w:hint="cs"/>
          <w:sz w:val="24"/>
          <w:szCs w:val="24"/>
          <w:rtl/>
        </w:rPr>
        <w:t xml:space="preserve">ניתן להתרשם מיומן העבודה השיפוטי שנבנה עבור </w:t>
      </w:r>
      <w:r w:rsidR="00AA70EF" w:rsidRPr="00F25744">
        <w:rPr>
          <w:rFonts w:cs="David" w:hint="cs"/>
          <w:sz w:val="24"/>
          <w:szCs w:val="24"/>
          <w:rtl/>
        </w:rPr>
        <w:t xml:space="preserve">בתי המשפט לענייני משפחה </w:t>
      </w:r>
      <w:r w:rsidRPr="00F25744">
        <w:rPr>
          <w:rFonts w:cs="David" w:hint="cs"/>
          <w:sz w:val="24"/>
          <w:szCs w:val="24"/>
          <w:rtl/>
        </w:rPr>
        <w:t>ביומן לדוגמה המצורף כ</w:t>
      </w:r>
      <w:r w:rsidRPr="00F25744">
        <w:rPr>
          <w:rFonts w:cs="David" w:hint="cs"/>
          <w:b/>
          <w:bCs/>
          <w:sz w:val="24"/>
          <w:szCs w:val="24"/>
          <w:rtl/>
        </w:rPr>
        <w:t>נספח</w:t>
      </w:r>
      <w:r w:rsidRPr="00F25744">
        <w:rPr>
          <w:rFonts w:cs="David" w:hint="cs"/>
          <w:sz w:val="24"/>
          <w:szCs w:val="24"/>
          <w:rtl/>
        </w:rPr>
        <w:t xml:space="preserve"> </w:t>
      </w:r>
      <w:r w:rsidRPr="00F25744">
        <w:rPr>
          <w:rFonts w:cs="David" w:hint="cs"/>
          <w:b/>
          <w:bCs/>
          <w:sz w:val="24"/>
          <w:szCs w:val="24"/>
          <w:rtl/>
        </w:rPr>
        <w:t>ד4</w:t>
      </w:r>
      <w:r w:rsidRPr="00F25744">
        <w:rPr>
          <w:rFonts w:cs="David" w:hint="cs"/>
          <w:sz w:val="24"/>
          <w:szCs w:val="24"/>
          <w:rtl/>
        </w:rPr>
        <w:t xml:space="preserve">. </w:t>
      </w:r>
    </w:p>
    <w:p w14:paraId="42EDC9EC" w14:textId="77777777" w:rsidR="00872E24" w:rsidRPr="00F25744" w:rsidRDefault="00872E24" w:rsidP="0029712A">
      <w:pPr>
        <w:spacing w:after="0" w:line="360" w:lineRule="auto"/>
        <w:ind w:left="-1"/>
        <w:jc w:val="both"/>
        <w:rPr>
          <w:rFonts w:cs="David"/>
          <w:sz w:val="24"/>
          <w:szCs w:val="24"/>
          <w:rtl/>
        </w:rPr>
      </w:pPr>
    </w:p>
    <w:p w14:paraId="37682E7D" w14:textId="77777777" w:rsidR="00840519" w:rsidRPr="00F25744" w:rsidRDefault="00E25AE7" w:rsidP="000C1408">
      <w:pPr>
        <w:pStyle w:val="3"/>
        <w:ind w:left="852"/>
        <w:rPr>
          <w:rtl/>
        </w:rPr>
      </w:pPr>
      <w:bookmarkStart w:id="635" w:name="_Toc49352768"/>
      <w:bookmarkStart w:id="636" w:name="_Toc49429673"/>
      <w:bookmarkStart w:id="637" w:name="_Toc49435902"/>
      <w:bookmarkStart w:id="638" w:name="_Toc74751008"/>
      <w:bookmarkStart w:id="639" w:name="_Toc46226089"/>
      <w:bookmarkStart w:id="640" w:name="_Toc46226233"/>
      <w:bookmarkStart w:id="641" w:name="_Toc46228400"/>
      <w:bookmarkStart w:id="642" w:name="_Toc46228498"/>
      <w:bookmarkStart w:id="643" w:name="_Toc46230425"/>
      <w:bookmarkStart w:id="644" w:name="_Toc46230523"/>
      <w:bookmarkStart w:id="645" w:name="_Toc46310413"/>
      <w:bookmarkStart w:id="646" w:name="_Toc46414055"/>
      <w:r w:rsidRPr="00F25744">
        <w:rPr>
          <w:rFonts w:hint="cs"/>
          <w:rtl/>
        </w:rPr>
        <w:t xml:space="preserve">הזמן השיפוטי הדרוש לטיפול בתיקי </w:t>
      </w:r>
      <w:r w:rsidR="00AA70EF" w:rsidRPr="00F25744">
        <w:rPr>
          <w:rFonts w:hint="cs"/>
          <w:rtl/>
        </w:rPr>
        <w:t>בתי המשפט לענייני משפחה</w:t>
      </w:r>
      <w:bookmarkEnd w:id="635"/>
      <w:bookmarkEnd w:id="636"/>
      <w:bookmarkEnd w:id="637"/>
      <w:bookmarkEnd w:id="638"/>
      <w:r w:rsidR="00AA70EF" w:rsidRPr="00F25744">
        <w:rPr>
          <w:rFonts w:hint="cs"/>
          <w:rtl/>
        </w:rPr>
        <w:t xml:space="preserve"> </w:t>
      </w:r>
      <w:bookmarkEnd w:id="639"/>
      <w:bookmarkEnd w:id="640"/>
      <w:bookmarkEnd w:id="641"/>
      <w:bookmarkEnd w:id="642"/>
      <w:bookmarkEnd w:id="643"/>
      <w:bookmarkEnd w:id="644"/>
      <w:bookmarkEnd w:id="645"/>
      <w:bookmarkEnd w:id="646"/>
    </w:p>
    <w:p w14:paraId="32CC3D63" w14:textId="77777777" w:rsidR="00F25A08" w:rsidRPr="00F25744" w:rsidRDefault="00E25AE7" w:rsidP="001B0FA3">
      <w:pPr>
        <w:spacing w:before="120" w:after="0" w:line="360" w:lineRule="auto"/>
        <w:jc w:val="both"/>
        <w:rPr>
          <w:rFonts w:cs="David"/>
          <w:sz w:val="24"/>
          <w:szCs w:val="24"/>
          <w:rtl/>
        </w:rPr>
      </w:pPr>
      <w:r w:rsidRPr="00F25744">
        <w:rPr>
          <w:rFonts w:cs="David" w:hint="cs"/>
          <w:sz w:val="24"/>
          <w:szCs w:val="24"/>
          <w:rtl/>
        </w:rPr>
        <w:t xml:space="preserve">התוצר הראשון של מחקר עומס העבודה השיפוטית הוא חישוב הזמן השיפוטי הדרוש לטיפול בכל אחד מסוגי התיקים השונים </w:t>
      </w:r>
      <w:r w:rsidR="00AA70EF" w:rsidRPr="00F25744">
        <w:rPr>
          <w:rFonts w:cs="David" w:hint="cs"/>
          <w:sz w:val="24"/>
          <w:szCs w:val="24"/>
          <w:rtl/>
        </w:rPr>
        <w:t>בבתי המשפט לענייני משפחה</w:t>
      </w:r>
      <w:r w:rsidRPr="00F25744">
        <w:rPr>
          <w:rFonts w:cs="David" w:hint="cs"/>
          <w:sz w:val="24"/>
          <w:szCs w:val="24"/>
          <w:rtl/>
        </w:rPr>
        <w:t xml:space="preserve">. המחקר הנוכחי הצליח לחשב את הזמן השיפוטי הדרוש לטיפול ב-12 סוגי התיקים העיקריים </w:t>
      </w:r>
      <w:r w:rsidR="00AA70EF" w:rsidRPr="00F25744">
        <w:rPr>
          <w:rFonts w:cs="David" w:hint="cs"/>
          <w:sz w:val="24"/>
          <w:szCs w:val="24"/>
          <w:rtl/>
        </w:rPr>
        <w:t>בבתי המשפט לענייני משפחה</w:t>
      </w:r>
      <w:r w:rsidRPr="00F25744">
        <w:rPr>
          <w:rFonts w:cs="David" w:hint="cs"/>
          <w:sz w:val="24"/>
          <w:szCs w:val="24"/>
          <w:rtl/>
        </w:rPr>
        <w:t xml:space="preserve">, אשר מהווים למעלה מ- 99% מכלל תיקי המשפחה שנסגרו במהלך שנת 2019. כך שגם אם לא התאפשר לחשב את הזמן השיפוטי הדרוש לפחות מ-1% מכלל התיקים האחרים, הרי שההשפעה של סוגי התיקים שלגביהם לא חושב הזמן השיפוטי על העומס אינה משמעותית.  </w:t>
      </w:r>
    </w:p>
    <w:p w14:paraId="605BDFD8" w14:textId="77777777" w:rsidR="007C07B9" w:rsidRPr="00F25744" w:rsidRDefault="00E25AE7" w:rsidP="001B0FA3">
      <w:pPr>
        <w:spacing w:before="120" w:after="0" w:line="360" w:lineRule="auto"/>
        <w:jc w:val="both"/>
        <w:rPr>
          <w:rFonts w:cs="David"/>
          <w:sz w:val="24"/>
          <w:szCs w:val="24"/>
          <w:rtl/>
        </w:rPr>
      </w:pPr>
      <w:r w:rsidRPr="00F25744">
        <w:rPr>
          <w:rFonts w:cs="David" w:hint="cs"/>
          <w:sz w:val="24"/>
          <w:szCs w:val="24"/>
          <w:rtl/>
        </w:rPr>
        <w:t xml:space="preserve">בטבלה שלפניכם מובאים 12 סוגי התיקים שלגביהם נאספו נתונים מספקים בכל מערכי המחקר לגבי </w:t>
      </w:r>
      <w:r w:rsidR="00AA70EF" w:rsidRPr="00F25744">
        <w:rPr>
          <w:rFonts w:cs="David" w:hint="cs"/>
          <w:sz w:val="24"/>
          <w:szCs w:val="24"/>
          <w:rtl/>
        </w:rPr>
        <w:t>בתי המשפט לענייני משפחה</w:t>
      </w:r>
      <w:r w:rsidRPr="00F25744">
        <w:rPr>
          <w:rFonts w:cs="David" w:hint="cs"/>
          <w:sz w:val="24"/>
          <w:szCs w:val="24"/>
          <w:rtl/>
        </w:rPr>
        <w:t xml:space="preserve">, יחד עם מספר התיקים מאותו סוג אשר נסגרו במהלך שנת 2019, הזמן השיפוטי הדרוש לטפל בהם, הזמן השיפוטי שנמדד במחקר הקודם ומגמת השינוי מהמחקר הקודם. </w:t>
      </w:r>
    </w:p>
    <w:p w14:paraId="3FA75C5A" w14:textId="77777777" w:rsidR="001B0FA3" w:rsidRPr="00F25744" w:rsidRDefault="001B0FA3" w:rsidP="001B0FA3">
      <w:pPr>
        <w:pStyle w:val="af6"/>
        <w:spacing w:after="0" w:line="240" w:lineRule="auto"/>
        <w:rPr>
          <w:rtl/>
        </w:rPr>
      </w:pPr>
    </w:p>
    <w:p w14:paraId="128EBE57" w14:textId="3C7D383B" w:rsidR="00CE7EFA" w:rsidRPr="00F25744" w:rsidRDefault="00E25AE7" w:rsidP="001B0FA3">
      <w:pPr>
        <w:pStyle w:val="af6"/>
        <w:spacing w:after="0"/>
        <w:rPr>
          <w:sz w:val="24"/>
          <w:rtl/>
        </w:rPr>
      </w:pPr>
      <w:bookmarkStart w:id="647" w:name="_Toc76988910"/>
      <w:r w:rsidRPr="00F25744">
        <w:rPr>
          <w:rtl/>
        </w:rPr>
        <w:lastRenderedPageBreak/>
        <w:t xml:space="preserve">טבלה </w:t>
      </w:r>
      <w:r w:rsidRPr="00F25744">
        <w:rPr>
          <w:sz w:val="24"/>
          <w:rtl/>
        </w:rPr>
        <w:fldChar w:fldCharType="begin"/>
      </w:r>
      <w:r w:rsidRPr="00F25744">
        <w:rPr>
          <w:sz w:val="24"/>
          <w:rtl/>
        </w:rPr>
        <w:instrText xml:space="preserve"> </w:instrText>
      </w:r>
      <w:r w:rsidRPr="00F25744">
        <w:rPr>
          <w:rFonts w:hint="cs"/>
          <w:sz w:val="24"/>
        </w:rPr>
        <w:instrText>SEQ</w:instrText>
      </w:r>
      <w:r w:rsidRPr="00F25744">
        <w:rPr>
          <w:rFonts w:hint="cs"/>
          <w:sz w:val="24"/>
          <w:rtl/>
        </w:rPr>
        <w:instrText xml:space="preserve"> טבלה \* </w:instrText>
      </w:r>
      <w:r w:rsidRPr="00F25744">
        <w:rPr>
          <w:rFonts w:hint="cs"/>
          <w:sz w:val="24"/>
        </w:rPr>
        <w:instrText>ARABIC</w:instrText>
      </w:r>
      <w:r w:rsidRPr="00F25744">
        <w:rPr>
          <w:sz w:val="24"/>
          <w:rtl/>
        </w:rPr>
        <w:instrText xml:space="preserve"> </w:instrText>
      </w:r>
      <w:r w:rsidRPr="00F25744">
        <w:rPr>
          <w:sz w:val="24"/>
          <w:rtl/>
        </w:rPr>
        <w:fldChar w:fldCharType="separate"/>
      </w:r>
      <w:r w:rsidR="008F1BC3">
        <w:rPr>
          <w:noProof/>
          <w:sz w:val="24"/>
          <w:rtl/>
        </w:rPr>
        <w:t>15</w:t>
      </w:r>
      <w:r w:rsidRPr="00F25744">
        <w:rPr>
          <w:sz w:val="24"/>
          <w:rtl/>
        </w:rPr>
        <w:fldChar w:fldCharType="end"/>
      </w:r>
      <w:r w:rsidR="007F3A52" w:rsidRPr="00F25744">
        <w:rPr>
          <w:rFonts w:hint="cs"/>
          <w:sz w:val="24"/>
          <w:rtl/>
        </w:rPr>
        <w:t xml:space="preserve">: </w:t>
      </w:r>
      <w:r w:rsidR="007F3A52" w:rsidRPr="00F25744">
        <w:rPr>
          <w:rFonts w:ascii="David" w:hAnsi="David" w:hint="cs"/>
          <w:sz w:val="24"/>
          <w:rtl/>
        </w:rPr>
        <w:t xml:space="preserve">זמני הטיפול בתיקי </w:t>
      </w:r>
      <w:r w:rsidR="00AA70EF" w:rsidRPr="00F25744">
        <w:rPr>
          <w:rFonts w:hint="cs"/>
          <w:sz w:val="24"/>
          <w:rtl/>
        </w:rPr>
        <w:t>בתי המשפט לענייני משפחה</w:t>
      </w:r>
      <w:bookmarkEnd w:id="647"/>
      <w:r w:rsidR="00AA70EF" w:rsidRPr="00F25744">
        <w:rPr>
          <w:rFonts w:hint="cs"/>
          <w:sz w:val="24"/>
          <w:rtl/>
        </w:rPr>
        <w:t xml:space="preserve"> </w:t>
      </w:r>
    </w:p>
    <w:tbl>
      <w:tblPr>
        <w:tblpPr w:rightFromText="85" w:vertAnchor="text" w:tblpXSpec="right" w:tblpY="1"/>
        <w:bidiVisual/>
        <w:tblW w:w="8711" w:type="dxa"/>
        <w:tblLayout w:type="fixed"/>
        <w:tblLook w:val="04A0" w:firstRow="1" w:lastRow="0" w:firstColumn="1" w:lastColumn="0" w:noHBand="0" w:noVBand="1"/>
      </w:tblPr>
      <w:tblGrid>
        <w:gridCol w:w="987"/>
        <w:gridCol w:w="2196"/>
        <w:gridCol w:w="141"/>
        <w:gridCol w:w="1134"/>
        <w:gridCol w:w="142"/>
        <w:gridCol w:w="1701"/>
        <w:gridCol w:w="142"/>
        <w:gridCol w:w="1417"/>
        <w:gridCol w:w="851"/>
      </w:tblGrid>
      <w:tr w:rsidR="00E0162E" w:rsidRPr="00BF3027" w14:paraId="37C095F3" w14:textId="77777777" w:rsidTr="007F0431">
        <w:trPr>
          <w:trHeight w:val="700"/>
        </w:trPr>
        <w:tc>
          <w:tcPr>
            <w:tcW w:w="987" w:type="dxa"/>
            <w:tcBorders>
              <w:bottom w:val="single" w:sz="4" w:space="0" w:color="auto"/>
            </w:tcBorders>
            <w:shd w:val="clear" w:color="auto" w:fill="auto"/>
            <w:vAlign w:val="center"/>
          </w:tcPr>
          <w:p w14:paraId="0928DAB0" w14:textId="77777777" w:rsidR="00B21D92" w:rsidRPr="00BF3027" w:rsidRDefault="00E25AE7" w:rsidP="007A525F">
            <w:pPr>
              <w:spacing w:after="0" w:line="240" w:lineRule="auto"/>
              <w:jc w:val="center"/>
              <w:rPr>
                <w:rFonts w:ascii="David" w:eastAsia="Times New Roman" w:hAnsi="David" w:cs="David"/>
                <w:b/>
                <w:bCs/>
                <w:color w:val="000000"/>
              </w:rPr>
            </w:pPr>
            <w:r w:rsidRPr="00BF3027">
              <w:rPr>
                <w:rFonts w:ascii="David" w:eastAsia="Times New Roman" w:hAnsi="David" w:cs="David"/>
                <w:b/>
                <w:bCs/>
                <w:color w:val="000000"/>
                <w:rtl/>
              </w:rPr>
              <w:t>ערכאה</w:t>
            </w:r>
          </w:p>
        </w:tc>
        <w:tc>
          <w:tcPr>
            <w:tcW w:w="2196" w:type="dxa"/>
            <w:tcBorders>
              <w:bottom w:val="single" w:sz="4" w:space="0" w:color="auto"/>
            </w:tcBorders>
            <w:shd w:val="clear" w:color="auto" w:fill="auto"/>
            <w:vAlign w:val="center"/>
          </w:tcPr>
          <w:p w14:paraId="7F5A458F" w14:textId="77777777" w:rsidR="00B21D92" w:rsidRPr="00BF3027" w:rsidRDefault="00E25AE7" w:rsidP="007A525F">
            <w:pPr>
              <w:spacing w:after="0" w:line="240" w:lineRule="auto"/>
              <w:jc w:val="center"/>
              <w:rPr>
                <w:rFonts w:ascii="David" w:eastAsia="Times New Roman" w:hAnsi="David" w:cs="David"/>
                <w:b/>
                <w:bCs/>
                <w:color w:val="000000"/>
                <w:rtl/>
              </w:rPr>
            </w:pPr>
            <w:r w:rsidRPr="00BF3027">
              <w:rPr>
                <w:rFonts w:ascii="David" w:eastAsia="Times New Roman" w:hAnsi="David" w:cs="David"/>
                <w:b/>
                <w:bCs/>
                <w:color w:val="000000"/>
                <w:rtl/>
              </w:rPr>
              <w:t>סוג תיק</w:t>
            </w:r>
          </w:p>
        </w:tc>
        <w:tc>
          <w:tcPr>
            <w:tcW w:w="1417" w:type="dxa"/>
            <w:gridSpan w:val="3"/>
            <w:tcBorders>
              <w:bottom w:val="single" w:sz="4" w:space="0" w:color="auto"/>
            </w:tcBorders>
            <w:vAlign w:val="center"/>
          </w:tcPr>
          <w:p w14:paraId="452B84EC" w14:textId="77777777" w:rsidR="00B21D92" w:rsidRPr="00BF3027" w:rsidRDefault="00E25AE7" w:rsidP="007A525F">
            <w:pPr>
              <w:spacing w:after="0" w:line="240" w:lineRule="auto"/>
              <w:jc w:val="center"/>
              <w:rPr>
                <w:rFonts w:ascii="David" w:eastAsia="Times New Roman" w:hAnsi="David" w:cs="David"/>
                <w:b/>
                <w:bCs/>
                <w:color w:val="000000"/>
                <w:rtl/>
              </w:rPr>
            </w:pPr>
            <w:r w:rsidRPr="00BF3027">
              <w:rPr>
                <w:rFonts w:ascii="David" w:eastAsia="Times New Roman" w:hAnsi="David" w:cs="David" w:hint="cs"/>
                <w:b/>
                <w:bCs/>
                <w:color w:val="000000"/>
                <w:rtl/>
              </w:rPr>
              <w:t>מספר תיקים שנסגרו ב-2019</w:t>
            </w:r>
          </w:p>
        </w:tc>
        <w:tc>
          <w:tcPr>
            <w:tcW w:w="1701" w:type="dxa"/>
            <w:tcBorders>
              <w:bottom w:val="single" w:sz="4" w:space="0" w:color="auto"/>
            </w:tcBorders>
            <w:shd w:val="clear" w:color="auto" w:fill="auto"/>
            <w:vAlign w:val="center"/>
          </w:tcPr>
          <w:p w14:paraId="319722E2" w14:textId="77777777" w:rsidR="00B21D92" w:rsidRPr="00BF3027" w:rsidRDefault="00E25AE7" w:rsidP="007A525F">
            <w:pPr>
              <w:spacing w:after="0" w:line="240" w:lineRule="auto"/>
              <w:jc w:val="center"/>
              <w:rPr>
                <w:rFonts w:ascii="David" w:eastAsia="Times New Roman" w:hAnsi="David" w:cs="David"/>
                <w:b/>
                <w:bCs/>
                <w:color w:val="000000"/>
                <w:rtl/>
              </w:rPr>
            </w:pPr>
            <w:r w:rsidRPr="00BF3027">
              <w:rPr>
                <w:rFonts w:ascii="David" w:eastAsia="Times New Roman" w:hAnsi="David" w:cs="David"/>
                <w:b/>
                <w:bCs/>
                <w:color w:val="000000"/>
                <w:rtl/>
              </w:rPr>
              <w:t>הזמן השיפוטי הממוצע לט</w:t>
            </w:r>
            <w:r w:rsidRPr="00BF3027">
              <w:rPr>
                <w:rFonts w:ascii="David" w:eastAsia="Times New Roman" w:hAnsi="David" w:cs="David" w:hint="cs"/>
                <w:b/>
                <w:bCs/>
                <w:color w:val="000000"/>
                <w:rtl/>
              </w:rPr>
              <w:t>י</w:t>
            </w:r>
            <w:r w:rsidRPr="00BF3027">
              <w:rPr>
                <w:rFonts w:ascii="David" w:eastAsia="Times New Roman" w:hAnsi="David" w:cs="David"/>
                <w:b/>
                <w:bCs/>
                <w:color w:val="000000"/>
                <w:rtl/>
              </w:rPr>
              <w:t>פ</w:t>
            </w:r>
            <w:r w:rsidRPr="00BF3027">
              <w:rPr>
                <w:rFonts w:ascii="David" w:eastAsia="Times New Roman" w:hAnsi="David" w:cs="David" w:hint="cs"/>
                <w:b/>
                <w:bCs/>
                <w:color w:val="000000"/>
                <w:rtl/>
              </w:rPr>
              <w:t>ו</w:t>
            </w:r>
            <w:r w:rsidRPr="00BF3027">
              <w:rPr>
                <w:rFonts w:ascii="David" w:eastAsia="Times New Roman" w:hAnsi="David" w:cs="David"/>
                <w:b/>
                <w:bCs/>
                <w:color w:val="000000"/>
                <w:rtl/>
              </w:rPr>
              <w:t>ל בתיק</w:t>
            </w:r>
          </w:p>
        </w:tc>
        <w:tc>
          <w:tcPr>
            <w:tcW w:w="1559" w:type="dxa"/>
            <w:gridSpan w:val="2"/>
            <w:tcBorders>
              <w:bottom w:val="single" w:sz="4" w:space="0" w:color="auto"/>
            </w:tcBorders>
            <w:vAlign w:val="center"/>
          </w:tcPr>
          <w:p w14:paraId="0E220714" w14:textId="77777777" w:rsidR="00B21D92" w:rsidRPr="00BF3027" w:rsidRDefault="00E25AE7" w:rsidP="007A525F">
            <w:pPr>
              <w:spacing w:after="0" w:line="240" w:lineRule="auto"/>
              <w:jc w:val="center"/>
              <w:rPr>
                <w:rFonts w:ascii="David" w:eastAsia="Times New Roman" w:hAnsi="David" w:cs="David"/>
                <w:b/>
                <w:bCs/>
                <w:color w:val="000000"/>
                <w:rtl/>
              </w:rPr>
            </w:pPr>
            <w:r w:rsidRPr="00BF3027">
              <w:rPr>
                <w:rFonts w:ascii="David" w:eastAsia="Times New Roman" w:hAnsi="David" w:cs="David"/>
                <w:b/>
                <w:bCs/>
                <w:color w:val="000000"/>
                <w:rtl/>
              </w:rPr>
              <w:t xml:space="preserve">הזמן השיפוטי </w:t>
            </w:r>
            <w:r w:rsidRPr="00BF3027">
              <w:rPr>
                <w:rFonts w:ascii="David" w:eastAsia="Times New Roman" w:hAnsi="David" w:cs="David" w:hint="cs"/>
                <w:b/>
                <w:bCs/>
                <w:color w:val="000000"/>
                <w:rtl/>
              </w:rPr>
              <w:t xml:space="preserve">הממוצע </w:t>
            </w:r>
            <w:r w:rsidRPr="00BF3027">
              <w:rPr>
                <w:rFonts w:ascii="David" w:eastAsia="Times New Roman" w:hAnsi="David" w:cs="David"/>
                <w:b/>
                <w:bCs/>
                <w:color w:val="000000"/>
                <w:rtl/>
              </w:rPr>
              <w:t xml:space="preserve">לפי </w:t>
            </w:r>
            <w:r w:rsidRPr="00BF3027">
              <w:rPr>
                <w:rFonts w:ascii="David" w:eastAsia="Times New Roman" w:hAnsi="David" w:cs="David" w:hint="cs"/>
                <w:b/>
                <w:bCs/>
                <w:color w:val="000000"/>
                <w:rtl/>
              </w:rPr>
              <w:t>ה</w:t>
            </w:r>
            <w:r w:rsidRPr="00BF3027">
              <w:rPr>
                <w:rFonts w:ascii="David" w:eastAsia="Times New Roman" w:hAnsi="David" w:cs="David"/>
                <w:b/>
                <w:bCs/>
                <w:color w:val="000000"/>
                <w:rtl/>
              </w:rPr>
              <w:t>מחקר ה</w:t>
            </w:r>
            <w:r w:rsidRPr="00BF3027">
              <w:rPr>
                <w:rFonts w:ascii="David" w:eastAsia="Times New Roman" w:hAnsi="David" w:cs="David" w:hint="cs"/>
                <w:b/>
                <w:bCs/>
                <w:color w:val="000000"/>
                <w:rtl/>
              </w:rPr>
              <w:t>קודם</w:t>
            </w:r>
          </w:p>
        </w:tc>
        <w:tc>
          <w:tcPr>
            <w:tcW w:w="851" w:type="dxa"/>
            <w:tcBorders>
              <w:bottom w:val="single" w:sz="4" w:space="0" w:color="auto"/>
            </w:tcBorders>
            <w:vAlign w:val="center"/>
          </w:tcPr>
          <w:p w14:paraId="4A764EF9" w14:textId="77777777" w:rsidR="00B21D92" w:rsidRPr="00BF3027" w:rsidRDefault="00E25AE7" w:rsidP="007A525F">
            <w:pPr>
              <w:spacing w:after="0" w:line="240" w:lineRule="auto"/>
              <w:jc w:val="center"/>
              <w:rPr>
                <w:rFonts w:ascii="David" w:eastAsia="Times New Roman" w:hAnsi="David" w:cs="David"/>
                <w:b/>
                <w:bCs/>
                <w:color w:val="000000"/>
                <w:rtl/>
              </w:rPr>
            </w:pPr>
            <w:r w:rsidRPr="00BF3027">
              <w:rPr>
                <w:rFonts w:ascii="David" w:eastAsia="Times New Roman" w:hAnsi="David" w:cs="David"/>
                <w:b/>
                <w:bCs/>
                <w:color w:val="000000"/>
                <w:rtl/>
              </w:rPr>
              <w:t xml:space="preserve">מגמת </w:t>
            </w:r>
            <w:r w:rsidRPr="00BF3027">
              <w:rPr>
                <w:rFonts w:ascii="David" w:eastAsia="Times New Roman" w:hAnsi="David" w:cs="David" w:hint="cs"/>
                <w:b/>
                <w:bCs/>
                <w:color w:val="000000"/>
                <w:rtl/>
              </w:rPr>
              <w:t>ה</w:t>
            </w:r>
            <w:r w:rsidRPr="00BF3027">
              <w:rPr>
                <w:rFonts w:ascii="David" w:eastAsia="Times New Roman" w:hAnsi="David" w:cs="David"/>
                <w:b/>
                <w:bCs/>
                <w:color w:val="000000"/>
                <w:rtl/>
              </w:rPr>
              <w:t>שינוי</w:t>
            </w:r>
          </w:p>
        </w:tc>
      </w:tr>
      <w:tr w:rsidR="00E0162E" w:rsidRPr="00BF3027" w14:paraId="73925D6E" w14:textId="77777777" w:rsidTr="007F0431">
        <w:trPr>
          <w:trHeight w:val="460"/>
        </w:trPr>
        <w:tc>
          <w:tcPr>
            <w:tcW w:w="987" w:type="dxa"/>
            <w:tcBorders>
              <w:top w:val="single" w:sz="4" w:space="0" w:color="auto"/>
            </w:tcBorders>
            <w:shd w:val="clear" w:color="auto" w:fill="D9D9D9"/>
            <w:noWrap/>
            <w:vAlign w:val="center"/>
          </w:tcPr>
          <w:p w14:paraId="72456FE7" w14:textId="77777777" w:rsidR="00B21D92" w:rsidRPr="00BF3027" w:rsidRDefault="00E25AE7" w:rsidP="007A525F">
            <w:pPr>
              <w:spacing w:after="0" w:line="240" w:lineRule="auto"/>
              <w:jc w:val="center"/>
              <w:rPr>
                <w:rFonts w:ascii="David" w:eastAsia="Times New Roman" w:hAnsi="David" w:cs="David"/>
              </w:rPr>
            </w:pPr>
            <w:r w:rsidRPr="00BF3027">
              <w:rPr>
                <w:rFonts w:ascii="David" w:eastAsia="Times New Roman" w:hAnsi="David" w:cs="David"/>
                <w:rtl/>
              </w:rPr>
              <w:t>משפחה</w:t>
            </w:r>
          </w:p>
        </w:tc>
        <w:tc>
          <w:tcPr>
            <w:tcW w:w="2337" w:type="dxa"/>
            <w:gridSpan w:val="2"/>
            <w:tcBorders>
              <w:top w:val="single" w:sz="4" w:space="0" w:color="auto"/>
            </w:tcBorders>
            <w:shd w:val="clear" w:color="auto" w:fill="D9D9D9"/>
            <w:vAlign w:val="center"/>
          </w:tcPr>
          <w:p w14:paraId="6CE2EEF2" w14:textId="77777777" w:rsidR="00B21D92" w:rsidRPr="00BF3027" w:rsidRDefault="00E25AE7" w:rsidP="007A525F">
            <w:pPr>
              <w:spacing w:after="0" w:line="240" w:lineRule="auto"/>
              <w:rPr>
                <w:rFonts w:ascii="David" w:eastAsia="Times New Roman" w:hAnsi="David" w:cs="David"/>
                <w:rtl/>
              </w:rPr>
            </w:pPr>
            <w:r w:rsidRPr="00BF3027">
              <w:rPr>
                <w:rFonts w:ascii="David" w:eastAsia="Times New Roman" w:hAnsi="David" w:cs="David"/>
                <w:rtl/>
              </w:rPr>
              <w:t>תיק נזקקות (תנ"ז)</w:t>
            </w:r>
          </w:p>
        </w:tc>
        <w:tc>
          <w:tcPr>
            <w:tcW w:w="1134" w:type="dxa"/>
            <w:tcBorders>
              <w:top w:val="single" w:sz="4" w:space="0" w:color="auto"/>
            </w:tcBorders>
            <w:shd w:val="clear" w:color="auto" w:fill="D9D9D9"/>
            <w:vAlign w:val="center"/>
          </w:tcPr>
          <w:p w14:paraId="58F5A7D5" w14:textId="77777777" w:rsidR="00B21D92" w:rsidRPr="007F0431" w:rsidRDefault="00E25AE7" w:rsidP="007A525F">
            <w:pPr>
              <w:spacing w:after="0" w:line="240" w:lineRule="auto"/>
              <w:jc w:val="center"/>
              <w:rPr>
                <w:rFonts w:asciiTheme="minorHAnsi" w:eastAsia="Times New Roman" w:hAnsiTheme="minorHAnsi" w:cs="David"/>
                <w:rtl/>
              </w:rPr>
            </w:pPr>
            <w:r w:rsidRPr="00BF3027">
              <w:rPr>
                <w:rFonts w:ascii="David" w:eastAsia="Times New Roman" w:hAnsi="David" w:cs="David"/>
              </w:rPr>
              <w:t>148</w:t>
            </w:r>
          </w:p>
        </w:tc>
        <w:tc>
          <w:tcPr>
            <w:tcW w:w="1985" w:type="dxa"/>
            <w:gridSpan w:val="3"/>
            <w:tcBorders>
              <w:top w:val="single" w:sz="4" w:space="0" w:color="auto"/>
            </w:tcBorders>
            <w:shd w:val="clear" w:color="auto" w:fill="D9D9D9"/>
            <w:noWrap/>
            <w:vAlign w:val="center"/>
          </w:tcPr>
          <w:p w14:paraId="63348233" w14:textId="77777777" w:rsidR="00B21D92" w:rsidRPr="00BF3027" w:rsidRDefault="00B616CB" w:rsidP="007A525F">
            <w:pPr>
              <w:spacing w:after="0" w:line="240" w:lineRule="auto"/>
              <w:jc w:val="center"/>
              <w:rPr>
                <w:rFonts w:ascii="David" w:eastAsia="Times New Roman" w:hAnsi="David" w:cs="David"/>
                <w:b/>
                <w:bCs/>
              </w:rPr>
            </w:pPr>
            <w:r w:rsidRPr="00BF3027">
              <w:rPr>
                <w:rFonts w:ascii="David" w:eastAsia="Times New Roman" w:hAnsi="David" w:cs="David"/>
                <w:b/>
                <w:bCs/>
              </w:rPr>
              <w:t>9</w:t>
            </w:r>
            <w:r w:rsidR="00E25AE7" w:rsidRPr="00BF3027">
              <w:rPr>
                <w:rFonts w:ascii="David" w:eastAsia="Times New Roman" w:hAnsi="David" w:cs="David"/>
                <w:b/>
                <w:bCs/>
              </w:rPr>
              <w:t>:0</w:t>
            </w:r>
            <w:r w:rsidRPr="00BF3027">
              <w:rPr>
                <w:rFonts w:ascii="David" w:eastAsia="Times New Roman" w:hAnsi="David" w:cs="David"/>
                <w:b/>
                <w:bCs/>
              </w:rPr>
              <w:t>5</w:t>
            </w:r>
          </w:p>
        </w:tc>
        <w:tc>
          <w:tcPr>
            <w:tcW w:w="1417" w:type="dxa"/>
            <w:tcBorders>
              <w:top w:val="single" w:sz="4" w:space="0" w:color="auto"/>
            </w:tcBorders>
            <w:shd w:val="clear" w:color="auto" w:fill="D9D9D9"/>
            <w:vAlign w:val="center"/>
          </w:tcPr>
          <w:p w14:paraId="7073C6FA" w14:textId="77777777" w:rsidR="00B21D92" w:rsidRPr="00BF3027" w:rsidRDefault="00E25AE7" w:rsidP="007A525F">
            <w:pPr>
              <w:spacing w:after="0" w:line="240" w:lineRule="auto"/>
              <w:jc w:val="center"/>
              <w:rPr>
                <w:rFonts w:ascii="David" w:eastAsia="Times New Roman" w:hAnsi="David" w:cs="David"/>
              </w:rPr>
            </w:pPr>
            <w:r w:rsidRPr="00BF3027">
              <w:rPr>
                <w:rFonts w:ascii="David" w:eastAsia="Times New Roman" w:hAnsi="David" w:cs="David"/>
              </w:rPr>
              <w:t>1:32</w:t>
            </w:r>
          </w:p>
        </w:tc>
        <w:tc>
          <w:tcPr>
            <w:tcW w:w="851" w:type="dxa"/>
            <w:tcBorders>
              <w:top w:val="single" w:sz="4" w:space="0" w:color="auto"/>
            </w:tcBorders>
            <w:shd w:val="clear" w:color="auto" w:fill="D9D9D9"/>
            <w:vAlign w:val="center"/>
          </w:tcPr>
          <w:p w14:paraId="24A5469B" w14:textId="77777777" w:rsidR="00B21D92" w:rsidRPr="00BF3027" w:rsidRDefault="00E25AE7" w:rsidP="007A525F">
            <w:pPr>
              <w:spacing w:after="0" w:line="240" w:lineRule="auto"/>
              <w:jc w:val="center"/>
              <w:rPr>
                <w:rFonts w:ascii="David" w:eastAsia="Times New Roman" w:hAnsi="David" w:cs="David"/>
              </w:rPr>
            </w:pPr>
            <w:r w:rsidRPr="00BF3027">
              <w:rPr>
                <w:rFonts w:ascii="David" w:eastAsia="Times New Roman" w:hAnsi="David" w:cs="David"/>
              </w:rPr>
              <w:t>+</w:t>
            </w:r>
            <w:r w:rsidR="00B616CB" w:rsidRPr="00BF3027">
              <w:rPr>
                <w:rFonts w:ascii="David" w:eastAsia="Times New Roman" w:hAnsi="David" w:cs="David"/>
              </w:rPr>
              <w:t>7</w:t>
            </w:r>
            <w:r w:rsidRPr="00BF3027">
              <w:rPr>
                <w:rFonts w:ascii="David" w:eastAsia="Times New Roman" w:hAnsi="David" w:cs="David"/>
              </w:rPr>
              <w:t>:3</w:t>
            </w:r>
            <w:r w:rsidR="00B616CB" w:rsidRPr="00BF3027">
              <w:rPr>
                <w:rFonts w:ascii="David" w:eastAsia="Times New Roman" w:hAnsi="David" w:cs="David"/>
              </w:rPr>
              <w:t>3</w:t>
            </w:r>
          </w:p>
        </w:tc>
      </w:tr>
      <w:tr w:rsidR="00E0162E" w:rsidRPr="00BF3027" w14:paraId="081D9848" w14:textId="77777777" w:rsidTr="007F0431">
        <w:trPr>
          <w:trHeight w:val="600"/>
        </w:trPr>
        <w:tc>
          <w:tcPr>
            <w:tcW w:w="987" w:type="dxa"/>
            <w:shd w:val="clear" w:color="auto" w:fill="auto"/>
            <w:noWrap/>
            <w:vAlign w:val="center"/>
          </w:tcPr>
          <w:p w14:paraId="51173CD8" w14:textId="77777777" w:rsidR="00B21D92" w:rsidRPr="00BF3027" w:rsidRDefault="00E25AE7" w:rsidP="007A525F">
            <w:pPr>
              <w:spacing w:after="0" w:line="240" w:lineRule="auto"/>
              <w:jc w:val="center"/>
              <w:rPr>
                <w:rFonts w:ascii="David" w:eastAsia="Times New Roman" w:hAnsi="David" w:cs="David"/>
                <w:rtl/>
              </w:rPr>
            </w:pPr>
            <w:r w:rsidRPr="00BF3027">
              <w:rPr>
                <w:rFonts w:ascii="David" w:eastAsia="Times New Roman" w:hAnsi="David" w:cs="David"/>
                <w:rtl/>
              </w:rPr>
              <w:t>משפחה</w:t>
            </w:r>
          </w:p>
        </w:tc>
        <w:tc>
          <w:tcPr>
            <w:tcW w:w="2337" w:type="dxa"/>
            <w:gridSpan w:val="2"/>
            <w:shd w:val="clear" w:color="auto" w:fill="auto"/>
            <w:vAlign w:val="center"/>
          </w:tcPr>
          <w:p w14:paraId="03861C4A" w14:textId="77777777" w:rsidR="00B21D92" w:rsidRPr="00BF3027" w:rsidRDefault="00E25AE7" w:rsidP="007A525F">
            <w:pPr>
              <w:spacing w:after="0" w:line="240" w:lineRule="auto"/>
              <w:rPr>
                <w:rFonts w:ascii="David" w:eastAsia="Times New Roman" w:hAnsi="David" w:cs="David"/>
                <w:rtl/>
              </w:rPr>
            </w:pPr>
            <w:r w:rsidRPr="00BF3027">
              <w:rPr>
                <w:rFonts w:ascii="David" w:eastAsia="Times New Roman" w:hAnsi="David" w:cs="David"/>
                <w:rtl/>
              </w:rPr>
              <w:t>תיק משפחה (תמ"ש)</w:t>
            </w:r>
          </w:p>
        </w:tc>
        <w:tc>
          <w:tcPr>
            <w:tcW w:w="1134" w:type="dxa"/>
            <w:shd w:val="clear" w:color="auto" w:fill="auto"/>
            <w:vAlign w:val="center"/>
          </w:tcPr>
          <w:p w14:paraId="4AF7F2FD" w14:textId="77777777" w:rsidR="00B21D92" w:rsidRPr="00BF3027" w:rsidRDefault="00E25AE7" w:rsidP="007A525F">
            <w:pPr>
              <w:spacing w:after="0" w:line="240" w:lineRule="auto"/>
              <w:jc w:val="center"/>
              <w:rPr>
                <w:rFonts w:ascii="David" w:eastAsia="Times New Roman" w:hAnsi="David" w:cs="David"/>
              </w:rPr>
            </w:pPr>
            <w:r w:rsidRPr="00BF3027">
              <w:rPr>
                <w:rFonts w:ascii="David" w:eastAsia="Times New Roman" w:hAnsi="David" w:cs="David"/>
                <w:rtl/>
              </w:rPr>
              <w:t>10,697</w:t>
            </w:r>
          </w:p>
        </w:tc>
        <w:tc>
          <w:tcPr>
            <w:tcW w:w="1985" w:type="dxa"/>
            <w:gridSpan w:val="3"/>
            <w:shd w:val="clear" w:color="auto" w:fill="auto"/>
            <w:noWrap/>
            <w:vAlign w:val="center"/>
          </w:tcPr>
          <w:p w14:paraId="25319EEA" w14:textId="77777777" w:rsidR="00B21D92" w:rsidRPr="00BF3027" w:rsidRDefault="00B616CB" w:rsidP="007A525F">
            <w:pPr>
              <w:spacing w:after="0" w:line="240" w:lineRule="auto"/>
              <w:jc w:val="center"/>
              <w:rPr>
                <w:rFonts w:ascii="David" w:eastAsia="Times New Roman" w:hAnsi="David" w:cs="David"/>
                <w:b/>
                <w:bCs/>
              </w:rPr>
            </w:pPr>
            <w:r w:rsidRPr="00BF3027">
              <w:rPr>
                <w:rFonts w:ascii="David" w:eastAsia="Times New Roman" w:hAnsi="David" w:cs="David"/>
                <w:b/>
                <w:bCs/>
              </w:rPr>
              <w:t>7</w:t>
            </w:r>
            <w:r w:rsidR="00E25AE7" w:rsidRPr="00BF3027">
              <w:rPr>
                <w:rFonts w:ascii="David" w:eastAsia="Times New Roman" w:hAnsi="David" w:cs="David"/>
                <w:b/>
                <w:bCs/>
              </w:rPr>
              <w:t>:</w:t>
            </w:r>
            <w:r w:rsidRPr="00BF3027">
              <w:rPr>
                <w:rFonts w:ascii="David" w:eastAsia="Times New Roman" w:hAnsi="David" w:cs="David"/>
                <w:b/>
                <w:bCs/>
              </w:rPr>
              <w:t>47</w:t>
            </w:r>
          </w:p>
        </w:tc>
        <w:tc>
          <w:tcPr>
            <w:tcW w:w="1417" w:type="dxa"/>
            <w:shd w:val="clear" w:color="auto" w:fill="auto"/>
            <w:vAlign w:val="center"/>
          </w:tcPr>
          <w:p w14:paraId="7BAA4A06" w14:textId="77777777" w:rsidR="00B21D92" w:rsidRPr="00BF3027" w:rsidRDefault="00E25AE7" w:rsidP="007A525F">
            <w:pPr>
              <w:spacing w:after="0" w:line="240" w:lineRule="auto"/>
              <w:jc w:val="center"/>
              <w:rPr>
                <w:rFonts w:ascii="David" w:eastAsia="Times New Roman" w:hAnsi="David" w:cs="David"/>
              </w:rPr>
            </w:pPr>
            <w:r w:rsidRPr="00BF3027">
              <w:rPr>
                <w:rFonts w:ascii="David" w:eastAsia="Times New Roman" w:hAnsi="David" w:cs="David"/>
              </w:rPr>
              <w:t>4:31</w:t>
            </w:r>
          </w:p>
        </w:tc>
        <w:tc>
          <w:tcPr>
            <w:tcW w:w="851" w:type="dxa"/>
            <w:shd w:val="clear" w:color="auto" w:fill="auto"/>
            <w:vAlign w:val="center"/>
          </w:tcPr>
          <w:p w14:paraId="4EE6D246" w14:textId="77777777" w:rsidR="00B21D92" w:rsidRPr="00BF3027" w:rsidRDefault="00E25AE7" w:rsidP="007A525F">
            <w:pPr>
              <w:spacing w:after="0" w:line="240" w:lineRule="auto"/>
              <w:jc w:val="center"/>
              <w:rPr>
                <w:rFonts w:ascii="David" w:eastAsia="Times New Roman" w:hAnsi="David" w:cs="David"/>
              </w:rPr>
            </w:pPr>
            <w:r w:rsidRPr="00BF3027">
              <w:rPr>
                <w:rFonts w:ascii="David" w:eastAsia="Times New Roman" w:hAnsi="David" w:cs="David"/>
              </w:rPr>
              <w:t>+</w:t>
            </w:r>
            <w:r w:rsidR="00B616CB" w:rsidRPr="00BF3027">
              <w:rPr>
                <w:rFonts w:ascii="David" w:eastAsia="Times New Roman" w:hAnsi="David" w:cs="David"/>
              </w:rPr>
              <w:t>3:16</w:t>
            </w:r>
          </w:p>
        </w:tc>
      </w:tr>
      <w:tr w:rsidR="00E0162E" w:rsidRPr="00BF3027" w14:paraId="2FEA7BAA" w14:textId="77777777" w:rsidTr="007F0431">
        <w:trPr>
          <w:trHeight w:val="600"/>
        </w:trPr>
        <w:tc>
          <w:tcPr>
            <w:tcW w:w="987" w:type="dxa"/>
            <w:shd w:val="clear" w:color="auto" w:fill="D9D9D9"/>
            <w:noWrap/>
            <w:vAlign w:val="center"/>
          </w:tcPr>
          <w:p w14:paraId="7267B541" w14:textId="77777777" w:rsidR="00C76F72" w:rsidRPr="00BF3027" w:rsidRDefault="00E25AE7" w:rsidP="007A525F">
            <w:pPr>
              <w:spacing w:after="0" w:line="240" w:lineRule="auto"/>
              <w:jc w:val="center"/>
              <w:rPr>
                <w:rFonts w:ascii="David" w:eastAsia="Times New Roman" w:hAnsi="David" w:cs="David"/>
                <w:rtl/>
              </w:rPr>
            </w:pPr>
            <w:r w:rsidRPr="00BF3027">
              <w:rPr>
                <w:rFonts w:ascii="David" w:eastAsia="Times New Roman" w:hAnsi="David" w:cs="David"/>
                <w:rtl/>
              </w:rPr>
              <w:t>משפחה</w:t>
            </w:r>
          </w:p>
        </w:tc>
        <w:tc>
          <w:tcPr>
            <w:tcW w:w="2337" w:type="dxa"/>
            <w:gridSpan w:val="2"/>
            <w:shd w:val="clear" w:color="auto" w:fill="D9D9D9"/>
            <w:vAlign w:val="center"/>
          </w:tcPr>
          <w:p w14:paraId="0FA17A2C" w14:textId="77777777" w:rsidR="00C76F72" w:rsidRPr="00BF3027" w:rsidRDefault="00E25AE7" w:rsidP="007A525F">
            <w:pPr>
              <w:spacing w:after="0" w:line="240" w:lineRule="auto"/>
              <w:rPr>
                <w:rFonts w:ascii="David" w:eastAsia="Times New Roman" w:hAnsi="David" w:cs="David"/>
                <w:rtl/>
              </w:rPr>
            </w:pPr>
            <w:r w:rsidRPr="00BF3027">
              <w:rPr>
                <w:rFonts w:ascii="David" w:eastAsia="Times New Roman" w:hAnsi="David" w:cs="David"/>
                <w:rtl/>
              </w:rPr>
              <w:t>תיק אימוץ (אמ"ץ)</w:t>
            </w:r>
            <w:r w:rsidRPr="00BF3027">
              <w:rPr>
                <w:rStyle w:val="a6"/>
                <w:rFonts w:ascii="David" w:eastAsia="Times New Roman" w:hAnsi="David" w:cs="David"/>
                <w:rtl/>
              </w:rPr>
              <w:footnoteReference w:id="30"/>
            </w:r>
          </w:p>
        </w:tc>
        <w:tc>
          <w:tcPr>
            <w:tcW w:w="1134" w:type="dxa"/>
            <w:shd w:val="clear" w:color="auto" w:fill="D9D9D9"/>
            <w:vAlign w:val="center"/>
          </w:tcPr>
          <w:p w14:paraId="40D8B1B1" w14:textId="77777777" w:rsidR="00C76F72" w:rsidRPr="00BF3027" w:rsidRDefault="00E25AE7" w:rsidP="007A525F">
            <w:pPr>
              <w:spacing w:after="0" w:line="240" w:lineRule="auto"/>
              <w:jc w:val="center"/>
              <w:rPr>
                <w:rFonts w:ascii="David" w:eastAsia="Times New Roman" w:hAnsi="David" w:cs="David"/>
                <w:rtl/>
              </w:rPr>
            </w:pPr>
            <w:r w:rsidRPr="00BF3027">
              <w:rPr>
                <w:rFonts w:ascii="David" w:eastAsia="Times New Roman" w:hAnsi="David" w:cs="David"/>
              </w:rPr>
              <w:t>486</w:t>
            </w:r>
          </w:p>
        </w:tc>
        <w:tc>
          <w:tcPr>
            <w:tcW w:w="1985" w:type="dxa"/>
            <w:gridSpan w:val="3"/>
            <w:shd w:val="clear" w:color="auto" w:fill="D9D9D9"/>
            <w:noWrap/>
            <w:vAlign w:val="center"/>
          </w:tcPr>
          <w:p w14:paraId="5425A69F" w14:textId="77777777" w:rsidR="00C76F72" w:rsidRPr="00BF3027" w:rsidRDefault="00E25AE7" w:rsidP="007A525F">
            <w:pPr>
              <w:spacing w:after="0" w:line="240" w:lineRule="auto"/>
              <w:jc w:val="center"/>
              <w:rPr>
                <w:rFonts w:ascii="David" w:eastAsia="Times New Roman" w:hAnsi="David" w:cs="David"/>
                <w:b/>
                <w:bCs/>
                <w:rtl/>
              </w:rPr>
            </w:pPr>
            <w:r w:rsidRPr="00BF3027">
              <w:rPr>
                <w:rFonts w:ascii="David" w:eastAsia="Times New Roman" w:hAnsi="David" w:cs="David" w:hint="cs"/>
                <w:b/>
                <w:bCs/>
                <w:rtl/>
              </w:rPr>
              <w:t>6:2</w:t>
            </w:r>
            <w:r w:rsidR="00B616CB" w:rsidRPr="00BF3027">
              <w:rPr>
                <w:rFonts w:ascii="David" w:eastAsia="Times New Roman" w:hAnsi="David" w:cs="David" w:hint="cs"/>
                <w:b/>
                <w:bCs/>
                <w:rtl/>
              </w:rPr>
              <w:t>5</w:t>
            </w:r>
          </w:p>
        </w:tc>
        <w:tc>
          <w:tcPr>
            <w:tcW w:w="1417" w:type="dxa"/>
            <w:shd w:val="clear" w:color="auto" w:fill="D9D9D9"/>
            <w:vAlign w:val="center"/>
          </w:tcPr>
          <w:p w14:paraId="4375FB00" w14:textId="77777777" w:rsidR="00C76F72" w:rsidRPr="00BF3027" w:rsidRDefault="00E25AE7" w:rsidP="007A525F">
            <w:pPr>
              <w:spacing w:after="0" w:line="240" w:lineRule="auto"/>
              <w:jc w:val="center"/>
              <w:rPr>
                <w:rFonts w:ascii="David" w:eastAsia="Times New Roman" w:hAnsi="David" w:cs="David"/>
              </w:rPr>
            </w:pPr>
            <w:r w:rsidRPr="00BF3027">
              <w:rPr>
                <w:rFonts w:ascii="David" w:eastAsia="Times New Roman" w:hAnsi="David" w:cs="David"/>
              </w:rPr>
              <w:t>2:51</w:t>
            </w:r>
          </w:p>
        </w:tc>
        <w:tc>
          <w:tcPr>
            <w:tcW w:w="851" w:type="dxa"/>
            <w:shd w:val="clear" w:color="auto" w:fill="D9D9D9"/>
            <w:vAlign w:val="center"/>
          </w:tcPr>
          <w:p w14:paraId="202B15A7" w14:textId="77777777" w:rsidR="00C76F72" w:rsidRPr="00BF3027" w:rsidRDefault="00E25AE7" w:rsidP="007A525F">
            <w:pPr>
              <w:spacing w:after="0" w:line="240" w:lineRule="auto"/>
              <w:jc w:val="center"/>
              <w:rPr>
                <w:rFonts w:ascii="David" w:eastAsia="Times New Roman" w:hAnsi="David" w:cs="David"/>
              </w:rPr>
            </w:pPr>
            <w:r w:rsidRPr="00BF3027">
              <w:rPr>
                <w:rFonts w:ascii="David" w:eastAsia="Times New Roman" w:hAnsi="David" w:cs="David"/>
              </w:rPr>
              <w:t>+3:3</w:t>
            </w:r>
            <w:r w:rsidR="00B616CB" w:rsidRPr="00BF3027">
              <w:rPr>
                <w:rFonts w:ascii="David" w:eastAsia="Times New Roman" w:hAnsi="David" w:cs="David"/>
              </w:rPr>
              <w:t>4</w:t>
            </w:r>
          </w:p>
        </w:tc>
      </w:tr>
      <w:tr w:rsidR="00E0162E" w:rsidRPr="00BF3027" w14:paraId="5A5D3B11" w14:textId="77777777" w:rsidTr="007F0431">
        <w:trPr>
          <w:trHeight w:val="600"/>
        </w:trPr>
        <w:tc>
          <w:tcPr>
            <w:tcW w:w="987" w:type="dxa"/>
            <w:shd w:val="clear" w:color="auto" w:fill="auto"/>
            <w:noWrap/>
            <w:vAlign w:val="center"/>
          </w:tcPr>
          <w:p w14:paraId="5196F3FC" w14:textId="77777777" w:rsidR="00C76F72" w:rsidRPr="00BF3027" w:rsidRDefault="00E25AE7" w:rsidP="007A525F">
            <w:pPr>
              <w:spacing w:after="0" w:line="240" w:lineRule="auto"/>
              <w:jc w:val="center"/>
              <w:rPr>
                <w:rFonts w:ascii="David" w:eastAsia="Times New Roman" w:hAnsi="David" w:cs="David"/>
                <w:rtl/>
              </w:rPr>
            </w:pPr>
            <w:r w:rsidRPr="00BF3027">
              <w:rPr>
                <w:rFonts w:ascii="David" w:eastAsia="Times New Roman" w:hAnsi="David" w:cs="David"/>
                <w:rtl/>
              </w:rPr>
              <w:t>משפחה</w:t>
            </w:r>
          </w:p>
        </w:tc>
        <w:tc>
          <w:tcPr>
            <w:tcW w:w="2337" w:type="dxa"/>
            <w:gridSpan w:val="2"/>
            <w:shd w:val="clear" w:color="auto" w:fill="auto"/>
            <w:vAlign w:val="center"/>
          </w:tcPr>
          <w:p w14:paraId="271AF279" w14:textId="77777777" w:rsidR="00C76F72" w:rsidRPr="00BF3027" w:rsidRDefault="00E25AE7" w:rsidP="007A525F">
            <w:pPr>
              <w:spacing w:after="0" w:line="240" w:lineRule="auto"/>
              <w:rPr>
                <w:rFonts w:ascii="David" w:eastAsia="Times New Roman" w:hAnsi="David" w:cs="David"/>
                <w:rtl/>
              </w:rPr>
            </w:pPr>
            <w:r w:rsidRPr="00BF3027">
              <w:rPr>
                <w:rFonts w:ascii="David" w:eastAsia="Times New Roman" w:hAnsi="David" w:cs="David"/>
                <w:rtl/>
              </w:rPr>
              <w:t>תביעה לאחר הסדר התדיינויות במשפחה (תלה"מ)</w:t>
            </w:r>
          </w:p>
        </w:tc>
        <w:tc>
          <w:tcPr>
            <w:tcW w:w="1134" w:type="dxa"/>
            <w:vAlign w:val="center"/>
          </w:tcPr>
          <w:p w14:paraId="4FD4E353" w14:textId="77777777" w:rsidR="00C76F72" w:rsidRPr="00BF3027" w:rsidRDefault="00E25AE7" w:rsidP="007A525F">
            <w:pPr>
              <w:spacing w:after="0" w:line="240" w:lineRule="auto"/>
              <w:jc w:val="center"/>
              <w:rPr>
                <w:rFonts w:ascii="David" w:eastAsia="Times New Roman" w:hAnsi="David" w:cs="David"/>
                <w:rtl/>
              </w:rPr>
            </w:pPr>
            <w:r w:rsidRPr="00BF3027">
              <w:rPr>
                <w:rFonts w:ascii="David" w:eastAsia="Times New Roman" w:hAnsi="David" w:cs="David"/>
                <w:rtl/>
              </w:rPr>
              <w:t>13,706</w:t>
            </w:r>
          </w:p>
        </w:tc>
        <w:tc>
          <w:tcPr>
            <w:tcW w:w="1985" w:type="dxa"/>
            <w:gridSpan w:val="3"/>
            <w:shd w:val="clear" w:color="auto" w:fill="auto"/>
            <w:noWrap/>
            <w:vAlign w:val="center"/>
          </w:tcPr>
          <w:p w14:paraId="3521B90D" w14:textId="77777777" w:rsidR="00C76F72" w:rsidRPr="00BF3027" w:rsidRDefault="00B616CB" w:rsidP="007A525F">
            <w:pPr>
              <w:spacing w:after="0" w:line="240" w:lineRule="auto"/>
              <w:jc w:val="center"/>
              <w:rPr>
                <w:rFonts w:ascii="David" w:eastAsia="Times New Roman" w:hAnsi="David" w:cs="David"/>
                <w:b/>
                <w:bCs/>
              </w:rPr>
            </w:pPr>
            <w:r w:rsidRPr="00BF3027">
              <w:rPr>
                <w:rFonts w:ascii="David" w:eastAsia="Times New Roman" w:hAnsi="David" w:cs="David"/>
                <w:b/>
                <w:bCs/>
              </w:rPr>
              <w:t>4:51</w:t>
            </w:r>
          </w:p>
        </w:tc>
        <w:tc>
          <w:tcPr>
            <w:tcW w:w="1417" w:type="dxa"/>
            <w:shd w:val="clear" w:color="auto" w:fill="auto"/>
            <w:vAlign w:val="center"/>
          </w:tcPr>
          <w:p w14:paraId="69C4EFA7" w14:textId="77777777" w:rsidR="00C76F72" w:rsidRPr="00BF3027" w:rsidRDefault="00E25AE7" w:rsidP="007A525F">
            <w:pPr>
              <w:spacing w:after="0" w:line="240" w:lineRule="auto"/>
              <w:jc w:val="center"/>
              <w:rPr>
                <w:rFonts w:ascii="David" w:eastAsia="Times New Roman" w:hAnsi="David" w:cs="David"/>
                <w:rtl/>
              </w:rPr>
            </w:pPr>
            <w:r w:rsidRPr="00BF3027">
              <w:rPr>
                <w:rFonts w:ascii="David" w:eastAsia="Times New Roman" w:hAnsi="David" w:cs="David" w:hint="cs"/>
                <w:rtl/>
              </w:rPr>
              <w:t>-</w:t>
            </w:r>
          </w:p>
        </w:tc>
        <w:tc>
          <w:tcPr>
            <w:tcW w:w="851" w:type="dxa"/>
            <w:shd w:val="clear" w:color="auto" w:fill="auto"/>
            <w:vAlign w:val="center"/>
          </w:tcPr>
          <w:p w14:paraId="432AC1E5" w14:textId="77777777" w:rsidR="00C76F72" w:rsidRPr="00BF3027" w:rsidRDefault="00E25AE7" w:rsidP="007A525F">
            <w:pPr>
              <w:spacing w:after="0" w:line="240" w:lineRule="auto"/>
              <w:jc w:val="center"/>
              <w:rPr>
                <w:rFonts w:ascii="David" w:eastAsia="Times New Roman" w:hAnsi="David" w:cs="David"/>
              </w:rPr>
            </w:pPr>
            <w:r w:rsidRPr="00BF3027">
              <w:rPr>
                <w:rFonts w:ascii="David" w:eastAsia="Times New Roman" w:hAnsi="David" w:cs="David" w:hint="cs"/>
                <w:rtl/>
              </w:rPr>
              <w:t>-</w:t>
            </w:r>
          </w:p>
        </w:tc>
      </w:tr>
      <w:tr w:rsidR="00E0162E" w:rsidRPr="00BF3027" w14:paraId="7BC68625" w14:textId="77777777" w:rsidTr="007F0431">
        <w:trPr>
          <w:trHeight w:val="600"/>
        </w:trPr>
        <w:tc>
          <w:tcPr>
            <w:tcW w:w="987" w:type="dxa"/>
            <w:shd w:val="clear" w:color="auto" w:fill="D9D9D9"/>
            <w:noWrap/>
            <w:vAlign w:val="center"/>
          </w:tcPr>
          <w:p w14:paraId="45AFE2F4" w14:textId="77777777" w:rsidR="00825532" w:rsidRPr="00BF3027" w:rsidRDefault="00E25AE7" w:rsidP="007A525F">
            <w:pPr>
              <w:spacing w:after="0" w:line="240" w:lineRule="auto"/>
              <w:jc w:val="center"/>
              <w:rPr>
                <w:rFonts w:ascii="David" w:eastAsia="Times New Roman" w:hAnsi="David" w:cs="David"/>
                <w:rtl/>
              </w:rPr>
            </w:pPr>
            <w:r w:rsidRPr="00BF3027">
              <w:rPr>
                <w:rFonts w:ascii="David" w:eastAsia="Times New Roman" w:hAnsi="David" w:cs="David"/>
                <w:rtl/>
              </w:rPr>
              <w:t>משפחה</w:t>
            </w:r>
          </w:p>
        </w:tc>
        <w:tc>
          <w:tcPr>
            <w:tcW w:w="2337" w:type="dxa"/>
            <w:gridSpan w:val="2"/>
            <w:shd w:val="clear" w:color="auto" w:fill="D9D9D9"/>
            <w:vAlign w:val="center"/>
          </w:tcPr>
          <w:p w14:paraId="07A27413" w14:textId="77777777" w:rsidR="00825532" w:rsidRPr="00BF3027" w:rsidRDefault="00E25AE7" w:rsidP="007A525F">
            <w:pPr>
              <w:spacing w:after="0" w:line="240" w:lineRule="auto"/>
              <w:rPr>
                <w:rFonts w:ascii="David" w:eastAsia="Times New Roman" w:hAnsi="David" w:cs="David"/>
                <w:rtl/>
              </w:rPr>
            </w:pPr>
            <w:r w:rsidRPr="00BF3027">
              <w:rPr>
                <w:rFonts w:ascii="David" w:eastAsia="Times New Roman" w:hAnsi="David" w:cs="David"/>
                <w:rtl/>
              </w:rPr>
              <w:t>תיק עזבונות (ת"ע)</w:t>
            </w:r>
          </w:p>
        </w:tc>
        <w:tc>
          <w:tcPr>
            <w:tcW w:w="1134" w:type="dxa"/>
            <w:shd w:val="clear" w:color="auto" w:fill="D9D9D9"/>
            <w:vAlign w:val="center"/>
          </w:tcPr>
          <w:p w14:paraId="7E4BB0AD" w14:textId="77777777" w:rsidR="00825532" w:rsidRPr="00BF3027" w:rsidRDefault="00E25AE7" w:rsidP="007A525F">
            <w:pPr>
              <w:spacing w:after="0" w:line="240" w:lineRule="auto"/>
              <w:jc w:val="center"/>
              <w:rPr>
                <w:rFonts w:ascii="David" w:eastAsia="Times New Roman" w:hAnsi="David" w:cs="David"/>
              </w:rPr>
            </w:pPr>
            <w:r w:rsidRPr="00BF3027">
              <w:rPr>
                <w:rFonts w:ascii="David" w:eastAsia="Times New Roman" w:hAnsi="David" w:cs="David"/>
              </w:rPr>
              <w:t>7,720</w:t>
            </w:r>
          </w:p>
        </w:tc>
        <w:tc>
          <w:tcPr>
            <w:tcW w:w="1985" w:type="dxa"/>
            <w:gridSpan w:val="3"/>
            <w:shd w:val="clear" w:color="auto" w:fill="D9D9D9"/>
            <w:noWrap/>
            <w:vAlign w:val="center"/>
          </w:tcPr>
          <w:p w14:paraId="38C5CA65" w14:textId="77777777" w:rsidR="00825532" w:rsidRPr="00BF3027" w:rsidRDefault="00B616CB" w:rsidP="007A525F">
            <w:pPr>
              <w:spacing w:after="0" w:line="240" w:lineRule="auto"/>
              <w:jc w:val="center"/>
              <w:rPr>
                <w:rFonts w:ascii="David" w:eastAsia="Times New Roman" w:hAnsi="David" w:cs="David"/>
                <w:b/>
                <w:bCs/>
                <w:rtl/>
              </w:rPr>
            </w:pPr>
            <w:r w:rsidRPr="00BF3027">
              <w:rPr>
                <w:rFonts w:ascii="David" w:eastAsia="Times New Roman" w:hAnsi="David" w:cs="David"/>
                <w:b/>
                <w:bCs/>
              </w:rPr>
              <w:t>4</w:t>
            </w:r>
            <w:r w:rsidR="00E25AE7" w:rsidRPr="00BF3027">
              <w:rPr>
                <w:rFonts w:ascii="David" w:eastAsia="Times New Roman" w:hAnsi="David" w:cs="David"/>
                <w:b/>
                <w:bCs/>
              </w:rPr>
              <w:t>:</w:t>
            </w:r>
            <w:r w:rsidRPr="00BF3027">
              <w:rPr>
                <w:rFonts w:ascii="David" w:eastAsia="Times New Roman" w:hAnsi="David" w:cs="David"/>
                <w:b/>
                <w:bCs/>
              </w:rPr>
              <w:t>07</w:t>
            </w:r>
          </w:p>
        </w:tc>
        <w:tc>
          <w:tcPr>
            <w:tcW w:w="1417" w:type="dxa"/>
            <w:shd w:val="clear" w:color="auto" w:fill="D9D9D9"/>
            <w:vAlign w:val="center"/>
          </w:tcPr>
          <w:p w14:paraId="16F24DC0" w14:textId="77777777" w:rsidR="00825532" w:rsidRPr="00BF3027" w:rsidRDefault="00E25AE7" w:rsidP="007A525F">
            <w:pPr>
              <w:spacing w:after="0" w:line="240" w:lineRule="auto"/>
              <w:jc w:val="center"/>
              <w:rPr>
                <w:rFonts w:ascii="David" w:eastAsia="Times New Roman" w:hAnsi="David" w:cs="David"/>
              </w:rPr>
            </w:pPr>
            <w:r w:rsidRPr="00BF3027">
              <w:rPr>
                <w:rFonts w:ascii="David" w:eastAsia="Times New Roman" w:hAnsi="David" w:cs="David"/>
              </w:rPr>
              <w:t>2:22</w:t>
            </w:r>
          </w:p>
        </w:tc>
        <w:tc>
          <w:tcPr>
            <w:tcW w:w="851" w:type="dxa"/>
            <w:shd w:val="clear" w:color="auto" w:fill="D9D9D9"/>
            <w:vAlign w:val="center"/>
          </w:tcPr>
          <w:p w14:paraId="689D760C" w14:textId="77777777" w:rsidR="00825532" w:rsidRPr="00BF3027" w:rsidRDefault="00E25AE7" w:rsidP="007A525F">
            <w:pPr>
              <w:spacing w:after="0" w:line="240" w:lineRule="auto"/>
              <w:jc w:val="center"/>
              <w:rPr>
                <w:rFonts w:ascii="David" w:eastAsia="Times New Roman" w:hAnsi="David" w:cs="David"/>
              </w:rPr>
            </w:pPr>
            <w:r w:rsidRPr="00BF3027">
              <w:rPr>
                <w:rFonts w:ascii="David" w:eastAsia="Times New Roman" w:hAnsi="David" w:cs="David"/>
              </w:rPr>
              <w:t>+1:</w:t>
            </w:r>
            <w:r w:rsidR="00B616CB" w:rsidRPr="00BF3027">
              <w:rPr>
                <w:rFonts w:ascii="David" w:eastAsia="Times New Roman" w:hAnsi="David" w:cs="David"/>
              </w:rPr>
              <w:t>45</w:t>
            </w:r>
          </w:p>
        </w:tc>
      </w:tr>
      <w:tr w:rsidR="00CC7D9B" w:rsidRPr="00BF3027" w14:paraId="281C5298" w14:textId="77777777" w:rsidTr="007F0431">
        <w:trPr>
          <w:trHeight w:val="600"/>
        </w:trPr>
        <w:tc>
          <w:tcPr>
            <w:tcW w:w="987" w:type="dxa"/>
            <w:shd w:val="clear" w:color="auto" w:fill="auto"/>
            <w:noWrap/>
            <w:vAlign w:val="center"/>
          </w:tcPr>
          <w:p w14:paraId="0A1526D7" w14:textId="77777777" w:rsidR="00CC7D9B" w:rsidRPr="00BF3027" w:rsidRDefault="00CC7D9B" w:rsidP="007A525F">
            <w:pPr>
              <w:spacing w:after="0" w:line="240" w:lineRule="auto"/>
              <w:jc w:val="center"/>
              <w:rPr>
                <w:rFonts w:ascii="David" w:eastAsia="Times New Roman" w:hAnsi="David" w:cs="David"/>
                <w:rtl/>
              </w:rPr>
            </w:pPr>
            <w:r w:rsidRPr="00BF3027">
              <w:rPr>
                <w:rFonts w:ascii="David" w:eastAsia="Times New Roman" w:hAnsi="David" w:cs="David"/>
                <w:rtl/>
              </w:rPr>
              <w:t>משפחה</w:t>
            </w:r>
          </w:p>
        </w:tc>
        <w:tc>
          <w:tcPr>
            <w:tcW w:w="2337" w:type="dxa"/>
            <w:gridSpan w:val="2"/>
            <w:shd w:val="clear" w:color="auto" w:fill="auto"/>
            <w:vAlign w:val="center"/>
          </w:tcPr>
          <w:p w14:paraId="687FC112" w14:textId="77777777" w:rsidR="00CC7D9B" w:rsidRPr="00BF3027" w:rsidRDefault="00CC7D9B" w:rsidP="007A525F">
            <w:pPr>
              <w:spacing w:after="0" w:line="240" w:lineRule="auto"/>
              <w:rPr>
                <w:rFonts w:ascii="David" w:eastAsia="Times New Roman" w:hAnsi="David" w:cs="David"/>
                <w:rtl/>
              </w:rPr>
            </w:pPr>
            <w:r w:rsidRPr="00BF3027">
              <w:rPr>
                <w:rFonts w:ascii="David" w:eastAsia="Times New Roman" w:hAnsi="David" w:cs="David"/>
                <w:rtl/>
              </w:rPr>
              <w:t>היתר נישואין (ה"נ)</w:t>
            </w:r>
            <w:r w:rsidRPr="00BF3027">
              <w:rPr>
                <w:rFonts w:ascii="David" w:eastAsia="Times New Roman" w:hAnsi="David" w:cs="David" w:hint="cs"/>
                <w:rtl/>
              </w:rPr>
              <w:t>*</w:t>
            </w:r>
            <w:r w:rsidRPr="00BF3027">
              <w:rPr>
                <w:rStyle w:val="a6"/>
                <w:rFonts w:ascii="David" w:eastAsia="Times New Roman" w:hAnsi="David" w:cs="David"/>
                <w:rtl/>
              </w:rPr>
              <w:footnoteReference w:id="31"/>
            </w:r>
          </w:p>
        </w:tc>
        <w:tc>
          <w:tcPr>
            <w:tcW w:w="1134" w:type="dxa"/>
            <w:shd w:val="clear" w:color="auto" w:fill="auto"/>
            <w:vAlign w:val="center"/>
          </w:tcPr>
          <w:p w14:paraId="081ECDDF" w14:textId="77777777" w:rsidR="00CC7D9B" w:rsidRPr="00BF3027" w:rsidRDefault="00CC7D9B" w:rsidP="007A525F">
            <w:pPr>
              <w:spacing w:after="0" w:line="240" w:lineRule="auto"/>
              <w:jc w:val="center"/>
              <w:rPr>
                <w:rFonts w:ascii="David" w:eastAsia="Times New Roman" w:hAnsi="David" w:cs="David"/>
              </w:rPr>
            </w:pPr>
            <w:r w:rsidRPr="00BF3027">
              <w:rPr>
                <w:rFonts w:ascii="David" w:eastAsia="Times New Roman" w:hAnsi="David" w:cs="David"/>
              </w:rPr>
              <w:t>37</w:t>
            </w:r>
          </w:p>
        </w:tc>
        <w:tc>
          <w:tcPr>
            <w:tcW w:w="1985" w:type="dxa"/>
            <w:gridSpan w:val="3"/>
            <w:shd w:val="clear" w:color="auto" w:fill="auto"/>
            <w:noWrap/>
            <w:vAlign w:val="center"/>
          </w:tcPr>
          <w:p w14:paraId="20CCA0EE" w14:textId="77777777" w:rsidR="00CC7D9B" w:rsidRPr="00BF3027" w:rsidRDefault="00CC7D9B" w:rsidP="007A525F">
            <w:pPr>
              <w:spacing w:after="0" w:line="240" w:lineRule="auto"/>
              <w:jc w:val="center"/>
              <w:rPr>
                <w:rFonts w:ascii="David" w:eastAsia="Times New Roman" w:hAnsi="David" w:cs="David"/>
                <w:b/>
                <w:bCs/>
              </w:rPr>
            </w:pPr>
            <w:r w:rsidRPr="00BF3027">
              <w:rPr>
                <w:rFonts w:ascii="David" w:eastAsia="Times New Roman" w:hAnsi="David" w:cs="David"/>
                <w:b/>
                <w:bCs/>
              </w:rPr>
              <w:t>2:36</w:t>
            </w:r>
          </w:p>
        </w:tc>
        <w:tc>
          <w:tcPr>
            <w:tcW w:w="1417" w:type="dxa"/>
            <w:shd w:val="clear" w:color="auto" w:fill="auto"/>
            <w:vAlign w:val="center"/>
          </w:tcPr>
          <w:p w14:paraId="654697C9" w14:textId="77777777" w:rsidR="00CC7D9B" w:rsidRPr="00BF3027" w:rsidRDefault="00CC7D9B" w:rsidP="007A525F">
            <w:pPr>
              <w:spacing w:after="0" w:line="240" w:lineRule="auto"/>
              <w:jc w:val="center"/>
              <w:rPr>
                <w:rFonts w:ascii="David" w:eastAsia="Times New Roman" w:hAnsi="David" w:cs="David"/>
              </w:rPr>
            </w:pPr>
            <w:r w:rsidRPr="00BF3027">
              <w:rPr>
                <w:rFonts w:ascii="David" w:eastAsia="Times New Roman" w:hAnsi="David" w:cs="David"/>
              </w:rPr>
              <w:t>2:34</w:t>
            </w:r>
          </w:p>
        </w:tc>
        <w:tc>
          <w:tcPr>
            <w:tcW w:w="851" w:type="dxa"/>
            <w:shd w:val="clear" w:color="auto" w:fill="auto"/>
            <w:vAlign w:val="center"/>
          </w:tcPr>
          <w:p w14:paraId="6039E53E" w14:textId="77777777" w:rsidR="00CC7D9B" w:rsidRPr="00BF3027" w:rsidRDefault="00CC7D9B" w:rsidP="007A525F">
            <w:pPr>
              <w:spacing w:after="0" w:line="240" w:lineRule="auto"/>
              <w:jc w:val="center"/>
              <w:rPr>
                <w:rFonts w:ascii="David" w:eastAsia="Times New Roman" w:hAnsi="David" w:cs="David"/>
              </w:rPr>
            </w:pPr>
            <w:r w:rsidRPr="00BF3027">
              <w:rPr>
                <w:rFonts w:ascii="David" w:eastAsia="Times New Roman" w:hAnsi="David" w:cs="David" w:hint="cs"/>
                <w:rtl/>
              </w:rPr>
              <w:t>0:02+</w:t>
            </w:r>
          </w:p>
        </w:tc>
      </w:tr>
      <w:tr w:rsidR="00CC7D9B" w:rsidRPr="00BF3027" w14:paraId="7963B6CF" w14:textId="77777777" w:rsidTr="007F0431">
        <w:trPr>
          <w:trHeight w:val="600"/>
        </w:trPr>
        <w:tc>
          <w:tcPr>
            <w:tcW w:w="987" w:type="dxa"/>
            <w:shd w:val="clear" w:color="auto" w:fill="D9D9D9"/>
            <w:noWrap/>
            <w:vAlign w:val="center"/>
          </w:tcPr>
          <w:p w14:paraId="6199473E" w14:textId="77777777" w:rsidR="00CC7D9B" w:rsidRPr="00BF3027" w:rsidRDefault="00CC7D9B" w:rsidP="007A525F">
            <w:pPr>
              <w:spacing w:after="0" w:line="240" w:lineRule="auto"/>
              <w:jc w:val="center"/>
              <w:rPr>
                <w:rFonts w:ascii="David" w:eastAsia="Times New Roman" w:hAnsi="David" w:cs="David"/>
                <w:rtl/>
              </w:rPr>
            </w:pPr>
            <w:r w:rsidRPr="00BF3027">
              <w:rPr>
                <w:rFonts w:ascii="David" w:eastAsia="Times New Roman" w:hAnsi="David" w:cs="David"/>
                <w:rtl/>
              </w:rPr>
              <w:t>משפחה</w:t>
            </w:r>
          </w:p>
        </w:tc>
        <w:tc>
          <w:tcPr>
            <w:tcW w:w="2337" w:type="dxa"/>
            <w:gridSpan w:val="2"/>
            <w:shd w:val="clear" w:color="auto" w:fill="D9D9D9"/>
            <w:vAlign w:val="center"/>
          </w:tcPr>
          <w:p w14:paraId="504EEDF0" w14:textId="77777777" w:rsidR="00CC7D9B" w:rsidRPr="00BF3027" w:rsidRDefault="00CC7D9B" w:rsidP="007A525F">
            <w:pPr>
              <w:spacing w:after="0" w:line="240" w:lineRule="auto"/>
              <w:rPr>
                <w:rFonts w:ascii="David" w:eastAsia="Times New Roman" w:hAnsi="David" w:cs="David"/>
                <w:rtl/>
              </w:rPr>
            </w:pPr>
            <w:r w:rsidRPr="00BF3027">
              <w:rPr>
                <w:rFonts w:ascii="David" w:eastAsia="Times New Roman" w:hAnsi="David" w:cs="David"/>
                <w:rtl/>
              </w:rPr>
              <w:t>ערעור על החלטת רשם (ע"ר)</w:t>
            </w:r>
          </w:p>
        </w:tc>
        <w:tc>
          <w:tcPr>
            <w:tcW w:w="1134" w:type="dxa"/>
            <w:shd w:val="clear" w:color="auto" w:fill="D9D9D9"/>
            <w:vAlign w:val="center"/>
          </w:tcPr>
          <w:p w14:paraId="7F0AF6E9" w14:textId="77777777" w:rsidR="00CC7D9B" w:rsidRPr="00BF3027" w:rsidRDefault="00CC7D9B" w:rsidP="007A525F">
            <w:pPr>
              <w:spacing w:after="0" w:line="240" w:lineRule="auto"/>
              <w:jc w:val="center"/>
              <w:rPr>
                <w:rFonts w:ascii="David" w:eastAsia="Times New Roman" w:hAnsi="David" w:cs="David"/>
              </w:rPr>
            </w:pPr>
            <w:r w:rsidRPr="00BF3027">
              <w:rPr>
                <w:rFonts w:ascii="David" w:eastAsia="Times New Roman" w:hAnsi="David" w:cs="David"/>
              </w:rPr>
              <w:t>426</w:t>
            </w:r>
          </w:p>
        </w:tc>
        <w:tc>
          <w:tcPr>
            <w:tcW w:w="1985" w:type="dxa"/>
            <w:gridSpan w:val="3"/>
            <w:shd w:val="clear" w:color="auto" w:fill="D9D9D9"/>
            <w:noWrap/>
            <w:vAlign w:val="center"/>
          </w:tcPr>
          <w:p w14:paraId="62AF49F8" w14:textId="77777777" w:rsidR="00CC7D9B" w:rsidRPr="00BF3027" w:rsidRDefault="00CC7D9B" w:rsidP="007A525F">
            <w:pPr>
              <w:spacing w:after="0" w:line="240" w:lineRule="auto"/>
              <w:jc w:val="center"/>
              <w:rPr>
                <w:rFonts w:ascii="David" w:eastAsia="Times New Roman" w:hAnsi="David" w:cs="David"/>
                <w:b/>
                <w:bCs/>
              </w:rPr>
            </w:pPr>
            <w:r w:rsidRPr="00BF3027">
              <w:rPr>
                <w:rFonts w:ascii="David" w:eastAsia="Times New Roman" w:hAnsi="David" w:cs="David" w:hint="cs"/>
                <w:b/>
                <w:bCs/>
                <w:rtl/>
              </w:rPr>
              <w:t>2:30</w:t>
            </w:r>
          </w:p>
        </w:tc>
        <w:tc>
          <w:tcPr>
            <w:tcW w:w="1417" w:type="dxa"/>
            <w:shd w:val="clear" w:color="auto" w:fill="D9D9D9"/>
            <w:vAlign w:val="center"/>
          </w:tcPr>
          <w:p w14:paraId="79B59CB6" w14:textId="77777777" w:rsidR="00CC7D9B" w:rsidRPr="00BF3027" w:rsidRDefault="00CC7D9B" w:rsidP="007A525F">
            <w:pPr>
              <w:spacing w:after="0" w:line="240" w:lineRule="auto"/>
              <w:jc w:val="center"/>
              <w:rPr>
                <w:rFonts w:ascii="David" w:eastAsia="Times New Roman" w:hAnsi="David" w:cs="David"/>
              </w:rPr>
            </w:pPr>
            <w:r w:rsidRPr="00BF3027">
              <w:rPr>
                <w:rFonts w:ascii="David" w:eastAsia="Times New Roman" w:hAnsi="David" w:cs="David"/>
              </w:rPr>
              <w:t>1:46</w:t>
            </w:r>
          </w:p>
        </w:tc>
        <w:tc>
          <w:tcPr>
            <w:tcW w:w="851" w:type="dxa"/>
            <w:shd w:val="clear" w:color="auto" w:fill="D9D9D9"/>
            <w:vAlign w:val="center"/>
          </w:tcPr>
          <w:p w14:paraId="4749E85B" w14:textId="77777777" w:rsidR="00CC7D9B" w:rsidRPr="00BF3027" w:rsidRDefault="00CC7D9B" w:rsidP="007A525F">
            <w:pPr>
              <w:spacing w:after="0" w:line="240" w:lineRule="auto"/>
              <w:jc w:val="center"/>
              <w:rPr>
                <w:rFonts w:ascii="David" w:eastAsia="Times New Roman" w:hAnsi="David" w:cs="David"/>
              </w:rPr>
            </w:pPr>
            <w:r w:rsidRPr="00BF3027">
              <w:rPr>
                <w:rFonts w:ascii="David" w:eastAsia="Times New Roman" w:hAnsi="David" w:cs="David" w:hint="cs"/>
                <w:rtl/>
              </w:rPr>
              <w:t>0:44+</w:t>
            </w:r>
          </w:p>
        </w:tc>
      </w:tr>
      <w:tr w:rsidR="00CC7D9B" w:rsidRPr="00BF3027" w14:paraId="4BCAA570" w14:textId="77777777" w:rsidTr="007F0431">
        <w:trPr>
          <w:trHeight w:val="600"/>
        </w:trPr>
        <w:tc>
          <w:tcPr>
            <w:tcW w:w="987" w:type="dxa"/>
            <w:shd w:val="clear" w:color="auto" w:fill="auto"/>
            <w:noWrap/>
            <w:vAlign w:val="center"/>
          </w:tcPr>
          <w:p w14:paraId="0169158B" w14:textId="77777777" w:rsidR="00CC7D9B" w:rsidRPr="00BF3027" w:rsidRDefault="00CC7D9B" w:rsidP="007A525F">
            <w:pPr>
              <w:spacing w:after="0" w:line="240" w:lineRule="auto"/>
              <w:jc w:val="center"/>
              <w:rPr>
                <w:rFonts w:ascii="David" w:eastAsia="Times New Roman" w:hAnsi="David" w:cs="David"/>
                <w:rtl/>
              </w:rPr>
            </w:pPr>
            <w:r w:rsidRPr="00BF3027">
              <w:rPr>
                <w:rFonts w:ascii="David" w:eastAsia="Times New Roman" w:hAnsi="David" w:cs="David"/>
                <w:rtl/>
              </w:rPr>
              <w:t>משפחה</w:t>
            </w:r>
          </w:p>
        </w:tc>
        <w:tc>
          <w:tcPr>
            <w:tcW w:w="2337" w:type="dxa"/>
            <w:gridSpan w:val="2"/>
            <w:shd w:val="clear" w:color="auto" w:fill="auto"/>
            <w:vAlign w:val="center"/>
          </w:tcPr>
          <w:p w14:paraId="376C302A" w14:textId="77777777" w:rsidR="00CC7D9B" w:rsidRPr="00BF3027" w:rsidRDefault="00CC7D9B" w:rsidP="007A525F">
            <w:pPr>
              <w:spacing w:after="0" w:line="240" w:lineRule="auto"/>
              <w:rPr>
                <w:rFonts w:ascii="David" w:eastAsia="Times New Roman" w:hAnsi="David" w:cs="David"/>
                <w:rtl/>
              </w:rPr>
            </w:pPr>
            <w:r w:rsidRPr="00BF3027">
              <w:rPr>
                <w:rFonts w:ascii="David" w:eastAsia="Times New Roman" w:hAnsi="David" w:cs="David"/>
                <w:rtl/>
              </w:rPr>
              <w:t>הטרדה מאיימת וצו הגנה (ה"ט)</w:t>
            </w:r>
          </w:p>
        </w:tc>
        <w:tc>
          <w:tcPr>
            <w:tcW w:w="1134" w:type="dxa"/>
            <w:vAlign w:val="center"/>
          </w:tcPr>
          <w:p w14:paraId="4C809DB7" w14:textId="77777777" w:rsidR="00CC7D9B" w:rsidRPr="00BF3027" w:rsidRDefault="00CC7D9B" w:rsidP="007A525F">
            <w:pPr>
              <w:spacing w:after="0" w:line="240" w:lineRule="auto"/>
              <w:jc w:val="center"/>
              <w:rPr>
                <w:rFonts w:ascii="David" w:eastAsia="Times New Roman" w:hAnsi="David" w:cs="David"/>
              </w:rPr>
            </w:pPr>
            <w:r w:rsidRPr="00BF3027">
              <w:rPr>
                <w:rFonts w:ascii="David" w:eastAsia="Times New Roman" w:hAnsi="David" w:cs="David"/>
              </w:rPr>
              <w:t>10,033</w:t>
            </w:r>
          </w:p>
        </w:tc>
        <w:tc>
          <w:tcPr>
            <w:tcW w:w="1985" w:type="dxa"/>
            <w:gridSpan w:val="3"/>
            <w:shd w:val="clear" w:color="auto" w:fill="auto"/>
            <w:noWrap/>
            <w:vAlign w:val="center"/>
          </w:tcPr>
          <w:p w14:paraId="7D2F4E58" w14:textId="77777777" w:rsidR="00CC7D9B" w:rsidRPr="00BF3027" w:rsidRDefault="00CC7D9B" w:rsidP="007A525F">
            <w:pPr>
              <w:spacing w:after="0" w:line="240" w:lineRule="auto"/>
              <w:jc w:val="center"/>
              <w:rPr>
                <w:rFonts w:ascii="David" w:eastAsia="Times New Roman" w:hAnsi="David" w:cs="David"/>
                <w:b/>
                <w:bCs/>
              </w:rPr>
            </w:pPr>
            <w:r w:rsidRPr="00BF3027">
              <w:rPr>
                <w:rFonts w:ascii="David" w:eastAsia="Times New Roman" w:hAnsi="David" w:cs="David"/>
                <w:b/>
                <w:bCs/>
              </w:rPr>
              <w:t>1:39</w:t>
            </w:r>
          </w:p>
        </w:tc>
        <w:tc>
          <w:tcPr>
            <w:tcW w:w="1417" w:type="dxa"/>
            <w:shd w:val="clear" w:color="auto" w:fill="auto"/>
            <w:vAlign w:val="center"/>
          </w:tcPr>
          <w:p w14:paraId="1ADD7025" w14:textId="77777777" w:rsidR="00CC7D9B" w:rsidRPr="00BF3027" w:rsidRDefault="00CC7D9B" w:rsidP="007A525F">
            <w:pPr>
              <w:spacing w:after="0" w:line="240" w:lineRule="auto"/>
              <w:jc w:val="center"/>
              <w:rPr>
                <w:rFonts w:ascii="David" w:eastAsia="Times New Roman" w:hAnsi="David" w:cs="David"/>
              </w:rPr>
            </w:pPr>
            <w:r w:rsidRPr="00BF3027">
              <w:rPr>
                <w:rFonts w:ascii="David" w:eastAsia="Times New Roman" w:hAnsi="David" w:cs="David"/>
              </w:rPr>
              <w:t>1:57</w:t>
            </w:r>
          </w:p>
        </w:tc>
        <w:tc>
          <w:tcPr>
            <w:tcW w:w="851" w:type="dxa"/>
            <w:shd w:val="clear" w:color="auto" w:fill="auto"/>
            <w:vAlign w:val="center"/>
          </w:tcPr>
          <w:p w14:paraId="3C23FDC1" w14:textId="77777777" w:rsidR="00CC7D9B" w:rsidRPr="00BF3027" w:rsidRDefault="00CC7D9B" w:rsidP="007A525F">
            <w:pPr>
              <w:spacing w:after="0" w:line="240" w:lineRule="auto"/>
              <w:jc w:val="center"/>
              <w:rPr>
                <w:rFonts w:asciiTheme="minorHAnsi" w:eastAsia="Times New Roman" w:hAnsiTheme="minorHAnsi" w:cs="David"/>
                <w:rtl/>
              </w:rPr>
            </w:pPr>
            <w:r w:rsidRPr="00BF3027">
              <w:rPr>
                <w:rFonts w:ascii="David" w:eastAsia="Times New Roman" w:hAnsi="David" w:cs="David"/>
              </w:rPr>
              <w:t>-0:18</w:t>
            </w:r>
          </w:p>
        </w:tc>
      </w:tr>
      <w:tr w:rsidR="00CC7D9B" w:rsidRPr="00BF3027" w14:paraId="6EC9EA0E" w14:textId="77777777" w:rsidTr="007F0431">
        <w:trPr>
          <w:trHeight w:val="600"/>
        </w:trPr>
        <w:tc>
          <w:tcPr>
            <w:tcW w:w="987" w:type="dxa"/>
            <w:shd w:val="clear" w:color="auto" w:fill="D9D9D9"/>
            <w:noWrap/>
            <w:vAlign w:val="center"/>
          </w:tcPr>
          <w:p w14:paraId="383988BD" w14:textId="77777777" w:rsidR="00CC7D9B" w:rsidRPr="00BF3027" w:rsidRDefault="00CC7D9B" w:rsidP="007A525F">
            <w:pPr>
              <w:spacing w:after="0" w:line="240" w:lineRule="auto"/>
              <w:jc w:val="center"/>
              <w:rPr>
                <w:rFonts w:ascii="David" w:eastAsia="Times New Roman" w:hAnsi="David" w:cs="David"/>
                <w:rtl/>
              </w:rPr>
            </w:pPr>
            <w:r w:rsidRPr="00BF3027">
              <w:rPr>
                <w:rFonts w:ascii="David" w:eastAsia="Times New Roman" w:hAnsi="David" w:cs="David"/>
                <w:rtl/>
              </w:rPr>
              <w:t>משפחה</w:t>
            </w:r>
          </w:p>
        </w:tc>
        <w:tc>
          <w:tcPr>
            <w:tcW w:w="2337" w:type="dxa"/>
            <w:gridSpan w:val="2"/>
            <w:shd w:val="clear" w:color="auto" w:fill="D9D9D9"/>
            <w:vAlign w:val="center"/>
          </w:tcPr>
          <w:p w14:paraId="123F8657" w14:textId="77777777" w:rsidR="00CC7D9B" w:rsidRPr="00BF3027" w:rsidRDefault="00CC7D9B" w:rsidP="007A525F">
            <w:pPr>
              <w:spacing w:after="0" w:line="240" w:lineRule="auto"/>
              <w:rPr>
                <w:rFonts w:ascii="David" w:eastAsia="Times New Roman" w:hAnsi="David" w:cs="David"/>
                <w:rtl/>
              </w:rPr>
            </w:pPr>
            <w:r w:rsidRPr="00BF3027">
              <w:rPr>
                <w:rFonts w:ascii="David" w:eastAsia="Times New Roman" w:hAnsi="David" w:cs="David"/>
                <w:rtl/>
              </w:rPr>
              <w:t>תיק אפוטרופסות (א"פ)</w:t>
            </w:r>
          </w:p>
        </w:tc>
        <w:tc>
          <w:tcPr>
            <w:tcW w:w="1134" w:type="dxa"/>
            <w:shd w:val="clear" w:color="auto" w:fill="D9D9D9"/>
            <w:vAlign w:val="center"/>
          </w:tcPr>
          <w:p w14:paraId="2A117C9E" w14:textId="77777777" w:rsidR="00CC7D9B" w:rsidRPr="00BF3027" w:rsidRDefault="00CC7D9B" w:rsidP="007A525F">
            <w:pPr>
              <w:spacing w:after="0" w:line="240" w:lineRule="auto"/>
              <w:jc w:val="center"/>
              <w:rPr>
                <w:rFonts w:ascii="David" w:eastAsia="Times New Roman" w:hAnsi="David" w:cs="David"/>
              </w:rPr>
            </w:pPr>
            <w:r w:rsidRPr="00BF3027">
              <w:rPr>
                <w:rFonts w:ascii="David" w:eastAsia="Times New Roman" w:hAnsi="David" w:cs="David"/>
              </w:rPr>
              <w:t>18,369</w:t>
            </w:r>
          </w:p>
        </w:tc>
        <w:tc>
          <w:tcPr>
            <w:tcW w:w="1985" w:type="dxa"/>
            <w:gridSpan w:val="3"/>
            <w:shd w:val="clear" w:color="auto" w:fill="D9D9D9"/>
            <w:noWrap/>
            <w:vAlign w:val="center"/>
          </w:tcPr>
          <w:p w14:paraId="7BE67809" w14:textId="77777777" w:rsidR="00CC7D9B" w:rsidRPr="00BF3027" w:rsidRDefault="00CC7D9B" w:rsidP="007A525F">
            <w:pPr>
              <w:spacing w:after="0" w:line="240" w:lineRule="auto"/>
              <w:jc w:val="center"/>
              <w:rPr>
                <w:rFonts w:ascii="David" w:eastAsia="Times New Roman" w:hAnsi="David" w:cs="David"/>
                <w:b/>
                <w:bCs/>
                <w:rtl/>
              </w:rPr>
            </w:pPr>
            <w:r w:rsidRPr="00BF3027">
              <w:rPr>
                <w:rFonts w:ascii="David" w:eastAsia="Times New Roman" w:hAnsi="David" w:cs="David" w:hint="cs"/>
                <w:b/>
                <w:bCs/>
                <w:rtl/>
              </w:rPr>
              <w:t>1:07</w:t>
            </w:r>
          </w:p>
        </w:tc>
        <w:tc>
          <w:tcPr>
            <w:tcW w:w="1417" w:type="dxa"/>
            <w:shd w:val="clear" w:color="auto" w:fill="D9D9D9"/>
            <w:vAlign w:val="center"/>
          </w:tcPr>
          <w:p w14:paraId="5397EBC7" w14:textId="77777777" w:rsidR="00CC7D9B" w:rsidRPr="00BF3027" w:rsidRDefault="00CC7D9B" w:rsidP="007A525F">
            <w:pPr>
              <w:spacing w:after="0" w:line="240" w:lineRule="auto"/>
              <w:jc w:val="center"/>
              <w:rPr>
                <w:rFonts w:ascii="David" w:eastAsia="Times New Roman" w:hAnsi="David" w:cs="David"/>
              </w:rPr>
            </w:pPr>
            <w:r w:rsidRPr="00BF3027">
              <w:rPr>
                <w:rFonts w:ascii="David" w:eastAsia="Times New Roman" w:hAnsi="David" w:cs="David"/>
              </w:rPr>
              <w:t>0:28</w:t>
            </w:r>
          </w:p>
        </w:tc>
        <w:tc>
          <w:tcPr>
            <w:tcW w:w="851" w:type="dxa"/>
            <w:shd w:val="clear" w:color="auto" w:fill="D9D9D9"/>
            <w:vAlign w:val="center"/>
          </w:tcPr>
          <w:p w14:paraId="063D0A89" w14:textId="77777777" w:rsidR="00CC7D9B" w:rsidRPr="00BF3027" w:rsidRDefault="00CC7D9B" w:rsidP="007A525F">
            <w:pPr>
              <w:spacing w:after="0" w:line="240" w:lineRule="auto"/>
              <w:jc w:val="center"/>
              <w:rPr>
                <w:rFonts w:ascii="David" w:eastAsia="Times New Roman" w:hAnsi="David" w:cs="David"/>
                <w:rtl/>
              </w:rPr>
            </w:pPr>
            <w:r w:rsidRPr="00BF3027">
              <w:rPr>
                <w:rFonts w:ascii="David" w:eastAsia="Times New Roman" w:hAnsi="David" w:cs="David"/>
              </w:rPr>
              <w:t>+0:39</w:t>
            </w:r>
          </w:p>
        </w:tc>
      </w:tr>
      <w:tr w:rsidR="00CC7D9B" w:rsidRPr="00BF3027" w14:paraId="5E248968" w14:textId="77777777" w:rsidTr="007F0431">
        <w:trPr>
          <w:trHeight w:val="600"/>
        </w:trPr>
        <w:tc>
          <w:tcPr>
            <w:tcW w:w="987" w:type="dxa"/>
            <w:shd w:val="clear" w:color="auto" w:fill="auto"/>
            <w:noWrap/>
            <w:vAlign w:val="center"/>
          </w:tcPr>
          <w:p w14:paraId="53251571" w14:textId="77777777" w:rsidR="00CC7D9B" w:rsidRPr="00BF3027" w:rsidRDefault="00CC7D9B" w:rsidP="007A525F">
            <w:pPr>
              <w:spacing w:after="0" w:line="240" w:lineRule="auto"/>
              <w:jc w:val="center"/>
              <w:rPr>
                <w:rFonts w:ascii="David" w:eastAsia="Times New Roman" w:hAnsi="David" w:cs="David"/>
                <w:rtl/>
              </w:rPr>
            </w:pPr>
            <w:r w:rsidRPr="00BF3027">
              <w:rPr>
                <w:rFonts w:ascii="David" w:eastAsia="Times New Roman" w:hAnsi="David" w:cs="David"/>
                <w:rtl/>
              </w:rPr>
              <w:t>משפחה</w:t>
            </w:r>
          </w:p>
        </w:tc>
        <w:tc>
          <w:tcPr>
            <w:tcW w:w="2337" w:type="dxa"/>
            <w:gridSpan w:val="2"/>
            <w:shd w:val="clear" w:color="auto" w:fill="auto"/>
            <w:vAlign w:val="center"/>
          </w:tcPr>
          <w:p w14:paraId="50B481B7" w14:textId="77777777" w:rsidR="00CC7D9B" w:rsidRPr="00BF3027" w:rsidRDefault="00CC7D9B" w:rsidP="007A525F">
            <w:pPr>
              <w:spacing w:after="0" w:line="240" w:lineRule="auto"/>
              <w:rPr>
                <w:rFonts w:ascii="David" w:eastAsia="Times New Roman" w:hAnsi="David" w:cs="David"/>
                <w:rtl/>
              </w:rPr>
            </w:pPr>
            <w:r w:rsidRPr="00BF3027">
              <w:rPr>
                <w:rFonts w:ascii="David" w:eastAsia="Times New Roman" w:hAnsi="David" w:cs="David"/>
                <w:rtl/>
              </w:rPr>
              <w:t>תיק הסכם (תה"ס)</w:t>
            </w:r>
          </w:p>
        </w:tc>
        <w:tc>
          <w:tcPr>
            <w:tcW w:w="1134" w:type="dxa"/>
            <w:shd w:val="clear" w:color="auto" w:fill="auto"/>
            <w:vAlign w:val="center"/>
          </w:tcPr>
          <w:p w14:paraId="37E13860" w14:textId="77777777" w:rsidR="00CC7D9B" w:rsidRPr="00BF3027" w:rsidRDefault="00CC7D9B" w:rsidP="007A525F">
            <w:pPr>
              <w:spacing w:after="0" w:line="240" w:lineRule="auto"/>
              <w:jc w:val="center"/>
              <w:rPr>
                <w:rFonts w:ascii="David" w:eastAsia="Times New Roman" w:hAnsi="David" w:cs="David"/>
              </w:rPr>
            </w:pPr>
            <w:r w:rsidRPr="00BF3027">
              <w:rPr>
                <w:rFonts w:ascii="David" w:eastAsia="Times New Roman" w:hAnsi="David" w:cs="David"/>
              </w:rPr>
              <w:t>9,247</w:t>
            </w:r>
          </w:p>
        </w:tc>
        <w:tc>
          <w:tcPr>
            <w:tcW w:w="1985" w:type="dxa"/>
            <w:gridSpan w:val="3"/>
            <w:shd w:val="clear" w:color="auto" w:fill="auto"/>
            <w:noWrap/>
            <w:vAlign w:val="center"/>
          </w:tcPr>
          <w:p w14:paraId="563C8E1F" w14:textId="77777777" w:rsidR="00CC7D9B" w:rsidRPr="00BF3027" w:rsidRDefault="00CC7D9B" w:rsidP="007A525F">
            <w:pPr>
              <w:spacing w:after="0" w:line="240" w:lineRule="auto"/>
              <w:jc w:val="center"/>
              <w:rPr>
                <w:rFonts w:ascii="David" w:eastAsia="Times New Roman" w:hAnsi="David" w:cs="David"/>
                <w:b/>
                <w:bCs/>
                <w:rtl/>
              </w:rPr>
            </w:pPr>
            <w:r w:rsidRPr="00BF3027">
              <w:rPr>
                <w:rFonts w:ascii="David" w:eastAsia="Times New Roman" w:hAnsi="David" w:cs="David"/>
                <w:b/>
                <w:bCs/>
              </w:rPr>
              <w:t>1:03</w:t>
            </w:r>
          </w:p>
        </w:tc>
        <w:tc>
          <w:tcPr>
            <w:tcW w:w="1417" w:type="dxa"/>
            <w:shd w:val="clear" w:color="auto" w:fill="auto"/>
            <w:vAlign w:val="center"/>
          </w:tcPr>
          <w:p w14:paraId="6C250D88" w14:textId="77777777" w:rsidR="00CC7D9B" w:rsidRPr="00BF3027" w:rsidRDefault="00CC7D9B" w:rsidP="007A525F">
            <w:pPr>
              <w:spacing w:after="0" w:line="240" w:lineRule="auto"/>
              <w:jc w:val="center"/>
              <w:rPr>
                <w:rFonts w:ascii="David" w:eastAsia="Times New Roman" w:hAnsi="David" w:cs="David"/>
              </w:rPr>
            </w:pPr>
            <w:r w:rsidRPr="00BF3027">
              <w:rPr>
                <w:rFonts w:ascii="David" w:eastAsia="Times New Roman" w:hAnsi="David" w:cs="David"/>
              </w:rPr>
              <w:t>0:39</w:t>
            </w:r>
          </w:p>
        </w:tc>
        <w:tc>
          <w:tcPr>
            <w:tcW w:w="851" w:type="dxa"/>
            <w:shd w:val="clear" w:color="auto" w:fill="auto"/>
            <w:vAlign w:val="center"/>
          </w:tcPr>
          <w:p w14:paraId="6485052D" w14:textId="77777777" w:rsidR="00CC7D9B" w:rsidRPr="00BF3027" w:rsidRDefault="00CC7D9B" w:rsidP="007A525F">
            <w:pPr>
              <w:spacing w:after="0" w:line="240" w:lineRule="auto"/>
              <w:jc w:val="center"/>
              <w:rPr>
                <w:rFonts w:ascii="David" w:eastAsia="Times New Roman" w:hAnsi="David" w:cs="David"/>
              </w:rPr>
            </w:pPr>
            <w:r w:rsidRPr="00BF3027">
              <w:rPr>
                <w:rFonts w:ascii="David" w:eastAsia="Times New Roman" w:hAnsi="David" w:cs="David"/>
              </w:rPr>
              <w:t>+0:24</w:t>
            </w:r>
          </w:p>
        </w:tc>
      </w:tr>
      <w:tr w:rsidR="00CC7D9B" w:rsidRPr="00BF3027" w14:paraId="2BB72A46" w14:textId="77777777" w:rsidTr="007F0431">
        <w:trPr>
          <w:trHeight w:val="600"/>
        </w:trPr>
        <w:tc>
          <w:tcPr>
            <w:tcW w:w="987" w:type="dxa"/>
            <w:shd w:val="clear" w:color="auto" w:fill="D9D9D9"/>
            <w:noWrap/>
            <w:vAlign w:val="center"/>
          </w:tcPr>
          <w:p w14:paraId="3AB83080" w14:textId="77777777" w:rsidR="00CC7D9B" w:rsidRPr="00BF3027" w:rsidRDefault="00CC7D9B" w:rsidP="007A525F">
            <w:pPr>
              <w:spacing w:after="0" w:line="240" w:lineRule="auto"/>
              <w:jc w:val="center"/>
              <w:rPr>
                <w:rFonts w:ascii="David" w:eastAsia="Times New Roman" w:hAnsi="David" w:cs="David"/>
                <w:rtl/>
              </w:rPr>
            </w:pPr>
            <w:r w:rsidRPr="00BF3027">
              <w:rPr>
                <w:rFonts w:ascii="David" w:eastAsia="Times New Roman" w:hAnsi="David" w:cs="David"/>
                <w:rtl/>
              </w:rPr>
              <w:t>משפחה</w:t>
            </w:r>
          </w:p>
        </w:tc>
        <w:tc>
          <w:tcPr>
            <w:tcW w:w="2337" w:type="dxa"/>
            <w:gridSpan w:val="2"/>
            <w:shd w:val="clear" w:color="auto" w:fill="D9D9D9"/>
            <w:vAlign w:val="center"/>
          </w:tcPr>
          <w:p w14:paraId="4729708C" w14:textId="77777777" w:rsidR="00CC7D9B" w:rsidRPr="00BF3027" w:rsidRDefault="00CC7D9B" w:rsidP="007A525F">
            <w:pPr>
              <w:spacing w:after="0" w:line="240" w:lineRule="auto"/>
              <w:rPr>
                <w:rFonts w:ascii="David" w:eastAsia="Times New Roman" w:hAnsi="David" w:cs="David"/>
                <w:rtl/>
              </w:rPr>
            </w:pPr>
            <w:r w:rsidRPr="00BF3027">
              <w:rPr>
                <w:rFonts w:ascii="David" w:eastAsia="Times New Roman" w:hAnsi="David" w:cs="David"/>
                <w:rtl/>
              </w:rPr>
              <w:t>יישוב סכסוך (י"ס)</w:t>
            </w:r>
          </w:p>
        </w:tc>
        <w:tc>
          <w:tcPr>
            <w:tcW w:w="1134" w:type="dxa"/>
            <w:shd w:val="clear" w:color="auto" w:fill="D9D9D9"/>
            <w:vAlign w:val="center"/>
          </w:tcPr>
          <w:p w14:paraId="1BCF80BB" w14:textId="77777777" w:rsidR="00CC7D9B" w:rsidRPr="00BF3027" w:rsidRDefault="00CC7D9B" w:rsidP="007A525F">
            <w:pPr>
              <w:spacing w:after="0" w:line="240" w:lineRule="auto"/>
              <w:jc w:val="center"/>
              <w:rPr>
                <w:rFonts w:ascii="David" w:eastAsia="Times New Roman" w:hAnsi="David" w:cs="David"/>
              </w:rPr>
            </w:pPr>
            <w:r w:rsidRPr="00BF3027">
              <w:rPr>
                <w:rFonts w:ascii="David" w:eastAsia="Times New Roman" w:hAnsi="David" w:cs="David"/>
              </w:rPr>
              <w:t>17,589</w:t>
            </w:r>
          </w:p>
        </w:tc>
        <w:tc>
          <w:tcPr>
            <w:tcW w:w="1985" w:type="dxa"/>
            <w:gridSpan w:val="3"/>
            <w:shd w:val="clear" w:color="auto" w:fill="D9D9D9"/>
            <w:noWrap/>
            <w:vAlign w:val="center"/>
          </w:tcPr>
          <w:p w14:paraId="028A3F8F" w14:textId="77777777" w:rsidR="00CC7D9B" w:rsidRPr="00BF3027" w:rsidRDefault="00CC7D9B" w:rsidP="007A525F">
            <w:pPr>
              <w:spacing w:after="0" w:line="240" w:lineRule="auto"/>
              <w:jc w:val="center"/>
              <w:rPr>
                <w:rFonts w:ascii="David" w:eastAsia="Times New Roman" w:hAnsi="David" w:cs="David"/>
                <w:b/>
                <w:bCs/>
              </w:rPr>
            </w:pPr>
            <w:r w:rsidRPr="00BF3027">
              <w:rPr>
                <w:rFonts w:ascii="David" w:eastAsia="Times New Roman" w:hAnsi="David" w:cs="David"/>
                <w:b/>
                <w:bCs/>
              </w:rPr>
              <w:t>1:00</w:t>
            </w:r>
          </w:p>
        </w:tc>
        <w:tc>
          <w:tcPr>
            <w:tcW w:w="1417" w:type="dxa"/>
            <w:shd w:val="clear" w:color="auto" w:fill="D9D9D9"/>
            <w:vAlign w:val="center"/>
          </w:tcPr>
          <w:p w14:paraId="0CB4F837" w14:textId="77777777" w:rsidR="00CC7D9B" w:rsidRPr="00BF3027" w:rsidRDefault="00CC7D9B" w:rsidP="007A525F">
            <w:pPr>
              <w:spacing w:after="0" w:line="240" w:lineRule="auto"/>
              <w:jc w:val="center"/>
              <w:rPr>
                <w:rFonts w:ascii="David" w:eastAsia="Times New Roman" w:hAnsi="David" w:cs="David"/>
              </w:rPr>
            </w:pPr>
            <w:r w:rsidRPr="00BF3027">
              <w:rPr>
                <w:rFonts w:ascii="David" w:eastAsia="Times New Roman" w:hAnsi="David" w:cs="David"/>
              </w:rPr>
              <w:t>0:19</w:t>
            </w:r>
          </w:p>
        </w:tc>
        <w:tc>
          <w:tcPr>
            <w:tcW w:w="851" w:type="dxa"/>
            <w:shd w:val="clear" w:color="auto" w:fill="D9D9D9"/>
            <w:vAlign w:val="center"/>
          </w:tcPr>
          <w:p w14:paraId="15A3105B" w14:textId="77777777" w:rsidR="00CC7D9B" w:rsidRPr="00BF3027" w:rsidRDefault="00CC7D9B" w:rsidP="007A525F">
            <w:pPr>
              <w:spacing w:after="0" w:line="240" w:lineRule="auto"/>
              <w:jc w:val="center"/>
              <w:rPr>
                <w:rFonts w:ascii="David" w:eastAsia="Times New Roman" w:hAnsi="David" w:cs="David"/>
              </w:rPr>
            </w:pPr>
            <w:r w:rsidRPr="00BF3027">
              <w:rPr>
                <w:rFonts w:ascii="David" w:eastAsia="Times New Roman" w:hAnsi="David" w:cs="David"/>
              </w:rPr>
              <w:t>+0:41</w:t>
            </w:r>
          </w:p>
        </w:tc>
      </w:tr>
      <w:tr w:rsidR="00CC7D9B" w:rsidRPr="00BF3027" w14:paraId="6B112E4D" w14:textId="77777777" w:rsidTr="007F0431">
        <w:trPr>
          <w:trHeight w:val="600"/>
        </w:trPr>
        <w:tc>
          <w:tcPr>
            <w:tcW w:w="987" w:type="dxa"/>
            <w:tcBorders>
              <w:bottom w:val="single" w:sz="4" w:space="0" w:color="auto"/>
            </w:tcBorders>
            <w:shd w:val="clear" w:color="auto" w:fill="auto"/>
            <w:noWrap/>
            <w:vAlign w:val="center"/>
          </w:tcPr>
          <w:p w14:paraId="2CDD8501" w14:textId="77777777" w:rsidR="00CC7D9B" w:rsidRPr="00BF3027" w:rsidRDefault="00CC7D9B" w:rsidP="007A525F">
            <w:pPr>
              <w:spacing w:after="0" w:line="240" w:lineRule="auto"/>
              <w:jc w:val="center"/>
              <w:rPr>
                <w:rFonts w:ascii="David" w:eastAsia="Times New Roman" w:hAnsi="David" w:cs="David"/>
                <w:rtl/>
              </w:rPr>
            </w:pPr>
            <w:r w:rsidRPr="00BF3027">
              <w:rPr>
                <w:rFonts w:ascii="David" w:eastAsia="Times New Roman" w:hAnsi="David" w:cs="David"/>
                <w:rtl/>
              </w:rPr>
              <w:t>משפחה</w:t>
            </w:r>
          </w:p>
        </w:tc>
        <w:tc>
          <w:tcPr>
            <w:tcW w:w="2337" w:type="dxa"/>
            <w:gridSpan w:val="2"/>
            <w:tcBorders>
              <w:bottom w:val="single" w:sz="4" w:space="0" w:color="auto"/>
            </w:tcBorders>
            <w:shd w:val="clear" w:color="auto" w:fill="auto"/>
            <w:vAlign w:val="center"/>
          </w:tcPr>
          <w:p w14:paraId="494430B8" w14:textId="77777777" w:rsidR="00CC7D9B" w:rsidRPr="00BF3027" w:rsidRDefault="00CC7D9B" w:rsidP="007A525F">
            <w:pPr>
              <w:spacing w:after="0" w:line="240" w:lineRule="auto"/>
              <w:rPr>
                <w:rFonts w:ascii="David" w:eastAsia="Times New Roman" w:hAnsi="David" w:cs="David"/>
                <w:rtl/>
              </w:rPr>
            </w:pPr>
            <w:r w:rsidRPr="00BF3027">
              <w:rPr>
                <w:rFonts w:ascii="David" w:eastAsia="Times New Roman" w:hAnsi="David" w:cs="David"/>
                <w:rtl/>
              </w:rPr>
              <w:t>התרת נישואין (תה"ן)</w:t>
            </w:r>
          </w:p>
        </w:tc>
        <w:tc>
          <w:tcPr>
            <w:tcW w:w="1134" w:type="dxa"/>
            <w:tcBorders>
              <w:bottom w:val="single" w:sz="4" w:space="0" w:color="auto"/>
            </w:tcBorders>
            <w:vAlign w:val="center"/>
          </w:tcPr>
          <w:p w14:paraId="580DF1A0" w14:textId="77777777" w:rsidR="00CC7D9B" w:rsidRPr="00BF3027" w:rsidRDefault="00CC7D9B" w:rsidP="007A525F">
            <w:pPr>
              <w:spacing w:after="0" w:line="240" w:lineRule="auto"/>
              <w:jc w:val="center"/>
              <w:rPr>
                <w:rFonts w:ascii="David" w:eastAsia="Times New Roman" w:hAnsi="David" w:cs="David"/>
              </w:rPr>
            </w:pPr>
            <w:r w:rsidRPr="00BF3027">
              <w:rPr>
                <w:rFonts w:ascii="David" w:eastAsia="Times New Roman" w:hAnsi="David" w:cs="David"/>
              </w:rPr>
              <w:t>1,943</w:t>
            </w:r>
          </w:p>
        </w:tc>
        <w:tc>
          <w:tcPr>
            <w:tcW w:w="1985" w:type="dxa"/>
            <w:gridSpan w:val="3"/>
            <w:tcBorders>
              <w:bottom w:val="single" w:sz="4" w:space="0" w:color="auto"/>
            </w:tcBorders>
            <w:shd w:val="clear" w:color="auto" w:fill="auto"/>
            <w:noWrap/>
            <w:vAlign w:val="center"/>
          </w:tcPr>
          <w:p w14:paraId="29FB6323" w14:textId="77777777" w:rsidR="00CC7D9B" w:rsidRPr="00BF3027" w:rsidRDefault="00CC7D9B" w:rsidP="007A525F">
            <w:pPr>
              <w:spacing w:after="0" w:line="240" w:lineRule="auto"/>
              <w:jc w:val="center"/>
              <w:rPr>
                <w:rFonts w:ascii="David" w:eastAsia="Times New Roman" w:hAnsi="David" w:cs="David"/>
                <w:b/>
                <w:bCs/>
              </w:rPr>
            </w:pPr>
            <w:r w:rsidRPr="00BF3027">
              <w:rPr>
                <w:rFonts w:ascii="David" w:eastAsia="Times New Roman" w:hAnsi="David" w:cs="David"/>
                <w:b/>
                <w:bCs/>
              </w:rPr>
              <w:t>0:36</w:t>
            </w:r>
          </w:p>
        </w:tc>
        <w:tc>
          <w:tcPr>
            <w:tcW w:w="1417" w:type="dxa"/>
            <w:tcBorders>
              <w:bottom w:val="single" w:sz="4" w:space="0" w:color="auto"/>
            </w:tcBorders>
            <w:shd w:val="clear" w:color="auto" w:fill="auto"/>
            <w:vAlign w:val="center"/>
          </w:tcPr>
          <w:p w14:paraId="2C1711A7" w14:textId="77777777" w:rsidR="00CC7D9B" w:rsidRPr="00BF3027" w:rsidRDefault="00CC7D9B" w:rsidP="007A525F">
            <w:pPr>
              <w:spacing w:after="0" w:line="240" w:lineRule="auto"/>
              <w:jc w:val="center"/>
              <w:rPr>
                <w:rFonts w:ascii="David" w:eastAsia="Times New Roman" w:hAnsi="David" w:cs="David"/>
                <w:rtl/>
              </w:rPr>
            </w:pPr>
            <w:r w:rsidRPr="00BF3027">
              <w:rPr>
                <w:rFonts w:ascii="David" w:eastAsia="Times New Roman" w:hAnsi="David" w:cs="David"/>
              </w:rPr>
              <w:t>0:28</w:t>
            </w:r>
          </w:p>
        </w:tc>
        <w:tc>
          <w:tcPr>
            <w:tcW w:w="851" w:type="dxa"/>
            <w:tcBorders>
              <w:bottom w:val="single" w:sz="4" w:space="0" w:color="auto"/>
            </w:tcBorders>
            <w:shd w:val="clear" w:color="auto" w:fill="auto"/>
            <w:vAlign w:val="center"/>
          </w:tcPr>
          <w:p w14:paraId="0C0D08A4" w14:textId="77777777" w:rsidR="00CC7D9B" w:rsidRPr="00BF3027" w:rsidRDefault="00CC7D9B" w:rsidP="007A525F">
            <w:pPr>
              <w:spacing w:after="0" w:line="240" w:lineRule="auto"/>
              <w:jc w:val="center"/>
              <w:rPr>
                <w:rFonts w:ascii="David" w:eastAsia="Times New Roman" w:hAnsi="David" w:cs="David"/>
              </w:rPr>
            </w:pPr>
            <w:r w:rsidRPr="00BF3027">
              <w:rPr>
                <w:rFonts w:ascii="David" w:eastAsia="Times New Roman" w:hAnsi="David" w:cs="David"/>
              </w:rPr>
              <w:t>+0:08</w:t>
            </w:r>
          </w:p>
        </w:tc>
      </w:tr>
    </w:tbl>
    <w:p w14:paraId="561B91B6" w14:textId="77777777" w:rsidR="007A525F" w:rsidRDefault="007A525F" w:rsidP="0077699A">
      <w:pPr>
        <w:pStyle w:val="a3"/>
        <w:widowControl w:val="0"/>
        <w:autoSpaceDE w:val="0"/>
        <w:autoSpaceDN w:val="0"/>
        <w:bidi/>
        <w:adjustRightInd w:val="0"/>
        <w:spacing w:before="60" w:after="60" w:line="360" w:lineRule="auto"/>
        <w:ind w:left="0"/>
        <w:rPr>
          <w:rFonts w:ascii="David" w:hAnsi="David" w:cs="David"/>
          <w:b/>
          <w:bCs/>
          <w:sz w:val="24"/>
          <w:szCs w:val="24"/>
          <w:rtl/>
        </w:rPr>
      </w:pPr>
      <w:bookmarkStart w:id="648" w:name="_Toc46226090"/>
      <w:bookmarkStart w:id="649" w:name="_Toc46226234"/>
      <w:bookmarkStart w:id="650" w:name="_Toc46228401"/>
      <w:bookmarkStart w:id="651" w:name="_Toc46228499"/>
      <w:bookmarkStart w:id="652" w:name="_Toc46230426"/>
      <w:bookmarkStart w:id="653" w:name="_Toc46230524"/>
      <w:bookmarkStart w:id="654" w:name="_Toc46310414"/>
      <w:bookmarkStart w:id="655" w:name="_Toc46414056"/>
    </w:p>
    <w:p w14:paraId="0D2A3F0E" w14:textId="2C43DDE9" w:rsidR="00035350" w:rsidRDefault="00E25AE7" w:rsidP="007A525F">
      <w:pPr>
        <w:pStyle w:val="a3"/>
        <w:widowControl w:val="0"/>
        <w:autoSpaceDE w:val="0"/>
        <w:autoSpaceDN w:val="0"/>
        <w:bidi/>
        <w:adjustRightInd w:val="0"/>
        <w:spacing w:before="60" w:after="60" w:line="360" w:lineRule="auto"/>
        <w:ind w:left="0"/>
        <w:rPr>
          <w:rFonts w:ascii="David" w:hAnsi="David" w:cs="David"/>
          <w:sz w:val="24"/>
          <w:szCs w:val="24"/>
          <w:rtl/>
        </w:rPr>
      </w:pPr>
      <w:r w:rsidRPr="00F25744">
        <w:rPr>
          <w:rFonts w:ascii="David" w:hAnsi="David" w:cs="David" w:hint="cs"/>
          <w:b/>
          <w:bCs/>
          <w:sz w:val="24"/>
          <w:szCs w:val="24"/>
          <w:rtl/>
        </w:rPr>
        <w:t>הערה</w:t>
      </w:r>
      <w:r w:rsidRPr="00F25744">
        <w:rPr>
          <w:rFonts w:ascii="David" w:hAnsi="David" w:cs="David" w:hint="cs"/>
          <w:sz w:val="24"/>
          <w:szCs w:val="24"/>
          <w:rtl/>
        </w:rPr>
        <w:t xml:space="preserve"> - מעבר להצגת הממצאים לגבי זמני הטיפול השיפוטי בתיקים השונים, ולצרכים הניהוליים של הערכאות השונות, ניתן למצוא בנספחים טבלה המראה את משקלות התיקים של ערכאת המשפחה ברמה </w:t>
      </w:r>
      <w:r w:rsidRPr="00F25744">
        <w:rPr>
          <w:rFonts w:ascii="David" w:hAnsi="David" w:cs="David" w:hint="cs"/>
          <w:b/>
          <w:bCs/>
          <w:sz w:val="24"/>
          <w:szCs w:val="24"/>
          <w:rtl/>
        </w:rPr>
        <w:t>הערכאתית</w:t>
      </w:r>
      <w:r w:rsidRPr="00F25744">
        <w:rPr>
          <w:rFonts w:ascii="David" w:hAnsi="David" w:cs="David" w:hint="cs"/>
          <w:sz w:val="24"/>
          <w:szCs w:val="24"/>
          <w:rtl/>
        </w:rPr>
        <w:t xml:space="preserve"> (כלומר, את הזמנים היחסיים של כל סוג תיק ביחס לתיקים האחרים בערכאת המשפחה בלבד), ב</w:t>
      </w:r>
      <w:r w:rsidRPr="00F25744">
        <w:rPr>
          <w:rFonts w:ascii="David" w:hAnsi="David" w:cs="David" w:hint="cs"/>
          <w:b/>
          <w:bCs/>
          <w:sz w:val="24"/>
          <w:szCs w:val="24"/>
          <w:rtl/>
        </w:rPr>
        <w:t>נספח ה</w:t>
      </w:r>
      <w:r w:rsidR="0077699A" w:rsidRPr="00F25744">
        <w:rPr>
          <w:rFonts w:ascii="David" w:hAnsi="David" w:cs="David" w:hint="cs"/>
          <w:b/>
          <w:bCs/>
          <w:sz w:val="24"/>
          <w:szCs w:val="24"/>
          <w:rtl/>
        </w:rPr>
        <w:t>7</w:t>
      </w:r>
      <w:r w:rsidRPr="00F25744">
        <w:rPr>
          <w:rFonts w:ascii="David" w:hAnsi="David" w:cs="David" w:hint="cs"/>
          <w:sz w:val="24"/>
          <w:szCs w:val="24"/>
          <w:rtl/>
        </w:rPr>
        <w:t>.</w:t>
      </w:r>
    </w:p>
    <w:p w14:paraId="42A4F8CE" w14:textId="77777777" w:rsidR="007F0431" w:rsidRPr="00F25744" w:rsidRDefault="007F0431" w:rsidP="007F0431">
      <w:pPr>
        <w:pStyle w:val="a3"/>
        <w:widowControl w:val="0"/>
        <w:autoSpaceDE w:val="0"/>
        <w:autoSpaceDN w:val="0"/>
        <w:bidi/>
        <w:adjustRightInd w:val="0"/>
        <w:spacing w:before="60" w:after="60" w:line="360" w:lineRule="auto"/>
        <w:ind w:left="0"/>
        <w:rPr>
          <w:rFonts w:ascii="David" w:hAnsi="David" w:cs="David"/>
          <w:sz w:val="24"/>
          <w:szCs w:val="24"/>
          <w:rtl/>
        </w:rPr>
      </w:pPr>
    </w:p>
    <w:p w14:paraId="28C1B1F6" w14:textId="77777777" w:rsidR="00035350" w:rsidRPr="00F25744" w:rsidRDefault="00035350" w:rsidP="001B0FA3">
      <w:pPr>
        <w:pStyle w:val="a3"/>
        <w:widowControl w:val="0"/>
        <w:autoSpaceDE w:val="0"/>
        <w:autoSpaceDN w:val="0"/>
        <w:bidi/>
        <w:adjustRightInd w:val="0"/>
        <w:spacing w:before="60" w:after="60" w:line="240" w:lineRule="auto"/>
        <w:ind w:left="0"/>
        <w:rPr>
          <w:rFonts w:ascii="David" w:hAnsi="David" w:cs="David"/>
          <w:sz w:val="24"/>
          <w:szCs w:val="24"/>
          <w:rtl/>
        </w:rPr>
      </w:pPr>
    </w:p>
    <w:p w14:paraId="29D4F4D9" w14:textId="77777777" w:rsidR="00840519" w:rsidRPr="00F25744" w:rsidRDefault="00E25AE7" w:rsidP="000C1408">
      <w:pPr>
        <w:pStyle w:val="3"/>
        <w:ind w:left="852"/>
        <w:rPr>
          <w:rtl/>
        </w:rPr>
      </w:pPr>
      <w:bookmarkStart w:id="656" w:name="_Toc49352769"/>
      <w:bookmarkStart w:id="657" w:name="_Toc49429674"/>
      <w:bookmarkStart w:id="658" w:name="_Toc49435903"/>
      <w:bookmarkStart w:id="659" w:name="_Toc74751009"/>
      <w:r w:rsidRPr="00F25744">
        <w:rPr>
          <w:rFonts w:hint="cs"/>
          <w:rtl/>
        </w:rPr>
        <w:lastRenderedPageBreak/>
        <w:t>תמהיל יום העבודה השיפוטי - משפחה</w:t>
      </w:r>
      <w:bookmarkEnd w:id="648"/>
      <w:bookmarkEnd w:id="649"/>
      <w:bookmarkEnd w:id="650"/>
      <w:bookmarkEnd w:id="651"/>
      <w:bookmarkEnd w:id="652"/>
      <w:bookmarkEnd w:id="653"/>
      <w:bookmarkEnd w:id="654"/>
      <w:bookmarkEnd w:id="655"/>
      <w:bookmarkEnd w:id="656"/>
      <w:bookmarkEnd w:id="657"/>
      <w:bookmarkEnd w:id="658"/>
      <w:bookmarkEnd w:id="659"/>
    </w:p>
    <w:p w14:paraId="69C1F16F" w14:textId="77777777" w:rsidR="00CE7EFA" w:rsidRPr="00F25744" w:rsidRDefault="00E25AE7" w:rsidP="001B0FA3">
      <w:pPr>
        <w:pStyle w:val="a3"/>
        <w:widowControl w:val="0"/>
        <w:autoSpaceDE w:val="0"/>
        <w:autoSpaceDN w:val="0"/>
        <w:bidi/>
        <w:adjustRightInd w:val="0"/>
        <w:spacing w:before="120" w:after="0" w:line="360" w:lineRule="auto"/>
        <w:ind w:left="0"/>
        <w:rPr>
          <w:rFonts w:ascii="David" w:hAnsi="David" w:cs="David"/>
          <w:sz w:val="24"/>
          <w:szCs w:val="24"/>
          <w:rtl/>
        </w:rPr>
      </w:pPr>
      <w:r w:rsidRPr="00F25744">
        <w:rPr>
          <w:rFonts w:ascii="David" w:hAnsi="David" w:cs="David" w:hint="cs"/>
          <w:sz w:val="24"/>
          <w:szCs w:val="24"/>
          <w:rtl/>
        </w:rPr>
        <w:t>התוצר השני של מחקר עומס העבודה השיפוטית הוא כאמור הצגת תמהיל יום העבודה השיפוטי. מהממצאים עולה</w:t>
      </w:r>
      <w:r w:rsidR="00345F7F" w:rsidRPr="00F25744">
        <w:rPr>
          <w:rFonts w:ascii="David" w:hAnsi="David" w:cs="David" w:hint="cs"/>
          <w:sz w:val="24"/>
          <w:szCs w:val="24"/>
          <w:rtl/>
        </w:rPr>
        <w:t>,</w:t>
      </w:r>
      <w:r w:rsidRPr="00F25744">
        <w:rPr>
          <w:rFonts w:ascii="David" w:hAnsi="David" w:cs="David" w:hint="cs"/>
          <w:sz w:val="24"/>
          <w:szCs w:val="24"/>
          <w:rtl/>
        </w:rPr>
        <w:t xml:space="preserve"> כי שופט משפחה מקדיש בממוצע </w:t>
      </w:r>
      <w:r w:rsidR="00A478FE" w:rsidRPr="00F25744">
        <w:rPr>
          <w:rFonts w:ascii="David" w:hAnsi="David" w:cs="David" w:hint="cs"/>
          <w:sz w:val="24"/>
          <w:szCs w:val="24"/>
          <w:rtl/>
        </w:rPr>
        <w:t>91</w:t>
      </w:r>
      <w:r w:rsidRPr="00F25744">
        <w:rPr>
          <w:rFonts w:ascii="David" w:hAnsi="David" w:cs="David" w:hint="cs"/>
          <w:sz w:val="24"/>
          <w:szCs w:val="24"/>
          <w:rtl/>
        </w:rPr>
        <w:t xml:space="preserve">% מיום העבודה לעבודה שיפוטית שקשורה בתיקים (הכנה לדיונים, שמיעת דיונים וכתיבה) ו-9% </w:t>
      </w:r>
      <w:r w:rsidR="00345F7F" w:rsidRPr="00F25744">
        <w:rPr>
          <w:rFonts w:ascii="David" w:hAnsi="David" w:cs="David" w:hint="cs"/>
          <w:sz w:val="24"/>
          <w:szCs w:val="24"/>
          <w:rtl/>
        </w:rPr>
        <w:t xml:space="preserve">בלבד </w:t>
      </w:r>
      <w:r w:rsidRPr="00F25744">
        <w:rPr>
          <w:rFonts w:ascii="David" w:hAnsi="David" w:cs="David" w:hint="cs"/>
          <w:sz w:val="24"/>
          <w:szCs w:val="24"/>
          <w:rtl/>
        </w:rPr>
        <w:t xml:space="preserve">מוקדשים לעבודה שיפוטית שאינה קשורה בתיקים (התעדכנות בפסיקה, ישיבות צוות, השתלמויות וכדומה). </w:t>
      </w:r>
    </w:p>
    <w:p w14:paraId="50582FE7" w14:textId="77777777" w:rsidR="00CE7EFA" w:rsidRPr="00F25744" w:rsidRDefault="00E25AE7" w:rsidP="001B0FA3">
      <w:pPr>
        <w:pStyle w:val="a3"/>
        <w:widowControl w:val="0"/>
        <w:autoSpaceDE w:val="0"/>
        <w:autoSpaceDN w:val="0"/>
        <w:bidi/>
        <w:adjustRightInd w:val="0"/>
        <w:spacing w:before="120" w:after="0" w:line="360" w:lineRule="auto"/>
        <w:ind w:left="0"/>
        <w:rPr>
          <w:rFonts w:ascii="David" w:hAnsi="David" w:cs="David"/>
          <w:sz w:val="24"/>
          <w:szCs w:val="24"/>
          <w:rtl/>
        </w:rPr>
      </w:pPr>
      <w:r w:rsidRPr="00F25744">
        <w:rPr>
          <w:rFonts w:ascii="David" w:hAnsi="David" w:cs="David" w:hint="cs"/>
          <w:sz w:val="24"/>
          <w:szCs w:val="24"/>
          <w:rtl/>
        </w:rPr>
        <w:t>פילוח העבודה השיפוטית הקשורה בתיקים מעלה כי בממוצע, שופט משפחה מקדיש כמעט מחצית מיומו לפעולות כתיבה, 30% נוספים לשמיעת דיונים ועוד כ-12% להכנה לתיקים.</w:t>
      </w:r>
    </w:p>
    <w:p w14:paraId="62327F11" w14:textId="77777777" w:rsidR="00CE7EFA" w:rsidRPr="00F25744" w:rsidRDefault="00CE7EFA" w:rsidP="00CE7EFA">
      <w:pPr>
        <w:widowControl w:val="0"/>
        <w:autoSpaceDE w:val="0"/>
        <w:autoSpaceDN w:val="0"/>
        <w:adjustRightInd w:val="0"/>
        <w:spacing w:after="0" w:line="360" w:lineRule="auto"/>
        <w:jc w:val="both"/>
        <w:rPr>
          <w:rFonts w:ascii="David" w:hAnsi="David" w:cs="David"/>
          <w:sz w:val="24"/>
          <w:szCs w:val="24"/>
          <w:rtl/>
        </w:rPr>
      </w:pPr>
    </w:p>
    <w:p w14:paraId="46419A53" w14:textId="254DD454" w:rsidR="00CE7EFA" w:rsidRPr="00F25744" w:rsidRDefault="00E25AE7" w:rsidP="002500B8">
      <w:pPr>
        <w:pStyle w:val="af6"/>
        <w:rPr>
          <w:rFonts w:ascii="David" w:hAnsi="David"/>
          <w:sz w:val="24"/>
          <w:rtl/>
        </w:rPr>
      </w:pPr>
      <w:bookmarkStart w:id="660" w:name="_Toc76988534"/>
      <w:r w:rsidRPr="00F25744">
        <w:rPr>
          <w:rtl/>
        </w:rPr>
        <w:t xml:space="preserve">תרשים </w:t>
      </w:r>
      <w:r w:rsidRPr="00F25744">
        <w:rPr>
          <w:rFonts w:ascii="David" w:hAnsi="David"/>
          <w:sz w:val="24"/>
          <w:rtl/>
        </w:rPr>
        <w:fldChar w:fldCharType="begin"/>
      </w:r>
      <w:r w:rsidRPr="00F25744">
        <w:rPr>
          <w:rFonts w:ascii="David" w:hAnsi="David"/>
          <w:sz w:val="24"/>
          <w:rtl/>
        </w:rPr>
        <w:instrText xml:space="preserve"> </w:instrText>
      </w:r>
      <w:r w:rsidRPr="00F25744">
        <w:rPr>
          <w:rFonts w:ascii="David" w:hAnsi="David" w:hint="cs"/>
          <w:sz w:val="24"/>
        </w:rPr>
        <w:instrText>SEQ</w:instrText>
      </w:r>
      <w:r w:rsidRPr="00F25744">
        <w:rPr>
          <w:rFonts w:ascii="David" w:hAnsi="David" w:hint="cs"/>
          <w:sz w:val="24"/>
          <w:rtl/>
        </w:rPr>
        <w:instrText xml:space="preserve"> תרשים \* </w:instrText>
      </w:r>
      <w:r w:rsidRPr="00F25744">
        <w:rPr>
          <w:rFonts w:ascii="David" w:hAnsi="David" w:hint="cs"/>
          <w:sz w:val="24"/>
        </w:rPr>
        <w:instrText>ARABIC</w:instrText>
      </w:r>
      <w:r w:rsidRPr="00F25744">
        <w:rPr>
          <w:rFonts w:ascii="David" w:hAnsi="David"/>
          <w:sz w:val="24"/>
          <w:rtl/>
        </w:rPr>
        <w:instrText xml:space="preserve"> </w:instrText>
      </w:r>
      <w:r w:rsidRPr="00F25744">
        <w:rPr>
          <w:rFonts w:ascii="David" w:hAnsi="David"/>
          <w:sz w:val="24"/>
          <w:rtl/>
        </w:rPr>
        <w:fldChar w:fldCharType="separate"/>
      </w:r>
      <w:r w:rsidR="008F1BC3">
        <w:rPr>
          <w:rFonts w:ascii="David" w:hAnsi="David"/>
          <w:noProof/>
          <w:sz w:val="24"/>
          <w:rtl/>
        </w:rPr>
        <w:t>13</w:t>
      </w:r>
      <w:r w:rsidRPr="00F25744">
        <w:rPr>
          <w:rFonts w:ascii="David" w:hAnsi="David"/>
          <w:sz w:val="24"/>
          <w:rtl/>
        </w:rPr>
        <w:fldChar w:fldCharType="end"/>
      </w:r>
      <w:r w:rsidR="007F3A52" w:rsidRPr="00F25744">
        <w:rPr>
          <w:rFonts w:ascii="David" w:hAnsi="David" w:hint="cs"/>
          <w:sz w:val="24"/>
          <w:rtl/>
        </w:rPr>
        <w:t>: תמהיל יום העבודה השיפוטי הממוצע של שופט משפחה</w:t>
      </w:r>
      <w:bookmarkEnd w:id="660"/>
    </w:p>
    <w:p w14:paraId="5DCA3240" w14:textId="77777777" w:rsidR="00CE7EFA" w:rsidRPr="00F25744" w:rsidRDefault="00E25AE7" w:rsidP="0088205C">
      <w:pPr>
        <w:spacing w:after="0" w:line="360" w:lineRule="auto"/>
        <w:ind w:left="2"/>
        <w:jc w:val="both"/>
        <w:rPr>
          <w:rFonts w:cs="David"/>
          <w:sz w:val="24"/>
          <w:szCs w:val="24"/>
          <w:rtl/>
        </w:rPr>
      </w:pPr>
      <w:r w:rsidRPr="00F25744">
        <w:rPr>
          <w:noProof/>
        </w:rPr>
        <w:drawing>
          <wp:inline distT="0" distB="0" distL="0" distR="0" wp14:anchorId="068AD46D" wp14:editId="538F296E">
            <wp:extent cx="5514340" cy="2348180"/>
            <wp:effectExtent l="0" t="0" r="0" b="0"/>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950009" name="Picture 15"/>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5521629" cy="2351284"/>
                    </a:xfrm>
                    <a:prstGeom prst="rect">
                      <a:avLst/>
                    </a:prstGeom>
                    <a:noFill/>
                    <a:ln>
                      <a:noFill/>
                    </a:ln>
                  </pic:spPr>
                </pic:pic>
              </a:graphicData>
            </a:graphic>
          </wp:inline>
        </w:drawing>
      </w:r>
    </w:p>
    <w:p w14:paraId="30F6A1C2" w14:textId="77777777" w:rsidR="00CE7EFA" w:rsidRPr="00F25744" w:rsidRDefault="00CE7EFA" w:rsidP="001B0FA3">
      <w:pPr>
        <w:spacing w:after="0" w:line="240" w:lineRule="auto"/>
        <w:ind w:left="-1"/>
        <w:jc w:val="both"/>
        <w:rPr>
          <w:rFonts w:cs="David"/>
          <w:sz w:val="24"/>
          <w:szCs w:val="24"/>
          <w:rtl/>
        </w:rPr>
      </w:pPr>
    </w:p>
    <w:p w14:paraId="00A86786" w14:textId="77777777" w:rsidR="00CE7EFA" w:rsidRPr="00F25744" w:rsidRDefault="00E25AE7" w:rsidP="00E543E4">
      <w:pPr>
        <w:pStyle w:val="a3"/>
        <w:widowControl w:val="0"/>
        <w:autoSpaceDE w:val="0"/>
        <w:autoSpaceDN w:val="0"/>
        <w:bidi/>
        <w:adjustRightInd w:val="0"/>
        <w:spacing w:before="60" w:after="60" w:line="360" w:lineRule="auto"/>
        <w:ind w:left="0"/>
        <w:rPr>
          <w:rFonts w:ascii="David" w:hAnsi="David" w:cs="David"/>
          <w:sz w:val="24"/>
          <w:szCs w:val="24"/>
          <w:rtl/>
        </w:rPr>
      </w:pPr>
      <w:r w:rsidRPr="00F25744">
        <w:rPr>
          <w:rFonts w:ascii="David" w:hAnsi="David" w:cs="David" w:hint="cs"/>
          <w:sz w:val="24"/>
          <w:szCs w:val="24"/>
          <w:rtl/>
        </w:rPr>
        <w:t xml:space="preserve">פילוח הזמן שמקדישים השופטים לפעילויות הכתיבה השונות מעלה כי 61% מזמן זה מוקדש לטיפול במשימות סל (29% מכלל יום העבודה השיפוטי); 21% לכתיבת פסקי דין (שהם 10% מכלל יום העבודה השיפוטי) ו-18% הנותרים לכתיבת החלטות (שהם 8% מכלל יום העבודה השיפוטי). </w:t>
      </w:r>
    </w:p>
    <w:p w14:paraId="57981D33" w14:textId="77777777" w:rsidR="005F2789" w:rsidRPr="00F25744" w:rsidRDefault="005F2789" w:rsidP="005F2789">
      <w:pPr>
        <w:pStyle w:val="a3"/>
        <w:widowControl w:val="0"/>
        <w:autoSpaceDE w:val="0"/>
        <w:autoSpaceDN w:val="0"/>
        <w:bidi/>
        <w:adjustRightInd w:val="0"/>
        <w:spacing w:before="60" w:after="60" w:line="360" w:lineRule="auto"/>
        <w:ind w:left="0"/>
        <w:rPr>
          <w:rFonts w:ascii="David" w:hAnsi="David" w:cs="David"/>
          <w:sz w:val="24"/>
          <w:szCs w:val="24"/>
          <w:rtl/>
        </w:rPr>
      </w:pPr>
    </w:p>
    <w:p w14:paraId="01A51D1A" w14:textId="77777777" w:rsidR="00CE7EFA" w:rsidRPr="00F25744" w:rsidRDefault="00CE7EFA" w:rsidP="00CE7EFA">
      <w:pPr>
        <w:pStyle w:val="a3"/>
        <w:widowControl w:val="0"/>
        <w:autoSpaceDE w:val="0"/>
        <w:autoSpaceDN w:val="0"/>
        <w:bidi/>
        <w:adjustRightInd w:val="0"/>
        <w:spacing w:before="60" w:after="60" w:line="240" w:lineRule="auto"/>
        <w:ind w:left="0"/>
        <w:rPr>
          <w:rFonts w:ascii="David" w:hAnsi="David" w:cs="David"/>
          <w:sz w:val="24"/>
          <w:szCs w:val="24"/>
          <w:rtl/>
        </w:rPr>
      </w:pPr>
    </w:p>
    <w:p w14:paraId="365A18C8" w14:textId="77777777" w:rsidR="00FA2305" w:rsidRPr="00F25744" w:rsidRDefault="00E25AE7" w:rsidP="00040D38">
      <w:pPr>
        <w:pStyle w:val="2"/>
        <w:rPr>
          <w:rtl/>
        </w:rPr>
      </w:pPr>
      <w:bookmarkStart w:id="661" w:name="_Toc46226082"/>
      <w:bookmarkStart w:id="662" w:name="_Toc46226226"/>
      <w:bookmarkStart w:id="663" w:name="_Toc46228393"/>
      <w:bookmarkStart w:id="664" w:name="_Toc46228491"/>
      <w:bookmarkStart w:id="665" w:name="_Toc46230418"/>
      <w:bookmarkStart w:id="666" w:name="_Toc46230516"/>
      <w:bookmarkStart w:id="667" w:name="_Toc46310406"/>
      <w:bookmarkStart w:id="668" w:name="_Toc46414048"/>
      <w:bookmarkStart w:id="669" w:name="_Toc49352770"/>
      <w:bookmarkStart w:id="670" w:name="_Toc49429675"/>
      <w:bookmarkStart w:id="671" w:name="_Toc49435904"/>
      <w:bookmarkStart w:id="672" w:name="_Toc46226093"/>
      <w:bookmarkStart w:id="673" w:name="_Toc46226237"/>
      <w:bookmarkStart w:id="674" w:name="_Toc46228404"/>
      <w:bookmarkStart w:id="675" w:name="_Toc46228502"/>
      <w:bookmarkStart w:id="676" w:name="_Toc46230429"/>
      <w:bookmarkStart w:id="677" w:name="_Toc46230527"/>
      <w:bookmarkStart w:id="678" w:name="_Toc46310417"/>
      <w:bookmarkStart w:id="679" w:name="_Toc46414059"/>
      <w:r w:rsidRPr="00F25744">
        <w:rPr>
          <w:rtl/>
        </w:rPr>
        <w:br w:type="page"/>
      </w:r>
      <w:r w:rsidR="00052CBB" w:rsidRPr="000C1408">
        <w:rPr>
          <w:rFonts w:hint="cs"/>
          <w:u w:val="none"/>
          <w:rtl/>
        </w:rPr>
        <w:lastRenderedPageBreak/>
        <w:t xml:space="preserve"> </w:t>
      </w:r>
      <w:bookmarkStart w:id="680" w:name="_Toc74751010"/>
      <w:r w:rsidR="007F3A52" w:rsidRPr="00F25744">
        <w:rPr>
          <w:rFonts w:hint="cs"/>
          <w:rtl/>
        </w:rPr>
        <w:t xml:space="preserve">ממצאי </w:t>
      </w:r>
      <w:r w:rsidR="00040D38" w:rsidRPr="00F25744">
        <w:rPr>
          <w:rFonts w:hint="cs"/>
          <w:rtl/>
        </w:rPr>
        <w:t>בתי המשפט ל</w:t>
      </w:r>
      <w:r w:rsidR="007F3A52" w:rsidRPr="00F25744">
        <w:rPr>
          <w:rFonts w:hint="cs"/>
          <w:rtl/>
        </w:rPr>
        <w:t>נוער</w:t>
      </w:r>
      <w:bookmarkEnd w:id="661"/>
      <w:bookmarkEnd w:id="662"/>
      <w:bookmarkEnd w:id="663"/>
      <w:bookmarkEnd w:id="664"/>
      <w:bookmarkEnd w:id="665"/>
      <w:bookmarkEnd w:id="666"/>
      <w:bookmarkEnd w:id="667"/>
      <w:bookmarkEnd w:id="668"/>
      <w:bookmarkEnd w:id="669"/>
      <w:bookmarkEnd w:id="670"/>
      <w:bookmarkEnd w:id="671"/>
      <w:bookmarkEnd w:id="680"/>
    </w:p>
    <w:p w14:paraId="39757C30" w14:textId="77777777" w:rsidR="00FA2305" w:rsidRPr="00F25744" w:rsidRDefault="00FA2305" w:rsidP="001B0FA3">
      <w:pPr>
        <w:spacing w:after="0" w:line="240" w:lineRule="auto"/>
        <w:rPr>
          <w:rtl/>
        </w:rPr>
      </w:pPr>
    </w:p>
    <w:p w14:paraId="6B29FFF9" w14:textId="77777777" w:rsidR="00FA2305" w:rsidRPr="00F25744" w:rsidRDefault="00E25AE7" w:rsidP="000C1408">
      <w:pPr>
        <w:pStyle w:val="3"/>
        <w:ind w:left="852"/>
      </w:pPr>
      <w:bookmarkStart w:id="681" w:name="_Toc46226083"/>
      <w:bookmarkStart w:id="682" w:name="_Toc46226227"/>
      <w:bookmarkStart w:id="683" w:name="_Toc46228394"/>
      <w:bookmarkStart w:id="684" w:name="_Toc46228492"/>
      <w:bookmarkStart w:id="685" w:name="_Toc46230419"/>
      <w:bookmarkStart w:id="686" w:name="_Toc46230517"/>
      <w:bookmarkStart w:id="687" w:name="_Toc46310407"/>
      <w:bookmarkStart w:id="688" w:name="_Toc46414049"/>
      <w:bookmarkStart w:id="689" w:name="_Toc49352771"/>
      <w:bookmarkStart w:id="690" w:name="_Toc49429676"/>
      <w:bookmarkStart w:id="691" w:name="_Toc49435905"/>
      <w:bookmarkStart w:id="692" w:name="_Toc74751011"/>
      <w:r w:rsidRPr="00F25744">
        <w:rPr>
          <w:rFonts w:hint="cs"/>
          <w:rtl/>
        </w:rPr>
        <w:t>התאמות ליומני השופטים ב</w:t>
      </w:r>
      <w:r w:rsidR="00040D38" w:rsidRPr="00F25744">
        <w:rPr>
          <w:rFonts w:hint="cs"/>
          <w:rtl/>
        </w:rPr>
        <w:t>בתי המשפט ל</w:t>
      </w:r>
      <w:r w:rsidRPr="00F25744">
        <w:rPr>
          <w:rFonts w:hint="cs"/>
          <w:rtl/>
        </w:rPr>
        <w:t>נוער</w:t>
      </w:r>
      <w:bookmarkEnd w:id="681"/>
      <w:bookmarkEnd w:id="682"/>
      <w:bookmarkEnd w:id="683"/>
      <w:bookmarkEnd w:id="684"/>
      <w:bookmarkEnd w:id="685"/>
      <w:bookmarkEnd w:id="686"/>
      <w:bookmarkEnd w:id="687"/>
      <w:bookmarkEnd w:id="688"/>
      <w:bookmarkEnd w:id="689"/>
      <w:bookmarkEnd w:id="690"/>
      <w:bookmarkEnd w:id="691"/>
      <w:bookmarkEnd w:id="692"/>
      <w:r w:rsidRPr="00F25744">
        <w:rPr>
          <w:rFonts w:hint="cs"/>
          <w:rtl/>
        </w:rPr>
        <w:t xml:space="preserve"> </w:t>
      </w:r>
    </w:p>
    <w:p w14:paraId="454DD8AF" w14:textId="77777777" w:rsidR="00FA2305" w:rsidRPr="00F25744" w:rsidRDefault="00E25AE7" w:rsidP="001B0FA3">
      <w:pPr>
        <w:spacing w:before="120" w:after="0" w:line="360" w:lineRule="auto"/>
        <w:jc w:val="both"/>
        <w:rPr>
          <w:rFonts w:cs="David"/>
          <w:sz w:val="24"/>
          <w:szCs w:val="24"/>
          <w:rtl/>
        </w:rPr>
      </w:pPr>
      <w:r w:rsidRPr="00F25744">
        <w:rPr>
          <w:rFonts w:cs="David" w:hint="cs"/>
          <w:sz w:val="24"/>
          <w:szCs w:val="24"/>
          <w:rtl/>
        </w:rPr>
        <w:t xml:space="preserve">בפרק 2 שעסק במתודולוגיית המחקר, הצגנו את המבנה הבסיסי של היומן שאותו מילאו השופטים במהלך חמשת שבועות המחקר. ביומן בסיסי זה, אשר תיעד את הזמן השיפוטי שאותו הקדישו השופטים במהלך יום העבודה שלהם בפילוח לפעולות השיפוטיות השונות, ערכנו את ההתאמות הבאות לאופי הדיונים הייחודי של </w:t>
      </w:r>
      <w:r w:rsidR="00040D38" w:rsidRPr="00F25744">
        <w:rPr>
          <w:rFonts w:cs="David" w:hint="cs"/>
          <w:sz w:val="24"/>
          <w:szCs w:val="24"/>
          <w:rtl/>
        </w:rPr>
        <w:t>בתי המשפט ל</w:t>
      </w:r>
      <w:r w:rsidR="007F3A52" w:rsidRPr="00F25744">
        <w:rPr>
          <w:rFonts w:cs="David" w:hint="cs"/>
          <w:sz w:val="24"/>
          <w:szCs w:val="24"/>
          <w:rtl/>
        </w:rPr>
        <w:t xml:space="preserve">נוער:  </w:t>
      </w:r>
    </w:p>
    <w:p w14:paraId="567E9AB3" w14:textId="77777777" w:rsidR="00FA2305" w:rsidRPr="00F25744" w:rsidRDefault="00E25AE7" w:rsidP="001B0FA3">
      <w:pPr>
        <w:numPr>
          <w:ilvl w:val="0"/>
          <w:numId w:val="20"/>
        </w:numPr>
        <w:spacing w:before="120" w:after="0" w:line="360" w:lineRule="auto"/>
        <w:ind w:left="425" w:hanging="425"/>
        <w:jc w:val="both"/>
        <w:rPr>
          <w:rFonts w:cs="David"/>
          <w:sz w:val="24"/>
          <w:szCs w:val="24"/>
        </w:rPr>
      </w:pPr>
      <w:r w:rsidRPr="00F25744">
        <w:rPr>
          <w:rFonts w:cs="David" w:hint="cs"/>
          <w:b/>
          <w:bCs/>
          <w:sz w:val="24"/>
          <w:szCs w:val="24"/>
          <w:rtl/>
        </w:rPr>
        <w:t xml:space="preserve">תיקים הנסגרים בהסדרי טיעון </w:t>
      </w:r>
      <w:r w:rsidRPr="00F25744">
        <w:rPr>
          <w:rFonts w:cs="David"/>
          <w:sz w:val="24"/>
          <w:szCs w:val="24"/>
          <w:rtl/>
        </w:rPr>
        <w:t>–</w:t>
      </w:r>
      <w:r w:rsidRPr="00F25744">
        <w:rPr>
          <w:rFonts w:cs="David" w:hint="cs"/>
          <w:sz w:val="24"/>
          <w:szCs w:val="24"/>
          <w:rtl/>
        </w:rPr>
        <w:t xml:space="preserve"> לגבי </w:t>
      </w:r>
      <w:r w:rsidRPr="00F25744">
        <w:rPr>
          <w:rFonts w:cs="David" w:hint="cs"/>
          <w:b/>
          <w:bCs/>
          <w:sz w:val="24"/>
          <w:szCs w:val="24"/>
          <w:rtl/>
        </w:rPr>
        <w:t>התיקים הפליליים</w:t>
      </w:r>
      <w:r w:rsidRPr="00F25744">
        <w:rPr>
          <w:rFonts w:cs="David" w:hint="cs"/>
          <w:sz w:val="24"/>
          <w:szCs w:val="24"/>
          <w:rtl/>
        </w:rPr>
        <w:t xml:space="preserve">, הוספנו עמודה המתייחסת לכתיבת פסקי הדין בתיקים שנסגרו </w:t>
      </w:r>
      <w:r w:rsidRPr="00F25744">
        <w:rPr>
          <w:rFonts w:cs="David" w:hint="cs"/>
          <w:b/>
          <w:bCs/>
          <w:sz w:val="24"/>
          <w:szCs w:val="24"/>
          <w:rtl/>
        </w:rPr>
        <w:t>בהסדר טיעון</w:t>
      </w:r>
      <w:r w:rsidRPr="00F25744">
        <w:rPr>
          <w:rFonts w:cs="David" w:hint="cs"/>
          <w:sz w:val="24"/>
          <w:szCs w:val="24"/>
          <w:rtl/>
        </w:rPr>
        <w:t xml:space="preserve">, תוך הבחנה בין הסדר טיעון פתוח, סגור או הסדר טיעון שבו ניתן טווח ענישה, מתוך הנחה שזמני הכתיבה של פסקי הדין בכל אחת מהאפשרויות הללו שונים. כאן המקום להדגיש כי ברור לנו שמרביתם המכרעת של פסקי הדין בתיקים הפליליים, במיוחד אלו שניתנים לאחר הסדר טיעון סגור, מוכתבים וניתנים באולם. במקרים אלו, זמני כתיבת פסק הדין שניתן באולם חושבו כחלק מזמן הדיון. אולם, על מנת שנוכל למדוד את זמני הכתיבה לגבי אותם פסקי דין פליליים שבכל זאת נכתבו מחוץ לאולם, הוספנו את עמודת הסדרי הטיעון.  </w:t>
      </w:r>
    </w:p>
    <w:p w14:paraId="520198CC" w14:textId="77777777" w:rsidR="00FA2305" w:rsidRPr="00F25744" w:rsidRDefault="00E25AE7" w:rsidP="001B0FA3">
      <w:pPr>
        <w:numPr>
          <w:ilvl w:val="0"/>
          <w:numId w:val="20"/>
        </w:numPr>
        <w:spacing w:before="120" w:after="0" w:line="360" w:lineRule="auto"/>
        <w:ind w:left="425" w:hanging="425"/>
        <w:jc w:val="both"/>
        <w:rPr>
          <w:rFonts w:cs="David"/>
          <w:sz w:val="24"/>
          <w:szCs w:val="24"/>
        </w:rPr>
      </w:pPr>
      <w:r w:rsidRPr="00F25744">
        <w:rPr>
          <w:rFonts w:cs="David" w:hint="cs"/>
          <w:b/>
          <w:bCs/>
          <w:sz w:val="24"/>
          <w:szCs w:val="24"/>
          <w:rtl/>
        </w:rPr>
        <w:t xml:space="preserve">סוגי עניין </w:t>
      </w:r>
      <w:r w:rsidRPr="00F25744">
        <w:rPr>
          <w:rFonts w:cs="David"/>
          <w:sz w:val="24"/>
          <w:szCs w:val="24"/>
          <w:rtl/>
        </w:rPr>
        <w:t>–</w:t>
      </w:r>
      <w:r w:rsidRPr="00F25744">
        <w:rPr>
          <w:rFonts w:cs="David" w:hint="cs"/>
          <w:sz w:val="24"/>
          <w:szCs w:val="24"/>
          <w:rtl/>
        </w:rPr>
        <w:t xml:space="preserve"> </w:t>
      </w:r>
      <w:r w:rsidR="00040D38" w:rsidRPr="00F25744">
        <w:rPr>
          <w:rFonts w:cs="David" w:hint="cs"/>
          <w:sz w:val="24"/>
          <w:szCs w:val="24"/>
          <w:rtl/>
        </w:rPr>
        <w:t xml:space="preserve">בבתי המשפט לנוער </w:t>
      </w:r>
      <w:r w:rsidRPr="00F25744">
        <w:rPr>
          <w:rFonts w:cs="David" w:hint="cs"/>
          <w:sz w:val="24"/>
          <w:szCs w:val="24"/>
          <w:rtl/>
        </w:rPr>
        <w:t>סוגי התיקים אינם נחלקים לסוגי עניין ועל כן הורדנו עמודה זו מהיומן.</w:t>
      </w:r>
    </w:p>
    <w:p w14:paraId="224FA6CC" w14:textId="77777777" w:rsidR="00B12165" w:rsidRPr="00F25744" w:rsidRDefault="00B12165" w:rsidP="00B12165">
      <w:pPr>
        <w:spacing w:after="0" w:line="240" w:lineRule="auto"/>
        <w:jc w:val="both"/>
        <w:rPr>
          <w:rFonts w:cs="David"/>
          <w:sz w:val="24"/>
          <w:szCs w:val="24"/>
          <w:rtl/>
        </w:rPr>
      </w:pPr>
    </w:p>
    <w:p w14:paraId="64BEAE08" w14:textId="77777777" w:rsidR="00B12165" w:rsidRPr="00F25744" w:rsidRDefault="00E25AE7" w:rsidP="00F03033">
      <w:pPr>
        <w:spacing w:after="0" w:line="360" w:lineRule="auto"/>
        <w:jc w:val="both"/>
        <w:rPr>
          <w:rFonts w:cs="David"/>
          <w:sz w:val="24"/>
          <w:szCs w:val="24"/>
          <w:rtl/>
        </w:rPr>
      </w:pPr>
      <w:r w:rsidRPr="00F25744">
        <w:rPr>
          <w:rFonts w:cs="David" w:hint="cs"/>
          <w:sz w:val="24"/>
          <w:szCs w:val="24"/>
          <w:rtl/>
        </w:rPr>
        <w:t xml:space="preserve">ניתן להתרשם מיומן העבודה השיפוטי שנבנה עבור </w:t>
      </w:r>
      <w:r w:rsidR="00040D38" w:rsidRPr="00F25744">
        <w:rPr>
          <w:rFonts w:cs="David" w:hint="cs"/>
          <w:sz w:val="24"/>
          <w:szCs w:val="24"/>
          <w:rtl/>
        </w:rPr>
        <w:t xml:space="preserve">בתי המשפט לנוער </w:t>
      </w:r>
      <w:r w:rsidRPr="00F25744">
        <w:rPr>
          <w:rFonts w:cs="David" w:hint="cs"/>
          <w:sz w:val="24"/>
          <w:szCs w:val="24"/>
          <w:rtl/>
        </w:rPr>
        <w:t>ביומן לדוגמה המצורף כ</w:t>
      </w:r>
      <w:r w:rsidRPr="00F25744">
        <w:rPr>
          <w:rFonts w:cs="David" w:hint="cs"/>
          <w:b/>
          <w:bCs/>
          <w:sz w:val="24"/>
          <w:szCs w:val="24"/>
          <w:rtl/>
        </w:rPr>
        <w:t>נספח</w:t>
      </w:r>
      <w:r w:rsidRPr="00F25744">
        <w:rPr>
          <w:rFonts w:cs="David" w:hint="cs"/>
          <w:sz w:val="24"/>
          <w:szCs w:val="24"/>
          <w:rtl/>
        </w:rPr>
        <w:t xml:space="preserve"> </w:t>
      </w:r>
      <w:r w:rsidRPr="00F25744">
        <w:rPr>
          <w:rFonts w:cs="David" w:hint="cs"/>
          <w:b/>
          <w:bCs/>
          <w:sz w:val="24"/>
          <w:szCs w:val="24"/>
          <w:rtl/>
        </w:rPr>
        <w:t>ד5</w:t>
      </w:r>
      <w:r w:rsidRPr="00F25744">
        <w:rPr>
          <w:rFonts w:cs="David" w:hint="cs"/>
          <w:sz w:val="24"/>
          <w:szCs w:val="24"/>
          <w:rtl/>
        </w:rPr>
        <w:t xml:space="preserve">. </w:t>
      </w:r>
    </w:p>
    <w:p w14:paraId="02276584" w14:textId="77777777" w:rsidR="00FA2305" w:rsidRPr="00F25744" w:rsidRDefault="00FA2305" w:rsidP="00FA2305">
      <w:pPr>
        <w:spacing w:after="0" w:line="240" w:lineRule="auto"/>
        <w:ind w:left="425" w:hanging="425"/>
        <w:jc w:val="both"/>
        <w:rPr>
          <w:rFonts w:cs="David"/>
          <w:sz w:val="24"/>
          <w:szCs w:val="24"/>
          <w:rtl/>
        </w:rPr>
      </w:pPr>
    </w:p>
    <w:p w14:paraId="3C6E2F0D" w14:textId="77777777" w:rsidR="00FA2305" w:rsidRPr="00F25744" w:rsidRDefault="00E25AE7" w:rsidP="000C1408">
      <w:pPr>
        <w:pStyle w:val="3"/>
        <w:ind w:left="852"/>
        <w:rPr>
          <w:rtl/>
        </w:rPr>
      </w:pPr>
      <w:bookmarkStart w:id="693" w:name="_Toc49352772"/>
      <w:bookmarkStart w:id="694" w:name="_Toc49429677"/>
      <w:bookmarkStart w:id="695" w:name="_Toc49435906"/>
      <w:bookmarkStart w:id="696" w:name="_Toc74751012"/>
      <w:bookmarkStart w:id="697" w:name="_Toc46226084"/>
      <w:bookmarkStart w:id="698" w:name="_Toc46226228"/>
      <w:bookmarkStart w:id="699" w:name="_Toc46228395"/>
      <w:bookmarkStart w:id="700" w:name="_Toc46228493"/>
      <w:bookmarkStart w:id="701" w:name="_Toc46230420"/>
      <w:bookmarkStart w:id="702" w:name="_Toc46230518"/>
      <w:bookmarkStart w:id="703" w:name="_Toc46310408"/>
      <w:bookmarkStart w:id="704" w:name="_Toc46414050"/>
      <w:r w:rsidRPr="00F25744">
        <w:rPr>
          <w:rFonts w:hint="cs"/>
          <w:rtl/>
        </w:rPr>
        <w:t xml:space="preserve">הזמן השיפוטי הדרוש לטיפול בתיקי </w:t>
      </w:r>
      <w:r w:rsidR="00040D38" w:rsidRPr="00F25744">
        <w:rPr>
          <w:rFonts w:hint="cs"/>
          <w:rtl/>
        </w:rPr>
        <w:t>בתי המשפט לנוער</w:t>
      </w:r>
      <w:bookmarkEnd w:id="693"/>
      <w:bookmarkEnd w:id="694"/>
      <w:bookmarkEnd w:id="695"/>
      <w:bookmarkEnd w:id="696"/>
      <w:r w:rsidR="00040D38" w:rsidRPr="00F25744">
        <w:rPr>
          <w:rFonts w:hint="cs"/>
          <w:rtl/>
        </w:rPr>
        <w:t xml:space="preserve"> </w:t>
      </w:r>
      <w:bookmarkEnd w:id="697"/>
      <w:bookmarkEnd w:id="698"/>
      <w:bookmarkEnd w:id="699"/>
      <w:bookmarkEnd w:id="700"/>
      <w:bookmarkEnd w:id="701"/>
      <w:bookmarkEnd w:id="702"/>
      <w:bookmarkEnd w:id="703"/>
      <w:bookmarkEnd w:id="704"/>
    </w:p>
    <w:p w14:paraId="6A0FE51B" w14:textId="77777777" w:rsidR="008735EA" w:rsidRPr="00F25744" w:rsidRDefault="00E25AE7" w:rsidP="001B0FA3">
      <w:pPr>
        <w:spacing w:before="120" w:after="0" w:line="360" w:lineRule="auto"/>
        <w:jc w:val="both"/>
        <w:rPr>
          <w:rFonts w:cs="David"/>
          <w:sz w:val="24"/>
          <w:szCs w:val="24"/>
          <w:rtl/>
        </w:rPr>
      </w:pPr>
      <w:r w:rsidRPr="00F25744">
        <w:rPr>
          <w:rFonts w:cs="David" w:hint="cs"/>
          <w:sz w:val="24"/>
          <w:szCs w:val="24"/>
          <w:rtl/>
        </w:rPr>
        <w:t xml:space="preserve">התוצר הראשון של מחקר עומס העבודה השיפוטית הוא חישוב הזמן השיפוטי הדרוש לטיפול בכל אחד מסוגי התיקים השונים </w:t>
      </w:r>
      <w:r w:rsidR="00040D38" w:rsidRPr="00F25744">
        <w:rPr>
          <w:rFonts w:cs="David" w:hint="cs"/>
          <w:sz w:val="24"/>
          <w:szCs w:val="24"/>
          <w:rtl/>
        </w:rPr>
        <w:t>בבתי המשפט לנוער</w:t>
      </w:r>
      <w:r w:rsidRPr="00F25744">
        <w:rPr>
          <w:rFonts w:cs="David" w:hint="cs"/>
          <w:sz w:val="24"/>
          <w:szCs w:val="24"/>
          <w:rtl/>
        </w:rPr>
        <w:t xml:space="preserve">. המחקר הנוכחי הצליח לחשב את הזמן השיפוטי הדרוש לטיפול ב-12 סוגי התיקים העיקריים </w:t>
      </w:r>
      <w:r w:rsidR="00040D38" w:rsidRPr="00F25744">
        <w:rPr>
          <w:rFonts w:cs="David" w:hint="cs"/>
          <w:sz w:val="24"/>
          <w:szCs w:val="24"/>
          <w:rtl/>
        </w:rPr>
        <w:t>בבתי המשפט לנוער</w:t>
      </w:r>
      <w:r w:rsidRPr="00F25744">
        <w:rPr>
          <w:rFonts w:cs="David" w:hint="cs"/>
          <w:sz w:val="24"/>
          <w:szCs w:val="24"/>
          <w:rtl/>
        </w:rPr>
        <w:t xml:space="preserve">, אשר מהווים כמעט 98% מכלל תיקי </w:t>
      </w:r>
      <w:r w:rsidR="00AD3817" w:rsidRPr="00F25744">
        <w:rPr>
          <w:rFonts w:cs="David" w:hint="cs"/>
          <w:sz w:val="24"/>
          <w:szCs w:val="24"/>
          <w:rtl/>
        </w:rPr>
        <w:t xml:space="preserve">הנוער </w:t>
      </w:r>
      <w:r w:rsidRPr="00F25744">
        <w:rPr>
          <w:rFonts w:cs="David" w:hint="cs"/>
          <w:sz w:val="24"/>
          <w:szCs w:val="24"/>
          <w:rtl/>
        </w:rPr>
        <w:t>שנסגרו במהלך שנת 2019. כך שגם אם לא התאפשר לחשב את הזמן השיפוטי הדרוש לכ-</w:t>
      </w:r>
      <w:r w:rsidR="00AD3817" w:rsidRPr="00F25744">
        <w:rPr>
          <w:rFonts w:cs="David" w:hint="cs"/>
          <w:sz w:val="24"/>
          <w:szCs w:val="24"/>
          <w:rtl/>
        </w:rPr>
        <w:t>2</w:t>
      </w:r>
      <w:r w:rsidRPr="00F25744">
        <w:rPr>
          <w:rFonts w:cs="David" w:hint="cs"/>
          <w:sz w:val="24"/>
          <w:szCs w:val="24"/>
          <w:rtl/>
        </w:rPr>
        <w:t xml:space="preserve">% מכלל התיקים האחרים, הרי שההשפעה של סוגי התיקים שלגביהם לא חושב הזמן השיפוטי על העומס אינה משמעותית.  </w:t>
      </w:r>
    </w:p>
    <w:p w14:paraId="7ED5366A" w14:textId="77777777" w:rsidR="008735EA" w:rsidRPr="00F25744" w:rsidRDefault="00E25AE7" w:rsidP="001B0FA3">
      <w:pPr>
        <w:spacing w:before="120" w:after="0" w:line="360" w:lineRule="auto"/>
        <w:jc w:val="both"/>
        <w:rPr>
          <w:rFonts w:cs="David"/>
          <w:sz w:val="24"/>
          <w:szCs w:val="24"/>
          <w:rtl/>
        </w:rPr>
      </w:pPr>
      <w:r w:rsidRPr="00F25744">
        <w:rPr>
          <w:rFonts w:cs="David" w:hint="cs"/>
          <w:sz w:val="24"/>
          <w:szCs w:val="24"/>
          <w:rtl/>
        </w:rPr>
        <w:t xml:space="preserve">בטבלה שלפניכם מובאים </w:t>
      </w:r>
      <w:r w:rsidR="00AD3817" w:rsidRPr="00F25744">
        <w:rPr>
          <w:rFonts w:cs="David" w:hint="cs"/>
          <w:sz w:val="24"/>
          <w:szCs w:val="24"/>
          <w:rtl/>
        </w:rPr>
        <w:t>12</w:t>
      </w:r>
      <w:r w:rsidRPr="00F25744">
        <w:rPr>
          <w:rFonts w:cs="David" w:hint="cs"/>
          <w:sz w:val="24"/>
          <w:szCs w:val="24"/>
          <w:rtl/>
        </w:rPr>
        <w:t xml:space="preserve"> סוגי התיקים שלגביהם נאספו נתונים מספקים בכל מערכי המחקר לגבי </w:t>
      </w:r>
      <w:r w:rsidR="00040D38" w:rsidRPr="00F25744">
        <w:rPr>
          <w:rFonts w:cs="David" w:hint="cs"/>
          <w:sz w:val="24"/>
          <w:szCs w:val="24"/>
          <w:rtl/>
        </w:rPr>
        <w:t>בתי המשפט לנוער</w:t>
      </w:r>
      <w:r w:rsidRPr="00F25744">
        <w:rPr>
          <w:rFonts w:cs="David" w:hint="cs"/>
          <w:sz w:val="24"/>
          <w:szCs w:val="24"/>
          <w:rtl/>
        </w:rPr>
        <w:t xml:space="preserve">, יחד עם מספר התיקים מאותו סוג אשר נסגרו במהלך שנת 2019, הזמן השיפוטי הדרוש לטפל בהם, הזמן השיפוטי שנמדד במחקר הקודם ומגמת השינוי מהמחקר הקודם. </w:t>
      </w:r>
    </w:p>
    <w:p w14:paraId="54957924" w14:textId="7E7F86E9" w:rsidR="008735EA" w:rsidRDefault="00E25AE7" w:rsidP="001B0FA3">
      <w:pPr>
        <w:spacing w:before="120" w:after="0" w:line="360" w:lineRule="auto"/>
        <w:jc w:val="both"/>
        <w:rPr>
          <w:rFonts w:cs="David"/>
          <w:sz w:val="24"/>
          <w:szCs w:val="24"/>
          <w:rtl/>
        </w:rPr>
      </w:pPr>
      <w:r w:rsidRPr="00F25744">
        <w:rPr>
          <w:rFonts w:cs="David" w:hint="cs"/>
          <w:sz w:val="24"/>
          <w:szCs w:val="24"/>
          <w:rtl/>
        </w:rPr>
        <w:t xml:space="preserve">הטבלה מציגה את סוגי התיקים בסדר יורד, מהתיק שדרוש לו הזמן השיפוטי הארוך ביותר </w:t>
      </w:r>
      <w:r w:rsidR="00FA1BD5" w:rsidRPr="00F25744">
        <w:rPr>
          <w:rFonts w:cs="David" w:hint="cs"/>
          <w:sz w:val="24"/>
          <w:szCs w:val="24"/>
          <w:rtl/>
        </w:rPr>
        <w:t>ל</w:t>
      </w:r>
      <w:r w:rsidRPr="00F25744">
        <w:rPr>
          <w:rFonts w:cs="David" w:hint="cs"/>
          <w:sz w:val="24"/>
          <w:szCs w:val="24"/>
          <w:rtl/>
        </w:rPr>
        <w:t>תיק שדרוש לו הזמן השיפוטי הקצר ביותר.</w:t>
      </w:r>
    </w:p>
    <w:p w14:paraId="7D678968" w14:textId="7E419262" w:rsidR="007A525F" w:rsidRDefault="007A525F" w:rsidP="001B0FA3">
      <w:pPr>
        <w:spacing w:before="120" w:after="0" w:line="360" w:lineRule="auto"/>
        <w:jc w:val="both"/>
        <w:rPr>
          <w:rFonts w:cs="David"/>
          <w:sz w:val="24"/>
          <w:szCs w:val="24"/>
          <w:rtl/>
        </w:rPr>
      </w:pPr>
    </w:p>
    <w:p w14:paraId="3499C63E" w14:textId="77777777" w:rsidR="007F0431" w:rsidRPr="00F25744" w:rsidRDefault="007F0431" w:rsidP="001B0FA3">
      <w:pPr>
        <w:spacing w:before="120" w:after="0" w:line="360" w:lineRule="auto"/>
        <w:jc w:val="both"/>
        <w:rPr>
          <w:rFonts w:cs="David"/>
          <w:sz w:val="24"/>
          <w:szCs w:val="24"/>
          <w:rtl/>
        </w:rPr>
      </w:pPr>
    </w:p>
    <w:p w14:paraId="3344F28F" w14:textId="65625A26" w:rsidR="00FA2305" w:rsidRPr="00F25744" w:rsidRDefault="00E25AE7" w:rsidP="00706796">
      <w:pPr>
        <w:pStyle w:val="af6"/>
        <w:rPr>
          <w:sz w:val="24"/>
          <w:rtl/>
        </w:rPr>
      </w:pPr>
      <w:bookmarkStart w:id="705" w:name="_Toc76988911"/>
      <w:r w:rsidRPr="00F25744">
        <w:rPr>
          <w:rtl/>
        </w:rPr>
        <w:lastRenderedPageBreak/>
        <w:t xml:space="preserve">טבלה </w:t>
      </w:r>
      <w:r w:rsidRPr="00F25744">
        <w:rPr>
          <w:sz w:val="24"/>
          <w:rtl/>
        </w:rPr>
        <w:fldChar w:fldCharType="begin"/>
      </w:r>
      <w:r w:rsidRPr="00F25744">
        <w:rPr>
          <w:sz w:val="24"/>
          <w:rtl/>
        </w:rPr>
        <w:instrText xml:space="preserve"> </w:instrText>
      </w:r>
      <w:r w:rsidRPr="00F25744">
        <w:rPr>
          <w:rFonts w:hint="cs"/>
          <w:sz w:val="24"/>
        </w:rPr>
        <w:instrText>SEQ</w:instrText>
      </w:r>
      <w:r w:rsidRPr="00F25744">
        <w:rPr>
          <w:rFonts w:hint="cs"/>
          <w:sz w:val="24"/>
          <w:rtl/>
        </w:rPr>
        <w:instrText xml:space="preserve"> טבלה \* </w:instrText>
      </w:r>
      <w:r w:rsidRPr="00F25744">
        <w:rPr>
          <w:rFonts w:hint="cs"/>
          <w:sz w:val="24"/>
        </w:rPr>
        <w:instrText>ARABIC</w:instrText>
      </w:r>
      <w:r w:rsidRPr="00F25744">
        <w:rPr>
          <w:sz w:val="24"/>
          <w:rtl/>
        </w:rPr>
        <w:instrText xml:space="preserve"> </w:instrText>
      </w:r>
      <w:r w:rsidRPr="00F25744">
        <w:rPr>
          <w:sz w:val="24"/>
          <w:rtl/>
        </w:rPr>
        <w:fldChar w:fldCharType="separate"/>
      </w:r>
      <w:r w:rsidR="008F1BC3">
        <w:rPr>
          <w:noProof/>
          <w:sz w:val="24"/>
          <w:rtl/>
        </w:rPr>
        <w:t>16</w:t>
      </w:r>
      <w:r w:rsidRPr="00F25744">
        <w:rPr>
          <w:sz w:val="24"/>
          <w:rtl/>
        </w:rPr>
        <w:fldChar w:fldCharType="end"/>
      </w:r>
      <w:r w:rsidR="007F3A52" w:rsidRPr="00F25744">
        <w:rPr>
          <w:rFonts w:hint="cs"/>
          <w:sz w:val="24"/>
          <w:rtl/>
        </w:rPr>
        <w:t xml:space="preserve">: </w:t>
      </w:r>
      <w:r w:rsidR="007F3A52" w:rsidRPr="00F25744">
        <w:rPr>
          <w:rFonts w:ascii="David" w:hAnsi="David" w:hint="cs"/>
          <w:sz w:val="24"/>
          <w:rtl/>
        </w:rPr>
        <w:t xml:space="preserve">זמני הטיפול בתיקי </w:t>
      </w:r>
      <w:r w:rsidR="00040D38" w:rsidRPr="00F25744">
        <w:rPr>
          <w:rFonts w:hint="cs"/>
          <w:sz w:val="24"/>
          <w:rtl/>
        </w:rPr>
        <w:t>בתי המשפט לנוער</w:t>
      </w:r>
      <w:bookmarkEnd w:id="705"/>
      <w:r w:rsidR="00040D38" w:rsidRPr="00F25744">
        <w:rPr>
          <w:rFonts w:ascii="David" w:hAnsi="David" w:hint="cs"/>
          <w:sz w:val="24"/>
          <w:rtl/>
        </w:rPr>
        <w:t xml:space="preserve"> </w:t>
      </w:r>
    </w:p>
    <w:tbl>
      <w:tblPr>
        <w:tblpPr w:rightFromText="85" w:vertAnchor="text" w:tblpXSpec="right" w:tblpY="1"/>
        <w:bidiVisual/>
        <w:tblW w:w="8644" w:type="dxa"/>
        <w:tblBorders>
          <w:bottom w:val="single" w:sz="4" w:space="0" w:color="auto"/>
          <w:insideH w:val="single" w:sz="4" w:space="0" w:color="auto"/>
        </w:tblBorders>
        <w:tblLayout w:type="fixed"/>
        <w:tblLook w:val="04A0" w:firstRow="1" w:lastRow="0" w:firstColumn="1" w:lastColumn="0" w:noHBand="0" w:noVBand="1"/>
      </w:tblPr>
      <w:tblGrid>
        <w:gridCol w:w="853"/>
        <w:gridCol w:w="2121"/>
        <w:gridCol w:w="1418"/>
        <w:gridCol w:w="1559"/>
        <w:gridCol w:w="1843"/>
        <w:gridCol w:w="850"/>
      </w:tblGrid>
      <w:tr w:rsidR="00E0162E" w:rsidRPr="007A525F" w14:paraId="60DE5D1F" w14:textId="77777777" w:rsidTr="007F0431">
        <w:trPr>
          <w:trHeight w:val="460"/>
        </w:trPr>
        <w:tc>
          <w:tcPr>
            <w:tcW w:w="853" w:type="dxa"/>
            <w:shd w:val="clear" w:color="auto" w:fill="auto"/>
            <w:noWrap/>
            <w:vAlign w:val="center"/>
          </w:tcPr>
          <w:p w14:paraId="771A1E74" w14:textId="77777777" w:rsidR="00B21D92" w:rsidRPr="007A525F" w:rsidRDefault="00E25AE7" w:rsidP="007A525F">
            <w:pPr>
              <w:spacing w:after="0" w:line="240" w:lineRule="auto"/>
              <w:jc w:val="center"/>
              <w:rPr>
                <w:rFonts w:ascii="David" w:eastAsia="Times New Roman" w:hAnsi="David" w:cs="David"/>
                <w:b/>
                <w:bCs/>
                <w:color w:val="000000"/>
                <w:rtl/>
              </w:rPr>
            </w:pPr>
            <w:r w:rsidRPr="007A525F">
              <w:rPr>
                <w:rFonts w:ascii="David" w:eastAsia="Times New Roman" w:hAnsi="David" w:cs="David"/>
                <w:b/>
                <w:bCs/>
                <w:color w:val="000000"/>
                <w:rtl/>
              </w:rPr>
              <w:t>ערכאה</w:t>
            </w:r>
          </w:p>
        </w:tc>
        <w:tc>
          <w:tcPr>
            <w:tcW w:w="2121" w:type="dxa"/>
            <w:shd w:val="clear" w:color="auto" w:fill="auto"/>
            <w:vAlign w:val="center"/>
          </w:tcPr>
          <w:p w14:paraId="400F456C" w14:textId="77777777" w:rsidR="00B21D92" w:rsidRPr="007A525F" w:rsidRDefault="00E25AE7" w:rsidP="007A525F">
            <w:pPr>
              <w:spacing w:after="0" w:line="240" w:lineRule="auto"/>
              <w:jc w:val="center"/>
              <w:rPr>
                <w:rFonts w:ascii="David" w:eastAsia="Times New Roman" w:hAnsi="David" w:cs="David"/>
                <w:b/>
                <w:bCs/>
                <w:color w:val="000000"/>
                <w:rtl/>
              </w:rPr>
            </w:pPr>
            <w:r w:rsidRPr="007A525F">
              <w:rPr>
                <w:rFonts w:ascii="David" w:eastAsia="Times New Roman" w:hAnsi="David" w:cs="David"/>
                <w:b/>
                <w:bCs/>
                <w:color w:val="000000"/>
                <w:rtl/>
              </w:rPr>
              <w:t>סוג תיק</w:t>
            </w:r>
          </w:p>
        </w:tc>
        <w:tc>
          <w:tcPr>
            <w:tcW w:w="1418" w:type="dxa"/>
            <w:vAlign w:val="center"/>
          </w:tcPr>
          <w:p w14:paraId="24E70EB0" w14:textId="77777777" w:rsidR="00B21D92" w:rsidRPr="007A525F" w:rsidRDefault="00E25AE7" w:rsidP="007A525F">
            <w:pPr>
              <w:spacing w:after="0" w:line="240" w:lineRule="auto"/>
              <w:jc w:val="center"/>
              <w:rPr>
                <w:rFonts w:ascii="David" w:eastAsia="Times New Roman" w:hAnsi="David" w:cs="David"/>
                <w:b/>
                <w:bCs/>
                <w:color w:val="000000"/>
                <w:rtl/>
              </w:rPr>
            </w:pPr>
            <w:r w:rsidRPr="007A525F">
              <w:rPr>
                <w:rFonts w:ascii="David" w:eastAsia="Times New Roman" w:hAnsi="David" w:cs="David" w:hint="cs"/>
                <w:b/>
                <w:bCs/>
                <w:color w:val="000000"/>
                <w:rtl/>
              </w:rPr>
              <w:t>מספר תיקים שנסגרו ב-2019</w:t>
            </w:r>
          </w:p>
        </w:tc>
        <w:tc>
          <w:tcPr>
            <w:tcW w:w="1559" w:type="dxa"/>
            <w:shd w:val="clear" w:color="auto" w:fill="auto"/>
            <w:noWrap/>
            <w:vAlign w:val="center"/>
          </w:tcPr>
          <w:p w14:paraId="4F2B303B" w14:textId="77777777" w:rsidR="00B21D92" w:rsidRPr="007A525F" w:rsidRDefault="00E25AE7" w:rsidP="007A525F">
            <w:pPr>
              <w:spacing w:after="0" w:line="240" w:lineRule="auto"/>
              <w:jc w:val="center"/>
              <w:rPr>
                <w:rFonts w:ascii="David" w:eastAsia="Times New Roman" w:hAnsi="David" w:cs="David"/>
                <w:b/>
                <w:bCs/>
                <w:color w:val="000000"/>
                <w:rtl/>
              </w:rPr>
            </w:pPr>
            <w:r w:rsidRPr="007A525F">
              <w:rPr>
                <w:rFonts w:ascii="David" w:eastAsia="Times New Roman" w:hAnsi="David" w:cs="David"/>
                <w:b/>
                <w:bCs/>
                <w:color w:val="000000"/>
                <w:rtl/>
              </w:rPr>
              <w:t>הזמן השיפוטי הממוצע הדרוש לט</w:t>
            </w:r>
            <w:r w:rsidRPr="007A525F">
              <w:rPr>
                <w:rFonts w:ascii="David" w:eastAsia="Times New Roman" w:hAnsi="David" w:cs="David" w:hint="cs"/>
                <w:b/>
                <w:bCs/>
                <w:color w:val="000000"/>
                <w:rtl/>
              </w:rPr>
              <w:t>י</w:t>
            </w:r>
            <w:r w:rsidRPr="007A525F">
              <w:rPr>
                <w:rFonts w:ascii="David" w:eastAsia="Times New Roman" w:hAnsi="David" w:cs="David"/>
                <w:b/>
                <w:bCs/>
                <w:color w:val="000000"/>
                <w:rtl/>
              </w:rPr>
              <w:t>פ</w:t>
            </w:r>
            <w:r w:rsidRPr="007A525F">
              <w:rPr>
                <w:rFonts w:ascii="David" w:eastAsia="Times New Roman" w:hAnsi="David" w:cs="David" w:hint="cs"/>
                <w:b/>
                <w:bCs/>
                <w:color w:val="000000"/>
                <w:rtl/>
              </w:rPr>
              <w:t>ו</w:t>
            </w:r>
            <w:r w:rsidRPr="007A525F">
              <w:rPr>
                <w:rFonts w:ascii="David" w:eastAsia="Times New Roman" w:hAnsi="David" w:cs="David"/>
                <w:b/>
                <w:bCs/>
                <w:color w:val="000000"/>
                <w:rtl/>
              </w:rPr>
              <w:t>ל בתיק</w:t>
            </w:r>
          </w:p>
        </w:tc>
        <w:tc>
          <w:tcPr>
            <w:tcW w:w="1843" w:type="dxa"/>
            <w:shd w:val="clear" w:color="auto" w:fill="auto"/>
            <w:vAlign w:val="center"/>
          </w:tcPr>
          <w:p w14:paraId="46E62D69" w14:textId="77777777" w:rsidR="00B21D92" w:rsidRPr="007A525F" w:rsidRDefault="00E25AE7" w:rsidP="007A525F">
            <w:pPr>
              <w:spacing w:after="0" w:line="240" w:lineRule="auto"/>
              <w:jc w:val="center"/>
              <w:rPr>
                <w:rFonts w:ascii="David" w:eastAsia="Times New Roman" w:hAnsi="David" w:cs="David"/>
                <w:b/>
                <w:bCs/>
                <w:color w:val="000000"/>
                <w:rtl/>
              </w:rPr>
            </w:pPr>
            <w:r w:rsidRPr="007A525F">
              <w:rPr>
                <w:rFonts w:ascii="David" w:eastAsia="Times New Roman" w:hAnsi="David" w:cs="David"/>
                <w:b/>
                <w:bCs/>
                <w:color w:val="000000"/>
                <w:rtl/>
              </w:rPr>
              <w:t xml:space="preserve">הזמן השיפוטי </w:t>
            </w:r>
            <w:r w:rsidRPr="007A525F">
              <w:rPr>
                <w:rFonts w:ascii="David" w:eastAsia="Times New Roman" w:hAnsi="David" w:cs="David" w:hint="cs"/>
                <w:b/>
                <w:bCs/>
                <w:color w:val="000000"/>
                <w:rtl/>
              </w:rPr>
              <w:t xml:space="preserve">הממוצע </w:t>
            </w:r>
            <w:r w:rsidRPr="007A525F">
              <w:rPr>
                <w:rFonts w:ascii="David" w:eastAsia="Times New Roman" w:hAnsi="David" w:cs="David"/>
                <w:b/>
                <w:bCs/>
                <w:color w:val="000000"/>
                <w:rtl/>
              </w:rPr>
              <w:t xml:space="preserve">הדרוש לפי </w:t>
            </w:r>
            <w:r w:rsidRPr="007A525F">
              <w:rPr>
                <w:rFonts w:ascii="David" w:eastAsia="Times New Roman" w:hAnsi="David" w:cs="David" w:hint="cs"/>
                <w:b/>
                <w:bCs/>
                <w:color w:val="000000"/>
                <w:rtl/>
              </w:rPr>
              <w:t>ה</w:t>
            </w:r>
            <w:r w:rsidRPr="007A525F">
              <w:rPr>
                <w:rFonts w:ascii="David" w:eastAsia="Times New Roman" w:hAnsi="David" w:cs="David"/>
                <w:b/>
                <w:bCs/>
                <w:color w:val="000000"/>
                <w:rtl/>
              </w:rPr>
              <w:t>מחקר ה</w:t>
            </w:r>
            <w:r w:rsidRPr="007A525F">
              <w:rPr>
                <w:rFonts w:ascii="David" w:eastAsia="Times New Roman" w:hAnsi="David" w:cs="David" w:hint="cs"/>
                <w:b/>
                <w:bCs/>
                <w:color w:val="000000"/>
                <w:rtl/>
              </w:rPr>
              <w:t>קודם</w:t>
            </w:r>
          </w:p>
        </w:tc>
        <w:tc>
          <w:tcPr>
            <w:tcW w:w="850" w:type="dxa"/>
            <w:shd w:val="clear" w:color="auto" w:fill="auto"/>
            <w:vAlign w:val="center"/>
          </w:tcPr>
          <w:p w14:paraId="0768F728" w14:textId="77777777" w:rsidR="00B21D92" w:rsidRPr="007A525F" w:rsidRDefault="00E25AE7" w:rsidP="007A525F">
            <w:pPr>
              <w:spacing w:after="0" w:line="240" w:lineRule="auto"/>
              <w:jc w:val="center"/>
              <w:rPr>
                <w:rFonts w:ascii="David" w:eastAsia="Times New Roman" w:hAnsi="David" w:cs="David"/>
                <w:b/>
                <w:bCs/>
                <w:color w:val="000000"/>
                <w:rtl/>
              </w:rPr>
            </w:pPr>
            <w:r w:rsidRPr="007A525F">
              <w:rPr>
                <w:rFonts w:ascii="David" w:eastAsia="Times New Roman" w:hAnsi="David" w:cs="David"/>
                <w:b/>
                <w:bCs/>
                <w:color w:val="000000"/>
                <w:rtl/>
              </w:rPr>
              <w:t>מגמת שינוי</w:t>
            </w:r>
          </w:p>
        </w:tc>
      </w:tr>
      <w:tr w:rsidR="00E0162E" w:rsidRPr="007A525F" w14:paraId="19D788E0" w14:textId="77777777" w:rsidTr="007F0431">
        <w:trPr>
          <w:trHeight w:val="460"/>
        </w:trPr>
        <w:tc>
          <w:tcPr>
            <w:tcW w:w="853" w:type="dxa"/>
            <w:shd w:val="clear" w:color="auto" w:fill="D9D9D9"/>
            <w:noWrap/>
            <w:vAlign w:val="center"/>
          </w:tcPr>
          <w:p w14:paraId="4DA752D1" w14:textId="77777777" w:rsidR="00B21D92" w:rsidRPr="007A525F" w:rsidRDefault="00E25AE7" w:rsidP="007A525F">
            <w:pPr>
              <w:spacing w:after="0" w:line="240" w:lineRule="auto"/>
              <w:jc w:val="center"/>
              <w:rPr>
                <w:rFonts w:ascii="David" w:hAnsi="David" w:cs="David"/>
                <w:color w:val="000000"/>
              </w:rPr>
            </w:pPr>
            <w:r w:rsidRPr="007A525F">
              <w:rPr>
                <w:rFonts w:ascii="David" w:hAnsi="David" w:cs="David" w:hint="cs"/>
                <w:color w:val="000000"/>
                <w:rtl/>
              </w:rPr>
              <w:t>נוער</w:t>
            </w:r>
          </w:p>
        </w:tc>
        <w:tc>
          <w:tcPr>
            <w:tcW w:w="2121" w:type="dxa"/>
            <w:shd w:val="clear" w:color="auto" w:fill="D9D9D9"/>
            <w:vAlign w:val="center"/>
          </w:tcPr>
          <w:p w14:paraId="2720ECA0" w14:textId="77777777" w:rsidR="00B21D92" w:rsidRPr="007A525F" w:rsidRDefault="00E25AE7" w:rsidP="007A525F">
            <w:pPr>
              <w:spacing w:after="0" w:line="240" w:lineRule="auto"/>
              <w:rPr>
                <w:rFonts w:ascii="David" w:hAnsi="David" w:cs="David"/>
                <w:color w:val="000000"/>
              </w:rPr>
            </w:pPr>
            <w:r w:rsidRPr="007A525F">
              <w:rPr>
                <w:rFonts w:ascii="David" w:hAnsi="David" w:cs="David" w:hint="cs"/>
                <w:color w:val="000000"/>
                <w:rtl/>
              </w:rPr>
              <w:t>תביעת נזקקות (</w:t>
            </w:r>
            <w:r w:rsidRPr="007A525F">
              <w:rPr>
                <w:rFonts w:ascii="David" w:hAnsi="David" w:cs="David"/>
                <w:color w:val="000000"/>
                <w:rtl/>
              </w:rPr>
              <w:t>תנ"ז</w:t>
            </w:r>
            <w:r w:rsidRPr="007A525F">
              <w:rPr>
                <w:rFonts w:ascii="David" w:hAnsi="David" w:cs="David" w:hint="cs"/>
                <w:color w:val="000000"/>
                <w:rtl/>
              </w:rPr>
              <w:t>)</w:t>
            </w:r>
          </w:p>
        </w:tc>
        <w:tc>
          <w:tcPr>
            <w:tcW w:w="1418" w:type="dxa"/>
            <w:shd w:val="clear" w:color="auto" w:fill="D9D9D9"/>
            <w:vAlign w:val="center"/>
          </w:tcPr>
          <w:p w14:paraId="352281A7" w14:textId="77777777" w:rsidR="00B21D92" w:rsidRPr="007A525F" w:rsidRDefault="00E25AE7" w:rsidP="007A525F">
            <w:pPr>
              <w:spacing w:after="0" w:line="240" w:lineRule="auto"/>
              <w:jc w:val="center"/>
              <w:rPr>
                <w:rFonts w:ascii="David" w:hAnsi="David" w:cs="David"/>
                <w:color w:val="000000"/>
                <w:rtl/>
              </w:rPr>
            </w:pPr>
            <w:r w:rsidRPr="007A525F">
              <w:rPr>
                <w:rFonts w:ascii="David" w:hAnsi="David" w:cs="David"/>
                <w:color w:val="000000"/>
              </w:rPr>
              <w:t>2,765</w:t>
            </w:r>
          </w:p>
        </w:tc>
        <w:tc>
          <w:tcPr>
            <w:tcW w:w="1559" w:type="dxa"/>
            <w:shd w:val="clear" w:color="auto" w:fill="D9D9D9"/>
            <w:noWrap/>
            <w:vAlign w:val="center"/>
          </w:tcPr>
          <w:p w14:paraId="07D4C11B" w14:textId="77777777" w:rsidR="00B21D92" w:rsidRPr="007A525F" w:rsidRDefault="00F22A99" w:rsidP="007A525F">
            <w:pPr>
              <w:spacing w:after="0" w:line="240" w:lineRule="auto"/>
              <w:jc w:val="center"/>
              <w:rPr>
                <w:rFonts w:ascii="David" w:hAnsi="David" w:cs="David"/>
                <w:b/>
                <w:bCs/>
                <w:color w:val="000000"/>
              </w:rPr>
            </w:pPr>
            <w:r w:rsidRPr="007A525F">
              <w:rPr>
                <w:rFonts w:ascii="David" w:hAnsi="David" w:cs="David" w:hint="cs"/>
                <w:b/>
                <w:bCs/>
                <w:color w:val="000000"/>
                <w:rtl/>
              </w:rPr>
              <w:t>12:23</w:t>
            </w:r>
          </w:p>
        </w:tc>
        <w:tc>
          <w:tcPr>
            <w:tcW w:w="1843" w:type="dxa"/>
            <w:shd w:val="clear" w:color="auto" w:fill="D9D9D9"/>
            <w:vAlign w:val="center"/>
          </w:tcPr>
          <w:p w14:paraId="0800EFB2" w14:textId="77777777" w:rsidR="00B21D92" w:rsidRPr="007A525F" w:rsidRDefault="00E25AE7" w:rsidP="007A525F">
            <w:pPr>
              <w:spacing w:after="0" w:line="240" w:lineRule="auto"/>
              <w:jc w:val="center"/>
              <w:rPr>
                <w:rFonts w:ascii="David" w:hAnsi="David" w:cs="David"/>
                <w:color w:val="000000"/>
              </w:rPr>
            </w:pPr>
            <w:r w:rsidRPr="007A525F">
              <w:rPr>
                <w:rFonts w:ascii="David" w:hAnsi="David" w:cs="David"/>
                <w:color w:val="000000"/>
              </w:rPr>
              <w:t>04:20</w:t>
            </w:r>
          </w:p>
        </w:tc>
        <w:tc>
          <w:tcPr>
            <w:tcW w:w="850" w:type="dxa"/>
            <w:shd w:val="clear" w:color="auto" w:fill="D9D9D9"/>
            <w:vAlign w:val="center"/>
          </w:tcPr>
          <w:p w14:paraId="26F82CB3" w14:textId="77777777" w:rsidR="00B21D92" w:rsidRPr="007A525F" w:rsidRDefault="00F22A99" w:rsidP="007A525F">
            <w:pPr>
              <w:spacing w:after="0" w:line="240" w:lineRule="auto"/>
              <w:jc w:val="center"/>
              <w:rPr>
                <w:rFonts w:ascii="David" w:hAnsi="David" w:cs="David"/>
                <w:color w:val="000000"/>
              </w:rPr>
            </w:pPr>
            <w:r w:rsidRPr="007A525F">
              <w:rPr>
                <w:rFonts w:ascii="David" w:hAnsi="David" w:cs="David" w:hint="cs"/>
                <w:color w:val="000000"/>
                <w:rtl/>
              </w:rPr>
              <w:t>8</w:t>
            </w:r>
            <w:r w:rsidR="007F3A52" w:rsidRPr="007A525F">
              <w:rPr>
                <w:rFonts w:ascii="David" w:hAnsi="David" w:cs="David" w:hint="cs"/>
                <w:color w:val="000000"/>
                <w:rtl/>
              </w:rPr>
              <w:t>:</w:t>
            </w:r>
            <w:r w:rsidRPr="007A525F">
              <w:rPr>
                <w:rFonts w:ascii="David" w:hAnsi="David" w:cs="David" w:hint="cs"/>
                <w:color w:val="000000"/>
                <w:rtl/>
              </w:rPr>
              <w:t>03</w:t>
            </w:r>
            <w:r w:rsidR="007F3A52" w:rsidRPr="007A525F">
              <w:rPr>
                <w:rFonts w:ascii="David" w:hAnsi="David" w:cs="David" w:hint="cs"/>
                <w:color w:val="000000"/>
                <w:rtl/>
              </w:rPr>
              <w:t>+</w:t>
            </w:r>
          </w:p>
        </w:tc>
      </w:tr>
      <w:tr w:rsidR="00E0162E" w:rsidRPr="007A525F" w14:paraId="5CD9CA30" w14:textId="77777777" w:rsidTr="007F0431">
        <w:trPr>
          <w:trHeight w:val="600"/>
        </w:trPr>
        <w:tc>
          <w:tcPr>
            <w:tcW w:w="853" w:type="dxa"/>
            <w:shd w:val="clear" w:color="auto" w:fill="auto"/>
            <w:noWrap/>
            <w:vAlign w:val="center"/>
          </w:tcPr>
          <w:p w14:paraId="7CAAB58A" w14:textId="77777777" w:rsidR="00B21D92" w:rsidRPr="007A525F" w:rsidRDefault="00E25AE7" w:rsidP="007A525F">
            <w:pPr>
              <w:spacing w:after="0" w:line="240" w:lineRule="auto"/>
              <w:jc w:val="center"/>
              <w:rPr>
                <w:rFonts w:ascii="David" w:hAnsi="David" w:cs="David"/>
                <w:color w:val="000000"/>
              </w:rPr>
            </w:pPr>
            <w:r w:rsidRPr="007A525F">
              <w:rPr>
                <w:rFonts w:ascii="David" w:hAnsi="David" w:cs="David" w:hint="cs"/>
                <w:color w:val="000000"/>
                <w:rtl/>
              </w:rPr>
              <w:t>נוער</w:t>
            </w:r>
          </w:p>
        </w:tc>
        <w:tc>
          <w:tcPr>
            <w:tcW w:w="2121" w:type="dxa"/>
            <w:shd w:val="clear" w:color="auto" w:fill="auto"/>
            <w:vAlign w:val="center"/>
          </w:tcPr>
          <w:p w14:paraId="3C0369DE" w14:textId="77777777" w:rsidR="00B21D92" w:rsidRPr="007A525F" w:rsidRDefault="00E25AE7" w:rsidP="007A525F">
            <w:pPr>
              <w:spacing w:after="0" w:line="240" w:lineRule="auto"/>
              <w:rPr>
                <w:rFonts w:ascii="David" w:hAnsi="David" w:cs="David"/>
                <w:color w:val="000000"/>
                <w:rtl/>
              </w:rPr>
            </w:pPr>
            <w:r w:rsidRPr="007A525F">
              <w:rPr>
                <w:rFonts w:ascii="David" w:hAnsi="David" w:cs="David" w:hint="cs"/>
                <w:color w:val="000000"/>
                <w:rtl/>
              </w:rPr>
              <w:t>ועדת שחרורים (</w:t>
            </w:r>
            <w:r w:rsidRPr="007A525F">
              <w:rPr>
                <w:rFonts w:ascii="David" w:hAnsi="David" w:cs="David"/>
                <w:color w:val="000000"/>
                <w:rtl/>
              </w:rPr>
              <w:t>וש"ר</w:t>
            </w:r>
            <w:r w:rsidRPr="007A525F">
              <w:rPr>
                <w:rFonts w:ascii="David" w:hAnsi="David" w:cs="David" w:hint="cs"/>
                <w:color w:val="000000"/>
                <w:rtl/>
              </w:rPr>
              <w:t>)</w:t>
            </w:r>
          </w:p>
        </w:tc>
        <w:tc>
          <w:tcPr>
            <w:tcW w:w="1418" w:type="dxa"/>
            <w:vAlign w:val="center"/>
          </w:tcPr>
          <w:p w14:paraId="6A013181" w14:textId="77777777" w:rsidR="00B21D92" w:rsidRPr="007A525F" w:rsidRDefault="00E25AE7" w:rsidP="007A525F">
            <w:pPr>
              <w:spacing w:after="0" w:line="240" w:lineRule="auto"/>
              <w:jc w:val="center"/>
              <w:rPr>
                <w:rFonts w:ascii="David" w:hAnsi="David" w:cs="David"/>
                <w:color w:val="000000"/>
              </w:rPr>
            </w:pPr>
            <w:r w:rsidRPr="007A525F">
              <w:rPr>
                <w:rFonts w:ascii="David" w:hAnsi="David" w:cs="David"/>
                <w:color w:val="000000"/>
              </w:rPr>
              <w:t>12</w:t>
            </w:r>
          </w:p>
        </w:tc>
        <w:tc>
          <w:tcPr>
            <w:tcW w:w="1559" w:type="dxa"/>
            <w:shd w:val="clear" w:color="auto" w:fill="auto"/>
            <w:noWrap/>
            <w:vAlign w:val="center"/>
          </w:tcPr>
          <w:p w14:paraId="4AD5031F" w14:textId="77777777" w:rsidR="00B21D92" w:rsidRPr="007A525F" w:rsidRDefault="00F22A99" w:rsidP="007A525F">
            <w:pPr>
              <w:spacing w:after="0" w:line="240" w:lineRule="auto"/>
              <w:jc w:val="center"/>
              <w:rPr>
                <w:rFonts w:ascii="David" w:hAnsi="David" w:cs="David"/>
                <w:b/>
                <w:bCs/>
                <w:color w:val="000000"/>
              </w:rPr>
            </w:pPr>
            <w:r w:rsidRPr="007A525F">
              <w:rPr>
                <w:rFonts w:ascii="David" w:hAnsi="David" w:cs="David" w:hint="cs"/>
                <w:b/>
                <w:bCs/>
                <w:color w:val="000000"/>
                <w:rtl/>
              </w:rPr>
              <w:t>10:00</w:t>
            </w:r>
          </w:p>
        </w:tc>
        <w:tc>
          <w:tcPr>
            <w:tcW w:w="1843" w:type="dxa"/>
            <w:shd w:val="clear" w:color="auto" w:fill="auto"/>
            <w:vAlign w:val="center"/>
          </w:tcPr>
          <w:p w14:paraId="68E58D42" w14:textId="77777777" w:rsidR="00B21D92" w:rsidRPr="007A525F" w:rsidRDefault="00E25AE7" w:rsidP="007A525F">
            <w:pPr>
              <w:spacing w:after="0" w:line="240" w:lineRule="auto"/>
              <w:jc w:val="center"/>
              <w:rPr>
                <w:rFonts w:ascii="David" w:hAnsi="David" w:cs="David"/>
                <w:color w:val="000000"/>
              </w:rPr>
            </w:pPr>
            <w:r w:rsidRPr="007A525F">
              <w:rPr>
                <w:rFonts w:ascii="David" w:hAnsi="David" w:cs="David"/>
                <w:color w:val="000000"/>
              </w:rPr>
              <w:t>-</w:t>
            </w:r>
          </w:p>
        </w:tc>
        <w:tc>
          <w:tcPr>
            <w:tcW w:w="850" w:type="dxa"/>
            <w:shd w:val="clear" w:color="auto" w:fill="auto"/>
            <w:vAlign w:val="center"/>
          </w:tcPr>
          <w:p w14:paraId="49690461" w14:textId="77777777" w:rsidR="00B21D92" w:rsidRPr="007A525F" w:rsidRDefault="00E25AE7" w:rsidP="007A525F">
            <w:pPr>
              <w:spacing w:after="0" w:line="240" w:lineRule="auto"/>
              <w:jc w:val="center"/>
              <w:rPr>
                <w:rFonts w:ascii="David" w:hAnsi="David" w:cs="David"/>
                <w:color w:val="000000"/>
              </w:rPr>
            </w:pPr>
            <w:r w:rsidRPr="007A525F">
              <w:rPr>
                <w:rFonts w:ascii="David" w:hAnsi="David" w:cs="David"/>
                <w:color w:val="000000"/>
              </w:rPr>
              <w:t>-</w:t>
            </w:r>
          </w:p>
        </w:tc>
      </w:tr>
      <w:tr w:rsidR="00E0162E" w:rsidRPr="007A525F" w14:paraId="00AB8F18" w14:textId="77777777" w:rsidTr="007F0431">
        <w:trPr>
          <w:trHeight w:val="600"/>
        </w:trPr>
        <w:tc>
          <w:tcPr>
            <w:tcW w:w="853" w:type="dxa"/>
            <w:shd w:val="clear" w:color="auto" w:fill="D9D9D9"/>
            <w:noWrap/>
            <w:vAlign w:val="center"/>
          </w:tcPr>
          <w:p w14:paraId="2A2E822F" w14:textId="77777777" w:rsidR="00B21D92" w:rsidRPr="007A525F" w:rsidRDefault="00E25AE7" w:rsidP="007A525F">
            <w:pPr>
              <w:spacing w:after="0" w:line="240" w:lineRule="auto"/>
              <w:jc w:val="center"/>
              <w:rPr>
                <w:rFonts w:ascii="David" w:hAnsi="David" w:cs="David"/>
                <w:color w:val="000000"/>
              </w:rPr>
            </w:pPr>
            <w:r w:rsidRPr="007A525F">
              <w:rPr>
                <w:rFonts w:ascii="David" w:hAnsi="David" w:cs="David" w:hint="cs"/>
                <w:color w:val="000000"/>
                <w:rtl/>
              </w:rPr>
              <w:t>נוער</w:t>
            </w:r>
          </w:p>
        </w:tc>
        <w:tc>
          <w:tcPr>
            <w:tcW w:w="2121" w:type="dxa"/>
            <w:shd w:val="clear" w:color="auto" w:fill="D9D9D9"/>
            <w:vAlign w:val="center"/>
          </w:tcPr>
          <w:p w14:paraId="55450A62" w14:textId="77777777" w:rsidR="00B21D92" w:rsidRPr="007A525F" w:rsidRDefault="00E25AE7" w:rsidP="007A525F">
            <w:pPr>
              <w:spacing w:after="0" w:line="240" w:lineRule="auto"/>
              <w:rPr>
                <w:rFonts w:ascii="David" w:hAnsi="David" w:cs="David"/>
                <w:color w:val="000000"/>
                <w:rtl/>
              </w:rPr>
            </w:pPr>
            <w:r w:rsidRPr="007A525F">
              <w:rPr>
                <w:rFonts w:ascii="David" w:hAnsi="David" w:cs="David" w:hint="cs"/>
                <w:color w:val="000000"/>
                <w:rtl/>
              </w:rPr>
              <w:t>מעצר עד תום ההליכים (</w:t>
            </w:r>
            <w:r w:rsidRPr="007A525F">
              <w:rPr>
                <w:rFonts w:ascii="David" w:hAnsi="David" w:cs="David"/>
                <w:color w:val="000000"/>
                <w:rtl/>
              </w:rPr>
              <w:t>מ"ת</w:t>
            </w:r>
            <w:r w:rsidRPr="007A525F">
              <w:rPr>
                <w:rFonts w:ascii="David" w:hAnsi="David" w:cs="David" w:hint="cs"/>
                <w:color w:val="000000"/>
                <w:rtl/>
              </w:rPr>
              <w:t>)</w:t>
            </w:r>
            <w:r w:rsidRPr="007A525F">
              <w:rPr>
                <w:rStyle w:val="a6"/>
                <w:rFonts w:ascii="David" w:hAnsi="David" w:cs="David"/>
                <w:color w:val="000000"/>
                <w:rtl/>
              </w:rPr>
              <w:footnoteReference w:id="32"/>
            </w:r>
          </w:p>
        </w:tc>
        <w:tc>
          <w:tcPr>
            <w:tcW w:w="1418" w:type="dxa"/>
            <w:shd w:val="clear" w:color="auto" w:fill="D9D9D9"/>
            <w:vAlign w:val="center"/>
          </w:tcPr>
          <w:p w14:paraId="54AC2C1D" w14:textId="77777777" w:rsidR="00B21D92" w:rsidRPr="007A525F" w:rsidRDefault="00E25AE7" w:rsidP="007A525F">
            <w:pPr>
              <w:spacing w:after="0" w:line="240" w:lineRule="auto"/>
              <w:jc w:val="center"/>
              <w:rPr>
                <w:rFonts w:ascii="David" w:hAnsi="David" w:cs="David"/>
                <w:color w:val="000000"/>
              </w:rPr>
            </w:pPr>
            <w:r w:rsidRPr="007A525F">
              <w:rPr>
                <w:rFonts w:ascii="David" w:hAnsi="David" w:cs="David"/>
                <w:color w:val="000000"/>
              </w:rPr>
              <w:t>623</w:t>
            </w:r>
          </w:p>
        </w:tc>
        <w:tc>
          <w:tcPr>
            <w:tcW w:w="1559" w:type="dxa"/>
            <w:shd w:val="clear" w:color="auto" w:fill="D9D9D9"/>
            <w:noWrap/>
            <w:vAlign w:val="center"/>
          </w:tcPr>
          <w:p w14:paraId="6C253E8E" w14:textId="77777777" w:rsidR="00B21D92" w:rsidRPr="007A525F" w:rsidRDefault="00F22A99" w:rsidP="007A525F">
            <w:pPr>
              <w:spacing w:after="0" w:line="240" w:lineRule="auto"/>
              <w:jc w:val="center"/>
              <w:rPr>
                <w:rFonts w:ascii="David" w:hAnsi="David" w:cs="David"/>
                <w:b/>
                <w:bCs/>
                <w:color w:val="000000"/>
              </w:rPr>
            </w:pPr>
            <w:r w:rsidRPr="007A525F">
              <w:rPr>
                <w:rFonts w:ascii="David" w:hAnsi="David" w:cs="David" w:hint="cs"/>
                <w:b/>
                <w:bCs/>
                <w:color w:val="000000"/>
                <w:rtl/>
              </w:rPr>
              <w:t>6:55</w:t>
            </w:r>
          </w:p>
        </w:tc>
        <w:tc>
          <w:tcPr>
            <w:tcW w:w="1843" w:type="dxa"/>
            <w:shd w:val="clear" w:color="auto" w:fill="D9D9D9"/>
            <w:vAlign w:val="center"/>
          </w:tcPr>
          <w:p w14:paraId="6BDDCE9C" w14:textId="77777777" w:rsidR="00B21D92" w:rsidRPr="007A525F" w:rsidRDefault="00E25AE7" w:rsidP="007A525F">
            <w:pPr>
              <w:spacing w:after="0" w:line="240" w:lineRule="auto"/>
              <w:jc w:val="center"/>
              <w:rPr>
                <w:rFonts w:ascii="David" w:hAnsi="David" w:cs="David"/>
                <w:color w:val="000000"/>
              </w:rPr>
            </w:pPr>
            <w:r w:rsidRPr="007A525F">
              <w:rPr>
                <w:rFonts w:ascii="David" w:hAnsi="David" w:cs="David"/>
                <w:color w:val="000000"/>
              </w:rPr>
              <w:t>04:57</w:t>
            </w:r>
          </w:p>
        </w:tc>
        <w:tc>
          <w:tcPr>
            <w:tcW w:w="850" w:type="dxa"/>
            <w:shd w:val="clear" w:color="auto" w:fill="D9D9D9"/>
            <w:vAlign w:val="center"/>
          </w:tcPr>
          <w:p w14:paraId="374C2EC8" w14:textId="77777777" w:rsidR="00B21D92" w:rsidRPr="007A525F" w:rsidRDefault="00F22A99" w:rsidP="007A525F">
            <w:pPr>
              <w:spacing w:after="0" w:line="240" w:lineRule="auto"/>
              <w:jc w:val="center"/>
              <w:rPr>
                <w:rFonts w:ascii="David" w:hAnsi="David" w:cs="David"/>
                <w:color w:val="000000"/>
              </w:rPr>
            </w:pPr>
            <w:r w:rsidRPr="007A525F">
              <w:rPr>
                <w:rFonts w:ascii="David" w:hAnsi="David" w:cs="David" w:hint="cs"/>
                <w:color w:val="000000"/>
                <w:rtl/>
              </w:rPr>
              <w:t>1:58+</w:t>
            </w:r>
          </w:p>
        </w:tc>
      </w:tr>
      <w:tr w:rsidR="00E0162E" w:rsidRPr="007A525F" w14:paraId="3125B984" w14:textId="77777777" w:rsidTr="007F0431">
        <w:trPr>
          <w:trHeight w:val="600"/>
        </w:trPr>
        <w:tc>
          <w:tcPr>
            <w:tcW w:w="853" w:type="dxa"/>
            <w:shd w:val="clear" w:color="auto" w:fill="auto"/>
            <w:noWrap/>
            <w:vAlign w:val="center"/>
          </w:tcPr>
          <w:p w14:paraId="509D366D" w14:textId="77777777" w:rsidR="00B21D92" w:rsidRPr="007A525F" w:rsidRDefault="00E25AE7" w:rsidP="007A525F">
            <w:pPr>
              <w:spacing w:after="0" w:line="240" w:lineRule="auto"/>
              <w:jc w:val="center"/>
              <w:rPr>
                <w:rFonts w:ascii="David" w:hAnsi="David" w:cs="David"/>
                <w:color w:val="000000"/>
              </w:rPr>
            </w:pPr>
            <w:r w:rsidRPr="007A525F">
              <w:rPr>
                <w:rFonts w:ascii="David" w:hAnsi="David" w:cs="David" w:hint="cs"/>
                <w:color w:val="000000"/>
                <w:rtl/>
              </w:rPr>
              <w:t>נוער</w:t>
            </w:r>
          </w:p>
        </w:tc>
        <w:tc>
          <w:tcPr>
            <w:tcW w:w="2121" w:type="dxa"/>
            <w:shd w:val="clear" w:color="auto" w:fill="auto"/>
            <w:vAlign w:val="center"/>
          </w:tcPr>
          <w:p w14:paraId="3A3DE1F8" w14:textId="77777777" w:rsidR="00B21D92" w:rsidRPr="007A525F" w:rsidRDefault="00E25AE7" w:rsidP="007A525F">
            <w:pPr>
              <w:spacing w:after="0" w:line="240" w:lineRule="auto"/>
              <w:rPr>
                <w:rFonts w:ascii="David" w:hAnsi="David" w:cs="David"/>
                <w:color w:val="000000"/>
                <w:rtl/>
              </w:rPr>
            </w:pPr>
            <w:r w:rsidRPr="007A525F">
              <w:rPr>
                <w:rFonts w:ascii="David" w:hAnsi="David" w:cs="David" w:hint="cs"/>
                <w:color w:val="000000"/>
                <w:rtl/>
              </w:rPr>
              <w:t>תיק פלילי (</w:t>
            </w:r>
            <w:r w:rsidRPr="007A525F">
              <w:rPr>
                <w:rFonts w:ascii="David" w:hAnsi="David" w:cs="David"/>
                <w:color w:val="000000"/>
                <w:rtl/>
              </w:rPr>
              <w:t>ת"פ</w:t>
            </w:r>
            <w:r w:rsidRPr="007A525F">
              <w:rPr>
                <w:rFonts w:ascii="David" w:hAnsi="David" w:cs="David" w:hint="cs"/>
                <w:color w:val="000000"/>
                <w:rtl/>
              </w:rPr>
              <w:t>)</w:t>
            </w:r>
          </w:p>
        </w:tc>
        <w:tc>
          <w:tcPr>
            <w:tcW w:w="1418" w:type="dxa"/>
            <w:vAlign w:val="center"/>
          </w:tcPr>
          <w:p w14:paraId="7312BB63" w14:textId="77777777" w:rsidR="00B21D92" w:rsidRPr="007A525F" w:rsidRDefault="00E25AE7" w:rsidP="007A525F">
            <w:pPr>
              <w:spacing w:after="0" w:line="240" w:lineRule="auto"/>
              <w:jc w:val="center"/>
              <w:rPr>
                <w:rFonts w:ascii="David" w:hAnsi="David" w:cs="David"/>
                <w:color w:val="000000"/>
              </w:rPr>
            </w:pPr>
            <w:r w:rsidRPr="007A525F">
              <w:rPr>
                <w:rFonts w:ascii="David" w:hAnsi="David" w:cs="David"/>
                <w:color w:val="000000"/>
              </w:rPr>
              <w:t>3,558</w:t>
            </w:r>
          </w:p>
        </w:tc>
        <w:tc>
          <w:tcPr>
            <w:tcW w:w="1559" w:type="dxa"/>
            <w:shd w:val="clear" w:color="auto" w:fill="auto"/>
            <w:noWrap/>
            <w:vAlign w:val="center"/>
          </w:tcPr>
          <w:p w14:paraId="30ABAC11" w14:textId="77777777" w:rsidR="00B21D92" w:rsidRPr="007A525F" w:rsidRDefault="00E25AE7" w:rsidP="007A525F">
            <w:pPr>
              <w:spacing w:after="0" w:line="240" w:lineRule="auto"/>
              <w:jc w:val="center"/>
              <w:rPr>
                <w:rFonts w:ascii="David" w:hAnsi="David" w:cs="David"/>
                <w:b/>
                <w:bCs/>
                <w:color w:val="000000"/>
                <w:rtl/>
              </w:rPr>
            </w:pPr>
            <w:r w:rsidRPr="007A525F">
              <w:rPr>
                <w:rFonts w:ascii="David" w:hAnsi="David" w:cs="David"/>
                <w:b/>
                <w:bCs/>
                <w:color w:val="000000"/>
              </w:rPr>
              <w:t>6:</w:t>
            </w:r>
            <w:r w:rsidR="00F22A99" w:rsidRPr="007A525F">
              <w:rPr>
                <w:rFonts w:ascii="David" w:hAnsi="David" w:cs="David"/>
                <w:b/>
                <w:bCs/>
                <w:color w:val="000000"/>
              </w:rPr>
              <w:t>40</w:t>
            </w:r>
          </w:p>
        </w:tc>
        <w:tc>
          <w:tcPr>
            <w:tcW w:w="1843" w:type="dxa"/>
            <w:shd w:val="clear" w:color="auto" w:fill="auto"/>
            <w:vAlign w:val="center"/>
          </w:tcPr>
          <w:p w14:paraId="44F4DF9E" w14:textId="77777777" w:rsidR="00B21D92" w:rsidRPr="007A525F" w:rsidRDefault="00E25AE7" w:rsidP="007A525F">
            <w:pPr>
              <w:spacing w:after="0" w:line="240" w:lineRule="auto"/>
              <w:jc w:val="center"/>
              <w:rPr>
                <w:rFonts w:ascii="David" w:hAnsi="David" w:cs="David"/>
                <w:color w:val="000000"/>
              </w:rPr>
            </w:pPr>
            <w:r w:rsidRPr="007A525F">
              <w:rPr>
                <w:rFonts w:ascii="David" w:hAnsi="David" w:cs="David"/>
                <w:color w:val="000000"/>
              </w:rPr>
              <w:t>04:01</w:t>
            </w:r>
          </w:p>
        </w:tc>
        <w:tc>
          <w:tcPr>
            <w:tcW w:w="850" w:type="dxa"/>
            <w:shd w:val="clear" w:color="auto" w:fill="auto"/>
            <w:vAlign w:val="center"/>
          </w:tcPr>
          <w:p w14:paraId="01338944" w14:textId="77777777" w:rsidR="00B21D92" w:rsidRPr="007A525F" w:rsidRDefault="00F22A99" w:rsidP="007A525F">
            <w:pPr>
              <w:spacing w:after="0" w:line="240" w:lineRule="auto"/>
              <w:jc w:val="center"/>
              <w:rPr>
                <w:rFonts w:ascii="David" w:hAnsi="David" w:cs="David"/>
                <w:color w:val="000000"/>
              </w:rPr>
            </w:pPr>
            <w:r w:rsidRPr="007A525F">
              <w:rPr>
                <w:rFonts w:ascii="David" w:hAnsi="David" w:cs="David"/>
                <w:color w:val="000000"/>
              </w:rPr>
              <w:t>2:39</w:t>
            </w:r>
            <w:r w:rsidRPr="007A525F">
              <w:rPr>
                <w:rFonts w:ascii="David" w:hAnsi="David" w:cs="David" w:hint="cs"/>
                <w:color w:val="000000"/>
                <w:rtl/>
              </w:rPr>
              <w:t>+</w:t>
            </w:r>
          </w:p>
        </w:tc>
      </w:tr>
      <w:tr w:rsidR="00E0162E" w:rsidRPr="007A525F" w14:paraId="09407775" w14:textId="77777777" w:rsidTr="007F0431">
        <w:trPr>
          <w:trHeight w:val="600"/>
        </w:trPr>
        <w:tc>
          <w:tcPr>
            <w:tcW w:w="853" w:type="dxa"/>
            <w:shd w:val="clear" w:color="auto" w:fill="D9D9D9"/>
            <w:noWrap/>
            <w:vAlign w:val="center"/>
          </w:tcPr>
          <w:p w14:paraId="0F4ABF32" w14:textId="77777777" w:rsidR="00B21D92" w:rsidRPr="007A525F" w:rsidRDefault="00E25AE7" w:rsidP="007A525F">
            <w:pPr>
              <w:spacing w:after="0" w:line="240" w:lineRule="auto"/>
              <w:jc w:val="center"/>
              <w:rPr>
                <w:rFonts w:ascii="David" w:hAnsi="David" w:cs="David"/>
                <w:color w:val="000000"/>
              </w:rPr>
            </w:pPr>
            <w:r w:rsidRPr="007A525F">
              <w:rPr>
                <w:rFonts w:ascii="David" w:hAnsi="David" w:cs="David" w:hint="cs"/>
                <w:color w:val="000000"/>
                <w:rtl/>
              </w:rPr>
              <w:t>נוער</w:t>
            </w:r>
          </w:p>
        </w:tc>
        <w:tc>
          <w:tcPr>
            <w:tcW w:w="2121" w:type="dxa"/>
            <w:shd w:val="clear" w:color="auto" w:fill="D9D9D9"/>
            <w:vAlign w:val="center"/>
          </w:tcPr>
          <w:p w14:paraId="41958FA8" w14:textId="77777777" w:rsidR="00B21D92" w:rsidRPr="007A525F" w:rsidRDefault="00E25AE7" w:rsidP="007A525F">
            <w:pPr>
              <w:spacing w:after="0" w:line="240" w:lineRule="auto"/>
              <w:rPr>
                <w:rFonts w:ascii="David" w:hAnsi="David" w:cs="David"/>
                <w:color w:val="000000"/>
                <w:rtl/>
              </w:rPr>
            </w:pPr>
            <w:r w:rsidRPr="007A525F">
              <w:rPr>
                <w:rFonts w:ascii="David" w:hAnsi="David" w:cs="David" w:hint="cs"/>
                <w:color w:val="000000"/>
                <w:rtl/>
              </w:rPr>
              <w:t>צו ביניים לנזקקות (</w:t>
            </w:r>
            <w:r w:rsidRPr="007A525F">
              <w:rPr>
                <w:rFonts w:ascii="David" w:hAnsi="David" w:cs="David"/>
                <w:color w:val="000000"/>
                <w:rtl/>
              </w:rPr>
              <w:t>צב"נ</w:t>
            </w:r>
            <w:r w:rsidRPr="007A525F">
              <w:rPr>
                <w:rFonts w:ascii="David" w:hAnsi="David" w:cs="David" w:hint="cs"/>
                <w:color w:val="000000"/>
                <w:rtl/>
              </w:rPr>
              <w:t>)</w:t>
            </w:r>
          </w:p>
        </w:tc>
        <w:tc>
          <w:tcPr>
            <w:tcW w:w="1418" w:type="dxa"/>
            <w:shd w:val="clear" w:color="auto" w:fill="D9D9D9"/>
            <w:vAlign w:val="center"/>
          </w:tcPr>
          <w:p w14:paraId="21B501DA" w14:textId="77777777" w:rsidR="00B21D92" w:rsidRPr="007A525F" w:rsidRDefault="00E25AE7" w:rsidP="007A525F">
            <w:pPr>
              <w:spacing w:after="0" w:line="240" w:lineRule="auto"/>
              <w:jc w:val="center"/>
              <w:rPr>
                <w:rFonts w:ascii="David" w:hAnsi="David" w:cs="David"/>
                <w:color w:val="000000"/>
              </w:rPr>
            </w:pPr>
            <w:r w:rsidRPr="007A525F">
              <w:rPr>
                <w:rFonts w:ascii="David" w:hAnsi="David" w:cs="David"/>
                <w:color w:val="000000"/>
              </w:rPr>
              <w:t>1,765</w:t>
            </w:r>
          </w:p>
        </w:tc>
        <w:tc>
          <w:tcPr>
            <w:tcW w:w="1559" w:type="dxa"/>
            <w:shd w:val="clear" w:color="auto" w:fill="D9D9D9"/>
            <w:noWrap/>
            <w:vAlign w:val="center"/>
          </w:tcPr>
          <w:p w14:paraId="3814D3E0" w14:textId="77777777" w:rsidR="00B21D92" w:rsidRPr="007A525F" w:rsidRDefault="00F22A99" w:rsidP="007A525F">
            <w:pPr>
              <w:spacing w:after="0" w:line="240" w:lineRule="auto"/>
              <w:jc w:val="center"/>
              <w:rPr>
                <w:rFonts w:ascii="David" w:hAnsi="David" w:cs="David"/>
                <w:b/>
                <w:bCs/>
                <w:color w:val="000000"/>
                <w:rtl/>
              </w:rPr>
            </w:pPr>
            <w:r w:rsidRPr="007A525F">
              <w:rPr>
                <w:rFonts w:ascii="David" w:hAnsi="David" w:cs="David"/>
                <w:b/>
                <w:bCs/>
                <w:color w:val="000000"/>
              </w:rPr>
              <w:t>4:04</w:t>
            </w:r>
          </w:p>
        </w:tc>
        <w:tc>
          <w:tcPr>
            <w:tcW w:w="1843" w:type="dxa"/>
            <w:shd w:val="clear" w:color="auto" w:fill="D9D9D9"/>
            <w:vAlign w:val="center"/>
          </w:tcPr>
          <w:p w14:paraId="1210FD63" w14:textId="77777777" w:rsidR="00B21D92" w:rsidRPr="007A525F" w:rsidRDefault="00E25AE7" w:rsidP="007A525F">
            <w:pPr>
              <w:spacing w:after="0" w:line="240" w:lineRule="auto"/>
              <w:jc w:val="center"/>
              <w:rPr>
                <w:rFonts w:ascii="David" w:hAnsi="David" w:cs="David"/>
                <w:color w:val="000000"/>
              </w:rPr>
            </w:pPr>
            <w:r w:rsidRPr="007A525F">
              <w:rPr>
                <w:rFonts w:ascii="David" w:hAnsi="David" w:cs="David"/>
                <w:color w:val="000000"/>
              </w:rPr>
              <w:t>01:04</w:t>
            </w:r>
          </w:p>
        </w:tc>
        <w:tc>
          <w:tcPr>
            <w:tcW w:w="850" w:type="dxa"/>
            <w:shd w:val="clear" w:color="auto" w:fill="D9D9D9"/>
            <w:vAlign w:val="center"/>
          </w:tcPr>
          <w:p w14:paraId="30D57D9B" w14:textId="77777777" w:rsidR="00B21D92" w:rsidRPr="007A525F" w:rsidRDefault="00E25AE7" w:rsidP="007A525F">
            <w:pPr>
              <w:spacing w:after="0" w:line="240" w:lineRule="auto"/>
              <w:jc w:val="center"/>
              <w:rPr>
                <w:rFonts w:ascii="David" w:hAnsi="David" w:cs="David"/>
                <w:color w:val="000000"/>
              </w:rPr>
            </w:pPr>
            <w:r w:rsidRPr="007A525F">
              <w:rPr>
                <w:rFonts w:ascii="David" w:hAnsi="David" w:cs="David"/>
                <w:color w:val="000000"/>
              </w:rPr>
              <w:t>+3:</w:t>
            </w:r>
            <w:r w:rsidR="00F22A99" w:rsidRPr="007A525F">
              <w:rPr>
                <w:rFonts w:ascii="David" w:hAnsi="David" w:cs="David"/>
                <w:color w:val="000000"/>
              </w:rPr>
              <w:t>00</w:t>
            </w:r>
          </w:p>
        </w:tc>
      </w:tr>
      <w:tr w:rsidR="00CC7D9B" w:rsidRPr="007A525F" w14:paraId="6337951C" w14:textId="77777777" w:rsidTr="007F0431">
        <w:trPr>
          <w:trHeight w:val="600"/>
        </w:trPr>
        <w:tc>
          <w:tcPr>
            <w:tcW w:w="853" w:type="dxa"/>
            <w:shd w:val="clear" w:color="auto" w:fill="auto"/>
            <w:noWrap/>
            <w:vAlign w:val="center"/>
          </w:tcPr>
          <w:p w14:paraId="0933764F" w14:textId="77777777" w:rsidR="00CC7D9B" w:rsidRPr="007A525F" w:rsidRDefault="00CC7D9B" w:rsidP="007A525F">
            <w:pPr>
              <w:spacing w:after="0" w:line="240" w:lineRule="auto"/>
              <w:jc w:val="center"/>
              <w:rPr>
                <w:rFonts w:ascii="David" w:hAnsi="David" w:cs="David"/>
                <w:color w:val="000000"/>
                <w:rtl/>
              </w:rPr>
            </w:pPr>
            <w:r w:rsidRPr="007A525F">
              <w:rPr>
                <w:rFonts w:ascii="David" w:hAnsi="David" w:cs="David" w:hint="cs"/>
                <w:color w:val="000000"/>
                <w:rtl/>
              </w:rPr>
              <w:t>נוער</w:t>
            </w:r>
          </w:p>
        </w:tc>
        <w:tc>
          <w:tcPr>
            <w:tcW w:w="2121" w:type="dxa"/>
            <w:shd w:val="clear" w:color="auto" w:fill="auto"/>
            <w:vAlign w:val="center"/>
          </w:tcPr>
          <w:p w14:paraId="164E6E06" w14:textId="77777777" w:rsidR="00CC7D9B" w:rsidRPr="007A525F" w:rsidRDefault="00CC7D9B" w:rsidP="007A525F">
            <w:pPr>
              <w:spacing w:after="0" w:line="240" w:lineRule="auto"/>
              <w:rPr>
                <w:rFonts w:ascii="David" w:hAnsi="David" w:cs="David"/>
                <w:color w:val="000000"/>
                <w:rtl/>
              </w:rPr>
            </w:pPr>
            <w:r w:rsidRPr="007A525F">
              <w:rPr>
                <w:rFonts w:ascii="David" w:hAnsi="David" w:cs="David" w:hint="cs"/>
                <w:color w:val="000000"/>
                <w:rtl/>
              </w:rPr>
              <w:t>מעצר ימים (</w:t>
            </w:r>
            <w:r w:rsidRPr="007A525F">
              <w:rPr>
                <w:rFonts w:ascii="David" w:hAnsi="David" w:cs="David"/>
                <w:color w:val="000000"/>
                <w:rtl/>
              </w:rPr>
              <w:t>מ"י</w:t>
            </w:r>
            <w:r w:rsidRPr="007A525F">
              <w:rPr>
                <w:rFonts w:ascii="David" w:hAnsi="David" w:cs="David" w:hint="cs"/>
                <w:color w:val="000000"/>
                <w:rtl/>
              </w:rPr>
              <w:t>)</w:t>
            </w:r>
          </w:p>
        </w:tc>
        <w:tc>
          <w:tcPr>
            <w:tcW w:w="1418" w:type="dxa"/>
            <w:shd w:val="clear" w:color="auto" w:fill="auto"/>
            <w:vAlign w:val="center"/>
          </w:tcPr>
          <w:p w14:paraId="59DF8DEE" w14:textId="77777777" w:rsidR="00CC7D9B" w:rsidRPr="007A525F" w:rsidRDefault="00CC7D9B" w:rsidP="007A525F">
            <w:pPr>
              <w:spacing w:after="0" w:line="240" w:lineRule="auto"/>
              <w:jc w:val="center"/>
              <w:rPr>
                <w:rFonts w:ascii="David" w:hAnsi="David" w:cs="David"/>
                <w:color w:val="000000"/>
              </w:rPr>
            </w:pPr>
            <w:r w:rsidRPr="007A525F">
              <w:rPr>
                <w:rFonts w:ascii="David" w:hAnsi="David" w:cs="David"/>
                <w:color w:val="000000"/>
              </w:rPr>
              <w:t>2,652</w:t>
            </w:r>
          </w:p>
        </w:tc>
        <w:tc>
          <w:tcPr>
            <w:tcW w:w="1559" w:type="dxa"/>
            <w:shd w:val="clear" w:color="auto" w:fill="auto"/>
            <w:noWrap/>
            <w:vAlign w:val="center"/>
          </w:tcPr>
          <w:p w14:paraId="7054D4AD" w14:textId="77777777" w:rsidR="00CC7D9B" w:rsidRPr="007A525F" w:rsidRDefault="00CC7D9B" w:rsidP="007A525F">
            <w:pPr>
              <w:spacing w:after="0" w:line="240" w:lineRule="auto"/>
              <w:jc w:val="center"/>
              <w:rPr>
                <w:rFonts w:ascii="David" w:hAnsi="David" w:cs="David"/>
                <w:b/>
                <w:bCs/>
                <w:color w:val="000000"/>
              </w:rPr>
            </w:pPr>
            <w:r w:rsidRPr="007A525F">
              <w:rPr>
                <w:rFonts w:ascii="David" w:hAnsi="David" w:cs="David"/>
                <w:b/>
                <w:bCs/>
                <w:color w:val="000000"/>
              </w:rPr>
              <w:t>1:52</w:t>
            </w:r>
          </w:p>
        </w:tc>
        <w:tc>
          <w:tcPr>
            <w:tcW w:w="1843" w:type="dxa"/>
            <w:shd w:val="clear" w:color="auto" w:fill="auto"/>
            <w:vAlign w:val="center"/>
          </w:tcPr>
          <w:p w14:paraId="016FDC4D" w14:textId="77777777" w:rsidR="00CC7D9B" w:rsidRPr="007A525F" w:rsidRDefault="00CC7D9B" w:rsidP="007A525F">
            <w:pPr>
              <w:spacing w:after="0" w:line="240" w:lineRule="auto"/>
              <w:jc w:val="center"/>
              <w:rPr>
                <w:rFonts w:ascii="David" w:hAnsi="David" w:cs="David"/>
                <w:color w:val="000000"/>
              </w:rPr>
            </w:pPr>
            <w:r w:rsidRPr="007A525F">
              <w:rPr>
                <w:rFonts w:ascii="David" w:hAnsi="David" w:cs="David"/>
                <w:color w:val="000000"/>
              </w:rPr>
              <w:t>01:04</w:t>
            </w:r>
          </w:p>
        </w:tc>
        <w:tc>
          <w:tcPr>
            <w:tcW w:w="850" w:type="dxa"/>
            <w:shd w:val="clear" w:color="auto" w:fill="auto"/>
            <w:vAlign w:val="center"/>
          </w:tcPr>
          <w:p w14:paraId="3B63155E" w14:textId="77777777" w:rsidR="00CC7D9B" w:rsidRPr="007A525F" w:rsidRDefault="00CC7D9B" w:rsidP="007A525F">
            <w:pPr>
              <w:spacing w:after="0" w:line="240" w:lineRule="auto"/>
              <w:jc w:val="center"/>
              <w:rPr>
                <w:rFonts w:ascii="David" w:hAnsi="David" w:cs="David"/>
                <w:color w:val="000000"/>
              </w:rPr>
            </w:pPr>
            <w:r w:rsidRPr="007A525F">
              <w:rPr>
                <w:rFonts w:ascii="David" w:hAnsi="David" w:cs="David"/>
                <w:color w:val="000000"/>
              </w:rPr>
              <w:t>+0:48</w:t>
            </w:r>
          </w:p>
        </w:tc>
      </w:tr>
      <w:tr w:rsidR="00CC7D9B" w:rsidRPr="007A525F" w14:paraId="56822390" w14:textId="77777777" w:rsidTr="007F0431">
        <w:trPr>
          <w:trHeight w:val="600"/>
        </w:trPr>
        <w:tc>
          <w:tcPr>
            <w:tcW w:w="853" w:type="dxa"/>
            <w:shd w:val="clear" w:color="auto" w:fill="D9D9D9"/>
            <w:noWrap/>
            <w:vAlign w:val="center"/>
          </w:tcPr>
          <w:p w14:paraId="66602FEE" w14:textId="77777777" w:rsidR="00CC7D9B" w:rsidRPr="007A525F" w:rsidRDefault="00CC7D9B" w:rsidP="007A525F">
            <w:pPr>
              <w:spacing w:after="0" w:line="240" w:lineRule="auto"/>
              <w:jc w:val="center"/>
              <w:rPr>
                <w:rFonts w:ascii="David" w:hAnsi="David" w:cs="David"/>
                <w:color w:val="000000"/>
                <w:rtl/>
              </w:rPr>
            </w:pPr>
            <w:r w:rsidRPr="007A525F">
              <w:rPr>
                <w:rFonts w:ascii="David" w:hAnsi="David" w:cs="David" w:hint="cs"/>
                <w:color w:val="000000"/>
                <w:rtl/>
              </w:rPr>
              <w:t>נוער</w:t>
            </w:r>
          </w:p>
        </w:tc>
        <w:tc>
          <w:tcPr>
            <w:tcW w:w="2121" w:type="dxa"/>
            <w:shd w:val="clear" w:color="auto" w:fill="D9D9D9"/>
            <w:vAlign w:val="center"/>
          </w:tcPr>
          <w:p w14:paraId="131BB8B9" w14:textId="77777777" w:rsidR="00CC7D9B" w:rsidRPr="007A525F" w:rsidRDefault="00CC7D9B" w:rsidP="007A525F">
            <w:pPr>
              <w:spacing w:after="0" w:line="240" w:lineRule="auto"/>
              <w:rPr>
                <w:rFonts w:ascii="David" w:hAnsi="David" w:cs="David"/>
                <w:color w:val="000000"/>
                <w:rtl/>
              </w:rPr>
            </w:pPr>
            <w:r w:rsidRPr="007A525F">
              <w:rPr>
                <w:rFonts w:ascii="David" w:hAnsi="David" w:cs="David" w:hint="cs"/>
                <w:color w:val="000000"/>
                <w:rtl/>
              </w:rPr>
              <w:t>תיק תעבורה (</w:t>
            </w:r>
            <w:r w:rsidRPr="007A525F">
              <w:rPr>
                <w:rFonts w:ascii="David" w:hAnsi="David" w:cs="David"/>
                <w:color w:val="000000"/>
                <w:rtl/>
              </w:rPr>
              <w:t>תת"ע</w:t>
            </w:r>
            <w:r w:rsidRPr="007A525F">
              <w:rPr>
                <w:rFonts w:ascii="David" w:hAnsi="David" w:cs="David" w:hint="cs"/>
                <w:color w:val="000000"/>
                <w:rtl/>
              </w:rPr>
              <w:t>)</w:t>
            </w:r>
          </w:p>
        </w:tc>
        <w:tc>
          <w:tcPr>
            <w:tcW w:w="1418" w:type="dxa"/>
            <w:shd w:val="clear" w:color="auto" w:fill="D9D9D9"/>
            <w:vAlign w:val="center"/>
          </w:tcPr>
          <w:p w14:paraId="298A3CF8" w14:textId="77777777" w:rsidR="00CC7D9B" w:rsidRPr="007A525F" w:rsidRDefault="00CC7D9B" w:rsidP="007A525F">
            <w:pPr>
              <w:spacing w:after="0" w:line="240" w:lineRule="auto"/>
              <w:jc w:val="center"/>
              <w:rPr>
                <w:rFonts w:ascii="David" w:hAnsi="David" w:cs="David"/>
                <w:color w:val="000000"/>
              </w:rPr>
            </w:pPr>
            <w:r w:rsidRPr="007A525F">
              <w:rPr>
                <w:rFonts w:ascii="David" w:hAnsi="David" w:cs="David"/>
                <w:color w:val="000000"/>
              </w:rPr>
              <w:t>798</w:t>
            </w:r>
          </w:p>
        </w:tc>
        <w:tc>
          <w:tcPr>
            <w:tcW w:w="1559" w:type="dxa"/>
            <w:shd w:val="clear" w:color="auto" w:fill="D9D9D9"/>
            <w:noWrap/>
            <w:vAlign w:val="center"/>
          </w:tcPr>
          <w:p w14:paraId="3751AC91" w14:textId="77777777" w:rsidR="00CC7D9B" w:rsidRPr="007A525F" w:rsidRDefault="00CC7D9B" w:rsidP="007A525F">
            <w:pPr>
              <w:spacing w:after="0" w:line="240" w:lineRule="auto"/>
              <w:jc w:val="center"/>
              <w:rPr>
                <w:rFonts w:ascii="David" w:hAnsi="David" w:cs="David"/>
                <w:b/>
                <w:bCs/>
                <w:color w:val="000000"/>
              </w:rPr>
            </w:pPr>
            <w:r w:rsidRPr="007A525F">
              <w:rPr>
                <w:rFonts w:ascii="David" w:hAnsi="David" w:cs="David"/>
                <w:b/>
                <w:bCs/>
                <w:color w:val="000000"/>
              </w:rPr>
              <w:t>1:51</w:t>
            </w:r>
          </w:p>
        </w:tc>
        <w:tc>
          <w:tcPr>
            <w:tcW w:w="1843" w:type="dxa"/>
            <w:shd w:val="clear" w:color="auto" w:fill="D9D9D9"/>
            <w:vAlign w:val="center"/>
          </w:tcPr>
          <w:p w14:paraId="53561289" w14:textId="77777777" w:rsidR="00CC7D9B" w:rsidRPr="007A525F" w:rsidRDefault="00CC7D9B" w:rsidP="007A525F">
            <w:pPr>
              <w:spacing w:after="0" w:line="240" w:lineRule="auto"/>
              <w:jc w:val="center"/>
              <w:rPr>
                <w:rFonts w:ascii="David" w:hAnsi="David" w:cs="David"/>
                <w:color w:val="000000"/>
              </w:rPr>
            </w:pPr>
            <w:r w:rsidRPr="007A525F">
              <w:rPr>
                <w:rFonts w:ascii="David" w:hAnsi="David" w:cs="David"/>
                <w:color w:val="000000"/>
              </w:rPr>
              <w:t>-</w:t>
            </w:r>
          </w:p>
        </w:tc>
        <w:tc>
          <w:tcPr>
            <w:tcW w:w="850" w:type="dxa"/>
            <w:shd w:val="clear" w:color="auto" w:fill="D9D9D9"/>
            <w:vAlign w:val="center"/>
          </w:tcPr>
          <w:p w14:paraId="28120623" w14:textId="77777777" w:rsidR="00CC7D9B" w:rsidRPr="007A525F" w:rsidRDefault="00CC7D9B" w:rsidP="007A525F">
            <w:pPr>
              <w:spacing w:after="0" w:line="240" w:lineRule="auto"/>
              <w:jc w:val="center"/>
              <w:rPr>
                <w:rFonts w:ascii="David" w:hAnsi="David" w:cs="David"/>
                <w:color w:val="000000"/>
              </w:rPr>
            </w:pPr>
            <w:r w:rsidRPr="007A525F">
              <w:rPr>
                <w:rFonts w:ascii="David" w:hAnsi="David" w:cs="David"/>
                <w:color w:val="000000"/>
              </w:rPr>
              <w:t>-</w:t>
            </w:r>
          </w:p>
        </w:tc>
      </w:tr>
      <w:tr w:rsidR="00CC7D9B" w:rsidRPr="007A525F" w14:paraId="3DD035D6" w14:textId="77777777" w:rsidTr="007F0431">
        <w:trPr>
          <w:trHeight w:val="600"/>
        </w:trPr>
        <w:tc>
          <w:tcPr>
            <w:tcW w:w="853" w:type="dxa"/>
            <w:shd w:val="clear" w:color="auto" w:fill="auto"/>
            <w:noWrap/>
            <w:vAlign w:val="center"/>
          </w:tcPr>
          <w:p w14:paraId="599B23A7" w14:textId="77777777" w:rsidR="00CC7D9B" w:rsidRPr="007A525F" w:rsidRDefault="00CC7D9B" w:rsidP="007A525F">
            <w:pPr>
              <w:spacing w:after="0" w:line="240" w:lineRule="auto"/>
              <w:jc w:val="center"/>
              <w:rPr>
                <w:rFonts w:ascii="David" w:hAnsi="David" w:cs="David"/>
                <w:color w:val="000000"/>
              </w:rPr>
            </w:pPr>
            <w:r w:rsidRPr="007A525F">
              <w:rPr>
                <w:rFonts w:ascii="David" w:hAnsi="David" w:cs="David" w:hint="cs"/>
                <w:color w:val="000000"/>
                <w:rtl/>
              </w:rPr>
              <w:t>נוער</w:t>
            </w:r>
          </w:p>
        </w:tc>
        <w:tc>
          <w:tcPr>
            <w:tcW w:w="2121" w:type="dxa"/>
            <w:shd w:val="clear" w:color="auto" w:fill="auto"/>
            <w:vAlign w:val="center"/>
          </w:tcPr>
          <w:p w14:paraId="2FB39D6D" w14:textId="77777777" w:rsidR="00CC7D9B" w:rsidRPr="007A525F" w:rsidRDefault="00CC7D9B" w:rsidP="007A525F">
            <w:pPr>
              <w:spacing w:after="0" w:line="240" w:lineRule="auto"/>
              <w:rPr>
                <w:rFonts w:ascii="David" w:hAnsi="David" w:cs="David"/>
                <w:color w:val="000000"/>
                <w:rtl/>
              </w:rPr>
            </w:pPr>
            <w:r w:rsidRPr="007A525F">
              <w:rPr>
                <w:rFonts w:ascii="David" w:hAnsi="David" w:cs="David" w:hint="cs"/>
                <w:color w:val="000000"/>
                <w:rtl/>
              </w:rPr>
              <w:t>צו אחר (</w:t>
            </w:r>
            <w:r w:rsidRPr="007A525F">
              <w:rPr>
                <w:rFonts w:ascii="David" w:hAnsi="David" w:cs="David"/>
                <w:color w:val="000000"/>
                <w:rtl/>
              </w:rPr>
              <w:t>צ"א</w:t>
            </w:r>
            <w:r w:rsidRPr="007A525F">
              <w:rPr>
                <w:rFonts w:ascii="David" w:hAnsi="David" w:cs="David" w:hint="cs"/>
                <w:color w:val="000000"/>
                <w:rtl/>
              </w:rPr>
              <w:t>)</w:t>
            </w:r>
          </w:p>
        </w:tc>
        <w:tc>
          <w:tcPr>
            <w:tcW w:w="1418" w:type="dxa"/>
            <w:vAlign w:val="center"/>
          </w:tcPr>
          <w:p w14:paraId="18AB3DAF" w14:textId="77777777" w:rsidR="00CC7D9B" w:rsidRPr="007A525F" w:rsidRDefault="00CC7D9B" w:rsidP="007A525F">
            <w:pPr>
              <w:spacing w:after="0" w:line="240" w:lineRule="auto"/>
              <w:jc w:val="center"/>
              <w:rPr>
                <w:rFonts w:ascii="David" w:hAnsi="David" w:cs="David"/>
                <w:color w:val="000000"/>
                <w:rtl/>
              </w:rPr>
            </w:pPr>
            <w:r w:rsidRPr="007A525F">
              <w:rPr>
                <w:rFonts w:ascii="David" w:hAnsi="David" w:cs="David"/>
                <w:color w:val="000000"/>
              </w:rPr>
              <w:t>210</w:t>
            </w:r>
          </w:p>
        </w:tc>
        <w:tc>
          <w:tcPr>
            <w:tcW w:w="1559" w:type="dxa"/>
            <w:shd w:val="clear" w:color="auto" w:fill="auto"/>
            <w:noWrap/>
            <w:vAlign w:val="center"/>
          </w:tcPr>
          <w:p w14:paraId="7C6A294E" w14:textId="77777777" w:rsidR="00CC7D9B" w:rsidRPr="007A525F" w:rsidRDefault="00CC7D9B" w:rsidP="007A525F">
            <w:pPr>
              <w:spacing w:after="0" w:line="240" w:lineRule="auto"/>
              <w:jc w:val="center"/>
              <w:rPr>
                <w:rFonts w:ascii="David" w:hAnsi="David" w:cs="David"/>
                <w:b/>
                <w:bCs/>
                <w:color w:val="000000"/>
                <w:rtl/>
              </w:rPr>
            </w:pPr>
            <w:r w:rsidRPr="007A525F">
              <w:rPr>
                <w:rFonts w:ascii="David" w:hAnsi="David" w:cs="David"/>
                <w:b/>
                <w:bCs/>
                <w:color w:val="000000"/>
              </w:rPr>
              <w:t>0:54</w:t>
            </w:r>
          </w:p>
        </w:tc>
        <w:tc>
          <w:tcPr>
            <w:tcW w:w="1843" w:type="dxa"/>
            <w:shd w:val="clear" w:color="auto" w:fill="auto"/>
            <w:vAlign w:val="center"/>
          </w:tcPr>
          <w:p w14:paraId="0FBF8129" w14:textId="77777777" w:rsidR="00CC7D9B" w:rsidRPr="007A525F" w:rsidRDefault="00CC7D9B" w:rsidP="007A525F">
            <w:pPr>
              <w:spacing w:after="0" w:line="240" w:lineRule="auto"/>
              <w:jc w:val="center"/>
              <w:rPr>
                <w:rFonts w:ascii="David" w:hAnsi="David" w:cs="David"/>
                <w:color w:val="000000"/>
              </w:rPr>
            </w:pPr>
            <w:r w:rsidRPr="007A525F">
              <w:rPr>
                <w:rFonts w:ascii="David" w:hAnsi="David" w:cs="David"/>
                <w:color w:val="000000"/>
              </w:rPr>
              <w:t>-</w:t>
            </w:r>
          </w:p>
        </w:tc>
        <w:tc>
          <w:tcPr>
            <w:tcW w:w="850" w:type="dxa"/>
            <w:shd w:val="clear" w:color="auto" w:fill="auto"/>
            <w:vAlign w:val="center"/>
          </w:tcPr>
          <w:p w14:paraId="40CAC40E" w14:textId="77777777" w:rsidR="00CC7D9B" w:rsidRPr="007A525F" w:rsidRDefault="00CC7D9B" w:rsidP="007A525F">
            <w:pPr>
              <w:spacing w:after="0" w:line="240" w:lineRule="auto"/>
              <w:jc w:val="center"/>
              <w:rPr>
                <w:rFonts w:ascii="David" w:hAnsi="David" w:cs="David"/>
                <w:color w:val="000000"/>
              </w:rPr>
            </w:pPr>
            <w:r w:rsidRPr="007A525F">
              <w:rPr>
                <w:rFonts w:ascii="David" w:hAnsi="David" w:cs="David"/>
                <w:color w:val="000000"/>
              </w:rPr>
              <w:t>-</w:t>
            </w:r>
          </w:p>
        </w:tc>
      </w:tr>
      <w:tr w:rsidR="00CC7D9B" w:rsidRPr="007A525F" w14:paraId="5E48A7A3" w14:textId="77777777" w:rsidTr="007F0431">
        <w:trPr>
          <w:trHeight w:val="600"/>
        </w:trPr>
        <w:tc>
          <w:tcPr>
            <w:tcW w:w="853" w:type="dxa"/>
            <w:shd w:val="clear" w:color="auto" w:fill="D9D9D9"/>
            <w:noWrap/>
            <w:vAlign w:val="center"/>
          </w:tcPr>
          <w:p w14:paraId="77AE2A08" w14:textId="77777777" w:rsidR="00CC7D9B" w:rsidRPr="007A525F" w:rsidRDefault="00CC7D9B" w:rsidP="007A525F">
            <w:pPr>
              <w:spacing w:after="0" w:line="240" w:lineRule="auto"/>
              <w:jc w:val="center"/>
              <w:rPr>
                <w:rFonts w:ascii="David" w:hAnsi="David" w:cs="David"/>
                <w:color w:val="000000"/>
              </w:rPr>
            </w:pPr>
            <w:r w:rsidRPr="007A525F">
              <w:rPr>
                <w:rFonts w:ascii="David" w:hAnsi="David" w:cs="David" w:hint="cs"/>
                <w:color w:val="000000"/>
                <w:rtl/>
              </w:rPr>
              <w:t>נוער</w:t>
            </w:r>
          </w:p>
        </w:tc>
        <w:tc>
          <w:tcPr>
            <w:tcW w:w="2121" w:type="dxa"/>
            <w:shd w:val="clear" w:color="auto" w:fill="D9D9D9"/>
            <w:vAlign w:val="center"/>
          </w:tcPr>
          <w:p w14:paraId="6F8F6632" w14:textId="77777777" w:rsidR="00CC7D9B" w:rsidRPr="007A525F" w:rsidRDefault="00CC7D9B" w:rsidP="007A525F">
            <w:pPr>
              <w:spacing w:after="0" w:line="240" w:lineRule="auto"/>
              <w:rPr>
                <w:rFonts w:ascii="David" w:hAnsi="David" w:cs="David"/>
                <w:color w:val="000000"/>
                <w:rtl/>
              </w:rPr>
            </w:pPr>
            <w:r w:rsidRPr="007A525F">
              <w:rPr>
                <w:rFonts w:ascii="David" w:hAnsi="David" w:cs="David" w:hint="cs"/>
                <w:color w:val="000000"/>
                <w:rtl/>
              </w:rPr>
              <w:t>מעצר ימים בהעדר (</w:t>
            </w:r>
            <w:r w:rsidRPr="007A525F">
              <w:rPr>
                <w:rFonts w:ascii="David" w:hAnsi="David" w:cs="David"/>
                <w:color w:val="000000"/>
                <w:rtl/>
              </w:rPr>
              <w:t>מי"ב</w:t>
            </w:r>
            <w:r w:rsidRPr="007A525F">
              <w:rPr>
                <w:rFonts w:ascii="David" w:hAnsi="David" w:cs="David" w:hint="cs"/>
                <w:color w:val="000000"/>
                <w:rtl/>
              </w:rPr>
              <w:t>)</w:t>
            </w:r>
          </w:p>
        </w:tc>
        <w:tc>
          <w:tcPr>
            <w:tcW w:w="1418" w:type="dxa"/>
            <w:shd w:val="clear" w:color="auto" w:fill="D9D9D9"/>
            <w:vAlign w:val="center"/>
          </w:tcPr>
          <w:p w14:paraId="6B507E94" w14:textId="77777777" w:rsidR="00CC7D9B" w:rsidRPr="007A525F" w:rsidRDefault="00CC7D9B" w:rsidP="007A525F">
            <w:pPr>
              <w:spacing w:after="0" w:line="240" w:lineRule="auto"/>
              <w:jc w:val="center"/>
              <w:rPr>
                <w:rFonts w:cs="David"/>
                <w:color w:val="000000"/>
              </w:rPr>
            </w:pPr>
            <w:r w:rsidRPr="007A525F">
              <w:rPr>
                <w:rFonts w:ascii="David" w:hAnsi="David" w:cs="David"/>
                <w:color w:val="000000"/>
              </w:rPr>
              <w:t>748</w:t>
            </w:r>
          </w:p>
        </w:tc>
        <w:tc>
          <w:tcPr>
            <w:tcW w:w="1559" w:type="dxa"/>
            <w:shd w:val="clear" w:color="auto" w:fill="D9D9D9"/>
            <w:noWrap/>
            <w:vAlign w:val="center"/>
          </w:tcPr>
          <w:p w14:paraId="0A14DBB2" w14:textId="77777777" w:rsidR="00CC7D9B" w:rsidRPr="007A525F" w:rsidRDefault="00CC7D9B" w:rsidP="007A525F">
            <w:pPr>
              <w:spacing w:after="0" w:line="240" w:lineRule="auto"/>
              <w:jc w:val="center"/>
              <w:rPr>
                <w:rFonts w:ascii="David" w:hAnsi="David" w:cs="David"/>
                <w:b/>
                <w:bCs/>
                <w:color w:val="000000"/>
              </w:rPr>
            </w:pPr>
            <w:r w:rsidRPr="007A525F">
              <w:rPr>
                <w:rFonts w:ascii="David" w:hAnsi="David" w:cs="David"/>
                <w:b/>
                <w:bCs/>
                <w:color w:val="000000"/>
              </w:rPr>
              <w:t>0:15</w:t>
            </w:r>
          </w:p>
        </w:tc>
        <w:tc>
          <w:tcPr>
            <w:tcW w:w="1843" w:type="dxa"/>
            <w:shd w:val="clear" w:color="auto" w:fill="D9D9D9"/>
            <w:vAlign w:val="center"/>
          </w:tcPr>
          <w:p w14:paraId="5D3CECBE" w14:textId="77777777" w:rsidR="00CC7D9B" w:rsidRPr="007A525F" w:rsidRDefault="00CC7D9B" w:rsidP="007A525F">
            <w:pPr>
              <w:spacing w:after="0" w:line="240" w:lineRule="auto"/>
              <w:jc w:val="center"/>
              <w:rPr>
                <w:rFonts w:ascii="David" w:hAnsi="David" w:cs="David"/>
                <w:color w:val="000000"/>
                <w:rtl/>
              </w:rPr>
            </w:pPr>
            <w:r w:rsidRPr="007A525F">
              <w:rPr>
                <w:rFonts w:ascii="David" w:hAnsi="David" w:cs="David"/>
                <w:color w:val="000000"/>
              </w:rPr>
              <w:t>-</w:t>
            </w:r>
          </w:p>
        </w:tc>
        <w:tc>
          <w:tcPr>
            <w:tcW w:w="850" w:type="dxa"/>
            <w:shd w:val="clear" w:color="auto" w:fill="D9D9D9"/>
            <w:vAlign w:val="center"/>
          </w:tcPr>
          <w:p w14:paraId="05530DE4" w14:textId="77777777" w:rsidR="00CC7D9B" w:rsidRPr="007A525F" w:rsidRDefault="00CC7D9B" w:rsidP="007A525F">
            <w:pPr>
              <w:spacing w:after="0" w:line="240" w:lineRule="auto"/>
              <w:jc w:val="center"/>
              <w:rPr>
                <w:rFonts w:ascii="David" w:hAnsi="David" w:cs="David"/>
                <w:color w:val="000000"/>
              </w:rPr>
            </w:pPr>
            <w:r w:rsidRPr="007A525F">
              <w:rPr>
                <w:rFonts w:ascii="David" w:hAnsi="David" w:cs="David"/>
                <w:color w:val="000000"/>
              </w:rPr>
              <w:t>-</w:t>
            </w:r>
          </w:p>
        </w:tc>
      </w:tr>
      <w:tr w:rsidR="00CC7D9B" w:rsidRPr="007A525F" w14:paraId="0CEEEA0B" w14:textId="77777777" w:rsidTr="007F0431">
        <w:trPr>
          <w:trHeight w:val="600"/>
        </w:trPr>
        <w:tc>
          <w:tcPr>
            <w:tcW w:w="853" w:type="dxa"/>
            <w:shd w:val="clear" w:color="auto" w:fill="auto"/>
            <w:noWrap/>
            <w:vAlign w:val="center"/>
          </w:tcPr>
          <w:p w14:paraId="245400D1" w14:textId="77777777" w:rsidR="00CC7D9B" w:rsidRPr="007A525F" w:rsidRDefault="00CC7D9B" w:rsidP="007A525F">
            <w:pPr>
              <w:spacing w:after="0" w:line="240" w:lineRule="auto"/>
              <w:jc w:val="center"/>
              <w:rPr>
                <w:rFonts w:ascii="David" w:hAnsi="David" w:cs="David"/>
                <w:color w:val="000000"/>
              </w:rPr>
            </w:pPr>
            <w:r w:rsidRPr="007A525F">
              <w:rPr>
                <w:rFonts w:ascii="David" w:hAnsi="David" w:cs="David" w:hint="cs"/>
                <w:color w:val="000000"/>
                <w:rtl/>
              </w:rPr>
              <w:t>נוער</w:t>
            </w:r>
          </w:p>
        </w:tc>
        <w:tc>
          <w:tcPr>
            <w:tcW w:w="2121" w:type="dxa"/>
            <w:shd w:val="clear" w:color="auto" w:fill="auto"/>
            <w:vAlign w:val="center"/>
          </w:tcPr>
          <w:p w14:paraId="45B01B48" w14:textId="77777777" w:rsidR="00CC7D9B" w:rsidRPr="007A525F" w:rsidRDefault="00CC7D9B" w:rsidP="007A525F">
            <w:pPr>
              <w:spacing w:after="0" w:line="240" w:lineRule="auto"/>
              <w:rPr>
                <w:rFonts w:ascii="David" w:hAnsi="David" w:cs="David"/>
                <w:color w:val="000000"/>
                <w:rtl/>
              </w:rPr>
            </w:pPr>
            <w:r w:rsidRPr="007A525F">
              <w:rPr>
                <w:rFonts w:ascii="David" w:hAnsi="David" w:cs="David" w:hint="cs"/>
                <w:color w:val="000000"/>
                <w:rtl/>
              </w:rPr>
              <w:t>צו חיפוש / צו כניסה (</w:t>
            </w:r>
            <w:r w:rsidRPr="007A525F">
              <w:rPr>
                <w:rFonts w:ascii="David" w:hAnsi="David" w:cs="David"/>
                <w:color w:val="000000"/>
                <w:rtl/>
              </w:rPr>
              <w:t>צ"ח</w:t>
            </w:r>
            <w:r w:rsidRPr="007A525F">
              <w:rPr>
                <w:rFonts w:ascii="David" w:hAnsi="David" w:cs="David" w:hint="cs"/>
                <w:color w:val="000000"/>
                <w:rtl/>
              </w:rPr>
              <w:t>)</w:t>
            </w:r>
          </w:p>
        </w:tc>
        <w:tc>
          <w:tcPr>
            <w:tcW w:w="1418" w:type="dxa"/>
            <w:vAlign w:val="center"/>
          </w:tcPr>
          <w:p w14:paraId="10136C54" w14:textId="77777777" w:rsidR="00CC7D9B" w:rsidRPr="007A525F" w:rsidRDefault="00CC7D9B" w:rsidP="007A525F">
            <w:pPr>
              <w:spacing w:after="0" w:line="240" w:lineRule="auto"/>
              <w:jc w:val="center"/>
              <w:rPr>
                <w:rFonts w:ascii="David" w:hAnsi="David" w:cs="David"/>
                <w:color w:val="000000"/>
              </w:rPr>
            </w:pPr>
            <w:r w:rsidRPr="007A525F">
              <w:rPr>
                <w:rFonts w:ascii="David" w:hAnsi="David" w:cs="David"/>
                <w:color w:val="000000"/>
              </w:rPr>
              <w:t>1,503</w:t>
            </w:r>
          </w:p>
        </w:tc>
        <w:tc>
          <w:tcPr>
            <w:tcW w:w="1559" w:type="dxa"/>
            <w:shd w:val="clear" w:color="auto" w:fill="auto"/>
            <w:noWrap/>
            <w:vAlign w:val="center"/>
          </w:tcPr>
          <w:p w14:paraId="542F9DD1" w14:textId="77777777" w:rsidR="00CC7D9B" w:rsidRPr="007A525F" w:rsidRDefault="00CC7D9B" w:rsidP="007A525F">
            <w:pPr>
              <w:spacing w:after="0" w:line="240" w:lineRule="auto"/>
              <w:jc w:val="center"/>
              <w:rPr>
                <w:rFonts w:ascii="David" w:hAnsi="David" w:cs="David"/>
                <w:b/>
                <w:bCs/>
                <w:color w:val="000000"/>
              </w:rPr>
            </w:pPr>
            <w:r w:rsidRPr="007A525F">
              <w:rPr>
                <w:rFonts w:ascii="David" w:hAnsi="David" w:cs="David"/>
                <w:b/>
                <w:bCs/>
                <w:color w:val="000000"/>
              </w:rPr>
              <w:t>0:03</w:t>
            </w:r>
          </w:p>
        </w:tc>
        <w:tc>
          <w:tcPr>
            <w:tcW w:w="1843" w:type="dxa"/>
            <w:shd w:val="clear" w:color="auto" w:fill="auto"/>
            <w:vAlign w:val="center"/>
          </w:tcPr>
          <w:p w14:paraId="41C649D2" w14:textId="77777777" w:rsidR="00CC7D9B" w:rsidRPr="007A525F" w:rsidRDefault="00CC7D9B" w:rsidP="007A525F">
            <w:pPr>
              <w:spacing w:after="0" w:line="240" w:lineRule="auto"/>
              <w:jc w:val="center"/>
              <w:rPr>
                <w:rFonts w:ascii="David" w:hAnsi="David" w:cs="David"/>
                <w:color w:val="000000"/>
              </w:rPr>
            </w:pPr>
            <w:r w:rsidRPr="007A525F">
              <w:rPr>
                <w:rFonts w:ascii="David" w:hAnsi="David" w:cs="David"/>
                <w:color w:val="000000"/>
              </w:rPr>
              <w:t>-</w:t>
            </w:r>
          </w:p>
        </w:tc>
        <w:tc>
          <w:tcPr>
            <w:tcW w:w="850" w:type="dxa"/>
            <w:shd w:val="clear" w:color="auto" w:fill="auto"/>
            <w:vAlign w:val="center"/>
          </w:tcPr>
          <w:p w14:paraId="6F0AD088" w14:textId="77777777" w:rsidR="00CC7D9B" w:rsidRPr="007A525F" w:rsidRDefault="00CC7D9B" w:rsidP="007A525F">
            <w:pPr>
              <w:spacing w:after="0" w:line="240" w:lineRule="auto"/>
              <w:jc w:val="center"/>
              <w:rPr>
                <w:rFonts w:ascii="David" w:hAnsi="David" w:cs="David"/>
                <w:color w:val="000000"/>
              </w:rPr>
            </w:pPr>
            <w:r w:rsidRPr="007A525F">
              <w:rPr>
                <w:rFonts w:ascii="David" w:hAnsi="David" w:cs="David"/>
                <w:color w:val="000000"/>
              </w:rPr>
              <w:t>-</w:t>
            </w:r>
          </w:p>
        </w:tc>
      </w:tr>
      <w:tr w:rsidR="00CC7D9B" w:rsidRPr="007A525F" w14:paraId="49136A47" w14:textId="77777777" w:rsidTr="007F0431">
        <w:trPr>
          <w:trHeight w:val="600"/>
        </w:trPr>
        <w:tc>
          <w:tcPr>
            <w:tcW w:w="853" w:type="dxa"/>
            <w:shd w:val="clear" w:color="auto" w:fill="D9D9D9"/>
            <w:noWrap/>
            <w:vAlign w:val="center"/>
          </w:tcPr>
          <w:p w14:paraId="44956C8E" w14:textId="77777777" w:rsidR="00CC7D9B" w:rsidRPr="007A525F" w:rsidRDefault="00CC7D9B" w:rsidP="007A525F">
            <w:pPr>
              <w:spacing w:after="0" w:line="240" w:lineRule="auto"/>
              <w:jc w:val="center"/>
              <w:rPr>
                <w:rFonts w:ascii="David" w:hAnsi="David" w:cs="David"/>
                <w:color w:val="000000"/>
              </w:rPr>
            </w:pPr>
            <w:r w:rsidRPr="007A525F">
              <w:rPr>
                <w:rFonts w:ascii="David" w:hAnsi="David" w:cs="David" w:hint="cs"/>
                <w:color w:val="000000"/>
                <w:rtl/>
              </w:rPr>
              <w:t>נוער</w:t>
            </w:r>
          </w:p>
        </w:tc>
        <w:tc>
          <w:tcPr>
            <w:tcW w:w="2121" w:type="dxa"/>
            <w:shd w:val="clear" w:color="auto" w:fill="D9D9D9"/>
            <w:vAlign w:val="center"/>
          </w:tcPr>
          <w:p w14:paraId="33726525" w14:textId="77777777" w:rsidR="00CC7D9B" w:rsidRPr="007A525F" w:rsidRDefault="00CC7D9B" w:rsidP="007A525F">
            <w:pPr>
              <w:spacing w:after="0" w:line="240" w:lineRule="auto"/>
              <w:rPr>
                <w:rFonts w:ascii="David" w:hAnsi="David" w:cs="David"/>
                <w:color w:val="000000"/>
                <w:rtl/>
              </w:rPr>
            </w:pPr>
            <w:r w:rsidRPr="007A525F">
              <w:rPr>
                <w:rFonts w:ascii="David" w:hAnsi="David" w:cs="David" w:hint="cs"/>
                <w:color w:val="000000"/>
                <w:rtl/>
              </w:rPr>
              <w:t>מינוי סנגור טרם כתב אישום (</w:t>
            </w:r>
            <w:r w:rsidRPr="007A525F">
              <w:rPr>
                <w:rFonts w:ascii="David" w:hAnsi="David" w:cs="David"/>
                <w:color w:val="000000"/>
                <w:rtl/>
              </w:rPr>
              <w:t>מס"ט</w:t>
            </w:r>
            <w:r w:rsidRPr="007A525F">
              <w:rPr>
                <w:rFonts w:ascii="David" w:hAnsi="David" w:cs="David" w:hint="cs"/>
                <w:color w:val="000000"/>
                <w:rtl/>
              </w:rPr>
              <w:t>)</w:t>
            </w:r>
          </w:p>
        </w:tc>
        <w:tc>
          <w:tcPr>
            <w:tcW w:w="1418" w:type="dxa"/>
            <w:shd w:val="clear" w:color="auto" w:fill="D9D9D9"/>
            <w:vAlign w:val="center"/>
          </w:tcPr>
          <w:p w14:paraId="469F02F3" w14:textId="77777777" w:rsidR="00CC7D9B" w:rsidRPr="007A525F" w:rsidRDefault="00CC7D9B" w:rsidP="007A525F">
            <w:pPr>
              <w:spacing w:after="0" w:line="240" w:lineRule="auto"/>
              <w:jc w:val="center"/>
              <w:rPr>
                <w:rFonts w:asciiTheme="minorHAnsi" w:hAnsiTheme="minorHAnsi" w:cs="David"/>
                <w:color w:val="000000"/>
                <w:rtl/>
              </w:rPr>
            </w:pPr>
            <w:r w:rsidRPr="007A525F">
              <w:rPr>
                <w:rFonts w:ascii="David" w:hAnsi="David" w:cs="David"/>
                <w:color w:val="000000"/>
              </w:rPr>
              <w:t>297</w:t>
            </w:r>
          </w:p>
        </w:tc>
        <w:tc>
          <w:tcPr>
            <w:tcW w:w="1559" w:type="dxa"/>
            <w:shd w:val="clear" w:color="auto" w:fill="D9D9D9"/>
            <w:noWrap/>
            <w:vAlign w:val="center"/>
          </w:tcPr>
          <w:p w14:paraId="5D40FB31" w14:textId="77777777" w:rsidR="00CC7D9B" w:rsidRPr="007A525F" w:rsidRDefault="00CC7D9B" w:rsidP="007A525F">
            <w:pPr>
              <w:spacing w:after="0" w:line="240" w:lineRule="auto"/>
              <w:jc w:val="center"/>
              <w:rPr>
                <w:rFonts w:ascii="David" w:hAnsi="David" w:cs="David"/>
                <w:b/>
                <w:bCs/>
                <w:color w:val="000000"/>
              </w:rPr>
            </w:pPr>
            <w:r w:rsidRPr="007A525F">
              <w:rPr>
                <w:rFonts w:ascii="David" w:hAnsi="David" w:cs="David"/>
                <w:b/>
                <w:bCs/>
                <w:color w:val="000000"/>
              </w:rPr>
              <w:t>0:02</w:t>
            </w:r>
          </w:p>
        </w:tc>
        <w:tc>
          <w:tcPr>
            <w:tcW w:w="1843" w:type="dxa"/>
            <w:shd w:val="clear" w:color="auto" w:fill="D9D9D9"/>
            <w:vAlign w:val="center"/>
          </w:tcPr>
          <w:p w14:paraId="20F17B9E" w14:textId="77777777" w:rsidR="00CC7D9B" w:rsidRPr="007A525F" w:rsidRDefault="00CC7D9B" w:rsidP="007A525F">
            <w:pPr>
              <w:spacing w:after="0" w:line="240" w:lineRule="auto"/>
              <w:jc w:val="center"/>
              <w:rPr>
                <w:rFonts w:ascii="David" w:hAnsi="David" w:cs="David"/>
                <w:color w:val="000000"/>
              </w:rPr>
            </w:pPr>
            <w:r w:rsidRPr="007A525F">
              <w:rPr>
                <w:rFonts w:ascii="David" w:hAnsi="David" w:cs="David"/>
                <w:color w:val="000000"/>
              </w:rPr>
              <w:t>-</w:t>
            </w:r>
          </w:p>
        </w:tc>
        <w:tc>
          <w:tcPr>
            <w:tcW w:w="850" w:type="dxa"/>
            <w:shd w:val="clear" w:color="auto" w:fill="D9D9D9"/>
            <w:vAlign w:val="center"/>
          </w:tcPr>
          <w:p w14:paraId="6B2016B1" w14:textId="77777777" w:rsidR="00CC7D9B" w:rsidRPr="007A525F" w:rsidRDefault="00CC7D9B" w:rsidP="007A525F">
            <w:pPr>
              <w:spacing w:after="0" w:line="240" w:lineRule="auto"/>
              <w:jc w:val="center"/>
              <w:rPr>
                <w:rFonts w:ascii="David" w:hAnsi="David" w:cs="David"/>
                <w:color w:val="000000"/>
              </w:rPr>
            </w:pPr>
            <w:r w:rsidRPr="007A525F">
              <w:rPr>
                <w:rFonts w:ascii="David" w:hAnsi="David" w:cs="David"/>
                <w:color w:val="000000"/>
              </w:rPr>
              <w:t>-</w:t>
            </w:r>
          </w:p>
        </w:tc>
      </w:tr>
      <w:tr w:rsidR="00CC7D9B" w:rsidRPr="007A525F" w14:paraId="23970FEE" w14:textId="77777777" w:rsidTr="007F0431">
        <w:trPr>
          <w:trHeight w:val="274"/>
        </w:trPr>
        <w:tc>
          <w:tcPr>
            <w:tcW w:w="853" w:type="dxa"/>
            <w:shd w:val="clear" w:color="auto" w:fill="auto"/>
            <w:noWrap/>
            <w:vAlign w:val="center"/>
          </w:tcPr>
          <w:p w14:paraId="08E107E1" w14:textId="77777777" w:rsidR="00CC7D9B" w:rsidRPr="007A525F" w:rsidRDefault="00CC7D9B" w:rsidP="007A525F">
            <w:pPr>
              <w:spacing w:after="0" w:line="240" w:lineRule="auto"/>
              <w:jc w:val="center"/>
              <w:rPr>
                <w:rFonts w:ascii="David" w:hAnsi="David" w:cs="David"/>
                <w:color w:val="000000"/>
              </w:rPr>
            </w:pPr>
            <w:r w:rsidRPr="007A525F">
              <w:rPr>
                <w:rFonts w:ascii="David" w:hAnsi="David" w:cs="David" w:hint="cs"/>
                <w:color w:val="000000"/>
                <w:rtl/>
              </w:rPr>
              <w:t>נוער</w:t>
            </w:r>
          </w:p>
        </w:tc>
        <w:tc>
          <w:tcPr>
            <w:tcW w:w="2121" w:type="dxa"/>
            <w:shd w:val="clear" w:color="auto" w:fill="auto"/>
            <w:vAlign w:val="center"/>
          </w:tcPr>
          <w:p w14:paraId="3BF7ED4C" w14:textId="77777777" w:rsidR="00CC7D9B" w:rsidRPr="007A525F" w:rsidRDefault="00CC7D9B" w:rsidP="007A525F">
            <w:pPr>
              <w:spacing w:after="0" w:line="240" w:lineRule="auto"/>
              <w:rPr>
                <w:rFonts w:ascii="David" w:hAnsi="David" w:cs="David"/>
                <w:color w:val="000000"/>
                <w:rtl/>
              </w:rPr>
            </w:pPr>
            <w:r w:rsidRPr="007A525F">
              <w:rPr>
                <w:rFonts w:ascii="David" w:hAnsi="David" w:cs="David" w:hint="cs"/>
                <w:color w:val="000000"/>
                <w:rtl/>
              </w:rPr>
              <w:t>מינוי סנגור לפי סעיף 60א' (</w:t>
            </w:r>
            <w:r w:rsidRPr="007A525F">
              <w:rPr>
                <w:rFonts w:ascii="David" w:hAnsi="David" w:cs="David"/>
                <w:color w:val="000000"/>
                <w:rtl/>
              </w:rPr>
              <w:t>מ"ס</w:t>
            </w:r>
            <w:r w:rsidRPr="007A525F">
              <w:rPr>
                <w:rFonts w:ascii="David" w:hAnsi="David" w:cs="David" w:hint="cs"/>
                <w:color w:val="000000"/>
                <w:rtl/>
              </w:rPr>
              <w:t>)</w:t>
            </w:r>
          </w:p>
        </w:tc>
        <w:tc>
          <w:tcPr>
            <w:tcW w:w="1418" w:type="dxa"/>
            <w:vAlign w:val="center"/>
          </w:tcPr>
          <w:p w14:paraId="31575D0B" w14:textId="77777777" w:rsidR="00CC7D9B" w:rsidRPr="007A525F" w:rsidRDefault="00CC7D9B" w:rsidP="007A525F">
            <w:pPr>
              <w:spacing w:after="0" w:line="240" w:lineRule="auto"/>
              <w:jc w:val="center"/>
              <w:rPr>
                <w:rFonts w:ascii="David" w:hAnsi="David" w:cs="David"/>
                <w:color w:val="000000"/>
              </w:rPr>
            </w:pPr>
            <w:r w:rsidRPr="007A525F">
              <w:rPr>
                <w:rFonts w:ascii="David" w:hAnsi="David" w:cs="David"/>
                <w:color w:val="000000"/>
              </w:rPr>
              <w:t>148</w:t>
            </w:r>
          </w:p>
        </w:tc>
        <w:tc>
          <w:tcPr>
            <w:tcW w:w="1559" w:type="dxa"/>
            <w:shd w:val="clear" w:color="auto" w:fill="auto"/>
            <w:noWrap/>
            <w:vAlign w:val="center"/>
          </w:tcPr>
          <w:p w14:paraId="7F994011" w14:textId="77777777" w:rsidR="00CC7D9B" w:rsidRPr="007A525F" w:rsidRDefault="00CC7D9B" w:rsidP="007A525F">
            <w:pPr>
              <w:spacing w:after="0" w:line="240" w:lineRule="auto"/>
              <w:jc w:val="center"/>
              <w:rPr>
                <w:rFonts w:ascii="David" w:hAnsi="David" w:cs="David"/>
                <w:b/>
                <w:bCs/>
                <w:color w:val="000000"/>
              </w:rPr>
            </w:pPr>
            <w:r w:rsidRPr="007A525F">
              <w:rPr>
                <w:rFonts w:ascii="David" w:hAnsi="David" w:cs="David"/>
                <w:b/>
                <w:bCs/>
                <w:color w:val="000000"/>
              </w:rPr>
              <w:t>0:02</w:t>
            </w:r>
          </w:p>
        </w:tc>
        <w:tc>
          <w:tcPr>
            <w:tcW w:w="1843" w:type="dxa"/>
            <w:shd w:val="clear" w:color="auto" w:fill="auto"/>
            <w:vAlign w:val="center"/>
          </w:tcPr>
          <w:p w14:paraId="353BBA8C" w14:textId="77777777" w:rsidR="00CC7D9B" w:rsidRPr="007A525F" w:rsidRDefault="00CC7D9B" w:rsidP="007A525F">
            <w:pPr>
              <w:spacing w:after="0" w:line="240" w:lineRule="auto"/>
              <w:jc w:val="center"/>
              <w:rPr>
                <w:rFonts w:ascii="David" w:hAnsi="David" w:cs="David"/>
                <w:color w:val="000000"/>
              </w:rPr>
            </w:pPr>
            <w:r w:rsidRPr="007A525F">
              <w:rPr>
                <w:rFonts w:ascii="David" w:hAnsi="David" w:cs="David"/>
                <w:color w:val="000000"/>
              </w:rPr>
              <w:t>-</w:t>
            </w:r>
          </w:p>
        </w:tc>
        <w:tc>
          <w:tcPr>
            <w:tcW w:w="850" w:type="dxa"/>
            <w:shd w:val="clear" w:color="auto" w:fill="auto"/>
            <w:vAlign w:val="center"/>
          </w:tcPr>
          <w:p w14:paraId="4F7055C4" w14:textId="77777777" w:rsidR="00CC7D9B" w:rsidRPr="007A525F" w:rsidRDefault="00CC7D9B" w:rsidP="007A525F">
            <w:pPr>
              <w:spacing w:after="0" w:line="240" w:lineRule="auto"/>
              <w:jc w:val="center"/>
              <w:rPr>
                <w:rFonts w:ascii="David" w:hAnsi="David" w:cs="David"/>
                <w:color w:val="000000"/>
              </w:rPr>
            </w:pPr>
            <w:r w:rsidRPr="007A525F">
              <w:rPr>
                <w:rFonts w:ascii="David" w:hAnsi="David" w:cs="David"/>
                <w:color w:val="000000"/>
              </w:rPr>
              <w:t>-</w:t>
            </w:r>
          </w:p>
        </w:tc>
      </w:tr>
    </w:tbl>
    <w:p w14:paraId="754ADB20" w14:textId="77777777" w:rsidR="00FA2305" w:rsidRPr="00F25744" w:rsidRDefault="00FA2305" w:rsidP="00FA2305">
      <w:pPr>
        <w:rPr>
          <w:rFonts w:cs="David"/>
          <w:b/>
          <w:bCs/>
          <w:rtl/>
        </w:rPr>
      </w:pPr>
    </w:p>
    <w:p w14:paraId="53C54745" w14:textId="77777777" w:rsidR="00040D38" w:rsidRPr="00F25744" w:rsidRDefault="00E25AE7" w:rsidP="003A229D">
      <w:pPr>
        <w:pStyle w:val="a3"/>
        <w:widowControl w:val="0"/>
        <w:autoSpaceDE w:val="0"/>
        <w:autoSpaceDN w:val="0"/>
        <w:bidi/>
        <w:adjustRightInd w:val="0"/>
        <w:spacing w:before="60" w:after="60" w:line="360" w:lineRule="auto"/>
        <w:ind w:left="0"/>
        <w:rPr>
          <w:rFonts w:ascii="David" w:hAnsi="David" w:cs="David"/>
          <w:sz w:val="24"/>
          <w:szCs w:val="24"/>
          <w:rtl/>
        </w:rPr>
      </w:pPr>
      <w:bookmarkStart w:id="706" w:name="_Toc46226085"/>
      <w:bookmarkStart w:id="707" w:name="_Toc46226229"/>
      <w:bookmarkStart w:id="708" w:name="_Toc46228396"/>
      <w:bookmarkStart w:id="709" w:name="_Toc46228494"/>
      <w:bookmarkStart w:id="710" w:name="_Toc46230421"/>
      <w:bookmarkStart w:id="711" w:name="_Toc46230519"/>
      <w:bookmarkStart w:id="712" w:name="_Toc46310409"/>
      <w:bookmarkStart w:id="713" w:name="_Toc46414051"/>
      <w:r w:rsidRPr="00F25744">
        <w:rPr>
          <w:rFonts w:ascii="David" w:hAnsi="David" w:cs="David" w:hint="cs"/>
          <w:sz w:val="24"/>
          <w:szCs w:val="24"/>
          <w:rtl/>
        </w:rPr>
        <w:t>חשוב לציין, כי בתי המשפט לנוער עובדים למעשה בשני כובעים, מכוח הסמכות שמקנים להם שני חוקים עיקריים: האחד, חוק הנוער (שפיטה, ענישה ודרכי טיפול) והשני, חוק הנוער (טיפול והשגחה).</w:t>
      </w:r>
      <w:r w:rsidR="009709E9" w:rsidRPr="00F25744">
        <w:rPr>
          <w:rFonts w:ascii="David" w:hAnsi="David" w:cs="David" w:hint="cs"/>
          <w:sz w:val="24"/>
          <w:szCs w:val="24"/>
          <w:rtl/>
        </w:rPr>
        <w:t xml:space="preserve"> ניתן לראות בטבלה שלעיל, כי לגבי תיק תנ"ז (תביעת נזקקות) נמדד הזמן השיפוטי הארוך ביותר: </w:t>
      </w:r>
      <w:r w:rsidR="003A229D" w:rsidRPr="00F25744">
        <w:rPr>
          <w:rFonts w:ascii="David" w:hAnsi="David" w:cs="David"/>
          <w:sz w:val="24"/>
          <w:szCs w:val="24"/>
        </w:rPr>
        <w:t>11:48</w:t>
      </w:r>
      <w:r w:rsidR="009709E9" w:rsidRPr="00F25744">
        <w:rPr>
          <w:rFonts w:ascii="David" w:hAnsi="David" w:cs="David" w:hint="cs"/>
          <w:sz w:val="24"/>
          <w:szCs w:val="24"/>
          <w:rtl/>
        </w:rPr>
        <w:t xml:space="preserve"> שעות, ולגבי תיק צב"נ </w:t>
      </w:r>
      <w:r w:rsidR="00E42780" w:rsidRPr="00F25744">
        <w:rPr>
          <w:rFonts w:ascii="David" w:hAnsi="David" w:cs="David" w:hint="cs"/>
          <w:sz w:val="24"/>
          <w:szCs w:val="24"/>
          <w:rtl/>
        </w:rPr>
        <w:t xml:space="preserve">(צו ביניים לנזקקות) </w:t>
      </w:r>
      <w:r w:rsidR="009709E9" w:rsidRPr="00F25744">
        <w:rPr>
          <w:rFonts w:ascii="David" w:hAnsi="David" w:cs="David" w:hint="cs"/>
          <w:sz w:val="24"/>
          <w:szCs w:val="24"/>
          <w:rtl/>
        </w:rPr>
        <w:t>נמדד הזמן השיפוטי החמישי בארכו: 4:</w:t>
      </w:r>
      <w:r w:rsidR="003A229D" w:rsidRPr="00F25744">
        <w:rPr>
          <w:rFonts w:ascii="David" w:hAnsi="David" w:cs="David" w:hint="cs"/>
          <w:sz w:val="24"/>
          <w:szCs w:val="24"/>
          <w:rtl/>
        </w:rPr>
        <w:t>1</w:t>
      </w:r>
      <w:r w:rsidR="009709E9" w:rsidRPr="00F25744">
        <w:rPr>
          <w:rFonts w:ascii="David" w:hAnsi="David" w:cs="David" w:hint="cs"/>
          <w:sz w:val="24"/>
          <w:szCs w:val="24"/>
          <w:rtl/>
        </w:rPr>
        <w:t>5 שעות. אלו הם התיקים העיקריים הנדונים תחת הכובע ה"טיפולי" לפי חוק הנוער (טיפול והשגחה).</w:t>
      </w:r>
      <w:r w:rsidR="006B01F4" w:rsidRPr="00F25744">
        <w:rPr>
          <w:rFonts w:ascii="David" w:hAnsi="David" w:cs="David" w:hint="cs"/>
          <w:sz w:val="24"/>
          <w:szCs w:val="24"/>
          <w:rtl/>
        </w:rPr>
        <w:t xml:space="preserve"> ניתן לראות כי התיקים שנדונים תחת הכובע ה"פלילי" אורכים </w:t>
      </w:r>
      <w:r w:rsidR="00E42780" w:rsidRPr="00F25744">
        <w:rPr>
          <w:rFonts w:ascii="David" w:hAnsi="David" w:cs="David" w:hint="cs"/>
          <w:sz w:val="24"/>
          <w:szCs w:val="24"/>
          <w:rtl/>
        </w:rPr>
        <w:t xml:space="preserve">פחות </w:t>
      </w:r>
      <w:r w:rsidR="006B01F4" w:rsidRPr="00F25744">
        <w:rPr>
          <w:rFonts w:ascii="David" w:hAnsi="David" w:cs="David" w:hint="cs"/>
          <w:sz w:val="24"/>
          <w:szCs w:val="24"/>
          <w:rtl/>
        </w:rPr>
        <w:t>זמן בהשוואה לתיקים ה"טיפוליים".</w:t>
      </w:r>
    </w:p>
    <w:p w14:paraId="524C0A97" w14:textId="77777777" w:rsidR="00132735" w:rsidRPr="00F25744" w:rsidRDefault="00E25AE7" w:rsidP="000A6CA2">
      <w:pPr>
        <w:pStyle w:val="a3"/>
        <w:widowControl w:val="0"/>
        <w:autoSpaceDE w:val="0"/>
        <w:autoSpaceDN w:val="0"/>
        <w:bidi/>
        <w:adjustRightInd w:val="0"/>
        <w:spacing w:before="60" w:after="60" w:line="360" w:lineRule="auto"/>
        <w:ind w:left="0"/>
        <w:rPr>
          <w:rFonts w:ascii="David" w:hAnsi="David" w:cs="David"/>
          <w:sz w:val="24"/>
          <w:szCs w:val="24"/>
          <w:rtl/>
        </w:rPr>
      </w:pPr>
      <w:r w:rsidRPr="00F25744">
        <w:rPr>
          <w:rFonts w:ascii="David" w:hAnsi="David" w:cs="David" w:hint="cs"/>
          <w:b/>
          <w:bCs/>
          <w:sz w:val="24"/>
          <w:szCs w:val="24"/>
          <w:rtl/>
        </w:rPr>
        <w:t>הערה</w:t>
      </w:r>
      <w:r w:rsidRPr="00F25744">
        <w:rPr>
          <w:rFonts w:ascii="David" w:hAnsi="David" w:cs="David" w:hint="cs"/>
          <w:sz w:val="24"/>
          <w:szCs w:val="24"/>
          <w:rtl/>
        </w:rPr>
        <w:t xml:space="preserve"> - מעבר להצגת הממצאים לגבי זמני הטיפול השיפוטי בתיקים השונים, ולצרכים הניהוליים של הערכאות השונות, ניתן למצוא בנספחים טבלה המראה את משקלות התיקים של ערכאת הנוער ברמה </w:t>
      </w:r>
      <w:r w:rsidRPr="00F25744">
        <w:rPr>
          <w:rFonts w:ascii="David" w:hAnsi="David" w:cs="David" w:hint="cs"/>
          <w:b/>
          <w:bCs/>
          <w:sz w:val="24"/>
          <w:szCs w:val="24"/>
          <w:rtl/>
        </w:rPr>
        <w:lastRenderedPageBreak/>
        <w:t>הערכאתית</w:t>
      </w:r>
      <w:r w:rsidRPr="00F25744">
        <w:rPr>
          <w:rFonts w:ascii="David" w:hAnsi="David" w:cs="David" w:hint="cs"/>
          <w:sz w:val="24"/>
          <w:szCs w:val="24"/>
          <w:rtl/>
        </w:rPr>
        <w:t xml:space="preserve"> (כלומר, את הזמנים היחסיים של כל סוג תיק ביחס לתיקים האחרים בערכאת הנוער בלבד), ב</w:t>
      </w:r>
      <w:r w:rsidRPr="00F25744">
        <w:rPr>
          <w:rFonts w:ascii="David" w:hAnsi="David" w:cs="David" w:hint="cs"/>
          <w:b/>
          <w:bCs/>
          <w:sz w:val="24"/>
          <w:szCs w:val="24"/>
          <w:rtl/>
        </w:rPr>
        <w:t>נספח ה</w:t>
      </w:r>
      <w:r w:rsidR="000741EB" w:rsidRPr="00F25744">
        <w:rPr>
          <w:rFonts w:ascii="David" w:hAnsi="David" w:cs="David" w:hint="cs"/>
          <w:b/>
          <w:bCs/>
          <w:sz w:val="24"/>
          <w:szCs w:val="24"/>
          <w:rtl/>
        </w:rPr>
        <w:t>8</w:t>
      </w:r>
      <w:r w:rsidRPr="00F25744">
        <w:rPr>
          <w:rFonts w:ascii="David" w:hAnsi="David" w:cs="David" w:hint="cs"/>
          <w:sz w:val="24"/>
          <w:szCs w:val="24"/>
          <w:rtl/>
        </w:rPr>
        <w:t>.</w:t>
      </w:r>
    </w:p>
    <w:p w14:paraId="4A3F2B9B" w14:textId="77777777" w:rsidR="00132735" w:rsidRPr="00F25744" w:rsidRDefault="00E25AE7" w:rsidP="001B0FA3">
      <w:pPr>
        <w:pStyle w:val="a3"/>
        <w:widowControl w:val="0"/>
        <w:tabs>
          <w:tab w:val="left" w:pos="3706"/>
        </w:tabs>
        <w:autoSpaceDE w:val="0"/>
        <w:autoSpaceDN w:val="0"/>
        <w:bidi/>
        <w:adjustRightInd w:val="0"/>
        <w:spacing w:before="60" w:after="60" w:line="240" w:lineRule="auto"/>
        <w:ind w:left="0"/>
        <w:rPr>
          <w:rFonts w:ascii="David" w:hAnsi="David" w:cs="David"/>
          <w:b/>
          <w:bCs/>
          <w:sz w:val="24"/>
          <w:szCs w:val="24"/>
          <w:rtl/>
        </w:rPr>
      </w:pPr>
      <w:r w:rsidRPr="00F25744">
        <w:rPr>
          <w:rFonts w:ascii="David" w:hAnsi="David" w:cs="David"/>
          <w:sz w:val="24"/>
          <w:szCs w:val="24"/>
          <w:rtl/>
        </w:rPr>
        <w:tab/>
      </w:r>
    </w:p>
    <w:p w14:paraId="7478B099" w14:textId="77777777" w:rsidR="00FA2305" w:rsidRPr="00F25744" w:rsidRDefault="00E25AE7" w:rsidP="000C1408">
      <w:pPr>
        <w:pStyle w:val="3"/>
        <w:ind w:left="852"/>
        <w:rPr>
          <w:rtl/>
        </w:rPr>
      </w:pPr>
      <w:bookmarkStart w:id="714" w:name="_Toc49352773"/>
      <w:bookmarkStart w:id="715" w:name="_Toc49429678"/>
      <w:bookmarkStart w:id="716" w:name="_Toc49435907"/>
      <w:bookmarkStart w:id="717" w:name="_Toc74751013"/>
      <w:r w:rsidRPr="00F25744">
        <w:rPr>
          <w:rFonts w:hint="cs"/>
          <w:rtl/>
        </w:rPr>
        <w:t>תמהיל יום העבודה השיפוטי - נוער</w:t>
      </w:r>
      <w:bookmarkEnd w:id="706"/>
      <w:bookmarkEnd w:id="707"/>
      <w:bookmarkEnd w:id="708"/>
      <w:bookmarkEnd w:id="709"/>
      <w:bookmarkEnd w:id="710"/>
      <w:bookmarkEnd w:id="711"/>
      <w:bookmarkEnd w:id="712"/>
      <w:bookmarkEnd w:id="713"/>
      <w:bookmarkEnd w:id="714"/>
      <w:bookmarkEnd w:id="715"/>
      <w:bookmarkEnd w:id="716"/>
      <w:bookmarkEnd w:id="717"/>
    </w:p>
    <w:p w14:paraId="551BCEDF" w14:textId="77777777" w:rsidR="008F516F" w:rsidRPr="00F25744" w:rsidRDefault="00E25AE7" w:rsidP="001B0FA3">
      <w:pPr>
        <w:pStyle w:val="a3"/>
        <w:widowControl w:val="0"/>
        <w:autoSpaceDE w:val="0"/>
        <w:autoSpaceDN w:val="0"/>
        <w:bidi/>
        <w:adjustRightInd w:val="0"/>
        <w:spacing w:before="120" w:after="0" w:line="360" w:lineRule="auto"/>
        <w:ind w:left="0"/>
        <w:rPr>
          <w:rFonts w:ascii="David" w:hAnsi="David" w:cs="David"/>
          <w:sz w:val="24"/>
          <w:szCs w:val="24"/>
          <w:rtl/>
        </w:rPr>
      </w:pPr>
      <w:r w:rsidRPr="00F25744">
        <w:rPr>
          <w:rFonts w:ascii="David" w:hAnsi="David" w:cs="David" w:hint="cs"/>
          <w:sz w:val="24"/>
          <w:szCs w:val="24"/>
          <w:rtl/>
        </w:rPr>
        <w:t>התוצר השני של מחקר עומס העבודה השיפוטית הוא כאמור הצגת תמהיל יום העבודה השיפוטי. ב</w:t>
      </w:r>
      <w:r w:rsidR="000A6CA2" w:rsidRPr="00F25744">
        <w:rPr>
          <w:rFonts w:ascii="David" w:hAnsi="David" w:cs="David" w:hint="cs"/>
          <w:sz w:val="24"/>
          <w:szCs w:val="24"/>
          <w:rtl/>
        </w:rPr>
        <w:t>בתי המשפט ל</w:t>
      </w:r>
      <w:r w:rsidRPr="00F25744">
        <w:rPr>
          <w:rFonts w:ascii="David" w:hAnsi="David" w:cs="David" w:hint="cs"/>
          <w:sz w:val="24"/>
          <w:szCs w:val="24"/>
          <w:rtl/>
        </w:rPr>
        <w:t>נוער, 78% מתמהיל יום העבודה השיפוטי הוקדש לעבודה שיפוטית הקשורה בתיקים (הכנה לדיונים, שמיעת דיונים וכתיבה), כאשר 22% הנותרים הוקדשו לעבודה שיפוטית שאינה קשורה בתיקים. אחוז זה הינו הגבוה ביותר שהוקדש לפעילות זו לעומת ערכאות אחרות.</w:t>
      </w:r>
      <w:r w:rsidR="008F516F" w:rsidRPr="00F25744">
        <w:rPr>
          <w:rFonts w:ascii="David" w:hAnsi="David" w:cs="David" w:hint="cs"/>
          <w:sz w:val="24"/>
          <w:szCs w:val="24"/>
          <w:rtl/>
        </w:rPr>
        <w:t xml:space="preserve"> לכך עשויים להיות כמה הסברים אפשריים:</w:t>
      </w:r>
      <w:r w:rsidRPr="00F25744">
        <w:rPr>
          <w:rFonts w:ascii="David" w:hAnsi="David" w:cs="David" w:hint="cs"/>
          <w:sz w:val="24"/>
          <w:szCs w:val="24"/>
          <w:rtl/>
        </w:rPr>
        <w:t xml:space="preserve"> </w:t>
      </w:r>
      <w:r w:rsidR="008F516F" w:rsidRPr="00F25744">
        <w:rPr>
          <w:rFonts w:ascii="David" w:hAnsi="David" w:cs="David" w:hint="cs"/>
          <w:sz w:val="24"/>
          <w:szCs w:val="24"/>
          <w:rtl/>
        </w:rPr>
        <w:t xml:space="preserve">את ההסבר הראשון </w:t>
      </w:r>
      <w:r w:rsidRPr="00F25744">
        <w:rPr>
          <w:rFonts w:ascii="David" w:hAnsi="David" w:cs="David" w:hint="cs"/>
          <w:sz w:val="24"/>
          <w:szCs w:val="24"/>
          <w:rtl/>
        </w:rPr>
        <w:t xml:space="preserve">ניתן למצוא במסגרת הפרק העוסק בהתמודדות עם העומס הרגשי שמטילים חלק מסוגי התיקים על השופטים המטפלים בהם, </w:t>
      </w:r>
      <w:r w:rsidR="00495367" w:rsidRPr="00F25744">
        <w:rPr>
          <w:rFonts w:ascii="David" w:hAnsi="David" w:cs="David" w:hint="cs"/>
          <w:sz w:val="24"/>
          <w:szCs w:val="24"/>
          <w:rtl/>
        </w:rPr>
        <w:t>בערכאת הנוער (פרק 4.2.5.).</w:t>
      </w:r>
      <w:r w:rsidRPr="00F25744">
        <w:rPr>
          <w:rFonts w:ascii="David" w:hAnsi="David" w:cs="David" w:hint="cs"/>
          <w:sz w:val="24"/>
          <w:szCs w:val="24"/>
          <w:rtl/>
        </w:rPr>
        <w:t xml:space="preserve"> </w:t>
      </w:r>
      <w:r w:rsidR="008F516F" w:rsidRPr="00F25744">
        <w:rPr>
          <w:rFonts w:ascii="David" w:hAnsi="David" w:cs="David" w:hint="cs"/>
          <w:sz w:val="24"/>
          <w:szCs w:val="24"/>
          <w:rtl/>
        </w:rPr>
        <w:t xml:space="preserve">הסבר נוסף לכך עשוי להיות העובדה שכמות שופטי הנוער היא קטנה (19), ועל כן אחוז בעלי התפקידים בערכאה זו גבוה </w:t>
      </w:r>
      <w:r w:rsidR="008F516F" w:rsidRPr="00F25744">
        <w:rPr>
          <w:rFonts w:ascii="David" w:hAnsi="David" w:cs="David"/>
          <w:sz w:val="24"/>
          <w:szCs w:val="24"/>
          <w:rtl/>
        </w:rPr>
        <w:t>(נשיאה, 2 ס</w:t>
      </w:r>
      <w:r w:rsidR="008F516F" w:rsidRPr="00F25744">
        <w:rPr>
          <w:rFonts w:ascii="David" w:hAnsi="David" w:cs="David" w:hint="cs"/>
          <w:sz w:val="24"/>
          <w:szCs w:val="24"/>
          <w:rtl/>
        </w:rPr>
        <w:t>גני נשיאה</w:t>
      </w:r>
      <w:r w:rsidR="008F516F" w:rsidRPr="00F25744">
        <w:rPr>
          <w:rFonts w:ascii="David" w:hAnsi="David" w:cs="David"/>
          <w:sz w:val="24"/>
          <w:szCs w:val="24"/>
          <w:rtl/>
        </w:rPr>
        <w:t>, אחראי השתלמויות, נאמני הדרכה, אחראי עוז</w:t>
      </w:r>
      <w:r w:rsidR="008F516F" w:rsidRPr="00F25744">
        <w:rPr>
          <w:rFonts w:ascii="David" w:hAnsi="David" w:cs="David" w:hint="cs"/>
          <w:sz w:val="24"/>
          <w:szCs w:val="24"/>
          <w:rtl/>
        </w:rPr>
        <w:t xml:space="preserve">רים משפטיים </w:t>
      </w:r>
      <w:r w:rsidR="008F516F" w:rsidRPr="00F25744">
        <w:rPr>
          <w:rFonts w:ascii="David" w:hAnsi="David" w:cs="David"/>
          <w:sz w:val="24"/>
          <w:szCs w:val="24"/>
          <w:rtl/>
        </w:rPr>
        <w:t>ועוד)</w:t>
      </w:r>
      <w:r w:rsidR="008F516F" w:rsidRPr="00F25744">
        <w:rPr>
          <w:rFonts w:ascii="David" w:hAnsi="David" w:cs="David" w:hint="cs"/>
          <w:sz w:val="24"/>
          <w:szCs w:val="24"/>
          <w:rtl/>
        </w:rPr>
        <w:t>. עובדה זו עשויה הייתה להעלות את זמני הפעילות השיפוטית שאינה קשורה לתיקים עבור שופטי הנוער.  הסבר שלישי עשוי להיות כי בשל הכמות הקטנה של שופטי הנוער, חלקם נאלצים לנסוע ברחבי הארץ בין בתי המשפט השונים, נתון שעשוי אף הוא להגדיל את פלח הזמן של עבודה שיפוטית שאינה על תיקים.</w:t>
      </w:r>
    </w:p>
    <w:p w14:paraId="26DC336E" w14:textId="77777777" w:rsidR="00FA2305" w:rsidRPr="00F25744" w:rsidRDefault="00E25AE7" w:rsidP="001B0FA3">
      <w:pPr>
        <w:pStyle w:val="a3"/>
        <w:widowControl w:val="0"/>
        <w:autoSpaceDE w:val="0"/>
        <w:autoSpaceDN w:val="0"/>
        <w:bidi/>
        <w:adjustRightInd w:val="0"/>
        <w:spacing w:before="120" w:after="0" w:line="360" w:lineRule="auto"/>
        <w:ind w:left="0"/>
        <w:rPr>
          <w:rFonts w:ascii="David" w:hAnsi="David" w:cs="David"/>
          <w:sz w:val="24"/>
          <w:szCs w:val="24"/>
          <w:rtl/>
        </w:rPr>
      </w:pPr>
      <w:r w:rsidRPr="00F25744">
        <w:rPr>
          <w:rFonts w:ascii="David" w:hAnsi="David" w:cs="David" w:hint="cs"/>
          <w:sz w:val="24"/>
          <w:szCs w:val="24"/>
          <w:rtl/>
        </w:rPr>
        <w:t>מפילוח העבודה השיפוטית הקשורה בתיקים ניתן לראות</w:t>
      </w:r>
      <w:r w:rsidR="003B72A4" w:rsidRPr="00F25744">
        <w:rPr>
          <w:rFonts w:ascii="David" w:hAnsi="David" w:cs="David" w:hint="cs"/>
          <w:sz w:val="24"/>
          <w:szCs w:val="24"/>
          <w:rtl/>
        </w:rPr>
        <w:t>,</w:t>
      </w:r>
      <w:r w:rsidRPr="00F25744">
        <w:rPr>
          <w:rFonts w:ascii="David" w:hAnsi="David" w:cs="David" w:hint="cs"/>
          <w:sz w:val="24"/>
          <w:szCs w:val="24"/>
          <w:rtl/>
        </w:rPr>
        <w:t xml:space="preserve"> כי </w:t>
      </w:r>
      <w:r w:rsidR="000A6CA2" w:rsidRPr="00F25744">
        <w:rPr>
          <w:rFonts w:ascii="David" w:hAnsi="David" w:cs="David" w:hint="cs"/>
          <w:sz w:val="24"/>
          <w:szCs w:val="24"/>
          <w:rtl/>
        </w:rPr>
        <w:t xml:space="preserve">בבתי המשפט לנוער הוקדש </w:t>
      </w:r>
      <w:r w:rsidRPr="00F25744">
        <w:rPr>
          <w:rFonts w:ascii="David" w:hAnsi="David" w:cs="David" w:hint="cs"/>
          <w:sz w:val="24"/>
          <w:szCs w:val="24"/>
          <w:rtl/>
        </w:rPr>
        <w:t xml:space="preserve">לפעילות שמיעת הדיונים חלק ניכר מהיום השיפוטי </w:t>
      </w:r>
      <w:r w:rsidRPr="00F25744">
        <w:rPr>
          <w:rFonts w:ascii="David" w:hAnsi="David" w:cs="David"/>
          <w:sz w:val="24"/>
          <w:szCs w:val="24"/>
          <w:rtl/>
        </w:rPr>
        <w:t>–</w:t>
      </w:r>
      <w:r w:rsidRPr="00F25744">
        <w:rPr>
          <w:rFonts w:ascii="David" w:hAnsi="David" w:cs="David" w:hint="cs"/>
          <w:sz w:val="24"/>
          <w:szCs w:val="24"/>
          <w:rtl/>
        </w:rPr>
        <w:t xml:space="preserve"> 39% מהיום, לפעילויות הכתיבה השונות הוקדש רבע מיום העבודה, ופעילות ההכנה לדיונים ארכה 11% מהיום בממוצע. </w:t>
      </w:r>
    </w:p>
    <w:p w14:paraId="68ADC472" w14:textId="77777777" w:rsidR="001B0FA3" w:rsidRPr="00F25744" w:rsidRDefault="001B0FA3" w:rsidP="001B0FA3">
      <w:pPr>
        <w:pStyle w:val="a3"/>
        <w:widowControl w:val="0"/>
        <w:autoSpaceDE w:val="0"/>
        <w:autoSpaceDN w:val="0"/>
        <w:bidi/>
        <w:adjustRightInd w:val="0"/>
        <w:spacing w:before="120" w:after="0" w:line="240" w:lineRule="auto"/>
        <w:ind w:left="0"/>
        <w:rPr>
          <w:rFonts w:ascii="David" w:hAnsi="David" w:cs="David"/>
          <w:sz w:val="24"/>
          <w:szCs w:val="24"/>
          <w:rtl/>
        </w:rPr>
      </w:pPr>
    </w:p>
    <w:p w14:paraId="6D56402C" w14:textId="612F681E" w:rsidR="00FA2305" w:rsidRPr="00F25744" w:rsidRDefault="00E25AE7" w:rsidP="002500B8">
      <w:pPr>
        <w:pStyle w:val="af6"/>
        <w:rPr>
          <w:rFonts w:ascii="David" w:hAnsi="David"/>
          <w:sz w:val="24"/>
          <w:rtl/>
        </w:rPr>
      </w:pPr>
      <w:bookmarkStart w:id="718" w:name="_Toc76988535"/>
      <w:r w:rsidRPr="00F25744">
        <w:rPr>
          <w:rtl/>
        </w:rPr>
        <w:t xml:space="preserve">תרשים </w:t>
      </w:r>
      <w:r w:rsidRPr="00F25744">
        <w:rPr>
          <w:rFonts w:ascii="David" w:hAnsi="David"/>
          <w:sz w:val="24"/>
          <w:rtl/>
        </w:rPr>
        <w:fldChar w:fldCharType="begin"/>
      </w:r>
      <w:r w:rsidRPr="00F25744">
        <w:rPr>
          <w:rFonts w:ascii="David" w:hAnsi="David"/>
          <w:sz w:val="24"/>
          <w:rtl/>
        </w:rPr>
        <w:instrText xml:space="preserve"> </w:instrText>
      </w:r>
      <w:r w:rsidRPr="00F25744">
        <w:rPr>
          <w:rFonts w:ascii="David" w:hAnsi="David" w:hint="cs"/>
          <w:sz w:val="24"/>
        </w:rPr>
        <w:instrText>SEQ</w:instrText>
      </w:r>
      <w:r w:rsidRPr="00F25744">
        <w:rPr>
          <w:rFonts w:ascii="David" w:hAnsi="David" w:hint="cs"/>
          <w:sz w:val="24"/>
          <w:rtl/>
        </w:rPr>
        <w:instrText xml:space="preserve"> תרשים \* </w:instrText>
      </w:r>
      <w:r w:rsidRPr="00F25744">
        <w:rPr>
          <w:rFonts w:ascii="David" w:hAnsi="David" w:hint="cs"/>
          <w:sz w:val="24"/>
        </w:rPr>
        <w:instrText>ARABIC</w:instrText>
      </w:r>
      <w:r w:rsidRPr="00F25744">
        <w:rPr>
          <w:rFonts w:ascii="David" w:hAnsi="David"/>
          <w:sz w:val="24"/>
          <w:rtl/>
        </w:rPr>
        <w:instrText xml:space="preserve"> </w:instrText>
      </w:r>
      <w:r w:rsidRPr="00F25744">
        <w:rPr>
          <w:rFonts w:ascii="David" w:hAnsi="David"/>
          <w:sz w:val="24"/>
          <w:rtl/>
        </w:rPr>
        <w:fldChar w:fldCharType="separate"/>
      </w:r>
      <w:r w:rsidR="008F1BC3">
        <w:rPr>
          <w:rFonts w:ascii="David" w:hAnsi="David"/>
          <w:noProof/>
          <w:sz w:val="24"/>
          <w:rtl/>
        </w:rPr>
        <w:t>14</w:t>
      </w:r>
      <w:r w:rsidRPr="00F25744">
        <w:rPr>
          <w:rFonts w:ascii="David" w:hAnsi="David"/>
          <w:sz w:val="24"/>
          <w:rtl/>
        </w:rPr>
        <w:fldChar w:fldCharType="end"/>
      </w:r>
      <w:r w:rsidR="007F3A52" w:rsidRPr="00F25744">
        <w:rPr>
          <w:rFonts w:ascii="David" w:hAnsi="David" w:hint="cs"/>
          <w:sz w:val="24"/>
          <w:rtl/>
        </w:rPr>
        <w:t xml:space="preserve">: </w:t>
      </w:r>
      <w:r w:rsidR="007F3A52" w:rsidRPr="00F25744">
        <w:rPr>
          <w:rFonts w:ascii="David" w:hAnsi="David" w:hint="cs"/>
          <w:noProof/>
          <w:sz w:val="24"/>
          <w:rtl/>
        </w:rPr>
        <w:t>תמהיל יום העבודה שיפוטי של שופטי נוער</w:t>
      </w:r>
      <w:bookmarkEnd w:id="718"/>
    </w:p>
    <w:p w14:paraId="1F27E1B5" w14:textId="100124B0" w:rsidR="00052CBB" w:rsidRDefault="00E25AE7" w:rsidP="00D17E86">
      <w:pPr>
        <w:spacing w:after="0" w:line="360" w:lineRule="auto"/>
        <w:ind w:left="-1"/>
        <w:jc w:val="both"/>
        <w:rPr>
          <w:rFonts w:cs="David"/>
          <w:sz w:val="24"/>
          <w:szCs w:val="24"/>
          <w:rtl/>
        </w:rPr>
      </w:pPr>
      <w:r w:rsidRPr="00F25744">
        <w:rPr>
          <w:noProof/>
        </w:rPr>
        <w:drawing>
          <wp:inline distT="0" distB="0" distL="0" distR="0" wp14:anchorId="108D8E0E" wp14:editId="623EBC58">
            <wp:extent cx="5457627" cy="2501798"/>
            <wp:effectExtent l="0" t="0" r="0" b="0"/>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285815" name="Picture 16"/>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5480559" cy="2512310"/>
                    </a:xfrm>
                    <a:prstGeom prst="rect">
                      <a:avLst/>
                    </a:prstGeom>
                    <a:noFill/>
                    <a:ln>
                      <a:noFill/>
                    </a:ln>
                  </pic:spPr>
                </pic:pic>
              </a:graphicData>
            </a:graphic>
          </wp:inline>
        </w:drawing>
      </w:r>
    </w:p>
    <w:p w14:paraId="16E92CE3" w14:textId="71A7A257" w:rsidR="00E2722A" w:rsidRDefault="00E2722A" w:rsidP="00D17E86">
      <w:pPr>
        <w:spacing w:after="0" w:line="360" w:lineRule="auto"/>
        <w:ind w:left="-1"/>
        <w:jc w:val="both"/>
        <w:rPr>
          <w:rFonts w:cs="David"/>
          <w:sz w:val="24"/>
          <w:szCs w:val="24"/>
          <w:rtl/>
        </w:rPr>
      </w:pPr>
    </w:p>
    <w:p w14:paraId="470BE395" w14:textId="4E79FC14" w:rsidR="00E2722A" w:rsidRDefault="00E2722A" w:rsidP="00D17E86">
      <w:pPr>
        <w:spacing w:after="0" w:line="360" w:lineRule="auto"/>
        <w:ind w:left="-1"/>
        <w:jc w:val="both"/>
        <w:rPr>
          <w:rFonts w:cs="David"/>
          <w:sz w:val="24"/>
          <w:szCs w:val="24"/>
          <w:rtl/>
        </w:rPr>
      </w:pPr>
    </w:p>
    <w:p w14:paraId="38C85FDC" w14:textId="106AFF2A" w:rsidR="00E2722A" w:rsidRDefault="00E2722A" w:rsidP="00D17E86">
      <w:pPr>
        <w:spacing w:after="0" w:line="360" w:lineRule="auto"/>
        <w:ind w:left="-1"/>
        <w:jc w:val="both"/>
        <w:rPr>
          <w:rFonts w:cs="David"/>
          <w:sz w:val="24"/>
          <w:szCs w:val="24"/>
          <w:rtl/>
        </w:rPr>
      </w:pPr>
    </w:p>
    <w:p w14:paraId="73CBA2EE" w14:textId="7E85BE1B" w:rsidR="00E2722A" w:rsidRDefault="00E2722A" w:rsidP="00D17E86">
      <w:pPr>
        <w:spacing w:after="0" w:line="360" w:lineRule="auto"/>
        <w:ind w:left="-1"/>
        <w:jc w:val="both"/>
        <w:rPr>
          <w:rFonts w:cs="David"/>
          <w:sz w:val="24"/>
          <w:szCs w:val="24"/>
          <w:rtl/>
        </w:rPr>
      </w:pPr>
    </w:p>
    <w:p w14:paraId="6BDB1861" w14:textId="77777777" w:rsidR="00E2722A" w:rsidRPr="00F25744" w:rsidRDefault="00E2722A" w:rsidP="00D17E86">
      <w:pPr>
        <w:spacing w:after="0" w:line="360" w:lineRule="auto"/>
        <w:ind w:left="-1"/>
        <w:jc w:val="both"/>
        <w:rPr>
          <w:rFonts w:cs="David"/>
          <w:sz w:val="24"/>
          <w:szCs w:val="24"/>
          <w:rtl/>
        </w:rPr>
      </w:pPr>
    </w:p>
    <w:p w14:paraId="580AA223" w14:textId="77777777" w:rsidR="00551885" w:rsidRPr="00F25744" w:rsidRDefault="0041306D" w:rsidP="00551885">
      <w:pPr>
        <w:pStyle w:val="2"/>
      </w:pPr>
      <w:bookmarkStart w:id="719" w:name="_Toc49352774"/>
      <w:bookmarkStart w:id="720" w:name="_Toc49429679"/>
      <w:bookmarkStart w:id="721" w:name="_Toc49435908"/>
      <w:r w:rsidRPr="000C1408">
        <w:rPr>
          <w:rFonts w:hint="cs"/>
          <w:u w:val="none"/>
          <w:rtl/>
        </w:rPr>
        <w:lastRenderedPageBreak/>
        <w:t xml:space="preserve"> </w:t>
      </w:r>
      <w:bookmarkStart w:id="722" w:name="_Toc74751014"/>
      <w:r w:rsidR="00551885" w:rsidRPr="00F25744">
        <w:rPr>
          <w:rFonts w:hint="cs"/>
          <w:rtl/>
        </w:rPr>
        <w:t>ממצאי בתי הדין האזוריים לעבודה</w:t>
      </w:r>
      <w:bookmarkEnd w:id="722"/>
    </w:p>
    <w:p w14:paraId="2AFAFA33" w14:textId="77777777" w:rsidR="00CB55CE" w:rsidRPr="00F25744" w:rsidRDefault="00CB55CE" w:rsidP="001B0FA3">
      <w:pPr>
        <w:widowControl w:val="0"/>
        <w:autoSpaceDE w:val="0"/>
        <w:autoSpaceDN w:val="0"/>
        <w:adjustRightInd w:val="0"/>
        <w:spacing w:after="0" w:line="240" w:lineRule="auto"/>
        <w:jc w:val="both"/>
        <w:rPr>
          <w:rFonts w:ascii="David" w:hAnsi="David" w:cs="David"/>
          <w:sz w:val="24"/>
          <w:szCs w:val="24"/>
          <w:rtl/>
        </w:rPr>
      </w:pPr>
    </w:p>
    <w:p w14:paraId="795D3610" w14:textId="77777777" w:rsidR="00EE6124" w:rsidRPr="00F25744" w:rsidRDefault="00551885" w:rsidP="00551885">
      <w:pPr>
        <w:widowControl w:val="0"/>
        <w:autoSpaceDE w:val="0"/>
        <w:autoSpaceDN w:val="0"/>
        <w:adjustRightInd w:val="0"/>
        <w:spacing w:after="0" w:line="360" w:lineRule="auto"/>
        <w:jc w:val="both"/>
        <w:rPr>
          <w:rFonts w:ascii="David" w:hAnsi="David" w:cs="David"/>
          <w:sz w:val="24"/>
          <w:szCs w:val="24"/>
          <w:rtl/>
        </w:rPr>
      </w:pPr>
      <w:r w:rsidRPr="00F25744">
        <w:rPr>
          <w:rFonts w:ascii="David" w:hAnsi="David" w:cs="David" w:hint="cs"/>
          <w:sz w:val="24"/>
          <w:szCs w:val="24"/>
          <w:rtl/>
        </w:rPr>
        <w:t xml:space="preserve">ממצאי חלקו הראשון של המחקר שנערך על בתי הדין האזוריים לעבודה בשנת 2018 מתפרסמים כאמור בנפרד, במקביל לפרסום מחקר זה. עם זאת, על מנת ליתן תמונה מלאה ושלמה על עומס העבודה השיפוטי במערכת המשפט בישראל, נציג כאן בקצרה </w:t>
      </w:r>
      <w:r w:rsidR="00EE6124" w:rsidRPr="00F25744">
        <w:rPr>
          <w:rFonts w:ascii="David" w:hAnsi="David" w:cs="David" w:hint="cs"/>
          <w:sz w:val="24"/>
          <w:szCs w:val="24"/>
          <w:rtl/>
        </w:rPr>
        <w:t>את ממצאי הזמן השיפוטי הדרוש לטיפול בתיקי בתי הדין לעבודה, וכן את פילוח יום העבודה השיפוטי של שופטי בתי הדין לעבודה. פירוט מלא יותר ניתן לראות במחקר בתי הדין.</w:t>
      </w:r>
      <w:r w:rsidR="00EE6124" w:rsidRPr="00F25744">
        <w:rPr>
          <w:rStyle w:val="a6"/>
          <w:rFonts w:ascii="David" w:hAnsi="David" w:cs="David"/>
          <w:sz w:val="24"/>
          <w:szCs w:val="24"/>
          <w:rtl/>
        </w:rPr>
        <w:footnoteReference w:id="33"/>
      </w:r>
    </w:p>
    <w:p w14:paraId="07F00538" w14:textId="77777777" w:rsidR="003E55D2" w:rsidRPr="00F25744" w:rsidRDefault="003E55D2" w:rsidP="001B0FA3">
      <w:pPr>
        <w:widowControl w:val="0"/>
        <w:autoSpaceDE w:val="0"/>
        <w:autoSpaceDN w:val="0"/>
        <w:adjustRightInd w:val="0"/>
        <w:spacing w:after="0" w:line="240" w:lineRule="auto"/>
        <w:jc w:val="both"/>
        <w:rPr>
          <w:rFonts w:ascii="David" w:hAnsi="David" w:cs="David"/>
          <w:sz w:val="24"/>
          <w:szCs w:val="24"/>
          <w:rtl/>
        </w:rPr>
      </w:pPr>
    </w:p>
    <w:p w14:paraId="1E04DD22" w14:textId="77777777" w:rsidR="003E55D2" w:rsidRPr="00F25744" w:rsidRDefault="003E55D2" w:rsidP="000C1408">
      <w:pPr>
        <w:pStyle w:val="3"/>
        <w:ind w:left="852"/>
        <w:rPr>
          <w:rtl/>
        </w:rPr>
      </w:pPr>
      <w:bookmarkStart w:id="723" w:name="_Toc74751015"/>
      <w:r w:rsidRPr="00F25744">
        <w:rPr>
          <w:rFonts w:hint="cs"/>
          <w:rtl/>
        </w:rPr>
        <w:t xml:space="preserve">הזמן השיפוטי הדרוש לטיפול בתיקי בתי </w:t>
      </w:r>
      <w:r w:rsidR="00EB0506" w:rsidRPr="00F25744">
        <w:rPr>
          <w:rFonts w:hint="cs"/>
          <w:rtl/>
        </w:rPr>
        <w:t>הדין האזוריים לעבודה</w:t>
      </w:r>
      <w:bookmarkEnd w:id="723"/>
      <w:r w:rsidRPr="00F25744">
        <w:rPr>
          <w:rFonts w:hint="cs"/>
          <w:rtl/>
        </w:rPr>
        <w:t xml:space="preserve"> </w:t>
      </w:r>
    </w:p>
    <w:p w14:paraId="3BA42623" w14:textId="77777777" w:rsidR="00CB55CE" w:rsidRPr="00F25744" w:rsidRDefault="003C532A" w:rsidP="000C2460">
      <w:pPr>
        <w:spacing w:line="360" w:lineRule="auto"/>
        <w:jc w:val="both"/>
        <w:rPr>
          <w:rFonts w:cs="David"/>
          <w:sz w:val="24"/>
          <w:szCs w:val="24"/>
          <w:rtl/>
        </w:rPr>
      </w:pPr>
      <w:r w:rsidRPr="00F25744">
        <w:rPr>
          <w:rFonts w:ascii="David" w:hAnsi="David" w:cs="David" w:hint="cs"/>
          <w:sz w:val="24"/>
          <w:szCs w:val="24"/>
          <w:rtl/>
        </w:rPr>
        <w:t xml:space="preserve">בטבלה </w:t>
      </w:r>
      <w:r w:rsidR="00CB55CE" w:rsidRPr="00F25744">
        <w:rPr>
          <w:rFonts w:ascii="David" w:hAnsi="David" w:cs="David" w:hint="cs"/>
          <w:sz w:val="24"/>
          <w:szCs w:val="24"/>
          <w:rtl/>
        </w:rPr>
        <w:t xml:space="preserve">שלפניכם מוצגים 18 סוגי התיקים </w:t>
      </w:r>
      <w:r w:rsidR="00CB55CE" w:rsidRPr="00F25744">
        <w:rPr>
          <w:rFonts w:cs="David" w:hint="cs"/>
          <w:sz w:val="24"/>
          <w:szCs w:val="24"/>
          <w:rtl/>
        </w:rPr>
        <w:t xml:space="preserve">שלגביהם נאספו נתונים מספקים בכל מערכי המחקר לגבי בתי הדין האזוריים לעבודה, יחד עם מספר התיקים </w:t>
      </w:r>
      <w:r w:rsidR="003D082F" w:rsidRPr="00F25744">
        <w:rPr>
          <w:rFonts w:cs="David" w:hint="cs"/>
          <w:sz w:val="24"/>
          <w:szCs w:val="24"/>
          <w:rtl/>
        </w:rPr>
        <w:t xml:space="preserve">הממוצע </w:t>
      </w:r>
      <w:r w:rsidR="00CB55CE" w:rsidRPr="00F25744">
        <w:rPr>
          <w:rFonts w:cs="David" w:hint="cs"/>
          <w:sz w:val="24"/>
          <w:szCs w:val="24"/>
          <w:rtl/>
        </w:rPr>
        <w:t>מאו</w:t>
      </w:r>
      <w:r w:rsidR="00EB0506" w:rsidRPr="00F25744">
        <w:rPr>
          <w:rFonts w:cs="David" w:hint="cs"/>
          <w:sz w:val="24"/>
          <w:szCs w:val="24"/>
          <w:rtl/>
        </w:rPr>
        <w:t>תו סוג אשר נסגרו במהלך</w:t>
      </w:r>
      <w:r w:rsidR="003D082F" w:rsidRPr="00F25744">
        <w:rPr>
          <w:rFonts w:cs="David" w:hint="cs"/>
          <w:sz w:val="24"/>
          <w:szCs w:val="24"/>
          <w:rtl/>
        </w:rPr>
        <w:t xml:space="preserve"> שלוש השנים האחרונות (</w:t>
      </w:r>
      <w:r w:rsidR="000C2460" w:rsidRPr="00F25744">
        <w:rPr>
          <w:rFonts w:cs="David" w:hint="cs"/>
          <w:sz w:val="24"/>
          <w:szCs w:val="24"/>
          <w:rtl/>
        </w:rPr>
        <w:t>2019-2017</w:t>
      </w:r>
      <w:r w:rsidR="003D082F" w:rsidRPr="00F25744">
        <w:rPr>
          <w:rFonts w:cs="David" w:hint="cs"/>
          <w:sz w:val="24"/>
          <w:szCs w:val="24"/>
          <w:rtl/>
        </w:rPr>
        <w:t>),</w:t>
      </w:r>
      <w:r w:rsidR="00CB55CE" w:rsidRPr="00F25744">
        <w:rPr>
          <w:rFonts w:cs="David" w:hint="cs"/>
          <w:sz w:val="24"/>
          <w:szCs w:val="24"/>
          <w:rtl/>
        </w:rPr>
        <w:t xml:space="preserve"> </w:t>
      </w:r>
      <w:r w:rsidR="00EB0506" w:rsidRPr="00F25744">
        <w:rPr>
          <w:rFonts w:cs="David" w:hint="cs"/>
          <w:sz w:val="24"/>
          <w:szCs w:val="24"/>
          <w:rtl/>
        </w:rPr>
        <w:t>ו</w:t>
      </w:r>
      <w:r w:rsidR="00CB55CE" w:rsidRPr="00F25744">
        <w:rPr>
          <w:rFonts w:cs="David" w:hint="cs"/>
          <w:sz w:val="24"/>
          <w:szCs w:val="24"/>
          <w:rtl/>
        </w:rPr>
        <w:t>הזמן השיפוטי הדרוש לטפל בהם</w:t>
      </w:r>
      <w:r w:rsidR="003D082F" w:rsidRPr="00F25744">
        <w:rPr>
          <w:rFonts w:cs="David" w:hint="cs"/>
          <w:sz w:val="24"/>
          <w:szCs w:val="24"/>
          <w:rtl/>
        </w:rPr>
        <w:t>. הזמן השיפוטי לכל סוג תיק</w:t>
      </w:r>
      <w:r w:rsidR="00EB0506" w:rsidRPr="00F25744">
        <w:rPr>
          <w:rFonts w:cs="David" w:hint="cs"/>
          <w:sz w:val="24"/>
          <w:szCs w:val="24"/>
          <w:rtl/>
        </w:rPr>
        <w:t xml:space="preserve"> חושב כאן על בסיס נתוני המחשוב של </w:t>
      </w:r>
      <w:r w:rsidR="003D082F" w:rsidRPr="00F25744">
        <w:rPr>
          <w:rFonts w:cs="David" w:hint="cs"/>
          <w:sz w:val="24"/>
          <w:szCs w:val="24"/>
          <w:rtl/>
        </w:rPr>
        <w:t xml:space="preserve">שלוש השנים האחרונות, </w:t>
      </w:r>
      <w:r w:rsidR="00EB0506" w:rsidRPr="00F25744">
        <w:rPr>
          <w:rFonts w:cs="David" w:hint="cs"/>
          <w:sz w:val="24"/>
          <w:szCs w:val="24"/>
          <w:rtl/>
        </w:rPr>
        <w:t xml:space="preserve">בשילוב עם זמני הפעולות השיפוטיות אשר נמדדו </w:t>
      </w:r>
      <w:r w:rsidR="003D082F" w:rsidRPr="00F25744">
        <w:rPr>
          <w:rFonts w:cs="David" w:hint="cs"/>
          <w:sz w:val="24"/>
          <w:szCs w:val="24"/>
          <w:rtl/>
        </w:rPr>
        <w:t>במהלך</w:t>
      </w:r>
      <w:r w:rsidR="00EB0506" w:rsidRPr="00F25744">
        <w:rPr>
          <w:rFonts w:cs="David" w:hint="cs"/>
          <w:sz w:val="24"/>
          <w:szCs w:val="24"/>
          <w:rtl/>
        </w:rPr>
        <w:t xml:space="preserve"> המחקר משנת 2018</w:t>
      </w:r>
      <w:r w:rsidR="000C2460" w:rsidRPr="00F25744">
        <w:rPr>
          <w:rFonts w:cs="David" w:hint="cs"/>
          <w:sz w:val="24"/>
          <w:szCs w:val="24"/>
          <w:rtl/>
        </w:rPr>
        <w:t>. זאת,</w:t>
      </w:r>
      <w:r w:rsidR="00EB0506" w:rsidRPr="00F25744">
        <w:rPr>
          <w:rFonts w:cs="David" w:hint="cs"/>
          <w:sz w:val="24"/>
          <w:szCs w:val="24"/>
          <w:rtl/>
        </w:rPr>
        <w:t xml:space="preserve"> על מנת להציג תמונה קוהרנטית יחד עם ממצאי שאר המערכת המובאים במחקר זה</w:t>
      </w:r>
      <w:r w:rsidR="003D082F" w:rsidRPr="00F25744">
        <w:rPr>
          <w:rFonts w:cs="David" w:hint="cs"/>
          <w:sz w:val="24"/>
          <w:szCs w:val="24"/>
          <w:rtl/>
        </w:rPr>
        <w:t xml:space="preserve">, </w:t>
      </w:r>
      <w:r w:rsidR="000C2460" w:rsidRPr="00F25744">
        <w:rPr>
          <w:rFonts w:cs="David" w:hint="cs"/>
          <w:sz w:val="24"/>
          <w:szCs w:val="24"/>
          <w:rtl/>
        </w:rPr>
        <w:t xml:space="preserve">אשר </w:t>
      </w:r>
      <w:r w:rsidR="003D082F" w:rsidRPr="00F25744">
        <w:rPr>
          <w:rFonts w:cs="David" w:hint="cs"/>
          <w:sz w:val="24"/>
          <w:szCs w:val="24"/>
          <w:rtl/>
        </w:rPr>
        <w:t xml:space="preserve">מבוססים אף הם על נתוני שלוש השנים האחרונות </w:t>
      </w:r>
      <w:r w:rsidR="00EB0506" w:rsidRPr="00F25744">
        <w:rPr>
          <w:rFonts w:cs="David" w:hint="cs"/>
          <w:sz w:val="24"/>
          <w:szCs w:val="24"/>
          <w:rtl/>
        </w:rPr>
        <w:t>(על כן זמני התיקים שיוצגו להלן שונים במעט מזמני התיקים המוצגים במחקר בתי הדין לעבודה</w:t>
      </w:r>
      <w:r w:rsidR="003D082F" w:rsidRPr="00F25744">
        <w:rPr>
          <w:rFonts w:cs="David" w:hint="cs"/>
          <w:sz w:val="24"/>
          <w:szCs w:val="24"/>
          <w:rtl/>
        </w:rPr>
        <w:t>, אשר חושבו לפי נתוני 2017</w:t>
      </w:r>
      <w:r w:rsidR="00EB0506" w:rsidRPr="00F25744">
        <w:rPr>
          <w:rFonts w:cs="David" w:hint="cs"/>
          <w:sz w:val="24"/>
          <w:szCs w:val="24"/>
          <w:rtl/>
        </w:rPr>
        <w:t xml:space="preserve">). כמו כן יוצג </w:t>
      </w:r>
      <w:r w:rsidR="00CB55CE" w:rsidRPr="00F25744">
        <w:rPr>
          <w:rFonts w:cs="David" w:hint="cs"/>
          <w:sz w:val="24"/>
          <w:szCs w:val="24"/>
          <w:rtl/>
        </w:rPr>
        <w:t>הזמן השיפוטי שנמדד במחקר הקודם</w:t>
      </w:r>
      <w:r w:rsidR="00EB0506" w:rsidRPr="00F25744">
        <w:rPr>
          <w:rFonts w:cs="David" w:hint="cs"/>
          <w:sz w:val="24"/>
          <w:szCs w:val="24"/>
          <w:rtl/>
        </w:rPr>
        <w:t xml:space="preserve"> (2013)</w:t>
      </w:r>
      <w:r w:rsidR="00CB55CE" w:rsidRPr="00F25744">
        <w:rPr>
          <w:rFonts w:cs="David" w:hint="cs"/>
          <w:sz w:val="24"/>
          <w:szCs w:val="24"/>
          <w:rtl/>
        </w:rPr>
        <w:t xml:space="preserve"> ומגמת השינוי מהמחקר הקודם. הטבלה מציגה את סוגי התיקים בסדר יורד, מהתיק שדרוש לו הזמן השיפוטי הארוך ביותר לתיק שדרוש לו הזמן השיפוטי הקצר ביותר.</w:t>
      </w:r>
    </w:p>
    <w:p w14:paraId="7CBEF811" w14:textId="3E9F3A2B" w:rsidR="0041306D" w:rsidRDefault="008534FC" w:rsidP="00702F42">
      <w:pPr>
        <w:pStyle w:val="af6"/>
        <w:keepNext/>
        <w:spacing w:after="0" w:line="240" w:lineRule="auto"/>
        <w:rPr>
          <w:sz w:val="24"/>
          <w:rtl/>
        </w:rPr>
      </w:pPr>
      <w:r w:rsidRPr="00F25744">
        <w:rPr>
          <w:sz w:val="24"/>
          <w:rtl/>
        </w:rPr>
        <w:t xml:space="preserve">טבלה </w:t>
      </w:r>
      <w:r w:rsidR="00702F42">
        <w:rPr>
          <w:rFonts w:hint="cs"/>
          <w:sz w:val="24"/>
          <w:rtl/>
        </w:rPr>
        <w:t>17</w:t>
      </w:r>
      <w:r w:rsidRPr="00F25744">
        <w:rPr>
          <w:rFonts w:hint="cs"/>
          <w:sz w:val="24"/>
          <w:rtl/>
        </w:rPr>
        <w:t xml:space="preserve">: </w:t>
      </w:r>
      <w:r w:rsidR="00EE6124" w:rsidRPr="00F25744">
        <w:rPr>
          <w:rFonts w:hint="cs"/>
          <w:sz w:val="24"/>
          <w:rtl/>
        </w:rPr>
        <w:t xml:space="preserve">זמני הטיפול בתיקי בתי </w:t>
      </w:r>
      <w:r w:rsidR="00C20350" w:rsidRPr="00F25744">
        <w:rPr>
          <w:rFonts w:hint="cs"/>
          <w:sz w:val="24"/>
          <w:rtl/>
        </w:rPr>
        <w:t>הדין</w:t>
      </w:r>
      <w:r w:rsidR="00EE6124" w:rsidRPr="00F25744">
        <w:rPr>
          <w:rFonts w:hint="cs"/>
          <w:sz w:val="24"/>
          <w:rtl/>
        </w:rPr>
        <w:t xml:space="preserve"> </w:t>
      </w:r>
      <w:r w:rsidR="00C20350" w:rsidRPr="00F25744">
        <w:rPr>
          <w:rFonts w:hint="cs"/>
          <w:sz w:val="24"/>
          <w:rtl/>
        </w:rPr>
        <w:t xml:space="preserve">האזוריים </w:t>
      </w:r>
      <w:r w:rsidR="00EE6124" w:rsidRPr="00F25744">
        <w:rPr>
          <w:rFonts w:hint="cs"/>
          <w:sz w:val="24"/>
          <w:rtl/>
        </w:rPr>
        <w:t>לע</w:t>
      </w:r>
      <w:r w:rsidR="00C20350" w:rsidRPr="00F25744">
        <w:rPr>
          <w:rFonts w:hint="cs"/>
          <w:sz w:val="24"/>
          <w:rtl/>
        </w:rPr>
        <w:t>בודה</w:t>
      </w:r>
    </w:p>
    <w:p w14:paraId="7D87464E" w14:textId="77777777" w:rsidR="002C4CFA" w:rsidRPr="002C4CFA" w:rsidRDefault="002C4CFA" w:rsidP="002C4CFA">
      <w:pPr>
        <w:rPr>
          <w:rtl/>
        </w:rPr>
      </w:pPr>
    </w:p>
    <w:tbl>
      <w:tblPr>
        <w:tblStyle w:val="af2"/>
        <w:tblpPr w:rightFromText="85" w:vertAnchor="text" w:horzAnchor="margin" w:tblpX="-135" w:tblpY="1"/>
        <w:bidiVisual/>
        <w:tblW w:w="8803"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990"/>
        <w:gridCol w:w="2142"/>
        <w:gridCol w:w="1280"/>
        <w:gridCol w:w="1701"/>
        <w:gridCol w:w="1841"/>
        <w:gridCol w:w="849"/>
      </w:tblGrid>
      <w:tr w:rsidR="0041306D" w:rsidRPr="001A3649" w14:paraId="157224FF" w14:textId="77777777" w:rsidTr="002C4CFA">
        <w:tc>
          <w:tcPr>
            <w:tcW w:w="990" w:type="dxa"/>
            <w:vAlign w:val="center"/>
          </w:tcPr>
          <w:p w14:paraId="453FA294" w14:textId="77777777" w:rsidR="0041306D" w:rsidRPr="001A3649" w:rsidRDefault="0041306D" w:rsidP="002C4CFA">
            <w:pPr>
              <w:spacing w:after="0" w:line="240" w:lineRule="auto"/>
              <w:jc w:val="center"/>
              <w:rPr>
                <w:rFonts w:ascii="David" w:eastAsia="Times New Roman" w:hAnsi="David" w:cs="David"/>
                <w:b/>
                <w:bCs/>
                <w:color w:val="000000"/>
                <w:rtl/>
              </w:rPr>
            </w:pPr>
            <w:r w:rsidRPr="001A3649">
              <w:rPr>
                <w:rFonts w:ascii="David" w:eastAsia="Times New Roman" w:hAnsi="David" w:cs="David"/>
                <w:b/>
                <w:bCs/>
                <w:color w:val="000000"/>
                <w:rtl/>
              </w:rPr>
              <w:t>ערכאה</w:t>
            </w:r>
          </w:p>
        </w:tc>
        <w:tc>
          <w:tcPr>
            <w:tcW w:w="2142" w:type="dxa"/>
            <w:vAlign w:val="center"/>
          </w:tcPr>
          <w:p w14:paraId="354CF217" w14:textId="77777777" w:rsidR="0041306D" w:rsidRPr="001A3649" w:rsidRDefault="0041306D" w:rsidP="002C4CFA">
            <w:pPr>
              <w:spacing w:after="0" w:line="240" w:lineRule="auto"/>
              <w:jc w:val="center"/>
              <w:rPr>
                <w:rFonts w:ascii="David" w:eastAsia="Times New Roman" w:hAnsi="David" w:cs="David"/>
                <w:b/>
                <w:bCs/>
                <w:color w:val="000000"/>
                <w:rtl/>
              </w:rPr>
            </w:pPr>
            <w:r w:rsidRPr="001A3649">
              <w:rPr>
                <w:rFonts w:ascii="David" w:eastAsia="Times New Roman" w:hAnsi="David" w:cs="David"/>
                <w:b/>
                <w:bCs/>
                <w:color w:val="000000"/>
                <w:rtl/>
              </w:rPr>
              <w:t>סוג תיק</w:t>
            </w:r>
          </w:p>
        </w:tc>
        <w:tc>
          <w:tcPr>
            <w:tcW w:w="1280" w:type="dxa"/>
            <w:vAlign w:val="center"/>
          </w:tcPr>
          <w:p w14:paraId="63F02C87" w14:textId="77777777" w:rsidR="0041306D" w:rsidRPr="001A3649" w:rsidRDefault="0041306D" w:rsidP="002C4CFA">
            <w:pPr>
              <w:spacing w:after="0" w:line="240" w:lineRule="auto"/>
              <w:jc w:val="center"/>
              <w:rPr>
                <w:rFonts w:ascii="David" w:eastAsia="Times New Roman" w:hAnsi="David" w:cs="David"/>
                <w:b/>
                <w:bCs/>
                <w:color w:val="000000"/>
                <w:rtl/>
              </w:rPr>
            </w:pPr>
            <w:r w:rsidRPr="001A3649">
              <w:rPr>
                <w:rFonts w:ascii="David" w:eastAsia="Times New Roman" w:hAnsi="David" w:cs="David" w:hint="cs"/>
                <w:b/>
                <w:bCs/>
                <w:color w:val="000000"/>
                <w:rtl/>
              </w:rPr>
              <w:t>מספר תיקים שנסגרו ב-2019</w:t>
            </w:r>
          </w:p>
        </w:tc>
        <w:tc>
          <w:tcPr>
            <w:tcW w:w="1701" w:type="dxa"/>
            <w:vAlign w:val="center"/>
          </w:tcPr>
          <w:p w14:paraId="0FE91E86" w14:textId="77777777" w:rsidR="0041306D" w:rsidRPr="001A3649" w:rsidRDefault="0041306D" w:rsidP="002C4CFA">
            <w:pPr>
              <w:spacing w:after="0" w:line="240" w:lineRule="auto"/>
              <w:jc w:val="center"/>
              <w:rPr>
                <w:rFonts w:ascii="David" w:eastAsia="Times New Roman" w:hAnsi="David" w:cs="David"/>
                <w:b/>
                <w:bCs/>
                <w:color w:val="000000"/>
                <w:rtl/>
              </w:rPr>
            </w:pPr>
            <w:r w:rsidRPr="001A3649">
              <w:rPr>
                <w:rFonts w:ascii="David" w:eastAsia="Times New Roman" w:hAnsi="David" w:cs="David"/>
                <w:b/>
                <w:bCs/>
                <w:color w:val="000000"/>
                <w:rtl/>
              </w:rPr>
              <w:t>הזמן השיפוטי הממוצע הדרוש לט</w:t>
            </w:r>
            <w:r w:rsidRPr="001A3649">
              <w:rPr>
                <w:rFonts w:ascii="David" w:eastAsia="Times New Roman" w:hAnsi="David" w:cs="David" w:hint="cs"/>
                <w:b/>
                <w:bCs/>
                <w:color w:val="000000"/>
                <w:rtl/>
              </w:rPr>
              <w:t>י</w:t>
            </w:r>
            <w:r w:rsidRPr="001A3649">
              <w:rPr>
                <w:rFonts w:ascii="David" w:eastAsia="Times New Roman" w:hAnsi="David" w:cs="David"/>
                <w:b/>
                <w:bCs/>
                <w:color w:val="000000"/>
                <w:rtl/>
              </w:rPr>
              <w:t>פ</w:t>
            </w:r>
            <w:r w:rsidRPr="001A3649">
              <w:rPr>
                <w:rFonts w:ascii="David" w:eastAsia="Times New Roman" w:hAnsi="David" w:cs="David" w:hint="cs"/>
                <w:b/>
                <w:bCs/>
                <w:color w:val="000000"/>
                <w:rtl/>
              </w:rPr>
              <w:t>ו</w:t>
            </w:r>
            <w:r w:rsidRPr="001A3649">
              <w:rPr>
                <w:rFonts w:ascii="David" w:eastAsia="Times New Roman" w:hAnsi="David" w:cs="David"/>
                <w:b/>
                <w:bCs/>
                <w:color w:val="000000"/>
                <w:rtl/>
              </w:rPr>
              <w:t>ל בתיק</w:t>
            </w:r>
          </w:p>
        </w:tc>
        <w:tc>
          <w:tcPr>
            <w:tcW w:w="1841" w:type="dxa"/>
            <w:vAlign w:val="center"/>
          </w:tcPr>
          <w:p w14:paraId="7D44A83C" w14:textId="77777777" w:rsidR="0041306D" w:rsidRPr="001A3649" w:rsidRDefault="0041306D" w:rsidP="002C4CFA">
            <w:pPr>
              <w:spacing w:after="0" w:line="240" w:lineRule="auto"/>
              <w:jc w:val="center"/>
              <w:rPr>
                <w:rFonts w:ascii="David" w:eastAsia="Times New Roman" w:hAnsi="David" w:cs="David"/>
                <w:b/>
                <w:bCs/>
                <w:color w:val="000000"/>
                <w:rtl/>
              </w:rPr>
            </w:pPr>
            <w:r w:rsidRPr="001A3649">
              <w:rPr>
                <w:rFonts w:ascii="David" w:eastAsia="Times New Roman" w:hAnsi="David" w:cs="David"/>
                <w:b/>
                <w:bCs/>
                <w:color w:val="000000"/>
                <w:rtl/>
              </w:rPr>
              <w:t xml:space="preserve">הזמן השיפוטי </w:t>
            </w:r>
            <w:r w:rsidRPr="001A3649">
              <w:rPr>
                <w:rFonts w:ascii="David" w:eastAsia="Times New Roman" w:hAnsi="David" w:cs="David" w:hint="cs"/>
                <w:b/>
                <w:bCs/>
                <w:color w:val="000000"/>
                <w:rtl/>
              </w:rPr>
              <w:t xml:space="preserve">הממוצע </w:t>
            </w:r>
            <w:r w:rsidRPr="001A3649">
              <w:rPr>
                <w:rFonts w:ascii="David" w:eastAsia="Times New Roman" w:hAnsi="David" w:cs="David"/>
                <w:b/>
                <w:bCs/>
                <w:color w:val="000000"/>
                <w:rtl/>
              </w:rPr>
              <w:t xml:space="preserve">הדרוש לפי </w:t>
            </w:r>
            <w:r w:rsidRPr="001A3649">
              <w:rPr>
                <w:rFonts w:ascii="David" w:eastAsia="Times New Roman" w:hAnsi="David" w:cs="David" w:hint="cs"/>
                <w:b/>
                <w:bCs/>
                <w:color w:val="000000"/>
                <w:rtl/>
              </w:rPr>
              <w:t>ה</w:t>
            </w:r>
            <w:r w:rsidRPr="001A3649">
              <w:rPr>
                <w:rFonts w:ascii="David" w:eastAsia="Times New Roman" w:hAnsi="David" w:cs="David"/>
                <w:b/>
                <w:bCs/>
                <w:color w:val="000000"/>
                <w:rtl/>
              </w:rPr>
              <w:t>מחקר ה</w:t>
            </w:r>
            <w:r w:rsidRPr="001A3649">
              <w:rPr>
                <w:rFonts w:ascii="David" w:eastAsia="Times New Roman" w:hAnsi="David" w:cs="David" w:hint="cs"/>
                <w:b/>
                <w:bCs/>
                <w:color w:val="000000"/>
                <w:rtl/>
              </w:rPr>
              <w:t>קודם</w:t>
            </w:r>
            <w:r w:rsidR="002D25A0" w:rsidRPr="001A3649">
              <w:rPr>
                <w:rFonts w:cs="David"/>
                <w:color w:val="000000"/>
                <w:vertAlign w:val="superscript"/>
              </w:rPr>
              <w:footnoteReference w:id="34"/>
            </w:r>
          </w:p>
        </w:tc>
        <w:tc>
          <w:tcPr>
            <w:tcW w:w="849" w:type="dxa"/>
            <w:vAlign w:val="center"/>
          </w:tcPr>
          <w:p w14:paraId="4DF6F06B" w14:textId="77777777" w:rsidR="0041306D" w:rsidRPr="001A3649" w:rsidRDefault="0041306D" w:rsidP="002C4CFA">
            <w:pPr>
              <w:spacing w:after="0" w:line="240" w:lineRule="auto"/>
              <w:jc w:val="center"/>
              <w:rPr>
                <w:rFonts w:ascii="David" w:eastAsia="Times New Roman" w:hAnsi="David" w:cs="David"/>
                <w:b/>
                <w:bCs/>
                <w:color w:val="000000"/>
                <w:rtl/>
              </w:rPr>
            </w:pPr>
            <w:r w:rsidRPr="001A3649">
              <w:rPr>
                <w:rFonts w:ascii="David" w:eastAsia="Times New Roman" w:hAnsi="David" w:cs="David"/>
                <w:b/>
                <w:bCs/>
                <w:color w:val="000000"/>
                <w:rtl/>
              </w:rPr>
              <w:t>מגמת שינוי</w:t>
            </w:r>
          </w:p>
        </w:tc>
      </w:tr>
      <w:tr w:rsidR="0041306D" w:rsidRPr="001A3649" w14:paraId="1A73AE02" w14:textId="77777777" w:rsidTr="002C4CFA">
        <w:tc>
          <w:tcPr>
            <w:tcW w:w="990" w:type="dxa"/>
            <w:shd w:val="clear" w:color="auto" w:fill="D9D9D9" w:themeFill="background1" w:themeFillShade="D9"/>
            <w:vAlign w:val="center"/>
          </w:tcPr>
          <w:p w14:paraId="5702023C" w14:textId="77777777" w:rsidR="0041306D" w:rsidRPr="001A3649" w:rsidRDefault="0041306D" w:rsidP="002C4CFA">
            <w:pPr>
              <w:spacing w:line="240" w:lineRule="auto"/>
              <w:jc w:val="center"/>
              <w:rPr>
                <w:rFonts w:ascii="David" w:hAnsi="David" w:cs="David"/>
                <w:color w:val="000000"/>
              </w:rPr>
            </w:pPr>
            <w:r w:rsidRPr="001A3649">
              <w:rPr>
                <w:rFonts w:ascii="David" w:hAnsi="David" w:cs="David" w:hint="cs"/>
                <w:color w:val="000000"/>
                <w:rtl/>
              </w:rPr>
              <w:t>עבודה</w:t>
            </w:r>
          </w:p>
        </w:tc>
        <w:tc>
          <w:tcPr>
            <w:tcW w:w="2142" w:type="dxa"/>
            <w:shd w:val="clear" w:color="auto" w:fill="D9D9D9" w:themeFill="background1" w:themeFillShade="D9"/>
            <w:vAlign w:val="center"/>
          </w:tcPr>
          <w:p w14:paraId="031C8919" w14:textId="77777777" w:rsidR="0041306D" w:rsidRPr="001A3649" w:rsidRDefault="0041306D" w:rsidP="002C4CFA">
            <w:pPr>
              <w:spacing w:line="240" w:lineRule="auto"/>
              <w:rPr>
                <w:rFonts w:ascii="David" w:hAnsi="David" w:cs="David"/>
                <w:color w:val="000000"/>
                <w:rtl/>
              </w:rPr>
            </w:pPr>
            <w:r w:rsidRPr="001A3649">
              <w:rPr>
                <w:rFonts w:ascii="David" w:hAnsi="David" w:cs="David" w:hint="cs"/>
                <w:color w:val="000000"/>
                <w:rtl/>
              </w:rPr>
              <w:t>תובענה ייצוגית (ת"צ)</w:t>
            </w:r>
          </w:p>
        </w:tc>
        <w:tc>
          <w:tcPr>
            <w:tcW w:w="1280" w:type="dxa"/>
            <w:shd w:val="clear" w:color="auto" w:fill="D9D9D9" w:themeFill="background1" w:themeFillShade="D9"/>
            <w:vAlign w:val="center"/>
          </w:tcPr>
          <w:p w14:paraId="78C43AA0" w14:textId="77777777" w:rsidR="0041306D" w:rsidRPr="001A3649" w:rsidRDefault="0041306D" w:rsidP="002C4CFA">
            <w:pPr>
              <w:spacing w:line="240" w:lineRule="auto"/>
              <w:jc w:val="center"/>
              <w:rPr>
                <w:rFonts w:ascii="David" w:hAnsi="David" w:cs="David"/>
                <w:color w:val="000000"/>
                <w:rtl/>
              </w:rPr>
            </w:pPr>
            <w:r w:rsidRPr="001A3649">
              <w:rPr>
                <w:rFonts w:ascii="David" w:hAnsi="David" w:cs="David"/>
                <w:color w:val="000000"/>
              </w:rPr>
              <w:t>82</w:t>
            </w:r>
          </w:p>
        </w:tc>
        <w:tc>
          <w:tcPr>
            <w:tcW w:w="1701" w:type="dxa"/>
            <w:shd w:val="clear" w:color="auto" w:fill="D9D9D9" w:themeFill="background1" w:themeFillShade="D9"/>
            <w:vAlign w:val="center"/>
          </w:tcPr>
          <w:p w14:paraId="1B0A1553" w14:textId="77777777" w:rsidR="0041306D" w:rsidRPr="001A3649" w:rsidRDefault="0041306D" w:rsidP="002C4CFA">
            <w:pPr>
              <w:pStyle w:val="TableParagraph"/>
              <w:spacing w:after="160" w:line="240" w:lineRule="auto"/>
              <w:ind w:left="190" w:right="176"/>
              <w:rPr>
                <w:rFonts w:ascii="David" w:eastAsia="Calibri" w:hAnsi="David" w:cs="David"/>
                <w:b/>
                <w:bCs/>
                <w:color w:val="000000"/>
              </w:rPr>
            </w:pPr>
            <w:r w:rsidRPr="001A3649">
              <w:rPr>
                <w:rFonts w:ascii="David" w:eastAsia="Calibri" w:hAnsi="David" w:cs="David"/>
                <w:b/>
                <w:bCs/>
                <w:color w:val="000000"/>
              </w:rPr>
              <w:t>45:41</w:t>
            </w:r>
          </w:p>
        </w:tc>
        <w:tc>
          <w:tcPr>
            <w:tcW w:w="1841" w:type="dxa"/>
            <w:shd w:val="clear" w:color="auto" w:fill="D9D9D9" w:themeFill="background1" w:themeFillShade="D9"/>
            <w:vAlign w:val="center"/>
          </w:tcPr>
          <w:p w14:paraId="6CE0CBAB" w14:textId="77777777" w:rsidR="0041306D" w:rsidRPr="001A3649" w:rsidRDefault="0041306D" w:rsidP="002C4CFA">
            <w:pPr>
              <w:pStyle w:val="TableParagraph"/>
              <w:spacing w:after="160" w:line="240" w:lineRule="auto"/>
              <w:ind w:left="136" w:right="123"/>
              <w:rPr>
                <w:rFonts w:ascii="David" w:eastAsia="Calibri" w:hAnsi="David" w:cs="David"/>
                <w:color w:val="000000"/>
              </w:rPr>
            </w:pPr>
            <w:r w:rsidRPr="001A3649">
              <w:rPr>
                <w:rFonts w:ascii="David" w:eastAsia="Calibri" w:hAnsi="David" w:cs="David"/>
                <w:color w:val="000000"/>
              </w:rPr>
              <w:t xml:space="preserve">  -</w:t>
            </w:r>
          </w:p>
        </w:tc>
        <w:tc>
          <w:tcPr>
            <w:tcW w:w="849" w:type="dxa"/>
            <w:shd w:val="clear" w:color="auto" w:fill="D9D9D9" w:themeFill="background1" w:themeFillShade="D9"/>
            <w:vAlign w:val="center"/>
          </w:tcPr>
          <w:p w14:paraId="06F25A02" w14:textId="77777777" w:rsidR="0041306D" w:rsidRPr="001A3649" w:rsidRDefault="0041306D" w:rsidP="002C4CFA">
            <w:pPr>
              <w:pStyle w:val="TableParagraph"/>
              <w:spacing w:after="160" w:line="240" w:lineRule="auto"/>
              <w:ind w:right="93"/>
              <w:rPr>
                <w:rFonts w:ascii="David" w:eastAsia="Calibri" w:hAnsi="David" w:cs="David"/>
                <w:color w:val="000000"/>
              </w:rPr>
            </w:pPr>
            <w:r w:rsidRPr="001A3649">
              <w:rPr>
                <w:rFonts w:ascii="David" w:eastAsia="Calibri" w:hAnsi="David" w:cs="David"/>
                <w:color w:val="000000"/>
              </w:rPr>
              <w:t>-</w:t>
            </w:r>
          </w:p>
        </w:tc>
      </w:tr>
      <w:tr w:rsidR="0041306D" w:rsidRPr="001A3649" w14:paraId="3BFE03FA" w14:textId="77777777" w:rsidTr="002C4CFA">
        <w:tc>
          <w:tcPr>
            <w:tcW w:w="990" w:type="dxa"/>
            <w:vAlign w:val="center"/>
          </w:tcPr>
          <w:p w14:paraId="62E74DCE" w14:textId="77777777" w:rsidR="0041306D" w:rsidRPr="001A3649" w:rsidRDefault="0041306D" w:rsidP="002C4CFA">
            <w:pPr>
              <w:spacing w:line="240" w:lineRule="auto"/>
              <w:jc w:val="center"/>
              <w:rPr>
                <w:rFonts w:ascii="David" w:hAnsi="David" w:cs="David"/>
                <w:color w:val="000000"/>
                <w:rtl/>
              </w:rPr>
            </w:pPr>
            <w:r w:rsidRPr="001A3649">
              <w:rPr>
                <w:rFonts w:ascii="David" w:hAnsi="David" w:cs="David" w:hint="cs"/>
                <w:color w:val="000000"/>
                <w:rtl/>
              </w:rPr>
              <w:t>עבודה</w:t>
            </w:r>
          </w:p>
        </w:tc>
        <w:tc>
          <w:tcPr>
            <w:tcW w:w="2142" w:type="dxa"/>
            <w:vAlign w:val="center"/>
          </w:tcPr>
          <w:p w14:paraId="5EA0B1D3" w14:textId="77777777" w:rsidR="0041306D" w:rsidRPr="001A3649" w:rsidRDefault="0041306D" w:rsidP="002C4CFA">
            <w:pPr>
              <w:spacing w:line="240" w:lineRule="auto"/>
              <w:rPr>
                <w:rFonts w:ascii="David" w:hAnsi="David" w:cs="David"/>
                <w:color w:val="000000"/>
                <w:rtl/>
              </w:rPr>
            </w:pPr>
            <w:r w:rsidRPr="001A3649">
              <w:rPr>
                <w:rFonts w:ascii="David" w:hAnsi="David" w:cs="David" w:hint="cs"/>
                <w:color w:val="000000"/>
                <w:rtl/>
              </w:rPr>
              <w:t>סכסוך קיבוצי (ס</w:t>
            </w:r>
            <w:r w:rsidRPr="001A3649">
              <w:rPr>
                <w:rFonts w:ascii="David" w:hAnsi="David" w:cs="David"/>
                <w:color w:val="000000"/>
                <w:rtl/>
              </w:rPr>
              <w:t>"</w:t>
            </w:r>
            <w:r w:rsidRPr="001A3649">
              <w:rPr>
                <w:rFonts w:ascii="David" w:hAnsi="David" w:cs="David" w:hint="cs"/>
                <w:color w:val="000000"/>
                <w:rtl/>
              </w:rPr>
              <w:t>ק)</w:t>
            </w:r>
          </w:p>
        </w:tc>
        <w:tc>
          <w:tcPr>
            <w:tcW w:w="1280" w:type="dxa"/>
            <w:vAlign w:val="center"/>
          </w:tcPr>
          <w:p w14:paraId="55D2CB43" w14:textId="77777777" w:rsidR="0041306D" w:rsidRPr="001A3649" w:rsidRDefault="0041306D" w:rsidP="002C4CFA">
            <w:pPr>
              <w:spacing w:line="240" w:lineRule="auto"/>
              <w:jc w:val="center"/>
              <w:rPr>
                <w:rFonts w:ascii="David" w:hAnsi="David" w:cs="David"/>
                <w:color w:val="000000"/>
              </w:rPr>
            </w:pPr>
            <w:r w:rsidRPr="001A3649">
              <w:rPr>
                <w:rFonts w:ascii="David" w:hAnsi="David" w:cs="David"/>
                <w:color w:val="000000"/>
              </w:rPr>
              <w:t>214</w:t>
            </w:r>
          </w:p>
        </w:tc>
        <w:tc>
          <w:tcPr>
            <w:tcW w:w="1701" w:type="dxa"/>
            <w:vAlign w:val="center"/>
          </w:tcPr>
          <w:p w14:paraId="12CC9A7E" w14:textId="77777777" w:rsidR="0041306D" w:rsidRPr="001A3649" w:rsidRDefault="0041306D" w:rsidP="002C4CFA">
            <w:pPr>
              <w:pStyle w:val="TableParagraph"/>
              <w:spacing w:after="160" w:line="240" w:lineRule="auto"/>
              <w:ind w:left="190" w:right="176"/>
              <w:rPr>
                <w:rFonts w:ascii="David" w:eastAsia="Calibri" w:hAnsi="David" w:cs="David"/>
                <w:b/>
                <w:bCs/>
                <w:color w:val="000000"/>
              </w:rPr>
            </w:pPr>
            <w:r w:rsidRPr="001A3649">
              <w:rPr>
                <w:rFonts w:ascii="David" w:eastAsia="Calibri" w:hAnsi="David" w:cs="David"/>
                <w:b/>
                <w:bCs/>
                <w:color w:val="000000"/>
              </w:rPr>
              <w:t>14:22</w:t>
            </w:r>
          </w:p>
        </w:tc>
        <w:tc>
          <w:tcPr>
            <w:tcW w:w="1841" w:type="dxa"/>
            <w:vAlign w:val="center"/>
          </w:tcPr>
          <w:p w14:paraId="4E4F7C62" w14:textId="77777777" w:rsidR="0041306D" w:rsidRPr="001A3649" w:rsidRDefault="0041306D" w:rsidP="002C4CFA">
            <w:pPr>
              <w:pStyle w:val="TableParagraph"/>
              <w:spacing w:after="160" w:line="240" w:lineRule="auto"/>
              <w:ind w:left="136" w:right="123"/>
              <w:rPr>
                <w:rFonts w:ascii="David" w:eastAsia="Calibri" w:hAnsi="David" w:cs="David"/>
                <w:color w:val="000000"/>
              </w:rPr>
            </w:pPr>
            <w:r w:rsidRPr="001A3649">
              <w:rPr>
                <w:rFonts w:ascii="David" w:eastAsia="Calibri" w:hAnsi="David" w:cs="David"/>
                <w:color w:val="000000"/>
              </w:rPr>
              <w:t>18</w:t>
            </w:r>
            <w:r w:rsidRPr="001A3649">
              <w:rPr>
                <w:rFonts w:ascii="David" w:eastAsia="Calibri" w:hAnsi="David" w:cs="David" w:hint="cs"/>
                <w:color w:val="000000"/>
                <w:rtl/>
              </w:rPr>
              <w:t>34:</w:t>
            </w:r>
          </w:p>
        </w:tc>
        <w:tc>
          <w:tcPr>
            <w:tcW w:w="849" w:type="dxa"/>
            <w:vAlign w:val="center"/>
          </w:tcPr>
          <w:p w14:paraId="5A63A6AC" w14:textId="77777777" w:rsidR="0041306D" w:rsidRPr="001A3649" w:rsidRDefault="0041306D" w:rsidP="002C4CFA">
            <w:pPr>
              <w:pStyle w:val="TableParagraph"/>
              <w:spacing w:after="160" w:line="240" w:lineRule="auto"/>
              <w:ind w:right="93"/>
              <w:rPr>
                <w:rFonts w:ascii="David" w:eastAsia="Calibri" w:hAnsi="David" w:cs="David"/>
                <w:color w:val="000000"/>
              </w:rPr>
            </w:pPr>
            <w:r w:rsidRPr="001A3649">
              <w:rPr>
                <w:rFonts w:ascii="David" w:eastAsia="Calibri" w:hAnsi="David" w:cs="David"/>
                <w:color w:val="000000"/>
              </w:rPr>
              <w:t>-4:12</w:t>
            </w:r>
          </w:p>
        </w:tc>
      </w:tr>
      <w:tr w:rsidR="0041306D" w:rsidRPr="001A3649" w14:paraId="53856DDC" w14:textId="77777777" w:rsidTr="002C4CFA">
        <w:tc>
          <w:tcPr>
            <w:tcW w:w="990" w:type="dxa"/>
            <w:shd w:val="clear" w:color="auto" w:fill="D9D9D9" w:themeFill="background1" w:themeFillShade="D9"/>
            <w:vAlign w:val="center"/>
          </w:tcPr>
          <w:p w14:paraId="1AEB7274" w14:textId="77777777" w:rsidR="0041306D" w:rsidRPr="001A3649" w:rsidRDefault="0041306D" w:rsidP="002C4CFA">
            <w:pPr>
              <w:spacing w:line="240" w:lineRule="auto"/>
              <w:jc w:val="center"/>
              <w:rPr>
                <w:rFonts w:ascii="David" w:hAnsi="David" w:cs="David"/>
                <w:color w:val="000000"/>
                <w:rtl/>
              </w:rPr>
            </w:pPr>
            <w:r w:rsidRPr="001A3649">
              <w:rPr>
                <w:rFonts w:ascii="David" w:hAnsi="David" w:cs="David" w:hint="cs"/>
                <w:color w:val="000000"/>
                <w:rtl/>
              </w:rPr>
              <w:t>עבודה</w:t>
            </w:r>
          </w:p>
        </w:tc>
        <w:tc>
          <w:tcPr>
            <w:tcW w:w="2142" w:type="dxa"/>
            <w:shd w:val="clear" w:color="auto" w:fill="D9D9D9" w:themeFill="background1" w:themeFillShade="D9"/>
            <w:vAlign w:val="center"/>
          </w:tcPr>
          <w:p w14:paraId="55927D71" w14:textId="77777777" w:rsidR="0041306D" w:rsidRPr="001A3649" w:rsidRDefault="0041306D" w:rsidP="002C4CFA">
            <w:pPr>
              <w:spacing w:line="240" w:lineRule="auto"/>
              <w:rPr>
                <w:rFonts w:ascii="David" w:hAnsi="David" w:cs="David"/>
                <w:color w:val="000000"/>
                <w:rtl/>
              </w:rPr>
            </w:pPr>
            <w:r w:rsidRPr="001A3649">
              <w:rPr>
                <w:rFonts w:ascii="David" w:hAnsi="David" w:cs="David" w:hint="cs"/>
                <w:color w:val="000000"/>
                <w:rtl/>
              </w:rPr>
              <w:t>תיק פלילי (</w:t>
            </w:r>
            <w:r w:rsidRPr="001A3649">
              <w:rPr>
                <w:rFonts w:ascii="David" w:hAnsi="David" w:cs="David"/>
                <w:color w:val="000000"/>
                <w:rtl/>
              </w:rPr>
              <w:t>ת"פ</w:t>
            </w:r>
            <w:r w:rsidRPr="001A3649">
              <w:rPr>
                <w:rFonts w:ascii="David" w:hAnsi="David" w:cs="David" w:hint="cs"/>
                <w:color w:val="000000"/>
                <w:rtl/>
              </w:rPr>
              <w:t>)</w:t>
            </w:r>
          </w:p>
        </w:tc>
        <w:tc>
          <w:tcPr>
            <w:tcW w:w="1280" w:type="dxa"/>
            <w:shd w:val="clear" w:color="auto" w:fill="D9D9D9" w:themeFill="background1" w:themeFillShade="D9"/>
            <w:vAlign w:val="center"/>
          </w:tcPr>
          <w:p w14:paraId="6FE345D1" w14:textId="77777777" w:rsidR="0041306D" w:rsidRPr="001A3649" w:rsidRDefault="0041306D" w:rsidP="002C4CFA">
            <w:pPr>
              <w:spacing w:line="240" w:lineRule="auto"/>
              <w:jc w:val="center"/>
              <w:rPr>
                <w:rFonts w:ascii="David" w:hAnsi="David" w:cs="David"/>
                <w:color w:val="000000"/>
              </w:rPr>
            </w:pPr>
            <w:r w:rsidRPr="001A3649">
              <w:rPr>
                <w:rFonts w:ascii="David" w:hAnsi="David" w:cs="David"/>
                <w:color w:val="000000"/>
              </w:rPr>
              <w:t>153</w:t>
            </w:r>
          </w:p>
        </w:tc>
        <w:tc>
          <w:tcPr>
            <w:tcW w:w="1701" w:type="dxa"/>
            <w:shd w:val="clear" w:color="auto" w:fill="D9D9D9" w:themeFill="background1" w:themeFillShade="D9"/>
            <w:vAlign w:val="center"/>
          </w:tcPr>
          <w:p w14:paraId="7CFA6719" w14:textId="77777777" w:rsidR="0041306D" w:rsidRPr="001A3649" w:rsidRDefault="0041306D" w:rsidP="002C4CFA">
            <w:pPr>
              <w:pStyle w:val="TableParagraph"/>
              <w:spacing w:after="160" w:line="240" w:lineRule="auto"/>
              <w:ind w:left="190" w:right="176"/>
              <w:rPr>
                <w:rFonts w:ascii="David" w:eastAsia="Calibri" w:hAnsi="David" w:cs="David"/>
                <w:b/>
                <w:bCs/>
                <w:color w:val="000000"/>
              </w:rPr>
            </w:pPr>
            <w:r w:rsidRPr="001A3649">
              <w:rPr>
                <w:rFonts w:ascii="David" w:eastAsia="Calibri" w:hAnsi="David" w:cs="David"/>
                <w:b/>
                <w:bCs/>
                <w:color w:val="000000"/>
              </w:rPr>
              <w:t>14:10</w:t>
            </w:r>
          </w:p>
        </w:tc>
        <w:tc>
          <w:tcPr>
            <w:tcW w:w="1841" w:type="dxa"/>
            <w:shd w:val="clear" w:color="auto" w:fill="D9D9D9" w:themeFill="background1" w:themeFillShade="D9"/>
            <w:vAlign w:val="center"/>
          </w:tcPr>
          <w:p w14:paraId="2D5213CF" w14:textId="77777777" w:rsidR="0041306D" w:rsidRPr="001A3649" w:rsidRDefault="0041306D" w:rsidP="002C4CFA">
            <w:pPr>
              <w:pStyle w:val="TableParagraph"/>
              <w:spacing w:after="160" w:line="240" w:lineRule="auto"/>
              <w:ind w:left="136" w:right="123"/>
              <w:rPr>
                <w:rFonts w:ascii="David" w:eastAsia="Calibri" w:hAnsi="David" w:cs="David"/>
                <w:color w:val="000000"/>
              </w:rPr>
            </w:pPr>
            <w:r w:rsidRPr="001A3649">
              <w:rPr>
                <w:rFonts w:ascii="David" w:eastAsia="Calibri" w:hAnsi="David" w:cs="David"/>
                <w:color w:val="000000"/>
              </w:rPr>
              <w:t>5:30</w:t>
            </w:r>
          </w:p>
        </w:tc>
        <w:tc>
          <w:tcPr>
            <w:tcW w:w="849" w:type="dxa"/>
            <w:shd w:val="clear" w:color="auto" w:fill="D9D9D9" w:themeFill="background1" w:themeFillShade="D9"/>
            <w:vAlign w:val="center"/>
          </w:tcPr>
          <w:p w14:paraId="40CEAB10" w14:textId="77777777" w:rsidR="0041306D" w:rsidRPr="001A3649" w:rsidRDefault="0041306D" w:rsidP="002C4CFA">
            <w:pPr>
              <w:pStyle w:val="TableParagraph"/>
              <w:spacing w:after="160" w:line="240" w:lineRule="auto"/>
              <w:ind w:right="93"/>
              <w:rPr>
                <w:rFonts w:ascii="David" w:eastAsia="Calibri" w:hAnsi="David" w:cs="David"/>
                <w:color w:val="000000"/>
              </w:rPr>
            </w:pPr>
            <w:r w:rsidRPr="001A3649">
              <w:rPr>
                <w:rFonts w:ascii="David" w:eastAsia="Calibri" w:hAnsi="David" w:cs="David" w:hint="cs"/>
                <w:color w:val="000000"/>
                <w:rtl/>
              </w:rPr>
              <w:t>8:40+</w:t>
            </w:r>
          </w:p>
        </w:tc>
      </w:tr>
      <w:tr w:rsidR="0041306D" w:rsidRPr="001A3649" w14:paraId="7404997E" w14:textId="77777777" w:rsidTr="002C4CFA">
        <w:tc>
          <w:tcPr>
            <w:tcW w:w="990" w:type="dxa"/>
            <w:vAlign w:val="center"/>
          </w:tcPr>
          <w:p w14:paraId="40D48416" w14:textId="77777777" w:rsidR="0041306D" w:rsidRPr="001A3649" w:rsidRDefault="0041306D" w:rsidP="002C4CFA">
            <w:pPr>
              <w:spacing w:line="240" w:lineRule="auto"/>
              <w:jc w:val="center"/>
              <w:rPr>
                <w:rFonts w:ascii="David" w:hAnsi="David" w:cs="David"/>
                <w:color w:val="000000"/>
              </w:rPr>
            </w:pPr>
            <w:r w:rsidRPr="001A3649">
              <w:rPr>
                <w:rFonts w:ascii="David" w:hAnsi="David" w:cs="David" w:hint="cs"/>
                <w:color w:val="000000"/>
                <w:rtl/>
              </w:rPr>
              <w:t>עבודה</w:t>
            </w:r>
          </w:p>
        </w:tc>
        <w:tc>
          <w:tcPr>
            <w:tcW w:w="2142" w:type="dxa"/>
            <w:vAlign w:val="center"/>
          </w:tcPr>
          <w:p w14:paraId="33DC20CD" w14:textId="77777777" w:rsidR="0041306D" w:rsidRPr="001A3649" w:rsidRDefault="0041306D" w:rsidP="002C4CFA">
            <w:pPr>
              <w:pStyle w:val="TableParagraph"/>
              <w:bidi/>
              <w:spacing w:after="160" w:line="240" w:lineRule="auto"/>
              <w:jc w:val="left"/>
              <w:rPr>
                <w:rFonts w:ascii="David" w:hAnsi="David" w:cs="David"/>
                <w:color w:val="000000"/>
                <w:rtl/>
              </w:rPr>
            </w:pPr>
            <w:r w:rsidRPr="001A3649">
              <w:rPr>
                <w:rFonts w:ascii="David" w:eastAsia="Calibri" w:hAnsi="David" w:cs="David"/>
                <w:color w:val="000000"/>
                <w:rtl/>
              </w:rPr>
              <w:t xml:space="preserve">סכסוך עבודה </w:t>
            </w:r>
            <w:r w:rsidRPr="001A3649">
              <w:rPr>
                <w:rFonts w:ascii="David" w:eastAsia="Calibri" w:hAnsi="David" w:cs="David" w:hint="cs"/>
                <w:color w:val="000000"/>
                <w:rtl/>
              </w:rPr>
              <w:t xml:space="preserve"> </w:t>
            </w:r>
            <w:r w:rsidRPr="001A3649">
              <w:rPr>
                <w:rFonts w:ascii="David" w:eastAsia="Calibri" w:hAnsi="David" w:cs="David"/>
                <w:color w:val="000000"/>
                <w:rtl/>
              </w:rPr>
              <w:t>בסמכות</w:t>
            </w:r>
            <w:r w:rsidRPr="001A3649">
              <w:rPr>
                <w:rFonts w:ascii="David" w:eastAsia="Calibri" w:hAnsi="David" w:cs="David" w:hint="cs"/>
                <w:color w:val="000000"/>
                <w:rtl/>
              </w:rPr>
              <w:t xml:space="preserve"> </w:t>
            </w:r>
            <w:r w:rsidRPr="001A3649">
              <w:rPr>
                <w:rFonts w:ascii="David" w:hAnsi="David" w:cs="David"/>
                <w:color w:val="000000"/>
                <w:rtl/>
              </w:rPr>
              <w:t>שופט</w:t>
            </w:r>
            <w:r w:rsidRPr="001A3649">
              <w:rPr>
                <w:rFonts w:ascii="David" w:hAnsi="David" w:cs="David" w:hint="cs"/>
                <w:color w:val="000000"/>
                <w:rtl/>
              </w:rPr>
              <w:t xml:space="preserve"> (סע"ש) -</w:t>
            </w:r>
            <w:r w:rsidRPr="001A3649">
              <w:rPr>
                <w:rFonts w:ascii="David" w:hAnsi="David" w:cs="David"/>
                <w:color w:val="000000"/>
                <w:rtl/>
              </w:rPr>
              <w:t xml:space="preserve"> הטרדה מינית</w:t>
            </w:r>
          </w:p>
        </w:tc>
        <w:tc>
          <w:tcPr>
            <w:tcW w:w="1280" w:type="dxa"/>
            <w:vAlign w:val="center"/>
          </w:tcPr>
          <w:p w14:paraId="1EE32607" w14:textId="77777777" w:rsidR="0041306D" w:rsidRPr="001A3649" w:rsidRDefault="0041306D" w:rsidP="002C4CFA">
            <w:pPr>
              <w:spacing w:line="240" w:lineRule="auto"/>
              <w:jc w:val="center"/>
              <w:rPr>
                <w:rFonts w:ascii="David" w:hAnsi="David" w:cs="David"/>
                <w:color w:val="000000"/>
              </w:rPr>
            </w:pPr>
            <w:r w:rsidRPr="001A3649">
              <w:rPr>
                <w:rFonts w:ascii="David" w:hAnsi="David" w:cs="David"/>
                <w:color w:val="000000"/>
              </w:rPr>
              <w:t>120</w:t>
            </w:r>
          </w:p>
        </w:tc>
        <w:tc>
          <w:tcPr>
            <w:tcW w:w="1701" w:type="dxa"/>
            <w:vAlign w:val="center"/>
          </w:tcPr>
          <w:p w14:paraId="0B368DF3" w14:textId="77777777" w:rsidR="0041306D" w:rsidRPr="001A3649" w:rsidRDefault="0041306D" w:rsidP="002C4CFA">
            <w:pPr>
              <w:pStyle w:val="TableParagraph"/>
              <w:spacing w:after="160" w:line="240" w:lineRule="auto"/>
              <w:ind w:left="190" w:right="176"/>
              <w:rPr>
                <w:rFonts w:ascii="David" w:eastAsia="Calibri" w:hAnsi="David" w:cs="David"/>
                <w:b/>
                <w:bCs/>
                <w:color w:val="000000"/>
              </w:rPr>
            </w:pPr>
            <w:r w:rsidRPr="001A3649">
              <w:rPr>
                <w:rFonts w:ascii="David" w:eastAsia="Calibri" w:hAnsi="David" w:cs="David"/>
                <w:b/>
                <w:bCs/>
                <w:color w:val="000000"/>
              </w:rPr>
              <w:t>13:21</w:t>
            </w:r>
          </w:p>
        </w:tc>
        <w:tc>
          <w:tcPr>
            <w:tcW w:w="1841" w:type="dxa"/>
            <w:vAlign w:val="center"/>
          </w:tcPr>
          <w:p w14:paraId="46F0479E" w14:textId="77777777" w:rsidR="0041306D" w:rsidRPr="001A3649" w:rsidRDefault="0041306D" w:rsidP="002C4CFA">
            <w:pPr>
              <w:pStyle w:val="TableParagraph"/>
              <w:spacing w:after="160" w:line="240" w:lineRule="auto"/>
              <w:ind w:left="136" w:right="123"/>
              <w:rPr>
                <w:rFonts w:ascii="David" w:eastAsia="Calibri" w:hAnsi="David" w:cs="David"/>
                <w:color w:val="000000"/>
              </w:rPr>
            </w:pPr>
            <w:r w:rsidRPr="001A3649">
              <w:rPr>
                <w:rFonts w:ascii="David" w:eastAsia="Calibri" w:hAnsi="David" w:cs="David"/>
                <w:color w:val="000000"/>
              </w:rPr>
              <w:t>-</w:t>
            </w:r>
          </w:p>
        </w:tc>
        <w:tc>
          <w:tcPr>
            <w:tcW w:w="849" w:type="dxa"/>
            <w:vAlign w:val="center"/>
          </w:tcPr>
          <w:p w14:paraId="0AF855EA" w14:textId="77777777" w:rsidR="0041306D" w:rsidRPr="001A3649" w:rsidRDefault="0041306D" w:rsidP="002C4CFA">
            <w:pPr>
              <w:pStyle w:val="TableParagraph"/>
              <w:spacing w:after="160" w:line="240" w:lineRule="auto"/>
              <w:ind w:right="93"/>
              <w:rPr>
                <w:rFonts w:ascii="David" w:eastAsia="Calibri" w:hAnsi="David" w:cs="David"/>
                <w:color w:val="000000"/>
              </w:rPr>
            </w:pPr>
            <w:r w:rsidRPr="001A3649">
              <w:rPr>
                <w:rFonts w:ascii="David" w:eastAsia="Calibri" w:hAnsi="David" w:cs="David"/>
                <w:color w:val="000000"/>
              </w:rPr>
              <w:t>-</w:t>
            </w:r>
          </w:p>
        </w:tc>
      </w:tr>
      <w:tr w:rsidR="0041306D" w:rsidRPr="001A3649" w14:paraId="15072DF0" w14:textId="77777777" w:rsidTr="002C4CFA">
        <w:tc>
          <w:tcPr>
            <w:tcW w:w="990" w:type="dxa"/>
            <w:shd w:val="clear" w:color="auto" w:fill="D9D9D9" w:themeFill="background1" w:themeFillShade="D9"/>
            <w:vAlign w:val="center"/>
          </w:tcPr>
          <w:p w14:paraId="6F816C69" w14:textId="77777777" w:rsidR="0041306D" w:rsidRPr="001A3649" w:rsidRDefault="0041306D" w:rsidP="002C4CFA">
            <w:pPr>
              <w:spacing w:line="240" w:lineRule="auto"/>
              <w:jc w:val="center"/>
              <w:rPr>
                <w:rFonts w:ascii="David" w:hAnsi="David" w:cs="David"/>
                <w:color w:val="000000"/>
              </w:rPr>
            </w:pPr>
            <w:r w:rsidRPr="001A3649">
              <w:rPr>
                <w:rFonts w:ascii="David" w:hAnsi="David" w:cs="David" w:hint="cs"/>
                <w:color w:val="000000"/>
                <w:rtl/>
              </w:rPr>
              <w:t>עבודה</w:t>
            </w:r>
          </w:p>
        </w:tc>
        <w:tc>
          <w:tcPr>
            <w:tcW w:w="2142" w:type="dxa"/>
            <w:shd w:val="clear" w:color="auto" w:fill="D9D9D9" w:themeFill="background1" w:themeFillShade="D9"/>
            <w:vAlign w:val="center"/>
          </w:tcPr>
          <w:p w14:paraId="5328D8E0" w14:textId="77777777" w:rsidR="0041306D" w:rsidRPr="001A3649" w:rsidRDefault="0041306D" w:rsidP="002C4CFA">
            <w:pPr>
              <w:spacing w:line="240" w:lineRule="auto"/>
              <w:rPr>
                <w:rFonts w:ascii="David" w:hAnsi="David" w:cs="David"/>
                <w:color w:val="000000"/>
                <w:rtl/>
              </w:rPr>
            </w:pPr>
            <w:r w:rsidRPr="001A3649">
              <w:rPr>
                <w:rFonts w:ascii="David" w:hAnsi="David" w:cs="David" w:hint="cs"/>
                <w:color w:val="000000"/>
                <w:rtl/>
              </w:rPr>
              <w:t>תיק פלילי עובדים זרים (הע"ז)</w:t>
            </w:r>
          </w:p>
        </w:tc>
        <w:tc>
          <w:tcPr>
            <w:tcW w:w="1280" w:type="dxa"/>
            <w:shd w:val="clear" w:color="auto" w:fill="D9D9D9" w:themeFill="background1" w:themeFillShade="D9"/>
            <w:vAlign w:val="center"/>
          </w:tcPr>
          <w:p w14:paraId="6114F665" w14:textId="77777777" w:rsidR="0041306D" w:rsidRPr="001A3649" w:rsidRDefault="0041306D" w:rsidP="002C4CFA">
            <w:pPr>
              <w:spacing w:line="240" w:lineRule="auto"/>
              <w:jc w:val="center"/>
              <w:rPr>
                <w:rFonts w:ascii="David" w:hAnsi="David" w:cs="David"/>
                <w:color w:val="000000"/>
              </w:rPr>
            </w:pPr>
            <w:r w:rsidRPr="001A3649">
              <w:rPr>
                <w:rFonts w:ascii="David" w:hAnsi="David" w:cs="David"/>
                <w:color w:val="000000"/>
              </w:rPr>
              <w:t>134</w:t>
            </w:r>
          </w:p>
        </w:tc>
        <w:tc>
          <w:tcPr>
            <w:tcW w:w="1701" w:type="dxa"/>
            <w:shd w:val="clear" w:color="auto" w:fill="D9D9D9" w:themeFill="background1" w:themeFillShade="D9"/>
            <w:vAlign w:val="center"/>
          </w:tcPr>
          <w:p w14:paraId="7C3D658B" w14:textId="77777777" w:rsidR="0041306D" w:rsidRPr="001A3649" w:rsidRDefault="0041306D" w:rsidP="002C4CFA">
            <w:pPr>
              <w:pStyle w:val="TableParagraph"/>
              <w:spacing w:after="160" w:line="240" w:lineRule="auto"/>
              <w:ind w:left="190" w:right="176"/>
              <w:rPr>
                <w:rFonts w:ascii="David" w:eastAsia="Calibri" w:hAnsi="David" w:cs="David"/>
                <w:b/>
                <w:bCs/>
                <w:color w:val="000000"/>
              </w:rPr>
            </w:pPr>
            <w:r w:rsidRPr="001A3649">
              <w:rPr>
                <w:rFonts w:ascii="David" w:eastAsia="Calibri" w:hAnsi="David" w:cs="David"/>
                <w:b/>
                <w:bCs/>
                <w:color w:val="000000"/>
              </w:rPr>
              <w:t>10:33</w:t>
            </w:r>
          </w:p>
        </w:tc>
        <w:tc>
          <w:tcPr>
            <w:tcW w:w="1841" w:type="dxa"/>
            <w:shd w:val="clear" w:color="auto" w:fill="D9D9D9" w:themeFill="background1" w:themeFillShade="D9"/>
            <w:vAlign w:val="center"/>
          </w:tcPr>
          <w:p w14:paraId="5A6D7211" w14:textId="77777777" w:rsidR="0041306D" w:rsidRPr="001A3649" w:rsidRDefault="0041306D" w:rsidP="002C4CFA">
            <w:pPr>
              <w:pStyle w:val="TableParagraph"/>
              <w:spacing w:after="160" w:line="240" w:lineRule="auto"/>
              <w:ind w:left="190" w:right="176"/>
              <w:rPr>
                <w:rFonts w:ascii="David" w:eastAsia="Calibri" w:hAnsi="David" w:cs="David"/>
                <w:color w:val="000000"/>
              </w:rPr>
            </w:pPr>
            <w:r w:rsidRPr="001A3649">
              <w:rPr>
                <w:rFonts w:ascii="David" w:eastAsia="Calibri" w:hAnsi="David" w:cs="David"/>
                <w:color w:val="000000"/>
              </w:rPr>
              <w:t>3:3</w:t>
            </w:r>
            <w:r w:rsidRPr="001A3649">
              <w:rPr>
                <w:rFonts w:ascii="David" w:eastAsia="Calibri" w:hAnsi="David" w:cs="David" w:hint="cs"/>
                <w:color w:val="000000"/>
                <w:rtl/>
              </w:rPr>
              <w:t>6</w:t>
            </w:r>
          </w:p>
        </w:tc>
        <w:tc>
          <w:tcPr>
            <w:tcW w:w="849" w:type="dxa"/>
            <w:shd w:val="clear" w:color="auto" w:fill="D9D9D9" w:themeFill="background1" w:themeFillShade="D9"/>
            <w:vAlign w:val="center"/>
          </w:tcPr>
          <w:p w14:paraId="33BDD7A9" w14:textId="18446609" w:rsidR="0041306D" w:rsidRPr="001A3649" w:rsidRDefault="00BF3027" w:rsidP="002C4CFA">
            <w:pPr>
              <w:pStyle w:val="TableParagraph"/>
              <w:spacing w:after="160" w:line="240" w:lineRule="auto"/>
              <w:jc w:val="left"/>
              <w:rPr>
                <w:rFonts w:ascii="David" w:eastAsia="Calibri" w:hAnsi="David" w:cs="David"/>
                <w:color w:val="000000"/>
              </w:rPr>
            </w:pPr>
            <w:r w:rsidRPr="001A3649">
              <w:rPr>
                <w:rFonts w:ascii="David" w:eastAsia="Calibri" w:hAnsi="David" w:cs="David" w:hint="cs"/>
                <w:color w:val="000000"/>
                <w:rtl/>
              </w:rPr>
              <w:t>6:57</w:t>
            </w:r>
            <w:r w:rsidR="0041306D" w:rsidRPr="001A3649">
              <w:rPr>
                <w:rFonts w:ascii="David" w:eastAsia="Calibri" w:hAnsi="David" w:cs="David" w:hint="cs"/>
                <w:color w:val="000000"/>
                <w:rtl/>
              </w:rPr>
              <w:t>+</w:t>
            </w:r>
            <w:r w:rsidRPr="001A3649">
              <w:rPr>
                <w:rFonts w:ascii="David" w:eastAsia="Calibri" w:hAnsi="David" w:cs="David" w:hint="cs"/>
                <w:color w:val="000000"/>
                <w:rtl/>
              </w:rPr>
              <w:t xml:space="preserve"> </w:t>
            </w:r>
          </w:p>
        </w:tc>
      </w:tr>
      <w:tr w:rsidR="0041306D" w:rsidRPr="001A3649" w14:paraId="22558652" w14:textId="77777777" w:rsidTr="002C4CFA">
        <w:tc>
          <w:tcPr>
            <w:tcW w:w="990" w:type="dxa"/>
            <w:vAlign w:val="center"/>
          </w:tcPr>
          <w:p w14:paraId="4F7A04DD" w14:textId="77777777" w:rsidR="0041306D" w:rsidRPr="001A3649" w:rsidRDefault="0041306D" w:rsidP="002C4CFA">
            <w:pPr>
              <w:spacing w:line="240" w:lineRule="auto"/>
              <w:jc w:val="center"/>
              <w:rPr>
                <w:rFonts w:ascii="David" w:hAnsi="David" w:cs="David"/>
                <w:color w:val="000000"/>
              </w:rPr>
            </w:pPr>
            <w:r w:rsidRPr="001A3649">
              <w:rPr>
                <w:rFonts w:ascii="David" w:hAnsi="David" w:cs="David" w:hint="cs"/>
                <w:color w:val="000000"/>
                <w:rtl/>
              </w:rPr>
              <w:t>עבודה</w:t>
            </w:r>
          </w:p>
        </w:tc>
        <w:tc>
          <w:tcPr>
            <w:tcW w:w="2142" w:type="dxa"/>
            <w:vAlign w:val="center"/>
          </w:tcPr>
          <w:p w14:paraId="1719605D" w14:textId="77777777" w:rsidR="0041306D" w:rsidRPr="001A3649" w:rsidRDefault="0041306D" w:rsidP="002C4CFA">
            <w:pPr>
              <w:spacing w:line="240" w:lineRule="auto"/>
              <w:rPr>
                <w:rFonts w:ascii="David" w:hAnsi="David" w:cs="David"/>
                <w:color w:val="000000"/>
                <w:rtl/>
              </w:rPr>
            </w:pPr>
            <w:r w:rsidRPr="001A3649">
              <w:rPr>
                <w:rFonts w:ascii="David" w:hAnsi="David" w:cs="David" w:hint="cs"/>
                <w:color w:val="000000"/>
                <w:rtl/>
              </w:rPr>
              <w:t>פסק דין הצהרתי (פ</w:t>
            </w:r>
            <w:r w:rsidRPr="001A3649">
              <w:rPr>
                <w:rFonts w:ascii="David" w:hAnsi="David" w:cs="David"/>
                <w:color w:val="000000"/>
                <w:rtl/>
              </w:rPr>
              <w:t>"</w:t>
            </w:r>
            <w:r w:rsidRPr="001A3649">
              <w:rPr>
                <w:rFonts w:ascii="David" w:hAnsi="David" w:cs="David" w:hint="cs"/>
                <w:color w:val="000000"/>
                <w:rtl/>
              </w:rPr>
              <w:t>ה)</w:t>
            </w:r>
          </w:p>
        </w:tc>
        <w:tc>
          <w:tcPr>
            <w:tcW w:w="1280" w:type="dxa"/>
            <w:vAlign w:val="center"/>
          </w:tcPr>
          <w:p w14:paraId="43928D9A" w14:textId="77777777" w:rsidR="0041306D" w:rsidRPr="001A3649" w:rsidRDefault="0041306D" w:rsidP="002C4CFA">
            <w:pPr>
              <w:spacing w:line="240" w:lineRule="auto"/>
              <w:jc w:val="center"/>
              <w:rPr>
                <w:rFonts w:ascii="David" w:hAnsi="David" w:cs="David"/>
                <w:color w:val="000000"/>
                <w:rtl/>
              </w:rPr>
            </w:pPr>
            <w:r w:rsidRPr="001A3649">
              <w:rPr>
                <w:rFonts w:ascii="David" w:hAnsi="David" w:cs="David"/>
                <w:color w:val="000000"/>
              </w:rPr>
              <w:t>777</w:t>
            </w:r>
          </w:p>
        </w:tc>
        <w:tc>
          <w:tcPr>
            <w:tcW w:w="1701" w:type="dxa"/>
            <w:vAlign w:val="center"/>
          </w:tcPr>
          <w:p w14:paraId="684F212A" w14:textId="77777777" w:rsidR="0041306D" w:rsidRPr="001A3649" w:rsidRDefault="0041306D" w:rsidP="002C4CFA">
            <w:pPr>
              <w:pStyle w:val="TableParagraph"/>
              <w:spacing w:after="160" w:line="240" w:lineRule="auto"/>
              <w:ind w:left="190" w:right="177"/>
              <w:rPr>
                <w:rFonts w:ascii="David" w:eastAsia="Calibri" w:hAnsi="David" w:cs="David"/>
                <w:b/>
                <w:bCs/>
                <w:color w:val="000000"/>
              </w:rPr>
            </w:pPr>
            <w:r w:rsidRPr="001A3649">
              <w:rPr>
                <w:rFonts w:ascii="David" w:eastAsia="Calibri" w:hAnsi="David" w:cs="David"/>
                <w:b/>
                <w:bCs/>
                <w:color w:val="000000"/>
              </w:rPr>
              <w:t>7:09</w:t>
            </w:r>
          </w:p>
        </w:tc>
        <w:tc>
          <w:tcPr>
            <w:tcW w:w="1841" w:type="dxa"/>
            <w:vAlign w:val="center"/>
          </w:tcPr>
          <w:p w14:paraId="3EB82864" w14:textId="77777777" w:rsidR="0041306D" w:rsidRPr="001A3649" w:rsidRDefault="0041306D" w:rsidP="002C4CFA">
            <w:pPr>
              <w:pStyle w:val="TableParagraph"/>
              <w:spacing w:after="160" w:line="240" w:lineRule="auto"/>
              <w:ind w:left="136" w:right="125"/>
              <w:rPr>
                <w:rFonts w:ascii="David" w:eastAsia="Calibri" w:hAnsi="David" w:cs="David"/>
                <w:color w:val="000000"/>
              </w:rPr>
            </w:pPr>
            <w:r w:rsidRPr="001A3649">
              <w:rPr>
                <w:rFonts w:ascii="David" w:eastAsia="Calibri" w:hAnsi="David" w:cs="David"/>
                <w:color w:val="000000"/>
              </w:rPr>
              <w:t>-</w:t>
            </w:r>
          </w:p>
        </w:tc>
        <w:tc>
          <w:tcPr>
            <w:tcW w:w="849" w:type="dxa"/>
            <w:vAlign w:val="center"/>
          </w:tcPr>
          <w:p w14:paraId="39F25FE4" w14:textId="77777777" w:rsidR="0041306D" w:rsidRPr="001A3649" w:rsidRDefault="0041306D" w:rsidP="002C4CFA">
            <w:pPr>
              <w:spacing w:line="240" w:lineRule="auto"/>
              <w:jc w:val="center"/>
              <w:rPr>
                <w:rFonts w:ascii="David" w:hAnsi="David" w:cs="David"/>
                <w:color w:val="000000"/>
                <w:rtl/>
              </w:rPr>
            </w:pPr>
            <w:r w:rsidRPr="001A3649">
              <w:rPr>
                <w:rFonts w:ascii="David" w:hAnsi="David" w:cs="David"/>
                <w:color w:val="000000"/>
              </w:rPr>
              <w:t>-</w:t>
            </w:r>
          </w:p>
        </w:tc>
      </w:tr>
      <w:tr w:rsidR="002C4CFA" w:rsidRPr="001A3649" w14:paraId="00E9FB02" w14:textId="77777777" w:rsidTr="002C4CFA">
        <w:tc>
          <w:tcPr>
            <w:tcW w:w="990" w:type="dxa"/>
            <w:shd w:val="clear" w:color="auto" w:fill="auto"/>
            <w:vAlign w:val="center"/>
          </w:tcPr>
          <w:p w14:paraId="20A43D89" w14:textId="30A5F516" w:rsidR="002C4CFA" w:rsidRPr="001A3649" w:rsidRDefault="002C4CFA" w:rsidP="002C4CFA">
            <w:pPr>
              <w:spacing w:line="240" w:lineRule="auto"/>
              <w:jc w:val="center"/>
              <w:rPr>
                <w:rFonts w:ascii="David" w:hAnsi="David" w:cs="David"/>
                <w:color w:val="000000"/>
                <w:rtl/>
              </w:rPr>
            </w:pPr>
            <w:r w:rsidRPr="001A3649">
              <w:rPr>
                <w:rFonts w:ascii="David" w:eastAsia="Times New Roman" w:hAnsi="David" w:cs="David"/>
                <w:b/>
                <w:bCs/>
                <w:color w:val="000000"/>
                <w:rtl/>
              </w:rPr>
              <w:lastRenderedPageBreak/>
              <w:t>ערכאה</w:t>
            </w:r>
          </w:p>
        </w:tc>
        <w:tc>
          <w:tcPr>
            <w:tcW w:w="2142" w:type="dxa"/>
            <w:shd w:val="clear" w:color="auto" w:fill="auto"/>
            <w:vAlign w:val="center"/>
          </w:tcPr>
          <w:p w14:paraId="57D977BA" w14:textId="69B827E1" w:rsidR="002C4CFA" w:rsidRPr="001A3649" w:rsidRDefault="002C4CFA" w:rsidP="002C4CFA">
            <w:pPr>
              <w:spacing w:line="240" w:lineRule="auto"/>
              <w:rPr>
                <w:rFonts w:ascii="David" w:hAnsi="David" w:cs="David"/>
                <w:color w:val="000000"/>
                <w:rtl/>
              </w:rPr>
            </w:pPr>
            <w:r w:rsidRPr="001A3649">
              <w:rPr>
                <w:rFonts w:ascii="David" w:eastAsia="Times New Roman" w:hAnsi="David" w:cs="David"/>
                <w:b/>
                <w:bCs/>
                <w:color w:val="000000"/>
                <w:rtl/>
              </w:rPr>
              <w:t>סוג תיק</w:t>
            </w:r>
          </w:p>
        </w:tc>
        <w:tc>
          <w:tcPr>
            <w:tcW w:w="1280" w:type="dxa"/>
            <w:shd w:val="clear" w:color="auto" w:fill="auto"/>
            <w:vAlign w:val="center"/>
          </w:tcPr>
          <w:p w14:paraId="4CD2F4EF" w14:textId="58DEC93D" w:rsidR="002C4CFA" w:rsidRPr="001A3649" w:rsidRDefault="002C4CFA" w:rsidP="002C4CFA">
            <w:pPr>
              <w:spacing w:line="240" w:lineRule="auto"/>
              <w:jc w:val="center"/>
              <w:rPr>
                <w:rFonts w:ascii="David" w:hAnsi="David" w:cs="David"/>
                <w:color w:val="000000"/>
              </w:rPr>
            </w:pPr>
            <w:r w:rsidRPr="001A3649">
              <w:rPr>
                <w:rFonts w:ascii="David" w:eastAsia="Times New Roman" w:hAnsi="David" w:cs="David" w:hint="cs"/>
                <w:b/>
                <w:bCs/>
                <w:color w:val="000000"/>
                <w:rtl/>
              </w:rPr>
              <w:t>מספר תיקים שנסגרו ב-2019</w:t>
            </w:r>
          </w:p>
        </w:tc>
        <w:tc>
          <w:tcPr>
            <w:tcW w:w="1701" w:type="dxa"/>
            <w:shd w:val="clear" w:color="auto" w:fill="auto"/>
            <w:vAlign w:val="center"/>
          </w:tcPr>
          <w:p w14:paraId="540B50E9" w14:textId="75DB1594" w:rsidR="002C4CFA" w:rsidRPr="001A3649" w:rsidRDefault="002C4CFA" w:rsidP="002C4CFA">
            <w:pPr>
              <w:pStyle w:val="TableParagraph"/>
              <w:spacing w:after="160" w:line="240" w:lineRule="auto"/>
              <w:ind w:right="176"/>
              <w:rPr>
                <w:rFonts w:ascii="David" w:eastAsia="Calibri" w:hAnsi="David" w:cs="David"/>
                <w:b/>
                <w:bCs/>
                <w:color w:val="000000"/>
              </w:rPr>
            </w:pPr>
            <w:r w:rsidRPr="001A3649">
              <w:rPr>
                <w:rFonts w:ascii="David" w:hAnsi="David" w:cs="David"/>
                <w:b/>
                <w:bCs/>
                <w:color w:val="000000"/>
                <w:rtl/>
              </w:rPr>
              <w:t>הזמן השיפוטי הממוצע הדרוש לט</w:t>
            </w:r>
            <w:r w:rsidRPr="001A3649">
              <w:rPr>
                <w:rFonts w:ascii="David" w:hAnsi="David" w:cs="David" w:hint="cs"/>
                <w:b/>
                <w:bCs/>
                <w:color w:val="000000"/>
                <w:rtl/>
              </w:rPr>
              <w:t>י</w:t>
            </w:r>
            <w:r w:rsidRPr="001A3649">
              <w:rPr>
                <w:rFonts w:ascii="David" w:hAnsi="David" w:cs="David"/>
                <w:b/>
                <w:bCs/>
                <w:color w:val="000000"/>
                <w:rtl/>
              </w:rPr>
              <w:t>פ</w:t>
            </w:r>
            <w:r w:rsidRPr="001A3649">
              <w:rPr>
                <w:rFonts w:ascii="David" w:hAnsi="David" w:cs="David" w:hint="cs"/>
                <w:b/>
                <w:bCs/>
                <w:color w:val="000000"/>
                <w:rtl/>
              </w:rPr>
              <w:t>ו</w:t>
            </w:r>
            <w:r w:rsidRPr="001A3649">
              <w:rPr>
                <w:rFonts w:ascii="David" w:hAnsi="David" w:cs="David"/>
                <w:b/>
                <w:bCs/>
                <w:color w:val="000000"/>
                <w:rtl/>
              </w:rPr>
              <w:t>ל בתיק</w:t>
            </w:r>
          </w:p>
        </w:tc>
        <w:tc>
          <w:tcPr>
            <w:tcW w:w="1841" w:type="dxa"/>
            <w:shd w:val="clear" w:color="auto" w:fill="auto"/>
            <w:vAlign w:val="center"/>
          </w:tcPr>
          <w:p w14:paraId="512BDD8D" w14:textId="262561C3" w:rsidR="002C4CFA" w:rsidRPr="001A3649" w:rsidRDefault="002C4CFA" w:rsidP="002C4CFA">
            <w:pPr>
              <w:pStyle w:val="TableParagraph"/>
              <w:spacing w:after="160" w:line="240" w:lineRule="auto"/>
              <w:ind w:left="-102" w:right="125"/>
              <w:rPr>
                <w:rFonts w:ascii="David" w:eastAsia="Calibri" w:hAnsi="David" w:cs="David"/>
                <w:color w:val="000000"/>
              </w:rPr>
            </w:pPr>
            <w:r w:rsidRPr="001A3649">
              <w:rPr>
                <w:rFonts w:ascii="David" w:hAnsi="David" w:cs="David"/>
                <w:b/>
                <w:bCs/>
                <w:color w:val="000000"/>
                <w:rtl/>
              </w:rPr>
              <w:t xml:space="preserve">הזמן השיפוטי </w:t>
            </w:r>
            <w:r w:rsidRPr="001A3649">
              <w:rPr>
                <w:rFonts w:ascii="David" w:hAnsi="David" w:cs="David" w:hint="cs"/>
                <w:b/>
                <w:bCs/>
                <w:color w:val="000000"/>
                <w:rtl/>
              </w:rPr>
              <w:t xml:space="preserve">הממוצע </w:t>
            </w:r>
            <w:r w:rsidRPr="001A3649">
              <w:rPr>
                <w:rFonts w:ascii="David" w:hAnsi="David" w:cs="David"/>
                <w:b/>
                <w:bCs/>
                <w:color w:val="000000"/>
                <w:rtl/>
              </w:rPr>
              <w:t xml:space="preserve">הדרוש לפי </w:t>
            </w:r>
            <w:r w:rsidRPr="001A3649">
              <w:rPr>
                <w:rFonts w:ascii="David" w:hAnsi="David" w:cs="David" w:hint="cs"/>
                <w:b/>
                <w:bCs/>
                <w:color w:val="000000"/>
                <w:rtl/>
              </w:rPr>
              <w:t>ה</w:t>
            </w:r>
            <w:r w:rsidRPr="001A3649">
              <w:rPr>
                <w:rFonts w:ascii="David" w:hAnsi="David" w:cs="David"/>
                <w:b/>
                <w:bCs/>
                <w:color w:val="000000"/>
                <w:rtl/>
              </w:rPr>
              <w:t>מחקר ה</w:t>
            </w:r>
            <w:r w:rsidRPr="001A3649">
              <w:rPr>
                <w:rFonts w:ascii="David" w:hAnsi="David" w:cs="David" w:hint="cs"/>
                <w:b/>
                <w:bCs/>
                <w:color w:val="000000"/>
                <w:rtl/>
              </w:rPr>
              <w:t>קודם</w:t>
            </w:r>
            <w:r w:rsidRPr="001A3649">
              <w:rPr>
                <w:rFonts w:cs="David"/>
                <w:color w:val="000000"/>
                <w:vertAlign w:val="superscript"/>
              </w:rPr>
              <w:footnoteReference w:id="35"/>
            </w:r>
          </w:p>
        </w:tc>
        <w:tc>
          <w:tcPr>
            <w:tcW w:w="849" w:type="dxa"/>
            <w:shd w:val="clear" w:color="auto" w:fill="auto"/>
            <w:vAlign w:val="center"/>
          </w:tcPr>
          <w:p w14:paraId="1ADF3B13" w14:textId="63DE8DEB" w:rsidR="002C4CFA" w:rsidRPr="001A3649" w:rsidRDefault="002C4CFA" w:rsidP="002C4CFA">
            <w:pPr>
              <w:spacing w:line="240" w:lineRule="auto"/>
              <w:jc w:val="center"/>
              <w:rPr>
                <w:rFonts w:ascii="David" w:hAnsi="David" w:cs="David"/>
                <w:color w:val="000000"/>
              </w:rPr>
            </w:pPr>
            <w:r w:rsidRPr="001A3649">
              <w:rPr>
                <w:rFonts w:ascii="David" w:eastAsia="Times New Roman" w:hAnsi="David" w:cs="David"/>
                <w:b/>
                <w:bCs/>
                <w:color w:val="000000"/>
                <w:rtl/>
              </w:rPr>
              <w:t>מגמת שינוי</w:t>
            </w:r>
          </w:p>
        </w:tc>
      </w:tr>
      <w:tr w:rsidR="002C4CFA" w:rsidRPr="001A3649" w14:paraId="6F813494" w14:textId="77777777" w:rsidTr="002C4CFA">
        <w:tc>
          <w:tcPr>
            <w:tcW w:w="990" w:type="dxa"/>
            <w:shd w:val="clear" w:color="auto" w:fill="D9D9D9" w:themeFill="background1" w:themeFillShade="D9"/>
            <w:vAlign w:val="center"/>
          </w:tcPr>
          <w:p w14:paraId="460EBF1F" w14:textId="77777777" w:rsidR="002C4CFA" w:rsidRPr="001A3649" w:rsidRDefault="002C4CFA" w:rsidP="002C4CFA">
            <w:pPr>
              <w:spacing w:line="240" w:lineRule="auto"/>
              <w:jc w:val="center"/>
              <w:rPr>
                <w:rFonts w:ascii="David" w:hAnsi="David" w:cs="David"/>
                <w:color w:val="000000"/>
              </w:rPr>
            </w:pPr>
            <w:r w:rsidRPr="001A3649">
              <w:rPr>
                <w:rFonts w:ascii="David" w:hAnsi="David" w:cs="David" w:hint="cs"/>
                <w:color w:val="000000"/>
                <w:rtl/>
              </w:rPr>
              <w:t>עבודה</w:t>
            </w:r>
          </w:p>
        </w:tc>
        <w:tc>
          <w:tcPr>
            <w:tcW w:w="2142" w:type="dxa"/>
            <w:shd w:val="clear" w:color="auto" w:fill="D9D9D9" w:themeFill="background1" w:themeFillShade="D9"/>
            <w:vAlign w:val="center"/>
          </w:tcPr>
          <w:p w14:paraId="3EC6DF1B" w14:textId="77777777" w:rsidR="002C4CFA" w:rsidRPr="001A3649" w:rsidRDefault="002C4CFA" w:rsidP="002C4CFA">
            <w:pPr>
              <w:spacing w:line="240" w:lineRule="auto"/>
              <w:rPr>
                <w:rFonts w:ascii="David" w:hAnsi="David" w:cs="David"/>
                <w:color w:val="000000"/>
                <w:rtl/>
              </w:rPr>
            </w:pPr>
            <w:r w:rsidRPr="001A3649">
              <w:rPr>
                <w:rFonts w:ascii="David" w:hAnsi="David" w:cs="David" w:hint="cs"/>
                <w:color w:val="000000"/>
                <w:rtl/>
              </w:rPr>
              <w:t>סכסוך עבודה בסמכות שופט (סע"ש)</w:t>
            </w:r>
          </w:p>
        </w:tc>
        <w:tc>
          <w:tcPr>
            <w:tcW w:w="1280" w:type="dxa"/>
            <w:shd w:val="clear" w:color="auto" w:fill="D9D9D9" w:themeFill="background1" w:themeFillShade="D9"/>
            <w:vAlign w:val="center"/>
          </w:tcPr>
          <w:p w14:paraId="6E69D64A" w14:textId="77777777" w:rsidR="002C4CFA" w:rsidRPr="001A3649" w:rsidRDefault="002C4CFA" w:rsidP="002C4CFA">
            <w:pPr>
              <w:spacing w:line="240" w:lineRule="auto"/>
              <w:jc w:val="center"/>
              <w:rPr>
                <w:rFonts w:ascii="David" w:hAnsi="David" w:cs="David"/>
                <w:color w:val="000000"/>
              </w:rPr>
            </w:pPr>
            <w:r w:rsidRPr="001A3649">
              <w:rPr>
                <w:rFonts w:ascii="David" w:hAnsi="David" w:cs="David"/>
                <w:color w:val="000000"/>
              </w:rPr>
              <w:t>19,316</w:t>
            </w:r>
          </w:p>
        </w:tc>
        <w:tc>
          <w:tcPr>
            <w:tcW w:w="1701" w:type="dxa"/>
            <w:shd w:val="clear" w:color="auto" w:fill="D9D9D9" w:themeFill="background1" w:themeFillShade="D9"/>
            <w:vAlign w:val="center"/>
          </w:tcPr>
          <w:p w14:paraId="6D4EB9A9" w14:textId="77777777" w:rsidR="002C4CFA" w:rsidRPr="001A3649" w:rsidRDefault="002C4CFA" w:rsidP="002C4CFA">
            <w:pPr>
              <w:pStyle w:val="TableParagraph"/>
              <w:spacing w:after="160" w:line="240" w:lineRule="auto"/>
              <w:ind w:left="190" w:right="176"/>
              <w:rPr>
                <w:rFonts w:ascii="David" w:eastAsia="Calibri" w:hAnsi="David" w:cs="David"/>
                <w:b/>
                <w:bCs/>
                <w:color w:val="000000"/>
              </w:rPr>
            </w:pPr>
            <w:r w:rsidRPr="001A3649">
              <w:rPr>
                <w:rFonts w:ascii="David" w:eastAsia="Calibri" w:hAnsi="David" w:cs="David"/>
                <w:b/>
                <w:bCs/>
                <w:color w:val="000000"/>
              </w:rPr>
              <w:t>4:04</w:t>
            </w:r>
          </w:p>
        </w:tc>
        <w:tc>
          <w:tcPr>
            <w:tcW w:w="1841" w:type="dxa"/>
            <w:shd w:val="clear" w:color="auto" w:fill="D9D9D9" w:themeFill="background1" w:themeFillShade="D9"/>
            <w:vAlign w:val="center"/>
          </w:tcPr>
          <w:p w14:paraId="00356E14" w14:textId="77777777" w:rsidR="002C4CFA" w:rsidRPr="001A3649" w:rsidRDefault="002C4CFA" w:rsidP="002C4CFA">
            <w:pPr>
              <w:pStyle w:val="TableParagraph"/>
              <w:spacing w:after="160" w:line="240" w:lineRule="auto"/>
              <w:ind w:left="136" w:right="125"/>
              <w:rPr>
                <w:rFonts w:ascii="David" w:eastAsia="Calibri" w:hAnsi="David" w:cs="David"/>
                <w:color w:val="000000"/>
              </w:rPr>
            </w:pPr>
            <w:r w:rsidRPr="001A3649">
              <w:rPr>
                <w:rFonts w:ascii="David" w:eastAsia="Calibri" w:hAnsi="David" w:cs="David"/>
                <w:color w:val="000000"/>
              </w:rPr>
              <w:t>-</w:t>
            </w:r>
          </w:p>
        </w:tc>
        <w:tc>
          <w:tcPr>
            <w:tcW w:w="849" w:type="dxa"/>
            <w:shd w:val="clear" w:color="auto" w:fill="D9D9D9" w:themeFill="background1" w:themeFillShade="D9"/>
            <w:vAlign w:val="center"/>
          </w:tcPr>
          <w:p w14:paraId="1CCC951D" w14:textId="77777777" w:rsidR="002C4CFA" w:rsidRPr="001A3649" w:rsidRDefault="002C4CFA" w:rsidP="002C4CFA">
            <w:pPr>
              <w:spacing w:line="240" w:lineRule="auto"/>
              <w:jc w:val="center"/>
              <w:rPr>
                <w:rFonts w:ascii="David" w:hAnsi="David" w:cs="David"/>
                <w:color w:val="000000"/>
                <w:rtl/>
              </w:rPr>
            </w:pPr>
            <w:r w:rsidRPr="001A3649">
              <w:rPr>
                <w:rFonts w:ascii="David" w:hAnsi="David" w:cs="David"/>
                <w:color w:val="000000"/>
              </w:rPr>
              <w:t>-</w:t>
            </w:r>
          </w:p>
        </w:tc>
      </w:tr>
      <w:tr w:rsidR="002C4CFA" w:rsidRPr="001A3649" w14:paraId="0E126573" w14:textId="77777777" w:rsidTr="002C4CFA">
        <w:tc>
          <w:tcPr>
            <w:tcW w:w="990" w:type="dxa"/>
            <w:vAlign w:val="center"/>
          </w:tcPr>
          <w:p w14:paraId="4ACAFF16" w14:textId="77777777" w:rsidR="002C4CFA" w:rsidRPr="001A3649" w:rsidRDefault="002C4CFA" w:rsidP="002C4CFA">
            <w:pPr>
              <w:spacing w:line="240" w:lineRule="auto"/>
              <w:jc w:val="center"/>
              <w:rPr>
                <w:rFonts w:ascii="David" w:hAnsi="David" w:cs="David"/>
                <w:color w:val="000000"/>
              </w:rPr>
            </w:pPr>
            <w:r w:rsidRPr="001A3649">
              <w:rPr>
                <w:rFonts w:ascii="David" w:hAnsi="David" w:cs="David" w:hint="cs"/>
                <w:color w:val="000000"/>
                <w:rtl/>
              </w:rPr>
              <w:t>עבודה</w:t>
            </w:r>
          </w:p>
        </w:tc>
        <w:tc>
          <w:tcPr>
            <w:tcW w:w="2142" w:type="dxa"/>
            <w:vAlign w:val="center"/>
          </w:tcPr>
          <w:p w14:paraId="68A8C96E" w14:textId="77777777" w:rsidR="002C4CFA" w:rsidRPr="001A3649" w:rsidRDefault="002C4CFA" w:rsidP="002C4CFA">
            <w:pPr>
              <w:spacing w:line="240" w:lineRule="auto"/>
              <w:rPr>
                <w:rFonts w:ascii="David" w:hAnsi="David" w:cs="David"/>
                <w:color w:val="000000"/>
                <w:rtl/>
              </w:rPr>
            </w:pPr>
            <w:r w:rsidRPr="001A3649">
              <w:rPr>
                <w:rFonts w:ascii="David" w:hAnsi="David" w:cs="David" w:hint="cs"/>
                <w:color w:val="000000"/>
                <w:rtl/>
              </w:rPr>
              <w:t xml:space="preserve">ביטוח לאומי (ב"ל) </w:t>
            </w:r>
            <w:r w:rsidRPr="001A3649">
              <w:rPr>
                <w:rFonts w:ascii="David" w:hAnsi="David" w:cs="David"/>
                <w:color w:val="000000"/>
                <w:rtl/>
              </w:rPr>
              <w:t>–</w:t>
            </w:r>
            <w:r w:rsidRPr="001A3649">
              <w:rPr>
                <w:rFonts w:ascii="David" w:hAnsi="David" w:cs="David" w:hint="cs"/>
                <w:color w:val="000000"/>
                <w:rtl/>
              </w:rPr>
              <w:t xml:space="preserve"> נפגעי עבודה</w:t>
            </w:r>
          </w:p>
        </w:tc>
        <w:tc>
          <w:tcPr>
            <w:tcW w:w="1280" w:type="dxa"/>
            <w:vAlign w:val="center"/>
          </w:tcPr>
          <w:p w14:paraId="2E446404" w14:textId="77777777" w:rsidR="002C4CFA" w:rsidRPr="001A3649" w:rsidRDefault="002C4CFA" w:rsidP="002C4CFA">
            <w:pPr>
              <w:spacing w:line="240" w:lineRule="auto"/>
              <w:jc w:val="center"/>
              <w:rPr>
                <w:rFonts w:ascii="David" w:hAnsi="David" w:cs="David"/>
                <w:color w:val="000000"/>
              </w:rPr>
            </w:pPr>
            <w:r w:rsidRPr="001A3649">
              <w:rPr>
                <w:rFonts w:ascii="David" w:hAnsi="David" w:cs="David"/>
                <w:color w:val="000000"/>
              </w:rPr>
              <w:t>4,167</w:t>
            </w:r>
          </w:p>
        </w:tc>
        <w:tc>
          <w:tcPr>
            <w:tcW w:w="1701" w:type="dxa"/>
            <w:vAlign w:val="center"/>
          </w:tcPr>
          <w:p w14:paraId="10BDCC3E" w14:textId="77777777" w:rsidR="002C4CFA" w:rsidRPr="001A3649" w:rsidRDefault="002C4CFA" w:rsidP="002C4CFA">
            <w:pPr>
              <w:pStyle w:val="TableParagraph"/>
              <w:spacing w:after="160" w:line="240" w:lineRule="auto"/>
              <w:ind w:left="190" w:right="176"/>
              <w:rPr>
                <w:rFonts w:ascii="David" w:eastAsia="Calibri" w:hAnsi="David" w:cs="David"/>
                <w:b/>
                <w:bCs/>
                <w:color w:val="000000"/>
              </w:rPr>
            </w:pPr>
            <w:r w:rsidRPr="001A3649">
              <w:rPr>
                <w:rFonts w:ascii="David" w:eastAsia="Calibri" w:hAnsi="David" w:cs="David"/>
                <w:b/>
                <w:bCs/>
                <w:color w:val="000000"/>
              </w:rPr>
              <w:t>3:29</w:t>
            </w:r>
          </w:p>
        </w:tc>
        <w:tc>
          <w:tcPr>
            <w:tcW w:w="1841" w:type="dxa"/>
            <w:vAlign w:val="center"/>
          </w:tcPr>
          <w:p w14:paraId="5C511162" w14:textId="77777777" w:rsidR="002C4CFA" w:rsidRPr="001A3649" w:rsidRDefault="002C4CFA" w:rsidP="002C4CFA">
            <w:pPr>
              <w:pStyle w:val="TableParagraph"/>
              <w:spacing w:after="160" w:line="240" w:lineRule="auto"/>
              <w:ind w:left="136" w:right="123"/>
              <w:rPr>
                <w:rFonts w:ascii="David" w:eastAsia="Calibri" w:hAnsi="David" w:cs="David"/>
                <w:color w:val="000000"/>
              </w:rPr>
            </w:pPr>
            <w:r w:rsidRPr="001A3649">
              <w:rPr>
                <w:rFonts w:ascii="David" w:eastAsia="Calibri" w:hAnsi="David" w:cs="David"/>
                <w:color w:val="000000"/>
              </w:rPr>
              <w:t>3:24</w:t>
            </w:r>
          </w:p>
        </w:tc>
        <w:tc>
          <w:tcPr>
            <w:tcW w:w="849" w:type="dxa"/>
            <w:vAlign w:val="center"/>
          </w:tcPr>
          <w:p w14:paraId="2D14B28C" w14:textId="77777777" w:rsidR="002C4CFA" w:rsidRPr="001A3649" w:rsidRDefault="002C4CFA" w:rsidP="002C4CFA">
            <w:pPr>
              <w:pStyle w:val="TableParagraph"/>
              <w:spacing w:after="160" w:line="240" w:lineRule="auto"/>
              <w:ind w:right="93"/>
              <w:rPr>
                <w:rFonts w:ascii="David" w:eastAsia="Calibri" w:hAnsi="David" w:cs="David"/>
                <w:color w:val="000000"/>
              </w:rPr>
            </w:pPr>
            <w:r w:rsidRPr="001A3649">
              <w:rPr>
                <w:rFonts w:ascii="David" w:eastAsia="Calibri" w:hAnsi="David" w:cs="David" w:hint="cs"/>
                <w:color w:val="000000"/>
                <w:rtl/>
              </w:rPr>
              <w:t>0:05+</w:t>
            </w:r>
          </w:p>
        </w:tc>
      </w:tr>
      <w:tr w:rsidR="002C4CFA" w:rsidRPr="001A3649" w14:paraId="6B6B2C00" w14:textId="77777777" w:rsidTr="002C4CFA">
        <w:tc>
          <w:tcPr>
            <w:tcW w:w="990" w:type="dxa"/>
            <w:shd w:val="clear" w:color="auto" w:fill="D9D9D9" w:themeFill="background1" w:themeFillShade="D9"/>
            <w:vAlign w:val="center"/>
          </w:tcPr>
          <w:p w14:paraId="72CAB647" w14:textId="77777777" w:rsidR="002C4CFA" w:rsidRPr="001A3649" w:rsidRDefault="002C4CFA" w:rsidP="002C4CFA">
            <w:pPr>
              <w:spacing w:line="240" w:lineRule="auto"/>
              <w:jc w:val="center"/>
              <w:rPr>
                <w:rFonts w:ascii="David" w:hAnsi="David" w:cs="David"/>
                <w:color w:val="000000"/>
              </w:rPr>
            </w:pPr>
            <w:r w:rsidRPr="001A3649">
              <w:rPr>
                <w:rFonts w:ascii="David" w:hAnsi="David" w:cs="David" w:hint="cs"/>
                <w:color w:val="000000"/>
                <w:rtl/>
              </w:rPr>
              <w:t>עבודה</w:t>
            </w:r>
          </w:p>
        </w:tc>
        <w:tc>
          <w:tcPr>
            <w:tcW w:w="2142" w:type="dxa"/>
            <w:shd w:val="clear" w:color="auto" w:fill="D9D9D9" w:themeFill="background1" w:themeFillShade="D9"/>
            <w:vAlign w:val="center"/>
          </w:tcPr>
          <w:p w14:paraId="65BFC943" w14:textId="77777777" w:rsidR="002C4CFA" w:rsidRPr="001A3649" w:rsidRDefault="002C4CFA" w:rsidP="002C4CFA">
            <w:pPr>
              <w:spacing w:line="240" w:lineRule="auto"/>
              <w:rPr>
                <w:rFonts w:ascii="David" w:hAnsi="David" w:cs="David"/>
                <w:color w:val="000000"/>
                <w:rtl/>
              </w:rPr>
            </w:pPr>
            <w:r w:rsidRPr="001A3649">
              <w:rPr>
                <w:rFonts w:ascii="David" w:hAnsi="David" w:cs="David" w:hint="cs"/>
                <w:color w:val="000000"/>
                <w:rtl/>
              </w:rPr>
              <w:t>ערעור על החלטות רשם (ע</w:t>
            </w:r>
            <w:r w:rsidRPr="001A3649">
              <w:rPr>
                <w:rFonts w:ascii="David" w:hAnsi="David" w:cs="David"/>
                <w:color w:val="000000"/>
                <w:rtl/>
              </w:rPr>
              <w:t>"</w:t>
            </w:r>
            <w:r w:rsidRPr="001A3649">
              <w:rPr>
                <w:rFonts w:ascii="David" w:hAnsi="David" w:cs="David" w:hint="cs"/>
                <w:color w:val="000000"/>
                <w:rtl/>
              </w:rPr>
              <w:t>ר)</w:t>
            </w:r>
          </w:p>
        </w:tc>
        <w:tc>
          <w:tcPr>
            <w:tcW w:w="1280" w:type="dxa"/>
            <w:shd w:val="clear" w:color="auto" w:fill="D9D9D9" w:themeFill="background1" w:themeFillShade="D9"/>
            <w:vAlign w:val="center"/>
          </w:tcPr>
          <w:p w14:paraId="0998F8C5" w14:textId="77777777" w:rsidR="002C4CFA" w:rsidRPr="001A3649" w:rsidRDefault="002C4CFA" w:rsidP="002C4CFA">
            <w:pPr>
              <w:spacing w:line="240" w:lineRule="auto"/>
              <w:jc w:val="center"/>
              <w:rPr>
                <w:rFonts w:ascii="David" w:hAnsi="David" w:cs="David"/>
                <w:color w:val="000000"/>
              </w:rPr>
            </w:pPr>
            <w:r w:rsidRPr="001A3649">
              <w:rPr>
                <w:rFonts w:ascii="David" w:hAnsi="David" w:cs="David"/>
                <w:color w:val="000000"/>
              </w:rPr>
              <w:t>122</w:t>
            </w:r>
          </w:p>
        </w:tc>
        <w:tc>
          <w:tcPr>
            <w:tcW w:w="1701" w:type="dxa"/>
            <w:shd w:val="clear" w:color="auto" w:fill="D9D9D9" w:themeFill="background1" w:themeFillShade="D9"/>
            <w:vAlign w:val="center"/>
          </w:tcPr>
          <w:p w14:paraId="4C8C407C" w14:textId="77777777" w:rsidR="002C4CFA" w:rsidRPr="001A3649" w:rsidRDefault="002C4CFA" w:rsidP="002C4CFA">
            <w:pPr>
              <w:pStyle w:val="TableParagraph"/>
              <w:spacing w:after="160" w:line="240" w:lineRule="auto"/>
              <w:ind w:left="190" w:right="176"/>
              <w:rPr>
                <w:rFonts w:ascii="David" w:eastAsia="Calibri" w:hAnsi="David" w:cs="David"/>
                <w:b/>
                <w:bCs/>
                <w:color w:val="000000"/>
              </w:rPr>
            </w:pPr>
            <w:r w:rsidRPr="001A3649">
              <w:rPr>
                <w:rFonts w:ascii="David" w:eastAsia="Calibri" w:hAnsi="David" w:cs="David"/>
                <w:b/>
                <w:bCs/>
                <w:color w:val="000000"/>
              </w:rPr>
              <w:t>2:28</w:t>
            </w:r>
          </w:p>
        </w:tc>
        <w:tc>
          <w:tcPr>
            <w:tcW w:w="1841" w:type="dxa"/>
            <w:shd w:val="clear" w:color="auto" w:fill="D9D9D9" w:themeFill="background1" w:themeFillShade="D9"/>
            <w:vAlign w:val="center"/>
          </w:tcPr>
          <w:p w14:paraId="3B92A140" w14:textId="77777777" w:rsidR="002C4CFA" w:rsidRPr="001A3649" w:rsidRDefault="002C4CFA" w:rsidP="002C4CFA">
            <w:pPr>
              <w:pStyle w:val="TableParagraph"/>
              <w:spacing w:after="160" w:line="240" w:lineRule="auto"/>
              <w:ind w:left="136" w:right="123"/>
              <w:rPr>
                <w:rFonts w:ascii="David" w:eastAsia="Calibri" w:hAnsi="David" w:cs="David"/>
                <w:color w:val="000000"/>
              </w:rPr>
            </w:pPr>
            <w:r w:rsidRPr="001A3649">
              <w:rPr>
                <w:rFonts w:ascii="David" w:eastAsia="Calibri" w:hAnsi="David" w:cs="David"/>
                <w:color w:val="000000"/>
              </w:rPr>
              <w:t>1:21</w:t>
            </w:r>
          </w:p>
        </w:tc>
        <w:tc>
          <w:tcPr>
            <w:tcW w:w="849" w:type="dxa"/>
            <w:shd w:val="clear" w:color="auto" w:fill="D9D9D9" w:themeFill="background1" w:themeFillShade="D9"/>
            <w:vAlign w:val="center"/>
          </w:tcPr>
          <w:p w14:paraId="0340E3AE" w14:textId="77777777" w:rsidR="002C4CFA" w:rsidRPr="001A3649" w:rsidRDefault="002C4CFA" w:rsidP="002C4CFA">
            <w:pPr>
              <w:pStyle w:val="TableParagraph"/>
              <w:spacing w:after="160" w:line="240" w:lineRule="auto"/>
              <w:ind w:right="93"/>
              <w:rPr>
                <w:rFonts w:ascii="David" w:eastAsia="Calibri" w:hAnsi="David" w:cs="David"/>
                <w:color w:val="000000"/>
              </w:rPr>
            </w:pPr>
            <w:r w:rsidRPr="001A3649">
              <w:rPr>
                <w:rFonts w:ascii="David" w:eastAsia="Calibri" w:hAnsi="David" w:cs="David" w:hint="cs"/>
                <w:color w:val="000000"/>
                <w:rtl/>
              </w:rPr>
              <w:t>1:07+</w:t>
            </w:r>
          </w:p>
        </w:tc>
      </w:tr>
      <w:tr w:rsidR="002C4CFA" w:rsidRPr="001A3649" w14:paraId="325AA22D" w14:textId="77777777" w:rsidTr="002C4CFA">
        <w:tc>
          <w:tcPr>
            <w:tcW w:w="990" w:type="dxa"/>
            <w:vAlign w:val="center"/>
          </w:tcPr>
          <w:p w14:paraId="0983F923" w14:textId="77777777" w:rsidR="002C4CFA" w:rsidRPr="001A3649" w:rsidRDefault="002C4CFA" w:rsidP="002C4CFA">
            <w:pPr>
              <w:spacing w:line="240" w:lineRule="auto"/>
              <w:jc w:val="center"/>
              <w:rPr>
                <w:rFonts w:ascii="David" w:hAnsi="David" w:cs="David"/>
                <w:color w:val="000000"/>
              </w:rPr>
            </w:pPr>
            <w:r w:rsidRPr="001A3649">
              <w:rPr>
                <w:rFonts w:ascii="David" w:hAnsi="David" w:cs="David" w:hint="cs"/>
                <w:color w:val="000000"/>
                <w:rtl/>
              </w:rPr>
              <w:t>עבודה</w:t>
            </w:r>
          </w:p>
        </w:tc>
        <w:tc>
          <w:tcPr>
            <w:tcW w:w="2142" w:type="dxa"/>
            <w:vAlign w:val="center"/>
          </w:tcPr>
          <w:p w14:paraId="26F964F2" w14:textId="77777777" w:rsidR="002C4CFA" w:rsidRPr="001A3649" w:rsidRDefault="002C4CFA" w:rsidP="002C4CFA">
            <w:pPr>
              <w:spacing w:line="240" w:lineRule="auto"/>
              <w:rPr>
                <w:rFonts w:ascii="David" w:hAnsi="David" w:cs="David"/>
                <w:color w:val="000000"/>
                <w:rtl/>
              </w:rPr>
            </w:pPr>
            <w:r w:rsidRPr="001A3649">
              <w:rPr>
                <w:rFonts w:ascii="David" w:hAnsi="David" w:cs="David" w:hint="cs"/>
                <w:color w:val="000000"/>
                <w:rtl/>
              </w:rPr>
              <w:t>ערעור לפי חוק (על</w:t>
            </w:r>
            <w:r w:rsidRPr="001A3649">
              <w:rPr>
                <w:rFonts w:ascii="David" w:hAnsi="David" w:cs="David"/>
                <w:color w:val="000000"/>
                <w:rtl/>
              </w:rPr>
              <w:t>"ח</w:t>
            </w:r>
            <w:r w:rsidRPr="001A3649">
              <w:rPr>
                <w:rFonts w:ascii="David" w:hAnsi="David" w:cs="David" w:hint="cs"/>
                <w:color w:val="000000"/>
                <w:rtl/>
              </w:rPr>
              <w:t>)</w:t>
            </w:r>
          </w:p>
        </w:tc>
        <w:tc>
          <w:tcPr>
            <w:tcW w:w="1280" w:type="dxa"/>
            <w:vAlign w:val="center"/>
          </w:tcPr>
          <w:p w14:paraId="48A2585A" w14:textId="77777777" w:rsidR="002C4CFA" w:rsidRPr="001A3649" w:rsidRDefault="002C4CFA" w:rsidP="002C4CFA">
            <w:pPr>
              <w:spacing w:line="240" w:lineRule="auto"/>
              <w:jc w:val="center"/>
              <w:rPr>
                <w:rFonts w:ascii="David" w:hAnsi="David" w:cs="David"/>
                <w:color w:val="000000"/>
                <w:rtl/>
              </w:rPr>
            </w:pPr>
            <w:r w:rsidRPr="001A3649">
              <w:rPr>
                <w:rFonts w:ascii="David" w:hAnsi="David" w:cs="David"/>
                <w:color w:val="000000"/>
              </w:rPr>
              <w:t>372</w:t>
            </w:r>
          </w:p>
        </w:tc>
        <w:tc>
          <w:tcPr>
            <w:tcW w:w="1701" w:type="dxa"/>
            <w:vAlign w:val="center"/>
          </w:tcPr>
          <w:p w14:paraId="172456A1" w14:textId="77777777" w:rsidR="002C4CFA" w:rsidRPr="001A3649" w:rsidRDefault="002C4CFA" w:rsidP="002C4CFA">
            <w:pPr>
              <w:pStyle w:val="TableParagraph"/>
              <w:spacing w:after="160" w:line="240" w:lineRule="auto"/>
              <w:ind w:left="190" w:right="176"/>
              <w:rPr>
                <w:rFonts w:ascii="David" w:eastAsia="Calibri" w:hAnsi="David" w:cs="David"/>
                <w:b/>
                <w:bCs/>
                <w:color w:val="000000"/>
              </w:rPr>
            </w:pPr>
            <w:r w:rsidRPr="001A3649">
              <w:rPr>
                <w:rFonts w:ascii="David" w:eastAsia="Calibri" w:hAnsi="David" w:cs="David"/>
                <w:b/>
                <w:bCs/>
                <w:color w:val="000000"/>
              </w:rPr>
              <w:t>1:56</w:t>
            </w:r>
          </w:p>
        </w:tc>
        <w:tc>
          <w:tcPr>
            <w:tcW w:w="1841" w:type="dxa"/>
            <w:vAlign w:val="center"/>
          </w:tcPr>
          <w:p w14:paraId="681C2179" w14:textId="77777777" w:rsidR="002C4CFA" w:rsidRPr="001A3649" w:rsidRDefault="002C4CFA" w:rsidP="002C4CFA">
            <w:pPr>
              <w:pStyle w:val="TableParagraph"/>
              <w:spacing w:after="160" w:line="240" w:lineRule="auto"/>
              <w:ind w:left="136" w:right="125"/>
              <w:rPr>
                <w:rFonts w:ascii="David" w:eastAsia="Calibri" w:hAnsi="David" w:cs="David"/>
                <w:color w:val="000000"/>
              </w:rPr>
            </w:pPr>
            <w:r w:rsidRPr="001A3649">
              <w:rPr>
                <w:rFonts w:ascii="David" w:eastAsia="Calibri" w:hAnsi="David" w:cs="David"/>
                <w:color w:val="000000"/>
              </w:rPr>
              <w:t>1:30</w:t>
            </w:r>
          </w:p>
        </w:tc>
        <w:tc>
          <w:tcPr>
            <w:tcW w:w="849" w:type="dxa"/>
            <w:vAlign w:val="center"/>
          </w:tcPr>
          <w:p w14:paraId="1A3D07A2" w14:textId="77777777" w:rsidR="002C4CFA" w:rsidRPr="001A3649" w:rsidRDefault="002C4CFA" w:rsidP="002C4CFA">
            <w:pPr>
              <w:spacing w:line="240" w:lineRule="auto"/>
              <w:jc w:val="center"/>
              <w:rPr>
                <w:rFonts w:ascii="David" w:hAnsi="David" w:cs="David"/>
                <w:color w:val="000000"/>
                <w:rtl/>
              </w:rPr>
            </w:pPr>
            <w:r w:rsidRPr="001A3649">
              <w:rPr>
                <w:rFonts w:ascii="David" w:hAnsi="David" w:cs="David"/>
                <w:color w:val="000000"/>
              </w:rPr>
              <w:t>+0:26</w:t>
            </w:r>
          </w:p>
        </w:tc>
      </w:tr>
      <w:tr w:rsidR="002C4CFA" w:rsidRPr="001A3649" w14:paraId="6B1518B0" w14:textId="77777777" w:rsidTr="002C4CFA">
        <w:tc>
          <w:tcPr>
            <w:tcW w:w="990" w:type="dxa"/>
            <w:shd w:val="clear" w:color="auto" w:fill="D9D9D9" w:themeFill="background1" w:themeFillShade="D9"/>
            <w:vAlign w:val="center"/>
          </w:tcPr>
          <w:p w14:paraId="5A0C6765" w14:textId="77777777" w:rsidR="002C4CFA" w:rsidRPr="001A3649" w:rsidRDefault="002C4CFA" w:rsidP="002C4CFA">
            <w:pPr>
              <w:spacing w:line="240" w:lineRule="auto"/>
              <w:jc w:val="center"/>
              <w:rPr>
                <w:rFonts w:ascii="David" w:hAnsi="David" w:cs="David"/>
                <w:color w:val="000000"/>
              </w:rPr>
            </w:pPr>
            <w:r w:rsidRPr="001A3649">
              <w:rPr>
                <w:rFonts w:ascii="David" w:hAnsi="David" w:cs="David" w:hint="cs"/>
                <w:color w:val="000000"/>
                <w:rtl/>
              </w:rPr>
              <w:t>עבודה</w:t>
            </w:r>
          </w:p>
        </w:tc>
        <w:tc>
          <w:tcPr>
            <w:tcW w:w="2142" w:type="dxa"/>
            <w:shd w:val="clear" w:color="auto" w:fill="D9D9D9" w:themeFill="background1" w:themeFillShade="D9"/>
            <w:vAlign w:val="center"/>
          </w:tcPr>
          <w:p w14:paraId="28E77FBC" w14:textId="77777777" w:rsidR="002C4CFA" w:rsidRPr="001A3649" w:rsidRDefault="002C4CFA" w:rsidP="002C4CFA">
            <w:pPr>
              <w:spacing w:line="240" w:lineRule="auto"/>
              <w:rPr>
                <w:rFonts w:ascii="David" w:hAnsi="David" w:cs="David"/>
                <w:color w:val="000000"/>
                <w:rtl/>
              </w:rPr>
            </w:pPr>
            <w:r w:rsidRPr="001A3649">
              <w:rPr>
                <w:rFonts w:ascii="David" w:hAnsi="David" w:cs="David" w:hint="cs"/>
                <w:color w:val="000000"/>
                <w:rtl/>
              </w:rPr>
              <w:t>חוק ביטוח בריאות ממלכתי (חב"ר)</w:t>
            </w:r>
          </w:p>
        </w:tc>
        <w:tc>
          <w:tcPr>
            <w:tcW w:w="1280" w:type="dxa"/>
            <w:shd w:val="clear" w:color="auto" w:fill="D9D9D9" w:themeFill="background1" w:themeFillShade="D9"/>
            <w:vAlign w:val="center"/>
          </w:tcPr>
          <w:p w14:paraId="541C144E" w14:textId="77777777" w:rsidR="002C4CFA" w:rsidRPr="001A3649" w:rsidRDefault="002C4CFA" w:rsidP="002C4CFA">
            <w:pPr>
              <w:spacing w:line="240" w:lineRule="auto"/>
              <w:jc w:val="center"/>
              <w:rPr>
                <w:rFonts w:ascii="David" w:hAnsi="David" w:cs="David"/>
                <w:color w:val="000000"/>
              </w:rPr>
            </w:pPr>
            <w:r w:rsidRPr="001A3649">
              <w:rPr>
                <w:rFonts w:ascii="David" w:hAnsi="David" w:cs="David"/>
                <w:color w:val="000000"/>
              </w:rPr>
              <w:t>162</w:t>
            </w:r>
          </w:p>
        </w:tc>
        <w:tc>
          <w:tcPr>
            <w:tcW w:w="1701" w:type="dxa"/>
            <w:shd w:val="clear" w:color="auto" w:fill="D9D9D9" w:themeFill="background1" w:themeFillShade="D9"/>
            <w:vAlign w:val="center"/>
          </w:tcPr>
          <w:p w14:paraId="5443D957" w14:textId="77777777" w:rsidR="002C4CFA" w:rsidRPr="001A3649" w:rsidRDefault="002C4CFA" w:rsidP="002C4CFA">
            <w:pPr>
              <w:pStyle w:val="TableParagraph"/>
              <w:spacing w:after="160" w:line="240" w:lineRule="auto"/>
              <w:ind w:left="190" w:right="176"/>
              <w:rPr>
                <w:rFonts w:ascii="David" w:eastAsia="Calibri" w:hAnsi="David" w:cs="David"/>
                <w:b/>
                <w:bCs/>
                <w:color w:val="000000"/>
              </w:rPr>
            </w:pPr>
            <w:r w:rsidRPr="001A3649">
              <w:rPr>
                <w:rFonts w:ascii="David" w:eastAsia="Calibri" w:hAnsi="David" w:cs="David"/>
                <w:b/>
                <w:bCs/>
                <w:color w:val="000000"/>
              </w:rPr>
              <w:t>1:4</w:t>
            </w:r>
            <w:r w:rsidRPr="001A3649">
              <w:rPr>
                <w:rFonts w:ascii="David" w:eastAsia="Calibri" w:hAnsi="David" w:cs="David" w:hint="cs"/>
                <w:b/>
                <w:bCs/>
                <w:color w:val="000000"/>
                <w:rtl/>
              </w:rPr>
              <w:t>9</w:t>
            </w:r>
          </w:p>
        </w:tc>
        <w:tc>
          <w:tcPr>
            <w:tcW w:w="1841" w:type="dxa"/>
            <w:shd w:val="clear" w:color="auto" w:fill="D9D9D9" w:themeFill="background1" w:themeFillShade="D9"/>
            <w:vAlign w:val="center"/>
          </w:tcPr>
          <w:p w14:paraId="49F5B2C0" w14:textId="77777777" w:rsidR="002C4CFA" w:rsidRPr="001A3649" w:rsidRDefault="002C4CFA" w:rsidP="002C4CFA">
            <w:pPr>
              <w:pStyle w:val="TableParagraph"/>
              <w:spacing w:after="160" w:line="240" w:lineRule="auto"/>
              <w:ind w:left="136" w:right="125"/>
              <w:rPr>
                <w:rFonts w:ascii="David" w:eastAsia="Calibri" w:hAnsi="David" w:cs="David"/>
                <w:color w:val="000000"/>
              </w:rPr>
            </w:pPr>
            <w:r w:rsidRPr="001A3649">
              <w:rPr>
                <w:rFonts w:ascii="David" w:eastAsia="Calibri" w:hAnsi="David" w:cs="David"/>
                <w:color w:val="000000"/>
              </w:rPr>
              <w:t>3:52</w:t>
            </w:r>
          </w:p>
        </w:tc>
        <w:tc>
          <w:tcPr>
            <w:tcW w:w="849" w:type="dxa"/>
            <w:shd w:val="clear" w:color="auto" w:fill="D9D9D9" w:themeFill="background1" w:themeFillShade="D9"/>
            <w:vAlign w:val="center"/>
          </w:tcPr>
          <w:p w14:paraId="71D748E9" w14:textId="77777777" w:rsidR="002C4CFA" w:rsidRPr="001A3649" w:rsidRDefault="002C4CFA" w:rsidP="002C4CFA">
            <w:pPr>
              <w:spacing w:line="240" w:lineRule="auto"/>
              <w:jc w:val="center"/>
              <w:rPr>
                <w:rFonts w:ascii="David" w:hAnsi="David" w:cs="David"/>
                <w:color w:val="000000"/>
                <w:rtl/>
              </w:rPr>
            </w:pPr>
            <w:r w:rsidRPr="001A3649">
              <w:rPr>
                <w:rFonts w:ascii="David" w:hAnsi="David" w:cs="David" w:hint="cs"/>
                <w:color w:val="000000"/>
                <w:rtl/>
              </w:rPr>
              <w:t>2:03-</w:t>
            </w:r>
          </w:p>
        </w:tc>
      </w:tr>
      <w:tr w:rsidR="002C4CFA" w:rsidRPr="001A3649" w14:paraId="733D6357" w14:textId="77777777" w:rsidTr="002C4CFA">
        <w:tc>
          <w:tcPr>
            <w:tcW w:w="990" w:type="dxa"/>
            <w:vAlign w:val="center"/>
          </w:tcPr>
          <w:p w14:paraId="2361167E" w14:textId="77777777" w:rsidR="002C4CFA" w:rsidRPr="001A3649" w:rsidRDefault="002C4CFA" w:rsidP="002C4CFA">
            <w:pPr>
              <w:spacing w:line="240" w:lineRule="auto"/>
              <w:jc w:val="center"/>
              <w:rPr>
                <w:rFonts w:ascii="David" w:hAnsi="David" w:cs="David"/>
                <w:color w:val="000000"/>
              </w:rPr>
            </w:pPr>
            <w:r w:rsidRPr="001A3649">
              <w:rPr>
                <w:rFonts w:ascii="David" w:hAnsi="David" w:cs="David" w:hint="cs"/>
                <w:color w:val="000000"/>
                <w:rtl/>
              </w:rPr>
              <w:t>עבודה</w:t>
            </w:r>
          </w:p>
        </w:tc>
        <w:tc>
          <w:tcPr>
            <w:tcW w:w="2142" w:type="dxa"/>
            <w:vAlign w:val="center"/>
          </w:tcPr>
          <w:p w14:paraId="5EA8B1AB" w14:textId="77777777" w:rsidR="002C4CFA" w:rsidRPr="001A3649" w:rsidRDefault="002C4CFA" w:rsidP="002C4CFA">
            <w:pPr>
              <w:spacing w:line="240" w:lineRule="auto"/>
              <w:rPr>
                <w:rFonts w:ascii="David" w:hAnsi="David" w:cs="David"/>
                <w:color w:val="000000"/>
                <w:rtl/>
              </w:rPr>
            </w:pPr>
            <w:r w:rsidRPr="001A3649">
              <w:rPr>
                <w:rFonts w:ascii="David" w:hAnsi="David" w:cs="David" w:hint="cs"/>
                <w:color w:val="000000"/>
                <w:rtl/>
              </w:rPr>
              <w:t>סכסוך עבודה (</w:t>
            </w:r>
            <w:r w:rsidRPr="001A3649">
              <w:rPr>
                <w:rFonts w:ascii="David" w:hAnsi="David" w:cs="David"/>
                <w:color w:val="000000"/>
                <w:rtl/>
              </w:rPr>
              <w:t>ס"</w:t>
            </w:r>
            <w:r w:rsidRPr="001A3649">
              <w:rPr>
                <w:rFonts w:ascii="David" w:hAnsi="David" w:cs="David" w:hint="cs"/>
                <w:color w:val="000000"/>
                <w:rtl/>
              </w:rPr>
              <w:t>ע)</w:t>
            </w:r>
          </w:p>
        </w:tc>
        <w:tc>
          <w:tcPr>
            <w:tcW w:w="1280" w:type="dxa"/>
            <w:vAlign w:val="center"/>
          </w:tcPr>
          <w:p w14:paraId="08B4DB6B" w14:textId="77777777" w:rsidR="002C4CFA" w:rsidRPr="001A3649" w:rsidRDefault="002C4CFA" w:rsidP="002C4CFA">
            <w:pPr>
              <w:spacing w:line="240" w:lineRule="auto"/>
              <w:jc w:val="center"/>
              <w:rPr>
                <w:rFonts w:ascii="David" w:hAnsi="David" w:cs="David"/>
                <w:color w:val="000000"/>
              </w:rPr>
            </w:pPr>
            <w:r w:rsidRPr="001A3649">
              <w:rPr>
                <w:rFonts w:ascii="David" w:hAnsi="David" w:cs="David"/>
                <w:color w:val="000000"/>
              </w:rPr>
              <w:t>4,727</w:t>
            </w:r>
          </w:p>
        </w:tc>
        <w:tc>
          <w:tcPr>
            <w:tcW w:w="1701" w:type="dxa"/>
            <w:vAlign w:val="center"/>
          </w:tcPr>
          <w:p w14:paraId="1D5259BC" w14:textId="77777777" w:rsidR="002C4CFA" w:rsidRPr="001A3649" w:rsidRDefault="002C4CFA" w:rsidP="002C4CFA">
            <w:pPr>
              <w:pStyle w:val="TableParagraph"/>
              <w:spacing w:after="160" w:line="240" w:lineRule="auto"/>
              <w:ind w:left="190" w:right="176"/>
              <w:rPr>
                <w:rFonts w:ascii="David" w:eastAsia="Calibri" w:hAnsi="David" w:cs="David"/>
                <w:b/>
                <w:bCs/>
                <w:color w:val="000000"/>
              </w:rPr>
            </w:pPr>
            <w:r w:rsidRPr="001A3649">
              <w:rPr>
                <w:rFonts w:ascii="David" w:eastAsia="Calibri" w:hAnsi="David" w:cs="David"/>
                <w:b/>
                <w:bCs/>
                <w:color w:val="000000"/>
              </w:rPr>
              <w:t>1:45</w:t>
            </w:r>
          </w:p>
        </w:tc>
        <w:tc>
          <w:tcPr>
            <w:tcW w:w="1841" w:type="dxa"/>
            <w:vAlign w:val="center"/>
          </w:tcPr>
          <w:p w14:paraId="7B494E2C" w14:textId="77777777" w:rsidR="002C4CFA" w:rsidRPr="001A3649" w:rsidRDefault="002C4CFA" w:rsidP="002C4CFA">
            <w:pPr>
              <w:pStyle w:val="TableParagraph"/>
              <w:spacing w:after="160" w:line="240" w:lineRule="auto"/>
              <w:ind w:left="136" w:right="125"/>
              <w:rPr>
                <w:rFonts w:ascii="David" w:eastAsia="Calibri" w:hAnsi="David" w:cs="David"/>
                <w:color w:val="000000"/>
              </w:rPr>
            </w:pPr>
            <w:r w:rsidRPr="001A3649">
              <w:rPr>
                <w:rFonts w:ascii="David" w:eastAsia="Calibri" w:hAnsi="David" w:cs="David"/>
                <w:color w:val="000000"/>
              </w:rPr>
              <w:t>5:30</w:t>
            </w:r>
          </w:p>
        </w:tc>
        <w:tc>
          <w:tcPr>
            <w:tcW w:w="849" w:type="dxa"/>
            <w:vAlign w:val="center"/>
          </w:tcPr>
          <w:p w14:paraId="4648D5C3" w14:textId="77777777" w:rsidR="002C4CFA" w:rsidRPr="001A3649" w:rsidRDefault="002C4CFA" w:rsidP="002C4CFA">
            <w:pPr>
              <w:bidi w:val="0"/>
              <w:spacing w:line="240" w:lineRule="auto"/>
              <w:jc w:val="center"/>
              <w:rPr>
                <w:rFonts w:ascii="David" w:hAnsi="David" w:cs="David"/>
                <w:color w:val="000000"/>
              </w:rPr>
            </w:pPr>
            <w:r w:rsidRPr="001A3649">
              <w:rPr>
                <w:rFonts w:ascii="David" w:hAnsi="David" w:cs="David" w:hint="cs"/>
                <w:color w:val="000000"/>
                <w:rtl/>
              </w:rPr>
              <w:t>03:45-</w:t>
            </w:r>
          </w:p>
        </w:tc>
      </w:tr>
      <w:tr w:rsidR="002C4CFA" w:rsidRPr="001A3649" w14:paraId="14ECBBDA" w14:textId="77777777" w:rsidTr="002C4CFA">
        <w:tc>
          <w:tcPr>
            <w:tcW w:w="990" w:type="dxa"/>
            <w:shd w:val="clear" w:color="auto" w:fill="D9D9D9" w:themeFill="background1" w:themeFillShade="D9"/>
            <w:vAlign w:val="center"/>
          </w:tcPr>
          <w:p w14:paraId="15190814" w14:textId="77777777" w:rsidR="002C4CFA" w:rsidRPr="001A3649" w:rsidRDefault="002C4CFA" w:rsidP="002C4CFA">
            <w:pPr>
              <w:spacing w:line="240" w:lineRule="auto"/>
              <w:jc w:val="center"/>
              <w:rPr>
                <w:rFonts w:ascii="David" w:hAnsi="David" w:cs="David"/>
                <w:color w:val="000000"/>
              </w:rPr>
            </w:pPr>
            <w:r w:rsidRPr="001A3649">
              <w:rPr>
                <w:rFonts w:ascii="David" w:hAnsi="David" w:cs="David" w:hint="cs"/>
                <w:color w:val="000000"/>
                <w:rtl/>
              </w:rPr>
              <w:t>עבודה</w:t>
            </w:r>
          </w:p>
        </w:tc>
        <w:tc>
          <w:tcPr>
            <w:tcW w:w="2142" w:type="dxa"/>
            <w:shd w:val="clear" w:color="auto" w:fill="D9D9D9" w:themeFill="background1" w:themeFillShade="D9"/>
            <w:vAlign w:val="center"/>
          </w:tcPr>
          <w:p w14:paraId="7C57AA53" w14:textId="77777777" w:rsidR="002C4CFA" w:rsidRPr="001A3649" w:rsidRDefault="002C4CFA" w:rsidP="002C4CFA">
            <w:pPr>
              <w:spacing w:line="240" w:lineRule="auto"/>
              <w:rPr>
                <w:rFonts w:ascii="David" w:hAnsi="David" w:cs="David"/>
                <w:color w:val="000000"/>
                <w:rtl/>
              </w:rPr>
            </w:pPr>
            <w:r w:rsidRPr="001A3649">
              <w:rPr>
                <w:rFonts w:ascii="David" w:hAnsi="David" w:cs="David" w:hint="cs"/>
                <w:color w:val="000000"/>
                <w:rtl/>
              </w:rPr>
              <w:t>ביטוח לאומי (ב</w:t>
            </w:r>
            <w:r w:rsidRPr="001A3649">
              <w:rPr>
                <w:rFonts w:ascii="David" w:hAnsi="David" w:cs="David"/>
                <w:color w:val="000000"/>
                <w:rtl/>
              </w:rPr>
              <w:t>"</w:t>
            </w:r>
            <w:r w:rsidRPr="001A3649">
              <w:rPr>
                <w:rFonts w:ascii="David" w:hAnsi="David" w:cs="David" w:hint="cs"/>
                <w:color w:val="000000"/>
                <w:rtl/>
              </w:rPr>
              <w:t>ל)</w:t>
            </w:r>
          </w:p>
        </w:tc>
        <w:tc>
          <w:tcPr>
            <w:tcW w:w="1280" w:type="dxa"/>
            <w:shd w:val="clear" w:color="auto" w:fill="D9D9D9" w:themeFill="background1" w:themeFillShade="D9"/>
            <w:vAlign w:val="center"/>
          </w:tcPr>
          <w:p w14:paraId="4A2E21CC" w14:textId="77777777" w:rsidR="002C4CFA" w:rsidRPr="001A3649" w:rsidRDefault="002C4CFA" w:rsidP="002C4CFA">
            <w:pPr>
              <w:spacing w:line="240" w:lineRule="auto"/>
              <w:jc w:val="center"/>
              <w:rPr>
                <w:rFonts w:ascii="David" w:hAnsi="David" w:cs="David"/>
                <w:color w:val="000000"/>
              </w:rPr>
            </w:pPr>
            <w:r w:rsidRPr="001A3649">
              <w:rPr>
                <w:rFonts w:ascii="David" w:hAnsi="David" w:cs="David"/>
                <w:color w:val="000000"/>
              </w:rPr>
              <w:t>11,533</w:t>
            </w:r>
          </w:p>
        </w:tc>
        <w:tc>
          <w:tcPr>
            <w:tcW w:w="1701" w:type="dxa"/>
            <w:shd w:val="clear" w:color="auto" w:fill="D9D9D9" w:themeFill="background1" w:themeFillShade="D9"/>
            <w:vAlign w:val="center"/>
          </w:tcPr>
          <w:p w14:paraId="66D35B76" w14:textId="77777777" w:rsidR="002C4CFA" w:rsidRPr="001A3649" w:rsidRDefault="002C4CFA" w:rsidP="002C4CFA">
            <w:pPr>
              <w:pStyle w:val="TableParagraph"/>
              <w:spacing w:after="160" w:line="240" w:lineRule="auto"/>
              <w:ind w:left="190" w:right="176"/>
              <w:rPr>
                <w:rFonts w:ascii="David" w:eastAsia="Calibri" w:hAnsi="David" w:cs="David"/>
                <w:b/>
                <w:bCs/>
                <w:color w:val="000000"/>
              </w:rPr>
            </w:pPr>
            <w:r w:rsidRPr="001A3649">
              <w:rPr>
                <w:rFonts w:ascii="David" w:eastAsia="Calibri" w:hAnsi="David" w:cs="David"/>
                <w:b/>
                <w:bCs/>
                <w:color w:val="000000"/>
              </w:rPr>
              <w:t>1:</w:t>
            </w:r>
            <w:r w:rsidRPr="001A3649">
              <w:rPr>
                <w:rFonts w:ascii="David" w:eastAsia="Calibri" w:hAnsi="David" w:cs="David" w:hint="cs"/>
                <w:b/>
                <w:bCs/>
                <w:color w:val="000000"/>
                <w:rtl/>
              </w:rPr>
              <w:t>26</w:t>
            </w:r>
          </w:p>
        </w:tc>
        <w:tc>
          <w:tcPr>
            <w:tcW w:w="1841" w:type="dxa"/>
            <w:shd w:val="clear" w:color="auto" w:fill="D9D9D9" w:themeFill="background1" w:themeFillShade="D9"/>
            <w:vAlign w:val="center"/>
          </w:tcPr>
          <w:p w14:paraId="55689B3A" w14:textId="77777777" w:rsidR="002C4CFA" w:rsidRPr="001A3649" w:rsidRDefault="002C4CFA" w:rsidP="002C4CFA">
            <w:pPr>
              <w:pStyle w:val="TableParagraph"/>
              <w:spacing w:after="160" w:line="240" w:lineRule="auto"/>
              <w:ind w:left="136" w:right="125"/>
              <w:rPr>
                <w:rFonts w:ascii="David" w:eastAsia="Calibri" w:hAnsi="David" w:cs="David"/>
                <w:color w:val="000000"/>
              </w:rPr>
            </w:pPr>
            <w:r w:rsidRPr="001A3649">
              <w:rPr>
                <w:rFonts w:ascii="David" w:eastAsia="Calibri" w:hAnsi="David" w:cs="David"/>
                <w:color w:val="000000"/>
              </w:rPr>
              <w:t>3:24</w:t>
            </w:r>
          </w:p>
        </w:tc>
        <w:tc>
          <w:tcPr>
            <w:tcW w:w="849" w:type="dxa"/>
            <w:shd w:val="clear" w:color="auto" w:fill="D9D9D9" w:themeFill="background1" w:themeFillShade="D9"/>
            <w:vAlign w:val="center"/>
          </w:tcPr>
          <w:p w14:paraId="2917E659" w14:textId="77777777" w:rsidR="002C4CFA" w:rsidRPr="001A3649" w:rsidRDefault="002C4CFA" w:rsidP="002C4CFA">
            <w:pPr>
              <w:spacing w:line="240" w:lineRule="auto"/>
              <w:jc w:val="center"/>
              <w:rPr>
                <w:rFonts w:ascii="David" w:hAnsi="David" w:cs="David"/>
                <w:color w:val="000000"/>
                <w:rtl/>
              </w:rPr>
            </w:pPr>
            <w:r w:rsidRPr="001A3649">
              <w:rPr>
                <w:rFonts w:ascii="David" w:hAnsi="David" w:cs="David" w:hint="cs"/>
                <w:color w:val="000000"/>
                <w:rtl/>
              </w:rPr>
              <w:t>01:58-</w:t>
            </w:r>
          </w:p>
        </w:tc>
      </w:tr>
      <w:tr w:rsidR="002C4CFA" w:rsidRPr="001A3649" w14:paraId="2E71BA9A" w14:textId="77777777" w:rsidTr="002C4CFA">
        <w:tc>
          <w:tcPr>
            <w:tcW w:w="990" w:type="dxa"/>
            <w:vAlign w:val="center"/>
          </w:tcPr>
          <w:p w14:paraId="58EF53AA" w14:textId="77777777" w:rsidR="002C4CFA" w:rsidRPr="001A3649" w:rsidRDefault="002C4CFA" w:rsidP="002C4CFA">
            <w:pPr>
              <w:spacing w:line="240" w:lineRule="auto"/>
              <w:jc w:val="center"/>
              <w:rPr>
                <w:rFonts w:ascii="David" w:hAnsi="David" w:cs="David"/>
                <w:color w:val="000000"/>
              </w:rPr>
            </w:pPr>
            <w:r w:rsidRPr="001A3649">
              <w:rPr>
                <w:rFonts w:ascii="David" w:hAnsi="David" w:cs="David" w:hint="cs"/>
                <w:color w:val="000000"/>
                <w:rtl/>
              </w:rPr>
              <w:t>עבודה</w:t>
            </w:r>
          </w:p>
        </w:tc>
        <w:tc>
          <w:tcPr>
            <w:tcW w:w="2142" w:type="dxa"/>
            <w:vAlign w:val="center"/>
          </w:tcPr>
          <w:p w14:paraId="706986CF" w14:textId="77777777" w:rsidR="002C4CFA" w:rsidRPr="001A3649" w:rsidRDefault="002C4CFA" w:rsidP="002C4CFA">
            <w:pPr>
              <w:spacing w:line="240" w:lineRule="auto"/>
              <w:rPr>
                <w:rFonts w:ascii="David" w:hAnsi="David" w:cs="David"/>
                <w:color w:val="000000"/>
                <w:rtl/>
              </w:rPr>
            </w:pPr>
            <w:r w:rsidRPr="001A3649">
              <w:rPr>
                <w:rFonts w:ascii="David" w:hAnsi="David" w:cs="David" w:hint="cs"/>
                <w:color w:val="000000"/>
                <w:rtl/>
              </w:rPr>
              <w:t>קופת גמל (ק</w:t>
            </w:r>
            <w:r w:rsidRPr="001A3649">
              <w:rPr>
                <w:rFonts w:ascii="David" w:hAnsi="David" w:cs="David"/>
                <w:color w:val="000000"/>
                <w:rtl/>
              </w:rPr>
              <w:t>"</w:t>
            </w:r>
            <w:r w:rsidRPr="001A3649">
              <w:rPr>
                <w:rFonts w:ascii="David" w:hAnsi="David" w:cs="David" w:hint="cs"/>
                <w:color w:val="000000"/>
                <w:rtl/>
              </w:rPr>
              <w:t>ג)</w:t>
            </w:r>
          </w:p>
        </w:tc>
        <w:tc>
          <w:tcPr>
            <w:tcW w:w="1280" w:type="dxa"/>
            <w:vAlign w:val="center"/>
          </w:tcPr>
          <w:p w14:paraId="1B659C2D" w14:textId="77777777" w:rsidR="002C4CFA" w:rsidRPr="001A3649" w:rsidRDefault="002C4CFA" w:rsidP="002C4CFA">
            <w:pPr>
              <w:spacing w:line="240" w:lineRule="auto"/>
              <w:jc w:val="center"/>
              <w:rPr>
                <w:rFonts w:ascii="David" w:hAnsi="David" w:cs="David"/>
                <w:color w:val="000000"/>
              </w:rPr>
            </w:pPr>
            <w:r w:rsidRPr="001A3649">
              <w:rPr>
                <w:rFonts w:ascii="David" w:hAnsi="David" w:cs="David"/>
                <w:color w:val="000000"/>
              </w:rPr>
              <w:t>3,957</w:t>
            </w:r>
          </w:p>
        </w:tc>
        <w:tc>
          <w:tcPr>
            <w:tcW w:w="1701" w:type="dxa"/>
            <w:vAlign w:val="center"/>
          </w:tcPr>
          <w:p w14:paraId="24253042" w14:textId="77777777" w:rsidR="002C4CFA" w:rsidRPr="001A3649" w:rsidRDefault="002C4CFA" w:rsidP="002C4CFA">
            <w:pPr>
              <w:pStyle w:val="TableParagraph"/>
              <w:spacing w:after="160" w:line="240" w:lineRule="auto"/>
              <w:ind w:left="190" w:right="176"/>
              <w:rPr>
                <w:rFonts w:ascii="David" w:eastAsia="Calibri" w:hAnsi="David" w:cs="David"/>
                <w:b/>
                <w:bCs/>
                <w:color w:val="000000"/>
              </w:rPr>
            </w:pPr>
            <w:r w:rsidRPr="001A3649">
              <w:rPr>
                <w:rFonts w:ascii="David" w:eastAsia="Calibri" w:hAnsi="David" w:cs="David"/>
                <w:b/>
                <w:bCs/>
                <w:color w:val="000000"/>
              </w:rPr>
              <w:t>1:</w:t>
            </w:r>
            <w:r w:rsidRPr="001A3649">
              <w:rPr>
                <w:rFonts w:ascii="David" w:eastAsia="Calibri" w:hAnsi="David" w:cs="David" w:hint="cs"/>
                <w:b/>
                <w:bCs/>
                <w:color w:val="000000"/>
                <w:rtl/>
              </w:rPr>
              <w:t>06</w:t>
            </w:r>
          </w:p>
        </w:tc>
        <w:tc>
          <w:tcPr>
            <w:tcW w:w="1841" w:type="dxa"/>
            <w:vAlign w:val="center"/>
          </w:tcPr>
          <w:p w14:paraId="41B91983" w14:textId="77777777" w:rsidR="002C4CFA" w:rsidRPr="001A3649" w:rsidRDefault="002C4CFA" w:rsidP="002C4CFA">
            <w:pPr>
              <w:pStyle w:val="TableParagraph"/>
              <w:spacing w:after="160" w:line="240" w:lineRule="auto"/>
              <w:ind w:left="136" w:right="125"/>
              <w:rPr>
                <w:rFonts w:ascii="David" w:eastAsia="Calibri" w:hAnsi="David" w:cs="David"/>
                <w:color w:val="000000"/>
              </w:rPr>
            </w:pPr>
            <w:r w:rsidRPr="001A3649">
              <w:rPr>
                <w:rFonts w:ascii="David" w:eastAsia="Calibri" w:hAnsi="David" w:cs="David"/>
                <w:color w:val="000000"/>
              </w:rPr>
              <w:t>2:37</w:t>
            </w:r>
          </w:p>
        </w:tc>
        <w:tc>
          <w:tcPr>
            <w:tcW w:w="849" w:type="dxa"/>
            <w:vAlign w:val="center"/>
          </w:tcPr>
          <w:p w14:paraId="75147FA4" w14:textId="77777777" w:rsidR="002C4CFA" w:rsidRPr="001A3649" w:rsidRDefault="002C4CFA" w:rsidP="002C4CFA">
            <w:pPr>
              <w:spacing w:line="240" w:lineRule="auto"/>
              <w:jc w:val="center"/>
              <w:rPr>
                <w:rFonts w:ascii="David" w:hAnsi="David" w:cs="David"/>
                <w:color w:val="000000"/>
                <w:rtl/>
              </w:rPr>
            </w:pPr>
            <w:r w:rsidRPr="001A3649">
              <w:rPr>
                <w:rFonts w:ascii="David" w:hAnsi="David" w:cs="David" w:hint="cs"/>
                <w:color w:val="000000"/>
                <w:rtl/>
              </w:rPr>
              <w:t>01:31-</w:t>
            </w:r>
          </w:p>
        </w:tc>
      </w:tr>
      <w:tr w:rsidR="002C4CFA" w:rsidRPr="001A3649" w14:paraId="4BC44235" w14:textId="77777777" w:rsidTr="002C4CFA">
        <w:tc>
          <w:tcPr>
            <w:tcW w:w="990" w:type="dxa"/>
            <w:shd w:val="clear" w:color="auto" w:fill="D9D9D9" w:themeFill="background1" w:themeFillShade="D9"/>
            <w:vAlign w:val="center"/>
          </w:tcPr>
          <w:p w14:paraId="5C1081E2" w14:textId="77777777" w:rsidR="002C4CFA" w:rsidRPr="001A3649" w:rsidRDefault="002C4CFA" w:rsidP="002C4CFA">
            <w:pPr>
              <w:spacing w:line="240" w:lineRule="auto"/>
              <w:jc w:val="center"/>
              <w:rPr>
                <w:rFonts w:ascii="David" w:hAnsi="David" w:cs="David"/>
                <w:color w:val="000000"/>
              </w:rPr>
            </w:pPr>
            <w:r w:rsidRPr="001A3649">
              <w:rPr>
                <w:rFonts w:ascii="David" w:hAnsi="David" w:cs="David" w:hint="cs"/>
                <w:color w:val="000000"/>
                <w:rtl/>
              </w:rPr>
              <w:t>עבודה</w:t>
            </w:r>
          </w:p>
        </w:tc>
        <w:tc>
          <w:tcPr>
            <w:tcW w:w="2142" w:type="dxa"/>
            <w:shd w:val="clear" w:color="auto" w:fill="D9D9D9" w:themeFill="background1" w:themeFillShade="D9"/>
            <w:vAlign w:val="center"/>
          </w:tcPr>
          <w:p w14:paraId="00539013" w14:textId="77777777" w:rsidR="002C4CFA" w:rsidRPr="001A3649" w:rsidRDefault="002C4CFA" w:rsidP="002C4CFA">
            <w:pPr>
              <w:spacing w:line="240" w:lineRule="auto"/>
              <w:rPr>
                <w:rFonts w:ascii="David" w:hAnsi="David" w:cs="David"/>
                <w:color w:val="000000"/>
                <w:rtl/>
              </w:rPr>
            </w:pPr>
            <w:r w:rsidRPr="001A3649">
              <w:rPr>
                <w:rFonts w:ascii="David" w:hAnsi="David" w:cs="David"/>
                <w:color w:val="000000"/>
                <w:rtl/>
              </w:rPr>
              <w:t>צו עשה</w:t>
            </w:r>
            <w:r w:rsidRPr="001A3649">
              <w:rPr>
                <w:rFonts w:ascii="David" w:hAnsi="David" w:cs="David"/>
                <w:color w:val="000000"/>
              </w:rPr>
              <w:t>/</w:t>
            </w:r>
            <w:r w:rsidRPr="001A3649">
              <w:rPr>
                <w:rFonts w:ascii="David" w:hAnsi="David" w:cs="David"/>
                <w:color w:val="000000"/>
                <w:rtl/>
              </w:rPr>
              <w:t xml:space="preserve"> צו מניעה קבוע</w:t>
            </w:r>
            <w:r w:rsidRPr="001A3649">
              <w:rPr>
                <w:rFonts w:ascii="David" w:hAnsi="David" w:cs="David" w:hint="cs"/>
                <w:color w:val="000000"/>
                <w:rtl/>
              </w:rPr>
              <w:t xml:space="preserve"> (צ"ו)</w:t>
            </w:r>
          </w:p>
        </w:tc>
        <w:tc>
          <w:tcPr>
            <w:tcW w:w="1280" w:type="dxa"/>
            <w:shd w:val="clear" w:color="auto" w:fill="D9D9D9" w:themeFill="background1" w:themeFillShade="D9"/>
            <w:vAlign w:val="center"/>
          </w:tcPr>
          <w:p w14:paraId="20CADBA2" w14:textId="77777777" w:rsidR="002C4CFA" w:rsidRPr="001A3649" w:rsidRDefault="002C4CFA" w:rsidP="002C4CFA">
            <w:pPr>
              <w:spacing w:line="240" w:lineRule="auto"/>
              <w:jc w:val="center"/>
              <w:rPr>
                <w:rFonts w:ascii="David" w:hAnsi="David" w:cs="David"/>
                <w:color w:val="000000"/>
              </w:rPr>
            </w:pPr>
            <w:r w:rsidRPr="001A3649">
              <w:rPr>
                <w:rFonts w:ascii="David" w:hAnsi="David" w:cs="David"/>
                <w:color w:val="000000"/>
              </w:rPr>
              <w:t>1,043</w:t>
            </w:r>
          </w:p>
        </w:tc>
        <w:tc>
          <w:tcPr>
            <w:tcW w:w="1701" w:type="dxa"/>
            <w:shd w:val="clear" w:color="auto" w:fill="D9D9D9" w:themeFill="background1" w:themeFillShade="D9"/>
            <w:vAlign w:val="center"/>
          </w:tcPr>
          <w:p w14:paraId="21588835" w14:textId="77777777" w:rsidR="002C4CFA" w:rsidRPr="001A3649" w:rsidRDefault="002C4CFA" w:rsidP="002C4CFA">
            <w:pPr>
              <w:pStyle w:val="TableParagraph"/>
              <w:spacing w:after="160" w:line="240" w:lineRule="auto"/>
              <w:ind w:left="190" w:right="176"/>
              <w:rPr>
                <w:rFonts w:ascii="David" w:eastAsia="Calibri" w:hAnsi="David" w:cs="David"/>
                <w:b/>
                <w:bCs/>
                <w:color w:val="000000"/>
              </w:rPr>
            </w:pPr>
            <w:r w:rsidRPr="001A3649">
              <w:rPr>
                <w:rFonts w:ascii="David" w:eastAsia="Calibri" w:hAnsi="David" w:cs="David" w:hint="cs"/>
                <w:b/>
                <w:bCs/>
                <w:color w:val="000000"/>
                <w:rtl/>
              </w:rPr>
              <w:t>0:50</w:t>
            </w:r>
          </w:p>
        </w:tc>
        <w:tc>
          <w:tcPr>
            <w:tcW w:w="1841" w:type="dxa"/>
            <w:shd w:val="clear" w:color="auto" w:fill="D9D9D9" w:themeFill="background1" w:themeFillShade="D9"/>
            <w:vAlign w:val="center"/>
          </w:tcPr>
          <w:p w14:paraId="5C6E1D83" w14:textId="77777777" w:rsidR="002C4CFA" w:rsidRPr="001A3649" w:rsidRDefault="002C4CFA" w:rsidP="002C4CFA">
            <w:pPr>
              <w:pStyle w:val="TableParagraph"/>
              <w:spacing w:after="160" w:line="240" w:lineRule="auto"/>
              <w:ind w:left="136" w:right="125"/>
              <w:rPr>
                <w:rFonts w:ascii="David" w:eastAsia="Calibri" w:hAnsi="David" w:cs="David"/>
                <w:color w:val="000000"/>
              </w:rPr>
            </w:pPr>
            <w:r w:rsidRPr="001A3649">
              <w:rPr>
                <w:rFonts w:ascii="David" w:eastAsia="Calibri" w:hAnsi="David" w:cs="David"/>
                <w:color w:val="000000"/>
              </w:rPr>
              <w:t>0:36</w:t>
            </w:r>
          </w:p>
        </w:tc>
        <w:tc>
          <w:tcPr>
            <w:tcW w:w="849" w:type="dxa"/>
            <w:shd w:val="clear" w:color="auto" w:fill="D9D9D9" w:themeFill="background1" w:themeFillShade="D9"/>
            <w:vAlign w:val="center"/>
          </w:tcPr>
          <w:p w14:paraId="076F16A4" w14:textId="77777777" w:rsidR="002C4CFA" w:rsidRPr="001A3649" w:rsidRDefault="002C4CFA" w:rsidP="002C4CFA">
            <w:pPr>
              <w:spacing w:line="240" w:lineRule="auto"/>
              <w:jc w:val="center"/>
              <w:rPr>
                <w:rFonts w:ascii="David" w:hAnsi="David" w:cs="David"/>
                <w:color w:val="000000"/>
                <w:rtl/>
              </w:rPr>
            </w:pPr>
            <w:r w:rsidRPr="001A3649">
              <w:rPr>
                <w:rFonts w:ascii="David" w:hAnsi="David" w:cs="David" w:hint="cs"/>
                <w:color w:val="000000"/>
                <w:rtl/>
              </w:rPr>
              <w:t>0:14 +</w:t>
            </w:r>
          </w:p>
        </w:tc>
      </w:tr>
      <w:tr w:rsidR="002C4CFA" w:rsidRPr="001A3649" w14:paraId="43057E7A" w14:textId="77777777" w:rsidTr="002C4CFA">
        <w:tc>
          <w:tcPr>
            <w:tcW w:w="990" w:type="dxa"/>
            <w:vAlign w:val="center"/>
          </w:tcPr>
          <w:p w14:paraId="432CC0AC" w14:textId="77777777" w:rsidR="002C4CFA" w:rsidRPr="001A3649" w:rsidRDefault="002C4CFA" w:rsidP="002C4CFA">
            <w:pPr>
              <w:spacing w:line="240" w:lineRule="auto"/>
              <w:jc w:val="center"/>
              <w:rPr>
                <w:rFonts w:ascii="David" w:hAnsi="David" w:cs="David"/>
                <w:color w:val="000000"/>
              </w:rPr>
            </w:pPr>
            <w:r w:rsidRPr="001A3649">
              <w:rPr>
                <w:rFonts w:ascii="David" w:hAnsi="David" w:cs="David" w:hint="cs"/>
                <w:color w:val="000000"/>
                <w:rtl/>
              </w:rPr>
              <w:t>עבודה</w:t>
            </w:r>
          </w:p>
        </w:tc>
        <w:tc>
          <w:tcPr>
            <w:tcW w:w="2142" w:type="dxa"/>
            <w:vAlign w:val="center"/>
          </w:tcPr>
          <w:p w14:paraId="26E86306" w14:textId="77777777" w:rsidR="002C4CFA" w:rsidRPr="001A3649" w:rsidRDefault="002C4CFA" w:rsidP="002C4CFA">
            <w:pPr>
              <w:spacing w:line="240" w:lineRule="auto"/>
              <w:rPr>
                <w:rFonts w:ascii="David" w:hAnsi="David" w:cs="David"/>
                <w:color w:val="000000"/>
                <w:rtl/>
              </w:rPr>
            </w:pPr>
            <w:r w:rsidRPr="001A3649">
              <w:rPr>
                <w:rFonts w:ascii="David" w:hAnsi="David" w:cs="David" w:hint="cs"/>
                <w:color w:val="000000"/>
                <w:rtl/>
              </w:rPr>
              <w:t>תביעה לפי חוק הגזזת (גז"ז)</w:t>
            </w:r>
          </w:p>
        </w:tc>
        <w:tc>
          <w:tcPr>
            <w:tcW w:w="1280" w:type="dxa"/>
            <w:vAlign w:val="center"/>
          </w:tcPr>
          <w:p w14:paraId="3C2B9D2B" w14:textId="77777777" w:rsidR="002C4CFA" w:rsidRPr="001A3649" w:rsidRDefault="002C4CFA" w:rsidP="002C4CFA">
            <w:pPr>
              <w:spacing w:line="240" w:lineRule="auto"/>
              <w:jc w:val="center"/>
              <w:rPr>
                <w:rFonts w:ascii="David" w:hAnsi="David" w:cs="David"/>
                <w:color w:val="000000"/>
              </w:rPr>
            </w:pPr>
            <w:r w:rsidRPr="001A3649">
              <w:rPr>
                <w:rFonts w:ascii="David" w:hAnsi="David" w:cs="David"/>
                <w:color w:val="000000"/>
              </w:rPr>
              <w:t>175</w:t>
            </w:r>
          </w:p>
        </w:tc>
        <w:tc>
          <w:tcPr>
            <w:tcW w:w="1701" w:type="dxa"/>
            <w:vAlign w:val="center"/>
          </w:tcPr>
          <w:p w14:paraId="7039591A" w14:textId="77777777" w:rsidR="002C4CFA" w:rsidRPr="001A3649" w:rsidRDefault="002C4CFA" w:rsidP="002C4CFA">
            <w:pPr>
              <w:pStyle w:val="TableParagraph"/>
              <w:spacing w:after="160" w:line="240" w:lineRule="auto"/>
              <w:ind w:left="190" w:right="176"/>
              <w:rPr>
                <w:rFonts w:ascii="David" w:eastAsia="Calibri" w:hAnsi="David" w:cs="David"/>
                <w:b/>
                <w:bCs/>
                <w:color w:val="000000"/>
              </w:rPr>
            </w:pPr>
            <w:r w:rsidRPr="001A3649">
              <w:rPr>
                <w:rFonts w:ascii="David" w:eastAsia="Calibri" w:hAnsi="David" w:cs="David"/>
                <w:b/>
                <w:bCs/>
                <w:color w:val="000000"/>
              </w:rPr>
              <w:t>0:</w:t>
            </w:r>
            <w:r w:rsidRPr="001A3649">
              <w:rPr>
                <w:rFonts w:ascii="David" w:eastAsia="Calibri" w:hAnsi="David" w:cs="David" w:hint="cs"/>
                <w:b/>
                <w:bCs/>
                <w:color w:val="000000"/>
                <w:rtl/>
              </w:rPr>
              <w:t>50</w:t>
            </w:r>
          </w:p>
        </w:tc>
        <w:tc>
          <w:tcPr>
            <w:tcW w:w="1841" w:type="dxa"/>
            <w:vAlign w:val="center"/>
          </w:tcPr>
          <w:p w14:paraId="631C3C85" w14:textId="77777777" w:rsidR="002C4CFA" w:rsidRPr="001A3649" w:rsidRDefault="002C4CFA" w:rsidP="002C4CFA">
            <w:pPr>
              <w:pStyle w:val="TableParagraph"/>
              <w:spacing w:after="160" w:line="240" w:lineRule="auto"/>
              <w:ind w:left="136" w:right="125"/>
              <w:rPr>
                <w:rFonts w:ascii="David" w:eastAsia="Calibri" w:hAnsi="David" w:cs="David"/>
                <w:color w:val="000000"/>
              </w:rPr>
            </w:pPr>
            <w:r w:rsidRPr="001A3649">
              <w:rPr>
                <w:rFonts w:ascii="David" w:eastAsia="Calibri" w:hAnsi="David" w:cs="David"/>
                <w:color w:val="000000"/>
              </w:rPr>
              <w:t>2:20</w:t>
            </w:r>
          </w:p>
        </w:tc>
        <w:tc>
          <w:tcPr>
            <w:tcW w:w="849" w:type="dxa"/>
            <w:vAlign w:val="center"/>
          </w:tcPr>
          <w:p w14:paraId="4D4AA0BE" w14:textId="77777777" w:rsidR="002C4CFA" w:rsidRPr="001A3649" w:rsidRDefault="002C4CFA" w:rsidP="002C4CFA">
            <w:pPr>
              <w:spacing w:line="240" w:lineRule="auto"/>
              <w:jc w:val="center"/>
              <w:rPr>
                <w:rFonts w:ascii="David" w:hAnsi="David" w:cs="David"/>
                <w:color w:val="000000"/>
                <w:rtl/>
              </w:rPr>
            </w:pPr>
            <w:r w:rsidRPr="001A3649">
              <w:rPr>
                <w:rFonts w:ascii="David" w:hAnsi="David" w:cs="David" w:hint="cs"/>
                <w:color w:val="000000"/>
                <w:rtl/>
              </w:rPr>
              <w:t>01:30 -</w:t>
            </w:r>
          </w:p>
        </w:tc>
      </w:tr>
      <w:tr w:rsidR="002C4CFA" w:rsidRPr="001A3649" w14:paraId="2A5F538C" w14:textId="77777777" w:rsidTr="002C4CFA">
        <w:tc>
          <w:tcPr>
            <w:tcW w:w="990" w:type="dxa"/>
            <w:shd w:val="clear" w:color="auto" w:fill="D9D9D9" w:themeFill="background1" w:themeFillShade="D9"/>
            <w:vAlign w:val="center"/>
          </w:tcPr>
          <w:p w14:paraId="44D1E5E9" w14:textId="77777777" w:rsidR="002C4CFA" w:rsidRPr="001A3649" w:rsidRDefault="002C4CFA" w:rsidP="002C4CFA">
            <w:pPr>
              <w:spacing w:line="240" w:lineRule="auto"/>
              <w:jc w:val="center"/>
              <w:rPr>
                <w:rFonts w:ascii="David" w:hAnsi="David" w:cs="David"/>
                <w:color w:val="000000"/>
              </w:rPr>
            </w:pPr>
            <w:r w:rsidRPr="001A3649">
              <w:rPr>
                <w:rFonts w:ascii="David" w:hAnsi="David" w:cs="David" w:hint="cs"/>
                <w:color w:val="000000"/>
                <w:rtl/>
              </w:rPr>
              <w:t>עבודה</w:t>
            </w:r>
          </w:p>
        </w:tc>
        <w:tc>
          <w:tcPr>
            <w:tcW w:w="2142" w:type="dxa"/>
            <w:shd w:val="clear" w:color="auto" w:fill="D9D9D9" w:themeFill="background1" w:themeFillShade="D9"/>
            <w:vAlign w:val="center"/>
          </w:tcPr>
          <w:p w14:paraId="436E0272" w14:textId="77777777" w:rsidR="002C4CFA" w:rsidRPr="001A3649" w:rsidRDefault="002C4CFA" w:rsidP="002C4CFA">
            <w:pPr>
              <w:spacing w:line="240" w:lineRule="auto"/>
              <w:rPr>
                <w:rFonts w:ascii="David" w:hAnsi="David" w:cs="David"/>
                <w:color w:val="000000"/>
                <w:rtl/>
              </w:rPr>
            </w:pPr>
            <w:r w:rsidRPr="001A3649">
              <w:rPr>
                <w:rFonts w:ascii="David" w:hAnsi="David" w:cs="David" w:hint="cs"/>
                <w:color w:val="000000"/>
                <w:rtl/>
              </w:rPr>
              <w:t>דיון מהיר (ד"מ)</w:t>
            </w:r>
          </w:p>
        </w:tc>
        <w:tc>
          <w:tcPr>
            <w:tcW w:w="1280" w:type="dxa"/>
            <w:shd w:val="clear" w:color="auto" w:fill="D9D9D9" w:themeFill="background1" w:themeFillShade="D9"/>
            <w:vAlign w:val="center"/>
          </w:tcPr>
          <w:p w14:paraId="6E60B158" w14:textId="77777777" w:rsidR="002C4CFA" w:rsidRPr="001A3649" w:rsidRDefault="002C4CFA" w:rsidP="002C4CFA">
            <w:pPr>
              <w:spacing w:line="240" w:lineRule="auto"/>
              <w:jc w:val="center"/>
              <w:rPr>
                <w:rFonts w:ascii="David" w:hAnsi="David" w:cs="David"/>
                <w:color w:val="000000"/>
                <w:rtl/>
              </w:rPr>
            </w:pPr>
            <w:r w:rsidRPr="001A3649">
              <w:rPr>
                <w:rFonts w:ascii="David" w:hAnsi="David" w:cs="David" w:hint="cs"/>
                <w:color w:val="000000"/>
                <w:rtl/>
              </w:rPr>
              <w:t>9,582</w:t>
            </w:r>
          </w:p>
        </w:tc>
        <w:tc>
          <w:tcPr>
            <w:tcW w:w="1701" w:type="dxa"/>
            <w:shd w:val="clear" w:color="auto" w:fill="D9D9D9" w:themeFill="background1" w:themeFillShade="D9"/>
            <w:vAlign w:val="center"/>
          </w:tcPr>
          <w:p w14:paraId="0E806652" w14:textId="77777777" w:rsidR="002C4CFA" w:rsidRPr="001A3649" w:rsidRDefault="002C4CFA" w:rsidP="002C4CFA">
            <w:pPr>
              <w:pStyle w:val="TableParagraph"/>
              <w:spacing w:after="160" w:line="240" w:lineRule="auto"/>
              <w:ind w:left="190" w:right="176"/>
              <w:rPr>
                <w:rFonts w:ascii="David" w:eastAsia="Calibri" w:hAnsi="David" w:cs="David"/>
                <w:b/>
                <w:bCs/>
                <w:color w:val="000000"/>
              </w:rPr>
            </w:pPr>
            <w:r w:rsidRPr="001A3649">
              <w:rPr>
                <w:rFonts w:ascii="David" w:eastAsia="Calibri" w:hAnsi="David" w:cs="David"/>
                <w:b/>
                <w:bCs/>
                <w:color w:val="000000"/>
              </w:rPr>
              <w:t>0:48</w:t>
            </w:r>
          </w:p>
        </w:tc>
        <w:tc>
          <w:tcPr>
            <w:tcW w:w="1841" w:type="dxa"/>
            <w:shd w:val="clear" w:color="auto" w:fill="D9D9D9" w:themeFill="background1" w:themeFillShade="D9"/>
            <w:vAlign w:val="center"/>
          </w:tcPr>
          <w:p w14:paraId="6EE21A3F" w14:textId="77777777" w:rsidR="002C4CFA" w:rsidRPr="001A3649" w:rsidRDefault="002C4CFA" w:rsidP="002C4CFA">
            <w:pPr>
              <w:pStyle w:val="TableParagraph"/>
              <w:spacing w:after="160" w:line="240" w:lineRule="auto"/>
              <w:ind w:left="136" w:right="123"/>
              <w:rPr>
                <w:rFonts w:ascii="David" w:eastAsia="Calibri" w:hAnsi="David" w:cs="David"/>
                <w:color w:val="000000"/>
              </w:rPr>
            </w:pPr>
            <w:r w:rsidRPr="001A3649">
              <w:rPr>
                <w:rFonts w:ascii="David" w:eastAsia="Calibri" w:hAnsi="David" w:cs="David"/>
                <w:color w:val="000000"/>
              </w:rPr>
              <w:t>-</w:t>
            </w:r>
          </w:p>
        </w:tc>
        <w:tc>
          <w:tcPr>
            <w:tcW w:w="849" w:type="dxa"/>
            <w:shd w:val="clear" w:color="auto" w:fill="D9D9D9" w:themeFill="background1" w:themeFillShade="D9"/>
            <w:vAlign w:val="center"/>
          </w:tcPr>
          <w:p w14:paraId="7315E782" w14:textId="77777777" w:rsidR="002C4CFA" w:rsidRPr="001A3649" w:rsidRDefault="002C4CFA" w:rsidP="002C4CFA">
            <w:pPr>
              <w:pStyle w:val="TableParagraph"/>
              <w:spacing w:after="160" w:line="240" w:lineRule="auto"/>
              <w:ind w:left="107"/>
              <w:rPr>
                <w:rFonts w:ascii="David" w:eastAsia="Calibri" w:hAnsi="David" w:cs="David"/>
                <w:color w:val="000000"/>
              </w:rPr>
            </w:pPr>
            <w:r w:rsidRPr="001A3649">
              <w:rPr>
                <w:rFonts w:ascii="David" w:eastAsia="Calibri" w:hAnsi="David" w:cs="David"/>
                <w:color w:val="000000"/>
              </w:rPr>
              <w:t>-</w:t>
            </w:r>
          </w:p>
        </w:tc>
      </w:tr>
      <w:tr w:rsidR="002C4CFA" w:rsidRPr="001A3649" w14:paraId="3108EDE9" w14:textId="77777777" w:rsidTr="002C4CFA">
        <w:tc>
          <w:tcPr>
            <w:tcW w:w="990" w:type="dxa"/>
            <w:vAlign w:val="center"/>
          </w:tcPr>
          <w:p w14:paraId="2614FC4D" w14:textId="77777777" w:rsidR="002C4CFA" w:rsidRPr="001A3649" w:rsidRDefault="002C4CFA" w:rsidP="002C4CFA">
            <w:pPr>
              <w:spacing w:line="240" w:lineRule="auto"/>
              <w:jc w:val="center"/>
              <w:rPr>
                <w:rFonts w:ascii="David" w:hAnsi="David" w:cs="David"/>
                <w:color w:val="000000"/>
              </w:rPr>
            </w:pPr>
            <w:r w:rsidRPr="001A3649">
              <w:rPr>
                <w:rFonts w:ascii="David" w:hAnsi="David" w:cs="David" w:hint="cs"/>
                <w:color w:val="000000"/>
                <w:rtl/>
              </w:rPr>
              <w:t>עבודה</w:t>
            </w:r>
          </w:p>
        </w:tc>
        <w:tc>
          <w:tcPr>
            <w:tcW w:w="2142" w:type="dxa"/>
            <w:vAlign w:val="center"/>
          </w:tcPr>
          <w:p w14:paraId="0E1FD2AB" w14:textId="77777777" w:rsidR="002C4CFA" w:rsidRPr="001A3649" w:rsidRDefault="002C4CFA" w:rsidP="002C4CFA">
            <w:pPr>
              <w:spacing w:line="240" w:lineRule="auto"/>
              <w:rPr>
                <w:rFonts w:ascii="David" w:hAnsi="David" w:cs="David"/>
                <w:color w:val="000000"/>
                <w:rtl/>
              </w:rPr>
            </w:pPr>
            <w:r w:rsidRPr="001A3649">
              <w:rPr>
                <w:rFonts w:ascii="David" w:hAnsi="David" w:cs="David" w:hint="cs"/>
                <w:color w:val="000000"/>
                <w:rtl/>
              </w:rPr>
              <w:t>דמי טיפול ארגוני (ד"ט)</w:t>
            </w:r>
          </w:p>
        </w:tc>
        <w:tc>
          <w:tcPr>
            <w:tcW w:w="1280" w:type="dxa"/>
            <w:vAlign w:val="center"/>
          </w:tcPr>
          <w:p w14:paraId="75E1A28A" w14:textId="77777777" w:rsidR="002C4CFA" w:rsidRPr="001A3649" w:rsidRDefault="002C4CFA" w:rsidP="002C4CFA">
            <w:pPr>
              <w:spacing w:line="240" w:lineRule="auto"/>
              <w:jc w:val="center"/>
              <w:rPr>
                <w:rFonts w:ascii="David" w:hAnsi="David" w:cs="David"/>
                <w:color w:val="000000"/>
                <w:rtl/>
              </w:rPr>
            </w:pPr>
            <w:r w:rsidRPr="001A3649">
              <w:rPr>
                <w:rFonts w:ascii="David" w:hAnsi="David" w:cs="David"/>
                <w:color w:val="000000"/>
              </w:rPr>
              <w:t>727</w:t>
            </w:r>
          </w:p>
        </w:tc>
        <w:tc>
          <w:tcPr>
            <w:tcW w:w="1701" w:type="dxa"/>
            <w:vAlign w:val="center"/>
          </w:tcPr>
          <w:p w14:paraId="6C257FB7" w14:textId="77777777" w:rsidR="002C4CFA" w:rsidRPr="001A3649" w:rsidRDefault="002C4CFA" w:rsidP="002C4CFA">
            <w:pPr>
              <w:pStyle w:val="TableParagraph"/>
              <w:spacing w:after="160" w:line="240" w:lineRule="auto"/>
              <w:ind w:left="190" w:right="176"/>
              <w:rPr>
                <w:rFonts w:ascii="David" w:eastAsia="Calibri" w:hAnsi="David" w:cs="David"/>
                <w:b/>
                <w:bCs/>
                <w:color w:val="000000"/>
              </w:rPr>
            </w:pPr>
            <w:r w:rsidRPr="001A3649">
              <w:rPr>
                <w:rFonts w:ascii="David" w:eastAsia="Calibri" w:hAnsi="David" w:cs="David"/>
                <w:b/>
                <w:bCs/>
                <w:color w:val="000000"/>
              </w:rPr>
              <w:t>0:36</w:t>
            </w:r>
          </w:p>
        </w:tc>
        <w:tc>
          <w:tcPr>
            <w:tcW w:w="1841" w:type="dxa"/>
            <w:vAlign w:val="center"/>
          </w:tcPr>
          <w:p w14:paraId="75A18BC9" w14:textId="77777777" w:rsidR="002C4CFA" w:rsidRPr="001A3649" w:rsidRDefault="002C4CFA" w:rsidP="002C4CFA">
            <w:pPr>
              <w:pStyle w:val="TableParagraph"/>
              <w:spacing w:after="160" w:line="240" w:lineRule="auto"/>
              <w:ind w:left="136" w:right="125"/>
              <w:rPr>
                <w:rFonts w:ascii="David" w:eastAsia="Calibri" w:hAnsi="David" w:cs="David"/>
                <w:color w:val="000000"/>
              </w:rPr>
            </w:pPr>
            <w:r w:rsidRPr="001A3649">
              <w:rPr>
                <w:rFonts w:ascii="David" w:eastAsia="Calibri" w:hAnsi="David" w:cs="David"/>
                <w:color w:val="000000"/>
              </w:rPr>
              <w:t>0:48</w:t>
            </w:r>
          </w:p>
        </w:tc>
        <w:tc>
          <w:tcPr>
            <w:tcW w:w="849" w:type="dxa"/>
            <w:vAlign w:val="center"/>
          </w:tcPr>
          <w:p w14:paraId="517C850C" w14:textId="77777777" w:rsidR="002C4CFA" w:rsidRPr="001A3649" w:rsidRDefault="002C4CFA" w:rsidP="002C4CFA">
            <w:pPr>
              <w:pStyle w:val="TableParagraph"/>
              <w:spacing w:after="160" w:line="240" w:lineRule="auto"/>
              <w:ind w:left="107"/>
              <w:rPr>
                <w:rFonts w:ascii="David" w:eastAsia="Calibri" w:hAnsi="David" w:cs="David"/>
                <w:color w:val="000000"/>
              </w:rPr>
            </w:pPr>
            <w:r w:rsidRPr="001A3649">
              <w:rPr>
                <w:rFonts w:ascii="David" w:eastAsia="Calibri" w:hAnsi="David" w:cs="David"/>
                <w:color w:val="000000"/>
              </w:rPr>
              <w:t>-0:11</w:t>
            </w:r>
          </w:p>
        </w:tc>
      </w:tr>
    </w:tbl>
    <w:p w14:paraId="3E9BC13C" w14:textId="77777777" w:rsidR="003074E9" w:rsidRPr="00F25744" w:rsidRDefault="003074E9" w:rsidP="003E55D2">
      <w:pPr>
        <w:rPr>
          <w:rtl/>
        </w:rPr>
      </w:pPr>
    </w:p>
    <w:p w14:paraId="78510079" w14:textId="77777777" w:rsidR="00175347" w:rsidRPr="00F25744" w:rsidRDefault="003E55D2" w:rsidP="000C1408">
      <w:pPr>
        <w:pStyle w:val="3"/>
        <w:ind w:left="852"/>
        <w:rPr>
          <w:rtl/>
        </w:rPr>
      </w:pPr>
      <w:bookmarkStart w:id="724" w:name="_Toc74751016"/>
      <w:r w:rsidRPr="00F25744">
        <w:rPr>
          <w:rFonts w:hint="cs"/>
          <w:rtl/>
        </w:rPr>
        <w:t xml:space="preserve">תמהיל יום העבודה השיפוטי </w:t>
      </w:r>
      <w:r w:rsidRPr="00F25744">
        <w:rPr>
          <w:rtl/>
        </w:rPr>
        <w:t>–</w:t>
      </w:r>
      <w:r w:rsidRPr="00F25744">
        <w:rPr>
          <w:rFonts w:hint="cs"/>
          <w:rtl/>
        </w:rPr>
        <w:t xml:space="preserve"> עבודה</w:t>
      </w:r>
      <w:bookmarkEnd w:id="724"/>
    </w:p>
    <w:p w14:paraId="568C0E74" w14:textId="77777777" w:rsidR="003E55D2" w:rsidRPr="00F25744" w:rsidRDefault="003E55D2" w:rsidP="003E55D2">
      <w:pPr>
        <w:spacing w:after="0" w:line="240" w:lineRule="auto"/>
        <w:rPr>
          <w:rtl/>
        </w:rPr>
      </w:pPr>
    </w:p>
    <w:p w14:paraId="56135294" w14:textId="301D644F" w:rsidR="008534FC" w:rsidRPr="00F25744" w:rsidRDefault="008534FC" w:rsidP="008534FC">
      <w:pPr>
        <w:pStyle w:val="af6"/>
      </w:pPr>
      <w:bookmarkStart w:id="725" w:name="_Toc76988536"/>
      <w:r w:rsidRPr="00F25744">
        <w:rPr>
          <w:rtl/>
        </w:rPr>
        <w:t xml:space="preserve">תרשים </w:t>
      </w:r>
      <w:r w:rsidRPr="00F25744">
        <w:rPr>
          <w:rtl/>
        </w:rPr>
        <w:fldChar w:fldCharType="begin"/>
      </w:r>
      <w:r w:rsidRPr="00F25744">
        <w:rPr>
          <w:rtl/>
        </w:rPr>
        <w:instrText xml:space="preserve"> </w:instrText>
      </w:r>
      <w:r w:rsidRPr="00F25744">
        <w:instrText>SEQ</w:instrText>
      </w:r>
      <w:r w:rsidRPr="00F25744">
        <w:rPr>
          <w:rtl/>
        </w:rPr>
        <w:instrText xml:space="preserve"> תרשים \* </w:instrText>
      </w:r>
      <w:r w:rsidRPr="00F25744">
        <w:instrText>ARABIC</w:instrText>
      </w:r>
      <w:r w:rsidRPr="00F25744">
        <w:rPr>
          <w:rtl/>
        </w:rPr>
        <w:instrText xml:space="preserve"> </w:instrText>
      </w:r>
      <w:r w:rsidRPr="00F25744">
        <w:rPr>
          <w:rtl/>
        </w:rPr>
        <w:fldChar w:fldCharType="separate"/>
      </w:r>
      <w:r w:rsidR="008F1BC3">
        <w:rPr>
          <w:noProof/>
          <w:rtl/>
        </w:rPr>
        <w:t>15</w:t>
      </w:r>
      <w:r w:rsidRPr="00F25744">
        <w:rPr>
          <w:rtl/>
        </w:rPr>
        <w:fldChar w:fldCharType="end"/>
      </w:r>
      <w:r w:rsidRPr="00F25744">
        <w:rPr>
          <w:rFonts w:hint="cs"/>
          <w:rtl/>
        </w:rPr>
        <w:t>: תמהיל יום העבודה השיפוטי של שופטי בית הדין לעבודה</w:t>
      </w:r>
      <w:bookmarkEnd w:id="725"/>
    </w:p>
    <w:p w14:paraId="3E53DAD2" w14:textId="77777777" w:rsidR="003E55D2" w:rsidRPr="00F25744" w:rsidRDefault="00625E81" w:rsidP="00625E81">
      <w:pPr>
        <w:pStyle w:val="af6"/>
      </w:pPr>
      <w:r w:rsidRPr="00F25744">
        <w:rPr>
          <w:noProof/>
        </w:rPr>
        <w:drawing>
          <wp:inline distT="0" distB="0" distL="0" distR="0" wp14:anchorId="12FBF48D" wp14:editId="7C59097C">
            <wp:extent cx="4902200" cy="2105025"/>
            <wp:effectExtent l="0" t="0" r="12700" b="9525"/>
            <wp:docPr id="52" name="תרשים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1FE8913" w14:textId="77777777" w:rsidR="003E55D2" w:rsidRPr="00F25744" w:rsidRDefault="003E55D2" w:rsidP="00625E81">
      <w:pPr>
        <w:pStyle w:val="a3"/>
        <w:widowControl w:val="0"/>
        <w:autoSpaceDE w:val="0"/>
        <w:autoSpaceDN w:val="0"/>
        <w:bidi/>
        <w:adjustRightInd w:val="0"/>
        <w:spacing w:before="60" w:after="60" w:line="360" w:lineRule="auto"/>
        <w:ind w:left="0"/>
        <w:rPr>
          <w:rtl/>
        </w:rPr>
      </w:pPr>
      <w:r w:rsidRPr="00F25744">
        <w:rPr>
          <w:rFonts w:ascii="David" w:hAnsi="David" w:cs="David" w:hint="cs"/>
          <w:sz w:val="24"/>
          <w:szCs w:val="24"/>
          <w:rtl/>
        </w:rPr>
        <w:lastRenderedPageBreak/>
        <w:t xml:space="preserve">כפי שניתן לראות, בבתי הדין האזוריים לעבודה, </w:t>
      </w:r>
      <w:r w:rsidR="00625E81" w:rsidRPr="00F25744">
        <w:rPr>
          <w:rFonts w:ascii="David" w:hAnsi="David" w:cs="David" w:hint="cs"/>
          <w:sz w:val="24"/>
          <w:szCs w:val="24"/>
          <w:rtl/>
        </w:rPr>
        <w:t>88</w:t>
      </w:r>
      <w:r w:rsidRPr="00F25744">
        <w:rPr>
          <w:rFonts w:ascii="David" w:hAnsi="David" w:cs="David" w:hint="cs"/>
          <w:sz w:val="24"/>
          <w:szCs w:val="24"/>
          <w:rtl/>
        </w:rPr>
        <w:t xml:space="preserve">% מתמהיל יום העבודה השיפוטי הוקדש לעבודה שיפוטית הקשורה בתיקים (הכנה לדיונים, שמיעת דיונים, כתיבה ואדמיניסטרציה), כאשר </w:t>
      </w:r>
      <w:r w:rsidR="00625E81" w:rsidRPr="00F25744">
        <w:rPr>
          <w:rFonts w:ascii="David" w:hAnsi="David" w:cs="David" w:hint="cs"/>
          <w:sz w:val="24"/>
          <w:szCs w:val="24"/>
          <w:rtl/>
        </w:rPr>
        <w:t>12</w:t>
      </w:r>
      <w:r w:rsidRPr="00F25744">
        <w:rPr>
          <w:rFonts w:ascii="David" w:hAnsi="David" w:cs="David" w:hint="cs"/>
          <w:sz w:val="24"/>
          <w:szCs w:val="24"/>
          <w:rtl/>
        </w:rPr>
        <w:t xml:space="preserve">% הנותרים הוקדשו לעבודה שיפוטית שאינה קשורה בתיקים. מפילוח העבודה השיפוטית הקשורה בתיקים ניתן לראות, כי בבתי הדין לעבודה, </w:t>
      </w:r>
      <w:r w:rsidR="00625E81" w:rsidRPr="00F25744">
        <w:rPr>
          <w:rFonts w:ascii="David" w:hAnsi="David" w:cs="David" w:hint="cs"/>
          <w:sz w:val="24"/>
          <w:szCs w:val="24"/>
          <w:rtl/>
        </w:rPr>
        <w:t xml:space="preserve">לפעילות </w:t>
      </w:r>
      <w:r w:rsidRPr="00F25744">
        <w:rPr>
          <w:rFonts w:ascii="David" w:hAnsi="David" w:cs="David" w:hint="cs"/>
          <w:sz w:val="24"/>
          <w:szCs w:val="24"/>
          <w:rtl/>
        </w:rPr>
        <w:t>הכתיבה</w:t>
      </w:r>
      <w:r w:rsidR="00625E81" w:rsidRPr="00F25744">
        <w:rPr>
          <w:rFonts w:ascii="David" w:hAnsi="David" w:cs="David" w:hint="cs"/>
          <w:sz w:val="24"/>
          <w:szCs w:val="24"/>
          <w:rtl/>
        </w:rPr>
        <w:t xml:space="preserve"> הוקדשו 41</w:t>
      </w:r>
      <w:r w:rsidRPr="00F25744">
        <w:rPr>
          <w:rFonts w:ascii="David" w:hAnsi="David" w:cs="David" w:hint="cs"/>
          <w:sz w:val="24"/>
          <w:szCs w:val="24"/>
          <w:rtl/>
        </w:rPr>
        <w:t>%</w:t>
      </w:r>
      <w:r w:rsidR="00625E81" w:rsidRPr="00F25744">
        <w:rPr>
          <w:rFonts w:ascii="David" w:hAnsi="David" w:cs="David" w:hint="cs"/>
          <w:sz w:val="24"/>
          <w:szCs w:val="24"/>
          <w:rtl/>
        </w:rPr>
        <w:t xml:space="preserve"> מהזמן</w:t>
      </w:r>
      <w:r w:rsidRPr="00F25744">
        <w:rPr>
          <w:rFonts w:ascii="David" w:hAnsi="David" w:cs="David" w:hint="cs"/>
          <w:sz w:val="24"/>
          <w:szCs w:val="24"/>
          <w:rtl/>
        </w:rPr>
        <w:t>, ו-</w:t>
      </w:r>
      <w:r w:rsidR="00625E81" w:rsidRPr="00F25744">
        <w:rPr>
          <w:rFonts w:ascii="David" w:hAnsi="David" w:cs="David" w:hint="cs"/>
          <w:sz w:val="24"/>
          <w:szCs w:val="24"/>
          <w:rtl/>
        </w:rPr>
        <w:t>44</w:t>
      </w:r>
      <w:r w:rsidRPr="00F25744">
        <w:rPr>
          <w:rFonts w:ascii="David" w:hAnsi="David" w:cs="David" w:hint="cs"/>
          <w:sz w:val="24"/>
          <w:szCs w:val="24"/>
          <w:rtl/>
        </w:rPr>
        <w:t xml:space="preserve">% נוספים מהיום השיפוטי הוקדשו להכנה לדיונים ולשמיעתם.  </w:t>
      </w:r>
    </w:p>
    <w:p w14:paraId="0CDD6F21" w14:textId="77777777" w:rsidR="00620434" w:rsidRPr="00F25744" w:rsidRDefault="00620434">
      <w:pPr>
        <w:bidi w:val="0"/>
        <w:spacing w:after="0" w:line="240" w:lineRule="auto"/>
      </w:pPr>
      <w:r w:rsidRPr="00F25744">
        <w:rPr>
          <w:rtl/>
        </w:rPr>
        <w:br w:type="page"/>
      </w:r>
    </w:p>
    <w:p w14:paraId="25FCF492" w14:textId="77777777" w:rsidR="00840519" w:rsidRPr="00F25744" w:rsidRDefault="002D25A0" w:rsidP="00FA2305">
      <w:pPr>
        <w:pStyle w:val="2"/>
        <w:rPr>
          <w:rtl/>
        </w:rPr>
      </w:pPr>
      <w:r w:rsidRPr="000C1408">
        <w:rPr>
          <w:rFonts w:hint="cs"/>
          <w:u w:val="none"/>
          <w:rtl/>
        </w:rPr>
        <w:lastRenderedPageBreak/>
        <w:t xml:space="preserve"> </w:t>
      </w:r>
      <w:bookmarkStart w:id="726" w:name="_Toc74751017"/>
      <w:r w:rsidR="001C7E27" w:rsidRPr="00F25744">
        <w:rPr>
          <w:rFonts w:hint="cs"/>
          <w:rtl/>
        </w:rPr>
        <w:t xml:space="preserve">ממצאים </w:t>
      </w:r>
      <w:r w:rsidR="007F3A52" w:rsidRPr="00F25744">
        <w:rPr>
          <w:rFonts w:hint="cs"/>
          <w:rtl/>
        </w:rPr>
        <w:t>כלל מערכתי</w:t>
      </w:r>
      <w:bookmarkEnd w:id="672"/>
      <w:bookmarkEnd w:id="673"/>
      <w:bookmarkEnd w:id="674"/>
      <w:bookmarkEnd w:id="675"/>
      <w:bookmarkEnd w:id="676"/>
      <w:bookmarkEnd w:id="677"/>
      <w:bookmarkEnd w:id="678"/>
      <w:bookmarkEnd w:id="679"/>
      <w:r w:rsidR="001C7E27" w:rsidRPr="00F25744">
        <w:rPr>
          <w:rFonts w:hint="cs"/>
          <w:rtl/>
        </w:rPr>
        <w:t>ים</w:t>
      </w:r>
      <w:bookmarkEnd w:id="719"/>
      <w:bookmarkEnd w:id="720"/>
      <w:bookmarkEnd w:id="721"/>
      <w:bookmarkEnd w:id="726"/>
    </w:p>
    <w:p w14:paraId="743F45A0" w14:textId="77777777" w:rsidR="00B92FDC" w:rsidRPr="00F25744" w:rsidRDefault="00B92FDC" w:rsidP="003E55D2">
      <w:pPr>
        <w:widowControl w:val="0"/>
        <w:autoSpaceDE w:val="0"/>
        <w:autoSpaceDN w:val="0"/>
        <w:adjustRightInd w:val="0"/>
        <w:spacing w:after="0" w:line="240" w:lineRule="auto"/>
        <w:jc w:val="both"/>
        <w:rPr>
          <w:rFonts w:ascii="David" w:hAnsi="David" w:cs="David"/>
          <w:sz w:val="24"/>
          <w:szCs w:val="24"/>
          <w:rtl/>
        </w:rPr>
      </w:pPr>
    </w:p>
    <w:p w14:paraId="3A5EFAFE" w14:textId="77777777" w:rsidR="00840519" w:rsidRPr="00F25744" w:rsidRDefault="00E25AE7" w:rsidP="00FA1BD5">
      <w:pPr>
        <w:widowControl w:val="0"/>
        <w:autoSpaceDE w:val="0"/>
        <w:autoSpaceDN w:val="0"/>
        <w:adjustRightInd w:val="0"/>
        <w:spacing w:after="0" w:line="360" w:lineRule="auto"/>
        <w:jc w:val="both"/>
        <w:rPr>
          <w:rFonts w:ascii="David" w:hAnsi="David" w:cs="David"/>
          <w:sz w:val="24"/>
          <w:szCs w:val="24"/>
          <w:rtl/>
        </w:rPr>
      </w:pPr>
      <w:r w:rsidRPr="00F25744">
        <w:rPr>
          <w:rFonts w:ascii="David" w:hAnsi="David" w:cs="David" w:hint="cs"/>
          <w:sz w:val="24"/>
          <w:szCs w:val="24"/>
          <w:rtl/>
        </w:rPr>
        <w:t>לאחר שהצ</w:t>
      </w:r>
      <w:r w:rsidR="007D5950" w:rsidRPr="00F25744">
        <w:rPr>
          <w:rFonts w:ascii="David" w:hAnsi="David" w:cs="David" w:hint="cs"/>
          <w:sz w:val="24"/>
          <w:szCs w:val="24"/>
          <w:rtl/>
        </w:rPr>
        <w:t>ג</w:t>
      </w:r>
      <w:r w:rsidRPr="00F25744">
        <w:rPr>
          <w:rFonts w:ascii="David" w:hAnsi="David" w:cs="David" w:hint="cs"/>
          <w:sz w:val="24"/>
          <w:szCs w:val="24"/>
          <w:rtl/>
        </w:rPr>
        <w:t xml:space="preserve">נו את ממצאי המחקר עבור כל ערכאה בנפרד, </w:t>
      </w:r>
      <w:r w:rsidR="00D83B89" w:rsidRPr="00F25744">
        <w:rPr>
          <w:rFonts w:ascii="David" w:hAnsi="David" w:cs="David" w:hint="cs"/>
          <w:sz w:val="24"/>
          <w:szCs w:val="24"/>
          <w:rtl/>
        </w:rPr>
        <w:t xml:space="preserve">ועל מנת לתת תמונה כוללת ורחבה המתאימה יותר לצרכים הניהוליים של ראשי המערכת, נציג </w:t>
      </w:r>
      <w:r w:rsidRPr="00F25744">
        <w:rPr>
          <w:rFonts w:ascii="David" w:hAnsi="David" w:cs="David" w:hint="cs"/>
          <w:sz w:val="24"/>
          <w:szCs w:val="24"/>
          <w:rtl/>
        </w:rPr>
        <w:t xml:space="preserve">בפרק זה ממצאים כלל מערכתיים </w:t>
      </w:r>
      <w:r w:rsidR="00017534" w:rsidRPr="00F25744">
        <w:rPr>
          <w:rFonts w:ascii="David" w:hAnsi="David" w:cs="David" w:hint="cs"/>
          <w:sz w:val="24"/>
          <w:szCs w:val="24"/>
          <w:rtl/>
        </w:rPr>
        <w:t xml:space="preserve">על </w:t>
      </w:r>
      <w:r w:rsidRPr="00F25744">
        <w:rPr>
          <w:rFonts w:ascii="David" w:hAnsi="David" w:cs="David" w:hint="cs"/>
          <w:sz w:val="24"/>
          <w:szCs w:val="24"/>
          <w:rtl/>
        </w:rPr>
        <w:t>אודות הזמן השיפוטי הדרוש לט</w:t>
      </w:r>
      <w:r w:rsidR="00CC2CEC" w:rsidRPr="00F25744">
        <w:rPr>
          <w:rFonts w:ascii="David" w:hAnsi="David" w:cs="David" w:hint="cs"/>
          <w:sz w:val="24"/>
          <w:szCs w:val="24"/>
          <w:rtl/>
        </w:rPr>
        <w:t>י</w:t>
      </w:r>
      <w:r w:rsidRPr="00F25744">
        <w:rPr>
          <w:rFonts w:ascii="David" w:hAnsi="David" w:cs="David" w:hint="cs"/>
          <w:sz w:val="24"/>
          <w:szCs w:val="24"/>
          <w:rtl/>
        </w:rPr>
        <w:t>פ</w:t>
      </w:r>
      <w:r w:rsidR="00CC2CEC" w:rsidRPr="00F25744">
        <w:rPr>
          <w:rFonts w:ascii="David" w:hAnsi="David" w:cs="David" w:hint="cs"/>
          <w:sz w:val="24"/>
          <w:szCs w:val="24"/>
          <w:rtl/>
        </w:rPr>
        <w:t>ו</w:t>
      </w:r>
      <w:r w:rsidRPr="00F25744">
        <w:rPr>
          <w:rFonts w:ascii="David" w:hAnsi="David" w:cs="David" w:hint="cs"/>
          <w:sz w:val="24"/>
          <w:szCs w:val="24"/>
          <w:rtl/>
        </w:rPr>
        <w:t>ל ב</w:t>
      </w:r>
      <w:r w:rsidR="00FA1BD5" w:rsidRPr="00F25744">
        <w:rPr>
          <w:rFonts w:ascii="David" w:hAnsi="David" w:cs="David" w:hint="cs"/>
          <w:sz w:val="24"/>
          <w:szCs w:val="24"/>
          <w:rtl/>
        </w:rPr>
        <w:t xml:space="preserve">כלל </w:t>
      </w:r>
      <w:r w:rsidRPr="00F25744">
        <w:rPr>
          <w:rFonts w:ascii="David" w:hAnsi="David" w:cs="David" w:hint="cs"/>
          <w:sz w:val="24"/>
          <w:szCs w:val="24"/>
          <w:rtl/>
        </w:rPr>
        <w:t>תיקי המערכת</w:t>
      </w:r>
      <w:r w:rsidR="00CC2CEC" w:rsidRPr="00F25744">
        <w:rPr>
          <w:rFonts w:ascii="David" w:hAnsi="David" w:cs="David" w:hint="cs"/>
          <w:sz w:val="24"/>
          <w:szCs w:val="24"/>
          <w:rtl/>
        </w:rPr>
        <w:t>, לרבות התיקים הנדונים בבתי הדין האזוריים לעבודה,</w:t>
      </w:r>
      <w:r w:rsidRPr="00F25744">
        <w:rPr>
          <w:rStyle w:val="a6"/>
          <w:rFonts w:ascii="David" w:hAnsi="David" w:cs="David"/>
          <w:sz w:val="24"/>
          <w:szCs w:val="24"/>
          <w:rtl/>
        </w:rPr>
        <w:footnoteReference w:id="36"/>
      </w:r>
      <w:r w:rsidRPr="00F25744">
        <w:rPr>
          <w:rFonts w:ascii="David" w:hAnsi="David" w:cs="David" w:hint="cs"/>
          <w:sz w:val="24"/>
          <w:szCs w:val="24"/>
          <w:rtl/>
        </w:rPr>
        <w:t xml:space="preserve"> ו</w:t>
      </w:r>
      <w:r w:rsidR="00017534" w:rsidRPr="00F25744">
        <w:rPr>
          <w:rFonts w:ascii="David" w:hAnsi="David" w:cs="David" w:hint="cs"/>
          <w:sz w:val="24"/>
          <w:szCs w:val="24"/>
          <w:rtl/>
        </w:rPr>
        <w:t>ממצאים מערכתיים העוסקים ב</w:t>
      </w:r>
      <w:r w:rsidRPr="00F25744">
        <w:rPr>
          <w:rFonts w:ascii="David" w:hAnsi="David" w:cs="David" w:hint="cs"/>
          <w:sz w:val="24"/>
          <w:szCs w:val="24"/>
          <w:rtl/>
        </w:rPr>
        <w:t>יום העבודה השיפוטי ותמהילו</w:t>
      </w:r>
      <w:r w:rsidR="00527372" w:rsidRPr="00F25744">
        <w:rPr>
          <w:rFonts w:ascii="David" w:hAnsi="David" w:cs="David" w:hint="cs"/>
          <w:sz w:val="24"/>
          <w:szCs w:val="24"/>
          <w:rtl/>
        </w:rPr>
        <w:t>.</w:t>
      </w:r>
    </w:p>
    <w:p w14:paraId="68CFC374" w14:textId="77777777" w:rsidR="00840519" w:rsidRPr="00F25744" w:rsidRDefault="00840519" w:rsidP="00251BC4">
      <w:pPr>
        <w:widowControl w:val="0"/>
        <w:autoSpaceDE w:val="0"/>
        <w:autoSpaceDN w:val="0"/>
        <w:adjustRightInd w:val="0"/>
        <w:spacing w:after="0" w:line="240" w:lineRule="auto"/>
        <w:jc w:val="both"/>
        <w:rPr>
          <w:rFonts w:ascii="David" w:hAnsi="David" w:cs="David"/>
          <w:sz w:val="24"/>
          <w:szCs w:val="24"/>
          <w:rtl/>
        </w:rPr>
      </w:pPr>
    </w:p>
    <w:p w14:paraId="058A2989" w14:textId="77777777" w:rsidR="00840519" w:rsidRPr="00F25744" w:rsidRDefault="00E25AE7" w:rsidP="000C1408">
      <w:pPr>
        <w:pStyle w:val="3"/>
        <w:ind w:left="852"/>
        <w:rPr>
          <w:rtl/>
        </w:rPr>
      </w:pPr>
      <w:bookmarkStart w:id="727" w:name="_Toc46226094"/>
      <w:bookmarkStart w:id="728" w:name="_Toc46226238"/>
      <w:bookmarkStart w:id="729" w:name="_Toc46228405"/>
      <w:bookmarkStart w:id="730" w:name="_Toc46228503"/>
      <w:bookmarkStart w:id="731" w:name="_Toc46230430"/>
      <w:bookmarkStart w:id="732" w:name="_Toc46230528"/>
      <w:bookmarkStart w:id="733" w:name="_Toc46310418"/>
      <w:bookmarkStart w:id="734" w:name="_Toc46414060"/>
      <w:bookmarkStart w:id="735" w:name="_Toc49352775"/>
      <w:bookmarkStart w:id="736" w:name="_Toc49429680"/>
      <w:bookmarkStart w:id="737" w:name="_Toc49435909"/>
      <w:bookmarkStart w:id="738" w:name="_Toc74751018"/>
      <w:r w:rsidRPr="00F25744">
        <w:rPr>
          <w:rFonts w:hint="cs"/>
          <w:rtl/>
        </w:rPr>
        <w:t>הזמן השיפוטי הממוצע הדרוש לטיפול בתיקים במערכת המשפט</w:t>
      </w:r>
      <w:bookmarkEnd w:id="727"/>
      <w:bookmarkEnd w:id="728"/>
      <w:bookmarkEnd w:id="729"/>
      <w:bookmarkEnd w:id="730"/>
      <w:bookmarkEnd w:id="731"/>
      <w:bookmarkEnd w:id="732"/>
      <w:bookmarkEnd w:id="733"/>
      <w:bookmarkEnd w:id="734"/>
      <w:bookmarkEnd w:id="735"/>
      <w:bookmarkEnd w:id="736"/>
      <w:bookmarkEnd w:id="737"/>
      <w:bookmarkEnd w:id="738"/>
    </w:p>
    <w:p w14:paraId="206831EE" w14:textId="77777777" w:rsidR="00840519" w:rsidRPr="00F25744" w:rsidRDefault="00E25AE7" w:rsidP="001B0FA3">
      <w:pPr>
        <w:spacing w:after="0" w:line="360" w:lineRule="auto"/>
        <w:jc w:val="both"/>
        <w:rPr>
          <w:rFonts w:cs="David"/>
          <w:sz w:val="24"/>
          <w:szCs w:val="24"/>
          <w:rtl/>
        </w:rPr>
      </w:pPr>
      <w:r w:rsidRPr="00F25744">
        <w:rPr>
          <w:rFonts w:cs="David" w:hint="cs"/>
          <w:sz w:val="24"/>
          <w:szCs w:val="24"/>
          <w:rtl/>
        </w:rPr>
        <w:t>התוצר הראשון והמרכזי של מחקר עומס העבודה השיפוטית הוא חישוב הזמן השיפוטי הדרוש לטיפול בכל אחד מסוגי התיקים השונים הנשמעים במערכת המשפט. המחקר הנוכחי הצליח לחשב את הזמן השיפוטי הדרוש לטיפול ב-</w:t>
      </w:r>
      <w:r w:rsidR="00CA5224" w:rsidRPr="00F25744">
        <w:rPr>
          <w:rFonts w:cs="David" w:hint="cs"/>
          <w:sz w:val="24"/>
          <w:szCs w:val="24"/>
          <w:rtl/>
        </w:rPr>
        <w:t>167</w:t>
      </w:r>
      <w:r w:rsidR="000118C7" w:rsidRPr="00F25744">
        <w:rPr>
          <w:rFonts w:cs="David" w:hint="cs"/>
          <w:sz w:val="24"/>
          <w:szCs w:val="24"/>
          <w:rtl/>
        </w:rPr>
        <w:t xml:space="preserve"> </w:t>
      </w:r>
      <w:r w:rsidRPr="00F25744">
        <w:rPr>
          <w:rFonts w:cs="David" w:hint="cs"/>
          <w:sz w:val="24"/>
          <w:szCs w:val="24"/>
          <w:rtl/>
        </w:rPr>
        <w:t>סוגי תיקים</w:t>
      </w:r>
      <w:r w:rsidR="00B910D8" w:rsidRPr="00F25744">
        <w:rPr>
          <w:rFonts w:cs="David" w:hint="cs"/>
          <w:sz w:val="24"/>
          <w:szCs w:val="24"/>
          <w:rtl/>
        </w:rPr>
        <w:t xml:space="preserve"> וסוגי עניין </w:t>
      </w:r>
      <w:r w:rsidR="00216997" w:rsidRPr="00F25744">
        <w:rPr>
          <w:rFonts w:cs="David" w:hint="cs"/>
          <w:sz w:val="24"/>
          <w:szCs w:val="24"/>
          <w:rtl/>
        </w:rPr>
        <w:t>ייחודיי</w:t>
      </w:r>
      <w:r w:rsidR="00216997" w:rsidRPr="00F25744">
        <w:rPr>
          <w:rFonts w:cs="David" w:hint="eastAsia"/>
          <w:sz w:val="24"/>
          <w:szCs w:val="24"/>
          <w:rtl/>
        </w:rPr>
        <w:t>ם</w:t>
      </w:r>
      <w:r w:rsidR="00B910D8" w:rsidRPr="00F25744">
        <w:rPr>
          <w:rFonts w:cs="David" w:hint="cs"/>
          <w:sz w:val="24"/>
          <w:szCs w:val="24"/>
          <w:rtl/>
        </w:rPr>
        <w:t xml:space="preserve"> </w:t>
      </w:r>
      <w:r w:rsidR="000118C7" w:rsidRPr="00F25744">
        <w:rPr>
          <w:rFonts w:cs="David" w:hint="cs"/>
          <w:sz w:val="24"/>
          <w:szCs w:val="24"/>
          <w:rtl/>
        </w:rPr>
        <w:t>(</w:t>
      </w:r>
      <w:r w:rsidR="00216997" w:rsidRPr="00F25744">
        <w:rPr>
          <w:rFonts w:cs="David" w:hint="cs"/>
          <w:sz w:val="24"/>
          <w:szCs w:val="24"/>
          <w:rtl/>
        </w:rPr>
        <w:t xml:space="preserve">שהם </w:t>
      </w:r>
      <w:r w:rsidR="00CA5224" w:rsidRPr="00F25744">
        <w:rPr>
          <w:rFonts w:cs="David" w:hint="cs"/>
          <w:sz w:val="24"/>
          <w:szCs w:val="24"/>
          <w:rtl/>
        </w:rPr>
        <w:t>125</w:t>
      </w:r>
      <w:r w:rsidR="00216997" w:rsidRPr="00F25744">
        <w:rPr>
          <w:rFonts w:cs="David" w:hint="cs"/>
          <w:sz w:val="24"/>
          <w:szCs w:val="24"/>
          <w:rtl/>
        </w:rPr>
        <w:t xml:space="preserve"> סוגי תיקים, בצירוף 24 סוגי עניין ייחודיים בערכאות המחוזי והשלום, וכן 18 סוגי תיקים </w:t>
      </w:r>
      <w:r w:rsidR="00CD766D" w:rsidRPr="00F25744">
        <w:rPr>
          <w:rFonts w:cs="David" w:hint="cs"/>
          <w:sz w:val="24"/>
          <w:szCs w:val="24"/>
          <w:rtl/>
        </w:rPr>
        <w:t xml:space="preserve">הנדונים </w:t>
      </w:r>
      <w:r w:rsidR="000118C7" w:rsidRPr="00F25744">
        <w:rPr>
          <w:rFonts w:cs="David" w:hint="cs"/>
          <w:sz w:val="24"/>
          <w:szCs w:val="24"/>
          <w:rtl/>
        </w:rPr>
        <w:t>בבתי הדין האזוריים לעבודה)</w:t>
      </w:r>
      <w:r w:rsidRPr="00F25744">
        <w:rPr>
          <w:rFonts w:cs="David" w:hint="cs"/>
          <w:sz w:val="24"/>
          <w:szCs w:val="24"/>
          <w:rtl/>
        </w:rPr>
        <w:t xml:space="preserve">, </w:t>
      </w:r>
      <w:r w:rsidR="004A538E" w:rsidRPr="00F25744">
        <w:rPr>
          <w:rFonts w:cs="David" w:hint="cs"/>
          <w:sz w:val="24"/>
          <w:szCs w:val="24"/>
          <w:rtl/>
        </w:rPr>
        <w:t xml:space="preserve">המהווים למעלה מ-98% </w:t>
      </w:r>
      <w:r w:rsidRPr="00F25744">
        <w:rPr>
          <w:rFonts w:cs="David" w:hint="cs"/>
          <w:sz w:val="24"/>
          <w:szCs w:val="24"/>
          <w:rtl/>
        </w:rPr>
        <w:t>מכלל התיקים שנסגרו במהלך שנת 2019. כך, שגם אם לא התאפשר לחשב את הזמן השיפוטי הדרוש ליתר סוגי התיקים, ההשפעה של סוגי התיקים שלגביהם לא חושב הזמן השיפוטי על העומס</w:t>
      </w:r>
      <w:r w:rsidR="004A538E" w:rsidRPr="00F25744">
        <w:rPr>
          <w:rFonts w:cs="David" w:hint="cs"/>
          <w:sz w:val="24"/>
          <w:szCs w:val="24"/>
          <w:rtl/>
        </w:rPr>
        <w:t xml:space="preserve"> אינה משמעותית. </w:t>
      </w:r>
      <w:r w:rsidRPr="00F25744">
        <w:rPr>
          <w:rFonts w:cs="David" w:hint="cs"/>
          <w:sz w:val="24"/>
          <w:szCs w:val="24"/>
          <w:rtl/>
        </w:rPr>
        <w:t xml:space="preserve"> </w:t>
      </w:r>
    </w:p>
    <w:p w14:paraId="58504409" w14:textId="77777777" w:rsidR="002F4752" w:rsidRPr="00F25744" w:rsidRDefault="00E25AE7" w:rsidP="001B0FA3">
      <w:pPr>
        <w:spacing w:after="0" w:line="360" w:lineRule="auto"/>
        <w:jc w:val="both"/>
        <w:rPr>
          <w:rFonts w:cs="David"/>
          <w:sz w:val="24"/>
          <w:szCs w:val="24"/>
          <w:rtl/>
        </w:rPr>
      </w:pPr>
      <w:r w:rsidRPr="00F25744">
        <w:rPr>
          <w:rFonts w:cs="David" w:hint="cs"/>
          <w:sz w:val="24"/>
          <w:szCs w:val="24"/>
          <w:rtl/>
        </w:rPr>
        <w:t xml:space="preserve">אם כן, </w:t>
      </w:r>
      <w:r w:rsidR="00840519" w:rsidRPr="00F25744">
        <w:rPr>
          <w:rFonts w:cs="David" w:hint="cs"/>
          <w:sz w:val="24"/>
          <w:szCs w:val="24"/>
          <w:rtl/>
        </w:rPr>
        <w:t xml:space="preserve">בטבלה שלפניכם מובאים </w:t>
      </w:r>
      <w:r w:rsidR="00CA5224" w:rsidRPr="00F25744">
        <w:rPr>
          <w:rFonts w:cs="David" w:hint="cs"/>
          <w:sz w:val="24"/>
          <w:szCs w:val="24"/>
          <w:rtl/>
        </w:rPr>
        <w:t>167</w:t>
      </w:r>
      <w:r w:rsidR="00840519" w:rsidRPr="00F25744">
        <w:rPr>
          <w:rFonts w:cs="David" w:hint="cs"/>
          <w:sz w:val="24"/>
          <w:szCs w:val="24"/>
          <w:rtl/>
        </w:rPr>
        <w:t xml:space="preserve"> סוגי התיקים </w:t>
      </w:r>
      <w:r w:rsidR="00B910D8" w:rsidRPr="00F25744">
        <w:rPr>
          <w:rFonts w:cs="David" w:hint="cs"/>
          <w:sz w:val="24"/>
          <w:szCs w:val="24"/>
          <w:rtl/>
        </w:rPr>
        <w:t>וסוגי העניין הי</w:t>
      </w:r>
      <w:r w:rsidR="00216997" w:rsidRPr="00F25744">
        <w:rPr>
          <w:rFonts w:cs="David" w:hint="cs"/>
          <w:sz w:val="24"/>
          <w:szCs w:val="24"/>
          <w:rtl/>
        </w:rPr>
        <w:t>י</w:t>
      </w:r>
      <w:r w:rsidR="00B910D8" w:rsidRPr="00F25744">
        <w:rPr>
          <w:rFonts w:cs="David" w:hint="cs"/>
          <w:sz w:val="24"/>
          <w:szCs w:val="24"/>
          <w:rtl/>
        </w:rPr>
        <w:t xml:space="preserve">חודיים </w:t>
      </w:r>
      <w:r w:rsidR="00840519" w:rsidRPr="00F25744">
        <w:rPr>
          <w:rFonts w:cs="David" w:hint="cs"/>
          <w:sz w:val="24"/>
          <w:szCs w:val="24"/>
          <w:rtl/>
        </w:rPr>
        <w:t xml:space="preserve">שלגביהם נאספו נתונים מספקים בכל מערכי המחקר, </w:t>
      </w:r>
      <w:r w:rsidR="00757D2D" w:rsidRPr="00F25744">
        <w:rPr>
          <w:rFonts w:cs="David" w:hint="cs"/>
          <w:sz w:val="24"/>
          <w:szCs w:val="24"/>
          <w:rtl/>
        </w:rPr>
        <w:t xml:space="preserve">כמות התיקים שנסגרו מכל סוג תיק בשנת 2019, </w:t>
      </w:r>
      <w:r w:rsidR="00840519" w:rsidRPr="00F25744">
        <w:rPr>
          <w:rFonts w:cs="David" w:hint="cs"/>
          <w:sz w:val="24"/>
          <w:szCs w:val="24"/>
          <w:rtl/>
        </w:rPr>
        <w:t xml:space="preserve">הזמן השיפוטי </w:t>
      </w:r>
      <w:r w:rsidR="00757D2D" w:rsidRPr="00F25744">
        <w:rPr>
          <w:rFonts w:cs="David" w:hint="cs"/>
          <w:sz w:val="24"/>
          <w:szCs w:val="24"/>
          <w:rtl/>
        </w:rPr>
        <w:t xml:space="preserve">שנמדד במחקר זה </w:t>
      </w:r>
      <w:r w:rsidR="00840519" w:rsidRPr="00F25744">
        <w:rPr>
          <w:rFonts w:cs="David" w:hint="cs"/>
          <w:sz w:val="24"/>
          <w:szCs w:val="24"/>
          <w:rtl/>
        </w:rPr>
        <w:t>הדרוש לטיפול ב</w:t>
      </w:r>
      <w:r w:rsidR="00757D2D" w:rsidRPr="00F25744">
        <w:rPr>
          <w:rFonts w:cs="David" w:hint="cs"/>
          <w:sz w:val="24"/>
          <w:szCs w:val="24"/>
          <w:rtl/>
        </w:rPr>
        <w:t>כל סוג תיק</w:t>
      </w:r>
      <w:r w:rsidR="00840519" w:rsidRPr="00F25744">
        <w:rPr>
          <w:rFonts w:cs="David" w:hint="cs"/>
          <w:sz w:val="24"/>
          <w:szCs w:val="24"/>
          <w:rtl/>
        </w:rPr>
        <w:t>, הזמן השיפוטי שנמדד במחקר המשקלות הקודם</w:t>
      </w:r>
      <w:r w:rsidR="00757D2D" w:rsidRPr="00F25744">
        <w:rPr>
          <w:rFonts w:cs="David" w:hint="cs"/>
          <w:sz w:val="24"/>
          <w:szCs w:val="24"/>
          <w:rtl/>
        </w:rPr>
        <w:t xml:space="preserve">, </w:t>
      </w:r>
      <w:r w:rsidR="00840519" w:rsidRPr="00F25744">
        <w:rPr>
          <w:rFonts w:cs="David" w:hint="cs"/>
          <w:sz w:val="24"/>
          <w:szCs w:val="24"/>
          <w:rtl/>
        </w:rPr>
        <w:t>מגמת השינוי</w:t>
      </w:r>
      <w:r w:rsidR="00757D2D" w:rsidRPr="00F25744">
        <w:rPr>
          <w:rFonts w:cs="David" w:hint="cs"/>
          <w:sz w:val="24"/>
          <w:szCs w:val="24"/>
          <w:rtl/>
        </w:rPr>
        <w:t xml:space="preserve"> ומשקלו החדש של כל תיק </w:t>
      </w:r>
      <w:r w:rsidR="008F05AA" w:rsidRPr="00F25744">
        <w:rPr>
          <w:rFonts w:cs="David" w:hint="cs"/>
          <w:sz w:val="24"/>
          <w:szCs w:val="24"/>
          <w:rtl/>
        </w:rPr>
        <w:t>[</w:t>
      </w:r>
      <w:r w:rsidR="00757D2D" w:rsidRPr="00F25744">
        <w:rPr>
          <w:rFonts w:cs="David" w:hint="cs"/>
          <w:sz w:val="24"/>
          <w:szCs w:val="24"/>
          <w:rtl/>
        </w:rPr>
        <w:t xml:space="preserve">לאחר חלוקת הזמן השיפוטי </w:t>
      </w:r>
      <w:r w:rsidR="008F05AA" w:rsidRPr="00F25744">
        <w:rPr>
          <w:rFonts w:cs="David" w:hint="cs"/>
          <w:sz w:val="24"/>
          <w:szCs w:val="24"/>
          <w:rtl/>
        </w:rPr>
        <w:t>ש</w:t>
      </w:r>
      <w:r w:rsidR="00757D2D" w:rsidRPr="00F25744">
        <w:rPr>
          <w:rFonts w:cs="David" w:hint="cs"/>
          <w:sz w:val="24"/>
          <w:szCs w:val="24"/>
          <w:rtl/>
        </w:rPr>
        <w:t xml:space="preserve">נמדד בזמן השיפוטי הדרוש לתיק הקצר ביותר </w:t>
      </w:r>
      <w:r w:rsidR="00757D2D" w:rsidRPr="00F25744">
        <w:rPr>
          <w:rFonts w:cs="David"/>
          <w:sz w:val="24"/>
          <w:szCs w:val="24"/>
          <w:rtl/>
        </w:rPr>
        <w:t>–</w:t>
      </w:r>
      <w:r w:rsidR="00757D2D" w:rsidRPr="00F25744">
        <w:rPr>
          <w:rFonts w:cs="David" w:hint="cs"/>
          <w:sz w:val="24"/>
          <w:szCs w:val="24"/>
          <w:rtl/>
        </w:rPr>
        <w:t xml:space="preserve"> תיק </w:t>
      </w:r>
      <w:r w:rsidR="008F05AA" w:rsidRPr="00F25744">
        <w:rPr>
          <w:rFonts w:cs="David" w:hint="cs"/>
          <w:sz w:val="24"/>
          <w:szCs w:val="24"/>
          <w:rtl/>
        </w:rPr>
        <w:t>מ"ס (מינוי סנגור בערכאת הנוער)</w:t>
      </w:r>
      <w:r w:rsidR="00757D2D" w:rsidRPr="00F25744">
        <w:rPr>
          <w:rFonts w:cs="David" w:hint="cs"/>
          <w:sz w:val="24"/>
          <w:szCs w:val="24"/>
          <w:rtl/>
        </w:rPr>
        <w:t xml:space="preserve"> שנמצא כי הוא אורך בממוצע 2 דקות</w:t>
      </w:r>
      <w:r w:rsidR="008F05AA" w:rsidRPr="00F25744">
        <w:rPr>
          <w:rFonts w:cs="David" w:hint="cs"/>
          <w:sz w:val="24"/>
          <w:szCs w:val="24"/>
          <w:rtl/>
        </w:rPr>
        <w:t>]</w:t>
      </w:r>
      <w:r w:rsidR="00840519" w:rsidRPr="00F25744">
        <w:rPr>
          <w:rFonts w:cs="David" w:hint="cs"/>
          <w:sz w:val="24"/>
          <w:szCs w:val="24"/>
          <w:rtl/>
        </w:rPr>
        <w:t>.</w:t>
      </w:r>
      <w:r w:rsidR="00757D2D" w:rsidRPr="00F25744">
        <w:rPr>
          <w:rFonts w:cs="David" w:hint="cs"/>
          <w:sz w:val="24"/>
          <w:szCs w:val="24"/>
          <w:rtl/>
        </w:rPr>
        <w:t xml:space="preserve"> </w:t>
      </w:r>
      <w:r w:rsidR="0051615B" w:rsidRPr="00F25744">
        <w:rPr>
          <w:rFonts w:cs="David" w:hint="cs"/>
          <w:sz w:val="24"/>
          <w:szCs w:val="24"/>
          <w:rtl/>
        </w:rPr>
        <w:t xml:space="preserve">כמו כן מוצגים חמישה זמנים משוקללים: שלושה זמנים משוקללים לתיקי ערכאת המחוזי: ת"א, ע"פ וע"א, ושני זמנים משוקללים לתיקי בתי משפט השלום: ת"א ותא"מ. </w:t>
      </w:r>
    </w:p>
    <w:p w14:paraId="1A4EFF8A" w14:textId="77777777" w:rsidR="00757D2D" w:rsidRPr="00F25744" w:rsidRDefault="00E25AE7" w:rsidP="000C2460">
      <w:pPr>
        <w:spacing w:after="0" w:line="360" w:lineRule="auto"/>
        <w:jc w:val="both"/>
        <w:rPr>
          <w:rFonts w:cs="David"/>
          <w:sz w:val="24"/>
          <w:szCs w:val="24"/>
          <w:rtl/>
        </w:rPr>
      </w:pPr>
      <w:r w:rsidRPr="00F25744">
        <w:rPr>
          <w:rFonts w:cs="David" w:hint="cs"/>
          <w:sz w:val="24"/>
          <w:szCs w:val="24"/>
          <w:rtl/>
        </w:rPr>
        <w:t>חשוב לציין</w:t>
      </w:r>
      <w:r w:rsidR="00CA5224" w:rsidRPr="00F25744">
        <w:rPr>
          <w:rFonts w:cs="David" w:hint="cs"/>
          <w:sz w:val="24"/>
          <w:szCs w:val="24"/>
          <w:rtl/>
        </w:rPr>
        <w:t xml:space="preserve"> כאן שוב</w:t>
      </w:r>
      <w:r w:rsidRPr="00F25744">
        <w:rPr>
          <w:rFonts w:cs="David" w:hint="cs"/>
          <w:sz w:val="24"/>
          <w:szCs w:val="24"/>
          <w:rtl/>
        </w:rPr>
        <w:t xml:space="preserve">, כי לא יכולנו לחשב את זמניהם של סוגי התיקים </w:t>
      </w:r>
      <w:r w:rsidRPr="00F25744">
        <w:rPr>
          <w:rFonts w:cs="David" w:hint="cs"/>
          <w:b/>
          <w:bCs/>
          <w:sz w:val="24"/>
          <w:szCs w:val="24"/>
          <w:rtl/>
        </w:rPr>
        <w:t>הנדירים</w:t>
      </w:r>
      <w:r w:rsidRPr="00F25744">
        <w:rPr>
          <w:rFonts w:cs="David" w:hint="cs"/>
          <w:sz w:val="24"/>
          <w:szCs w:val="24"/>
          <w:rtl/>
        </w:rPr>
        <w:t xml:space="preserve"> ביותר בכל ערכאה, בשל מיעוט הנתונים לגביהם. עם זאת, קיימים סוגי תיקים אשר לגביהם היו לנו נתונים</w:t>
      </w:r>
      <w:r w:rsidR="00962DDA" w:rsidRPr="00F25744">
        <w:rPr>
          <w:rFonts w:cs="David" w:hint="cs"/>
          <w:sz w:val="24"/>
          <w:szCs w:val="24"/>
          <w:rtl/>
        </w:rPr>
        <w:t xml:space="preserve"> על כל האירועים בתיק ושכיחותם</w:t>
      </w:r>
      <w:r w:rsidRPr="00F25744">
        <w:rPr>
          <w:rFonts w:cs="David" w:hint="cs"/>
          <w:sz w:val="24"/>
          <w:szCs w:val="24"/>
          <w:rtl/>
        </w:rPr>
        <w:t xml:space="preserve">, </w:t>
      </w:r>
      <w:r w:rsidR="000C2460" w:rsidRPr="00F25744">
        <w:rPr>
          <w:rFonts w:cs="David" w:hint="cs"/>
          <w:sz w:val="24"/>
          <w:szCs w:val="24"/>
          <w:rtl/>
        </w:rPr>
        <w:t xml:space="preserve">אולם </w:t>
      </w:r>
      <w:r w:rsidR="007B6BC3" w:rsidRPr="00F25744">
        <w:rPr>
          <w:rFonts w:cs="David" w:hint="cs"/>
          <w:sz w:val="24"/>
          <w:szCs w:val="24"/>
          <w:rtl/>
        </w:rPr>
        <w:t xml:space="preserve">קיבלנו לגביהם מעט דיווחים במהלך תקופת המחקר </w:t>
      </w:r>
      <w:r w:rsidRPr="00F25744">
        <w:rPr>
          <w:rFonts w:cs="David" w:hint="cs"/>
          <w:sz w:val="24"/>
          <w:szCs w:val="24"/>
          <w:rtl/>
        </w:rPr>
        <w:t xml:space="preserve">לגבי </w:t>
      </w:r>
      <w:r w:rsidR="002F4752" w:rsidRPr="00F25744">
        <w:rPr>
          <w:rFonts w:cs="David" w:hint="cs"/>
          <w:sz w:val="24"/>
          <w:szCs w:val="24"/>
          <w:rtl/>
        </w:rPr>
        <w:t>חלק מה</w:t>
      </w:r>
      <w:r w:rsidRPr="00F25744">
        <w:rPr>
          <w:rFonts w:cs="David" w:hint="cs"/>
          <w:sz w:val="24"/>
          <w:szCs w:val="24"/>
          <w:rtl/>
        </w:rPr>
        <w:t>אירוע</w:t>
      </w:r>
      <w:r w:rsidR="002F4752" w:rsidRPr="00F25744">
        <w:rPr>
          <w:rFonts w:cs="David" w:hint="cs"/>
          <w:sz w:val="24"/>
          <w:szCs w:val="24"/>
          <w:rtl/>
        </w:rPr>
        <w:t>ים</w:t>
      </w:r>
      <w:r w:rsidRPr="00F25744">
        <w:rPr>
          <w:rFonts w:cs="David" w:hint="cs"/>
          <w:sz w:val="24"/>
          <w:szCs w:val="24"/>
          <w:rtl/>
        </w:rPr>
        <w:t xml:space="preserve"> שנמדד</w:t>
      </w:r>
      <w:r w:rsidR="002F4752" w:rsidRPr="00F25744">
        <w:rPr>
          <w:rFonts w:cs="David" w:hint="cs"/>
          <w:sz w:val="24"/>
          <w:szCs w:val="24"/>
          <w:rtl/>
        </w:rPr>
        <w:t>ו</w:t>
      </w:r>
      <w:r w:rsidR="00BD523A" w:rsidRPr="00F25744">
        <w:rPr>
          <w:rFonts w:cs="David" w:hint="cs"/>
          <w:sz w:val="24"/>
          <w:szCs w:val="24"/>
          <w:rtl/>
        </w:rPr>
        <w:t xml:space="preserve"> </w:t>
      </w:r>
      <w:r w:rsidR="000C2460" w:rsidRPr="00F25744">
        <w:rPr>
          <w:rFonts w:cs="David" w:hint="cs"/>
          <w:sz w:val="24"/>
          <w:szCs w:val="24"/>
          <w:rtl/>
        </w:rPr>
        <w:t>(</w:t>
      </w:r>
      <w:r w:rsidR="00BD523A" w:rsidRPr="00F25744">
        <w:rPr>
          <w:rFonts w:cs="David" w:hint="cs"/>
          <w:sz w:val="24"/>
          <w:szCs w:val="24"/>
          <w:rtl/>
        </w:rPr>
        <w:t xml:space="preserve">כפי </w:t>
      </w:r>
      <w:r w:rsidR="000C2460" w:rsidRPr="00F25744">
        <w:rPr>
          <w:rFonts w:cs="David" w:hint="cs"/>
          <w:sz w:val="24"/>
          <w:szCs w:val="24"/>
          <w:rtl/>
        </w:rPr>
        <w:t xml:space="preserve">שפורט </w:t>
      </w:r>
      <w:r w:rsidR="00BD523A" w:rsidRPr="00F25744">
        <w:rPr>
          <w:rFonts w:cs="David" w:hint="cs"/>
          <w:sz w:val="24"/>
          <w:szCs w:val="24"/>
          <w:rtl/>
        </w:rPr>
        <w:t xml:space="preserve">בהרחבה </w:t>
      </w:r>
      <w:r w:rsidR="00CA5224" w:rsidRPr="00F25744">
        <w:rPr>
          <w:rFonts w:cs="David" w:hint="cs"/>
          <w:sz w:val="24"/>
          <w:szCs w:val="24"/>
          <w:rtl/>
        </w:rPr>
        <w:t>בפרקי הממצאים לגבי ערכאות המחוזי והשלום</w:t>
      </w:r>
      <w:r w:rsidR="000C2460" w:rsidRPr="00F25744">
        <w:rPr>
          <w:rFonts w:cs="David" w:hint="cs"/>
          <w:sz w:val="24"/>
          <w:szCs w:val="24"/>
          <w:rtl/>
        </w:rPr>
        <w:t>)</w:t>
      </w:r>
      <w:r w:rsidR="00CA5224" w:rsidRPr="00F25744">
        <w:rPr>
          <w:rFonts w:cs="David" w:hint="cs"/>
          <w:sz w:val="24"/>
          <w:szCs w:val="24"/>
          <w:rtl/>
        </w:rPr>
        <w:t xml:space="preserve">. </w:t>
      </w:r>
      <w:r w:rsidR="002F172D" w:rsidRPr="00F25744">
        <w:rPr>
          <w:rFonts w:cs="David" w:hint="cs"/>
          <w:sz w:val="24"/>
          <w:szCs w:val="24"/>
          <w:rtl/>
        </w:rPr>
        <w:t>את הנתונים המעטים הללו ניס</w:t>
      </w:r>
      <w:r w:rsidR="00A24C99" w:rsidRPr="00F25744">
        <w:rPr>
          <w:rFonts w:cs="David" w:hint="cs"/>
          <w:sz w:val="24"/>
          <w:szCs w:val="24"/>
          <w:rtl/>
        </w:rPr>
        <w:t>ינו להשלים בעזרת השאלון המסכם, שבו התבקשו השופטים להעריך את משכי הזמן הדרושים לביצוע פעולות שונות בתיקים שלגביה</w:t>
      </w:r>
      <w:r w:rsidR="000C2460" w:rsidRPr="00F25744">
        <w:rPr>
          <w:rFonts w:cs="David" w:hint="cs"/>
          <w:sz w:val="24"/>
          <w:szCs w:val="24"/>
          <w:rtl/>
        </w:rPr>
        <w:t>ם</w:t>
      </w:r>
      <w:r w:rsidR="00A24C99" w:rsidRPr="00F25744">
        <w:rPr>
          <w:rFonts w:cs="David" w:hint="cs"/>
          <w:sz w:val="24"/>
          <w:szCs w:val="24"/>
          <w:rtl/>
        </w:rPr>
        <w:t xml:space="preserve"> קיבלנו מעט נתונים במהלך תקופת המחקר. </w:t>
      </w:r>
      <w:r w:rsidR="002F4752" w:rsidRPr="00F25744">
        <w:rPr>
          <w:rFonts w:cs="David" w:hint="cs"/>
          <w:sz w:val="24"/>
          <w:szCs w:val="24"/>
          <w:rtl/>
        </w:rPr>
        <w:t xml:space="preserve">בשל נדירותם של אותם תיקים, לעתים גם במסגרת השאלון המסכם לא קיבלנו די דיווחים כדי לבסס ממוצע שבו מרווח הטעות קטן דיו. </w:t>
      </w:r>
      <w:r w:rsidR="00F92C4B" w:rsidRPr="00F25744">
        <w:rPr>
          <w:rFonts w:cs="David" w:hint="cs"/>
          <w:sz w:val="24"/>
          <w:szCs w:val="24"/>
          <w:rtl/>
        </w:rPr>
        <w:t xml:space="preserve">לפיכך, </w:t>
      </w:r>
      <w:r w:rsidR="002F4752" w:rsidRPr="00F25744">
        <w:rPr>
          <w:rFonts w:cs="David" w:hint="cs"/>
          <w:sz w:val="24"/>
          <w:szCs w:val="24"/>
          <w:rtl/>
        </w:rPr>
        <w:t xml:space="preserve">במקום לוותר לחלוטין על הצגת זמניהם של תיקים אלו, ובעיקר נוכח בקשות השופטים והנשיאים לחשב </w:t>
      </w:r>
      <w:r w:rsidR="00C13560" w:rsidRPr="00F25744">
        <w:rPr>
          <w:rFonts w:cs="David" w:hint="cs"/>
          <w:sz w:val="24"/>
          <w:szCs w:val="24"/>
          <w:rtl/>
        </w:rPr>
        <w:t xml:space="preserve">גם </w:t>
      </w:r>
      <w:r w:rsidR="002F4752" w:rsidRPr="00F25744">
        <w:rPr>
          <w:rFonts w:cs="David" w:hint="cs"/>
          <w:sz w:val="24"/>
          <w:szCs w:val="24"/>
          <w:rtl/>
        </w:rPr>
        <w:t xml:space="preserve">את זמניהם של אותם תיקים נדירים, בחרנו להציג את הזמנים שנמדדו לגביהם בכל זאת. </w:t>
      </w:r>
      <w:r w:rsidR="009F696A" w:rsidRPr="00F25744">
        <w:rPr>
          <w:rFonts w:cs="David" w:hint="cs"/>
          <w:sz w:val="24"/>
          <w:szCs w:val="24"/>
          <w:rtl/>
        </w:rPr>
        <w:t xml:space="preserve">על כן, לתשומת לבכם, </w:t>
      </w:r>
      <w:r w:rsidR="002F4752" w:rsidRPr="00F25744">
        <w:rPr>
          <w:rFonts w:cs="David" w:hint="cs"/>
          <w:sz w:val="24"/>
          <w:szCs w:val="24"/>
          <w:rtl/>
        </w:rPr>
        <w:t>תיקים אלו מסומנים בטבלה שלפניכם בכוכבית (</w:t>
      </w:r>
      <w:r w:rsidR="002F4752" w:rsidRPr="00F25744">
        <w:rPr>
          <w:rFonts w:cs="David" w:hint="cs"/>
          <w:b/>
          <w:bCs/>
          <w:sz w:val="24"/>
          <w:szCs w:val="24"/>
          <w:rtl/>
        </w:rPr>
        <w:t>*</w:t>
      </w:r>
      <w:r w:rsidR="002F4752" w:rsidRPr="00F25744">
        <w:rPr>
          <w:rFonts w:cs="David" w:hint="cs"/>
          <w:sz w:val="24"/>
          <w:szCs w:val="24"/>
          <w:rtl/>
        </w:rPr>
        <w:t xml:space="preserve">). </w:t>
      </w:r>
    </w:p>
    <w:p w14:paraId="63AE04AE" w14:textId="3FBABAC3" w:rsidR="0088205C" w:rsidRPr="00F25744" w:rsidRDefault="00E25AE7" w:rsidP="00896D93">
      <w:pPr>
        <w:spacing w:after="0" w:line="360" w:lineRule="auto"/>
        <w:jc w:val="both"/>
        <w:rPr>
          <w:rFonts w:cs="David"/>
          <w:sz w:val="24"/>
          <w:szCs w:val="24"/>
          <w:rtl/>
        </w:rPr>
      </w:pPr>
      <w:r w:rsidRPr="00F25744">
        <w:rPr>
          <w:rFonts w:cs="David" w:hint="cs"/>
          <w:sz w:val="24"/>
          <w:szCs w:val="24"/>
          <w:rtl/>
        </w:rPr>
        <w:t xml:space="preserve">ניתן לראות עלייה משמעותית בזמני הטיפול השיפוטי בחלק מסוגי התיקים לעומת ירידה בזמנים שנמדדו לגבי חלק מסוגי התיקים האחרים. ככלל, אפשר לשייך חלק מהשינויים בזמנים לעצם השינוי </w:t>
      </w:r>
      <w:r w:rsidRPr="00F25744">
        <w:rPr>
          <w:rFonts w:cs="David" w:hint="cs"/>
          <w:sz w:val="24"/>
          <w:szCs w:val="24"/>
          <w:rtl/>
        </w:rPr>
        <w:lastRenderedPageBreak/>
        <w:t>במתודולוגיה של המחקר הנוכחי, אשר מבוסס על מדידת זמני הטיפול השיפוטי בתיקים בזמן אמת לעומת הערכת השופטים את הזמנים כפי שנעשה במחקר הקודם. במיוחד יש להניח שקשה למדוד על דרך ההערכה את התיקים הגדולים והמורכבים יותר, אשר הטיפול המשפטי בהם עשוי להימשך על פני שנים. כמו כן, קיימת מגמת גידול בכמויות התיקים הנפתחים במערכת כולה, כמו גם עלייה ברמת המורכבות המשפטית של התיקים האזרחיים במיוחד, וכן נערכו שינויי חקיקה שונים מאז המחקר הקודם. ניתן לראות עליות משמעותיות במיוחד בזמני הטיפול השיפוטי בחלק מתיקי ערכאת המחוזי</w:t>
      </w:r>
      <w:r w:rsidR="00341018" w:rsidRPr="00F25744">
        <w:rPr>
          <w:rFonts w:cs="David" w:hint="cs"/>
          <w:sz w:val="24"/>
          <w:szCs w:val="24"/>
          <w:rtl/>
        </w:rPr>
        <w:t>.</w:t>
      </w:r>
      <w:r w:rsidRPr="00F25744">
        <w:rPr>
          <w:rFonts w:cs="David" w:hint="cs"/>
          <w:sz w:val="24"/>
          <w:szCs w:val="24"/>
          <w:rtl/>
        </w:rPr>
        <w:t xml:space="preserve"> מגמה</w:t>
      </w:r>
      <w:r w:rsidR="00341018" w:rsidRPr="00F25744">
        <w:rPr>
          <w:rFonts w:cs="David" w:hint="cs"/>
          <w:sz w:val="24"/>
          <w:szCs w:val="24"/>
          <w:rtl/>
        </w:rPr>
        <w:t xml:space="preserve"> זו</w:t>
      </w:r>
      <w:r w:rsidRPr="00F25744">
        <w:rPr>
          <w:rFonts w:cs="David" w:hint="cs"/>
          <w:sz w:val="24"/>
          <w:szCs w:val="24"/>
          <w:rtl/>
        </w:rPr>
        <w:t xml:space="preserve"> תואמת שיחות שערכנו עם שופטי מחוזי רבים, שמהן עלה כי התיקים במחוזי </w:t>
      </w:r>
      <w:r w:rsidR="00341018" w:rsidRPr="00F25744">
        <w:rPr>
          <w:rFonts w:cs="David" w:hint="cs"/>
          <w:sz w:val="24"/>
          <w:szCs w:val="24"/>
          <w:rtl/>
        </w:rPr>
        <w:t>נעשים</w:t>
      </w:r>
      <w:r w:rsidRPr="00F25744">
        <w:rPr>
          <w:rFonts w:cs="David" w:hint="cs"/>
          <w:sz w:val="24"/>
          <w:szCs w:val="24"/>
          <w:rtl/>
        </w:rPr>
        <w:t xml:space="preserve"> מורכבים וקשים יותר משנה לשנה, ו</w:t>
      </w:r>
      <w:r w:rsidR="00341018" w:rsidRPr="00F25744">
        <w:rPr>
          <w:rFonts w:cs="David" w:hint="cs"/>
          <w:sz w:val="24"/>
          <w:szCs w:val="24"/>
          <w:rtl/>
        </w:rPr>
        <w:t>ע</w:t>
      </w:r>
      <w:r w:rsidRPr="00F25744">
        <w:rPr>
          <w:rFonts w:cs="David" w:hint="cs"/>
          <w:sz w:val="24"/>
          <w:szCs w:val="24"/>
          <w:rtl/>
        </w:rPr>
        <w:t>ומס העבודה הכללי הולך וגדל</w:t>
      </w:r>
      <w:r w:rsidR="001E1A50" w:rsidRPr="00F25744">
        <w:rPr>
          <w:rFonts w:cs="David" w:hint="cs"/>
          <w:sz w:val="24"/>
          <w:szCs w:val="24"/>
          <w:rtl/>
        </w:rPr>
        <w:t xml:space="preserve"> (ראו פירוט בנוגע למהלכי התיקוף הנוספים שערכנו לגבי תיקי המחוזי ולגבי הפערים בין תיקים מקבילים במחוזי ובשלום, בפרק הממצאים של ערכאת המחוזי)</w:t>
      </w:r>
      <w:r w:rsidRPr="00F25744">
        <w:rPr>
          <w:rFonts w:cs="David" w:hint="cs"/>
          <w:sz w:val="24"/>
          <w:szCs w:val="24"/>
          <w:rtl/>
        </w:rPr>
        <w:t>. כך, למשל, ניתן לראות עלייה משמעותית ביותר בזמן הטיפול השיפוטי בתיקי תפ"ח (תיק פשעים חמורים), שבהם הזמן השיפוטי כמעט הוכפל, עלייה ניכרת בזמני הטיפול בתיקים הפליליים</w:t>
      </w:r>
      <w:r w:rsidR="009C2B8E" w:rsidRPr="00F25744">
        <w:rPr>
          <w:rFonts w:cs="David" w:hint="cs"/>
          <w:sz w:val="24"/>
          <w:szCs w:val="24"/>
          <w:rtl/>
        </w:rPr>
        <w:t xml:space="preserve"> (גם בערכאת המחוזי וגם בערכאת השלום)</w:t>
      </w:r>
      <w:r w:rsidRPr="00F25744">
        <w:rPr>
          <w:rFonts w:cs="David" w:hint="cs"/>
          <w:sz w:val="24"/>
          <w:szCs w:val="24"/>
          <w:rtl/>
        </w:rPr>
        <w:t xml:space="preserve">, שאותה </w:t>
      </w:r>
      <w:r w:rsidR="00CD766D" w:rsidRPr="00F25744">
        <w:rPr>
          <w:rFonts w:cs="David" w:hint="cs"/>
          <w:sz w:val="24"/>
          <w:szCs w:val="24"/>
          <w:rtl/>
        </w:rPr>
        <w:t>י</w:t>
      </w:r>
      <w:r w:rsidR="00CB7740" w:rsidRPr="00F25744">
        <w:rPr>
          <w:rFonts w:cs="David" w:hint="cs"/>
          <w:sz w:val="24"/>
          <w:szCs w:val="24"/>
          <w:rtl/>
        </w:rPr>
        <w:t>י</w:t>
      </w:r>
      <w:r w:rsidR="00CD766D" w:rsidRPr="00F25744">
        <w:rPr>
          <w:rFonts w:cs="David" w:hint="cs"/>
          <w:sz w:val="24"/>
          <w:szCs w:val="24"/>
          <w:rtl/>
        </w:rPr>
        <w:t>תכן ש</w:t>
      </w:r>
      <w:r w:rsidRPr="00F25744">
        <w:rPr>
          <w:rFonts w:cs="David" w:hint="cs"/>
          <w:sz w:val="24"/>
          <w:szCs w:val="24"/>
          <w:rtl/>
        </w:rPr>
        <w:t>ניתן לשייך, בין היתר, ליישומו של תיקון 113 לחוק העונשין בדבר הבניית הענישה ועוד, ועלייה משמעותית בחלק מן התיקים האזרחיים בערכאת המחוזי, שזמניהם ארוכים הרבה יותר מן התיקים האזרחיים בערכאת השלום. עוד ניתן לציין את העלייה המשמעותית בזמן השיפוטי שנמדד לגבי תיק גמ"ר (גרימת מוות ברשלנות) בבית המשפט לתעבורה.</w:t>
      </w:r>
      <w:r w:rsidR="004A1F75" w:rsidRPr="00F25744">
        <w:rPr>
          <w:rFonts w:cs="David" w:hint="cs"/>
          <w:sz w:val="24"/>
          <w:szCs w:val="24"/>
          <w:rtl/>
        </w:rPr>
        <w:t xml:space="preserve"> כפי שפירטנו בפרק הממצאים של בתי המשפט לתעבורה,</w:t>
      </w:r>
      <w:r w:rsidRPr="00F25744">
        <w:rPr>
          <w:rFonts w:cs="David" w:hint="cs"/>
          <w:sz w:val="24"/>
          <w:szCs w:val="24"/>
          <w:rtl/>
        </w:rPr>
        <w:t xml:space="preserve"> </w:t>
      </w:r>
      <w:r w:rsidR="00D3158A" w:rsidRPr="00F25744">
        <w:rPr>
          <w:rFonts w:cs="David" w:hint="cs"/>
          <w:sz w:val="24"/>
          <w:szCs w:val="24"/>
          <w:rtl/>
        </w:rPr>
        <w:t>משיחות עם ש</w:t>
      </w:r>
      <w:r w:rsidR="00761170" w:rsidRPr="00F25744">
        <w:rPr>
          <w:rFonts w:cs="David" w:hint="cs"/>
          <w:sz w:val="24"/>
          <w:szCs w:val="24"/>
          <w:rtl/>
        </w:rPr>
        <w:t xml:space="preserve">ני </w:t>
      </w:r>
      <w:r w:rsidRPr="00F25744">
        <w:rPr>
          <w:rFonts w:cs="David" w:hint="cs"/>
          <w:sz w:val="24"/>
          <w:szCs w:val="24"/>
          <w:rtl/>
        </w:rPr>
        <w:t>סג</w:t>
      </w:r>
      <w:r w:rsidR="00761170" w:rsidRPr="00F25744">
        <w:rPr>
          <w:rFonts w:cs="David" w:hint="cs"/>
          <w:sz w:val="24"/>
          <w:szCs w:val="24"/>
          <w:rtl/>
        </w:rPr>
        <w:t>ני</w:t>
      </w:r>
      <w:r w:rsidRPr="00F25744">
        <w:rPr>
          <w:rFonts w:cs="David" w:hint="cs"/>
          <w:sz w:val="24"/>
          <w:szCs w:val="24"/>
          <w:rtl/>
        </w:rPr>
        <w:t xml:space="preserve"> נשיא</w:t>
      </w:r>
      <w:r w:rsidR="00761170" w:rsidRPr="00F25744">
        <w:rPr>
          <w:rFonts w:cs="David" w:hint="cs"/>
          <w:sz w:val="24"/>
          <w:szCs w:val="24"/>
          <w:rtl/>
        </w:rPr>
        <w:t xml:space="preserve"> של בתי משפט לתעבורה, </w:t>
      </w:r>
      <w:r w:rsidR="00D3158A" w:rsidRPr="00F25744">
        <w:rPr>
          <w:rFonts w:cs="David" w:hint="cs"/>
          <w:sz w:val="24"/>
          <w:szCs w:val="24"/>
          <w:rtl/>
        </w:rPr>
        <w:t>על</w:t>
      </w:r>
      <w:r w:rsidRPr="00F25744">
        <w:rPr>
          <w:rFonts w:cs="David" w:hint="cs"/>
          <w:sz w:val="24"/>
          <w:szCs w:val="24"/>
          <w:rtl/>
        </w:rPr>
        <w:t xml:space="preserve">ה כי אכן עלייה זו משקפת את המציאות, מאחר שתיקים אלו </w:t>
      </w:r>
      <w:r w:rsidR="00740F13" w:rsidRPr="00F25744">
        <w:rPr>
          <w:rFonts w:cs="David" w:hint="cs"/>
          <w:sz w:val="24"/>
          <w:szCs w:val="24"/>
          <w:rtl/>
        </w:rPr>
        <w:t xml:space="preserve">נעשו </w:t>
      </w:r>
      <w:r w:rsidRPr="00F25744">
        <w:rPr>
          <w:rFonts w:cs="David" w:hint="cs"/>
          <w:sz w:val="24"/>
          <w:szCs w:val="24"/>
          <w:rtl/>
        </w:rPr>
        <w:t>מסובכים ומורכבים</w:t>
      </w:r>
      <w:r w:rsidR="00740F13" w:rsidRPr="00F25744">
        <w:rPr>
          <w:rFonts w:cs="David" w:hint="cs"/>
          <w:sz w:val="24"/>
          <w:szCs w:val="24"/>
          <w:rtl/>
        </w:rPr>
        <w:t xml:space="preserve"> יותר בשנים האחרונות</w:t>
      </w:r>
      <w:r w:rsidRPr="00F25744">
        <w:rPr>
          <w:rFonts w:cs="David" w:hint="cs"/>
          <w:sz w:val="24"/>
          <w:szCs w:val="24"/>
          <w:rtl/>
        </w:rPr>
        <w:t>, הם כוללים עדים רבים,</w:t>
      </w:r>
      <w:r w:rsidR="00761170" w:rsidRPr="00F25744">
        <w:rPr>
          <w:rFonts w:cs="David" w:hint="cs"/>
          <w:sz w:val="24"/>
          <w:szCs w:val="24"/>
          <w:rtl/>
        </w:rPr>
        <w:t xml:space="preserve"> מומחים מטעם הצדדים ולעתים נדירות אף מינוי מומחה מטעם בית המשפט</w:t>
      </w:r>
      <w:r w:rsidRPr="00F25744">
        <w:rPr>
          <w:rFonts w:cs="David" w:hint="cs"/>
          <w:sz w:val="24"/>
          <w:szCs w:val="24"/>
          <w:rtl/>
        </w:rPr>
        <w:t xml:space="preserve">, כתיבה ארוכה ועוד. </w:t>
      </w:r>
      <w:r w:rsidR="004A1F75" w:rsidRPr="00F25744">
        <w:rPr>
          <w:rFonts w:cs="David" w:hint="cs"/>
          <w:sz w:val="24"/>
          <w:szCs w:val="24"/>
          <w:rtl/>
        </w:rPr>
        <w:t xml:space="preserve"> נקודה נוספת שעלתה משיחות אלו הייתה, כי נכונות הצדדים להסדרי טיעון כיום בתיקי גמ"ר פחותה לעומת שנים קודמות. ואכן, הערה זו תואמת את הנתונים שבידינו </w:t>
      </w:r>
      <w:r w:rsidR="004A1F75" w:rsidRPr="00F25744">
        <w:rPr>
          <w:rFonts w:cs="David"/>
          <w:sz w:val="24"/>
          <w:szCs w:val="24"/>
          <w:rtl/>
        </w:rPr>
        <w:t>–</w:t>
      </w:r>
      <w:r w:rsidR="004A1F75" w:rsidRPr="00F25744">
        <w:rPr>
          <w:rFonts w:cs="David" w:hint="cs"/>
          <w:sz w:val="24"/>
          <w:szCs w:val="24"/>
          <w:rtl/>
        </w:rPr>
        <w:t xml:space="preserve"> לפי נתוני המחקר הקודם, בכשלושת רבעי מתיקי הגמ"ר נערכו  הסדרי טיעון כלשהם (פתוחים או סגורים), ולפי נתוני מחקר זה, בכמחצית מתיקי הגמ"ר נערכו הסדרי טיעון. </w:t>
      </w:r>
      <w:r w:rsidR="00100683" w:rsidRPr="00F25744">
        <w:rPr>
          <w:rFonts w:cs="David" w:hint="cs"/>
          <w:sz w:val="24"/>
          <w:szCs w:val="24"/>
          <w:rtl/>
        </w:rPr>
        <w:t xml:space="preserve">אחד מסגני הנשיא אף סבר, </w:t>
      </w:r>
      <w:r w:rsidR="00BD6C30" w:rsidRPr="00F25744">
        <w:rPr>
          <w:rFonts w:cs="David" w:hint="cs"/>
          <w:sz w:val="24"/>
          <w:szCs w:val="24"/>
          <w:rtl/>
        </w:rPr>
        <w:t xml:space="preserve">כי </w:t>
      </w:r>
      <w:r w:rsidR="00100683" w:rsidRPr="00F25744">
        <w:rPr>
          <w:rFonts w:cs="David" w:hint="cs"/>
          <w:sz w:val="24"/>
          <w:szCs w:val="24"/>
          <w:rtl/>
        </w:rPr>
        <w:t>המשקל</w:t>
      </w:r>
      <w:r w:rsidR="00BD6C30" w:rsidRPr="00F25744">
        <w:rPr>
          <w:rFonts w:cs="David" w:hint="cs"/>
          <w:sz w:val="24"/>
          <w:szCs w:val="24"/>
          <w:rtl/>
        </w:rPr>
        <w:t xml:space="preserve"> שהוער</w:t>
      </w:r>
      <w:r w:rsidR="00100683" w:rsidRPr="00F25744">
        <w:rPr>
          <w:rFonts w:cs="David" w:hint="cs"/>
          <w:sz w:val="24"/>
          <w:szCs w:val="24"/>
          <w:rtl/>
        </w:rPr>
        <w:t>ך</w:t>
      </w:r>
      <w:r w:rsidR="00BD6C30" w:rsidRPr="00F25744">
        <w:rPr>
          <w:rFonts w:cs="David" w:hint="cs"/>
          <w:sz w:val="24"/>
          <w:szCs w:val="24"/>
          <w:rtl/>
        </w:rPr>
        <w:t xml:space="preserve"> לתיק זה במחקר הקודם לא שיק</w:t>
      </w:r>
      <w:r w:rsidR="00100683" w:rsidRPr="00F25744">
        <w:rPr>
          <w:rFonts w:cs="David" w:hint="cs"/>
          <w:sz w:val="24"/>
          <w:szCs w:val="24"/>
          <w:rtl/>
        </w:rPr>
        <w:t>ף</w:t>
      </w:r>
      <w:r w:rsidR="00BD6C30" w:rsidRPr="00F25744">
        <w:rPr>
          <w:rFonts w:cs="David" w:hint="cs"/>
          <w:sz w:val="24"/>
          <w:szCs w:val="24"/>
          <w:rtl/>
        </w:rPr>
        <w:t xml:space="preserve"> את זמני הט</w:t>
      </w:r>
      <w:r w:rsidR="00100683" w:rsidRPr="00F25744">
        <w:rPr>
          <w:rFonts w:cs="David" w:hint="cs"/>
          <w:sz w:val="24"/>
          <w:szCs w:val="24"/>
          <w:rtl/>
        </w:rPr>
        <w:t>י</w:t>
      </w:r>
      <w:r w:rsidR="00BD6C30" w:rsidRPr="00F25744">
        <w:rPr>
          <w:rFonts w:cs="David" w:hint="cs"/>
          <w:sz w:val="24"/>
          <w:szCs w:val="24"/>
          <w:rtl/>
        </w:rPr>
        <w:t>פול האמתיים ב</w:t>
      </w:r>
      <w:r w:rsidR="00100683" w:rsidRPr="00F25744">
        <w:rPr>
          <w:rFonts w:cs="David" w:hint="cs"/>
          <w:sz w:val="24"/>
          <w:szCs w:val="24"/>
          <w:rtl/>
        </w:rPr>
        <w:t>ו.</w:t>
      </w:r>
      <w:r w:rsidR="00BD6C30" w:rsidRPr="00F25744">
        <w:rPr>
          <w:rFonts w:cs="David" w:hint="cs"/>
          <w:sz w:val="24"/>
          <w:szCs w:val="24"/>
          <w:rtl/>
        </w:rPr>
        <w:t xml:space="preserve"> </w:t>
      </w:r>
      <w:r w:rsidRPr="00F25744">
        <w:rPr>
          <w:rFonts w:cs="David" w:hint="cs"/>
          <w:sz w:val="24"/>
          <w:szCs w:val="24"/>
          <w:rtl/>
        </w:rPr>
        <w:t xml:space="preserve">כל אלו מדגימים את הדיוק שהושג במחקר זה בשיקוף השינויים בעומס העבודה השיפוטית מאז המחקר הקודם.  </w:t>
      </w:r>
    </w:p>
    <w:p w14:paraId="25F68637" w14:textId="77777777" w:rsidR="001B0FA3" w:rsidRPr="00F25744" w:rsidRDefault="00E25AE7" w:rsidP="001B0FA3">
      <w:pPr>
        <w:spacing w:after="0" w:line="360" w:lineRule="auto"/>
        <w:jc w:val="both"/>
        <w:rPr>
          <w:rFonts w:cs="David"/>
          <w:sz w:val="24"/>
          <w:szCs w:val="24"/>
          <w:rtl/>
        </w:rPr>
      </w:pPr>
      <w:r w:rsidRPr="00F25744">
        <w:rPr>
          <w:rFonts w:cs="David" w:hint="cs"/>
          <w:sz w:val="24"/>
          <w:szCs w:val="24"/>
          <w:rtl/>
        </w:rPr>
        <w:t xml:space="preserve">הטבלה </w:t>
      </w:r>
      <w:r w:rsidR="00617D5D" w:rsidRPr="00F25744">
        <w:rPr>
          <w:rFonts w:cs="David" w:hint="cs"/>
          <w:sz w:val="24"/>
          <w:szCs w:val="24"/>
          <w:rtl/>
        </w:rPr>
        <w:t xml:space="preserve">שלפניכם </w:t>
      </w:r>
      <w:r w:rsidRPr="00F25744">
        <w:rPr>
          <w:rFonts w:cs="David" w:hint="cs"/>
          <w:sz w:val="24"/>
          <w:szCs w:val="24"/>
          <w:rtl/>
        </w:rPr>
        <w:t>מציגה את סוגי התיקים בסדר יורד, מן התיק שדרוש לו הזמן השיפוטי הארוך ביותר ועד התיק שדרוש לו הזמן השיפוטי הקצר ביותר עבור השופט.</w:t>
      </w:r>
    </w:p>
    <w:p w14:paraId="7D87C13F" w14:textId="04EA9FBC" w:rsidR="00840519" w:rsidRPr="00F25744" w:rsidRDefault="00E25AE7" w:rsidP="001B0FA3">
      <w:pPr>
        <w:spacing w:after="0" w:line="240" w:lineRule="auto"/>
        <w:jc w:val="both"/>
        <w:rPr>
          <w:rFonts w:cs="David"/>
          <w:sz w:val="24"/>
          <w:szCs w:val="24"/>
          <w:rtl/>
        </w:rPr>
      </w:pPr>
      <w:r w:rsidRPr="00F25744">
        <w:rPr>
          <w:rFonts w:cs="David" w:hint="cs"/>
          <w:sz w:val="24"/>
          <w:szCs w:val="24"/>
          <w:rtl/>
        </w:rPr>
        <w:t xml:space="preserve"> </w:t>
      </w:r>
    </w:p>
    <w:p w14:paraId="5C0D82D9" w14:textId="2A5FE1F7" w:rsidR="00960C94" w:rsidRPr="00F25744" w:rsidRDefault="008534FC" w:rsidP="008534FC">
      <w:pPr>
        <w:pStyle w:val="af6"/>
        <w:rPr>
          <w:rtl/>
        </w:rPr>
      </w:pPr>
      <w:bookmarkStart w:id="739" w:name="_Toc76988912"/>
      <w:r w:rsidRPr="00F25744">
        <w:rPr>
          <w:rtl/>
        </w:rPr>
        <w:t xml:space="preserve">טבלה </w:t>
      </w:r>
      <w:r w:rsidRPr="00F25744">
        <w:rPr>
          <w:rtl/>
        </w:rPr>
        <w:fldChar w:fldCharType="begin"/>
      </w:r>
      <w:r w:rsidRPr="00F25744">
        <w:rPr>
          <w:rtl/>
        </w:rPr>
        <w:instrText xml:space="preserve"> </w:instrText>
      </w:r>
      <w:r w:rsidRPr="00F25744">
        <w:instrText>SEQ</w:instrText>
      </w:r>
      <w:r w:rsidRPr="00F25744">
        <w:rPr>
          <w:rtl/>
        </w:rPr>
        <w:instrText xml:space="preserve"> טבלה \* </w:instrText>
      </w:r>
      <w:r w:rsidRPr="00F25744">
        <w:instrText>ARABIC</w:instrText>
      </w:r>
      <w:r w:rsidRPr="00F25744">
        <w:rPr>
          <w:rtl/>
        </w:rPr>
        <w:instrText xml:space="preserve"> </w:instrText>
      </w:r>
      <w:r w:rsidRPr="00F25744">
        <w:rPr>
          <w:rtl/>
        </w:rPr>
        <w:fldChar w:fldCharType="separate"/>
      </w:r>
      <w:r w:rsidR="008F1BC3">
        <w:rPr>
          <w:noProof/>
          <w:rtl/>
        </w:rPr>
        <w:t>17</w:t>
      </w:r>
      <w:r w:rsidRPr="00F25744">
        <w:rPr>
          <w:rtl/>
        </w:rPr>
        <w:fldChar w:fldCharType="end"/>
      </w:r>
      <w:r w:rsidR="007F3A52" w:rsidRPr="00F25744">
        <w:rPr>
          <w:rFonts w:hint="cs"/>
          <w:rtl/>
        </w:rPr>
        <w:t xml:space="preserve">: </w:t>
      </w:r>
      <w:r w:rsidR="001E3295" w:rsidRPr="00F25744">
        <w:rPr>
          <w:rFonts w:ascii="David" w:hAnsi="David" w:hint="cs"/>
          <w:sz w:val="24"/>
          <w:rtl/>
        </w:rPr>
        <w:t>זמני הטיפול בתיקי כלל הערכאות</w:t>
      </w:r>
      <w:bookmarkEnd w:id="739"/>
    </w:p>
    <w:tbl>
      <w:tblPr>
        <w:tblpPr w:rightFromText="85" w:vertAnchor="text" w:tblpXSpec="right" w:tblpY="1"/>
        <w:bidiVisual/>
        <w:tblW w:w="9638" w:type="dxa"/>
        <w:tblBorders>
          <w:insideH w:val="single" w:sz="4" w:space="0" w:color="auto"/>
        </w:tblBorders>
        <w:tblLayout w:type="fixed"/>
        <w:tblLook w:val="04A0" w:firstRow="1" w:lastRow="0" w:firstColumn="1" w:lastColumn="0" w:noHBand="0" w:noVBand="1"/>
      </w:tblPr>
      <w:tblGrid>
        <w:gridCol w:w="853"/>
        <w:gridCol w:w="989"/>
        <w:gridCol w:w="1984"/>
        <w:gridCol w:w="1276"/>
        <w:gridCol w:w="1417"/>
        <w:gridCol w:w="1276"/>
        <w:gridCol w:w="851"/>
        <w:gridCol w:w="992"/>
      </w:tblGrid>
      <w:tr w:rsidR="00E0162E" w:rsidRPr="00BF3027" w14:paraId="5650B74C" w14:textId="77777777" w:rsidTr="002C4CFA">
        <w:trPr>
          <w:trHeight w:val="1156"/>
        </w:trPr>
        <w:tc>
          <w:tcPr>
            <w:tcW w:w="853" w:type="dxa"/>
            <w:tcBorders>
              <w:top w:val="nil"/>
              <w:left w:val="nil"/>
              <w:bottom w:val="single" w:sz="4" w:space="0" w:color="auto"/>
              <w:right w:val="nil"/>
            </w:tcBorders>
            <w:shd w:val="clear" w:color="auto" w:fill="auto"/>
            <w:vAlign w:val="center"/>
            <w:hideMark/>
          </w:tcPr>
          <w:p w14:paraId="0D61AD81" w14:textId="77777777" w:rsidR="001A2E9E" w:rsidRPr="00BF3027" w:rsidRDefault="00E25AE7" w:rsidP="001A3649">
            <w:pPr>
              <w:spacing w:after="0" w:line="240" w:lineRule="auto"/>
              <w:rPr>
                <w:rFonts w:ascii="Arial" w:eastAsia="Times New Roman" w:hAnsi="Arial" w:cs="David"/>
                <w:b/>
                <w:bCs/>
                <w:rtl/>
              </w:rPr>
            </w:pPr>
            <w:r w:rsidRPr="00BF3027">
              <w:rPr>
                <w:rFonts w:ascii="Arial" w:eastAsia="Times New Roman" w:hAnsi="Arial" w:cs="David" w:hint="cs"/>
                <w:b/>
                <w:bCs/>
                <w:rtl/>
              </w:rPr>
              <w:t>ערכאה</w:t>
            </w:r>
          </w:p>
        </w:tc>
        <w:tc>
          <w:tcPr>
            <w:tcW w:w="989" w:type="dxa"/>
            <w:tcBorders>
              <w:top w:val="nil"/>
              <w:left w:val="nil"/>
              <w:bottom w:val="single" w:sz="4" w:space="0" w:color="auto"/>
              <w:right w:val="nil"/>
            </w:tcBorders>
            <w:shd w:val="clear" w:color="auto" w:fill="auto"/>
            <w:vAlign w:val="center"/>
            <w:hideMark/>
          </w:tcPr>
          <w:p w14:paraId="7749EC33" w14:textId="77777777" w:rsidR="001A2E9E" w:rsidRPr="00BF3027" w:rsidRDefault="00E25AE7" w:rsidP="001A3649">
            <w:pPr>
              <w:spacing w:after="0" w:line="240" w:lineRule="auto"/>
              <w:rPr>
                <w:rFonts w:ascii="Arial" w:eastAsia="Times New Roman" w:hAnsi="Arial" w:cs="David"/>
                <w:b/>
                <w:bCs/>
                <w:rtl/>
              </w:rPr>
            </w:pPr>
            <w:r w:rsidRPr="00BF3027">
              <w:rPr>
                <w:rFonts w:ascii="Arial" w:eastAsia="Times New Roman" w:hAnsi="Arial" w:cs="David" w:hint="cs"/>
                <w:b/>
                <w:bCs/>
                <w:rtl/>
              </w:rPr>
              <w:t>הליך</w:t>
            </w:r>
          </w:p>
        </w:tc>
        <w:tc>
          <w:tcPr>
            <w:tcW w:w="1984" w:type="dxa"/>
            <w:tcBorders>
              <w:top w:val="nil"/>
              <w:left w:val="nil"/>
              <w:bottom w:val="single" w:sz="4" w:space="0" w:color="auto"/>
              <w:right w:val="nil"/>
            </w:tcBorders>
            <w:shd w:val="clear" w:color="auto" w:fill="auto"/>
            <w:vAlign w:val="center"/>
            <w:hideMark/>
          </w:tcPr>
          <w:p w14:paraId="69F76586" w14:textId="77777777" w:rsidR="001A2E9E" w:rsidRPr="00BF3027" w:rsidRDefault="00E25AE7" w:rsidP="001A3649">
            <w:pPr>
              <w:spacing w:after="0" w:line="240" w:lineRule="auto"/>
              <w:rPr>
                <w:rFonts w:ascii="Arial" w:eastAsia="Times New Roman" w:hAnsi="Arial" w:cs="David"/>
                <w:b/>
                <w:bCs/>
                <w:rtl/>
              </w:rPr>
            </w:pPr>
            <w:r w:rsidRPr="00BF3027">
              <w:rPr>
                <w:rFonts w:ascii="Arial" w:eastAsia="Times New Roman" w:hAnsi="Arial" w:cs="David" w:hint="cs"/>
                <w:b/>
                <w:bCs/>
                <w:rtl/>
              </w:rPr>
              <w:t>סוג תיק</w:t>
            </w:r>
          </w:p>
        </w:tc>
        <w:tc>
          <w:tcPr>
            <w:tcW w:w="1276" w:type="dxa"/>
            <w:tcBorders>
              <w:top w:val="nil"/>
              <w:left w:val="nil"/>
              <w:bottom w:val="single" w:sz="4" w:space="0" w:color="auto"/>
              <w:right w:val="nil"/>
            </w:tcBorders>
            <w:shd w:val="clear" w:color="auto" w:fill="auto"/>
            <w:vAlign w:val="center"/>
            <w:hideMark/>
          </w:tcPr>
          <w:p w14:paraId="52FEAF67" w14:textId="77777777" w:rsidR="001A2E9E" w:rsidRPr="00BF3027" w:rsidRDefault="00E25AE7" w:rsidP="001A3649">
            <w:pPr>
              <w:spacing w:after="0" w:line="240" w:lineRule="auto"/>
              <w:rPr>
                <w:rFonts w:ascii="Arial" w:eastAsia="Times New Roman" w:hAnsi="Arial" w:cs="David"/>
                <w:b/>
                <w:bCs/>
                <w:rtl/>
              </w:rPr>
            </w:pPr>
            <w:r w:rsidRPr="00BF3027">
              <w:rPr>
                <w:rFonts w:ascii="Arial" w:eastAsia="Times New Roman" w:hAnsi="Arial" w:cs="David" w:hint="cs"/>
                <w:b/>
                <w:bCs/>
                <w:rtl/>
              </w:rPr>
              <w:t>מספר תיקים שנסגרו ב-2019</w:t>
            </w:r>
          </w:p>
        </w:tc>
        <w:tc>
          <w:tcPr>
            <w:tcW w:w="1417" w:type="dxa"/>
            <w:tcBorders>
              <w:top w:val="nil"/>
              <w:left w:val="nil"/>
              <w:bottom w:val="single" w:sz="4" w:space="0" w:color="auto"/>
              <w:right w:val="nil"/>
            </w:tcBorders>
            <w:shd w:val="clear" w:color="auto" w:fill="auto"/>
            <w:vAlign w:val="center"/>
            <w:hideMark/>
          </w:tcPr>
          <w:p w14:paraId="0F9BE793" w14:textId="77777777" w:rsidR="001A2E9E" w:rsidRPr="00BF3027" w:rsidRDefault="00E25AE7" w:rsidP="001A3649">
            <w:pPr>
              <w:spacing w:after="0" w:line="240" w:lineRule="auto"/>
              <w:rPr>
                <w:rFonts w:ascii="Arial" w:eastAsia="Times New Roman" w:hAnsi="Arial" w:cs="David"/>
                <w:b/>
                <w:bCs/>
                <w:rtl/>
              </w:rPr>
            </w:pPr>
            <w:r w:rsidRPr="00BF3027">
              <w:rPr>
                <w:rFonts w:ascii="Arial" w:eastAsia="Times New Roman" w:hAnsi="Arial" w:cs="David" w:hint="cs"/>
                <w:b/>
                <w:bCs/>
                <w:rtl/>
              </w:rPr>
              <w:t>הזמן השיפוטי הממוצע לטיפול בתיק</w:t>
            </w:r>
          </w:p>
        </w:tc>
        <w:tc>
          <w:tcPr>
            <w:tcW w:w="1276" w:type="dxa"/>
            <w:tcBorders>
              <w:top w:val="nil"/>
              <w:left w:val="nil"/>
              <w:bottom w:val="single" w:sz="4" w:space="0" w:color="auto"/>
              <w:right w:val="nil"/>
            </w:tcBorders>
            <w:shd w:val="clear" w:color="auto" w:fill="auto"/>
            <w:vAlign w:val="center"/>
            <w:hideMark/>
          </w:tcPr>
          <w:p w14:paraId="6B0FAE1E" w14:textId="77777777" w:rsidR="001A2E9E" w:rsidRPr="00BF3027" w:rsidRDefault="00E25AE7" w:rsidP="001A3649">
            <w:pPr>
              <w:spacing w:after="0" w:line="240" w:lineRule="auto"/>
              <w:rPr>
                <w:rFonts w:ascii="Arial" w:eastAsia="Times New Roman" w:hAnsi="Arial" w:cs="David"/>
                <w:b/>
                <w:bCs/>
                <w:rtl/>
              </w:rPr>
            </w:pPr>
            <w:r w:rsidRPr="00BF3027">
              <w:rPr>
                <w:rFonts w:ascii="Arial" w:eastAsia="Times New Roman" w:hAnsi="Arial" w:cs="David" w:hint="cs"/>
                <w:b/>
                <w:bCs/>
                <w:rtl/>
              </w:rPr>
              <w:t>הזמן השיפוטי הממוצע לפי המחקר הקודם</w:t>
            </w:r>
          </w:p>
        </w:tc>
        <w:tc>
          <w:tcPr>
            <w:tcW w:w="851" w:type="dxa"/>
            <w:tcBorders>
              <w:top w:val="nil"/>
              <w:left w:val="nil"/>
              <w:bottom w:val="single" w:sz="4" w:space="0" w:color="auto"/>
              <w:right w:val="nil"/>
            </w:tcBorders>
            <w:shd w:val="clear" w:color="auto" w:fill="auto"/>
            <w:vAlign w:val="center"/>
            <w:hideMark/>
          </w:tcPr>
          <w:p w14:paraId="5397AC2F" w14:textId="77777777" w:rsidR="001A2E9E" w:rsidRPr="00BF3027" w:rsidRDefault="00E25AE7" w:rsidP="001A3649">
            <w:pPr>
              <w:spacing w:after="0" w:line="240" w:lineRule="auto"/>
              <w:rPr>
                <w:rFonts w:ascii="Arial" w:eastAsia="Times New Roman" w:hAnsi="Arial" w:cs="David"/>
                <w:b/>
                <w:bCs/>
                <w:rtl/>
              </w:rPr>
            </w:pPr>
            <w:r w:rsidRPr="00BF3027">
              <w:rPr>
                <w:rFonts w:ascii="Arial" w:eastAsia="Times New Roman" w:hAnsi="Arial" w:cs="David" w:hint="cs"/>
                <w:b/>
                <w:bCs/>
                <w:rtl/>
              </w:rPr>
              <w:t>מגמת השינוי</w:t>
            </w:r>
          </w:p>
        </w:tc>
        <w:tc>
          <w:tcPr>
            <w:tcW w:w="992" w:type="dxa"/>
            <w:tcBorders>
              <w:top w:val="nil"/>
              <w:left w:val="nil"/>
              <w:bottom w:val="single" w:sz="4" w:space="0" w:color="auto"/>
              <w:right w:val="nil"/>
            </w:tcBorders>
            <w:shd w:val="clear" w:color="auto" w:fill="auto"/>
            <w:vAlign w:val="center"/>
          </w:tcPr>
          <w:p w14:paraId="7CB56781" w14:textId="77777777" w:rsidR="001A2E9E" w:rsidRPr="00BF3027" w:rsidRDefault="00E25AE7" w:rsidP="001A3649">
            <w:pPr>
              <w:spacing w:after="0" w:line="240" w:lineRule="auto"/>
              <w:rPr>
                <w:rFonts w:ascii="Arial" w:hAnsi="Arial" w:cs="David"/>
                <w:b/>
                <w:bCs/>
              </w:rPr>
            </w:pPr>
            <w:r w:rsidRPr="00BF3027">
              <w:rPr>
                <w:rFonts w:ascii="Arial" w:hAnsi="Arial" w:cs="David" w:hint="cs"/>
                <w:b/>
                <w:bCs/>
                <w:rtl/>
              </w:rPr>
              <w:t>משקל לתיק לפי המחקר הנוכחי</w:t>
            </w:r>
          </w:p>
        </w:tc>
      </w:tr>
      <w:tr w:rsidR="00E0162E" w:rsidRPr="00BF3027" w14:paraId="67E6502A" w14:textId="77777777" w:rsidTr="002C4CFA">
        <w:trPr>
          <w:trHeight w:val="489"/>
        </w:trPr>
        <w:tc>
          <w:tcPr>
            <w:tcW w:w="853" w:type="dxa"/>
            <w:tcBorders>
              <w:top w:val="single" w:sz="4" w:space="0" w:color="auto"/>
              <w:left w:val="nil"/>
              <w:bottom w:val="single" w:sz="4" w:space="0" w:color="auto"/>
              <w:right w:val="nil"/>
            </w:tcBorders>
            <w:shd w:val="clear" w:color="auto" w:fill="D9D9D9"/>
            <w:noWrap/>
            <w:vAlign w:val="center"/>
            <w:hideMark/>
          </w:tcPr>
          <w:p w14:paraId="7194CD20" w14:textId="77777777" w:rsidR="000C4DEB" w:rsidRPr="00BF3027" w:rsidRDefault="00E25AE7" w:rsidP="001A3649">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tcBorders>
              <w:top w:val="single" w:sz="4" w:space="0" w:color="auto"/>
              <w:left w:val="nil"/>
              <w:bottom w:val="single" w:sz="4" w:space="0" w:color="auto"/>
              <w:right w:val="nil"/>
            </w:tcBorders>
            <w:shd w:val="clear" w:color="auto" w:fill="D9D9D9"/>
            <w:noWrap/>
            <w:vAlign w:val="center"/>
            <w:hideMark/>
          </w:tcPr>
          <w:p w14:paraId="748E41C1" w14:textId="77777777" w:rsidR="000C4DEB" w:rsidRPr="00BF3027" w:rsidRDefault="00E25AE7" w:rsidP="001A3649">
            <w:pPr>
              <w:spacing w:after="0" w:line="240" w:lineRule="auto"/>
              <w:rPr>
                <w:rFonts w:ascii="David" w:eastAsia="Times New Roman" w:hAnsi="David" w:cs="David"/>
                <w:rtl/>
              </w:rPr>
            </w:pPr>
            <w:r w:rsidRPr="00BF3027">
              <w:rPr>
                <w:rFonts w:ascii="David" w:eastAsia="Times New Roman" w:hAnsi="David" w:cs="David"/>
                <w:rtl/>
              </w:rPr>
              <w:t>פלילי</w:t>
            </w:r>
          </w:p>
        </w:tc>
        <w:tc>
          <w:tcPr>
            <w:tcW w:w="1984" w:type="dxa"/>
            <w:tcBorders>
              <w:top w:val="single" w:sz="4" w:space="0" w:color="auto"/>
              <w:left w:val="nil"/>
              <w:bottom w:val="single" w:sz="4" w:space="0" w:color="auto"/>
              <w:right w:val="nil"/>
            </w:tcBorders>
            <w:shd w:val="clear" w:color="auto" w:fill="D9D9D9"/>
            <w:vAlign w:val="center"/>
            <w:hideMark/>
          </w:tcPr>
          <w:p w14:paraId="107D7025" w14:textId="77777777" w:rsidR="000C4DEB" w:rsidRPr="00BF3027" w:rsidRDefault="00E25AE7" w:rsidP="001A3649">
            <w:pPr>
              <w:spacing w:after="0" w:line="240" w:lineRule="auto"/>
              <w:rPr>
                <w:rFonts w:ascii="David" w:eastAsia="Times New Roman" w:hAnsi="David" w:cs="David"/>
                <w:rtl/>
              </w:rPr>
            </w:pPr>
            <w:r w:rsidRPr="00BF3027">
              <w:rPr>
                <w:rFonts w:ascii="David" w:eastAsia="Times New Roman" w:hAnsi="David" w:cs="David"/>
                <w:rtl/>
              </w:rPr>
              <w:t>תיק פשעים חמורים (תפ"ח) – הרכב</w:t>
            </w:r>
          </w:p>
        </w:tc>
        <w:tc>
          <w:tcPr>
            <w:tcW w:w="1276" w:type="dxa"/>
            <w:tcBorders>
              <w:top w:val="single" w:sz="4" w:space="0" w:color="auto"/>
              <w:left w:val="nil"/>
              <w:bottom w:val="single" w:sz="4" w:space="0" w:color="auto"/>
              <w:right w:val="nil"/>
            </w:tcBorders>
            <w:shd w:val="clear" w:color="auto" w:fill="D9D9D9"/>
            <w:vAlign w:val="center"/>
            <w:hideMark/>
          </w:tcPr>
          <w:p w14:paraId="3743E5A0" w14:textId="77777777" w:rsidR="000C4DEB" w:rsidRPr="00BF3027" w:rsidRDefault="00E25AE7" w:rsidP="001A3649">
            <w:pPr>
              <w:spacing w:after="0" w:line="240" w:lineRule="auto"/>
              <w:jc w:val="center"/>
              <w:rPr>
                <w:rFonts w:ascii="David" w:eastAsia="Times New Roman" w:hAnsi="David" w:cs="David"/>
              </w:rPr>
            </w:pPr>
            <w:r w:rsidRPr="00BF3027">
              <w:rPr>
                <w:rFonts w:ascii="David" w:eastAsia="Times New Roman" w:hAnsi="David" w:cs="David"/>
              </w:rPr>
              <w:t>274</w:t>
            </w:r>
          </w:p>
        </w:tc>
        <w:tc>
          <w:tcPr>
            <w:tcW w:w="1417" w:type="dxa"/>
            <w:tcBorders>
              <w:top w:val="single" w:sz="4" w:space="0" w:color="auto"/>
              <w:left w:val="nil"/>
              <w:bottom w:val="single" w:sz="4" w:space="0" w:color="auto"/>
              <w:right w:val="nil"/>
            </w:tcBorders>
            <w:shd w:val="clear" w:color="auto" w:fill="D9D9D9"/>
            <w:noWrap/>
            <w:vAlign w:val="center"/>
            <w:hideMark/>
          </w:tcPr>
          <w:p w14:paraId="42CD0F14" w14:textId="77777777" w:rsidR="000C4DEB" w:rsidRPr="00BF3027" w:rsidRDefault="00E25AE7" w:rsidP="001A3649">
            <w:pPr>
              <w:spacing w:after="0" w:line="240" w:lineRule="auto"/>
              <w:jc w:val="center"/>
              <w:rPr>
                <w:rFonts w:ascii="David" w:eastAsia="Times New Roman" w:hAnsi="David" w:cs="David"/>
                <w:b/>
                <w:bCs/>
                <w:rtl/>
              </w:rPr>
            </w:pPr>
            <w:r w:rsidRPr="00BF3027">
              <w:rPr>
                <w:rFonts w:ascii="David" w:eastAsia="Times New Roman" w:hAnsi="David" w:cs="David" w:hint="cs"/>
                <w:b/>
                <w:bCs/>
                <w:rtl/>
              </w:rPr>
              <w:t>1</w:t>
            </w:r>
            <w:r w:rsidR="008F28FB" w:rsidRPr="00BF3027">
              <w:rPr>
                <w:rFonts w:ascii="David" w:eastAsia="Times New Roman" w:hAnsi="David" w:cs="David" w:hint="cs"/>
                <w:b/>
                <w:bCs/>
                <w:rtl/>
              </w:rPr>
              <w:t>48</w:t>
            </w:r>
            <w:r w:rsidRPr="00BF3027">
              <w:rPr>
                <w:rFonts w:ascii="David" w:eastAsia="Times New Roman" w:hAnsi="David" w:cs="David" w:hint="cs"/>
                <w:b/>
                <w:bCs/>
                <w:rtl/>
              </w:rPr>
              <w:t>:</w:t>
            </w:r>
            <w:r w:rsidR="008F28FB" w:rsidRPr="00BF3027">
              <w:rPr>
                <w:rFonts w:ascii="David" w:eastAsia="Times New Roman" w:hAnsi="David" w:cs="David" w:hint="cs"/>
                <w:b/>
                <w:bCs/>
                <w:rtl/>
              </w:rPr>
              <w:t>41</w:t>
            </w:r>
          </w:p>
        </w:tc>
        <w:tc>
          <w:tcPr>
            <w:tcW w:w="1276" w:type="dxa"/>
            <w:tcBorders>
              <w:top w:val="single" w:sz="4" w:space="0" w:color="auto"/>
              <w:left w:val="nil"/>
              <w:bottom w:val="single" w:sz="4" w:space="0" w:color="auto"/>
              <w:right w:val="nil"/>
            </w:tcBorders>
            <w:shd w:val="clear" w:color="auto" w:fill="D9D9D9"/>
            <w:vAlign w:val="center"/>
            <w:hideMark/>
          </w:tcPr>
          <w:p w14:paraId="4FC857F1" w14:textId="77777777" w:rsidR="000C4DEB" w:rsidRPr="00BF3027" w:rsidRDefault="00E25AE7" w:rsidP="001A3649">
            <w:pPr>
              <w:spacing w:after="0" w:line="240" w:lineRule="auto"/>
              <w:jc w:val="center"/>
              <w:rPr>
                <w:rFonts w:ascii="David" w:eastAsia="Times New Roman" w:hAnsi="David" w:cs="David"/>
                <w:rtl/>
              </w:rPr>
            </w:pPr>
            <w:r w:rsidRPr="00BF3027">
              <w:rPr>
                <w:rFonts w:ascii="David" w:eastAsia="Times New Roman" w:hAnsi="David" w:cs="David"/>
              </w:rPr>
              <w:t>85:13</w:t>
            </w:r>
          </w:p>
        </w:tc>
        <w:tc>
          <w:tcPr>
            <w:tcW w:w="851" w:type="dxa"/>
            <w:tcBorders>
              <w:top w:val="single" w:sz="4" w:space="0" w:color="auto"/>
              <w:left w:val="nil"/>
              <w:bottom w:val="single" w:sz="4" w:space="0" w:color="auto"/>
              <w:right w:val="nil"/>
            </w:tcBorders>
            <w:shd w:val="clear" w:color="auto" w:fill="D9D9D9"/>
            <w:vAlign w:val="center"/>
            <w:hideMark/>
          </w:tcPr>
          <w:p w14:paraId="53E2A50C" w14:textId="77777777" w:rsidR="000C4DEB" w:rsidRPr="00BF3027" w:rsidRDefault="008F28FB" w:rsidP="001A3649">
            <w:pPr>
              <w:spacing w:after="0" w:line="240" w:lineRule="auto"/>
              <w:jc w:val="center"/>
              <w:rPr>
                <w:rFonts w:ascii="David" w:eastAsia="Times New Roman" w:hAnsi="David" w:cs="David"/>
                <w:rtl/>
              </w:rPr>
            </w:pPr>
            <w:r w:rsidRPr="00BF3027">
              <w:rPr>
                <w:rFonts w:ascii="David" w:eastAsia="Times New Roman" w:hAnsi="David" w:cs="David" w:hint="cs"/>
                <w:rtl/>
              </w:rPr>
              <w:t>63</w:t>
            </w:r>
            <w:r w:rsidR="00E25AE7" w:rsidRPr="00BF3027">
              <w:rPr>
                <w:rFonts w:ascii="David" w:eastAsia="Times New Roman" w:hAnsi="David" w:cs="David" w:hint="cs"/>
                <w:rtl/>
              </w:rPr>
              <w:t>:</w:t>
            </w:r>
            <w:r w:rsidRPr="00BF3027">
              <w:rPr>
                <w:rFonts w:ascii="David" w:eastAsia="Times New Roman" w:hAnsi="David" w:cs="David" w:hint="cs"/>
                <w:rtl/>
              </w:rPr>
              <w:t>28</w:t>
            </w:r>
            <w:r w:rsidR="00E25AE7" w:rsidRPr="00BF3027">
              <w:rPr>
                <w:rFonts w:ascii="David" w:eastAsia="Times New Roman" w:hAnsi="David" w:cs="David" w:hint="cs"/>
                <w:rtl/>
              </w:rPr>
              <w:t>+</w:t>
            </w:r>
          </w:p>
        </w:tc>
        <w:tc>
          <w:tcPr>
            <w:tcW w:w="992" w:type="dxa"/>
            <w:tcBorders>
              <w:top w:val="single" w:sz="4" w:space="0" w:color="auto"/>
              <w:left w:val="nil"/>
              <w:bottom w:val="single" w:sz="4" w:space="0" w:color="auto"/>
              <w:right w:val="nil"/>
            </w:tcBorders>
            <w:shd w:val="clear" w:color="auto" w:fill="D9D9D9"/>
            <w:vAlign w:val="center"/>
          </w:tcPr>
          <w:p w14:paraId="38E297CC" w14:textId="77777777" w:rsidR="000C4DEB" w:rsidRPr="00BF3027" w:rsidRDefault="005E6094" w:rsidP="001A3649">
            <w:pPr>
              <w:spacing w:after="0" w:line="240" w:lineRule="auto"/>
              <w:jc w:val="center"/>
              <w:rPr>
                <w:rFonts w:ascii="David" w:eastAsia="Times New Roman" w:hAnsi="David" w:cs="David"/>
              </w:rPr>
            </w:pPr>
            <w:r w:rsidRPr="00BF3027">
              <w:rPr>
                <w:rFonts w:ascii="David" w:eastAsia="Times New Roman" w:hAnsi="David" w:cs="David" w:hint="cs"/>
                <w:rtl/>
              </w:rPr>
              <w:t>4461</w:t>
            </w:r>
          </w:p>
        </w:tc>
      </w:tr>
      <w:tr w:rsidR="00175347" w:rsidRPr="00BF3027" w14:paraId="3BFB7FCE" w14:textId="77777777" w:rsidTr="002C4CFA">
        <w:trPr>
          <w:trHeight w:val="489"/>
        </w:trPr>
        <w:tc>
          <w:tcPr>
            <w:tcW w:w="853" w:type="dxa"/>
            <w:tcBorders>
              <w:top w:val="single" w:sz="4" w:space="0" w:color="auto"/>
              <w:left w:val="nil"/>
              <w:bottom w:val="single" w:sz="4" w:space="0" w:color="auto"/>
              <w:right w:val="nil"/>
            </w:tcBorders>
            <w:shd w:val="clear" w:color="auto" w:fill="auto"/>
            <w:noWrap/>
            <w:vAlign w:val="center"/>
          </w:tcPr>
          <w:p w14:paraId="099E3A0C" w14:textId="77777777" w:rsidR="00175347" w:rsidRPr="00BF3027" w:rsidRDefault="00175347" w:rsidP="001A3649">
            <w:pPr>
              <w:spacing w:after="0" w:line="240" w:lineRule="auto"/>
              <w:rPr>
                <w:rFonts w:ascii="David" w:eastAsia="Times New Roman" w:hAnsi="David" w:cs="David"/>
                <w:rtl/>
              </w:rPr>
            </w:pPr>
            <w:r w:rsidRPr="00BF3027">
              <w:rPr>
                <w:rFonts w:ascii="David" w:eastAsia="Times New Roman" w:hAnsi="David" w:cs="David"/>
                <w:rtl/>
              </w:rPr>
              <w:t>עבודה</w:t>
            </w:r>
          </w:p>
        </w:tc>
        <w:tc>
          <w:tcPr>
            <w:tcW w:w="989" w:type="dxa"/>
            <w:tcBorders>
              <w:top w:val="single" w:sz="4" w:space="0" w:color="auto"/>
              <w:left w:val="nil"/>
              <w:bottom w:val="single" w:sz="4" w:space="0" w:color="auto"/>
              <w:right w:val="nil"/>
            </w:tcBorders>
            <w:shd w:val="clear" w:color="auto" w:fill="auto"/>
            <w:noWrap/>
            <w:vAlign w:val="center"/>
          </w:tcPr>
          <w:p w14:paraId="16258939" w14:textId="77777777" w:rsidR="00175347" w:rsidRPr="00BF3027" w:rsidRDefault="00175347" w:rsidP="001A3649">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tcBorders>
              <w:top w:val="single" w:sz="4" w:space="0" w:color="auto"/>
              <w:left w:val="nil"/>
              <w:bottom w:val="single" w:sz="4" w:space="0" w:color="auto"/>
              <w:right w:val="nil"/>
            </w:tcBorders>
            <w:shd w:val="clear" w:color="auto" w:fill="auto"/>
            <w:vAlign w:val="center"/>
          </w:tcPr>
          <w:p w14:paraId="390DFF4A" w14:textId="77777777" w:rsidR="00175347" w:rsidRPr="00BF3027" w:rsidRDefault="00175347" w:rsidP="001A3649">
            <w:pPr>
              <w:spacing w:after="0" w:line="240" w:lineRule="auto"/>
              <w:rPr>
                <w:rFonts w:ascii="David" w:eastAsia="Times New Roman" w:hAnsi="David" w:cs="David"/>
                <w:rtl/>
              </w:rPr>
            </w:pPr>
            <w:r w:rsidRPr="00BF3027">
              <w:rPr>
                <w:rFonts w:ascii="David" w:eastAsia="Times New Roman" w:hAnsi="David" w:cs="David"/>
                <w:rtl/>
              </w:rPr>
              <w:t>תובענה ייצוגית (ת"צ)</w:t>
            </w:r>
          </w:p>
        </w:tc>
        <w:tc>
          <w:tcPr>
            <w:tcW w:w="1276" w:type="dxa"/>
            <w:tcBorders>
              <w:top w:val="single" w:sz="4" w:space="0" w:color="auto"/>
              <w:left w:val="nil"/>
              <w:bottom w:val="single" w:sz="4" w:space="0" w:color="auto"/>
              <w:right w:val="nil"/>
            </w:tcBorders>
            <w:shd w:val="clear" w:color="auto" w:fill="auto"/>
            <w:vAlign w:val="center"/>
          </w:tcPr>
          <w:p w14:paraId="69077A78" w14:textId="77777777" w:rsidR="00175347" w:rsidRPr="00BF3027" w:rsidRDefault="00175347" w:rsidP="001A3649">
            <w:pPr>
              <w:spacing w:after="0" w:line="240" w:lineRule="auto"/>
              <w:jc w:val="center"/>
              <w:rPr>
                <w:rFonts w:ascii="David" w:eastAsia="Times New Roman" w:hAnsi="David" w:cs="David"/>
              </w:rPr>
            </w:pPr>
            <w:r w:rsidRPr="00BF3027">
              <w:rPr>
                <w:rFonts w:ascii="David" w:eastAsia="Times New Roman" w:hAnsi="David" w:cs="David"/>
                <w:rtl/>
              </w:rPr>
              <w:t>82</w:t>
            </w:r>
          </w:p>
        </w:tc>
        <w:tc>
          <w:tcPr>
            <w:tcW w:w="1417" w:type="dxa"/>
            <w:tcBorders>
              <w:top w:val="single" w:sz="4" w:space="0" w:color="auto"/>
              <w:left w:val="nil"/>
              <w:bottom w:val="single" w:sz="4" w:space="0" w:color="auto"/>
              <w:right w:val="nil"/>
            </w:tcBorders>
            <w:shd w:val="clear" w:color="auto" w:fill="auto"/>
            <w:noWrap/>
            <w:vAlign w:val="center"/>
          </w:tcPr>
          <w:p w14:paraId="5EF23D76" w14:textId="77777777" w:rsidR="00175347" w:rsidRPr="00BF3027" w:rsidRDefault="00175347" w:rsidP="001A3649">
            <w:pPr>
              <w:spacing w:after="0" w:line="240" w:lineRule="auto"/>
              <w:jc w:val="center"/>
              <w:rPr>
                <w:rFonts w:ascii="David" w:eastAsia="Times New Roman" w:hAnsi="David" w:cs="David"/>
                <w:b/>
                <w:bCs/>
                <w:rtl/>
              </w:rPr>
            </w:pPr>
            <w:r w:rsidRPr="00BF3027">
              <w:rPr>
                <w:rFonts w:ascii="David" w:eastAsia="Times New Roman" w:hAnsi="David" w:cs="David"/>
                <w:b/>
                <w:bCs/>
              </w:rPr>
              <w:t>45:41</w:t>
            </w:r>
          </w:p>
        </w:tc>
        <w:tc>
          <w:tcPr>
            <w:tcW w:w="1276" w:type="dxa"/>
            <w:tcBorders>
              <w:top w:val="single" w:sz="4" w:space="0" w:color="auto"/>
              <w:left w:val="nil"/>
              <w:bottom w:val="single" w:sz="4" w:space="0" w:color="auto"/>
              <w:right w:val="nil"/>
            </w:tcBorders>
            <w:shd w:val="clear" w:color="auto" w:fill="auto"/>
            <w:vAlign w:val="center"/>
          </w:tcPr>
          <w:p w14:paraId="0E2CB8FA" w14:textId="77777777" w:rsidR="00175347" w:rsidRPr="00BF3027" w:rsidRDefault="00175347" w:rsidP="001A3649">
            <w:pPr>
              <w:spacing w:after="0" w:line="240" w:lineRule="auto"/>
              <w:jc w:val="center"/>
              <w:rPr>
                <w:rFonts w:ascii="David" w:eastAsia="Times New Roman" w:hAnsi="David" w:cs="David"/>
              </w:rPr>
            </w:pPr>
            <w:r w:rsidRPr="00BF3027">
              <w:rPr>
                <w:rFonts w:ascii="David" w:eastAsia="Times New Roman" w:hAnsi="David" w:cs="David"/>
                <w:rtl/>
              </w:rPr>
              <w:t>-</w:t>
            </w:r>
          </w:p>
        </w:tc>
        <w:tc>
          <w:tcPr>
            <w:tcW w:w="851" w:type="dxa"/>
            <w:tcBorders>
              <w:top w:val="single" w:sz="4" w:space="0" w:color="auto"/>
              <w:left w:val="nil"/>
              <w:bottom w:val="single" w:sz="4" w:space="0" w:color="auto"/>
              <w:right w:val="nil"/>
            </w:tcBorders>
            <w:shd w:val="clear" w:color="auto" w:fill="auto"/>
            <w:vAlign w:val="center"/>
          </w:tcPr>
          <w:p w14:paraId="64C111E1" w14:textId="77777777" w:rsidR="00175347" w:rsidRPr="00BF3027" w:rsidRDefault="00175347" w:rsidP="001A3649">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tcBorders>
              <w:top w:val="single" w:sz="4" w:space="0" w:color="auto"/>
              <w:left w:val="nil"/>
              <w:bottom w:val="single" w:sz="4" w:space="0" w:color="auto"/>
              <w:right w:val="nil"/>
            </w:tcBorders>
            <w:shd w:val="clear" w:color="auto" w:fill="auto"/>
            <w:vAlign w:val="center"/>
          </w:tcPr>
          <w:p w14:paraId="5DD7D461" w14:textId="77777777" w:rsidR="00175347" w:rsidRPr="00BF3027" w:rsidRDefault="005E6094" w:rsidP="001A3649">
            <w:pPr>
              <w:spacing w:after="0" w:line="240" w:lineRule="auto"/>
              <w:jc w:val="center"/>
              <w:rPr>
                <w:rFonts w:ascii="David" w:eastAsia="Times New Roman" w:hAnsi="David" w:cs="David"/>
              </w:rPr>
            </w:pPr>
            <w:r w:rsidRPr="00BF3027">
              <w:rPr>
                <w:rFonts w:ascii="David" w:eastAsia="Times New Roman" w:hAnsi="David" w:cs="David" w:hint="cs"/>
                <w:rtl/>
              </w:rPr>
              <w:t>1371</w:t>
            </w:r>
          </w:p>
        </w:tc>
      </w:tr>
      <w:tr w:rsidR="00175347" w:rsidRPr="00BF3027" w14:paraId="26580E08" w14:textId="77777777" w:rsidTr="002C4CFA">
        <w:trPr>
          <w:trHeight w:val="489"/>
        </w:trPr>
        <w:tc>
          <w:tcPr>
            <w:tcW w:w="853" w:type="dxa"/>
            <w:tcBorders>
              <w:top w:val="single" w:sz="4" w:space="0" w:color="auto"/>
              <w:left w:val="nil"/>
              <w:bottom w:val="single" w:sz="4" w:space="0" w:color="auto"/>
              <w:right w:val="nil"/>
            </w:tcBorders>
            <w:shd w:val="clear" w:color="auto" w:fill="D9D9D9"/>
            <w:noWrap/>
            <w:vAlign w:val="center"/>
          </w:tcPr>
          <w:p w14:paraId="3A62D143" w14:textId="77777777" w:rsidR="00175347" w:rsidRPr="00BF3027" w:rsidRDefault="00175347" w:rsidP="001A3649">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tcBorders>
              <w:top w:val="single" w:sz="4" w:space="0" w:color="auto"/>
              <w:left w:val="nil"/>
              <w:bottom w:val="single" w:sz="4" w:space="0" w:color="auto"/>
              <w:right w:val="nil"/>
            </w:tcBorders>
            <w:shd w:val="clear" w:color="auto" w:fill="D9D9D9"/>
            <w:noWrap/>
            <w:vAlign w:val="center"/>
          </w:tcPr>
          <w:p w14:paraId="7C02BF7E" w14:textId="77777777" w:rsidR="00175347" w:rsidRPr="00BF3027" w:rsidRDefault="00175347" w:rsidP="001A3649">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tcBorders>
              <w:top w:val="single" w:sz="4" w:space="0" w:color="auto"/>
              <w:left w:val="nil"/>
              <w:bottom w:val="single" w:sz="4" w:space="0" w:color="auto"/>
              <w:right w:val="nil"/>
            </w:tcBorders>
            <w:shd w:val="clear" w:color="auto" w:fill="D9D9D9"/>
            <w:vAlign w:val="center"/>
          </w:tcPr>
          <w:p w14:paraId="107941E8" w14:textId="77777777" w:rsidR="00175347" w:rsidRPr="00BF3027" w:rsidRDefault="00175347" w:rsidP="001A3649">
            <w:pPr>
              <w:spacing w:after="0" w:line="240" w:lineRule="auto"/>
              <w:rPr>
                <w:rFonts w:ascii="David" w:eastAsia="Times New Roman" w:hAnsi="David" w:cs="David"/>
                <w:rtl/>
              </w:rPr>
            </w:pPr>
            <w:r w:rsidRPr="00BF3027">
              <w:rPr>
                <w:rFonts w:ascii="David" w:eastAsia="Times New Roman" w:hAnsi="David" w:cs="David"/>
                <w:rtl/>
              </w:rPr>
              <w:t>תיק אזרחי בסדר דין רגיל (ת"א) - תביעה כספית</w:t>
            </w:r>
          </w:p>
        </w:tc>
        <w:tc>
          <w:tcPr>
            <w:tcW w:w="1276" w:type="dxa"/>
            <w:tcBorders>
              <w:top w:val="single" w:sz="4" w:space="0" w:color="auto"/>
              <w:left w:val="nil"/>
              <w:bottom w:val="single" w:sz="4" w:space="0" w:color="auto"/>
              <w:right w:val="nil"/>
            </w:tcBorders>
            <w:shd w:val="clear" w:color="auto" w:fill="D9D9D9"/>
            <w:vAlign w:val="center"/>
          </w:tcPr>
          <w:p w14:paraId="16E221F2" w14:textId="77777777" w:rsidR="00175347" w:rsidRPr="00BF3027" w:rsidRDefault="00175347" w:rsidP="001A3649">
            <w:pPr>
              <w:spacing w:after="0" w:line="240" w:lineRule="auto"/>
              <w:jc w:val="center"/>
              <w:rPr>
                <w:rFonts w:ascii="David" w:eastAsia="Times New Roman" w:hAnsi="David" w:cs="David"/>
              </w:rPr>
            </w:pPr>
            <w:r w:rsidRPr="00BF3027">
              <w:rPr>
                <w:rFonts w:ascii="David" w:eastAsia="Times New Roman" w:hAnsi="David" w:cs="David"/>
              </w:rPr>
              <w:t>1,191</w:t>
            </w:r>
          </w:p>
        </w:tc>
        <w:tc>
          <w:tcPr>
            <w:tcW w:w="1417" w:type="dxa"/>
            <w:tcBorders>
              <w:top w:val="single" w:sz="4" w:space="0" w:color="auto"/>
              <w:left w:val="nil"/>
              <w:bottom w:val="single" w:sz="4" w:space="0" w:color="auto"/>
              <w:right w:val="nil"/>
            </w:tcBorders>
            <w:shd w:val="clear" w:color="auto" w:fill="D9D9D9"/>
            <w:noWrap/>
            <w:vAlign w:val="center"/>
          </w:tcPr>
          <w:p w14:paraId="7C3D1162" w14:textId="77777777" w:rsidR="00175347" w:rsidRPr="00BF3027" w:rsidRDefault="00175347" w:rsidP="001A3649">
            <w:pPr>
              <w:spacing w:after="0" w:line="240" w:lineRule="auto"/>
              <w:jc w:val="center"/>
              <w:rPr>
                <w:rFonts w:ascii="David" w:eastAsia="Times New Roman" w:hAnsi="David" w:cs="David"/>
                <w:b/>
                <w:bCs/>
                <w:rtl/>
              </w:rPr>
            </w:pPr>
            <w:r w:rsidRPr="00BF3027">
              <w:rPr>
                <w:rFonts w:ascii="David" w:eastAsia="Times New Roman" w:hAnsi="David" w:cs="David" w:hint="cs"/>
                <w:b/>
                <w:bCs/>
                <w:rtl/>
              </w:rPr>
              <w:t>36:17</w:t>
            </w:r>
          </w:p>
        </w:tc>
        <w:tc>
          <w:tcPr>
            <w:tcW w:w="1276" w:type="dxa"/>
            <w:tcBorders>
              <w:top w:val="single" w:sz="4" w:space="0" w:color="auto"/>
              <w:left w:val="nil"/>
              <w:bottom w:val="single" w:sz="4" w:space="0" w:color="auto"/>
              <w:right w:val="nil"/>
            </w:tcBorders>
            <w:shd w:val="clear" w:color="auto" w:fill="D9D9D9"/>
            <w:vAlign w:val="center"/>
          </w:tcPr>
          <w:p w14:paraId="4DD0DFF3" w14:textId="77777777" w:rsidR="00175347" w:rsidRPr="00BF3027" w:rsidRDefault="00175347" w:rsidP="001A3649">
            <w:pPr>
              <w:spacing w:after="0" w:line="240" w:lineRule="auto"/>
              <w:jc w:val="center"/>
              <w:rPr>
                <w:rFonts w:ascii="David" w:eastAsia="Times New Roman" w:hAnsi="David" w:cs="David"/>
              </w:rPr>
            </w:pPr>
            <w:r w:rsidRPr="00BF3027">
              <w:rPr>
                <w:rFonts w:ascii="David" w:eastAsia="Times New Roman" w:hAnsi="David" w:cs="David"/>
                <w:rtl/>
              </w:rPr>
              <w:t>-</w:t>
            </w:r>
          </w:p>
        </w:tc>
        <w:tc>
          <w:tcPr>
            <w:tcW w:w="851" w:type="dxa"/>
            <w:tcBorders>
              <w:top w:val="single" w:sz="4" w:space="0" w:color="auto"/>
              <w:left w:val="nil"/>
              <w:bottom w:val="single" w:sz="4" w:space="0" w:color="auto"/>
              <w:right w:val="nil"/>
            </w:tcBorders>
            <w:shd w:val="clear" w:color="auto" w:fill="D9D9D9"/>
            <w:vAlign w:val="center"/>
          </w:tcPr>
          <w:p w14:paraId="612C5726" w14:textId="77777777" w:rsidR="00175347" w:rsidRPr="00BF3027" w:rsidRDefault="00175347" w:rsidP="001A3649">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tcBorders>
              <w:top w:val="single" w:sz="4" w:space="0" w:color="auto"/>
              <w:left w:val="nil"/>
              <w:bottom w:val="single" w:sz="4" w:space="0" w:color="auto"/>
              <w:right w:val="nil"/>
            </w:tcBorders>
            <w:shd w:val="clear" w:color="auto" w:fill="D9D9D9"/>
            <w:vAlign w:val="center"/>
          </w:tcPr>
          <w:p w14:paraId="7D183FE4" w14:textId="77777777" w:rsidR="00175347" w:rsidRPr="00BF3027" w:rsidRDefault="005E6094" w:rsidP="001A3649">
            <w:pPr>
              <w:spacing w:after="0" w:line="240" w:lineRule="auto"/>
              <w:jc w:val="center"/>
              <w:rPr>
                <w:rFonts w:ascii="David" w:eastAsia="Times New Roman" w:hAnsi="David" w:cs="David"/>
              </w:rPr>
            </w:pPr>
            <w:r w:rsidRPr="00BF3027">
              <w:rPr>
                <w:rFonts w:ascii="David" w:eastAsia="Times New Roman" w:hAnsi="David" w:cs="David" w:hint="cs"/>
                <w:rtl/>
              </w:rPr>
              <w:t>1089</w:t>
            </w:r>
          </w:p>
        </w:tc>
      </w:tr>
      <w:tr w:rsidR="002C4CFA" w:rsidRPr="00BF3027" w14:paraId="157ABDDC" w14:textId="77777777" w:rsidTr="002C4CFA">
        <w:trPr>
          <w:trHeight w:val="628"/>
        </w:trPr>
        <w:tc>
          <w:tcPr>
            <w:tcW w:w="853" w:type="dxa"/>
            <w:tcBorders>
              <w:top w:val="single" w:sz="4" w:space="0" w:color="auto"/>
            </w:tcBorders>
            <w:shd w:val="clear" w:color="auto" w:fill="auto"/>
            <w:noWrap/>
            <w:vAlign w:val="center"/>
          </w:tcPr>
          <w:p w14:paraId="209458A1" w14:textId="6EBECF76" w:rsidR="002C4CFA" w:rsidRPr="00BF3027" w:rsidRDefault="002C4CFA" w:rsidP="002C4CFA">
            <w:pPr>
              <w:spacing w:after="0" w:line="240" w:lineRule="auto"/>
              <w:rPr>
                <w:rFonts w:ascii="David" w:eastAsia="Times New Roman" w:hAnsi="David" w:cs="David"/>
                <w:rtl/>
              </w:rPr>
            </w:pPr>
            <w:r w:rsidRPr="00BF3027">
              <w:rPr>
                <w:rFonts w:ascii="Arial" w:eastAsia="Times New Roman" w:hAnsi="Arial" w:cs="David" w:hint="cs"/>
                <w:b/>
                <w:bCs/>
                <w:rtl/>
              </w:rPr>
              <w:lastRenderedPageBreak/>
              <w:t>ערכאה</w:t>
            </w:r>
          </w:p>
        </w:tc>
        <w:tc>
          <w:tcPr>
            <w:tcW w:w="989" w:type="dxa"/>
            <w:tcBorders>
              <w:top w:val="single" w:sz="4" w:space="0" w:color="auto"/>
            </w:tcBorders>
            <w:shd w:val="clear" w:color="auto" w:fill="auto"/>
            <w:noWrap/>
            <w:vAlign w:val="center"/>
          </w:tcPr>
          <w:p w14:paraId="7618E4EA" w14:textId="2929CA05" w:rsidR="002C4CFA" w:rsidRPr="00BF3027" w:rsidRDefault="002C4CFA" w:rsidP="002C4CFA">
            <w:pPr>
              <w:spacing w:after="0" w:line="240" w:lineRule="auto"/>
              <w:rPr>
                <w:rFonts w:ascii="David" w:eastAsia="Times New Roman" w:hAnsi="David" w:cs="David"/>
                <w:rtl/>
              </w:rPr>
            </w:pPr>
            <w:r w:rsidRPr="00BF3027">
              <w:rPr>
                <w:rFonts w:ascii="Arial" w:eastAsia="Times New Roman" w:hAnsi="Arial" w:cs="David" w:hint="cs"/>
                <w:b/>
                <w:bCs/>
                <w:rtl/>
              </w:rPr>
              <w:t>הליך</w:t>
            </w:r>
          </w:p>
        </w:tc>
        <w:tc>
          <w:tcPr>
            <w:tcW w:w="1984" w:type="dxa"/>
            <w:tcBorders>
              <w:top w:val="single" w:sz="4" w:space="0" w:color="auto"/>
            </w:tcBorders>
            <w:shd w:val="clear" w:color="auto" w:fill="auto"/>
            <w:vAlign w:val="center"/>
          </w:tcPr>
          <w:p w14:paraId="3412C956" w14:textId="4337E7E0" w:rsidR="002C4CFA" w:rsidRPr="00BF3027" w:rsidRDefault="002C4CFA" w:rsidP="002C4CFA">
            <w:pPr>
              <w:spacing w:after="0" w:line="240" w:lineRule="auto"/>
              <w:rPr>
                <w:rFonts w:ascii="David" w:eastAsia="Times New Roman" w:hAnsi="David" w:cs="David"/>
                <w:rtl/>
              </w:rPr>
            </w:pPr>
            <w:r w:rsidRPr="00BF3027">
              <w:rPr>
                <w:rFonts w:ascii="Arial" w:eastAsia="Times New Roman" w:hAnsi="Arial" w:cs="David" w:hint="cs"/>
                <w:b/>
                <w:bCs/>
                <w:rtl/>
              </w:rPr>
              <w:t>סוג תיק</w:t>
            </w:r>
          </w:p>
        </w:tc>
        <w:tc>
          <w:tcPr>
            <w:tcW w:w="1276" w:type="dxa"/>
            <w:tcBorders>
              <w:top w:val="single" w:sz="4" w:space="0" w:color="auto"/>
            </w:tcBorders>
            <w:shd w:val="clear" w:color="auto" w:fill="auto"/>
            <w:vAlign w:val="center"/>
          </w:tcPr>
          <w:p w14:paraId="4FC2CA79" w14:textId="52C74FD8" w:rsidR="002C4CFA" w:rsidRPr="00BF3027" w:rsidRDefault="002C4CFA" w:rsidP="002C4CFA">
            <w:pPr>
              <w:spacing w:after="0" w:line="240" w:lineRule="auto"/>
              <w:jc w:val="center"/>
              <w:rPr>
                <w:rFonts w:ascii="David" w:eastAsia="Times New Roman" w:hAnsi="David" w:cs="David"/>
                <w:rtl/>
              </w:rPr>
            </w:pPr>
            <w:r w:rsidRPr="00BF3027">
              <w:rPr>
                <w:rFonts w:ascii="Arial" w:eastAsia="Times New Roman" w:hAnsi="Arial" w:cs="David" w:hint="cs"/>
                <w:b/>
                <w:bCs/>
                <w:rtl/>
              </w:rPr>
              <w:t>מספר תיקים שנסגרו ב-2019</w:t>
            </w:r>
          </w:p>
        </w:tc>
        <w:tc>
          <w:tcPr>
            <w:tcW w:w="1417" w:type="dxa"/>
            <w:tcBorders>
              <w:top w:val="single" w:sz="4" w:space="0" w:color="auto"/>
            </w:tcBorders>
            <w:shd w:val="clear" w:color="auto" w:fill="auto"/>
            <w:noWrap/>
            <w:vAlign w:val="center"/>
          </w:tcPr>
          <w:p w14:paraId="7EDE62D0" w14:textId="434EF8A5" w:rsidR="002C4CFA" w:rsidRPr="00BF3027" w:rsidRDefault="002C4CFA" w:rsidP="002C4CFA">
            <w:pPr>
              <w:spacing w:after="0" w:line="240" w:lineRule="auto"/>
              <w:jc w:val="center"/>
              <w:rPr>
                <w:rFonts w:ascii="David" w:eastAsia="Times New Roman" w:hAnsi="David" w:cs="David"/>
                <w:b/>
                <w:bCs/>
              </w:rPr>
            </w:pPr>
            <w:r w:rsidRPr="00BF3027">
              <w:rPr>
                <w:rFonts w:ascii="Arial" w:eastAsia="Times New Roman" w:hAnsi="Arial" w:cs="David" w:hint="cs"/>
                <w:b/>
                <w:bCs/>
                <w:rtl/>
              </w:rPr>
              <w:t>הזמן השיפוטי הממוצע לטיפול בתיק</w:t>
            </w:r>
          </w:p>
        </w:tc>
        <w:tc>
          <w:tcPr>
            <w:tcW w:w="1276" w:type="dxa"/>
            <w:tcBorders>
              <w:top w:val="single" w:sz="4" w:space="0" w:color="auto"/>
            </w:tcBorders>
            <w:shd w:val="clear" w:color="auto" w:fill="auto"/>
            <w:vAlign w:val="center"/>
          </w:tcPr>
          <w:p w14:paraId="3481C41E" w14:textId="47A5B05A" w:rsidR="002C4CFA" w:rsidRPr="00BF3027" w:rsidRDefault="002C4CFA" w:rsidP="002C4CFA">
            <w:pPr>
              <w:spacing w:after="0" w:line="240" w:lineRule="auto"/>
              <w:jc w:val="center"/>
              <w:rPr>
                <w:rFonts w:ascii="David" w:eastAsia="Times New Roman" w:hAnsi="David" w:cs="David"/>
              </w:rPr>
            </w:pPr>
            <w:r w:rsidRPr="00BF3027">
              <w:rPr>
                <w:rFonts w:ascii="Arial" w:eastAsia="Times New Roman" w:hAnsi="Arial" w:cs="David" w:hint="cs"/>
                <w:b/>
                <w:bCs/>
                <w:rtl/>
              </w:rPr>
              <w:t>הזמן השיפוטי הממוצע לפי המחקר הקודם</w:t>
            </w:r>
          </w:p>
        </w:tc>
        <w:tc>
          <w:tcPr>
            <w:tcW w:w="851" w:type="dxa"/>
            <w:tcBorders>
              <w:top w:val="single" w:sz="4" w:space="0" w:color="auto"/>
            </w:tcBorders>
            <w:shd w:val="clear" w:color="auto" w:fill="auto"/>
            <w:vAlign w:val="center"/>
          </w:tcPr>
          <w:p w14:paraId="714D84CB" w14:textId="3A6B4171" w:rsidR="002C4CFA" w:rsidRPr="00BF3027" w:rsidRDefault="002C4CFA" w:rsidP="002C4CFA">
            <w:pPr>
              <w:spacing w:after="0" w:line="240" w:lineRule="auto"/>
              <w:jc w:val="center"/>
              <w:rPr>
                <w:rFonts w:ascii="David" w:eastAsia="Times New Roman" w:hAnsi="David" w:cs="David"/>
              </w:rPr>
            </w:pPr>
            <w:r w:rsidRPr="00BF3027">
              <w:rPr>
                <w:rFonts w:ascii="Arial" w:eastAsia="Times New Roman" w:hAnsi="Arial" w:cs="David" w:hint="cs"/>
                <w:b/>
                <w:bCs/>
                <w:rtl/>
              </w:rPr>
              <w:t>מגמת השינוי</w:t>
            </w:r>
          </w:p>
        </w:tc>
        <w:tc>
          <w:tcPr>
            <w:tcW w:w="992" w:type="dxa"/>
            <w:tcBorders>
              <w:top w:val="single" w:sz="4" w:space="0" w:color="auto"/>
            </w:tcBorders>
            <w:shd w:val="clear" w:color="auto" w:fill="auto"/>
            <w:vAlign w:val="center"/>
          </w:tcPr>
          <w:p w14:paraId="45EC4E0A" w14:textId="3FBA503C" w:rsidR="002C4CFA" w:rsidRPr="00BF3027" w:rsidRDefault="002C4CFA" w:rsidP="002C4CFA">
            <w:pPr>
              <w:spacing w:after="0" w:line="240" w:lineRule="auto"/>
              <w:jc w:val="center"/>
              <w:rPr>
                <w:rFonts w:ascii="David" w:eastAsia="Times New Roman" w:hAnsi="David" w:cs="David"/>
                <w:rtl/>
              </w:rPr>
            </w:pPr>
            <w:r w:rsidRPr="00BF3027">
              <w:rPr>
                <w:rFonts w:ascii="Arial" w:hAnsi="Arial" w:cs="David" w:hint="cs"/>
                <w:b/>
                <w:bCs/>
                <w:rtl/>
              </w:rPr>
              <w:t>משקל לתיק לפי המחקר הנוכחי</w:t>
            </w:r>
          </w:p>
        </w:tc>
      </w:tr>
      <w:tr w:rsidR="002C4CFA" w:rsidRPr="00BF3027" w14:paraId="3026D462" w14:textId="77777777" w:rsidTr="002C4CFA">
        <w:trPr>
          <w:trHeight w:val="628"/>
        </w:trPr>
        <w:tc>
          <w:tcPr>
            <w:tcW w:w="853" w:type="dxa"/>
            <w:tcBorders>
              <w:top w:val="single" w:sz="4" w:space="0" w:color="auto"/>
            </w:tcBorders>
            <w:shd w:val="clear" w:color="auto" w:fill="auto"/>
            <w:noWrap/>
            <w:vAlign w:val="center"/>
          </w:tcPr>
          <w:p w14:paraId="1B1F1AA8"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tcBorders>
              <w:top w:val="single" w:sz="4" w:space="0" w:color="auto"/>
            </w:tcBorders>
            <w:shd w:val="clear" w:color="auto" w:fill="auto"/>
            <w:noWrap/>
            <w:vAlign w:val="center"/>
          </w:tcPr>
          <w:p w14:paraId="134E5907"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tcBorders>
              <w:top w:val="single" w:sz="4" w:space="0" w:color="auto"/>
            </w:tcBorders>
            <w:shd w:val="clear" w:color="auto" w:fill="auto"/>
            <w:vAlign w:val="center"/>
          </w:tcPr>
          <w:p w14:paraId="3FBA2BA6"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תביעה נגזרת (תנ"ג)</w:t>
            </w:r>
            <w:r w:rsidRPr="00BF3027">
              <w:rPr>
                <w:rFonts w:ascii="David" w:eastAsia="Times New Roman" w:hAnsi="David" w:cs="David" w:hint="cs"/>
                <w:rtl/>
              </w:rPr>
              <w:t>**</w:t>
            </w:r>
          </w:p>
        </w:tc>
        <w:tc>
          <w:tcPr>
            <w:tcW w:w="1276" w:type="dxa"/>
            <w:tcBorders>
              <w:top w:val="single" w:sz="4" w:space="0" w:color="auto"/>
            </w:tcBorders>
            <w:shd w:val="clear" w:color="auto" w:fill="auto"/>
            <w:vAlign w:val="center"/>
          </w:tcPr>
          <w:p w14:paraId="64294B6E"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48</w:t>
            </w:r>
          </w:p>
        </w:tc>
        <w:tc>
          <w:tcPr>
            <w:tcW w:w="1417" w:type="dxa"/>
            <w:tcBorders>
              <w:top w:val="single" w:sz="4" w:space="0" w:color="auto"/>
            </w:tcBorders>
            <w:shd w:val="clear" w:color="auto" w:fill="auto"/>
            <w:noWrap/>
            <w:vAlign w:val="center"/>
          </w:tcPr>
          <w:p w14:paraId="1F3FA9C8"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33:03</w:t>
            </w:r>
          </w:p>
        </w:tc>
        <w:tc>
          <w:tcPr>
            <w:tcW w:w="1276" w:type="dxa"/>
            <w:tcBorders>
              <w:top w:val="single" w:sz="4" w:space="0" w:color="auto"/>
            </w:tcBorders>
            <w:shd w:val="clear" w:color="auto" w:fill="auto"/>
            <w:vAlign w:val="center"/>
          </w:tcPr>
          <w:p w14:paraId="686129EE"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6:40</w:t>
            </w:r>
          </w:p>
        </w:tc>
        <w:tc>
          <w:tcPr>
            <w:tcW w:w="851" w:type="dxa"/>
            <w:tcBorders>
              <w:top w:val="single" w:sz="4" w:space="0" w:color="auto"/>
            </w:tcBorders>
            <w:shd w:val="clear" w:color="auto" w:fill="auto"/>
            <w:vAlign w:val="center"/>
          </w:tcPr>
          <w:p w14:paraId="72928C3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+26:23</w:t>
            </w:r>
          </w:p>
        </w:tc>
        <w:tc>
          <w:tcPr>
            <w:tcW w:w="992" w:type="dxa"/>
            <w:tcBorders>
              <w:top w:val="single" w:sz="4" w:space="0" w:color="auto"/>
            </w:tcBorders>
            <w:shd w:val="clear" w:color="auto" w:fill="auto"/>
            <w:vAlign w:val="center"/>
          </w:tcPr>
          <w:p w14:paraId="7B1A0460"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hint="cs"/>
                <w:rtl/>
              </w:rPr>
              <w:t>992</w:t>
            </w:r>
          </w:p>
        </w:tc>
      </w:tr>
      <w:tr w:rsidR="002C4CFA" w:rsidRPr="00BF3027" w14:paraId="5265AE67" w14:textId="77777777" w:rsidTr="002C4CFA">
        <w:trPr>
          <w:trHeight w:val="628"/>
        </w:trPr>
        <w:tc>
          <w:tcPr>
            <w:tcW w:w="853" w:type="dxa"/>
            <w:tcBorders>
              <w:top w:val="single" w:sz="4" w:space="0" w:color="auto"/>
            </w:tcBorders>
            <w:shd w:val="clear" w:color="auto" w:fill="D9D9D9"/>
            <w:noWrap/>
            <w:vAlign w:val="center"/>
          </w:tcPr>
          <w:p w14:paraId="5CAE70AB"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tcBorders>
              <w:top w:val="single" w:sz="4" w:space="0" w:color="auto"/>
            </w:tcBorders>
            <w:shd w:val="clear" w:color="auto" w:fill="D9D9D9"/>
            <w:noWrap/>
            <w:vAlign w:val="center"/>
          </w:tcPr>
          <w:p w14:paraId="2B252B6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פלילי</w:t>
            </w:r>
          </w:p>
        </w:tc>
        <w:tc>
          <w:tcPr>
            <w:tcW w:w="1984" w:type="dxa"/>
            <w:tcBorders>
              <w:top w:val="single" w:sz="4" w:space="0" w:color="auto"/>
            </w:tcBorders>
            <w:shd w:val="clear" w:color="auto" w:fill="D9D9D9"/>
            <w:vAlign w:val="center"/>
          </w:tcPr>
          <w:p w14:paraId="4BFE319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פלילי (ת"פ)</w:t>
            </w:r>
          </w:p>
        </w:tc>
        <w:tc>
          <w:tcPr>
            <w:tcW w:w="1276" w:type="dxa"/>
            <w:tcBorders>
              <w:top w:val="single" w:sz="4" w:space="0" w:color="auto"/>
            </w:tcBorders>
            <w:shd w:val="clear" w:color="auto" w:fill="D9D9D9"/>
            <w:vAlign w:val="center"/>
          </w:tcPr>
          <w:p w14:paraId="71C0F8F1"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1,308</w:t>
            </w:r>
          </w:p>
        </w:tc>
        <w:tc>
          <w:tcPr>
            <w:tcW w:w="1417" w:type="dxa"/>
            <w:tcBorders>
              <w:top w:val="single" w:sz="4" w:space="0" w:color="auto"/>
            </w:tcBorders>
            <w:shd w:val="clear" w:color="auto" w:fill="D9D9D9"/>
            <w:noWrap/>
            <w:vAlign w:val="center"/>
          </w:tcPr>
          <w:p w14:paraId="131B3143"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hint="cs"/>
                <w:b/>
                <w:bCs/>
                <w:rtl/>
              </w:rPr>
              <w:t>31:39</w:t>
            </w:r>
          </w:p>
        </w:tc>
        <w:tc>
          <w:tcPr>
            <w:tcW w:w="1276" w:type="dxa"/>
            <w:tcBorders>
              <w:top w:val="single" w:sz="4" w:space="0" w:color="auto"/>
            </w:tcBorders>
            <w:shd w:val="clear" w:color="auto" w:fill="D9D9D9"/>
            <w:vAlign w:val="center"/>
          </w:tcPr>
          <w:p w14:paraId="153D869F" w14:textId="77777777" w:rsidR="002C4CFA" w:rsidRPr="00BF3027" w:rsidRDefault="002C4CFA" w:rsidP="002C4CFA">
            <w:pPr>
              <w:spacing w:after="0" w:line="240" w:lineRule="auto"/>
              <w:jc w:val="center"/>
              <w:rPr>
                <w:rFonts w:asciiTheme="minorHAnsi" w:eastAsia="Times New Roman" w:hAnsiTheme="minorHAnsi" w:cs="David"/>
                <w:rtl/>
              </w:rPr>
            </w:pPr>
            <w:r w:rsidRPr="00BF3027">
              <w:rPr>
                <w:rFonts w:ascii="David" w:eastAsia="Times New Roman" w:hAnsi="David" w:cs="David"/>
              </w:rPr>
              <w:t>11:18</w:t>
            </w:r>
          </w:p>
        </w:tc>
        <w:tc>
          <w:tcPr>
            <w:tcW w:w="851" w:type="dxa"/>
            <w:tcBorders>
              <w:top w:val="single" w:sz="4" w:space="0" w:color="auto"/>
            </w:tcBorders>
            <w:shd w:val="clear" w:color="auto" w:fill="D9D9D9"/>
            <w:vAlign w:val="center"/>
          </w:tcPr>
          <w:p w14:paraId="74624CD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+20:21</w:t>
            </w:r>
          </w:p>
        </w:tc>
        <w:tc>
          <w:tcPr>
            <w:tcW w:w="992" w:type="dxa"/>
            <w:tcBorders>
              <w:top w:val="single" w:sz="4" w:space="0" w:color="auto"/>
            </w:tcBorders>
            <w:shd w:val="clear" w:color="auto" w:fill="D9D9D9"/>
            <w:vAlign w:val="center"/>
          </w:tcPr>
          <w:p w14:paraId="7A2AAE17"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950</w:t>
            </w:r>
          </w:p>
        </w:tc>
      </w:tr>
      <w:tr w:rsidR="002C4CFA" w:rsidRPr="00BF3027" w14:paraId="58D26C1E" w14:textId="77777777" w:rsidTr="002C4CFA">
        <w:trPr>
          <w:trHeight w:val="345"/>
        </w:trPr>
        <w:tc>
          <w:tcPr>
            <w:tcW w:w="853" w:type="dxa"/>
            <w:shd w:val="clear" w:color="auto" w:fill="auto"/>
            <w:noWrap/>
            <w:vAlign w:val="center"/>
          </w:tcPr>
          <w:p w14:paraId="21E07D9C"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auto"/>
            <w:noWrap/>
            <w:vAlign w:val="center"/>
          </w:tcPr>
          <w:p w14:paraId="3C3F9B7E"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auto"/>
            <w:vAlign w:val="center"/>
          </w:tcPr>
          <w:p w14:paraId="6F3D1819"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אזרחי בסדר דין רגיל (ת"א) - נזקי גוף - חבויות</w:t>
            </w:r>
          </w:p>
        </w:tc>
        <w:tc>
          <w:tcPr>
            <w:tcW w:w="1276" w:type="dxa"/>
            <w:shd w:val="clear" w:color="auto" w:fill="auto"/>
            <w:vAlign w:val="center"/>
          </w:tcPr>
          <w:p w14:paraId="15D2636E"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453</w:t>
            </w:r>
          </w:p>
        </w:tc>
        <w:tc>
          <w:tcPr>
            <w:tcW w:w="1417" w:type="dxa"/>
            <w:shd w:val="clear" w:color="auto" w:fill="auto"/>
            <w:noWrap/>
            <w:vAlign w:val="center"/>
          </w:tcPr>
          <w:p w14:paraId="433D3F9D"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27:27</w:t>
            </w:r>
          </w:p>
        </w:tc>
        <w:tc>
          <w:tcPr>
            <w:tcW w:w="1276" w:type="dxa"/>
            <w:shd w:val="clear" w:color="auto" w:fill="auto"/>
            <w:vAlign w:val="center"/>
          </w:tcPr>
          <w:p w14:paraId="1FBE3CE8"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w:t>
            </w:r>
          </w:p>
        </w:tc>
        <w:tc>
          <w:tcPr>
            <w:tcW w:w="851" w:type="dxa"/>
            <w:shd w:val="clear" w:color="auto" w:fill="auto"/>
            <w:vAlign w:val="center"/>
          </w:tcPr>
          <w:p w14:paraId="60336613"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shd w:val="clear" w:color="auto" w:fill="auto"/>
            <w:vAlign w:val="center"/>
          </w:tcPr>
          <w:p w14:paraId="2EDFBFEB"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824</w:t>
            </w:r>
          </w:p>
        </w:tc>
      </w:tr>
      <w:tr w:rsidR="002C4CFA" w:rsidRPr="00BF3027" w14:paraId="0DF8DFB4" w14:textId="77777777" w:rsidTr="002C4CFA">
        <w:trPr>
          <w:trHeight w:val="424"/>
        </w:trPr>
        <w:tc>
          <w:tcPr>
            <w:tcW w:w="853" w:type="dxa"/>
            <w:shd w:val="clear" w:color="auto" w:fill="D9D9D9"/>
            <w:noWrap/>
            <w:vAlign w:val="center"/>
          </w:tcPr>
          <w:p w14:paraId="1B8A9B42"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תעבורה</w:t>
            </w:r>
          </w:p>
        </w:tc>
        <w:tc>
          <w:tcPr>
            <w:tcW w:w="989" w:type="dxa"/>
            <w:shd w:val="clear" w:color="auto" w:fill="D9D9D9"/>
            <w:noWrap/>
            <w:vAlign w:val="center"/>
          </w:tcPr>
          <w:p w14:paraId="2F72FD15" w14:textId="77777777" w:rsidR="002C4CFA" w:rsidRPr="00BF3027" w:rsidRDefault="002C4CFA" w:rsidP="002C4CFA">
            <w:pPr>
              <w:spacing w:after="0" w:line="240" w:lineRule="auto"/>
              <w:rPr>
                <w:rFonts w:ascii="David" w:eastAsia="Times New Roman" w:hAnsi="David" w:cs="David"/>
                <w:rtl/>
              </w:rPr>
            </w:pPr>
          </w:p>
        </w:tc>
        <w:tc>
          <w:tcPr>
            <w:tcW w:w="1984" w:type="dxa"/>
            <w:shd w:val="clear" w:color="auto" w:fill="D9D9D9"/>
            <w:vAlign w:val="center"/>
          </w:tcPr>
          <w:p w14:paraId="6963DAC1"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גרימת מוות בנהיגה רשלנית (גמ"ר)</w:t>
            </w:r>
          </w:p>
        </w:tc>
        <w:tc>
          <w:tcPr>
            <w:tcW w:w="1276" w:type="dxa"/>
            <w:shd w:val="clear" w:color="auto" w:fill="D9D9D9"/>
            <w:vAlign w:val="center"/>
          </w:tcPr>
          <w:p w14:paraId="36CC0CEF"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94</w:t>
            </w:r>
          </w:p>
        </w:tc>
        <w:tc>
          <w:tcPr>
            <w:tcW w:w="1417" w:type="dxa"/>
            <w:shd w:val="clear" w:color="auto" w:fill="D9D9D9"/>
            <w:noWrap/>
            <w:vAlign w:val="center"/>
          </w:tcPr>
          <w:p w14:paraId="4D18F91A"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25:16</w:t>
            </w:r>
          </w:p>
        </w:tc>
        <w:tc>
          <w:tcPr>
            <w:tcW w:w="1276" w:type="dxa"/>
            <w:shd w:val="clear" w:color="auto" w:fill="D9D9D9"/>
            <w:vAlign w:val="center"/>
          </w:tcPr>
          <w:p w14:paraId="521930D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10:52</w:t>
            </w:r>
          </w:p>
        </w:tc>
        <w:tc>
          <w:tcPr>
            <w:tcW w:w="851" w:type="dxa"/>
            <w:shd w:val="clear" w:color="auto" w:fill="D9D9D9"/>
            <w:vAlign w:val="center"/>
          </w:tcPr>
          <w:p w14:paraId="2B736C24"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+14:24</w:t>
            </w:r>
          </w:p>
        </w:tc>
        <w:tc>
          <w:tcPr>
            <w:tcW w:w="992" w:type="dxa"/>
            <w:shd w:val="clear" w:color="auto" w:fill="D9D9D9"/>
            <w:vAlign w:val="center"/>
          </w:tcPr>
          <w:p w14:paraId="06087839"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758</w:t>
            </w:r>
          </w:p>
        </w:tc>
      </w:tr>
      <w:tr w:rsidR="002C4CFA" w:rsidRPr="00BF3027" w14:paraId="0EC9CEAC" w14:textId="77777777" w:rsidTr="002C4CFA">
        <w:trPr>
          <w:trHeight w:val="621"/>
        </w:trPr>
        <w:tc>
          <w:tcPr>
            <w:tcW w:w="853" w:type="dxa"/>
            <w:shd w:val="clear" w:color="auto" w:fill="auto"/>
            <w:noWrap/>
            <w:vAlign w:val="center"/>
          </w:tcPr>
          <w:p w14:paraId="1FAAAA5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auto"/>
            <w:noWrap/>
            <w:vAlign w:val="center"/>
          </w:tcPr>
          <w:p w14:paraId="7154F2E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עניינים מנהליים/ אזרחי</w:t>
            </w:r>
          </w:p>
        </w:tc>
        <w:tc>
          <w:tcPr>
            <w:tcW w:w="1984" w:type="dxa"/>
            <w:shd w:val="clear" w:color="auto" w:fill="auto"/>
            <w:vAlign w:val="center"/>
          </w:tcPr>
          <w:p w14:paraId="62F6EC4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תובענה ייצוגית (ת"צ)</w:t>
            </w:r>
          </w:p>
        </w:tc>
        <w:tc>
          <w:tcPr>
            <w:tcW w:w="1276" w:type="dxa"/>
            <w:shd w:val="clear" w:color="auto" w:fill="auto"/>
            <w:vAlign w:val="center"/>
          </w:tcPr>
          <w:p w14:paraId="35D2EC02"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922</w:t>
            </w:r>
          </w:p>
        </w:tc>
        <w:tc>
          <w:tcPr>
            <w:tcW w:w="1417" w:type="dxa"/>
            <w:shd w:val="clear" w:color="auto" w:fill="auto"/>
            <w:noWrap/>
            <w:vAlign w:val="center"/>
          </w:tcPr>
          <w:p w14:paraId="77B4D380"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24:58</w:t>
            </w:r>
          </w:p>
        </w:tc>
        <w:tc>
          <w:tcPr>
            <w:tcW w:w="1276" w:type="dxa"/>
            <w:shd w:val="clear" w:color="auto" w:fill="auto"/>
            <w:vAlign w:val="center"/>
          </w:tcPr>
          <w:p w14:paraId="6F22E05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24:36</w:t>
            </w:r>
          </w:p>
        </w:tc>
        <w:tc>
          <w:tcPr>
            <w:tcW w:w="851" w:type="dxa"/>
            <w:shd w:val="clear" w:color="auto" w:fill="auto"/>
            <w:vAlign w:val="center"/>
          </w:tcPr>
          <w:p w14:paraId="280559C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hint="cs"/>
                <w:rtl/>
              </w:rPr>
              <w:t>0:22+</w:t>
            </w:r>
          </w:p>
        </w:tc>
        <w:tc>
          <w:tcPr>
            <w:tcW w:w="992" w:type="dxa"/>
            <w:shd w:val="clear" w:color="auto" w:fill="auto"/>
            <w:vAlign w:val="center"/>
          </w:tcPr>
          <w:p w14:paraId="7051D79E"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749</w:t>
            </w:r>
          </w:p>
        </w:tc>
      </w:tr>
      <w:tr w:rsidR="002C4CFA" w:rsidRPr="00BF3027" w14:paraId="1740977D" w14:textId="77777777" w:rsidTr="002C4CFA">
        <w:trPr>
          <w:trHeight w:val="651"/>
        </w:trPr>
        <w:tc>
          <w:tcPr>
            <w:tcW w:w="853" w:type="dxa"/>
            <w:shd w:val="clear" w:color="auto" w:fill="D9D9D9"/>
            <w:noWrap/>
            <w:vAlign w:val="center"/>
          </w:tcPr>
          <w:p w14:paraId="6F0A632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D9D9D9"/>
            <w:noWrap/>
            <w:vAlign w:val="center"/>
          </w:tcPr>
          <w:p w14:paraId="7C8A40EE"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D9D9D9"/>
            <w:vAlign w:val="center"/>
          </w:tcPr>
          <w:p w14:paraId="5EE9D72E"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אזרחי בסדר דין רגיל (ת"א) - נזקי גוף - רשלנות רפואית</w:t>
            </w:r>
            <w:r w:rsidRPr="00BF3027">
              <w:rPr>
                <w:rFonts w:ascii="David" w:eastAsia="Times New Roman" w:hAnsi="David" w:cs="David" w:hint="cs"/>
                <w:rtl/>
              </w:rPr>
              <w:t>**</w:t>
            </w:r>
          </w:p>
        </w:tc>
        <w:tc>
          <w:tcPr>
            <w:tcW w:w="1276" w:type="dxa"/>
            <w:shd w:val="clear" w:color="auto" w:fill="D9D9D9"/>
            <w:vAlign w:val="center"/>
          </w:tcPr>
          <w:p w14:paraId="4BF0EF21"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565</w:t>
            </w:r>
          </w:p>
        </w:tc>
        <w:tc>
          <w:tcPr>
            <w:tcW w:w="1417" w:type="dxa"/>
            <w:shd w:val="clear" w:color="auto" w:fill="D9D9D9"/>
            <w:noWrap/>
            <w:vAlign w:val="center"/>
          </w:tcPr>
          <w:p w14:paraId="7512A2A5"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hint="cs"/>
                <w:b/>
                <w:bCs/>
                <w:rtl/>
              </w:rPr>
              <w:t>23:00</w:t>
            </w:r>
          </w:p>
        </w:tc>
        <w:tc>
          <w:tcPr>
            <w:tcW w:w="1276" w:type="dxa"/>
            <w:shd w:val="clear" w:color="auto" w:fill="D9D9D9"/>
            <w:vAlign w:val="center"/>
          </w:tcPr>
          <w:p w14:paraId="66F6961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851" w:type="dxa"/>
            <w:shd w:val="clear" w:color="auto" w:fill="D9D9D9"/>
            <w:vAlign w:val="center"/>
          </w:tcPr>
          <w:p w14:paraId="1CE8DDD4"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shd w:val="clear" w:color="auto" w:fill="D9D9D9"/>
            <w:vAlign w:val="center"/>
          </w:tcPr>
          <w:p w14:paraId="2C92CFF4"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690</w:t>
            </w:r>
          </w:p>
        </w:tc>
      </w:tr>
      <w:tr w:rsidR="002C4CFA" w:rsidRPr="00BF3027" w14:paraId="69E465FF" w14:textId="77777777" w:rsidTr="002C4CFA">
        <w:trPr>
          <w:trHeight w:val="338"/>
        </w:trPr>
        <w:tc>
          <w:tcPr>
            <w:tcW w:w="853" w:type="dxa"/>
            <w:shd w:val="clear" w:color="auto" w:fill="auto"/>
            <w:noWrap/>
            <w:vAlign w:val="center"/>
          </w:tcPr>
          <w:p w14:paraId="240053B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auto"/>
            <w:noWrap/>
            <w:vAlign w:val="center"/>
          </w:tcPr>
          <w:p w14:paraId="3B97EA32"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auto"/>
            <w:vAlign w:val="center"/>
          </w:tcPr>
          <w:p w14:paraId="4E0056C8"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 xml:space="preserve">תיק אזרחי בסדר דין רגיל (ת"א) - </w:t>
            </w:r>
            <w:r w:rsidRPr="00BF3027">
              <w:rPr>
                <w:rFonts w:ascii="David" w:eastAsia="Times New Roman" w:hAnsi="David" w:cs="David"/>
                <w:b/>
                <w:bCs/>
                <w:rtl/>
              </w:rPr>
              <w:t>משוקלל</w:t>
            </w:r>
          </w:p>
        </w:tc>
        <w:tc>
          <w:tcPr>
            <w:tcW w:w="1276" w:type="dxa"/>
            <w:shd w:val="clear" w:color="auto" w:fill="auto"/>
            <w:vAlign w:val="center"/>
          </w:tcPr>
          <w:p w14:paraId="7E0E0F98"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4,881</w:t>
            </w:r>
          </w:p>
        </w:tc>
        <w:tc>
          <w:tcPr>
            <w:tcW w:w="1417" w:type="dxa"/>
            <w:shd w:val="clear" w:color="auto" w:fill="auto"/>
            <w:noWrap/>
            <w:vAlign w:val="center"/>
          </w:tcPr>
          <w:p w14:paraId="7C792B5B"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21:21</w:t>
            </w:r>
          </w:p>
        </w:tc>
        <w:tc>
          <w:tcPr>
            <w:tcW w:w="1276" w:type="dxa"/>
            <w:shd w:val="clear" w:color="auto" w:fill="auto"/>
            <w:vAlign w:val="center"/>
          </w:tcPr>
          <w:p w14:paraId="4F814D0D"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21:28</w:t>
            </w:r>
          </w:p>
        </w:tc>
        <w:tc>
          <w:tcPr>
            <w:tcW w:w="851" w:type="dxa"/>
            <w:shd w:val="clear" w:color="auto" w:fill="auto"/>
            <w:vAlign w:val="center"/>
          </w:tcPr>
          <w:p w14:paraId="2E75C37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-0:07</w:t>
            </w:r>
          </w:p>
        </w:tc>
        <w:tc>
          <w:tcPr>
            <w:tcW w:w="992" w:type="dxa"/>
            <w:shd w:val="clear" w:color="auto" w:fill="auto"/>
            <w:vAlign w:val="center"/>
          </w:tcPr>
          <w:p w14:paraId="76D87A9A"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641</w:t>
            </w:r>
          </w:p>
        </w:tc>
      </w:tr>
      <w:tr w:rsidR="002C4CFA" w:rsidRPr="00BF3027" w14:paraId="46121214" w14:textId="77777777" w:rsidTr="002C4CFA">
        <w:trPr>
          <w:trHeight w:val="633"/>
        </w:trPr>
        <w:tc>
          <w:tcPr>
            <w:tcW w:w="853" w:type="dxa"/>
            <w:shd w:val="clear" w:color="auto" w:fill="D9D9D9"/>
            <w:noWrap/>
            <w:vAlign w:val="center"/>
          </w:tcPr>
          <w:p w14:paraId="7A29D1C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D9D9D9"/>
            <w:noWrap/>
            <w:vAlign w:val="center"/>
          </w:tcPr>
          <w:p w14:paraId="3162DACD"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D9D9D9"/>
            <w:vAlign w:val="center"/>
          </w:tcPr>
          <w:p w14:paraId="3870B3D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אזרחי בסדר דין רגיל (ת"א) - פלת"ד</w:t>
            </w:r>
          </w:p>
        </w:tc>
        <w:tc>
          <w:tcPr>
            <w:tcW w:w="1276" w:type="dxa"/>
            <w:shd w:val="clear" w:color="auto" w:fill="D9D9D9"/>
            <w:vAlign w:val="center"/>
          </w:tcPr>
          <w:p w14:paraId="56AF9F2F"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353</w:t>
            </w:r>
          </w:p>
        </w:tc>
        <w:tc>
          <w:tcPr>
            <w:tcW w:w="1417" w:type="dxa"/>
            <w:shd w:val="clear" w:color="auto" w:fill="D9D9D9"/>
            <w:noWrap/>
            <w:vAlign w:val="center"/>
          </w:tcPr>
          <w:p w14:paraId="2A7ABFBE"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17:49</w:t>
            </w:r>
          </w:p>
        </w:tc>
        <w:tc>
          <w:tcPr>
            <w:tcW w:w="1276" w:type="dxa"/>
            <w:shd w:val="clear" w:color="auto" w:fill="D9D9D9"/>
            <w:vAlign w:val="center"/>
          </w:tcPr>
          <w:p w14:paraId="421AA48E"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851" w:type="dxa"/>
            <w:shd w:val="clear" w:color="auto" w:fill="D9D9D9"/>
            <w:vAlign w:val="center"/>
          </w:tcPr>
          <w:p w14:paraId="1327AED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shd w:val="clear" w:color="auto" w:fill="D9D9D9"/>
            <w:vAlign w:val="center"/>
          </w:tcPr>
          <w:p w14:paraId="746AF3A6"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535</w:t>
            </w:r>
          </w:p>
        </w:tc>
      </w:tr>
      <w:tr w:rsidR="002C4CFA" w:rsidRPr="00BF3027" w14:paraId="7B5544FB" w14:textId="77777777" w:rsidTr="002C4CFA">
        <w:trPr>
          <w:trHeight w:val="645"/>
        </w:trPr>
        <w:tc>
          <w:tcPr>
            <w:tcW w:w="853" w:type="dxa"/>
            <w:shd w:val="clear" w:color="auto" w:fill="auto"/>
            <w:noWrap/>
            <w:vAlign w:val="center"/>
          </w:tcPr>
          <w:p w14:paraId="3E4C5CF6"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auto"/>
            <w:noWrap/>
            <w:vAlign w:val="center"/>
          </w:tcPr>
          <w:p w14:paraId="12971F17"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ערע</w:t>
            </w:r>
            <w:r w:rsidRPr="00BF3027">
              <w:rPr>
                <w:rFonts w:ascii="David" w:eastAsia="Times New Roman" w:hAnsi="David" w:cs="David" w:hint="cs"/>
                <w:rtl/>
              </w:rPr>
              <w:t>ו</w:t>
            </w:r>
            <w:r w:rsidRPr="00BF3027">
              <w:rPr>
                <w:rFonts w:ascii="David" w:eastAsia="Times New Roman" w:hAnsi="David" w:cs="David"/>
                <w:rtl/>
              </w:rPr>
              <w:t>ר פלילי</w:t>
            </w:r>
          </w:p>
        </w:tc>
        <w:tc>
          <w:tcPr>
            <w:tcW w:w="1984" w:type="dxa"/>
            <w:shd w:val="clear" w:color="auto" w:fill="auto"/>
            <w:vAlign w:val="center"/>
          </w:tcPr>
          <w:p w14:paraId="4A90610A"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ערעור פלילי (ע"פ) - הרכב</w:t>
            </w:r>
          </w:p>
        </w:tc>
        <w:tc>
          <w:tcPr>
            <w:tcW w:w="1276" w:type="dxa"/>
            <w:shd w:val="clear" w:color="auto" w:fill="auto"/>
            <w:vAlign w:val="center"/>
          </w:tcPr>
          <w:p w14:paraId="1FE79281"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366</w:t>
            </w:r>
          </w:p>
        </w:tc>
        <w:tc>
          <w:tcPr>
            <w:tcW w:w="1417" w:type="dxa"/>
            <w:shd w:val="clear" w:color="auto" w:fill="auto"/>
            <w:noWrap/>
            <w:vAlign w:val="center"/>
          </w:tcPr>
          <w:p w14:paraId="11EC187C"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hint="cs"/>
                <w:b/>
                <w:bCs/>
                <w:rtl/>
              </w:rPr>
              <w:t>15:03</w:t>
            </w:r>
          </w:p>
        </w:tc>
        <w:tc>
          <w:tcPr>
            <w:tcW w:w="1276" w:type="dxa"/>
            <w:shd w:val="clear" w:color="auto" w:fill="auto"/>
            <w:vAlign w:val="center"/>
          </w:tcPr>
          <w:p w14:paraId="29741AAD"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hint="cs"/>
                <w:rtl/>
              </w:rPr>
              <w:t>-</w:t>
            </w:r>
          </w:p>
        </w:tc>
        <w:tc>
          <w:tcPr>
            <w:tcW w:w="851" w:type="dxa"/>
            <w:shd w:val="clear" w:color="auto" w:fill="auto"/>
            <w:vAlign w:val="center"/>
          </w:tcPr>
          <w:p w14:paraId="6630193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hint="cs"/>
                <w:rtl/>
              </w:rPr>
              <w:t>-</w:t>
            </w:r>
          </w:p>
        </w:tc>
        <w:tc>
          <w:tcPr>
            <w:tcW w:w="992" w:type="dxa"/>
            <w:shd w:val="clear" w:color="auto" w:fill="auto"/>
            <w:vAlign w:val="center"/>
          </w:tcPr>
          <w:p w14:paraId="5E443FED"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452</w:t>
            </w:r>
          </w:p>
        </w:tc>
      </w:tr>
      <w:tr w:rsidR="002C4CFA" w:rsidRPr="00BF3027" w14:paraId="536CA578" w14:textId="77777777" w:rsidTr="002C4CFA">
        <w:trPr>
          <w:trHeight w:val="285"/>
        </w:trPr>
        <w:tc>
          <w:tcPr>
            <w:tcW w:w="853" w:type="dxa"/>
            <w:shd w:val="clear" w:color="auto" w:fill="D9D9D9"/>
            <w:noWrap/>
            <w:vAlign w:val="center"/>
          </w:tcPr>
          <w:p w14:paraId="114441E1"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D9D9D9"/>
            <w:noWrap/>
            <w:vAlign w:val="center"/>
          </w:tcPr>
          <w:p w14:paraId="02A00F69"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D9D9D9"/>
            <w:vAlign w:val="center"/>
          </w:tcPr>
          <w:p w14:paraId="517BEB3C"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אזרחי בסדר דין רגיל (ת"א) - תקנה 3 (אגרות)</w:t>
            </w:r>
          </w:p>
        </w:tc>
        <w:tc>
          <w:tcPr>
            <w:tcW w:w="1276" w:type="dxa"/>
            <w:shd w:val="clear" w:color="auto" w:fill="D9D9D9"/>
            <w:vAlign w:val="center"/>
          </w:tcPr>
          <w:p w14:paraId="19FC5091"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1,272</w:t>
            </w:r>
          </w:p>
        </w:tc>
        <w:tc>
          <w:tcPr>
            <w:tcW w:w="1417" w:type="dxa"/>
            <w:shd w:val="clear" w:color="auto" w:fill="D9D9D9"/>
            <w:noWrap/>
            <w:vAlign w:val="center"/>
          </w:tcPr>
          <w:p w14:paraId="7FAB8724"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14:35</w:t>
            </w:r>
          </w:p>
        </w:tc>
        <w:tc>
          <w:tcPr>
            <w:tcW w:w="1276" w:type="dxa"/>
            <w:shd w:val="clear" w:color="auto" w:fill="D9D9D9"/>
            <w:vAlign w:val="center"/>
          </w:tcPr>
          <w:p w14:paraId="726C6051"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851" w:type="dxa"/>
            <w:shd w:val="clear" w:color="auto" w:fill="D9D9D9"/>
            <w:vAlign w:val="center"/>
          </w:tcPr>
          <w:p w14:paraId="42B8078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shd w:val="clear" w:color="auto" w:fill="D9D9D9"/>
            <w:vAlign w:val="center"/>
          </w:tcPr>
          <w:p w14:paraId="29058283"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438</w:t>
            </w:r>
          </w:p>
        </w:tc>
      </w:tr>
      <w:tr w:rsidR="002C4CFA" w:rsidRPr="00BF3027" w14:paraId="7C451A1F" w14:textId="77777777" w:rsidTr="002C4CFA">
        <w:trPr>
          <w:trHeight w:val="397"/>
        </w:trPr>
        <w:tc>
          <w:tcPr>
            <w:tcW w:w="853" w:type="dxa"/>
            <w:tcBorders>
              <w:top w:val="single" w:sz="4" w:space="0" w:color="auto"/>
              <w:bottom w:val="single" w:sz="4" w:space="0" w:color="auto"/>
            </w:tcBorders>
            <w:shd w:val="clear" w:color="auto" w:fill="FFFFFF"/>
            <w:noWrap/>
            <w:vAlign w:val="center"/>
          </w:tcPr>
          <w:p w14:paraId="0A14CA2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עבודה</w:t>
            </w:r>
          </w:p>
        </w:tc>
        <w:tc>
          <w:tcPr>
            <w:tcW w:w="989" w:type="dxa"/>
            <w:tcBorders>
              <w:top w:val="single" w:sz="4" w:space="0" w:color="auto"/>
              <w:bottom w:val="single" w:sz="4" w:space="0" w:color="auto"/>
            </w:tcBorders>
            <w:shd w:val="clear" w:color="auto" w:fill="FFFFFF"/>
            <w:noWrap/>
            <w:vAlign w:val="center"/>
          </w:tcPr>
          <w:p w14:paraId="5A9D1B87"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tcBorders>
              <w:top w:val="single" w:sz="4" w:space="0" w:color="auto"/>
              <w:bottom w:val="single" w:sz="4" w:space="0" w:color="auto"/>
            </w:tcBorders>
            <w:shd w:val="clear" w:color="auto" w:fill="FFFFFF"/>
            <w:vAlign w:val="center"/>
          </w:tcPr>
          <w:p w14:paraId="5835FB8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סכסוך קיבוצי (ס"ק)</w:t>
            </w:r>
          </w:p>
        </w:tc>
        <w:tc>
          <w:tcPr>
            <w:tcW w:w="1276" w:type="dxa"/>
            <w:tcBorders>
              <w:top w:val="single" w:sz="4" w:space="0" w:color="auto"/>
              <w:bottom w:val="single" w:sz="4" w:space="0" w:color="auto"/>
            </w:tcBorders>
            <w:shd w:val="clear" w:color="auto" w:fill="FFFFFF"/>
            <w:vAlign w:val="center"/>
          </w:tcPr>
          <w:p w14:paraId="2A007DE8"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214</w:t>
            </w:r>
          </w:p>
        </w:tc>
        <w:tc>
          <w:tcPr>
            <w:tcW w:w="1417" w:type="dxa"/>
            <w:tcBorders>
              <w:top w:val="single" w:sz="4" w:space="0" w:color="auto"/>
              <w:bottom w:val="single" w:sz="4" w:space="0" w:color="auto"/>
            </w:tcBorders>
            <w:shd w:val="clear" w:color="auto" w:fill="FFFFFF"/>
            <w:noWrap/>
            <w:vAlign w:val="center"/>
          </w:tcPr>
          <w:p w14:paraId="6FEB08C4"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14:22</w:t>
            </w:r>
          </w:p>
        </w:tc>
        <w:tc>
          <w:tcPr>
            <w:tcW w:w="1276" w:type="dxa"/>
            <w:tcBorders>
              <w:top w:val="single" w:sz="4" w:space="0" w:color="auto"/>
              <w:bottom w:val="single" w:sz="4" w:space="0" w:color="auto"/>
            </w:tcBorders>
            <w:shd w:val="clear" w:color="auto" w:fill="FFFFFF"/>
            <w:vAlign w:val="center"/>
          </w:tcPr>
          <w:p w14:paraId="26BC3F1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18:34</w:t>
            </w:r>
          </w:p>
        </w:tc>
        <w:tc>
          <w:tcPr>
            <w:tcW w:w="851" w:type="dxa"/>
            <w:tcBorders>
              <w:top w:val="single" w:sz="4" w:space="0" w:color="auto"/>
              <w:bottom w:val="single" w:sz="4" w:space="0" w:color="auto"/>
            </w:tcBorders>
            <w:shd w:val="clear" w:color="auto" w:fill="FFFFFF"/>
            <w:vAlign w:val="center"/>
          </w:tcPr>
          <w:p w14:paraId="1ECD20D0" w14:textId="77777777" w:rsidR="002C4CFA" w:rsidRPr="00BF3027" w:rsidRDefault="002C4CFA" w:rsidP="002C4CFA">
            <w:pPr>
              <w:spacing w:after="0" w:line="240" w:lineRule="auto"/>
              <w:jc w:val="center"/>
              <w:rPr>
                <w:rFonts w:asciiTheme="minorHAnsi" w:eastAsia="Times New Roman" w:hAnsiTheme="minorHAnsi" w:cs="David"/>
                <w:rtl/>
              </w:rPr>
            </w:pPr>
            <w:r w:rsidRPr="00BF3027">
              <w:rPr>
                <w:rFonts w:ascii="David" w:eastAsia="Times New Roman" w:hAnsi="David" w:cs="David"/>
              </w:rPr>
              <w:t>-4:12</w:t>
            </w:r>
          </w:p>
        </w:tc>
        <w:tc>
          <w:tcPr>
            <w:tcW w:w="992" w:type="dxa"/>
            <w:tcBorders>
              <w:top w:val="single" w:sz="4" w:space="0" w:color="auto"/>
              <w:bottom w:val="single" w:sz="4" w:space="0" w:color="auto"/>
            </w:tcBorders>
            <w:shd w:val="clear" w:color="auto" w:fill="FFFFFF"/>
            <w:vAlign w:val="center"/>
          </w:tcPr>
          <w:p w14:paraId="3E707BAB"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hint="cs"/>
                <w:rtl/>
              </w:rPr>
              <w:t>431</w:t>
            </w:r>
          </w:p>
        </w:tc>
      </w:tr>
      <w:tr w:rsidR="002C4CFA" w:rsidRPr="00BF3027" w14:paraId="6B463C99" w14:textId="77777777" w:rsidTr="002C4CFA">
        <w:trPr>
          <w:trHeight w:val="285"/>
        </w:trPr>
        <w:tc>
          <w:tcPr>
            <w:tcW w:w="853" w:type="dxa"/>
            <w:tcBorders>
              <w:top w:val="single" w:sz="4" w:space="0" w:color="auto"/>
              <w:bottom w:val="single" w:sz="4" w:space="0" w:color="auto"/>
            </w:tcBorders>
            <w:shd w:val="clear" w:color="auto" w:fill="D9D9D9"/>
            <w:noWrap/>
            <w:vAlign w:val="center"/>
          </w:tcPr>
          <w:p w14:paraId="020810A6"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tcBorders>
              <w:top w:val="single" w:sz="4" w:space="0" w:color="auto"/>
              <w:bottom w:val="single" w:sz="4" w:space="0" w:color="auto"/>
            </w:tcBorders>
            <w:shd w:val="clear" w:color="auto" w:fill="D9D9D9"/>
            <w:noWrap/>
            <w:vAlign w:val="center"/>
          </w:tcPr>
          <w:p w14:paraId="0A736DAD"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tcBorders>
              <w:top w:val="single" w:sz="4" w:space="0" w:color="auto"/>
              <w:bottom w:val="single" w:sz="4" w:space="0" w:color="auto"/>
            </w:tcBorders>
            <w:shd w:val="clear" w:color="auto" w:fill="D9D9D9"/>
            <w:vAlign w:val="center"/>
          </w:tcPr>
          <w:p w14:paraId="0943304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ערעור לפי חוק חיילים שנספו במערכה (עמ"ח)*</w:t>
            </w:r>
          </w:p>
        </w:tc>
        <w:tc>
          <w:tcPr>
            <w:tcW w:w="1276" w:type="dxa"/>
            <w:tcBorders>
              <w:top w:val="single" w:sz="4" w:space="0" w:color="auto"/>
              <w:bottom w:val="single" w:sz="4" w:space="0" w:color="auto"/>
            </w:tcBorders>
            <w:shd w:val="clear" w:color="auto" w:fill="D9D9D9"/>
            <w:vAlign w:val="center"/>
          </w:tcPr>
          <w:p w14:paraId="719F3D7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37</w:t>
            </w:r>
          </w:p>
        </w:tc>
        <w:tc>
          <w:tcPr>
            <w:tcW w:w="1417" w:type="dxa"/>
            <w:tcBorders>
              <w:top w:val="single" w:sz="4" w:space="0" w:color="auto"/>
              <w:bottom w:val="single" w:sz="4" w:space="0" w:color="auto"/>
            </w:tcBorders>
            <w:shd w:val="clear" w:color="auto" w:fill="D9D9D9"/>
            <w:noWrap/>
            <w:vAlign w:val="center"/>
          </w:tcPr>
          <w:p w14:paraId="0505E597"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14:17</w:t>
            </w:r>
          </w:p>
        </w:tc>
        <w:tc>
          <w:tcPr>
            <w:tcW w:w="1276" w:type="dxa"/>
            <w:tcBorders>
              <w:top w:val="single" w:sz="4" w:space="0" w:color="auto"/>
              <w:bottom w:val="single" w:sz="4" w:space="0" w:color="auto"/>
            </w:tcBorders>
            <w:shd w:val="clear" w:color="auto" w:fill="D9D9D9"/>
            <w:vAlign w:val="center"/>
          </w:tcPr>
          <w:p w14:paraId="4E4578E4"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851" w:type="dxa"/>
            <w:tcBorders>
              <w:top w:val="single" w:sz="4" w:space="0" w:color="auto"/>
              <w:bottom w:val="single" w:sz="4" w:space="0" w:color="auto"/>
            </w:tcBorders>
            <w:shd w:val="clear" w:color="auto" w:fill="D9D9D9"/>
            <w:vAlign w:val="center"/>
          </w:tcPr>
          <w:p w14:paraId="5A3BB504"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tcBorders>
              <w:top w:val="single" w:sz="4" w:space="0" w:color="auto"/>
              <w:bottom w:val="single" w:sz="4" w:space="0" w:color="auto"/>
            </w:tcBorders>
            <w:shd w:val="clear" w:color="auto" w:fill="D9D9D9"/>
            <w:vAlign w:val="center"/>
          </w:tcPr>
          <w:p w14:paraId="3F9C53C3"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429</w:t>
            </w:r>
          </w:p>
        </w:tc>
      </w:tr>
      <w:tr w:rsidR="002C4CFA" w:rsidRPr="00BF3027" w14:paraId="7170034A" w14:textId="77777777" w:rsidTr="002C4CFA">
        <w:trPr>
          <w:trHeight w:val="274"/>
        </w:trPr>
        <w:tc>
          <w:tcPr>
            <w:tcW w:w="853" w:type="dxa"/>
            <w:tcBorders>
              <w:bottom w:val="single" w:sz="4" w:space="0" w:color="auto"/>
            </w:tcBorders>
            <w:shd w:val="clear" w:color="auto" w:fill="FFFFFF"/>
            <w:noWrap/>
            <w:vAlign w:val="center"/>
          </w:tcPr>
          <w:p w14:paraId="008FB4D8"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עבודה</w:t>
            </w:r>
          </w:p>
        </w:tc>
        <w:tc>
          <w:tcPr>
            <w:tcW w:w="989" w:type="dxa"/>
            <w:tcBorders>
              <w:bottom w:val="single" w:sz="4" w:space="0" w:color="auto"/>
            </w:tcBorders>
            <w:shd w:val="clear" w:color="auto" w:fill="FFFFFF"/>
            <w:noWrap/>
            <w:vAlign w:val="center"/>
          </w:tcPr>
          <w:p w14:paraId="24196E4E"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פלילי</w:t>
            </w:r>
          </w:p>
        </w:tc>
        <w:tc>
          <w:tcPr>
            <w:tcW w:w="1984" w:type="dxa"/>
            <w:tcBorders>
              <w:bottom w:val="single" w:sz="4" w:space="0" w:color="auto"/>
            </w:tcBorders>
            <w:shd w:val="clear" w:color="auto" w:fill="FFFFFF"/>
            <w:vAlign w:val="center"/>
          </w:tcPr>
          <w:p w14:paraId="7EA963C6"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פלילי (ת"פ)</w:t>
            </w:r>
          </w:p>
        </w:tc>
        <w:tc>
          <w:tcPr>
            <w:tcW w:w="1276" w:type="dxa"/>
            <w:tcBorders>
              <w:bottom w:val="single" w:sz="4" w:space="0" w:color="auto"/>
            </w:tcBorders>
            <w:shd w:val="clear" w:color="auto" w:fill="FFFFFF"/>
            <w:vAlign w:val="center"/>
          </w:tcPr>
          <w:p w14:paraId="4365AC89"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153</w:t>
            </w:r>
          </w:p>
        </w:tc>
        <w:tc>
          <w:tcPr>
            <w:tcW w:w="1417" w:type="dxa"/>
            <w:tcBorders>
              <w:bottom w:val="single" w:sz="4" w:space="0" w:color="auto"/>
            </w:tcBorders>
            <w:shd w:val="clear" w:color="auto" w:fill="FFFFFF"/>
            <w:noWrap/>
            <w:vAlign w:val="center"/>
          </w:tcPr>
          <w:p w14:paraId="2E98E0E8"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14:10</w:t>
            </w:r>
          </w:p>
        </w:tc>
        <w:tc>
          <w:tcPr>
            <w:tcW w:w="1276" w:type="dxa"/>
            <w:tcBorders>
              <w:bottom w:val="single" w:sz="4" w:space="0" w:color="auto"/>
            </w:tcBorders>
            <w:shd w:val="clear" w:color="auto" w:fill="FFFFFF"/>
            <w:vAlign w:val="center"/>
          </w:tcPr>
          <w:p w14:paraId="39F8F5A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5:30</w:t>
            </w:r>
          </w:p>
        </w:tc>
        <w:tc>
          <w:tcPr>
            <w:tcW w:w="851" w:type="dxa"/>
            <w:tcBorders>
              <w:bottom w:val="single" w:sz="4" w:space="0" w:color="auto"/>
            </w:tcBorders>
            <w:shd w:val="clear" w:color="auto" w:fill="FFFFFF"/>
            <w:vAlign w:val="center"/>
          </w:tcPr>
          <w:p w14:paraId="1EF4EB8D"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hint="cs"/>
                <w:rtl/>
              </w:rPr>
              <w:t>40:</w:t>
            </w:r>
            <w:r w:rsidRPr="00BF3027">
              <w:rPr>
                <w:rFonts w:ascii="David" w:eastAsia="Times New Roman" w:hAnsi="David" w:cs="David"/>
              </w:rPr>
              <w:t>8</w:t>
            </w:r>
            <w:r w:rsidRPr="00BF3027">
              <w:rPr>
                <w:rFonts w:ascii="David" w:eastAsia="Times New Roman" w:hAnsi="David" w:cs="David"/>
                <w:rtl/>
              </w:rPr>
              <w:t>+</w:t>
            </w:r>
          </w:p>
        </w:tc>
        <w:tc>
          <w:tcPr>
            <w:tcW w:w="992" w:type="dxa"/>
            <w:tcBorders>
              <w:bottom w:val="single" w:sz="4" w:space="0" w:color="auto"/>
            </w:tcBorders>
            <w:shd w:val="clear" w:color="auto" w:fill="FFFFFF"/>
            <w:vAlign w:val="center"/>
          </w:tcPr>
          <w:p w14:paraId="34FD3892"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425</w:t>
            </w:r>
          </w:p>
        </w:tc>
      </w:tr>
      <w:tr w:rsidR="002C4CFA" w:rsidRPr="00BF3027" w14:paraId="1D18FB87" w14:textId="77777777" w:rsidTr="002C4CFA">
        <w:trPr>
          <w:trHeight w:val="274"/>
        </w:trPr>
        <w:tc>
          <w:tcPr>
            <w:tcW w:w="853" w:type="dxa"/>
            <w:tcBorders>
              <w:top w:val="single" w:sz="4" w:space="0" w:color="auto"/>
            </w:tcBorders>
            <w:shd w:val="clear" w:color="auto" w:fill="D9D9D9"/>
            <w:noWrap/>
            <w:vAlign w:val="center"/>
          </w:tcPr>
          <w:p w14:paraId="713B2E4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hint="cs"/>
                <w:rtl/>
              </w:rPr>
              <w:t>מחוזי</w:t>
            </w:r>
          </w:p>
        </w:tc>
        <w:tc>
          <w:tcPr>
            <w:tcW w:w="989" w:type="dxa"/>
            <w:tcBorders>
              <w:top w:val="single" w:sz="4" w:space="0" w:color="auto"/>
            </w:tcBorders>
            <w:shd w:val="clear" w:color="auto" w:fill="D9D9D9"/>
            <w:noWrap/>
            <w:vAlign w:val="center"/>
          </w:tcPr>
          <w:p w14:paraId="066C736E"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hint="cs"/>
                <w:rtl/>
              </w:rPr>
              <w:t>ערעור פלילי</w:t>
            </w:r>
          </w:p>
        </w:tc>
        <w:tc>
          <w:tcPr>
            <w:tcW w:w="1984" w:type="dxa"/>
            <w:tcBorders>
              <w:top w:val="single" w:sz="4" w:space="0" w:color="auto"/>
            </w:tcBorders>
            <w:shd w:val="clear" w:color="auto" w:fill="D9D9D9"/>
            <w:vAlign w:val="center"/>
          </w:tcPr>
          <w:p w14:paraId="0994F7A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 xml:space="preserve">ערעור פלילי (ע"פ) - </w:t>
            </w:r>
            <w:r w:rsidRPr="00BF3027">
              <w:rPr>
                <w:rFonts w:ascii="David" w:eastAsia="Times New Roman" w:hAnsi="David" w:cs="David" w:hint="cs"/>
                <w:b/>
                <w:bCs/>
                <w:rtl/>
              </w:rPr>
              <w:t>משוקלל</w:t>
            </w:r>
          </w:p>
        </w:tc>
        <w:tc>
          <w:tcPr>
            <w:tcW w:w="1276" w:type="dxa"/>
            <w:tcBorders>
              <w:top w:val="single" w:sz="4" w:space="0" w:color="auto"/>
            </w:tcBorders>
            <w:shd w:val="clear" w:color="auto" w:fill="D9D9D9"/>
            <w:vAlign w:val="center"/>
          </w:tcPr>
          <w:p w14:paraId="32ECF64B"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hint="cs"/>
                <w:rtl/>
              </w:rPr>
              <w:t>462</w:t>
            </w:r>
          </w:p>
        </w:tc>
        <w:tc>
          <w:tcPr>
            <w:tcW w:w="1417" w:type="dxa"/>
            <w:tcBorders>
              <w:top w:val="single" w:sz="4" w:space="0" w:color="auto"/>
            </w:tcBorders>
            <w:shd w:val="clear" w:color="auto" w:fill="D9D9D9"/>
            <w:noWrap/>
            <w:vAlign w:val="center"/>
          </w:tcPr>
          <w:p w14:paraId="47B15910"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hint="cs"/>
                <w:b/>
                <w:bCs/>
                <w:rtl/>
              </w:rPr>
              <w:t>13:29</w:t>
            </w:r>
          </w:p>
        </w:tc>
        <w:tc>
          <w:tcPr>
            <w:tcW w:w="1276" w:type="dxa"/>
            <w:tcBorders>
              <w:top w:val="single" w:sz="4" w:space="0" w:color="auto"/>
            </w:tcBorders>
            <w:shd w:val="clear" w:color="auto" w:fill="D9D9D9"/>
            <w:vAlign w:val="center"/>
          </w:tcPr>
          <w:p w14:paraId="79B28F0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hint="cs"/>
                <w:rtl/>
              </w:rPr>
              <w:t>9:12</w:t>
            </w:r>
          </w:p>
        </w:tc>
        <w:tc>
          <w:tcPr>
            <w:tcW w:w="851" w:type="dxa"/>
            <w:tcBorders>
              <w:top w:val="single" w:sz="4" w:space="0" w:color="auto"/>
            </w:tcBorders>
            <w:shd w:val="clear" w:color="auto" w:fill="D9D9D9"/>
            <w:vAlign w:val="center"/>
          </w:tcPr>
          <w:p w14:paraId="5226060A"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+4:17</w:t>
            </w:r>
          </w:p>
        </w:tc>
        <w:tc>
          <w:tcPr>
            <w:tcW w:w="992" w:type="dxa"/>
            <w:tcBorders>
              <w:top w:val="single" w:sz="4" w:space="0" w:color="auto"/>
            </w:tcBorders>
            <w:shd w:val="clear" w:color="auto" w:fill="D9D9D9"/>
            <w:vAlign w:val="center"/>
          </w:tcPr>
          <w:p w14:paraId="17C28946"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405</w:t>
            </w:r>
          </w:p>
        </w:tc>
      </w:tr>
      <w:tr w:rsidR="002C4CFA" w:rsidRPr="00BF3027" w14:paraId="6AF19D38" w14:textId="77777777" w:rsidTr="002C4CFA">
        <w:trPr>
          <w:trHeight w:val="274"/>
        </w:trPr>
        <w:tc>
          <w:tcPr>
            <w:tcW w:w="853" w:type="dxa"/>
            <w:tcBorders>
              <w:top w:val="single" w:sz="4" w:space="0" w:color="auto"/>
            </w:tcBorders>
            <w:shd w:val="clear" w:color="auto" w:fill="auto"/>
            <w:noWrap/>
            <w:vAlign w:val="center"/>
          </w:tcPr>
          <w:p w14:paraId="62762D40"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עבודה</w:t>
            </w:r>
          </w:p>
        </w:tc>
        <w:tc>
          <w:tcPr>
            <w:tcW w:w="989" w:type="dxa"/>
            <w:tcBorders>
              <w:top w:val="single" w:sz="4" w:space="0" w:color="auto"/>
            </w:tcBorders>
            <w:shd w:val="clear" w:color="auto" w:fill="auto"/>
            <w:noWrap/>
            <w:vAlign w:val="center"/>
          </w:tcPr>
          <w:p w14:paraId="6AB2EDD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tcBorders>
              <w:top w:val="single" w:sz="4" w:space="0" w:color="auto"/>
            </w:tcBorders>
            <w:shd w:val="clear" w:color="auto" w:fill="auto"/>
            <w:vAlign w:val="center"/>
          </w:tcPr>
          <w:p w14:paraId="6D5AC856"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סכסוך עבודה בסמכות שופט (סע"ש) – הטרדה מינית</w:t>
            </w:r>
          </w:p>
        </w:tc>
        <w:tc>
          <w:tcPr>
            <w:tcW w:w="1276" w:type="dxa"/>
            <w:tcBorders>
              <w:top w:val="single" w:sz="4" w:space="0" w:color="auto"/>
            </w:tcBorders>
            <w:shd w:val="clear" w:color="auto" w:fill="auto"/>
            <w:vAlign w:val="center"/>
          </w:tcPr>
          <w:p w14:paraId="4EC481C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120</w:t>
            </w:r>
          </w:p>
        </w:tc>
        <w:tc>
          <w:tcPr>
            <w:tcW w:w="1417" w:type="dxa"/>
            <w:tcBorders>
              <w:top w:val="single" w:sz="4" w:space="0" w:color="auto"/>
            </w:tcBorders>
            <w:shd w:val="clear" w:color="auto" w:fill="auto"/>
            <w:noWrap/>
            <w:vAlign w:val="center"/>
          </w:tcPr>
          <w:p w14:paraId="63B396EB"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13:21</w:t>
            </w:r>
          </w:p>
        </w:tc>
        <w:tc>
          <w:tcPr>
            <w:tcW w:w="1276" w:type="dxa"/>
            <w:tcBorders>
              <w:top w:val="single" w:sz="4" w:space="0" w:color="auto"/>
            </w:tcBorders>
            <w:shd w:val="clear" w:color="auto" w:fill="auto"/>
            <w:vAlign w:val="center"/>
          </w:tcPr>
          <w:p w14:paraId="7BB19739"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851" w:type="dxa"/>
            <w:tcBorders>
              <w:top w:val="single" w:sz="4" w:space="0" w:color="auto"/>
            </w:tcBorders>
            <w:shd w:val="clear" w:color="auto" w:fill="auto"/>
            <w:vAlign w:val="center"/>
          </w:tcPr>
          <w:p w14:paraId="67036E73"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tcBorders>
              <w:top w:val="single" w:sz="4" w:space="0" w:color="auto"/>
            </w:tcBorders>
            <w:shd w:val="clear" w:color="auto" w:fill="auto"/>
            <w:vAlign w:val="center"/>
          </w:tcPr>
          <w:p w14:paraId="09B11EA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hint="cs"/>
                <w:rtl/>
              </w:rPr>
              <w:t>401</w:t>
            </w:r>
          </w:p>
        </w:tc>
      </w:tr>
      <w:tr w:rsidR="002C4CFA" w:rsidRPr="00BF3027" w14:paraId="72BADCA4" w14:textId="77777777" w:rsidTr="002C4CFA">
        <w:trPr>
          <w:trHeight w:val="274"/>
        </w:trPr>
        <w:tc>
          <w:tcPr>
            <w:tcW w:w="853" w:type="dxa"/>
            <w:tcBorders>
              <w:top w:val="single" w:sz="4" w:space="0" w:color="auto"/>
            </w:tcBorders>
            <w:shd w:val="clear" w:color="auto" w:fill="D9D9D9"/>
            <w:noWrap/>
            <w:vAlign w:val="center"/>
          </w:tcPr>
          <w:p w14:paraId="52296228"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tcBorders>
              <w:top w:val="single" w:sz="4" w:space="0" w:color="auto"/>
            </w:tcBorders>
            <w:shd w:val="clear" w:color="auto" w:fill="D9D9D9"/>
            <w:noWrap/>
            <w:vAlign w:val="center"/>
          </w:tcPr>
          <w:p w14:paraId="18A7794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tcBorders>
              <w:top w:val="single" w:sz="4" w:space="0" w:color="auto"/>
            </w:tcBorders>
            <w:shd w:val="clear" w:color="auto" w:fill="D9D9D9"/>
            <w:vAlign w:val="center"/>
          </w:tcPr>
          <w:p w14:paraId="6BE3EC49"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אזרחי בסדר דין רגיל (ת"א)-מקרקעין (כולל פינוי סילוק ואחר)</w:t>
            </w:r>
          </w:p>
        </w:tc>
        <w:tc>
          <w:tcPr>
            <w:tcW w:w="1276" w:type="dxa"/>
            <w:tcBorders>
              <w:top w:val="single" w:sz="4" w:space="0" w:color="auto"/>
            </w:tcBorders>
            <w:shd w:val="clear" w:color="auto" w:fill="D9D9D9"/>
            <w:vAlign w:val="center"/>
          </w:tcPr>
          <w:p w14:paraId="21EC8A68"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1,635</w:t>
            </w:r>
          </w:p>
        </w:tc>
        <w:tc>
          <w:tcPr>
            <w:tcW w:w="1417" w:type="dxa"/>
            <w:tcBorders>
              <w:top w:val="single" w:sz="4" w:space="0" w:color="auto"/>
            </w:tcBorders>
            <w:shd w:val="clear" w:color="auto" w:fill="D9D9D9"/>
            <w:noWrap/>
            <w:vAlign w:val="center"/>
          </w:tcPr>
          <w:p w14:paraId="0A868230"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12:33</w:t>
            </w:r>
          </w:p>
        </w:tc>
        <w:tc>
          <w:tcPr>
            <w:tcW w:w="1276" w:type="dxa"/>
            <w:tcBorders>
              <w:top w:val="single" w:sz="4" w:space="0" w:color="auto"/>
            </w:tcBorders>
            <w:shd w:val="clear" w:color="auto" w:fill="D9D9D9"/>
            <w:vAlign w:val="center"/>
          </w:tcPr>
          <w:p w14:paraId="653D2D13"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w:t>
            </w:r>
          </w:p>
        </w:tc>
        <w:tc>
          <w:tcPr>
            <w:tcW w:w="851" w:type="dxa"/>
            <w:tcBorders>
              <w:top w:val="single" w:sz="4" w:space="0" w:color="auto"/>
            </w:tcBorders>
            <w:shd w:val="clear" w:color="auto" w:fill="D9D9D9"/>
            <w:vAlign w:val="center"/>
          </w:tcPr>
          <w:p w14:paraId="76F7103C"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w:t>
            </w:r>
          </w:p>
        </w:tc>
        <w:tc>
          <w:tcPr>
            <w:tcW w:w="992" w:type="dxa"/>
            <w:tcBorders>
              <w:top w:val="single" w:sz="4" w:space="0" w:color="auto"/>
            </w:tcBorders>
            <w:shd w:val="clear" w:color="auto" w:fill="D9D9D9"/>
            <w:vAlign w:val="center"/>
          </w:tcPr>
          <w:p w14:paraId="7F36C1EF"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377</w:t>
            </w:r>
          </w:p>
        </w:tc>
      </w:tr>
      <w:tr w:rsidR="002C4CFA" w:rsidRPr="00BF3027" w14:paraId="6380FA85" w14:textId="77777777" w:rsidTr="002C4CFA">
        <w:trPr>
          <w:trHeight w:val="274"/>
        </w:trPr>
        <w:tc>
          <w:tcPr>
            <w:tcW w:w="853" w:type="dxa"/>
            <w:tcBorders>
              <w:top w:val="single" w:sz="4" w:space="0" w:color="auto"/>
            </w:tcBorders>
            <w:shd w:val="clear" w:color="auto" w:fill="auto"/>
            <w:noWrap/>
            <w:vAlign w:val="center"/>
          </w:tcPr>
          <w:p w14:paraId="05AF724C"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נוער</w:t>
            </w:r>
          </w:p>
        </w:tc>
        <w:tc>
          <w:tcPr>
            <w:tcW w:w="989" w:type="dxa"/>
            <w:tcBorders>
              <w:top w:val="single" w:sz="4" w:space="0" w:color="auto"/>
            </w:tcBorders>
            <w:shd w:val="clear" w:color="auto" w:fill="auto"/>
            <w:noWrap/>
            <w:vAlign w:val="center"/>
          </w:tcPr>
          <w:p w14:paraId="36C084AF" w14:textId="77777777" w:rsidR="002C4CFA" w:rsidRPr="00BF3027" w:rsidRDefault="002C4CFA" w:rsidP="002C4CFA">
            <w:pPr>
              <w:spacing w:after="0" w:line="240" w:lineRule="auto"/>
              <w:rPr>
                <w:rFonts w:ascii="David" w:eastAsia="Times New Roman" w:hAnsi="David" w:cs="David"/>
                <w:rtl/>
              </w:rPr>
            </w:pPr>
          </w:p>
        </w:tc>
        <w:tc>
          <w:tcPr>
            <w:tcW w:w="1984" w:type="dxa"/>
            <w:tcBorders>
              <w:top w:val="single" w:sz="4" w:space="0" w:color="auto"/>
            </w:tcBorders>
            <w:shd w:val="clear" w:color="auto" w:fill="auto"/>
            <w:vAlign w:val="center"/>
          </w:tcPr>
          <w:p w14:paraId="12AEF476"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תביעת נזקקות (תנ"ז)</w:t>
            </w:r>
          </w:p>
        </w:tc>
        <w:tc>
          <w:tcPr>
            <w:tcW w:w="1276" w:type="dxa"/>
            <w:tcBorders>
              <w:top w:val="single" w:sz="4" w:space="0" w:color="auto"/>
            </w:tcBorders>
            <w:shd w:val="clear" w:color="auto" w:fill="auto"/>
            <w:vAlign w:val="center"/>
          </w:tcPr>
          <w:p w14:paraId="5CE4FFE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2,765</w:t>
            </w:r>
          </w:p>
        </w:tc>
        <w:tc>
          <w:tcPr>
            <w:tcW w:w="1417" w:type="dxa"/>
            <w:tcBorders>
              <w:top w:val="single" w:sz="4" w:space="0" w:color="auto"/>
            </w:tcBorders>
            <w:shd w:val="clear" w:color="auto" w:fill="auto"/>
            <w:noWrap/>
            <w:vAlign w:val="center"/>
          </w:tcPr>
          <w:p w14:paraId="5839FAC3"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12:23</w:t>
            </w:r>
          </w:p>
        </w:tc>
        <w:tc>
          <w:tcPr>
            <w:tcW w:w="1276" w:type="dxa"/>
            <w:tcBorders>
              <w:top w:val="single" w:sz="4" w:space="0" w:color="auto"/>
            </w:tcBorders>
            <w:shd w:val="clear" w:color="auto" w:fill="auto"/>
            <w:vAlign w:val="center"/>
          </w:tcPr>
          <w:p w14:paraId="4355ED5F"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4:20</w:t>
            </w:r>
          </w:p>
        </w:tc>
        <w:tc>
          <w:tcPr>
            <w:tcW w:w="851" w:type="dxa"/>
            <w:tcBorders>
              <w:top w:val="single" w:sz="4" w:space="0" w:color="auto"/>
            </w:tcBorders>
            <w:shd w:val="clear" w:color="auto" w:fill="auto"/>
            <w:vAlign w:val="center"/>
          </w:tcPr>
          <w:p w14:paraId="528029E1"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+8:03</w:t>
            </w:r>
          </w:p>
        </w:tc>
        <w:tc>
          <w:tcPr>
            <w:tcW w:w="992" w:type="dxa"/>
            <w:tcBorders>
              <w:top w:val="single" w:sz="4" w:space="0" w:color="auto"/>
            </w:tcBorders>
            <w:shd w:val="clear" w:color="auto" w:fill="auto"/>
            <w:vAlign w:val="center"/>
          </w:tcPr>
          <w:p w14:paraId="19D38AD0"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372</w:t>
            </w:r>
          </w:p>
        </w:tc>
      </w:tr>
      <w:tr w:rsidR="002C4CFA" w:rsidRPr="00BF3027" w14:paraId="39F54933" w14:textId="77777777" w:rsidTr="002C4CFA">
        <w:trPr>
          <w:trHeight w:val="419"/>
        </w:trPr>
        <w:tc>
          <w:tcPr>
            <w:tcW w:w="853" w:type="dxa"/>
            <w:shd w:val="clear" w:color="auto" w:fill="D9D9D9"/>
            <w:noWrap/>
            <w:vAlign w:val="center"/>
          </w:tcPr>
          <w:p w14:paraId="6617998E"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D9D9D9"/>
            <w:noWrap/>
            <w:vAlign w:val="center"/>
          </w:tcPr>
          <w:p w14:paraId="326AC33D"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ערעור אזרחי</w:t>
            </w:r>
          </w:p>
        </w:tc>
        <w:tc>
          <w:tcPr>
            <w:tcW w:w="1984" w:type="dxa"/>
            <w:shd w:val="clear" w:color="auto" w:fill="D9D9D9"/>
            <w:vAlign w:val="center"/>
          </w:tcPr>
          <w:p w14:paraId="44D0CF28"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ערעור אזרחי (ע"א) - הרכב</w:t>
            </w:r>
          </w:p>
        </w:tc>
        <w:tc>
          <w:tcPr>
            <w:tcW w:w="1276" w:type="dxa"/>
            <w:shd w:val="clear" w:color="auto" w:fill="D9D9D9"/>
            <w:vAlign w:val="center"/>
          </w:tcPr>
          <w:p w14:paraId="19A7FCC3"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1,286</w:t>
            </w:r>
          </w:p>
        </w:tc>
        <w:tc>
          <w:tcPr>
            <w:tcW w:w="1417" w:type="dxa"/>
            <w:shd w:val="clear" w:color="auto" w:fill="D9D9D9"/>
            <w:noWrap/>
            <w:vAlign w:val="center"/>
          </w:tcPr>
          <w:p w14:paraId="5C988667"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hint="cs"/>
                <w:b/>
                <w:bCs/>
                <w:rtl/>
              </w:rPr>
              <w:t>10:53</w:t>
            </w:r>
          </w:p>
        </w:tc>
        <w:tc>
          <w:tcPr>
            <w:tcW w:w="1276" w:type="dxa"/>
            <w:shd w:val="clear" w:color="auto" w:fill="D9D9D9"/>
            <w:vAlign w:val="center"/>
          </w:tcPr>
          <w:p w14:paraId="6268F4C8"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7:11</w:t>
            </w:r>
          </w:p>
        </w:tc>
        <w:tc>
          <w:tcPr>
            <w:tcW w:w="851" w:type="dxa"/>
            <w:shd w:val="clear" w:color="auto" w:fill="D9D9D9"/>
            <w:vAlign w:val="center"/>
          </w:tcPr>
          <w:p w14:paraId="6F8394EA" w14:textId="77777777" w:rsidR="002C4CFA" w:rsidRPr="00BF3027" w:rsidRDefault="002C4CFA" w:rsidP="002C4CFA">
            <w:pPr>
              <w:spacing w:after="0" w:line="240" w:lineRule="auto"/>
              <w:jc w:val="center"/>
              <w:rPr>
                <w:rFonts w:ascii="David" w:eastAsia="Times New Roman" w:hAnsi="David" w:cs="David"/>
                <w:rtl/>
              </w:rPr>
            </w:pPr>
            <w:r w:rsidRPr="00BF3027">
              <w:rPr>
                <w:rFonts w:asciiTheme="minorHAnsi" w:eastAsia="Times New Roman" w:hAnsiTheme="minorHAnsi" w:cs="David"/>
              </w:rPr>
              <w:t>+3:42</w:t>
            </w:r>
          </w:p>
        </w:tc>
        <w:tc>
          <w:tcPr>
            <w:tcW w:w="992" w:type="dxa"/>
            <w:shd w:val="clear" w:color="auto" w:fill="D9D9D9"/>
            <w:vAlign w:val="center"/>
          </w:tcPr>
          <w:p w14:paraId="25F4C34E"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327</w:t>
            </w:r>
          </w:p>
        </w:tc>
      </w:tr>
      <w:tr w:rsidR="002C4CFA" w:rsidRPr="00BF3027" w14:paraId="6D90E784" w14:textId="77777777" w:rsidTr="002C4CFA">
        <w:trPr>
          <w:trHeight w:val="420"/>
        </w:trPr>
        <w:tc>
          <w:tcPr>
            <w:tcW w:w="853" w:type="dxa"/>
            <w:shd w:val="clear" w:color="auto" w:fill="auto"/>
            <w:noWrap/>
            <w:vAlign w:val="center"/>
          </w:tcPr>
          <w:p w14:paraId="1205F668"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auto"/>
            <w:noWrap/>
            <w:vAlign w:val="center"/>
          </w:tcPr>
          <w:p w14:paraId="09CAB53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auto"/>
            <w:vAlign w:val="center"/>
          </w:tcPr>
          <w:p w14:paraId="40960898"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אזרחי בסדר דין רגיל (ת"א)-מקרקעין ליקויי בניה</w:t>
            </w:r>
          </w:p>
        </w:tc>
        <w:tc>
          <w:tcPr>
            <w:tcW w:w="1276" w:type="dxa"/>
            <w:shd w:val="clear" w:color="auto" w:fill="auto"/>
            <w:vAlign w:val="center"/>
          </w:tcPr>
          <w:p w14:paraId="56D4895B"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352</w:t>
            </w:r>
          </w:p>
        </w:tc>
        <w:tc>
          <w:tcPr>
            <w:tcW w:w="1417" w:type="dxa"/>
            <w:shd w:val="clear" w:color="auto" w:fill="auto"/>
            <w:noWrap/>
            <w:vAlign w:val="center"/>
          </w:tcPr>
          <w:p w14:paraId="32A6559B"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10:44</w:t>
            </w:r>
          </w:p>
        </w:tc>
        <w:tc>
          <w:tcPr>
            <w:tcW w:w="1276" w:type="dxa"/>
            <w:shd w:val="clear" w:color="auto" w:fill="auto"/>
            <w:vAlign w:val="center"/>
          </w:tcPr>
          <w:p w14:paraId="322EE43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851" w:type="dxa"/>
            <w:shd w:val="clear" w:color="auto" w:fill="auto"/>
            <w:vAlign w:val="center"/>
          </w:tcPr>
          <w:p w14:paraId="4BF5E1B4"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shd w:val="clear" w:color="auto" w:fill="auto"/>
            <w:vAlign w:val="center"/>
          </w:tcPr>
          <w:p w14:paraId="32E09A6C"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322</w:t>
            </w:r>
          </w:p>
        </w:tc>
      </w:tr>
      <w:tr w:rsidR="002C4CFA" w:rsidRPr="00BF3027" w14:paraId="4D1A29F3" w14:textId="77777777" w:rsidTr="002C4CFA">
        <w:trPr>
          <w:trHeight w:val="405"/>
        </w:trPr>
        <w:tc>
          <w:tcPr>
            <w:tcW w:w="853" w:type="dxa"/>
            <w:shd w:val="clear" w:color="auto" w:fill="D9D9D9"/>
            <w:noWrap/>
            <w:vAlign w:val="center"/>
          </w:tcPr>
          <w:p w14:paraId="6B0E9B5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D9D9D9"/>
            <w:noWrap/>
            <w:vAlign w:val="center"/>
          </w:tcPr>
          <w:p w14:paraId="2A69C068"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D9D9D9"/>
            <w:vAlign w:val="center"/>
          </w:tcPr>
          <w:p w14:paraId="360715F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אזרחי בסדר דין רגיל (ת"א) -מקרקעין</w:t>
            </w:r>
          </w:p>
        </w:tc>
        <w:tc>
          <w:tcPr>
            <w:tcW w:w="1276" w:type="dxa"/>
            <w:shd w:val="clear" w:color="auto" w:fill="D9D9D9"/>
            <w:vAlign w:val="center"/>
          </w:tcPr>
          <w:p w14:paraId="48E3A4AA"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722</w:t>
            </w:r>
          </w:p>
        </w:tc>
        <w:tc>
          <w:tcPr>
            <w:tcW w:w="1417" w:type="dxa"/>
            <w:shd w:val="clear" w:color="auto" w:fill="D9D9D9"/>
            <w:noWrap/>
            <w:vAlign w:val="center"/>
          </w:tcPr>
          <w:p w14:paraId="6030DD1B" w14:textId="77777777" w:rsidR="002C4CFA" w:rsidRPr="00BF3027" w:rsidRDefault="002C4CFA" w:rsidP="002C4CFA">
            <w:pPr>
              <w:bidi w:val="0"/>
              <w:spacing w:after="0" w:line="240" w:lineRule="auto"/>
              <w:jc w:val="center"/>
              <w:rPr>
                <w:rFonts w:ascii="David" w:eastAsia="Times New Roman" w:hAnsi="David" w:cs="David"/>
                <w:b/>
                <w:bCs/>
                <w:rtl/>
              </w:rPr>
            </w:pPr>
            <w:r w:rsidRPr="00BF3027">
              <w:rPr>
                <w:rFonts w:ascii="David" w:eastAsia="Times New Roman" w:hAnsi="David" w:cs="David"/>
                <w:b/>
                <w:bCs/>
              </w:rPr>
              <w:t>10:33</w:t>
            </w:r>
          </w:p>
        </w:tc>
        <w:tc>
          <w:tcPr>
            <w:tcW w:w="1276" w:type="dxa"/>
            <w:shd w:val="clear" w:color="auto" w:fill="D9D9D9"/>
            <w:vAlign w:val="center"/>
          </w:tcPr>
          <w:p w14:paraId="4D9F3C5C" w14:textId="77777777" w:rsidR="002C4CFA" w:rsidRPr="00BF3027" w:rsidRDefault="002C4CFA" w:rsidP="002C4CFA">
            <w:pPr>
              <w:bidi w:val="0"/>
              <w:spacing w:after="0" w:line="240" w:lineRule="auto"/>
              <w:jc w:val="center"/>
              <w:rPr>
                <w:rFonts w:ascii="David" w:eastAsia="Times New Roman" w:hAnsi="David" w:cs="David"/>
              </w:rPr>
            </w:pPr>
            <w:r w:rsidRPr="00BF3027">
              <w:rPr>
                <w:rFonts w:ascii="David" w:eastAsia="Times New Roman" w:hAnsi="David" w:cs="David"/>
                <w:rtl/>
              </w:rPr>
              <w:t>-</w:t>
            </w:r>
          </w:p>
        </w:tc>
        <w:tc>
          <w:tcPr>
            <w:tcW w:w="851" w:type="dxa"/>
            <w:shd w:val="clear" w:color="auto" w:fill="D9D9D9"/>
            <w:vAlign w:val="center"/>
          </w:tcPr>
          <w:p w14:paraId="70DB704F" w14:textId="77777777" w:rsidR="002C4CFA" w:rsidRPr="00BF3027" w:rsidRDefault="002C4CFA" w:rsidP="002C4CFA">
            <w:pPr>
              <w:bidi w:val="0"/>
              <w:spacing w:after="0" w:line="240" w:lineRule="auto"/>
              <w:jc w:val="center"/>
              <w:rPr>
                <w:rFonts w:ascii="David" w:eastAsia="Times New Roman" w:hAnsi="David" w:cs="David"/>
              </w:rPr>
            </w:pPr>
            <w:r w:rsidRPr="00BF3027">
              <w:rPr>
                <w:rFonts w:ascii="David" w:eastAsia="Times New Roman" w:hAnsi="David" w:cs="David"/>
                <w:rtl/>
              </w:rPr>
              <w:t>-</w:t>
            </w:r>
          </w:p>
        </w:tc>
        <w:tc>
          <w:tcPr>
            <w:tcW w:w="992" w:type="dxa"/>
            <w:shd w:val="clear" w:color="auto" w:fill="D9D9D9"/>
            <w:vAlign w:val="center"/>
          </w:tcPr>
          <w:p w14:paraId="2D706D34"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317</w:t>
            </w:r>
          </w:p>
        </w:tc>
      </w:tr>
      <w:tr w:rsidR="002C4CFA" w:rsidRPr="00BF3027" w14:paraId="7F4863A1" w14:textId="77777777" w:rsidTr="002C4CFA">
        <w:trPr>
          <w:trHeight w:val="471"/>
        </w:trPr>
        <w:tc>
          <w:tcPr>
            <w:tcW w:w="853" w:type="dxa"/>
            <w:shd w:val="clear" w:color="auto" w:fill="auto"/>
            <w:noWrap/>
            <w:vAlign w:val="center"/>
          </w:tcPr>
          <w:p w14:paraId="7FC822BE"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עבודה</w:t>
            </w:r>
          </w:p>
        </w:tc>
        <w:tc>
          <w:tcPr>
            <w:tcW w:w="989" w:type="dxa"/>
            <w:shd w:val="clear" w:color="auto" w:fill="auto"/>
            <w:noWrap/>
            <w:vAlign w:val="center"/>
          </w:tcPr>
          <w:p w14:paraId="3BE9E090"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פלילי</w:t>
            </w:r>
          </w:p>
        </w:tc>
        <w:tc>
          <w:tcPr>
            <w:tcW w:w="1984" w:type="dxa"/>
            <w:shd w:val="clear" w:color="auto" w:fill="auto"/>
            <w:vAlign w:val="center"/>
          </w:tcPr>
          <w:p w14:paraId="1658D2CD"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פלילי עובדים זרים (הע"ז)</w:t>
            </w:r>
          </w:p>
        </w:tc>
        <w:tc>
          <w:tcPr>
            <w:tcW w:w="1276" w:type="dxa"/>
            <w:shd w:val="clear" w:color="auto" w:fill="auto"/>
            <w:vAlign w:val="center"/>
          </w:tcPr>
          <w:p w14:paraId="689BB7D2"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134</w:t>
            </w:r>
          </w:p>
        </w:tc>
        <w:tc>
          <w:tcPr>
            <w:tcW w:w="1417" w:type="dxa"/>
            <w:shd w:val="clear" w:color="auto" w:fill="auto"/>
            <w:noWrap/>
            <w:vAlign w:val="center"/>
          </w:tcPr>
          <w:p w14:paraId="38E7D9B7"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tl/>
              </w:rPr>
              <w:t>10:3</w:t>
            </w:r>
            <w:r w:rsidRPr="00BF3027">
              <w:rPr>
                <w:rFonts w:ascii="David" w:eastAsia="Times New Roman" w:hAnsi="David" w:cs="David" w:hint="cs"/>
                <w:b/>
                <w:bCs/>
                <w:rtl/>
              </w:rPr>
              <w:t>3</w:t>
            </w:r>
          </w:p>
        </w:tc>
        <w:tc>
          <w:tcPr>
            <w:tcW w:w="1276" w:type="dxa"/>
            <w:shd w:val="clear" w:color="auto" w:fill="auto"/>
            <w:vAlign w:val="center"/>
          </w:tcPr>
          <w:p w14:paraId="319826EF"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3:36</w:t>
            </w:r>
          </w:p>
        </w:tc>
        <w:tc>
          <w:tcPr>
            <w:tcW w:w="851" w:type="dxa"/>
            <w:shd w:val="clear" w:color="auto" w:fill="auto"/>
            <w:vAlign w:val="center"/>
          </w:tcPr>
          <w:p w14:paraId="351A766B"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6:</w:t>
            </w:r>
            <w:r w:rsidRPr="00BF3027">
              <w:rPr>
                <w:rFonts w:ascii="David" w:eastAsia="Times New Roman" w:hAnsi="David" w:cs="David" w:hint="cs"/>
                <w:rtl/>
              </w:rPr>
              <w:t>57</w:t>
            </w:r>
            <w:r w:rsidRPr="00BF3027">
              <w:rPr>
                <w:rFonts w:ascii="David" w:eastAsia="Times New Roman" w:hAnsi="David" w:cs="David"/>
                <w:rtl/>
              </w:rPr>
              <w:t>+</w:t>
            </w:r>
          </w:p>
        </w:tc>
        <w:tc>
          <w:tcPr>
            <w:tcW w:w="992" w:type="dxa"/>
            <w:shd w:val="clear" w:color="auto" w:fill="auto"/>
            <w:vAlign w:val="center"/>
          </w:tcPr>
          <w:p w14:paraId="533DA74F"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317</w:t>
            </w:r>
          </w:p>
        </w:tc>
      </w:tr>
      <w:tr w:rsidR="002C4CFA" w:rsidRPr="00BF3027" w14:paraId="5BA96DEC" w14:textId="77777777" w:rsidTr="002C4CFA">
        <w:trPr>
          <w:trHeight w:val="471"/>
        </w:trPr>
        <w:tc>
          <w:tcPr>
            <w:tcW w:w="853" w:type="dxa"/>
            <w:shd w:val="clear" w:color="auto" w:fill="auto"/>
            <w:noWrap/>
            <w:vAlign w:val="center"/>
          </w:tcPr>
          <w:p w14:paraId="1BA6F954" w14:textId="59C9CD97" w:rsidR="002C4CFA" w:rsidRPr="00BF3027" w:rsidRDefault="002C4CFA" w:rsidP="002C4CFA">
            <w:pPr>
              <w:spacing w:after="0" w:line="240" w:lineRule="auto"/>
              <w:rPr>
                <w:rFonts w:ascii="David" w:eastAsia="Times New Roman" w:hAnsi="David" w:cs="David"/>
                <w:rtl/>
              </w:rPr>
            </w:pPr>
            <w:r w:rsidRPr="00BF3027">
              <w:rPr>
                <w:rFonts w:ascii="Arial" w:eastAsia="Times New Roman" w:hAnsi="Arial" w:cs="David" w:hint="cs"/>
                <w:b/>
                <w:bCs/>
                <w:rtl/>
              </w:rPr>
              <w:lastRenderedPageBreak/>
              <w:t>ערכאה</w:t>
            </w:r>
          </w:p>
        </w:tc>
        <w:tc>
          <w:tcPr>
            <w:tcW w:w="989" w:type="dxa"/>
            <w:shd w:val="clear" w:color="auto" w:fill="auto"/>
            <w:noWrap/>
            <w:vAlign w:val="center"/>
          </w:tcPr>
          <w:p w14:paraId="6FB7D039" w14:textId="2DE112DE" w:rsidR="002C4CFA" w:rsidRPr="00BF3027" w:rsidRDefault="002C4CFA" w:rsidP="002C4CFA">
            <w:pPr>
              <w:spacing w:after="0" w:line="240" w:lineRule="auto"/>
              <w:rPr>
                <w:rFonts w:ascii="David" w:eastAsia="Times New Roman" w:hAnsi="David" w:cs="David"/>
                <w:rtl/>
              </w:rPr>
            </w:pPr>
            <w:r w:rsidRPr="00BF3027">
              <w:rPr>
                <w:rFonts w:ascii="Arial" w:eastAsia="Times New Roman" w:hAnsi="Arial" w:cs="David" w:hint="cs"/>
                <w:b/>
                <w:bCs/>
                <w:rtl/>
              </w:rPr>
              <w:t>הליך</w:t>
            </w:r>
          </w:p>
        </w:tc>
        <w:tc>
          <w:tcPr>
            <w:tcW w:w="1984" w:type="dxa"/>
            <w:shd w:val="clear" w:color="auto" w:fill="auto"/>
            <w:vAlign w:val="center"/>
          </w:tcPr>
          <w:p w14:paraId="79BC0A32" w14:textId="2E9D8F8A" w:rsidR="002C4CFA" w:rsidRPr="00BF3027" w:rsidRDefault="002C4CFA" w:rsidP="002C4CFA">
            <w:pPr>
              <w:spacing w:after="0" w:line="240" w:lineRule="auto"/>
              <w:rPr>
                <w:rFonts w:ascii="David" w:eastAsia="Times New Roman" w:hAnsi="David" w:cs="David"/>
                <w:rtl/>
              </w:rPr>
            </w:pPr>
            <w:r w:rsidRPr="00BF3027">
              <w:rPr>
                <w:rFonts w:ascii="Arial" w:eastAsia="Times New Roman" w:hAnsi="Arial" w:cs="David" w:hint="cs"/>
                <w:b/>
                <w:bCs/>
                <w:rtl/>
              </w:rPr>
              <w:t>סוג תיק</w:t>
            </w:r>
          </w:p>
        </w:tc>
        <w:tc>
          <w:tcPr>
            <w:tcW w:w="1276" w:type="dxa"/>
            <w:shd w:val="clear" w:color="auto" w:fill="auto"/>
            <w:vAlign w:val="center"/>
          </w:tcPr>
          <w:p w14:paraId="3DE02B28" w14:textId="6D986025" w:rsidR="002C4CFA" w:rsidRPr="00BF3027" w:rsidRDefault="002C4CFA" w:rsidP="002C4CFA">
            <w:pPr>
              <w:spacing w:after="0" w:line="240" w:lineRule="auto"/>
              <w:jc w:val="center"/>
              <w:rPr>
                <w:rFonts w:ascii="David" w:eastAsia="Times New Roman" w:hAnsi="David" w:cs="David"/>
              </w:rPr>
            </w:pPr>
            <w:r w:rsidRPr="00BF3027">
              <w:rPr>
                <w:rFonts w:ascii="Arial" w:eastAsia="Times New Roman" w:hAnsi="Arial" w:cs="David" w:hint="cs"/>
                <w:b/>
                <w:bCs/>
                <w:rtl/>
              </w:rPr>
              <w:t>מספר תיקים שנסגרו ב-2019</w:t>
            </w:r>
          </w:p>
        </w:tc>
        <w:tc>
          <w:tcPr>
            <w:tcW w:w="1417" w:type="dxa"/>
            <w:shd w:val="clear" w:color="auto" w:fill="auto"/>
            <w:noWrap/>
            <w:vAlign w:val="center"/>
          </w:tcPr>
          <w:p w14:paraId="5BE47545" w14:textId="09AD626E" w:rsidR="002C4CFA" w:rsidRPr="00BF3027" w:rsidRDefault="002C4CFA" w:rsidP="002C4CFA">
            <w:pPr>
              <w:spacing w:after="0" w:line="240" w:lineRule="auto"/>
              <w:jc w:val="center"/>
              <w:rPr>
                <w:rFonts w:ascii="David" w:eastAsia="Times New Roman" w:hAnsi="David" w:cs="David"/>
                <w:b/>
                <w:bCs/>
              </w:rPr>
            </w:pPr>
            <w:r w:rsidRPr="00BF3027">
              <w:rPr>
                <w:rFonts w:ascii="Arial" w:eastAsia="Times New Roman" w:hAnsi="Arial" w:cs="David" w:hint="cs"/>
                <w:b/>
                <w:bCs/>
                <w:rtl/>
              </w:rPr>
              <w:t>הזמן השיפוטי הממוצע לטיפול בתיק</w:t>
            </w:r>
          </w:p>
        </w:tc>
        <w:tc>
          <w:tcPr>
            <w:tcW w:w="1276" w:type="dxa"/>
            <w:shd w:val="clear" w:color="auto" w:fill="auto"/>
            <w:vAlign w:val="center"/>
          </w:tcPr>
          <w:p w14:paraId="6673CCCD" w14:textId="5BA5DA85" w:rsidR="002C4CFA" w:rsidRPr="00BF3027" w:rsidRDefault="002C4CFA" w:rsidP="002C4CFA">
            <w:pPr>
              <w:spacing w:after="0" w:line="240" w:lineRule="auto"/>
              <w:jc w:val="center"/>
              <w:rPr>
                <w:rFonts w:ascii="David" w:eastAsia="Times New Roman" w:hAnsi="David" w:cs="David"/>
                <w:rtl/>
              </w:rPr>
            </w:pPr>
            <w:r w:rsidRPr="00BF3027">
              <w:rPr>
                <w:rFonts w:ascii="Arial" w:eastAsia="Times New Roman" w:hAnsi="Arial" w:cs="David" w:hint="cs"/>
                <w:b/>
                <w:bCs/>
                <w:rtl/>
              </w:rPr>
              <w:t>הזמן השיפוטי הממוצע לפי המחקר הקודם</w:t>
            </w:r>
          </w:p>
        </w:tc>
        <w:tc>
          <w:tcPr>
            <w:tcW w:w="851" w:type="dxa"/>
            <w:shd w:val="clear" w:color="auto" w:fill="auto"/>
            <w:vAlign w:val="center"/>
          </w:tcPr>
          <w:p w14:paraId="0384D487" w14:textId="04BD01E1" w:rsidR="002C4CFA" w:rsidRPr="00BF3027" w:rsidRDefault="002C4CFA" w:rsidP="002C4CFA">
            <w:pPr>
              <w:spacing w:after="0" w:line="240" w:lineRule="auto"/>
              <w:jc w:val="center"/>
              <w:rPr>
                <w:rFonts w:ascii="David" w:eastAsia="Times New Roman" w:hAnsi="David" w:cs="David"/>
                <w:rtl/>
              </w:rPr>
            </w:pPr>
            <w:r w:rsidRPr="00BF3027">
              <w:rPr>
                <w:rFonts w:ascii="Arial" w:eastAsia="Times New Roman" w:hAnsi="Arial" w:cs="David" w:hint="cs"/>
                <w:b/>
                <w:bCs/>
                <w:rtl/>
              </w:rPr>
              <w:t>מגמת השינוי</w:t>
            </w:r>
          </w:p>
        </w:tc>
        <w:tc>
          <w:tcPr>
            <w:tcW w:w="992" w:type="dxa"/>
            <w:shd w:val="clear" w:color="auto" w:fill="auto"/>
            <w:vAlign w:val="center"/>
          </w:tcPr>
          <w:p w14:paraId="19DA02C8" w14:textId="61FDB4E1" w:rsidR="002C4CFA" w:rsidRPr="00BF3027" w:rsidRDefault="002C4CFA" w:rsidP="002C4CFA">
            <w:pPr>
              <w:spacing w:after="0" w:line="240" w:lineRule="auto"/>
              <w:jc w:val="center"/>
              <w:rPr>
                <w:rFonts w:ascii="David" w:eastAsia="Times New Roman" w:hAnsi="David" w:cs="David"/>
              </w:rPr>
            </w:pPr>
            <w:r w:rsidRPr="00BF3027">
              <w:rPr>
                <w:rFonts w:ascii="Arial" w:hAnsi="Arial" w:cs="David" w:hint="cs"/>
                <w:b/>
                <w:bCs/>
                <w:rtl/>
              </w:rPr>
              <w:t>משקל לתיק לפי המחקר הנוכחי</w:t>
            </w:r>
          </w:p>
        </w:tc>
      </w:tr>
      <w:tr w:rsidR="002C4CFA" w:rsidRPr="00BF3027" w14:paraId="52149440" w14:textId="77777777" w:rsidTr="002C4CFA">
        <w:trPr>
          <w:trHeight w:val="471"/>
        </w:trPr>
        <w:tc>
          <w:tcPr>
            <w:tcW w:w="853" w:type="dxa"/>
            <w:shd w:val="clear" w:color="auto" w:fill="D9D9D9"/>
            <w:noWrap/>
            <w:vAlign w:val="center"/>
          </w:tcPr>
          <w:p w14:paraId="172300D7"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D9D9D9"/>
            <w:noWrap/>
            <w:vAlign w:val="center"/>
          </w:tcPr>
          <w:p w14:paraId="34E3FA91"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D9D9D9"/>
            <w:vAlign w:val="center"/>
          </w:tcPr>
          <w:p w14:paraId="29106AF0"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אזרחי בסדר דין רגיל (ת"א)-מקרקעין פירוק שיתוף*</w:t>
            </w:r>
          </w:p>
        </w:tc>
        <w:tc>
          <w:tcPr>
            <w:tcW w:w="1276" w:type="dxa"/>
            <w:shd w:val="clear" w:color="auto" w:fill="D9D9D9"/>
            <w:vAlign w:val="center"/>
          </w:tcPr>
          <w:p w14:paraId="75E33FFE"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489</w:t>
            </w:r>
          </w:p>
        </w:tc>
        <w:tc>
          <w:tcPr>
            <w:tcW w:w="1417" w:type="dxa"/>
            <w:shd w:val="clear" w:color="auto" w:fill="D9D9D9"/>
            <w:noWrap/>
            <w:vAlign w:val="center"/>
          </w:tcPr>
          <w:p w14:paraId="2A1AE611"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10:31</w:t>
            </w:r>
          </w:p>
        </w:tc>
        <w:tc>
          <w:tcPr>
            <w:tcW w:w="1276" w:type="dxa"/>
            <w:shd w:val="clear" w:color="auto" w:fill="D9D9D9"/>
            <w:vAlign w:val="center"/>
          </w:tcPr>
          <w:p w14:paraId="64F8D824"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w:t>
            </w:r>
          </w:p>
        </w:tc>
        <w:tc>
          <w:tcPr>
            <w:tcW w:w="851" w:type="dxa"/>
            <w:shd w:val="clear" w:color="auto" w:fill="D9D9D9"/>
            <w:vAlign w:val="center"/>
          </w:tcPr>
          <w:p w14:paraId="3988BF3C"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shd w:val="clear" w:color="auto" w:fill="D9D9D9"/>
            <w:vAlign w:val="center"/>
          </w:tcPr>
          <w:p w14:paraId="4E1D38B0" w14:textId="77777777" w:rsidR="002C4CFA" w:rsidRPr="00BF3027" w:rsidRDefault="002C4CFA" w:rsidP="002C4CFA">
            <w:pPr>
              <w:spacing w:after="0" w:line="240" w:lineRule="auto"/>
              <w:jc w:val="center"/>
              <w:rPr>
                <w:rFonts w:asciiTheme="minorHAnsi" w:eastAsia="Times New Roman" w:hAnsiTheme="minorHAnsi" w:cs="David"/>
                <w:rtl/>
              </w:rPr>
            </w:pPr>
            <w:r w:rsidRPr="00BF3027">
              <w:rPr>
                <w:rFonts w:ascii="David" w:eastAsia="Times New Roman" w:hAnsi="David" w:cs="David"/>
              </w:rPr>
              <w:t>316</w:t>
            </w:r>
          </w:p>
        </w:tc>
      </w:tr>
      <w:tr w:rsidR="002C4CFA" w:rsidRPr="00BF3027" w14:paraId="760386FD" w14:textId="77777777" w:rsidTr="002C4CFA">
        <w:trPr>
          <w:trHeight w:val="552"/>
        </w:trPr>
        <w:tc>
          <w:tcPr>
            <w:tcW w:w="853" w:type="dxa"/>
            <w:shd w:val="clear" w:color="auto" w:fill="auto"/>
            <w:noWrap/>
            <w:vAlign w:val="center"/>
          </w:tcPr>
          <w:p w14:paraId="7A882CB2"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auto"/>
            <w:noWrap/>
            <w:vAlign w:val="center"/>
          </w:tcPr>
          <w:p w14:paraId="5527938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ערעור אזרחי</w:t>
            </w:r>
          </w:p>
        </w:tc>
        <w:tc>
          <w:tcPr>
            <w:tcW w:w="1984" w:type="dxa"/>
            <w:shd w:val="clear" w:color="auto" w:fill="auto"/>
            <w:vAlign w:val="center"/>
          </w:tcPr>
          <w:p w14:paraId="6A52E353"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ערעור משפחה (עמ"ש) – הרכב</w:t>
            </w:r>
          </w:p>
        </w:tc>
        <w:tc>
          <w:tcPr>
            <w:tcW w:w="1276" w:type="dxa"/>
            <w:shd w:val="clear" w:color="auto" w:fill="auto"/>
            <w:vAlign w:val="center"/>
          </w:tcPr>
          <w:p w14:paraId="08E7E61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1,120</w:t>
            </w:r>
          </w:p>
        </w:tc>
        <w:tc>
          <w:tcPr>
            <w:tcW w:w="1417" w:type="dxa"/>
            <w:shd w:val="clear" w:color="auto" w:fill="auto"/>
            <w:noWrap/>
            <w:vAlign w:val="center"/>
          </w:tcPr>
          <w:p w14:paraId="437281EE" w14:textId="77777777" w:rsidR="002C4CFA" w:rsidRPr="00BF3027" w:rsidRDefault="002C4CFA" w:rsidP="002C4CFA">
            <w:pPr>
              <w:bidi w:val="0"/>
              <w:spacing w:after="0" w:line="240" w:lineRule="auto"/>
              <w:jc w:val="center"/>
              <w:rPr>
                <w:rFonts w:ascii="David" w:eastAsia="Times New Roman" w:hAnsi="David" w:cs="David"/>
                <w:b/>
                <w:bCs/>
                <w:rtl/>
              </w:rPr>
            </w:pPr>
            <w:r w:rsidRPr="00BF3027">
              <w:rPr>
                <w:rFonts w:ascii="David" w:eastAsia="Times New Roman" w:hAnsi="David" w:cs="David"/>
                <w:b/>
                <w:bCs/>
              </w:rPr>
              <w:t>10:09</w:t>
            </w:r>
          </w:p>
        </w:tc>
        <w:tc>
          <w:tcPr>
            <w:tcW w:w="1276" w:type="dxa"/>
            <w:shd w:val="clear" w:color="auto" w:fill="auto"/>
            <w:vAlign w:val="center"/>
          </w:tcPr>
          <w:p w14:paraId="1AEF5A2F" w14:textId="77777777" w:rsidR="002C4CFA" w:rsidRPr="00BF3027" w:rsidRDefault="002C4CFA" w:rsidP="002C4CFA">
            <w:pPr>
              <w:bidi w:val="0"/>
              <w:spacing w:after="0" w:line="240" w:lineRule="auto"/>
              <w:jc w:val="center"/>
              <w:rPr>
                <w:rFonts w:ascii="David" w:eastAsia="Times New Roman" w:hAnsi="David" w:cs="David"/>
              </w:rPr>
            </w:pPr>
            <w:r w:rsidRPr="00BF3027">
              <w:rPr>
                <w:rFonts w:ascii="David" w:eastAsia="Times New Roman" w:hAnsi="David" w:cs="David" w:hint="cs"/>
                <w:rtl/>
              </w:rPr>
              <w:t>10:05</w:t>
            </w:r>
          </w:p>
        </w:tc>
        <w:tc>
          <w:tcPr>
            <w:tcW w:w="851" w:type="dxa"/>
            <w:shd w:val="clear" w:color="auto" w:fill="auto"/>
            <w:vAlign w:val="center"/>
          </w:tcPr>
          <w:p w14:paraId="6B6384EE" w14:textId="77777777" w:rsidR="002C4CFA" w:rsidRPr="00BF3027" w:rsidRDefault="002C4CFA" w:rsidP="002C4CFA">
            <w:pPr>
              <w:bidi w:val="0"/>
              <w:spacing w:after="0" w:line="240" w:lineRule="auto"/>
              <w:jc w:val="center"/>
              <w:rPr>
                <w:rFonts w:ascii="David" w:eastAsia="Times New Roman" w:hAnsi="David" w:cs="David"/>
              </w:rPr>
            </w:pPr>
            <w:r w:rsidRPr="00BF3027">
              <w:rPr>
                <w:rFonts w:ascii="David" w:eastAsia="Times New Roman" w:hAnsi="David" w:cs="David" w:hint="cs"/>
                <w:rtl/>
              </w:rPr>
              <w:t>0:04+</w:t>
            </w:r>
          </w:p>
        </w:tc>
        <w:tc>
          <w:tcPr>
            <w:tcW w:w="992" w:type="dxa"/>
            <w:shd w:val="clear" w:color="auto" w:fill="auto"/>
            <w:vAlign w:val="center"/>
          </w:tcPr>
          <w:p w14:paraId="63EF7FB7"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305</w:t>
            </w:r>
          </w:p>
        </w:tc>
      </w:tr>
      <w:tr w:rsidR="002C4CFA" w:rsidRPr="00BF3027" w14:paraId="752945DB" w14:textId="77777777" w:rsidTr="002C4CFA">
        <w:trPr>
          <w:trHeight w:val="552"/>
        </w:trPr>
        <w:tc>
          <w:tcPr>
            <w:tcW w:w="853" w:type="dxa"/>
            <w:shd w:val="clear" w:color="auto" w:fill="D0CECE" w:themeFill="background2" w:themeFillShade="E6"/>
            <w:noWrap/>
            <w:vAlign w:val="center"/>
          </w:tcPr>
          <w:p w14:paraId="005E8D41"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נוער</w:t>
            </w:r>
          </w:p>
        </w:tc>
        <w:tc>
          <w:tcPr>
            <w:tcW w:w="989" w:type="dxa"/>
            <w:shd w:val="clear" w:color="auto" w:fill="D0CECE" w:themeFill="background2" w:themeFillShade="E6"/>
            <w:noWrap/>
            <w:vAlign w:val="center"/>
          </w:tcPr>
          <w:p w14:paraId="465D951C" w14:textId="77777777" w:rsidR="002C4CFA" w:rsidRPr="00BF3027" w:rsidRDefault="002C4CFA" w:rsidP="002C4CFA">
            <w:pPr>
              <w:spacing w:after="0" w:line="240" w:lineRule="auto"/>
              <w:rPr>
                <w:rFonts w:ascii="David" w:eastAsia="Times New Roman" w:hAnsi="David" w:cs="David"/>
                <w:rtl/>
              </w:rPr>
            </w:pPr>
          </w:p>
        </w:tc>
        <w:tc>
          <w:tcPr>
            <w:tcW w:w="1984" w:type="dxa"/>
            <w:shd w:val="clear" w:color="auto" w:fill="D0CECE" w:themeFill="background2" w:themeFillShade="E6"/>
            <w:vAlign w:val="center"/>
          </w:tcPr>
          <w:p w14:paraId="0F2E2A3E"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ועדת שחרורים (וש"ר)</w:t>
            </w:r>
          </w:p>
        </w:tc>
        <w:tc>
          <w:tcPr>
            <w:tcW w:w="1276" w:type="dxa"/>
            <w:shd w:val="clear" w:color="auto" w:fill="D0CECE" w:themeFill="background2" w:themeFillShade="E6"/>
            <w:vAlign w:val="center"/>
          </w:tcPr>
          <w:p w14:paraId="791750EE"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12</w:t>
            </w:r>
          </w:p>
        </w:tc>
        <w:tc>
          <w:tcPr>
            <w:tcW w:w="1417" w:type="dxa"/>
            <w:shd w:val="clear" w:color="auto" w:fill="D0CECE" w:themeFill="background2" w:themeFillShade="E6"/>
            <w:noWrap/>
            <w:vAlign w:val="center"/>
          </w:tcPr>
          <w:p w14:paraId="0E88B473" w14:textId="77777777" w:rsidR="002C4CFA" w:rsidRPr="00BF3027" w:rsidRDefault="002C4CFA" w:rsidP="002C4CFA">
            <w:pPr>
              <w:bidi w:val="0"/>
              <w:spacing w:after="0" w:line="240" w:lineRule="auto"/>
              <w:jc w:val="center"/>
              <w:rPr>
                <w:rFonts w:ascii="David" w:eastAsia="Times New Roman" w:hAnsi="David" w:cs="David"/>
                <w:b/>
                <w:bCs/>
              </w:rPr>
            </w:pPr>
            <w:r w:rsidRPr="00BF3027">
              <w:rPr>
                <w:rFonts w:ascii="David" w:eastAsia="Times New Roman" w:hAnsi="David" w:cs="David" w:hint="cs"/>
                <w:b/>
                <w:bCs/>
                <w:rtl/>
              </w:rPr>
              <w:t>10:00</w:t>
            </w:r>
          </w:p>
        </w:tc>
        <w:tc>
          <w:tcPr>
            <w:tcW w:w="1276" w:type="dxa"/>
            <w:shd w:val="clear" w:color="auto" w:fill="D0CECE" w:themeFill="background2" w:themeFillShade="E6"/>
            <w:vAlign w:val="center"/>
          </w:tcPr>
          <w:p w14:paraId="2D7F482A" w14:textId="77777777" w:rsidR="002C4CFA" w:rsidRPr="00BF3027" w:rsidRDefault="002C4CFA" w:rsidP="002C4CFA">
            <w:pPr>
              <w:bidi w:val="0"/>
              <w:spacing w:after="0" w:line="240" w:lineRule="auto"/>
              <w:jc w:val="center"/>
              <w:rPr>
                <w:rFonts w:ascii="David" w:eastAsia="Times New Roman" w:hAnsi="David" w:cs="David"/>
                <w:rtl/>
              </w:rPr>
            </w:pPr>
            <w:r w:rsidRPr="00BF3027">
              <w:rPr>
                <w:rFonts w:ascii="David" w:eastAsia="Times New Roman" w:hAnsi="David" w:cs="David"/>
              </w:rPr>
              <w:t>-</w:t>
            </w:r>
          </w:p>
        </w:tc>
        <w:tc>
          <w:tcPr>
            <w:tcW w:w="851" w:type="dxa"/>
            <w:shd w:val="clear" w:color="auto" w:fill="D0CECE" w:themeFill="background2" w:themeFillShade="E6"/>
            <w:vAlign w:val="center"/>
          </w:tcPr>
          <w:p w14:paraId="0700496E" w14:textId="77777777" w:rsidR="002C4CFA" w:rsidRPr="00BF3027" w:rsidRDefault="002C4CFA" w:rsidP="002C4CFA">
            <w:pPr>
              <w:bidi w:val="0"/>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shd w:val="clear" w:color="auto" w:fill="D0CECE" w:themeFill="background2" w:themeFillShade="E6"/>
            <w:vAlign w:val="center"/>
          </w:tcPr>
          <w:p w14:paraId="310DB018"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300</w:t>
            </w:r>
          </w:p>
        </w:tc>
      </w:tr>
      <w:tr w:rsidR="002C4CFA" w:rsidRPr="00BF3027" w14:paraId="236346EA" w14:textId="77777777" w:rsidTr="002C4CFA">
        <w:trPr>
          <w:trHeight w:val="552"/>
        </w:trPr>
        <w:tc>
          <w:tcPr>
            <w:tcW w:w="853" w:type="dxa"/>
            <w:shd w:val="clear" w:color="auto" w:fill="auto"/>
            <w:noWrap/>
            <w:vAlign w:val="center"/>
          </w:tcPr>
          <w:p w14:paraId="4B69EB27"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auto"/>
            <w:noWrap/>
            <w:vAlign w:val="center"/>
          </w:tcPr>
          <w:p w14:paraId="396F161A"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auto"/>
            <w:vAlign w:val="center"/>
          </w:tcPr>
          <w:p w14:paraId="75AFC29A"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אזרחי בסדר דין רגיל (ת"א)-התנגדות לביצוע שטר/ביצוע תביעה</w:t>
            </w:r>
          </w:p>
        </w:tc>
        <w:tc>
          <w:tcPr>
            <w:tcW w:w="1276" w:type="dxa"/>
            <w:shd w:val="clear" w:color="auto" w:fill="auto"/>
            <w:vAlign w:val="center"/>
          </w:tcPr>
          <w:p w14:paraId="72C98202"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622</w:t>
            </w:r>
          </w:p>
        </w:tc>
        <w:tc>
          <w:tcPr>
            <w:tcW w:w="1417" w:type="dxa"/>
            <w:shd w:val="clear" w:color="auto" w:fill="auto"/>
            <w:noWrap/>
            <w:vAlign w:val="center"/>
          </w:tcPr>
          <w:p w14:paraId="378D6E81" w14:textId="77777777" w:rsidR="002C4CFA" w:rsidRPr="00BF3027" w:rsidRDefault="002C4CFA" w:rsidP="002C4CFA">
            <w:pPr>
              <w:bidi w:val="0"/>
              <w:spacing w:after="0" w:line="240" w:lineRule="auto"/>
              <w:jc w:val="center"/>
              <w:rPr>
                <w:rFonts w:ascii="David" w:eastAsia="Times New Roman" w:hAnsi="David" w:cs="David"/>
                <w:b/>
                <w:bCs/>
              </w:rPr>
            </w:pPr>
            <w:r w:rsidRPr="00BF3027">
              <w:rPr>
                <w:rFonts w:ascii="David" w:eastAsia="Times New Roman" w:hAnsi="David" w:cs="David" w:hint="cs"/>
                <w:b/>
                <w:bCs/>
                <w:rtl/>
              </w:rPr>
              <w:t>9:51</w:t>
            </w:r>
          </w:p>
        </w:tc>
        <w:tc>
          <w:tcPr>
            <w:tcW w:w="1276" w:type="dxa"/>
            <w:shd w:val="clear" w:color="auto" w:fill="auto"/>
            <w:vAlign w:val="center"/>
          </w:tcPr>
          <w:p w14:paraId="47D5145E" w14:textId="77777777" w:rsidR="002C4CFA" w:rsidRPr="00BF3027" w:rsidRDefault="002C4CFA" w:rsidP="002C4CFA">
            <w:pPr>
              <w:bidi w:val="0"/>
              <w:spacing w:after="0" w:line="240" w:lineRule="auto"/>
              <w:jc w:val="center"/>
              <w:rPr>
                <w:rFonts w:ascii="David" w:eastAsia="Times New Roman" w:hAnsi="David" w:cs="David"/>
                <w:rtl/>
              </w:rPr>
            </w:pPr>
            <w:r w:rsidRPr="00BF3027">
              <w:rPr>
                <w:rFonts w:ascii="David" w:eastAsia="Times New Roman" w:hAnsi="David" w:cs="David"/>
                <w:rtl/>
              </w:rPr>
              <w:t>-</w:t>
            </w:r>
          </w:p>
        </w:tc>
        <w:tc>
          <w:tcPr>
            <w:tcW w:w="851" w:type="dxa"/>
            <w:shd w:val="clear" w:color="auto" w:fill="auto"/>
            <w:vAlign w:val="center"/>
          </w:tcPr>
          <w:p w14:paraId="547B3B41" w14:textId="77777777" w:rsidR="002C4CFA" w:rsidRPr="00BF3027" w:rsidRDefault="002C4CFA" w:rsidP="002C4CFA">
            <w:pPr>
              <w:bidi w:val="0"/>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shd w:val="clear" w:color="auto" w:fill="auto"/>
            <w:vAlign w:val="center"/>
          </w:tcPr>
          <w:p w14:paraId="169D160A"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296</w:t>
            </w:r>
          </w:p>
        </w:tc>
      </w:tr>
      <w:tr w:rsidR="002C4CFA" w:rsidRPr="00BF3027" w14:paraId="4AC63D90" w14:textId="77777777" w:rsidTr="002C4CFA">
        <w:trPr>
          <w:trHeight w:val="693"/>
        </w:trPr>
        <w:tc>
          <w:tcPr>
            <w:tcW w:w="853" w:type="dxa"/>
            <w:shd w:val="clear" w:color="auto" w:fill="D9D9D9"/>
            <w:noWrap/>
            <w:vAlign w:val="center"/>
          </w:tcPr>
          <w:p w14:paraId="32A44B36"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D9D9D9"/>
            <w:noWrap/>
            <w:vAlign w:val="center"/>
          </w:tcPr>
          <w:p w14:paraId="63E6260A"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ערעור אזרחי</w:t>
            </w:r>
          </w:p>
        </w:tc>
        <w:tc>
          <w:tcPr>
            <w:tcW w:w="1984" w:type="dxa"/>
            <w:shd w:val="clear" w:color="auto" w:fill="D9D9D9"/>
            <w:vAlign w:val="center"/>
          </w:tcPr>
          <w:p w14:paraId="0F4E3C28"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ערעור מסים (ע"מ)</w:t>
            </w:r>
          </w:p>
        </w:tc>
        <w:tc>
          <w:tcPr>
            <w:tcW w:w="1276" w:type="dxa"/>
            <w:shd w:val="clear" w:color="auto" w:fill="D9D9D9"/>
            <w:vAlign w:val="center"/>
          </w:tcPr>
          <w:p w14:paraId="47667AEF"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789</w:t>
            </w:r>
          </w:p>
        </w:tc>
        <w:tc>
          <w:tcPr>
            <w:tcW w:w="1417" w:type="dxa"/>
            <w:shd w:val="clear" w:color="auto" w:fill="D9D9D9"/>
            <w:noWrap/>
            <w:vAlign w:val="center"/>
          </w:tcPr>
          <w:p w14:paraId="418709B3"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hint="cs"/>
                <w:b/>
                <w:bCs/>
                <w:rtl/>
              </w:rPr>
              <w:t>9:33</w:t>
            </w:r>
          </w:p>
        </w:tc>
        <w:tc>
          <w:tcPr>
            <w:tcW w:w="1276" w:type="dxa"/>
            <w:shd w:val="clear" w:color="auto" w:fill="D9D9D9"/>
            <w:vAlign w:val="center"/>
          </w:tcPr>
          <w:p w14:paraId="748C00ED"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4:12</w:t>
            </w:r>
          </w:p>
        </w:tc>
        <w:tc>
          <w:tcPr>
            <w:tcW w:w="851" w:type="dxa"/>
            <w:shd w:val="clear" w:color="auto" w:fill="D9D9D9"/>
            <w:vAlign w:val="center"/>
          </w:tcPr>
          <w:p w14:paraId="3A0C6954"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+5:21</w:t>
            </w:r>
          </w:p>
        </w:tc>
        <w:tc>
          <w:tcPr>
            <w:tcW w:w="992" w:type="dxa"/>
            <w:shd w:val="clear" w:color="auto" w:fill="D9D9D9"/>
            <w:vAlign w:val="center"/>
          </w:tcPr>
          <w:p w14:paraId="09317E48"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287</w:t>
            </w:r>
          </w:p>
        </w:tc>
      </w:tr>
      <w:tr w:rsidR="002C4CFA" w:rsidRPr="00BF3027" w14:paraId="51418702" w14:textId="77777777" w:rsidTr="002C4CFA">
        <w:trPr>
          <w:trHeight w:val="706"/>
        </w:trPr>
        <w:tc>
          <w:tcPr>
            <w:tcW w:w="853" w:type="dxa"/>
            <w:shd w:val="clear" w:color="auto" w:fill="auto"/>
            <w:noWrap/>
            <w:vAlign w:val="center"/>
          </w:tcPr>
          <w:p w14:paraId="32349A00"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auto"/>
            <w:noWrap/>
            <w:vAlign w:val="center"/>
          </w:tcPr>
          <w:p w14:paraId="2704BFED"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auto"/>
            <w:vAlign w:val="center"/>
          </w:tcPr>
          <w:p w14:paraId="7C43BD56"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אזרחי בסדר דין רגיל (ת"א) - קניין רוחני*</w:t>
            </w:r>
            <w:r w:rsidRPr="00BF3027">
              <w:rPr>
                <w:rFonts w:ascii="David" w:eastAsia="Times New Roman" w:hAnsi="David" w:cs="David" w:hint="cs"/>
                <w:rtl/>
              </w:rPr>
              <w:t>*</w:t>
            </w:r>
          </w:p>
        </w:tc>
        <w:tc>
          <w:tcPr>
            <w:tcW w:w="1276" w:type="dxa"/>
            <w:shd w:val="clear" w:color="auto" w:fill="auto"/>
            <w:vAlign w:val="center"/>
          </w:tcPr>
          <w:p w14:paraId="4DC38F11"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3,008</w:t>
            </w:r>
          </w:p>
        </w:tc>
        <w:tc>
          <w:tcPr>
            <w:tcW w:w="1417" w:type="dxa"/>
            <w:shd w:val="clear" w:color="auto" w:fill="auto"/>
            <w:noWrap/>
            <w:vAlign w:val="center"/>
          </w:tcPr>
          <w:p w14:paraId="62545EB5"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9:28</w:t>
            </w:r>
          </w:p>
        </w:tc>
        <w:tc>
          <w:tcPr>
            <w:tcW w:w="1276" w:type="dxa"/>
            <w:shd w:val="clear" w:color="auto" w:fill="auto"/>
            <w:vAlign w:val="center"/>
          </w:tcPr>
          <w:p w14:paraId="59C2364C"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w:t>
            </w:r>
          </w:p>
        </w:tc>
        <w:tc>
          <w:tcPr>
            <w:tcW w:w="851" w:type="dxa"/>
            <w:shd w:val="clear" w:color="auto" w:fill="auto"/>
            <w:vAlign w:val="center"/>
          </w:tcPr>
          <w:p w14:paraId="0AA9D4B5"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w:t>
            </w:r>
          </w:p>
        </w:tc>
        <w:tc>
          <w:tcPr>
            <w:tcW w:w="992" w:type="dxa"/>
            <w:shd w:val="clear" w:color="auto" w:fill="auto"/>
            <w:vAlign w:val="center"/>
          </w:tcPr>
          <w:p w14:paraId="3051E817"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284</w:t>
            </w:r>
          </w:p>
        </w:tc>
      </w:tr>
      <w:tr w:rsidR="002C4CFA" w:rsidRPr="00BF3027" w14:paraId="49AACD6B" w14:textId="77777777" w:rsidTr="002C4CFA">
        <w:trPr>
          <w:trHeight w:val="419"/>
        </w:trPr>
        <w:tc>
          <w:tcPr>
            <w:tcW w:w="853" w:type="dxa"/>
            <w:shd w:val="clear" w:color="auto" w:fill="D9D9D9"/>
            <w:noWrap/>
            <w:vAlign w:val="center"/>
          </w:tcPr>
          <w:p w14:paraId="59E52A99"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משפחה</w:t>
            </w:r>
          </w:p>
        </w:tc>
        <w:tc>
          <w:tcPr>
            <w:tcW w:w="989" w:type="dxa"/>
            <w:shd w:val="clear" w:color="auto" w:fill="D9D9D9"/>
            <w:noWrap/>
            <w:vAlign w:val="center"/>
          </w:tcPr>
          <w:p w14:paraId="47A00560" w14:textId="77777777" w:rsidR="002C4CFA" w:rsidRPr="00BF3027" w:rsidRDefault="002C4CFA" w:rsidP="002C4CFA">
            <w:pPr>
              <w:spacing w:after="0" w:line="240" w:lineRule="auto"/>
              <w:rPr>
                <w:rFonts w:ascii="David" w:eastAsia="Times New Roman" w:hAnsi="David" w:cs="David"/>
                <w:rtl/>
              </w:rPr>
            </w:pPr>
          </w:p>
        </w:tc>
        <w:tc>
          <w:tcPr>
            <w:tcW w:w="1984" w:type="dxa"/>
            <w:shd w:val="clear" w:color="auto" w:fill="D9D9D9"/>
            <w:vAlign w:val="center"/>
          </w:tcPr>
          <w:p w14:paraId="60FB0CE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נזקקות (תנ"ז)</w:t>
            </w:r>
          </w:p>
        </w:tc>
        <w:tc>
          <w:tcPr>
            <w:tcW w:w="1276" w:type="dxa"/>
            <w:shd w:val="clear" w:color="auto" w:fill="D9D9D9"/>
            <w:vAlign w:val="center"/>
          </w:tcPr>
          <w:p w14:paraId="1A2A5894"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148</w:t>
            </w:r>
          </w:p>
        </w:tc>
        <w:tc>
          <w:tcPr>
            <w:tcW w:w="1417" w:type="dxa"/>
            <w:shd w:val="clear" w:color="auto" w:fill="D9D9D9"/>
            <w:noWrap/>
            <w:vAlign w:val="center"/>
          </w:tcPr>
          <w:p w14:paraId="6594DFC2"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hint="cs"/>
                <w:b/>
                <w:bCs/>
                <w:rtl/>
              </w:rPr>
              <w:t>9:05</w:t>
            </w:r>
          </w:p>
        </w:tc>
        <w:tc>
          <w:tcPr>
            <w:tcW w:w="1276" w:type="dxa"/>
            <w:shd w:val="clear" w:color="auto" w:fill="D9D9D9"/>
            <w:vAlign w:val="center"/>
          </w:tcPr>
          <w:p w14:paraId="1B5905F2"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1:32</w:t>
            </w:r>
          </w:p>
        </w:tc>
        <w:tc>
          <w:tcPr>
            <w:tcW w:w="851" w:type="dxa"/>
            <w:shd w:val="clear" w:color="auto" w:fill="D9D9D9"/>
            <w:vAlign w:val="center"/>
          </w:tcPr>
          <w:p w14:paraId="4145E10B"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+7:33</w:t>
            </w:r>
          </w:p>
        </w:tc>
        <w:tc>
          <w:tcPr>
            <w:tcW w:w="992" w:type="dxa"/>
            <w:shd w:val="clear" w:color="auto" w:fill="D9D9D9"/>
            <w:vAlign w:val="center"/>
          </w:tcPr>
          <w:p w14:paraId="30D72B74"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273</w:t>
            </w:r>
          </w:p>
        </w:tc>
      </w:tr>
      <w:tr w:rsidR="002C4CFA" w:rsidRPr="00BF3027" w14:paraId="4634970E" w14:textId="77777777" w:rsidTr="002C4CFA">
        <w:trPr>
          <w:trHeight w:val="415"/>
        </w:trPr>
        <w:tc>
          <w:tcPr>
            <w:tcW w:w="853" w:type="dxa"/>
            <w:shd w:val="clear" w:color="auto" w:fill="auto"/>
            <w:noWrap/>
            <w:vAlign w:val="center"/>
          </w:tcPr>
          <w:p w14:paraId="3897584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auto"/>
            <w:noWrap/>
            <w:vAlign w:val="center"/>
          </w:tcPr>
          <w:p w14:paraId="2121ECBD"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auto"/>
            <w:vAlign w:val="center"/>
          </w:tcPr>
          <w:p w14:paraId="2D83E5CE"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אזרחי בסדר דין רגיל (ת"א)-תביעה כספית</w:t>
            </w:r>
          </w:p>
        </w:tc>
        <w:tc>
          <w:tcPr>
            <w:tcW w:w="1276" w:type="dxa"/>
            <w:shd w:val="clear" w:color="auto" w:fill="auto"/>
            <w:vAlign w:val="center"/>
          </w:tcPr>
          <w:p w14:paraId="3813CCD4"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15,589</w:t>
            </w:r>
          </w:p>
        </w:tc>
        <w:tc>
          <w:tcPr>
            <w:tcW w:w="1417" w:type="dxa"/>
            <w:shd w:val="clear" w:color="auto" w:fill="auto"/>
            <w:noWrap/>
            <w:vAlign w:val="center"/>
          </w:tcPr>
          <w:p w14:paraId="6AA5B54F"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8:36</w:t>
            </w:r>
          </w:p>
        </w:tc>
        <w:tc>
          <w:tcPr>
            <w:tcW w:w="1276" w:type="dxa"/>
            <w:shd w:val="clear" w:color="auto" w:fill="auto"/>
            <w:vAlign w:val="center"/>
          </w:tcPr>
          <w:p w14:paraId="72297ECC"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w:t>
            </w:r>
          </w:p>
        </w:tc>
        <w:tc>
          <w:tcPr>
            <w:tcW w:w="851" w:type="dxa"/>
            <w:shd w:val="clear" w:color="auto" w:fill="auto"/>
            <w:vAlign w:val="center"/>
          </w:tcPr>
          <w:p w14:paraId="3CF255EA"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shd w:val="clear" w:color="auto" w:fill="auto"/>
            <w:vAlign w:val="center"/>
          </w:tcPr>
          <w:p w14:paraId="37D6CAF3"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258</w:t>
            </w:r>
          </w:p>
        </w:tc>
      </w:tr>
      <w:tr w:rsidR="002C4CFA" w:rsidRPr="00BF3027" w14:paraId="78ABB5C3" w14:textId="77777777" w:rsidTr="002C4CFA">
        <w:trPr>
          <w:trHeight w:val="421"/>
        </w:trPr>
        <w:tc>
          <w:tcPr>
            <w:tcW w:w="853" w:type="dxa"/>
            <w:shd w:val="clear" w:color="auto" w:fill="D9D9D9"/>
            <w:noWrap/>
            <w:vAlign w:val="center"/>
          </w:tcPr>
          <w:p w14:paraId="6A93D890"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D9D9D9"/>
            <w:noWrap/>
            <w:vAlign w:val="center"/>
          </w:tcPr>
          <w:p w14:paraId="44E7FC68"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ערעור פלילי</w:t>
            </w:r>
          </w:p>
        </w:tc>
        <w:tc>
          <w:tcPr>
            <w:tcW w:w="1984" w:type="dxa"/>
            <w:shd w:val="clear" w:color="auto" w:fill="D9D9D9"/>
            <w:vAlign w:val="center"/>
          </w:tcPr>
          <w:p w14:paraId="12CAF16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ערעור נוער פלילי (ענ"פ) - הרכב</w:t>
            </w:r>
          </w:p>
        </w:tc>
        <w:tc>
          <w:tcPr>
            <w:tcW w:w="1276" w:type="dxa"/>
            <w:shd w:val="clear" w:color="auto" w:fill="D9D9D9"/>
            <w:vAlign w:val="center"/>
          </w:tcPr>
          <w:p w14:paraId="0E9CE60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96</w:t>
            </w:r>
          </w:p>
        </w:tc>
        <w:tc>
          <w:tcPr>
            <w:tcW w:w="1417" w:type="dxa"/>
            <w:shd w:val="clear" w:color="auto" w:fill="D9D9D9"/>
            <w:noWrap/>
            <w:vAlign w:val="center"/>
          </w:tcPr>
          <w:p w14:paraId="34313E96"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hint="cs"/>
                <w:b/>
                <w:bCs/>
                <w:rtl/>
              </w:rPr>
              <w:t>8:14</w:t>
            </w:r>
          </w:p>
        </w:tc>
        <w:tc>
          <w:tcPr>
            <w:tcW w:w="1276" w:type="dxa"/>
            <w:shd w:val="clear" w:color="auto" w:fill="D9D9D9"/>
            <w:vAlign w:val="center"/>
          </w:tcPr>
          <w:p w14:paraId="603AC221"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851" w:type="dxa"/>
            <w:shd w:val="clear" w:color="auto" w:fill="D9D9D9"/>
            <w:vAlign w:val="center"/>
          </w:tcPr>
          <w:p w14:paraId="49364A53"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shd w:val="clear" w:color="auto" w:fill="D9D9D9"/>
            <w:vAlign w:val="center"/>
          </w:tcPr>
          <w:p w14:paraId="42CE1FEE"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247</w:t>
            </w:r>
          </w:p>
        </w:tc>
      </w:tr>
      <w:tr w:rsidR="002C4CFA" w:rsidRPr="00BF3027" w14:paraId="6D24D025" w14:textId="77777777" w:rsidTr="002C4CFA">
        <w:trPr>
          <w:trHeight w:val="698"/>
        </w:trPr>
        <w:tc>
          <w:tcPr>
            <w:tcW w:w="853" w:type="dxa"/>
            <w:shd w:val="clear" w:color="auto" w:fill="auto"/>
            <w:noWrap/>
            <w:vAlign w:val="center"/>
          </w:tcPr>
          <w:p w14:paraId="6E6904E7"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auto"/>
            <w:noWrap/>
            <w:vAlign w:val="center"/>
          </w:tcPr>
          <w:p w14:paraId="4DEE16EA"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פלילי</w:t>
            </w:r>
          </w:p>
        </w:tc>
        <w:tc>
          <w:tcPr>
            <w:tcW w:w="1984" w:type="dxa"/>
            <w:shd w:val="clear" w:color="auto" w:fill="auto"/>
            <w:vAlign w:val="center"/>
          </w:tcPr>
          <w:p w14:paraId="41F1F8BB"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מעצר עד תום ההליכים (מ"ת)</w:t>
            </w:r>
          </w:p>
        </w:tc>
        <w:tc>
          <w:tcPr>
            <w:tcW w:w="1276" w:type="dxa"/>
            <w:shd w:val="clear" w:color="auto" w:fill="auto"/>
            <w:vAlign w:val="center"/>
          </w:tcPr>
          <w:p w14:paraId="7AE00315"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1,407</w:t>
            </w:r>
          </w:p>
        </w:tc>
        <w:tc>
          <w:tcPr>
            <w:tcW w:w="1417" w:type="dxa"/>
            <w:shd w:val="clear" w:color="auto" w:fill="auto"/>
            <w:noWrap/>
            <w:vAlign w:val="center"/>
          </w:tcPr>
          <w:p w14:paraId="7EE34512" w14:textId="77777777" w:rsidR="002C4CFA" w:rsidRPr="00BF3027" w:rsidRDefault="002C4CFA" w:rsidP="002C4CFA">
            <w:pPr>
              <w:spacing w:after="0" w:line="240" w:lineRule="auto"/>
              <w:jc w:val="center"/>
              <w:rPr>
                <w:rFonts w:asciiTheme="minorHAnsi" w:eastAsia="Times New Roman" w:hAnsiTheme="minorHAnsi" w:cs="David"/>
                <w:b/>
                <w:bCs/>
              </w:rPr>
            </w:pPr>
            <w:r w:rsidRPr="00BF3027">
              <w:rPr>
                <w:rFonts w:ascii="David" w:eastAsia="Times New Roman" w:hAnsi="David" w:cs="David"/>
                <w:b/>
                <w:bCs/>
              </w:rPr>
              <w:t>8:00</w:t>
            </w:r>
          </w:p>
        </w:tc>
        <w:tc>
          <w:tcPr>
            <w:tcW w:w="1276" w:type="dxa"/>
            <w:shd w:val="clear" w:color="auto" w:fill="auto"/>
            <w:vAlign w:val="center"/>
          </w:tcPr>
          <w:p w14:paraId="6FDDBAE6"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5:53</w:t>
            </w:r>
          </w:p>
        </w:tc>
        <w:tc>
          <w:tcPr>
            <w:tcW w:w="851" w:type="dxa"/>
            <w:shd w:val="clear" w:color="auto" w:fill="auto"/>
            <w:vAlign w:val="center"/>
          </w:tcPr>
          <w:p w14:paraId="2857F108"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+2:07</w:t>
            </w:r>
          </w:p>
        </w:tc>
        <w:tc>
          <w:tcPr>
            <w:tcW w:w="992" w:type="dxa"/>
            <w:shd w:val="clear" w:color="auto" w:fill="auto"/>
            <w:vAlign w:val="center"/>
          </w:tcPr>
          <w:p w14:paraId="50C693E6"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240</w:t>
            </w:r>
          </w:p>
        </w:tc>
      </w:tr>
      <w:tr w:rsidR="002C4CFA" w:rsidRPr="00BF3027" w14:paraId="347C0CFE" w14:textId="77777777" w:rsidTr="002C4CFA">
        <w:trPr>
          <w:trHeight w:val="436"/>
        </w:trPr>
        <w:tc>
          <w:tcPr>
            <w:tcW w:w="853" w:type="dxa"/>
            <w:shd w:val="clear" w:color="auto" w:fill="D9D9D9"/>
            <w:noWrap/>
            <w:vAlign w:val="center"/>
          </w:tcPr>
          <w:p w14:paraId="3852035E"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משפחה</w:t>
            </w:r>
          </w:p>
        </w:tc>
        <w:tc>
          <w:tcPr>
            <w:tcW w:w="989" w:type="dxa"/>
            <w:shd w:val="clear" w:color="auto" w:fill="D9D9D9"/>
            <w:noWrap/>
            <w:vAlign w:val="center"/>
          </w:tcPr>
          <w:p w14:paraId="3D580497" w14:textId="77777777" w:rsidR="002C4CFA" w:rsidRPr="00BF3027" w:rsidRDefault="002C4CFA" w:rsidP="002C4CFA">
            <w:pPr>
              <w:spacing w:after="0" w:line="240" w:lineRule="auto"/>
              <w:rPr>
                <w:rFonts w:ascii="David" w:eastAsia="Times New Roman" w:hAnsi="David" w:cs="David"/>
                <w:rtl/>
              </w:rPr>
            </w:pPr>
          </w:p>
        </w:tc>
        <w:tc>
          <w:tcPr>
            <w:tcW w:w="1984" w:type="dxa"/>
            <w:shd w:val="clear" w:color="auto" w:fill="D9D9D9"/>
            <w:vAlign w:val="center"/>
          </w:tcPr>
          <w:p w14:paraId="74B4EDB8"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תיק משפחה (תמ"ש)</w:t>
            </w:r>
          </w:p>
        </w:tc>
        <w:tc>
          <w:tcPr>
            <w:tcW w:w="1276" w:type="dxa"/>
            <w:shd w:val="clear" w:color="auto" w:fill="D9D9D9"/>
            <w:vAlign w:val="center"/>
          </w:tcPr>
          <w:p w14:paraId="5C109604"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10,697</w:t>
            </w:r>
          </w:p>
        </w:tc>
        <w:tc>
          <w:tcPr>
            <w:tcW w:w="1417" w:type="dxa"/>
            <w:shd w:val="clear" w:color="auto" w:fill="D9D9D9"/>
            <w:noWrap/>
            <w:vAlign w:val="center"/>
          </w:tcPr>
          <w:p w14:paraId="03580022"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hint="cs"/>
                <w:b/>
                <w:bCs/>
                <w:rtl/>
              </w:rPr>
              <w:t>7:47</w:t>
            </w:r>
          </w:p>
        </w:tc>
        <w:tc>
          <w:tcPr>
            <w:tcW w:w="1276" w:type="dxa"/>
            <w:shd w:val="clear" w:color="auto" w:fill="D9D9D9"/>
            <w:vAlign w:val="center"/>
          </w:tcPr>
          <w:p w14:paraId="6209C24F"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4:31</w:t>
            </w:r>
          </w:p>
        </w:tc>
        <w:tc>
          <w:tcPr>
            <w:tcW w:w="851" w:type="dxa"/>
            <w:shd w:val="clear" w:color="auto" w:fill="D9D9D9"/>
            <w:vAlign w:val="center"/>
          </w:tcPr>
          <w:p w14:paraId="2B70461D"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3:16+</w:t>
            </w:r>
          </w:p>
        </w:tc>
        <w:tc>
          <w:tcPr>
            <w:tcW w:w="992" w:type="dxa"/>
            <w:shd w:val="clear" w:color="auto" w:fill="D9D9D9"/>
            <w:vAlign w:val="center"/>
          </w:tcPr>
          <w:p w14:paraId="0D3E9237"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234</w:t>
            </w:r>
          </w:p>
        </w:tc>
      </w:tr>
      <w:tr w:rsidR="002C4CFA" w:rsidRPr="00BF3027" w14:paraId="2C465392" w14:textId="77777777" w:rsidTr="002C4CFA">
        <w:trPr>
          <w:trHeight w:val="475"/>
        </w:trPr>
        <w:tc>
          <w:tcPr>
            <w:tcW w:w="853" w:type="dxa"/>
            <w:shd w:val="clear" w:color="auto" w:fill="auto"/>
            <w:noWrap/>
            <w:vAlign w:val="center"/>
          </w:tcPr>
          <w:p w14:paraId="160B2AEB"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מחוזי</w:t>
            </w:r>
          </w:p>
        </w:tc>
        <w:tc>
          <w:tcPr>
            <w:tcW w:w="989" w:type="dxa"/>
            <w:shd w:val="clear" w:color="auto" w:fill="auto"/>
            <w:noWrap/>
            <w:vAlign w:val="center"/>
          </w:tcPr>
          <w:p w14:paraId="457A2727"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עניינים מנהליים</w:t>
            </w:r>
          </w:p>
        </w:tc>
        <w:tc>
          <w:tcPr>
            <w:tcW w:w="1984" w:type="dxa"/>
            <w:shd w:val="clear" w:color="auto" w:fill="auto"/>
            <w:vAlign w:val="center"/>
          </w:tcPr>
          <w:p w14:paraId="7A3CDC5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ערעור מנהלי (עמ"נ)</w:t>
            </w:r>
          </w:p>
        </w:tc>
        <w:tc>
          <w:tcPr>
            <w:tcW w:w="1276" w:type="dxa"/>
            <w:shd w:val="clear" w:color="auto" w:fill="auto"/>
            <w:vAlign w:val="center"/>
          </w:tcPr>
          <w:p w14:paraId="0BDD8891"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785</w:t>
            </w:r>
          </w:p>
        </w:tc>
        <w:tc>
          <w:tcPr>
            <w:tcW w:w="1417" w:type="dxa"/>
            <w:shd w:val="clear" w:color="auto" w:fill="auto"/>
            <w:noWrap/>
            <w:vAlign w:val="center"/>
          </w:tcPr>
          <w:p w14:paraId="4CCCD481"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7:46</w:t>
            </w:r>
          </w:p>
        </w:tc>
        <w:tc>
          <w:tcPr>
            <w:tcW w:w="1276" w:type="dxa"/>
            <w:shd w:val="clear" w:color="auto" w:fill="auto"/>
            <w:vAlign w:val="center"/>
          </w:tcPr>
          <w:p w14:paraId="69012AAF"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6:24</w:t>
            </w:r>
          </w:p>
        </w:tc>
        <w:tc>
          <w:tcPr>
            <w:tcW w:w="851" w:type="dxa"/>
            <w:shd w:val="clear" w:color="auto" w:fill="auto"/>
            <w:vAlign w:val="center"/>
          </w:tcPr>
          <w:p w14:paraId="6CCF62E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+1:22</w:t>
            </w:r>
          </w:p>
        </w:tc>
        <w:tc>
          <w:tcPr>
            <w:tcW w:w="992" w:type="dxa"/>
            <w:shd w:val="clear" w:color="auto" w:fill="auto"/>
            <w:vAlign w:val="center"/>
          </w:tcPr>
          <w:p w14:paraId="6B11FDE6"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233</w:t>
            </w:r>
          </w:p>
        </w:tc>
      </w:tr>
      <w:tr w:rsidR="002C4CFA" w:rsidRPr="00BF3027" w14:paraId="73051586" w14:textId="77777777" w:rsidTr="002C4CFA">
        <w:trPr>
          <w:trHeight w:val="645"/>
        </w:trPr>
        <w:tc>
          <w:tcPr>
            <w:tcW w:w="853" w:type="dxa"/>
            <w:shd w:val="clear" w:color="auto" w:fill="D9D9D9"/>
            <w:noWrap/>
            <w:vAlign w:val="center"/>
          </w:tcPr>
          <w:p w14:paraId="2100DAFD"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hint="cs"/>
                <w:rtl/>
              </w:rPr>
              <w:t>מחוזי</w:t>
            </w:r>
          </w:p>
        </w:tc>
        <w:tc>
          <w:tcPr>
            <w:tcW w:w="989" w:type="dxa"/>
            <w:shd w:val="clear" w:color="auto" w:fill="D9D9D9"/>
            <w:noWrap/>
            <w:vAlign w:val="center"/>
          </w:tcPr>
          <w:p w14:paraId="38DDD24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hint="cs"/>
                <w:rtl/>
              </w:rPr>
              <w:t>ערעור אזרחי</w:t>
            </w:r>
          </w:p>
        </w:tc>
        <w:tc>
          <w:tcPr>
            <w:tcW w:w="1984" w:type="dxa"/>
            <w:shd w:val="clear" w:color="auto" w:fill="D9D9D9"/>
            <w:vAlign w:val="center"/>
          </w:tcPr>
          <w:p w14:paraId="30D9F598"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hint="cs"/>
                <w:rtl/>
              </w:rPr>
              <w:t xml:space="preserve">ערעור אזרחי (ע"א) - </w:t>
            </w:r>
            <w:r w:rsidRPr="00BF3027">
              <w:rPr>
                <w:rFonts w:ascii="David" w:eastAsia="Times New Roman" w:hAnsi="David" w:cs="David" w:hint="cs"/>
                <w:b/>
                <w:bCs/>
                <w:rtl/>
              </w:rPr>
              <w:t>משוקלל</w:t>
            </w:r>
          </w:p>
        </w:tc>
        <w:tc>
          <w:tcPr>
            <w:tcW w:w="1276" w:type="dxa"/>
            <w:shd w:val="clear" w:color="auto" w:fill="D9D9D9"/>
            <w:vAlign w:val="center"/>
          </w:tcPr>
          <w:p w14:paraId="34AF9A5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hint="cs"/>
                <w:rtl/>
              </w:rPr>
              <w:t>2,680</w:t>
            </w:r>
          </w:p>
        </w:tc>
        <w:tc>
          <w:tcPr>
            <w:tcW w:w="1417" w:type="dxa"/>
            <w:shd w:val="clear" w:color="auto" w:fill="D9D9D9"/>
            <w:noWrap/>
            <w:vAlign w:val="center"/>
          </w:tcPr>
          <w:p w14:paraId="4FC0D871"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7:44</w:t>
            </w:r>
          </w:p>
        </w:tc>
        <w:tc>
          <w:tcPr>
            <w:tcW w:w="1276" w:type="dxa"/>
            <w:shd w:val="clear" w:color="auto" w:fill="D9D9D9"/>
            <w:vAlign w:val="center"/>
          </w:tcPr>
          <w:p w14:paraId="343C42EA"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7:11</w:t>
            </w:r>
          </w:p>
        </w:tc>
        <w:tc>
          <w:tcPr>
            <w:tcW w:w="851" w:type="dxa"/>
            <w:shd w:val="clear" w:color="auto" w:fill="D9D9D9"/>
            <w:vAlign w:val="center"/>
          </w:tcPr>
          <w:p w14:paraId="06DFD903"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0:33</w:t>
            </w:r>
            <w:r w:rsidRPr="00BF3027">
              <w:rPr>
                <w:rFonts w:ascii="David" w:eastAsia="Times New Roman" w:hAnsi="David" w:cs="David" w:hint="cs"/>
                <w:rtl/>
              </w:rPr>
              <w:t>+</w:t>
            </w:r>
          </w:p>
        </w:tc>
        <w:tc>
          <w:tcPr>
            <w:tcW w:w="992" w:type="dxa"/>
            <w:shd w:val="clear" w:color="auto" w:fill="D9D9D9"/>
            <w:vAlign w:val="center"/>
          </w:tcPr>
          <w:p w14:paraId="5494FEF0"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232</w:t>
            </w:r>
          </w:p>
        </w:tc>
      </w:tr>
      <w:tr w:rsidR="002C4CFA" w:rsidRPr="00BF3027" w14:paraId="77C71B6E" w14:textId="77777777" w:rsidTr="002C4CFA">
        <w:trPr>
          <w:trHeight w:val="285"/>
        </w:trPr>
        <w:tc>
          <w:tcPr>
            <w:tcW w:w="853" w:type="dxa"/>
            <w:shd w:val="clear" w:color="auto" w:fill="auto"/>
            <w:noWrap/>
            <w:vAlign w:val="center"/>
          </w:tcPr>
          <w:p w14:paraId="2517BBCE"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auto"/>
            <w:noWrap/>
            <w:vAlign w:val="center"/>
          </w:tcPr>
          <w:p w14:paraId="1A8C86B6"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ערעור פלילי</w:t>
            </w:r>
          </w:p>
        </w:tc>
        <w:tc>
          <w:tcPr>
            <w:tcW w:w="1984" w:type="dxa"/>
            <w:shd w:val="clear" w:color="auto" w:fill="auto"/>
            <w:vAlign w:val="center"/>
          </w:tcPr>
          <w:p w14:paraId="1C18A26D"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ערעור פלילי גזר דין (עפ"ג) – הרכב</w:t>
            </w:r>
          </w:p>
        </w:tc>
        <w:tc>
          <w:tcPr>
            <w:tcW w:w="1276" w:type="dxa"/>
            <w:shd w:val="clear" w:color="auto" w:fill="auto"/>
            <w:vAlign w:val="center"/>
          </w:tcPr>
          <w:p w14:paraId="781BECD0"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1,092</w:t>
            </w:r>
          </w:p>
        </w:tc>
        <w:tc>
          <w:tcPr>
            <w:tcW w:w="1417" w:type="dxa"/>
            <w:shd w:val="clear" w:color="auto" w:fill="auto"/>
            <w:noWrap/>
            <w:vAlign w:val="center"/>
          </w:tcPr>
          <w:p w14:paraId="6258D0C3"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7:31</w:t>
            </w:r>
          </w:p>
        </w:tc>
        <w:tc>
          <w:tcPr>
            <w:tcW w:w="1276" w:type="dxa"/>
            <w:shd w:val="clear" w:color="auto" w:fill="auto"/>
            <w:vAlign w:val="center"/>
          </w:tcPr>
          <w:p w14:paraId="044DA395"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8:07</w:t>
            </w:r>
          </w:p>
        </w:tc>
        <w:tc>
          <w:tcPr>
            <w:tcW w:w="851" w:type="dxa"/>
            <w:shd w:val="clear" w:color="auto" w:fill="auto"/>
            <w:vAlign w:val="center"/>
          </w:tcPr>
          <w:p w14:paraId="31893D55" w14:textId="77777777" w:rsidR="002C4CFA" w:rsidRPr="00BF3027" w:rsidRDefault="002C4CFA" w:rsidP="002C4CFA">
            <w:pPr>
              <w:spacing w:after="0" w:line="240" w:lineRule="auto"/>
              <w:jc w:val="center"/>
              <w:rPr>
                <w:rFonts w:asciiTheme="minorHAnsi" w:eastAsia="Times New Roman" w:hAnsiTheme="minorHAnsi" w:cs="David"/>
                <w:rtl/>
              </w:rPr>
            </w:pPr>
            <w:r w:rsidRPr="00BF3027">
              <w:rPr>
                <w:rFonts w:ascii="David" w:eastAsia="Times New Roman" w:hAnsi="David" w:cs="David" w:hint="cs"/>
                <w:rtl/>
              </w:rPr>
              <w:t>0:07+</w:t>
            </w:r>
          </w:p>
        </w:tc>
        <w:tc>
          <w:tcPr>
            <w:tcW w:w="992" w:type="dxa"/>
            <w:shd w:val="clear" w:color="auto" w:fill="auto"/>
            <w:vAlign w:val="center"/>
          </w:tcPr>
          <w:p w14:paraId="7902B42D"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226</w:t>
            </w:r>
          </w:p>
        </w:tc>
      </w:tr>
      <w:tr w:rsidR="002C4CFA" w:rsidRPr="00BF3027" w14:paraId="7D9AD158" w14:textId="77777777" w:rsidTr="002C4CFA">
        <w:trPr>
          <w:trHeight w:val="476"/>
        </w:trPr>
        <w:tc>
          <w:tcPr>
            <w:tcW w:w="853" w:type="dxa"/>
            <w:tcBorders>
              <w:bottom w:val="single" w:sz="4" w:space="0" w:color="auto"/>
            </w:tcBorders>
            <w:shd w:val="clear" w:color="auto" w:fill="D9D9D9"/>
            <w:noWrap/>
            <w:vAlign w:val="center"/>
          </w:tcPr>
          <w:p w14:paraId="2C74392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tcBorders>
              <w:bottom w:val="single" w:sz="4" w:space="0" w:color="auto"/>
            </w:tcBorders>
            <w:shd w:val="clear" w:color="auto" w:fill="D9D9D9"/>
            <w:noWrap/>
            <w:vAlign w:val="center"/>
          </w:tcPr>
          <w:p w14:paraId="01C27B0C"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tcBorders>
              <w:bottom w:val="single" w:sz="4" w:space="0" w:color="auto"/>
            </w:tcBorders>
            <w:shd w:val="clear" w:color="auto" w:fill="D9D9D9"/>
            <w:vAlign w:val="center"/>
          </w:tcPr>
          <w:p w14:paraId="1CF72CF7"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פירוקים (פר"ק)</w:t>
            </w:r>
          </w:p>
        </w:tc>
        <w:tc>
          <w:tcPr>
            <w:tcW w:w="1276" w:type="dxa"/>
            <w:tcBorders>
              <w:bottom w:val="single" w:sz="4" w:space="0" w:color="auto"/>
            </w:tcBorders>
            <w:shd w:val="clear" w:color="auto" w:fill="D9D9D9"/>
            <w:vAlign w:val="center"/>
          </w:tcPr>
          <w:p w14:paraId="5184BCA6"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1,348</w:t>
            </w:r>
          </w:p>
        </w:tc>
        <w:tc>
          <w:tcPr>
            <w:tcW w:w="1417" w:type="dxa"/>
            <w:tcBorders>
              <w:bottom w:val="single" w:sz="4" w:space="0" w:color="auto"/>
            </w:tcBorders>
            <w:shd w:val="clear" w:color="auto" w:fill="D9D9D9"/>
            <w:noWrap/>
            <w:vAlign w:val="center"/>
          </w:tcPr>
          <w:p w14:paraId="6C4610A2" w14:textId="77777777" w:rsidR="002C4CFA" w:rsidRPr="00BF3027" w:rsidRDefault="002C4CFA" w:rsidP="002C4CFA">
            <w:pPr>
              <w:bidi w:val="0"/>
              <w:spacing w:after="0" w:line="240" w:lineRule="auto"/>
              <w:jc w:val="center"/>
              <w:rPr>
                <w:rFonts w:ascii="David" w:eastAsia="Times New Roman" w:hAnsi="David" w:cs="David"/>
                <w:b/>
                <w:bCs/>
                <w:rtl/>
              </w:rPr>
            </w:pPr>
            <w:r w:rsidRPr="00BF3027">
              <w:rPr>
                <w:rFonts w:ascii="David" w:eastAsia="Times New Roman" w:hAnsi="David" w:cs="David" w:hint="cs"/>
                <w:b/>
                <w:bCs/>
                <w:rtl/>
              </w:rPr>
              <w:t>7:28</w:t>
            </w:r>
          </w:p>
        </w:tc>
        <w:tc>
          <w:tcPr>
            <w:tcW w:w="1276" w:type="dxa"/>
            <w:tcBorders>
              <w:bottom w:val="single" w:sz="4" w:space="0" w:color="auto"/>
            </w:tcBorders>
            <w:shd w:val="clear" w:color="auto" w:fill="D9D9D9"/>
            <w:vAlign w:val="center"/>
          </w:tcPr>
          <w:p w14:paraId="56F8F902" w14:textId="77777777" w:rsidR="002C4CFA" w:rsidRPr="00BF3027" w:rsidRDefault="002C4CFA" w:rsidP="002C4CFA">
            <w:pPr>
              <w:bidi w:val="0"/>
              <w:spacing w:after="0" w:line="240" w:lineRule="auto"/>
              <w:jc w:val="center"/>
              <w:rPr>
                <w:rFonts w:ascii="David" w:eastAsia="Times New Roman" w:hAnsi="David" w:cs="David"/>
              </w:rPr>
            </w:pPr>
            <w:r w:rsidRPr="00BF3027">
              <w:rPr>
                <w:rFonts w:ascii="David" w:eastAsia="Times New Roman" w:hAnsi="David" w:cs="David"/>
              </w:rPr>
              <w:t>6:29</w:t>
            </w:r>
          </w:p>
        </w:tc>
        <w:tc>
          <w:tcPr>
            <w:tcW w:w="851" w:type="dxa"/>
            <w:tcBorders>
              <w:bottom w:val="single" w:sz="4" w:space="0" w:color="auto"/>
            </w:tcBorders>
            <w:shd w:val="clear" w:color="auto" w:fill="D9D9D9"/>
            <w:vAlign w:val="center"/>
          </w:tcPr>
          <w:p w14:paraId="287599C5" w14:textId="77777777" w:rsidR="002C4CFA" w:rsidRPr="00BF3027" w:rsidRDefault="002C4CFA" w:rsidP="002C4CFA">
            <w:pPr>
              <w:bidi w:val="0"/>
              <w:spacing w:after="0" w:line="240" w:lineRule="auto"/>
              <w:jc w:val="center"/>
              <w:rPr>
                <w:rFonts w:ascii="David" w:eastAsia="Times New Roman" w:hAnsi="David" w:cs="David"/>
              </w:rPr>
            </w:pPr>
            <w:r w:rsidRPr="00BF3027">
              <w:rPr>
                <w:rFonts w:ascii="David" w:eastAsia="Times New Roman" w:hAnsi="David" w:cs="David"/>
              </w:rPr>
              <w:t>+0:59</w:t>
            </w:r>
          </w:p>
        </w:tc>
        <w:tc>
          <w:tcPr>
            <w:tcW w:w="992" w:type="dxa"/>
            <w:tcBorders>
              <w:bottom w:val="single" w:sz="4" w:space="0" w:color="auto"/>
            </w:tcBorders>
            <w:shd w:val="clear" w:color="auto" w:fill="D9D9D9"/>
            <w:vAlign w:val="center"/>
          </w:tcPr>
          <w:p w14:paraId="4298DE74"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224</w:t>
            </w:r>
          </w:p>
        </w:tc>
      </w:tr>
      <w:tr w:rsidR="002C4CFA" w:rsidRPr="00BF3027" w14:paraId="28B48055" w14:textId="77777777" w:rsidTr="002C4CFA">
        <w:trPr>
          <w:trHeight w:val="550"/>
        </w:trPr>
        <w:tc>
          <w:tcPr>
            <w:tcW w:w="853" w:type="dxa"/>
            <w:tcBorders>
              <w:top w:val="single" w:sz="4" w:space="0" w:color="auto"/>
              <w:bottom w:val="single" w:sz="4" w:space="0" w:color="auto"/>
            </w:tcBorders>
            <w:shd w:val="clear" w:color="auto" w:fill="auto"/>
            <w:noWrap/>
            <w:vAlign w:val="center"/>
          </w:tcPr>
          <w:p w14:paraId="375E0891"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שלום</w:t>
            </w:r>
          </w:p>
        </w:tc>
        <w:tc>
          <w:tcPr>
            <w:tcW w:w="989" w:type="dxa"/>
            <w:tcBorders>
              <w:top w:val="single" w:sz="4" w:space="0" w:color="auto"/>
              <w:bottom w:val="single" w:sz="4" w:space="0" w:color="auto"/>
            </w:tcBorders>
            <w:shd w:val="clear" w:color="auto" w:fill="auto"/>
            <w:noWrap/>
            <w:vAlign w:val="center"/>
          </w:tcPr>
          <w:p w14:paraId="2D7B7639"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פלילי</w:t>
            </w:r>
          </w:p>
        </w:tc>
        <w:tc>
          <w:tcPr>
            <w:tcW w:w="1984" w:type="dxa"/>
            <w:tcBorders>
              <w:top w:val="single" w:sz="4" w:space="0" w:color="auto"/>
              <w:bottom w:val="single" w:sz="4" w:space="0" w:color="auto"/>
            </w:tcBorders>
            <w:shd w:val="clear" w:color="auto" w:fill="auto"/>
            <w:vAlign w:val="center"/>
          </w:tcPr>
          <w:p w14:paraId="7473307C"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פלילי קהילתי (תפ"ק)</w:t>
            </w:r>
          </w:p>
        </w:tc>
        <w:tc>
          <w:tcPr>
            <w:tcW w:w="1276" w:type="dxa"/>
            <w:tcBorders>
              <w:top w:val="single" w:sz="4" w:space="0" w:color="auto"/>
              <w:bottom w:val="single" w:sz="4" w:space="0" w:color="auto"/>
            </w:tcBorders>
            <w:shd w:val="clear" w:color="auto" w:fill="auto"/>
            <w:vAlign w:val="center"/>
          </w:tcPr>
          <w:p w14:paraId="021805B4"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228</w:t>
            </w:r>
          </w:p>
        </w:tc>
        <w:tc>
          <w:tcPr>
            <w:tcW w:w="1417" w:type="dxa"/>
            <w:tcBorders>
              <w:top w:val="single" w:sz="4" w:space="0" w:color="auto"/>
              <w:bottom w:val="single" w:sz="4" w:space="0" w:color="auto"/>
            </w:tcBorders>
            <w:shd w:val="clear" w:color="auto" w:fill="auto"/>
            <w:noWrap/>
            <w:vAlign w:val="center"/>
          </w:tcPr>
          <w:p w14:paraId="6E9F7938"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7:11</w:t>
            </w:r>
          </w:p>
        </w:tc>
        <w:tc>
          <w:tcPr>
            <w:tcW w:w="1276" w:type="dxa"/>
            <w:tcBorders>
              <w:top w:val="single" w:sz="4" w:space="0" w:color="auto"/>
              <w:bottom w:val="single" w:sz="4" w:space="0" w:color="auto"/>
            </w:tcBorders>
            <w:shd w:val="clear" w:color="auto" w:fill="auto"/>
            <w:vAlign w:val="center"/>
          </w:tcPr>
          <w:p w14:paraId="76FA4756"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851" w:type="dxa"/>
            <w:tcBorders>
              <w:top w:val="single" w:sz="4" w:space="0" w:color="auto"/>
              <w:bottom w:val="single" w:sz="4" w:space="0" w:color="auto"/>
            </w:tcBorders>
            <w:shd w:val="clear" w:color="auto" w:fill="auto"/>
            <w:vAlign w:val="center"/>
          </w:tcPr>
          <w:p w14:paraId="7A8FB808"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tcBorders>
              <w:top w:val="single" w:sz="4" w:space="0" w:color="auto"/>
              <w:bottom w:val="single" w:sz="4" w:space="0" w:color="auto"/>
            </w:tcBorders>
            <w:shd w:val="clear" w:color="auto" w:fill="auto"/>
            <w:vAlign w:val="center"/>
          </w:tcPr>
          <w:p w14:paraId="76940C9B"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216</w:t>
            </w:r>
          </w:p>
        </w:tc>
      </w:tr>
      <w:tr w:rsidR="002C4CFA" w:rsidRPr="00BF3027" w14:paraId="372956A0" w14:textId="77777777" w:rsidTr="002C4CFA">
        <w:trPr>
          <w:trHeight w:val="558"/>
        </w:trPr>
        <w:tc>
          <w:tcPr>
            <w:tcW w:w="853" w:type="dxa"/>
            <w:tcBorders>
              <w:top w:val="single" w:sz="4" w:space="0" w:color="auto"/>
            </w:tcBorders>
            <w:shd w:val="clear" w:color="auto" w:fill="D9D9D9"/>
            <w:noWrap/>
            <w:vAlign w:val="center"/>
          </w:tcPr>
          <w:p w14:paraId="2FAC179E"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tcBorders>
              <w:top w:val="single" w:sz="4" w:space="0" w:color="auto"/>
            </w:tcBorders>
            <w:shd w:val="clear" w:color="auto" w:fill="D9D9D9"/>
            <w:noWrap/>
            <w:vAlign w:val="center"/>
          </w:tcPr>
          <w:p w14:paraId="7812E0F6"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tcBorders>
              <w:top w:val="single" w:sz="4" w:space="0" w:color="auto"/>
            </w:tcBorders>
            <w:shd w:val="clear" w:color="auto" w:fill="D9D9D9"/>
            <w:vAlign w:val="center"/>
          </w:tcPr>
          <w:p w14:paraId="074D3209"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אזרחי בסדר דין רגיל (ת"א)-לשון הרע</w:t>
            </w:r>
          </w:p>
        </w:tc>
        <w:tc>
          <w:tcPr>
            <w:tcW w:w="1276" w:type="dxa"/>
            <w:tcBorders>
              <w:top w:val="single" w:sz="4" w:space="0" w:color="auto"/>
            </w:tcBorders>
            <w:shd w:val="clear" w:color="auto" w:fill="D9D9D9"/>
            <w:vAlign w:val="center"/>
          </w:tcPr>
          <w:p w14:paraId="37852FB4"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1,002</w:t>
            </w:r>
          </w:p>
        </w:tc>
        <w:tc>
          <w:tcPr>
            <w:tcW w:w="1417" w:type="dxa"/>
            <w:tcBorders>
              <w:top w:val="single" w:sz="4" w:space="0" w:color="auto"/>
            </w:tcBorders>
            <w:shd w:val="clear" w:color="auto" w:fill="D9D9D9"/>
            <w:noWrap/>
            <w:vAlign w:val="center"/>
          </w:tcPr>
          <w:p w14:paraId="0B83DB38"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hint="cs"/>
                <w:b/>
                <w:bCs/>
                <w:rtl/>
              </w:rPr>
              <w:t>7:11</w:t>
            </w:r>
          </w:p>
        </w:tc>
        <w:tc>
          <w:tcPr>
            <w:tcW w:w="1276" w:type="dxa"/>
            <w:tcBorders>
              <w:top w:val="single" w:sz="4" w:space="0" w:color="auto"/>
            </w:tcBorders>
            <w:shd w:val="clear" w:color="auto" w:fill="D9D9D9"/>
            <w:vAlign w:val="center"/>
          </w:tcPr>
          <w:p w14:paraId="5C7DAA1D"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w:t>
            </w:r>
          </w:p>
        </w:tc>
        <w:tc>
          <w:tcPr>
            <w:tcW w:w="851" w:type="dxa"/>
            <w:tcBorders>
              <w:top w:val="single" w:sz="4" w:space="0" w:color="auto"/>
            </w:tcBorders>
            <w:shd w:val="clear" w:color="auto" w:fill="D9D9D9"/>
            <w:vAlign w:val="center"/>
          </w:tcPr>
          <w:p w14:paraId="5BF41245"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tcBorders>
              <w:top w:val="single" w:sz="4" w:space="0" w:color="auto"/>
            </w:tcBorders>
            <w:shd w:val="clear" w:color="auto" w:fill="D9D9D9"/>
            <w:vAlign w:val="center"/>
          </w:tcPr>
          <w:p w14:paraId="3D6DC4F2"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216</w:t>
            </w:r>
          </w:p>
        </w:tc>
      </w:tr>
      <w:tr w:rsidR="002C4CFA" w:rsidRPr="00BF3027" w14:paraId="0DAFC2D2" w14:textId="77777777" w:rsidTr="002C4CFA">
        <w:trPr>
          <w:trHeight w:val="289"/>
        </w:trPr>
        <w:tc>
          <w:tcPr>
            <w:tcW w:w="853" w:type="dxa"/>
            <w:shd w:val="clear" w:color="auto" w:fill="FFFFFF"/>
            <w:noWrap/>
            <w:vAlign w:val="center"/>
          </w:tcPr>
          <w:p w14:paraId="47ED0261"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עבודה</w:t>
            </w:r>
          </w:p>
        </w:tc>
        <w:tc>
          <w:tcPr>
            <w:tcW w:w="989" w:type="dxa"/>
            <w:shd w:val="clear" w:color="auto" w:fill="FFFFFF"/>
            <w:noWrap/>
            <w:vAlign w:val="center"/>
          </w:tcPr>
          <w:p w14:paraId="6A811D4D"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FFFFFF"/>
            <w:vAlign w:val="center"/>
          </w:tcPr>
          <w:p w14:paraId="764DF98C"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פסק דין הצהרתי (פ"ה)</w:t>
            </w:r>
          </w:p>
        </w:tc>
        <w:tc>
          <w:tcPr>
            <w:tcW w:w="1276" w:type="dxa"/>
            <w:shd w:val="clear" w:color="auto" w:fill="FFFFFF"/>
            <w:vAlign w:val="center"/>
          </w:tcPr>
          <w:p w14:paraId="286B6340"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777</w:t>
            </w:r>
          </w:p>
        </w:tc>
        <w:tc>
          <w:tcPr>
            <w:tcW w:w="1417" w:type="dxa"/>
            <w:shd w:val="clear" w:color="auto" w:fill="FFFFFF"/>
            <w:noWrap/>
            <w:vAlign w:val="center"/>
          </w:tcPr>
          <w:p w14:paraId="3ACB5D9A"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hint="cs"/>
                <w:b/>
                <w:bCs/>
                <w:rtl/>
              </w:rPr>
              <w:t>7:09</w:t>
            </w:r>
          </w:p>
        </w:tc>
        <w:tc>
          <w:tcPr>
            <w:tcW w:w="1276" w:type="dxa"/>
            <w:shd w:val="clear" w:color="auto" w:fill="FFFFFF"/>
            <w:vAlign w:val="center"/>
          </w:tcPr>
          <w:p w14:paraId="26D29E23"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851" w:type="dxa"/>
            <w:shd w:val="clear" w:color="auto" w:fill="FFFFFF"/>
            <w:vAlign w:val="center"/>
          </w:tcPr>
          <w:p w14:paraId="7909593D"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shd w:val="clear" w:color="auto" w:fill="FFFFFF"/>
            <w:vAlign w:val="center"/>
          </w:tcPr>
          <w:p w14:paraId="76B15FA9"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215</w:t>
            </w:r>
          </w:p>
        </w:tc>
      </w:tr>
      <w:tr w:rsidR="002C4CFA" w:rsidRPr="00BF3027" w14:paraId="1E69FDAD" w14:textId="77777777" w:rsidTr="002C4CFA">
        <w:trPr>
          <w:trHeight w:val="408"/>
        </w:trPr>
        <w:tc>
          <w:tcPr>
            <w:tcW w:w="853" w:type="dxa"/>
            <w:shd w:val="clear" w:color="auto" w:fill="D9D9D9"/>
            <w:noWrap/>
            <w:vAlign w:val="center"/>
          </w:tcPr>
          <w:p w14:paraId="2AD19F79"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נוער</w:t>
            </w:r>
          </w:p>
        </w:tc>
        <w:tc>
          <w:tcPr>
            <w:tcW w:w="989" w:type="dxa"/>
            <w:shd w:val="clear" w:color="auto" w:fill="D9D9D9"/>
            <w:noWrap/>
            <w:vAlign w:val="center"/>
          </w:tcPr>
          <w:p w14:paraId="46DFACBD" w14:textId="77777777" w:rsidR="002C4CFA" w:rsidRPr="00BF3027" w:rsidRDefault="002C4CFA" w:rsidP="002C4CFA">
            <w:pPr>
              <w:spacing w:after="0" w:line="240" w:lineRule="auto"/>
              <w:rPr>
                <w:rFonts w:ascii="David" w:eastAsia="Times New Roman" w:hAnsi="David" w:cs="David"/>
                <w:rtl/>
              </w:rPr>
            </w:pPr>
          </w:p>
        </w:tc>
        <w:tc>
          <w:tcPr>
            <w:tcW w:w="1984" w:type="dxa"/>
            <w:shd w:val="clear" w:color="auto" w:fill="D9D9D9"/>
            <w:vAlign w:val="center"/>
          </w:tcPr>
          <w:p w14:paraId="0DF2A8F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מעצר עד תום ההליכים (מ"ת)</w:t>
            </w:r>
          </w:p>
        </w:tc>
        <w:tc>
          <w:tcPr>
            <w:tcW w:w="1276" w:type="dxa"/>
            <w:shd w:val="clear" w:color="auto" w:fill="D9D9D9"/>
            <w:vAlign w:val="center"/>
          </w:tcPr>
          <w:p w14:paraId="3148476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623</w:t>
            </w:r>
          </w:p>
        </w:tc>
        <w:tc>
          <w:tcPr>
            <w:tcW w:w="1417" w:type="dxa"/>
            <w:shd w:val="clear" w:color="auto" w:fill="D9D9D9"/>
            <w:noWrap/>
            <w:vAlign w:val="center"/>
          </w:tcPr>
          <w:p w14:paraId="3CE7D4B8"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6:55</w:t>
            </w:r>
          </w:p>
        </w:tc>
        <w:tc>
          <w:tcPr>
            <w:tcW w:w="1276" w:type="dxa"/>
            <w:shd w:val="clear" w:color="auto" w:fill="D9D9D9"/>
            <w:vAlign w:val="center"/>
          </w:tcPr>
          <w:p w14:paraId="24D86752"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4:57</w:t>
            </w:r>
          </w:p>
        </w:tc>
        <w:tc>
          <w:tcPr>
            <w:tcW w:w="851" w:type="dxa"/>
            <w:shd w:val="clear" w:color="auto" w:fill="D9D9D9"/>
            <w:vAlign w:val="center"/>
          </w:tcPr>
          <w:p w14:paraId="1D006B6A"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+1:58</w:t>
            </w:r>
          </w:p>
        </w:tc>
        <w:tc>
          <w:tcPr>
            <w:tcW w:w="992" w:type="dxa"/>
            <w:shd w:val="clear" w:color="auto" w:fill="D9D9D9"/>
            <w:vAlign w:val="center"/>
          </w:tcPr>
          <w:p w14:paraId="342584F2"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208</w:t>
            </w:r>
          </w:p>
        </w:tc>
      </w:tr>
      <w:tr w:rsidR="002C4CFA" w:rsidRPr="00BF3027" w14:paraId="05648882" w14:textId="77777777" w:rsidTr="002C4CFA">
        <w:trPr>
          <w:trHeight w:val="467"/>
        </w:trPr>
        <w:tc>
          <w:tcPr>
            <w:tcW w:w="853" w:type="dxa"/>
            <w:tcBorders>
              <w:bottom w:val="single" w:sz="4" w:space="0" w:color="auto"/>
            </w:tcBorders>
            <w:shd w:val="clear" w:color="auto" w:fill="FFFFFF"/>
            <w:noWrap/>
            <w:vAlign w:val="center"/>
          </w:tcPr>
          <w:p w14:paraId="63358D71"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נוער</w:t>
            </w:r>
          </w:p>
        </w:tc>
        <w:tc>
          <w:tcPr>
            <w:tcW w:w="989" w:type="dxa"/>
            <w:tcBorders>
              <w:bottom w:val="single" w:sz="4" w:space="0" w:color="auto"/>
            </w:tcBorders>
            <w:shd w:val="clear" w:color="auto" w:fill="FFFFFF"/>
            <w:noWrap/>
            <w:vAlign w:val="center"/>
          </w:tcPr>
          <w:p w14:paraId="18801FB7" w14:textId="77777777" w:rsidR="002C4CFA" w:rsidRPr="00BF3027" w:rsidRDefault="002C4CFA" w:rsidP="002C4CFA">
            <w:pPr>
              <w:spacing w:after="0" w:line="240" w:lineRule="auto"/>
              <w:rPr>
                <w:rFonts w:ascii="David" w:eastAsia="Times New Roman" w:hAnsi="David" w:cs="David"/>
                <w:rtl/>
              </w:rPr>
            </w:pPr>
          </w:p>
        </w:tc>
        <w:tc>
          <w:tcPr>
            <w:tcW w:w="1984" w:type="dxa"/>
            <w:tcBorders>
              <w:bottom w:val="single" w:sz="4" w:space="0" w:color="auto"/>
            </w:tcBorders>
            <w:shd w:val="clear" w:color="auto" w:fill="FFFFFF"/>
            <w:vAlign w:val="center"/>
          </w:tcPr>
          <w:p w14:paraId="064D6608"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פלילי (ת"פ)</w:t>
            </w:r>
          </w:p>
        </w:tc>
        <w:tc>
          <w:tcPr>
            <w:tcW w:w="1276" w:type="dxa"/>
            <w:tcBorders>
              <w:bottom w:val="single" w:sz="4" w:space="0" w:color="auto"/>
            </w:tcBorders>
            <w:shd w:val="clear" w:color="auto" w:fill="FFFFFF"/>
            <w:vAlign w:val="center"/>
          </w:tcPr>
          <w:p w14:paraId="624FFD5F"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3,558</w:t>
            </w:r>
          </w:p>
        </w:tc>
        <w:tc>
          <w:tcPr>
            <w:tcW w:w="1417" w:type="dxa"/>
            <w:tcBorders>
              <w:bottom w:val="single" w:sz="4" w:space="0" w:color="auto"/>
            </w:tcBorders>
            <w:shd w:val="clear" w:color="auto" w:fill="FFFFFF"/>
            <w:noWrap/>
            <w:vAlign w:val="center"/>
          </w:tcPr>
          <w:p w14:paraId="31B815C1"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6:40</w:t>
            </w:r>
          </w:p>
        </w:tc>
        <w:tc>
          <w:tcPr>
            <w:tcW w:w="1276" w:type="dxa"/>
            <w:tcBorders>
              <w:bottom w:val="single" w:sz="4" w:space="0" w:color="auto"/>
            </w:tcBorders>
            <w:shd w:val="clear" w:color="auto" w:fill="FFFFFF"/>
            <w:vAlign w:val="center"/>
          </w:tcPr>
          <w:p w14:paraId="7E276AB2"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4:01</w:t>
            </w:r>
          </w:p>
        </w:tc>
        <w:tc>
          <w:tcPr>
            <w:tcW w:w="851" w:type="dxa"/>
            <w:tcBorders>
              <w:bottom w:val="single" w:sz="4" w:space="0" w:color="auto"/>
            </w:tcBorders>
            <w:shd w:val="clear" w:color="auto" w:fill="FFFFFF"/>
            <w:vAlign w:val="center"/>
          </w:tcPr>
          <w:p w14:paraId="493529D9"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+2:39</w:t>
            </w:r>
          </w:p>
        </w:tc>
        <w:tc>
          <w:tcPr>
            <w:tcW w:w="992" w:type="dxa"/>
            <w:tcBorders>
              <w:bottom w:val="single" w:sz="4" w:space="0" w:color="auto"/>
            </w:tcBorders>
            <w:shd w:val="clear" w:color="auto" w:fill="FFFFFF"/>
            <w:vAlign w:val="center"/>
          </w:tcPr>
          <w:p w14:paraId="179334FD"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200</w:t>
            </w:r>
          </w:p>
        </w:tc>
      </w:tr>
      <w:tr w:rsidR="002C4CFA" w:rsidRPr="00BF3027" w14:paraId="7D57D9EA" w14:textId="77777777" w:rsidTr="002C4CFA">
        <w:trPr>
          <w:trHeight w:val="421"/>
        </w:trPr>
        <w:tc>
          <w:tcPr>
            <w:tcW w:w="853" w:type="dxa"/>
            <w:tcBorders>
              <w:top w:val="single" w:sz="4" w:space="0" w:color="auto"/>
              <w:bottom w:val="single" w:sz="4" w:space="0" w:color="auto"/>
            </w:tcBorders>
            <w:shd w:val="clear" w:color="auto" w:fill="D9D9D9"/>
            <w:noWrap/>
            <w:vAlign w:val="center"/>
          </w:tcPr>
          <w:p w14:paraId="7CD59859"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tcBorders>
              <w:top w:val="single" w:sz="4" w:space="0" w:color="auto"/>
              <w:bottom w:val="single" w:sz="4" w:space="0" w:color="auto"/>
            </w:tcBorders>
            <w:shd w:val="clear" w:color="auto" w:fill="D9D9D9"/>
            <w:noWrap/>
            <w:vAlign w:val="center"/>
          </w:tcPr>
          <w:p w14:paraId="29428638"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ערעור פלילי</w:t>
            </w:r>
          </w:p>
        </w:tc>
        <w:tc>
          <w:tcPr>
            <w:tcW w:w="1984" w:type="dxa"/>
            <w:tcBorders>
              <w:top w:val="single" w:sz="4" w:space="0" w:color="auto"/>
              <w:bottom w:val="single" w:sz="4" w:space="0" w:color="auto"/>
            </w:tcBorders>
            <w:shd w:val="clear" w:color="auto" w:fill="D9D9D9"/>
            <w:vAlign w:val="center"/>
          </w:tcPr>
          <w:p w14:paraId="7823DDCB"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ערעור פלילי אחר (עפ"א)</w:t>
            </w:r>
          </w:p>
        </w:tc>
        <w:tc>
          <w:tcPr>
            <w:tcW w:w="1276" w:type="dxa"/>
            <w:tcBorders>
              <w:top w:val="single" w:sz="4" w:space="0" w:color="auto"/>
              <w:bottom w:val="single" w:sz="4" w:space="0" w:color="auto"/>
            </w:tcBorders>
            <w:shd w:val="clear" w:color="auto" w:fill="D9D9D9"/>
            <w:vAlign w:val="center"/>
          </w:tcPr>
          <w:p w14:paraId="1300B194"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212</w:t>
            </w:r>
          </w:p>
        </w:tc>
        <w:tc>
          <w:tcPr>
            <w:tcW w:w="1417" w:type="dxa"/>
            <w:tcBorders>
              <w:top w:val="single" w:sz="4" w:space="0" w:color="auto"/>
              <w:bottom w:val="single" w:sz="4" w:space="0" w:color="auto"/>
            </w:tcBorders>
            <w:shd w:val="clear" w:color="auto" w:fill="D9D9D9"/>
            <w:noWrap/>
            <w:vAlign w:val="center"/>
          </w:tcPr>
          <w:p w14:paraId="1CA945EC"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6:37</w:t>
            </w:r>
          </w:p>
        </w:tc>
        <w:tc>
          <w:tcPr>
            <w:tcW w:w="1276" w:type="dxa"/>
            <w:tcBorders>
              <w:top w:val="single" w:sz="4" w:space="0" w:color="auto"/>
              <w:bottom w:val="single" w:sz="4" w:space="0" w:color="auto"/>
            </w:tcBorders>
            <w:shd w:val="clear" w:color="auto" w:fill="D9D9D9"/>
            <w:vAlign w:val="center"/>
          </w:tcPr>
          <w:p w14:paraId="24EC2955"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851" w:type="dxa"/>
            <w:tcBorders>
              <w:top w:val="single" w:sz="4" w:space="0" w:color="auto"/>
              <w:bottom w:val="single" w:sz="4" w:space="0" w:color="auto"/>
            </w:tcBorders>
            <w:shd w:val="clear" w:color="auto" w:fill="D9D9D9"/>
            <w:vAlign w:val="center"/>
          </w:tcPr>
          <w:p w14:paraId="12FA5702"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tcBorders>
              <w:top w:val="single" w:sz="4" w:space="0" w:color="auto"/>
              <w:bottom w:val="single" w:sz="4" w:space="0" w:color="auto"/>
            </w:tcBorders>
            <w:shd w:val="clear" w:color="auto" w:fill="D9D9D9"/>
            <w:vAlign w:val="center"/>
          </w:tcPr>
          <w:p w14:paraId="28E892E3"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199</w:t>
            </w:r>
          </w:p>
        </w:tc>
      </w:tr>
      <w:tr w:rsidR="002C4CFA" w:rsidRPr="00BF3027" w14:paraId="6455B8A5" w14:textId="77777777" w:rsidTr="002C4CFA">
        <w:trPr>
          <w:trHeight w:val="566"/>
        </w:trPr>
        <w:tc>
          <w:tcPr>
            <w:tcW w:w="853" w:type="dxa"/>
            <w:shd w:val="clear" w:color="auto" w:fill="FFFFFF"/>
            <w:noWrap/>
            <w:vAlign w:val="center"/>
          </w:tcPr>
          <w:p w14:paraId="65577FF3" w14:textId="1AB7D281" w:rsidR="002C4CFA" w:rsidRPr="00BF3027" w:rsidRDefault="002C4CFA" w:rsidP="002C4CFA">
            <w:pPr>
              <w:spacing w:after="0" w:line="240" w:lineRule="auto"/>
              <w:rPr>
                <w:rFonts w:ascii="David" w:eastAsia="Times New Roman" w:hAnsi="David" w:cs="David"/>
                <w:rtl/>
              </w:rPr>
            </w:pPr>
            <w:r w:rsidRPr="00BF3027">
              <w:rPr>
                <w:rFonts w:ascii="Arial" w:eastAsia="Times New Roman" w:hAnsi="Arial" w:cs="David" w:hint="cs"/>
                <w:b/>
                <w:bCs/>
                <w:rtl/>
              </w:rPr>
              <w:lastRenderedPageBreak/>
              <w:t>ערכאה</w:t>
            </w:r>
          </w:p>
        </w:tc>
        <w:tc>
          <w:tcPr>
            <w:tcW w:w="989" w:type="dxa"/>
            <w:shd w:val="clear" w:color="auto" w:fill="FFFFFF"/>
            <w:noWrap/>
            <w:vAlign w:val="center"/>
          </w:tcPr>
          <w:p w14:paraId="68D471FB" w14:textId="191355B7" w:rsidR="002C4CFA" w:rsidRPr="00BF3027" w:rsidRDefault="002C4CFA" w:rsidP="002C4CFA">
            <w:pPr>
              <w:spacing w:after="0" w:line="240" w:lineRule="auto"/>
              <w:rPr>
                <w:rFonts w:ascii="David" w:eastAsia="Times New Roman" w:hAnsi="David" w:cs="David"/>
                <w:rtl/>
              </w:rPr>
            </w:pPr>
            <w:r w:rsidRPr="00BF3027">
              <w:rPr>
                <w:rFonts w:ascii="Arial" w:eastAsia="Times New Roman" w:hAnsi="Arial" w:cs="David" w:hint="cs"/>
                <w:b/>
                <w:bCs/>
                <w:rtl/>
              </w:rPr>
              <w:t>הליך</w:t>
            </w:r>
          </w:p>
        </w:tc>
        <w:tc>
          <w:tcPr>
            <w:tcW w:w="1984" w:type="dxa"/>
            <w:shd w:val="clear" w:color="auto" w:fill="FFFFFF"/>
            <w:vAlign w:val="center"/>
          </w:tcPr>
          <w:p w14:paraId="39259448" w14:textId="15CBFF76" w:rsidR="002C4CFA" w:rsidRPr="00BF3027" w:rsidRDefault="002C4CFA" w:rsidP="002C4CFA">
            <w:pPr>
              <w:spacing w:after="0" w:line="240" w:lineRule="auto"/>
              <w:rPr>
                <w:rFonts w:ascii="David" w:eastAsia="Times New Roman" w:hAnsi="David" w:cs="David"/>
                <w:rtl/>
              </w:rPr>
            </w:pPr>
            <w:r w:rsidRPr="00BF3027">
              <w:rPr>
                <w:rFonts w:ascii="Arial" w:eastAsia="Times New Roman" w:hAnsi="Arial" w:cs="David" w:hint="cs"/>
                <w:b/>
                <w:bCs/>
                <w:rtl/>
              </w:rPr>
              <w:t>סוג תיק</w:t>
            </w:r>
          </w:p>
        </w:tc>
        <w:tc>
          <w:tcPr>
            <w:tcW w:w="1276" w:type="dxa"/>
            <w:shd w:val="clear" w:color="auto" w:fill="FFFFFF"/>
            <w:vAlign w:val="center"/>
          </w:tcPr>
          <w:p w14:paraId="71B66FC9" w14:textId="4E140B43" w:rsidR="002C4CFA" w:rsidRPr="00BF3027" w:rsidRDefault="002C4CFA" w:rsidP="002C4CFA">
            <w:pPr>
              <w:spacing w:after="0" w:line="240" w:lineRule="auto"/>
              <w:jc w:val="center"/>
              <w:rPr>
                <w:rFonts w:ascii="David" w:eastAsia="Times New Roman" w:hAnsi="David" w:cs="David"/>
              </w:rPr>
            </w:pPr>
            <w:r w:rsidRPr="00BF3027">
              <w:rPr>
                <w:rFonts w:ascii="Arial" w:eastAsia="Times New Roman" w:hAnsi="Arial" w:cs="David" w:hint="cs"/>
                <w:b/>
                <w:bCs/>
                <w:rtl/>
              </w:rPr>
              <w:t>מספר תיקים שנסגרו ב-2019</w:t>
            </w:r>
          </w:p>
        </w:tc>
        <w:tc>
          <w:tcPr>
            <w:tcW w:w="1417" w:type="dxa"/>
            <w:shd w:val="clear" w:color="auto" w:fill="FFFFFF"/>
            <w:noWrap/>
            <w:vAlign w:val="center"/>
          </w:tcPr>
          <w:p w14:paraId="7EEB65DB" w14:textId="7200E86C" w:rsidR="002C4CFA" w:rsidRPr="00BF3027" w:rsidRDefault="002C4CFA" w:rsidP="002C4CFA">
            <w:pPr>
              <w:bidi w:val="0"/>
              <w:spacing w:after="0" w:line="240" w:lineRule="auto"/>
              <w:jc w:val="center"/>
              <w:rPr>
                <w:rFonts w:ascii="David" w:eastAsia="Times New Roman" w:hAnsi="David" w:cs="David"/>
                <w:b/>
                <w:bCs/>
                <w:rtl/>
              </w:rPr>
            </w:pPr>
            <w:r w:rsidRPr="00BF3027">
              <w:rPr>
                <w:rFonts w:ascii="Arial" w:eastAsia="Times New Roman" w:hAnsi="Arial" w:cs="David" w:hint="cs"/>
                <w:b/>
                <w:bCs/>
                <w:rtl/>
              </w:rPr>
              <w:t>הזמן השיפוטי הממוצע לטיפול בתיק</w:t>
            </w:r>
          </w:p>
        </w:tc>
        <w:tc>
          <w:tcPr>
            <w:tcW w:w="1276" w:type="dxa"/>
            <w:shd w:val="clear" w:color="auto" w:fill="FFFFFF"/>
            <w:vAlign w:val="center"/>
          </w:tcPr>
          <w:p w14:paraId="27AF7BDF" w14:textId="27E16455" w:rsidR="002C4CFA" w:rsidRPr="00BF3027" w:rsidRDefault="002C4CFA" w:rsidP="002C4CFA">
            <w:pPr>
              <w:bidi w:val="0"/>
              <w:spacing w:after="0" w:line="240" w:lineRule="auto"/>
              <w:jc w:val="center"/>
              <w:rPr>
                <w:rFonts w:ascii="David" w:eastAsia="Times New Roman" w:hAnsi="David" w:cs="David"/>
              </w:rPr>
            </w:pPr>
            <w:r w:rsidRPr="00BF3027">
              <w:rPr>
                <w:rFonts w:ascii="Arial" w:eastAsia="Times New Roman" w:hAnsi="Arial" w:cs="David" w:hint="cs"/>
                <w:b/>
                <w:bCs/>
                <w:rtl/>
              </w:rPr>
              <w:t>הזמן השיפוטי הממוצע לפי המחקר הקודם</w:t>
            </w:r>
          </w:p>
        </w:tc>
        <w:tc>
          <w:tcPr>
            <w:tcW w:w="851" w:type="dxa"/>
            <w:shd w:val="clear" w:color="auto" w:fill="FFFFFF"/>
            <w:vAlign w:val="center"/>
          </w:tcPr>
          <w:p w14:paraId="122FD07D" w14:textId="0CD2D657" w:rsidR="002C4CFA" w:rsidRPr="00BF3027" w:rsidRDefault="002C4CFA" w:rsidP="002C4CFA">
            <w:pPr>
              <w:bidi w:val="0"/>
              <w:spacing w:after="0" w:line="240" w:lineRule="auto"/>
              <w:jc w:val="center"/>
              <w:rPr>
                <w:rFonts w:ascii="David" w:eastAsia="Times New Roman" w:hAnsi="David" w:cs="David"/>
              </w:rPr>
            </w:pPr>
            <w:r w:rsidRPr="00BF3027">
              <w:rPr>
                <w:rFonts w:ascii="Arial" w:eastAsia="Times New Roman" w:hAnsi="Arial" w:cs="David" w:hint="cs"/>
                <w:b/>
                <w:bCs/>
                <w:rtl/>
              </w:rPr>
              <w:t>מגמת השינוי</w:t>
            </w:r>
          </w:p>
        </w:tc>
        <w:tc>
          <w:tcPr>
            <w:tcW w:w="992" w:type="dxa"/>
            <w:shd w:val="clear" w:color="auto" w:fill="FFFFFF"/>
            <w:vAlign w:val="center"/>
          </w:tcPr>
          <w:p w14:paraId="4F5E00E9" w14:textId="0F7589B2" w:rsidR="002C4CFA" w:rsidRPr="00BF3027" w:rsidRDefault="002C4CFA" w:rsidP="002C4CFA">
            <w:pPr>
              <w:spacing w:after="0" w:line="240" w:lineRule="auto"/>
              <w:jc w:val="center"/>
              <w:rPr>
                <w:rFonts w:ascii="David" w:eastAsia="Times New Roman" w:hAnsi="David" w:cs="David"/>
              </w:rPr>
            </w:pPr>
            <w:r w:rsidRPr="00BF3027">
              <w:rPr>
                <w:rFonts w:ascii="Arial" w:hAnsi="Arial" w:cs="David" w:hint="cs"/>
                <w:b/>
                <w:bCs/>
                <w:rtl/>
              </w:rPr>
              <w:t>משקל לתיק לפי המחקר הנוכחי</w:t>
            </w:r>
          </w:p>
        </w:tc>
      </w:tr>
      <w:tr w:rsidR="002C4CFA" w:rsidRPr="00BF3027" w14:paraId="591ED112" w14:textId="77777777" w:rsidTr="002C4CFA">
        <w:trPr>
          <w:trHeight w:val="566"/>
        </w:trPr>
        <w:tc>
          <w:tcPr>
            <w:tcW w:w="853" w:type="dxa"/>
            <w:shd w:val="clear" w:color="auto" w:fill="FFFFFF"/>
            <w:noWrap/>
            <w:vAlign w:val="center"/>
          </w:tcPr>
          <w:p w14:paraId="2E4FE2D7"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FFFFFF"/>
            <w:noWrap/>
            <w:vAlign w:val="center"/>
          </w:tcPr>
          <w:p w14:paraId="49BE1D42"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ועדת ערר</w:t>
            </w:r>
          </w:p>
        </w:tc>
        <w:tc>
          <w:tcPr>
            <w:tcW w:w="1984" w:type="dxa"/>
            <w:shd w:val="clear" w:color="auto" w:fill="FFFFFF"/>
            <w:vAlign w:val="center"/>
          </w:tcPr>
          <w:p w14:paraId="1D754DF0"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ערעור לפי חוק הנכים (ע"נ)</w:t>
            </w:r>
          </w:p>
        </w:tc>
        <w:tc>
          <w:tcPr>
            <w:tcW w:w="1276" w:type="dxa"/>
            <w:shd w:val="clear" w:color="auto" w:fill="FFFFFF"/>
            <w:vAlign w:val="center"/>
          </w:tcPr>
          <w:p w14:paraId="383BA550"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1,261</w:t>
            </w:r>
          </w:p>
        </w:tc>
        <w:tc>
          <w:tcPr>
            <w:tcW w:w="1417" w:type="dxa"/>
            <w:shd w:val="clear" w:color="auto" w:fill="FFFFFF"/>
            <w:noWrap/>
            <w:vAlign w:val="center"/>
          </w:tcPr>
          <w:p w14:paraId="6341BF95" w14:textId="77777777" w:rsidR="002C4CFA" w:rsidRPr="00BF3027" w:rsidRDefault="002C4CFA" w:rsidP="002C4CFA">
            <w:pPr>
              <w:bidi w:val="0"/>
              <w:spacing w:after="0" w:line="240" w:lineRule="auto"/>
              <w:jc w:val="center"/>
              <w:rPr>
                <w:rFonts w:ascii="David" w:eastAsia="Times New Roman" w:hAnsi="David" w:cs="David"/>
                <w:b/>
                <w:bCs/>
                <w:rtl/>
              </w:rPr>
            </w:pPr>
            <w:r w:rsidRPr="00BF3027">
              <w:rPr>
                <w:rFonts w:ascii="David" w:eastAsia="Times New Roman" w:hAnsi="David" w:cs="David" w:hint="cs"/>
                <w:b/>
                <w:bCs/>
                <w:rtl/>
              </w:rPr>
              <w:t>6:27</w:t>
            </w:r>
          </w:p>
        </w:tc>
        <w:tc>
          <w:tcPr>
            <w:tcW w:w="1276" w:type="dxa"/>
            <w:shd w:val="clear" w:color="auto" w:fill="FFFFFF"/>
            <w:vAlign w:val="center"/>
          </w:tcPr>
          <w:p w14:paraId="6C5FA8F1" w14:textId="77777777" w:rsidR="002C4CFA" w:rsidRPr="00BF3027" w:rsidRDefault="002C4CFA" w:rsidP="002C4CFA">
            <w:pPr>
              <w:bidi w:val="0"/>
              <w:spacing w:after="0" w:line="240" w:lineRule="auto"/>
              <w:jc w:val="center"/>
              <w:rPr>
                <w:rFonts w:ascii="David" w:eastAsia="Times New Roman" w:hAnsi="David" w:cs="David"/>
              </w:rPr>
            </w:pPr>
            <w:r w:rsidRPr="00BF3027">
              <w:rPr>
                <w:rFonts w:ascii="David" w:eastAsia="Times New Roman" w:hAnsi="David" w:cs="David"/>
              </w:rPr>
              <w:t>3:24</w:t>
            </w:r>
          </w:p>
        </w:tc>
        <w:tc>
          <w:tcPr>
            <w:tcW w:w="851" w:type="dxa"/>
            <w:shd w:val="clear" w:color="auto" w:fill="FFFFFF"/>
            <w:vAlign w:val="center"/>
          </w:tcPr>
          <w:p w14:paraId="2CE12262" w14:textId="77777777" w:rsidR="002C4CFA" w:rsidRPr="00BF3027" w:rsidRDefault="002C4CFA" w:rsidP="002C4CFA">
            <w:pPr>
              <w:bidi w:val="0"/>
              <w:spacing w:after="0" w:line="240" w:lineRule="auto"/>
              <w:jc w:val="center"/>
              <w:rPr>
                <w:rFonts w:ascii="David" w:eastAsia="Times New Roman" w:hAnsi="David" w:cs="David"/>
              </w:rPr>
            </w:pPr>
            <w:r w:rsidRPr="00BF3027">
              <w:rPr>
                <w:rFonts w:ascii="David" w:eastAsia="Times New Roman" w:hAnsi="David" w:cs="David"/>
              </w:rPr>
              <w:t>+3:03</w:t>
            </w:r>
          </w:p>
        </w:tc>
        <w:tc>
          <w:tcPr>
            <w:tcW w:w="992" w:type="dxa"/>
            <w:shd w:val="clear" w:color="auto" w:fill="FFFFFF"/>
            <w:vAlign w:val="center"/>
          </w:tcPr>
          <w:p w14:paraId="53F0D4C1"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194</w:t>
            </w:r>
          </w:p>
        </w:tc>
      </w:tr>
      <w:tr w:rsidR="002C4CFA" w:rsidRPr="00BF3027" w14:paraId="411F91DA" w14:textId="77777777" w:rsidTr="002C4CFA">
        <w:trPr>
          <w:trHeight w:val="362"/>
        </w:trPr>
        <w:tc>
          <w:tcPr>
            <w:tcW w:w="853" w:type="dxa"/>
            <w:tcBorders>
              <w:top w:val="single" w:sz="4" w:space="0" w:color="auto"/>
              <w:bottom w:val="single" w:sz="4" w:space="0" w:color="auto"/>
            </w:tcBorders>
            <w:shd w:val="clear" w:color="auto" w:fill="D9D9D9"/>
            <w:noWrap/>
            <w:vAlign w:val="center"/>
          </w:tcPr>
          <w:p w14:paraId="0E477B08"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משפחה</w:t>
            </w:r>
          </w:p>
        </w:tc>
        <w:tc>
          <w:tcPr>
            <w:tcW w:w="989" w:type="dxa"/>
            <w:tcBorders>
              <w:top w:val="single" w:sz="4" w:space="0" w:color="auto"/>
              <w:bottom w:val="single" w:sz="4" w:space="0" w:color="auto"/>
            </w:tcBorders>
            <w:shd w:val="clear" w:color="auto" w:fill="D9D9D9"/>
            <w:noWrap/>
            <w:vAlign w:val="center"/>
          </w:tcPr>
          <w:p w14:paraId="67478D10" w14:textId="77777777" w:rsidR="002C4CFA" w:rsidRPr="00BF3027" w:rsidRDefault="002C4CFA" w:rsidP="002C4CFA">
            <w:pPr>
              <w:spacing w:after="0" w:line="240" w:lineRule="auto"/>
              <w:rPr>
                <w:rFonts w:ascii="David" w:eastAsia="Times New Roman" w:hAnsi="David" w:cs="David"/>
                <w:rtl/>
              </w:rPr>
            </w:pPr>
          </w:p>
        </w:tc>
        <w:tc>
          <w:tcPr>
            <w:tcW w:w="1984" w:type="dxa"/>
            <w:tcBorders>
              <w:top w:val="single" w:sz="4" w:space="0" w:color="auto"/>
              <w:bottom w:val="single" w:sz="4" w:space="0" w:color="auto"/>
            </w:tcBorders>
            <w:shd w:val="clear" w:color="auto" w:fill="D9D9D9"/>
            <w:vAlign w:val="center"/>
          </w:tcPr>
          <w:p w14:paraId="3EFB90A1"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אימוץ (אמ"ץ)</w:t>
            </w:r>
          </w:p>
        </w:tc>
        <w:tc>
          <w:tcPr>
            <w:tcW w:w="1276" w:type="dxa"/>
            <w:tcBorders>
              <w:top w:val="single" w:sz="4" w:space="0" w:color="auto"/>
              <w:bottom w:val="single" w:sz="4" w:space="0" w:color="auto"/>
            </w:tcBorders>
            <w:shd w:val="clear" w:color="auto" w:fill="D9D9D9"/>
            <w:vAlign w:val="center"/>
          </w:tcPr>
          <w:p w14:paraId="53E846F4"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486</w:t>
            </w:r>
          </w:p>
        </w:tc>
        <w:tc>
          <w:tcPr>
            <w:tcW w:w="1417" w:type="dxa"/>
            <w:tcBorders>
              <w:top w:val="single" w:sz="4" w:space="0" w:color="auto"/>
              <w:bottom w:val="single" w:sz="4" w:space="0" w:color="auto"/>
            </w:tcBorders>
            <w:shd w:val="clear" w:color="auto" w:fill="D9D9D9"/>
            <w:noWrap/>
            <w:vAlign w:val="center"/>
          </w:tcPr>
          <w:p w14:paraId="10F6F003"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hint="cs"/>
                <w:b/>
                <w:bCs/>
                <w:rtl/>
              </w:rPr>
              <w:t>6:25</w:t>
            </w:r>
          </w:p>
        </w:tc>
        <w:tc>
          <w:tcPr>
            <w:tcW w:w="1276" w:type="dxa"/>
            <w:tcBorders>
              <w:top w:val="single" w:sz="4" w:space="0" w:color="auto"/>
              <w:bottom w:val="single" w:sz="4" w:space="0" w:color="auto"/>
            </w:tcBorders>
            <w:shd w:val="clear" w:color="auto" w:fill="D9D9D9"/>
            <w:vAlign w:val="center"/>
          </w:tcPr>
          <w:p w14:paraId="6C624FBF"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2:51</w:t>
            </w:r>
          </w:p>
        </w:tc>
        <w:tc>
          <w:tcPr>
            <w:tcW w:w="851" w:type="dxa"/>
            <w:tcBorders>
              <w:top w:val="single" w:sz="4" w:space="0" w:color="auto"/>
              <w:bottom w:val="single" w:sz="4" w:space="0" w:color="auto"/>
            </w:tcBorders>
            <w:shd w:val="clear" w:color="auto" w:fill="D9D9D9"/>
            <w:vAlign w:val="center"/>
          </w:tcPr>
          <w:p w14:paraId="129A361F"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+3:34</w:t>
            </w:r>
          </w:p>
        </w:tc>
        <w:tc>
          <w:tcPr>
            <w:tcW w:w="992" w:type="dxa"/>
            <w:tcBorders>
              <w:top w:val="single" w:sz="4" w:space="0" w:color="auto"/>
              <w:bottom w:val="single" w:sz="4" w:space="0" w:color="auto"/>
            </w:tcBorders>
            <w:shd w:val="clear" w:color="auto" w:fill="D9D9D9"/>
            <w:vAlign w:val="center"/>
          </w:tcPr>
          <w:p w14:paraId="411AEDBF"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193</w:t>
            </w:r>
          </w:p>
        </w:tc>
      </w:tr>
      <w:tr w:rsidR="002C4CFA" w:rsidRPr="00BF3027" w14:paraId="7152BB3A" w14:textId="77777777" w:rsidTr="002C4CFA">
        <w:trPr>
          <w:trHeight w:val="566"/>
        </w:trPr>
        <w:tc>
          <w:tcPr>
            <w:tcW w:w="853" w:type="dxa"/>
            <w:tcBorders>
              <w:top w:val="single" w:sz="4" w:space="0" w:color="auto"/>
              <w:bottom w:val="single" w:sz="4" w:space="0" w:color="auto"/>
            </w:tcBorders>
            <w:shd w:val="clear" w:color="auto" w:fill="auto"/>
            <w:noWrap/>
            <w:vAlign w:val="center"/>
          </w:tcPr>
          <w:p w14:paraId="732B2D6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tcBorders>
              <w:top w:val="single" w:sz="4" w:space="0" w:color="auto"/>
              <w:bottom w:val="single" w:sz="4" w:space="0" w:color="auto"/>
            </w:tcBorders>
            <w:shd w:val="clear" w:color="auto" w:fill="auto"/>
            <w:noWrap/>
            <w:vAlign w:val="center"/>
          </w:tcPr>
          <w:p w14:paraId="5A791CF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עניינים מנהליים</w:t>
            </w:r>
          </w:p>
        </w:tc>
        <w:tc>
          <w:tcPr>
            <w:tcW w:w="1984" w:type="dxa"/>
            <w:tcBorders>
              <w:top w:val="single" w:sz="4" w:space="0" w:color="auto"/>
              <w:bottom w:val="single" w:sz="4" w:space="0" w:color="auto"/>
            </w:tcBorders>
            <w:shd w:val="clear" w:color="auto" w:fill="auto"/>
            <w:vAlign w:val="center"/>
          </w:tcPr>
          <w:p w14:paraId="7358D5B7"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עתירות אסירים (עת"א) - הרכב</w:t>
            </w:r>
          </w:p>
        </w:tc>
        <w:tc>
          <w:tcPr>
            <w:tcW w:w="1276" w:type="dxa"/>
            <w:tcBorders>
              <w:top w:val="single" w:sz="4" w:space="0" w:color="auto"/>
              <w:bottom w:val="single" w:sz="4" w:space="0" w:color="auto"/>
            </w:tcBorders>
            <w:shd w:val="clear" w:color="auto" w:fill="auto"/>
            <w:vAlign w:val="center"/>
          </w:tcPr>
          <w:p w14:paraId="320BD135"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409</w:t>
            </w:r>
          </w:p>
        </w:tc>
        <w:tc>
          <w:tcPr>
            <w:tcW w:w="1417" w:type="dxa"/>
            <w:tcBorders>
              <w:top w:val="single" w:sz="4" w:space="0" w:color="auto"/>
              <w:bottom w:val="single" w:sz="4" w:space="0" w:color="auto"/>
            </w:tcBorders>
            <w:shd w:val="clear" w:color="auto" w:fill="auto"/>
            <w:noWrap/>
            <w:vAlign w:val="center"/>
          </w:tcPr>
          <w:p w14:paraId="0A659E52"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6:16</w:t>
            </w:r>
          </w:p>
        </w:tc>
        <w:tc>
          <w:tcPr>
            <w:tcW w:w="1276" w:type="dxa"/>
            <w:tcBorders>
              <w:top w:val="single" w:sz="4" w:space="0" w:color="auto"/>
              <w:bottom w:val="single" w:sz="4" w:space="0" w:color="auto"/>
            </w:tcBorders>
            <w:shd w:val="clear" w:color="auto" w:fill="auto"/>
            <w:vAlign w:val="center"/>
          </w:tcPr>
          <w:p w14:paraId="77776EE0"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5:58</w:t>
            </w:r>
          </w:p>
        </w:tc>
        <w:tc>
          <w:tcPr>
            <w:tcW w:w="851" w:type="dxa"/>
            <w:tcBorders>
              <w:top w:val="single" w:sz="4" w:space="0" w:color="auto"/>
              <w:bottom w:val="single" w:sz="4" w:space="0" w:color="auto"/>
            </w:tcBorders>
            <w:shd w:val="clear" w:color="auto" w:fill="auto"/>
            <w:vAlign w:val="center"/>
          </w:tcPr>
          <w:p w14:paraId="3BE58554"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0:18</w:t>
            </w:r>
            <w:r w:rsidRPr="00BF3027">
              <w:rPr>
                <w:rFonts w:ascii="David" w:eastAsia="Times New Roman" w:hAnsi="David" w:cs="David"/>
              </w:rPr>
              <w:t>+</w:t>
            </w:r>
          </w:p>
        </w:tc>
        <w:tc>
          <w:tcPr>
            <w:tcW w:w="992" w:type="dxa"/>
            <w:tcBorders>
              <w:top w:val="single" w:sz="4" w:space="0" w:color="auto"/>
              <w:bottom w:val="single" w:sz="4" w:space="0" w:color="auto"/>
            </w:tcBorders>
            <w:shd w:val="clear" w:color="auto" w:fill="auto"/>
            <w:vAlign w:val="center"/>
          </w:tcPr>
          <w:p w14:paraId="6F38CE64"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188</w:t>
            </w:r>
          </w:p>
        </w:tc>
      </w:tr>
      <w:tr w:rsidR="002C4CFA" w:rsidRPr="00BF3027" w14:paraId="25722628" w14:textId="77777777" w:rsidTr="002C4CFA">
        <w:trPr>
          <w:trHeight w:val="566"/>
        </w:trPr>
        <w:tc>
          <w:tcPr>
            <w:tcW w:w="853" w:type="dxa"/>
            <w:tcBorders>
              <w:top w:val="single" w:sz="4" w:space="0" w:color="auto"/>
              <w:bottom w:val="single" w:sz="4" w:space="0" w:color="auto"/>
            </w:tcBorders>
            <w:shd w:val="clear" w:color="auto" w:fill="D9D9D9"/>
            <w:noWrap/>
            <w:vAlign w:val="center"/>
          </w:tcPr>
          <w:p w14:paraId="0DE5854D"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tcBorders>
              <w:top w:val="single" w:sz="4" w:space="0" w:color="auto"/>
              <w:bottom w:val="single" w:sz="4" w:space="0" w:color="auto"/>
            </w:tcBorders>
            <w:shd w:val="clear" w:color="auto" w:fill="D9D9D9"/>
            <w:noWrap/>
            <w:vAlign w:val="center"/>
          </w:tcPr>
          <w:p w14:paraId="39379DBC"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tcBorders>
              <w:top w:val="single" w:sz="4" w:space="0" w:color="auto"/>
              <w:bottom w:val="single" w:sz="4" w:space="0" w:color="auto"/>
            </w:tcBorders>
            <w:shd w:val="clear" w:color="auto" w:fill="D9D9D9"/>
            <w:vAlign w:val="center"/>
          </w:tcPr>
          <w:p w14:paraId="25AB0912"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אזרחי בסדר דין רגיל (ת"א)-נזקי גוף - רשלנות רפואית</w:t>
            </w:r>
          </w:p>
        </w:tc>
        <w:tc>
          <w:tcPr>
            <w:tcW w:w="1276" w:type="dxa"/>
            <w:tcBorders>
              <w:top w:val="single" w:sz="4" w:space="0" w:color="auto"/>
              <w:bottom w:val="single" w:sz="4" w:space="0" w:color="auto"/>
            </w:tcBorders>
            <w:shd w:val="clear" w:color="auto" w:fill="D9D9D9"/>
            <w:vAlign w:val="center"/>
          </w:tcPr>
          <w:p w14:paraId="2D87ADDD"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1,433</w:t>
            </w:r>
          </w:p>
        </w:tc>
        <w:tc>
          <w:tcPr>
            <w:tcW w:w="1417" w:type="dxa"/>
            <w:tcBorders>
              <w:top w:val="single" w:sz="4" w:space="0" w:color="auto"/>
              <w:bottom w:val="single" w:sz="4" w:space="0" w:color="auto"/>
            </w:tcBorders>
            <w:shd w:val="clear" w:color="auto" w:fill="D9D9D9"/>
            <w:noWrap/>
            <w:vAlign w:val="center"/>
          </w:tcPr>
          <w:p w14:paraId="4925C536"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6:13</w:t>
            </w:r>
          </w:p>
        </w:tc>
        <w:tc>
          <w:tcPr>
            <w:tcW w:w="1276" w:type="dxa"/>
            <w:tcBorders>
              <w:top w:val="single" w:sz="4" w:space="0" w:color="auto"/>
              <w:bottom w:val="single" w:sz="4" w:space="0" w:color="auto"/>
            </w:tcBorders>
            <w:shd w:val="clear" w:color="auto" w:fill="D9D9D9"/>
            <w:vAlign w:val="center"/>
          </w:tcPr>
          <w:p w14:paraId="490B7EDC"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w:t>
            </w:r>
          </w:p>
        </w:tc>
        <w:tc>
          <w:tcPr>
            <w:tcW w:w="851" w:type="dxa"/>
            <w:tcBorders>
              <w:top w:val="single" w:sz="4" w:space="0" w:color="auto"/>
              <w:bottom w:val="single" w:sz="4" w:space="0" w:color="auto"/>
            </w:tcBorders>
            <w:shd w:val="clear" w:color="auto" w:fill="D9D9D9"/>
            <w:vAlign w:val="center"/>
          </w:tcPr>
          <w:p w14:paraId="590E9A62"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w:t>
            </w:r>
          </w:p>
        </w:tc>
        <w:tc>
          <w:tcPr>
            <w:tcW w:w="992" w:type="dxa"/>
            <w:tcBorders>
              <w:top w:val="single" w:sz="4" w:space="0" w:color="auto"/>
              <w:bottom w:val="single" w:sz="4" w:space="0" w:color="auto"/>
            </w:tcBorders>
            <w:shd w:val="clear" w:color="auto" w:fill="D9D9D9"/>
            <w:vAlign w:val="center"/>
          </w:tcPr>
          <w:p w14:paraId="204580FD" w14:textId="77777777" w:rsidR="002C4CFA" w:rsidRPr="00BF3027" w:rsidRDefault="002C4CFA" w:rsidP="002C4CFA">
            <w:pPr>
              <w:spacing w:after="0" w:line="240" w:lineRule="auto"/>
              <w:jc w:val="center"/>
              <w:rPr>
                <w:rFonts w:asciiTheme="minorHAnsi" w:eastAsia="Times New Roman" w:hAnsiTheme="minorHAnsi" w:cs="David"/>
              </w:rPr>
            </w:pPr>
            <w:r w:rsidRPr="00BF3027">
              <w:rPr>
                <w:rFonts w:ascii="David" w:eastAsia="Times New Roman" w:hAnsi="David" w:cs="David"/>
              </w:rPr>
              <w:t>187</w:t>
            </w:r>
          </w:p>
        </w:tc>
      </w:tr>
      <w:tr w:rsidR="002C4CFA" w:rsidRPr="00BF3027" w14:paraId="7441C995" w14:textId="77777777" w:rsidTr="002C4CFA">
        <w:trPr>
          <w:trHeight w:val="630"/>
        </w:trPr>
        <w:tc>
          <w:tcPr>
            <w:tcW w:w="853" w:type="dxa"/>
            <w:tcBorders>
              <w:top w:val="single" w:sz="4" w:space="0" w:color="auto"/>
            </w:tcBorders>
            <w:shd w:val="clear" w:color="auto" w:fill="auto"/>
            <w:noWrap/>
            <w:vAlign w:val="center"/>
          </w:tcPr>
          <w:p w14:paraId="272E8182"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tcBorders>
              <w:top w:val="single" w:sz="4" w:space="0" w:color="auto"/>
            </w:tcBorders>
            <w:shd w:val="clear" w:color="auto" w:fill="auto"/>
            <w:noWrap/>
            <w:vAlign w:val="center"/>
          </w:tcPr>
          <w:p w14:paraId="3E2B1BD0"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tcBorders>
              <w:top w:val="single" w:sz="4" w:space="0" w:color="auto"/>
            </w:tcBorders>
            <w:shd w:val="clear" w:color="auto" w:fill="auto"/>
            <w:vAlign w:val="center"/>
          </w:tcPr>
          <w:p w14:paraId="16D6CE4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המרצת פתיחה (ה"פ)</w:t>
            </w:r>
          </w:p>
        </w:tc>
        <w:tc>
          <w:tcPr>
            <w:tcW w:w="1276" w:type="dxa"/>
            <w:tcBorders>
              <w:top w:val="single" w:sz="4" w:space="0" w:color="auto"/>
            </w:tcBorders>
            <w:shd w:val="clear" w:color="auto" w:fill="auto"/>
            <w:vAlign w:val="center"/>
          </w:tcPr>
          <w:p w14:paraId="49B38FB2"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2,177</w:t>
            </w:r>
          </w:p>
        </w:tc>
        <w:tc>
          <w:tcPr>
            <w:tcW w:w="1417" w:type="dxa"/>
            <w:tcBorders>
              <w:top w:val="single" w:sz="4" w:space="0" w:color="auto"/>
            </w:tcBorders>
            <w:shd w:val="clear" w:color="auto" w:fill="auto"/>
            <w:noWrap/>
            <w:vAlign w:val="center"/>
          </w:tcPr>
          <w:p w14:paraId="089C71B7"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tl/>
              </w:rPr>
              <w:t>6:</w:t>
            </w:r>
            <w:r w:rsidRPr="00BF3027">
              <w:rPr>
                <w:rFonts w:ascii="David" w:eastAsia="Times New Roman" w:hAnsi="David" w:cs="David" w:hint="cs"/>
                <w:b/>
                <w:bCs/>
                <w:rtl/>
              </w:rPr>
              <w:t>12</w:t>
            </w:r>
          </w:p>
        </w:tc>
        <w:tc>
          <w:tcPr>
            <w:tcW w:w="1276" w:type="dxa"/>
            <w:tcBorders>
              <w:top w:val="single" w:sz="4" w:space="0" w:color="auto"/>
            </w:tcBorders>
            <w:shd w:val="clear" w:color="auto" w:fill="auto"/>
            <w:vAlign w:val="center"/>
          </w:tcPr>
          <w:p w14:paraId="74C328FB"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8:24</w:t>
            </w:r>
          </w:p>
        </w:tc>
        <w:tc>
          <w:tcPr>
            <w:tcW w:w="851" w:type="dxa"/>
            <w:tcBorders>
              <w:top w:val="single" w:sz="4" w:space="0" w:color="auto"/>
            </w:tcBorders>
            <w:shd w:val="clear" w:color="auto" w:fill="auto"/>
            <w:vAlign w:val="center"/>
          </w:tcPr>
          <w:p w14:paraId="7E082B8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-2:12</w:t>
            </w:r>
          </w:p>
        </w:tc>
        <w:tc>
          <w:tcPr>
            <w:tcW w:w="992" w:type="dxa"/>
            <w:tcBorders>
              <w:top w:val="single" w:sz="4" w:space="0" w:color="auto"/>
            </w:tcBorders>
            <w:shd w:val="clear" w:color="auto" w:fill="auto"/>
            <w:vAlign w:val="center"/>
          </w:tcPr>
          <w:p w14:paraId="1A7ACE1C"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186</w:t>
            </w:r>
          </w:p>
        </w:tc>
      </w:tr>
      <w:tr w:rsidR="002C4CFA" w:rsidRPr="00BF3027" w14:paraId="3CD85B70" w14:textId="77777777" w:rsidTr="002C4CFA">
        <w:trPr>
          <w:trHeight w:val="495"/>
        </w:trPr>
        <w:tc>
          <w:tcPr>
            <w:tcW w:w="853" w:type="dxa"/>
            <w:shd w:val="clear" w:color="auto" w:fill="D9D9D9"/>
            <w:noWrap/>
            <w:vAlign w:val="center"/>
          </w:tcPr>
          <w:p w14:paraId="1ADF48ED"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D9D9D9"/>
            <w:noWrap/>
            <w:vAlign w:val="center"/>
          </w:tcPr>
          <w:p w14:paraId="02FD5FE1"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D9D9D9"/>
            <w:vAlign w:val="center"/>
          </w:tcPr>
          <w:p w14:paraId="4D53DB8E"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תיק אזרחי בסדר דין רגיל (ת"א)-שיבוב וביטוח*</w:t>
            </w:r>
          </w:p>
        </w:tc>
        <w:tc>
          <w:tcPr>
            <w:tcW w:w="1276" w:type="dxa"/>
            <w:shd w:val="clear" w:color="auto" w:fill="D9D9D9"/>
            <w:vAlign w:val="center"/>
          </w:tcPr>
          <w:p w14:paraId="251AC5DC"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1,167</w:t>
            </w:r>
          </w:p>
        </w:tc>
        <w:tc>
          <w:tcPr>
            <w:tcW w:w="1417" w:type="dxa"/>
            <w:shd w:val="clear" w:color="auto" w:fill="D9D9D9"/>
            <w:noWrap/>
            <w:vAlign w:val="center"/>
          </w:tcPr>
          <w:p w14:paraId="0F25494A" w14:textId="77777777" w:rsidR="002C4CFA" w:rsidRPr="00BF3027" w:rsidRDefault="002C4CFA" w:rsidP="002C4CFA">
            <w:pPr>
              <w:bidi w:val="0"/>
              <w:spacing w:after="0" w:line="240" w:lineRule="auto"/>
              <w:jc w:val="center"/>
              <w:rPr>
                <w:rFonts w:ascii="David" w:eastAsia="Times New Roman" w:hAnsi="David" w:cs="David"/>
                <w:b/>
                <w:bCs/>
                <w:rtl/>
              </w:rPr>
            </w:pPr>
            <w:r w:rsidRPr="00BF3027">
              <w:rPr>
                <w:rFonts w:ascii="David" w:eastAsia="Times New Roman" w:hAnsi="David" w:cs="David"/>
                <w:b/>
                <w:bCs/>
              </w:rPr>
              <w:t>6:10</w:t>
            </w:r>
          </w:p>
        </w:tc>
        <w:tc>
          <w:tcPr>
            <w:tcW w:w="1276" w:type="dxa"/>
            <w:shd w:val="clear" w:color="auto" w:fill="D9D9D9"/>
            <w:vAlign w:val="center"/>
          </w:tcPr>
          <w:p w14:paraId="2479507C" w14:textId="77777777" w:rsidR="002C4CFA" w:rsidRPr="00BF3027" w:rsidRDefault="002C4CFA" w:rsidP="002C4CFA">
            <w:pPr>
              <w:bidi w:val="0"/>
              <w:spacing w:after="0" w:line="240" w:lineRule="auto"/>
              <w:jc w:val="center"/>
              <w:rPr>
                <w:rFonts w:ascii="David" w:eastAsia="Times New Roman" w:hAnsi="David" w:cs="David"/>
              </w:rPr>
            </w:pPr>
            <w:r w:rsidRPr="00BF3027">
              <w:rPr>
                <w:rFonts w:ascii="David" w:eastAsia="Times New Roman" w:hAnsi="David" w:cs="David"/>
                <w:rtl/>
              </w:rPr>
              <w:t>-</w:t>
            </w:r>
          </w:p>
        </w:tc>
        <w:tc>
          <w:tcPr>
            <w:tcW w:w="851" w:type="dxa"/>
            <w:shd w:val="clear" w:color="auto" w:fill="D9D9D9"/>
            <w:vAlign w:val="center"/>
          </w:tcPr>
          <w:p w14:paraId="5D116C27" w14:textId="77777777" w:rsidR="002C4CFA" w:rsidRPr="00BF3027" w:rsidRDefault="002C4CFA" w:rsidP="002C4CFA">
            <w:pPr>
              <w:bidi w:val="0"/>
              <w:spacing w:after="0" w:line="240" w:lineRule="auto"/>
              <w:jc w:val="center"/>
              <w:rPr>
                <w:rFonts w:ascii="David" w:eastAsia="Times New Roman" w:hAnsi="David" w:cs="David"/>
              </w:rPr>
            </w:pPr>
            <w:r w:rsidRPr="00BF3027">
              <w:rPr>
                <w:rFonts w:ascii="David" w:eastAsia="Times New Roman" w:hAnsi="David" w:cs="David"/>
                <w:rtl/>
              </w:rPr>
              <w:t>-</w:t>
            </w:r>
          </w:p>
        </w:tc>
        <w:tc>
          <w:tcPr>
            <w:tcW w:w="992" w:type="dxa"/>
            <w:shd w:val="clear" w:color="auto" w:fill="D9D9D9"/>
            <w:vAlign w:val="center"/>
          </w:tcPr>
          <w:p w14:paraId="006EFC79"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185</w:t>
            </w:r>
          </w:p>
        </w:tc>
      </w:tr>
      <w:tr w:rsidR="002C4CFA" w:rsidRPr="00BF3027" w14:paraId="02A5531A" w14:textId="77777777" w:rsidTr="002C4CFA">
        <w:trPr>
          <w:trHeight w:val="699"/>
        </w:trPr>
        <w:tc>
          <w:tcPr>
            <w:tcW w:w="853" w:type="dxa"/>
            <w:shd w:val="clear" w:color="auto" w:fill="FFFFFF"/>
            <w:noWrap/>
            <w:vAlign w:val="center"/>
          </w:tcPr>
          <w:p w14:paraId="5338BB58"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FFFFFF"/>
            <w:noWrap/>
            <w:vAlign w:val="center"/>
          </w:tcPr>
          <w:p w14:paraId="4277F43D"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FFFFFF"/>
            <w:vAlign w:val="center"/>
          </w:tcPr>
          <w:p w14:paraId="0EE196C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אזרחי בסדר דין רגיל (ת"א)-תקנה 3 (אגרות)</w:t>
            </w:r>
          </w:p>
        </w:tc>
        <w:tc>
          <w:tcPr>
            <w:tcW w:w="1276" w:type="dxa"/>
            <w:shd w:val="clear" w:color="auto" w:fill="FFFFFF"/>
            <w:vAlign w:val="center"/>
          </w:tcPr>
          <w:p w14:paraId="7F617F11"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2,387</w:t>
            </w:r>
          </w:p>
        </w:tc>
        <w:tc>
          <w:tcPr>
            <w:tcW w:w="1417" w:type="dxa"/>
            <w:shd w:val="clear" w:color="auto" w:fill="FFFFFF"/>
            <w:noWrap/>
            <w:vAlign w:val="center"/>
          </w:tcPr>
          <w:p w14:paraId="5A54B346"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hint="cs"/>
                <w:b/>
                <w:bCs/>
                <w:rtl/>
              </w:rPr>
              <w:t>6</w:t>
            </w:r>
            <w:r w:rsidRPr="00BF3027">
              <w:rPr>
                <w:rFonts w:ascii="David" w:eastAsia="Times New Roman" w:hAnsi="David" w:cs="David"/>
                <w:b/>
                <w:bCs/>
                <w:rtl/>
              </w:rPr>
              <w:t>:</w:t>
            </w:r>
            <w:r w:rsidRPr="00BF3027">
              <w:rPr>
                <w:rFonts w:ascii="David" w:eastAsia="Times New Roman" w:hAnsi="David" w:cs="David" w:hint="cs"/>
                <w:b/>
                <w:bCs/>
                <w:rtl/>
              </w:rPr>
              <w:t>04</w:t>
            </w:r>
          </w:p>
        </w:tc>
        <w:tc>
          <w:tcPr>
            <w:tcW w:w="1276" w:type="dxa"/>
            <w:shd w:val="clear" w:color="auto" w:fill="FFFFFF"/>
            <w:vAlign w:val="center"/>
          </w:tcPr>
          <w:p w14:paraId="7E6E6742"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w:t>
            </w:r>
          </w:p>
        </w:tc>
        <w:tc>
          <w:tcPr>
            <w:tcW w:w="851" w:type="dxa"/>
            <w:shd w:val="clear" w:color="auto" w:fill="FFFFFF"/>
            <w:vAlign w:val="center"/>
          </w:tcPr>
          <w:p w14:paraId="6C7C3F3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shd w:val="clear" w:color="auto" w:fill="FFFFFF"/>
            <w:vAlign w:val="center"/>
          </w:tcPr>
          <w:p w14:paraId="75922513"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182</w:t>
            </w:r>
          </w:p>
        </w:tc>
      </w:tr>
      <w:tr w:rsidR="002C4CFA" w:rsidRPr="00BF3027" w14:paraId="6483BA1F" w14:textId="77777777" w:rsidTr="002C4CFA">
        <w:trPr>
          <w:trHeight w:val="630"/>
        </w:trPr>
        <w:tc>
          <w:tcPr>
            <w:tcW w:w="853" w:type="dxa"/>
            <w:shd w:val="clear" w:color="auto" w:fill="D9D9D9"/>
            <w:noWrap/>
            <w:vAlign w:val="center"/>
          </w:tcPr>
          <w:p w14:paraId="1B71B00A"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D9D9D9"/>
            <w:noWrap/>
            <w:vAlign w:val="center"/>
          </w:tcPr>
          <w:p w14:paraId="737B2DD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עניינים מנהליים</w:t>
            </w:r>
          </w:p>
        </w:tc>
        <w:tc>
          <w:tcPr>
            <w:tcW w:w="1984" w:type="dxa"/>
            <w:shd w:val="clear" w:color="auto" w:fill="D9D9D9"/>
            <w:vAlign w:val="center"/>
          </w:tcPr>
          <w:p w14:paraId="5799DF5A"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עתירה מנהלית (עת"מ)</w:t>
            </w:r>
          </w:p>
        </w:tc>
        <w:tc>
          <w:tcPr>
            <w:tcW w:w="1276" w:type="dxa"/>
            <w:shd w:val="clear" w:color="auto" w:fill="D9D9D9"/>
            <w:vAlign w:val="center"/>
          </w:tcPr>
          <w:p w14:paraId="451A6885"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4,971</w:t>
            </w:r>
          </w:p>
        </w:tc>
        <w:tc>
          <w:tcPr>
            <w:tcW w:w="1417" w:type="dxa"/>
            <w:shd w:val="clear" w:color="auto" w:fill="D9D9D9"/>
            <w:noWrap/>
            <w:vAlign w:val="center"/>
          </w:tcPr>
          <w:p w14:paraId="21289494"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5:51</w:t>
            </w:r>
          </w:p>
        </w:tc>
        <w:tc>
          <w:tcPr>
            <w:tcW w:w="1276" w:type="dxa"/>
            <w:shd w:val="clear" w:color="auto" w:fill="D9D9D9"/>
            <w:vAlign w:val="center"/>
          </w:tcPr>
          <w:p w14:paraId="2CD8B893"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7:25</w:t>
            </w:r>
          </w:p>
        </w:tc>
        <w:tc>
          <w:tcPr>
            <w:tcW w:w="851" w:type="dxa"/>
            <w:shd w:val="clear" w:color="auto" w:fill="D9D9D9"/>
            <w:vAlign w:val="center"/>
          </w:tcPr>
          <w:p w14:paraId="112DABD5"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-1:34</w:t>
            </w:r>
          </w:p>
        </w:tc>
        <w:tc>
          <w:tcPr>
            <w:tcW w:w="992" w:type="dxa"/>
            <w:shd w:val="clear" w:color="auto" w:fill="D9D9D9"/>
            <w:vAlign w:val="center"/>
          </w:tcPr>
          <w:p w14:paraId="2025C859"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176</w:t>
            </w:r>
          </w:p>
        </w:tc>
      </w:tr>
      <w:tr w:rsidR="002C4CFA" w:rsidRPr="00BF3027" w14:paraId="7AD8D8DD" w14:textId="77777777" w:rsidTr="002C4CFA">
        <w:trPr>
          <w:trHeight w:val="517"/>
        </w:trPr>
        <w:tc>
          <w:tcPr>
            <w:tcW w:w="853" w:type="dxa"/>
            <w:shd w:val="clear" w:color="auto" w:fill="auto"/>
            <w:noWrap/>
            <w:vAlign w:val="center"/>
          </w:tcPr>
          <w:p w14:paraId="2C88358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auto"/>
            <w:noWrap/>
            <w:vAlign w:val="center"/>
          </w:tcPr>
          <w:p w14:paraId="0079E54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auto"/>
            <w:vAlign w:val="center"/>
          </w:tcPr>
          <w:p w14:paraId="5F5D3326"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אזרחי בסדר דין רגיל (ת"א)-בנקים ואשראי*</w:t>
            </w:r>
          </w:p>
        </w:tc>
        <w:tc>
          <w:tcPr>
            <w:tcW w:w="1276" w:type="dxa"/>
            <w:shd w:val="clear" w:color="auto" w:fill="auto"/>
            <w:vAlign w:val="center"/>
          </w:tcPr>
          <w:p w14:paraId="158023A8"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109</w:t>
            </w:r>
          </w:p>
        </w:tc>
        <w:tc>
          <w:tcPr>
            <w:tcW w:w="1417" w:type="dxa"/>
            <w:shd w:val="clear" w:color="auto" w:fill="auto"/>
            <w:noWrap/>
            <w:vAlign w:val="center"/>
          </w:tcPr>
          <w:p w14:paraId="6FE4A3B8"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5:46</w:t>
            </w:r>
          </w:p>
        </w:tc>
        <w:tc>
          <w:tcPr>
            <w:tcW w:w="1276" w:type="dxa"/>
            <w:shd w:val="clear" w:color="auto" w:fill="auto"/>
            <w:vAlign w:val="center"/>
          </w:tcPr>
          <w:p w14:paraId="3169B2D2"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w:t>
            </w:r>
          </w:p>
        </w:tc>
        <w:tc>
          <w:tcPr>
            <w:tcW w:w="851" w:type="dxa"/>
            <w:shd w:val="clear" w:color="auto" w:fill="auto"/>
            <w:vAlign w:val="center"/>
          </w:tcPr>
          <w:p w14:paraId="3EFDE833"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shd w:val="clear" w:color="auto" w:fill="auto"/>
            <w:vAlign w:val="center"/>
          </w:tcPr>
          <w:p w14:paraId="2DC1B210"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173</w:t>
            </w:r>
          </w:p>
        </w:tc>
      </w:tr>
      <w:tr w:rsidR="002C4CFA" w:rsidRPr="00BF3027" w14:paraId="1F5E12EF" w14:textId="77777777" w:rsidTr="002C4CFA">
        <w:trPr>
          <w:trHeight w:val="370"/>
        </w:trPr>
        <w:tc>
          <w:tcPr>
            <w:tcW w:w="853" w:type="dxa"/>
            <w:shd w:val="clear" w:color="auto" w:fill="D9D9D9"/>
            <w:noWrap/>
            <w:vAlign w:val="center"/>
          </w:tcPr>
          <w:p w14:paraId="6C049A4E"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שלום</w:t>
            </w:r>
          </w:p>
        </w:tc>
        <w:tc>
          <w:tcPr>
            <w:tcW w:w="989" w:type="dxa"/>
            <w:shd w:val="clear" w:color="auto" w:fill="D9D9D9"/>
            <w:noWrap/>
            <w:vAlign w:val="center"/>
          </w:tcPr>
          <w:p w14:paraId="07A0A4A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פלילי</w:t>
            </w:r>
          </w:p>
        </w:tc>
        <w:tc>
          <w:tcPr>
            <w:tcW w:w="1984" w:type="dxa"/>
            <w:shd w:val="clear" w:color="auto" w:fill="D9D9D9"/>
            <w:vAlign w:val="center"/>
          </w:tcPr>
          <w:p w14:paraId="38D8D642"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פלילי (ת"פ)</w:t>
            </w:r>
          </w:p>
        </w:tc>
        <w:tc>
          <w:tcPr>
            <w:tcW w:w="1276" w:type="dxa"/>
            <w:shd w:val="clear" w:color="auto" w:fill="D9D9D9"/>
            <w:vAlign w:val="center"/>
          </w:tcPr>
          <w:p w14:paraId="71A08208"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30,372</w:t>
            </w:r>
          </w:p>
        </w:tc>
        <w:tc>
          <w:tcPr>
            <w:tcW w:w="1417" w:type="dxa"/>
            <w:shd w:val="clear" w:color="auto" w:fill="D9D9D9"/>
            <w:noWrap/>
            <w:vAlign w:val="center"/>
          </w:tcPr>
          <w:p w14:paraId="35A967DD"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5:17</w:t>
            </w:r>
          </w:p>
        </w:tc>
        <w:tc>
          <w:tcPr>
            <w:tcW w:w="1276" w:type="dxa"/>
            <w:shd w:val="clear" w:color="auto" w:fill="D9D9D9"/>
            <w:vAlign w:val="center"/>
          </w:tcPr>
          <w:p w14:paraId="3F0265F9"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2:37</w:t>
            </w:r>
          </w:p>
        </w:tc>
        <w:tc>
          <w:tcPr>
            <w:tcW w:w="851" w:type="dxa"/>
            <w:shd w:val="clear" w:color="auto" w:fill="D9D9D9"/>
            <w:vAlign w:val="center"/>
          </w:tcPr>
          <w:p w14:paraId="5A0ECF62"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+2:40</w:t>
            </w:r>
          </w:p>
        </w:tc>
        <w:tc>
          <w:tcPr>
            <w:tcW w:w="992" w:type="dxa"/>
            <w:shd w:val="clear" w:color="auto" w:fill="D9D9D9"/>
            <w:vAlign w:val="center"/>
          </w:tcPr>
          <w:p w14:paraId="0536B8D9"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159</w:t>
            </w:r>
          </w:p>
        </w:tc>
      </w:tr>
      <w:tr w:rsidR="002C4CFA" w:rsidRPr="00BF3027" w14:paraId="456D27E4" w14:textId="77777777" w:rsidTr="002C4CFA">
        <w:trPr>
          <w:trHeight w:val="521"/>
        </w:trPr>
        <w:tc>
          <w:tcPr>
            <w:tcW w:w="853" w:type="dxa"/>
            <w:shd w:val="clear" w:color="auto" w:fill="auto"/>
            <w:noWrap/>
            <w:vAlign w:val="center"/>
          </w:tcPr>
          <w:p w14:paraId="770913D7"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auto"/>
            <w:noWrap/>
            <w:vAlign w:val="center"/>
          </w:tcPr>
          <w:p w14:paraId="324B281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auto"/>
            <w:vAlign w:val="center"/>
          </w:tcPr>
          <w:p w14:paraId="084D3C3E"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המרצת פתיחה בוררות (הפ"ב)</w:t>
            </w:r>
          </w:p>
        </w:tc>
        <w:tc>
          <w:tcPr>
            <w:tcW w:w="1276" w:type="dxa"/>
            <w:shd w:val="clear" w:color="auto" w:fill="auto"/>
            <w:vAlign w:val="center"/>
          </w:tcPr>
          <w:p w14:paraId="160CDA1D"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697</w:t>
            </w:r>
          </w:p>
        </w:tc>
        <w:tc>
          <w:tcPr>
            <w:tcW w:w="1417" w:type="dxa"/>
            <w:shd w:val="clear" w:color="auto" w:fill="auto"/>
            <w:noWrap/>
            <w:vAlign w:val="center"/>
          </w:tcPr>
          <w:p w14:paraId="061837DF"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5:12</w:t>
            </w:r>
          </w:p>
        </w:tc>
        <w:tc>
          <w:tcPr>
            <w:tcW w:w="1276" w:type="dxa"/>
            <w:shd w:val="clear" w:color="auto" w:fill="auto"/>
            <w:vAlign w:val="center"/>
          </w:tcPr>
          <w:p w14:paraId="6A24155D"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4:46</w:t>
            </w:r>
          </w:p>
        </w:tc>
        <w:tc>
          <w:tcPr>
            <w:tcW w:w="851" w:type="dxa"/>
            <w:shd w:val="clear" w:color="auto" w:fill="auto"/>
            <w:vAlign w:val="center"/>
          </w:tcPr>
          <w:p w14:paraId="05548933"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+0:26</w:t>
            </w:r>
          </w:p>
        </w:tc>
        <w:tc>
          <w:tcPr>
            <w:tcW w:w="992" w:type="dxa"/>
            <w:shd w:val="clear" w:color="auto" w:fill="auto"/>
            <w:vAlign w:val="center"/>
          </w:tcPr>
          <w:p w14:paraId="17201909"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156</w:t>
            </w:r>
          </w:p>
        </w:tc>
      </w:tr>
      <w:tr w:rsidR="002C4CFA" w:rsidRPr="00BF3027" w14:paraId="264DB5EC" w14:textId="77777777" w:rsidTr="002C4CFA">
        <w:trPr>
          <w:trHeight w:val="629"/>
        </w:trPr>
        <w:tc>
          <w:tcPr>
            <w:tcW w:w="853" w:type="dxa"/>
            <w:shd w:val="clear" w:color="auto" w:fill="D9D9D9"/>
            <w:noWrap/>
            <w:vAlign w:val="center"/>
          </w:tcPr>
          <w:p w14:paraId="07A0237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D9D9D9"/>
            <w:noWrap/>
            <w:vAlign w:val="center"/>
          </w:tcPr>
          <w:p w14:paraId="257CF9E0"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D9D9D9"/>
            <w:vAlign w:val="center"/>
          </w:tcPr>
          <w:p w14:paraId="468ACCF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אזרחי בסדר דין רגיל (ת"א)-</w:t>
            </w:r>
            <w:r w:rsidRPr="00BF3027">
              <w:rPr>
                <w:rFonts w:ascii="David" w:eastAsia="Times New Roman" w:hAnsi="David" w:cs="David"/>
                <w:b/>
                <w:bCs/>
                <w:rtl/>
              </w:rPr>
              <w:t>משוקלל</w:t>
            </w:r>
          </w:p>
        </w:tc>
        <w:tc>
          <w:tcPr>
            <w:tcW w:w="1276" w:type="dxa"/>
            <w:shd w:val="clear" w:color="auto" w:fill="D9D9D9"/>
            <w:vAlign w:val="center"/>
          </w:tcPr>
          <w:p w14:paraId="55E5B0E3"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71,215</w:t>
            </w:r>
          </w:p>
        </w:tc>
        <w:tc>
          <w:tcPr>
            <w:tcW w:w="1417" w:type="dxa"/>
            <w:shd w:val="clear" w:color="auto" w:fill="D9D9D9"/>
            <w:noWrap/>
            <w:vAlign w:val="center"/>
          </w:tcPr>
          <w:p w14:paraId="67BFE528"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4:59</w:t>
            </w:r>
          </w:p>
        </w:tc>
        <w:tc>
          <w:tcPr>
            <w:tcW w:w="1276" w:type="dxa"/>
            <w:shd w:val="clear" w:color="auto" w:fill="D9D9D9"/>
            <w:vAlign w:val="center"/>
          </w:tcPr>
          <w:p w14:paraId="47C71090"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5:42</w:t>
            </w:r>
          </w:p>
        </w:tc>
        <w:tc>
          <w:tcPr>
            <w:tcW w:w="851" w:type="dxa"/>
            <w:shd w:val="clear" w:color="auto" w:fill="D9D9D9"/>
            <w:vAlign w:val="center"/>
          </w:tcPr>
          <w:p w14:paraId="3AD346C5"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0:43</w:t>
            </w:r>
            <w:r w:rsidRPr="00BF3027">
              <w:rPr>
                <w:rFonts w:ascii="David" w:eastAsia="Times New Roman" w:hAnsi="David" w:cs="David" w:hint="cs"/>
                <w:rtl/>
              </w:rPr>
              <w:t>-</w:t>
            </w:r>
          </w:p>
        </w:tc>
        <w:tc>
          <w:tcPr>
            <w:tcW w:w="992" w:type="dxa"/>
            <w:shd w:val="clear" w:color="auto" w:fill="D9D9D9"/>
            <w:vAlign w:val="center"/>
          </w:tcPr>
          <w:p w14:paraId="564EC0F7"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150</w:t>
            </w:r>
          </w:p>
        </w:tc>
      </w:tr>
      <w:tr w:rsidR="002C4CFA" w:rsidRPr="00BF3027" w14:paraId="72666B57" w14:textId="77777777" w:rsidTr="002C4CFA">
        <w:trPr>
          <w:trHeight w:val="630"/>
        </w:trPr>
        <w:tc>
          <w:tcPr>
            <w:tcW w:w="853" w:type="dxa"/>
            <w:shd w:val="clear" w:color="auto" w:fill="auto"/>
            <w:noWrap/>
            <w:vAlign w:val="center"/>
          </w:tcPr>
          <w:p w14:paraId="0E48F1A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משפחה</w:t>
            </w:r>
          </w:p>
        </w:tc>
        <w:tc>
          <w:tcPr>
            <w:tcW w:w="989" w:type="dxa"/>
            <w:shd w:val="clear" w:color="auto" w:fill="auto"/>
            <w:noWrap/>
            <w:vAlign w:val="center"/>
          </w:tcPr>
          <w:p w14:paraId="1F6C7CF9" w14:textId="77777777" w:rsidR="002C4CFA" w:rsidRPr="00BF3027" w:rsidRDefault="002C4CFA" w:rsidP="002C4CFA">
            <w:pPr>
              <w:spacing w:after="0" w:line="240" w:lineRule="auto"/>
              <w:rPr>
                <w:rFonts w:ascii="David" w:eastAsia="Times New Roman" w:hAnsi="David" w:cs="David"/>
                <w:rtl/>
              </w:rPr>
            </w:pPr>
          </w:p>
        </w:tc>
        <w:tc>
          <w:tcPr>
            <w:tcW w:w="1984" w:type="dxa"/>
            <w:shd w:val="clear" w:color="auto" w:fill="auto"/>
            <w:vAlign w:val="center"/>
          </w:tcPr>
          <w:p w14:paraId="2003315A"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תביעה לאחר הסדר התדיינויות במשפחה (תלה"מ)</w:t>
            </w:r>
          </w:p>
        </w:tc>
        <w:tc>
          <w:tcPr>
            <w:tcW w:w="1276" w:type="dxa"/>
            <w:shd w:val="clear" w:color="auto" w:fill="auto"/>
            <w:vAlign w:val="center"/>
          </w:tcPr>
          <w:p w14:paraId="35891BD1"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13,706</w:t>
            </w:r>
          </w:p>
        </w:tc>
        <w:tc>
          <w:tcPr>
            <w:tcW w:w="1417" w:type="dxa"/>
            <w:shd w:val="clear" w:color="auto" w:fill="auto"/>
            <w:noWrap/>
            <w:vAlign w:val="center"/>
          </w:tcPr>
          <w:p w14:paraId="67FCFDC3"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4:51</w:t>
            </w:r>
          </w:p>
        </w:tc>
        <w:tc>
          <w:tcPr>
            <w:tcW w:w="1276" w:type="dxa"/>
            <w:shd w:val="clear" w:color="auto" w:fill="auto"/>
            <w:vAlign w:val="center"/>
          </w:tcPr>
          <w:p w14:paraId="6F9FFDB3"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2:34</w:t>
            </w:r>
          </w:p>
        </w:tc>
        <w:tc>
          <w:tcPr>
            <w:tcW w:w="851" w:type="dxa"/>
            <w:shd w:val="clear" w:color="auto" w:fill="auto"/>
            <w:vAlign w:val="center"/>
          </w:tcPr>
          <w:p w14:paraId="67D4B064"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+2:17</w:t>
            </w:r>
          </w:p>
        </w:tc>
        <w:tc>
          <w:tcPr>
            <w:tcW w:w="992" w:type="dxa"/>
            <w:shd w:val="clear" w:color="auto" w:fill="auto"/>
            <w:vAlign w:val="center"/>
          </w:tcPr>
          <w:p w14:paraId="657FC99D"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146</w:t>
            </w:r>
          </w:p>
        </w:tc>
      </w:tr>
      <w:tr w:rsidR="002C4CFA" w:rsidRPr="00BF3027" w14:paraId="0A98E60D" w14:textId="77777777" w:rsidTr="002C4CFA">
        <w:trPr>
          <w:trHeight w:val="484"/>
        </w:trPr>
        <w:tc>
          <w:tcPr>
            <w:tcW w:w="853" w:type="dxa"/>
            <w:shd w:val="clear" w:color="auto" w:fill="D9D9D9"/>
            <w:noWrap/>
            <w:vAlign w:val="center"/>
          </w:tcPr>
          <w:p w14:paraId="5E30EA9B"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D9D9D9"/>
            <w:noWrap/>
            <w:vAlign w:val="center"/>
          </w:tcPr>
          <w:p w14:paraId="15A51BD8"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פלילי</w:t>
            </w:r>
          </w:p>
        </w:tc>
        <w:tc>
          <w:tcPr>
            <w:tcW w:w="1984" w:type="dxa"/>
            <w:shd w:val="clear" w:color="auto" w:fill="D9D9D9"/>
            <w:vAlign w:val="center"/>
          </w:tcPr>
          <w:p w14:paraId="7A29F7A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קובלנה פלילית (ק"פ)*</w:t>
            </w:r>
          </w:p>
        </w:tc>
        <w:tc>
          <w:tcPr>
            <w:tcW w:w="1276" w:type="dxa"/>
            <w:shd w:val="clear" w:color="auto" w:fill="D9D9D9"/>
            <w:vAlign w:val="center"/>
          </w:tcPr>
          <w:p w14:paraId="370E6E6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92</w:t>
            </w:r>
          </w:p>
        </w:tc>
        <w:tc>
          <w:tcPr>
            <w:tcW w:w="1417" w:type="dxa"/>
            <w:shd w:val="clear" w:color="auto" w:fill="D9D9D9"/>
            <w:noWrap/>
            <w:vAlign w:val="center"/>
          </w:tcPr>
          <w:p w14:paraId="3FAE29D4"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4:48</w:t>
            </w:r>
          </w:p>
        </w:tc>
        <w:tc>
          <w:tcPr>
            <w:tcW w:w="1276" w:type="dxa"/>
            <w:shd w:val="clear" w:color="auto" w:fill="D9D9D9"/>
            <w:vAlign w:val="center"/>
          </w:tcPr>
          <w:p w14:paraId="17877DA3"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851" w:type="dxa"/>
            <w:shd w:val="clear" w:color="auto" w:fill="D9D9D9"/>
            <w:vAlign w:val="center"/>
          </w:tcPr>
          <w:p w14:paraId="43EBA4F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shd w:val="clear" w:color="auto" w:fill="D9D9D9"/>
            <w:vAlign w:val="center"/>
          </w:tcPr>
          <w:p w14:paraId="42246DE6"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144</w:t>
            </w:r>
          </w:p>
        </w:tc>
      </w:tr>
      <w:tr w:rsidR="002C4CFA" w:rsidRPr="00BF3027" w14:paraId="720BF23B" w14:textId="77777777" w:rsidTr="002C4CFA">
        <w:trPr>
          <w:trHeight w:val="706"/>
        </w:trPr>
        <w:tc>
          <w:tcPr>
            <w:tcW w:w="853" w:type="dxa"/>
            <w:shd w:val="clear" w:color="auto" w:fill="FFFFFF"/>
            <w:noWrap/>
            <w:vAlign w:val="center"/>
          </w:tcPr>
          <w:p w14:paraId="26BE3DDE"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FFFFFF"/>
            <w:noWrap/>
            <w:vAlign w:val="center"/>
          </w:tcPr>
          <w:p w14:paraId="6B58298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FFFFFF"/>
            <w:vAlign w:val="center"/>
          </w:tcPr>
          <w:p w14:paraId="303D8BD0"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ערעור אזרחי (ע"א) - דן יחיד</w:t>
            </w:r>
          </w:p>
        </w:tc>
        <w:tc>
          <w:tcPr>
            <w:tcW w:w="1276" w:type="dxa"/>
            <w:shd w:val="clear" w:color="auto" w:fill="FFFFFF"/>
            <w:vAlign w:val="center"/>
          </w:tcPr>
          <w:p w14:paraId="442982E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1,394</w:t>
            </w:r>
          </w:p>
        </w:tc>
        <w:tc>
          <w:tcPr>
            <w:tcW w:w="1417" w:type="dxa"/>
            <w:shd w:val="clear" w:color="auto" w:fill="FFFFFF"/>
            <w:noWrap/>
            <w:vAlign w:val="center"/>
          </w:tcPr>
          <w:p w14:paraId="078FB7AE"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4:35</w:t>
            </w:r>
          </w:p>
        </w:tc>
        <w:tc>
          <w:tcPr>
            <w:tcW w:w="1276" w:type="dxa"/>
            <w:shd w:val="clear" w:color="auto" w:fill="FFFFFF"/>
            <w:vAlign w:val="center"/>
          </w:tcPr>
          <w:p w14:paraId="2F8646EF"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851" w:type="dxa"/>
            <w:shd w:val="clear" w:color="auto" w:fill="FFFFFF"/>
            <w:vAlign w:val="center"/>
          </w:tcPr>
          <w:p w14:paraId="4D5C058E"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992" w:type="dxa"/>
            <w:shd w:val="clear" w:color="auto" w:fill="FFFFFF"/>
            <w:vAlign w:val="center"/>
          </w:tcPr>
          <w:p w14:paraId="5E4E0468"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138</w:t>
            </w:r>
          </w:p>
        </w:tc>
      </w:tr>
      <w:tr w:rsidR="002C4CFA" w:rsidRPr="00BF3027" w14:paraId="51D1FA17" w14:textId="77777777" w:rsidTr="002C4CFA">
        <w:trPr>
          <w:trHeight w:val="544"/>
        </w:trPr>
        <w:tc>
          <w:tcPr>
            <w:tcW w:w="853" w:type="dxa"/>
            <w:shd w:val="clear" w:color="auto" w:fill="D0CECE"/>
            <w:noWrap/>
            <w:vAlign w:val="center"/>
          </w:tcPr>
          <w:p w14:paraId="4F58A337"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D0CECE"/>
            <w:noWrap/>
            <w:vAlign w:val="center"/>
          </w:tcPr>
          <w:p w14:paraId="167A5079"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D0CECE"/>
            <w:vAlign w:val="center"/>
          </w:tcPr>
          <w:p w14:paraId="6D6DDD1D"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אזרחי בסדר דין רגיל (ת"א)-נזקי גוף - חבויות</w:t>
            </w:r>
          </w:p>
        </w:tc>
        <w:tc>
          <w:tcPr>
            <w:tcW w:w="1276" w:type="dxa"/>
            <w:shd w:val="clear" w:color="auto" w:fill="D0CECE"/>
            <w:vAlign w:val="center"/>
          </w:tcPr>
          <w:p w14:paraId="2AC8935A"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15,694</w:t>
            </w:r>
          </w:p>
        </w:tc>
        <w:tc>
          <w:tcPr>
            <w:tcW w:w="1417" w:type="dxa"/>
            <w:shd w:val="clear" w:color="auto" w:fill="D0CECE"/>
            <w:noWrap/>
            <w:vAlign w:val="center"/>
          </w:tcPr>
          <w:p w14:paraId="6BC9BA3C"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4:29</w:t>
            </w:r>
          </w:p>
        </w:tc>
        <w:tc>
          <w:tcPr>
            <w:tcW w:w="1276" w:type="dxa"/>
            <w:shd w:val="clear" w:color="auto" w:fill="D0CECE"/>
            <w:vAlign w:val="center"/>
          </w:tcPr>
          <w:p w14:paraId="34FA8822"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851" w:type="dxa"/>
            <w:shd w:val="clear" w:color="auto" w:fill="D0CECE"/>
            <w:vAlign w:val="center"/>
          </w:tcPr>
          <w:p w14:paraId="0A454F68"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shd w:val="clear" w:color="auto" w:fill="D0CECE"/>
            <w:vAlign w:val="center"/>
          </w:tcPr>
          <w:p w14:paraId="2003EE19"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135</w:t>
            </w:r>
          </w:p>
        </w:tc>
      </w:tr>
      <w:tr w:rsidR="002C4CFA" w:rsidRPr="00BF3027" w14:paraId="46147D67" w14:textId="77777777" w:rsidTr="002C4CFA">
        <w:trPr>
          <w:trHeight w:val="410"/>
        </w:trPr>
        <w:tc>
          <w:tcPr>
            <w:tcW w:w="853" w:type="dxa"/>
            <w:shd w:val="clear" w:color="auto" w:fill="FFFFFF"/>
            <w:noWrap/>
            <w:vAlign w:val="center"/>
          </w:tcPr>
          <w:p w14:paraId="7F74295B"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FFFFFF"/>
            <w:noWrap/>
            <w:vAlign w:val="center"/>
          </w:tcPr>
          <w:p w14:paraId="26638291"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FFFFFF"/>
            <w:vAlign w:val="center"/>
          </w:tcPr>
          <w:p w14:paraId="5294CDEA"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פשיטת רגל (פש"ר)</w:t>
            </w:r>
          </w:p>
        </w:tc>
        <w:tc>
          <w:tcPr>
            <w:tcW w:w="1276" w:type="dxa"/>
            <w:shd w:val="clear" w:color="auto" w:fill="FFFFFF"/>
            <w:vAlign w:val="center"/>
          </w:tcPr>
          <w:p w14:paraId="31AC70A9"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18,578</w:t>
            </w:r>
          </w:p>
        </w:tc>
        <w:tc>
          <w:tcPr>
            <w:tcW w:w="1417" w:type="dxa"/>
            <w:shd w:val="clear" w:color="auto" w:fill="FFFFFF"/>
            <w:noWrap/>
            <w:vAlign w:val="center"/>
          </w:tcPr>
          <w:p w14:paraId="3F6AD764"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4:19</w:t>
            </w:r>
          </w:p>
        </w:tc>
        <w:tc>
          <w:tcPr>
            <w:tcW w:w="1276" w:type="dxa"/>
            <w:shd w:val="clear" w:color="auto" w:fill="FFFFFF"/>
            <w:vAlign w:val="center"/>
          </w:tcPr>
          <w:p w14:paraId="00D5E28F"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4:34</w:t>
            </w:r>
          </w:p>
        </w:tc>
        <w:tc>
          <w:tcPr>
            <w:tcW w:w="851" w:type="dxa"/>
            <w:shd w:val="clear" w:color="auto" w:fill="FFFFFF"/>
            <w:vAlign w:val="center"/>
          </w:tcPr>
          <w:p w14:paraId="28614983"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-0:15</w:t>
            </w:r>
          </w:p>
        </w:tc>
        <w:tc>
          <w:tcPr>
            <w:tcW w:w="992" w:type="dxa"/>
            <w:shd w:val="clear" w:color="auto" w:fill="FFFFFF"/>
            <w:vAlign w:val="center"/>
          </w:tcPr>
          <w:p w14:paraId="374DFDF5"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130</w:t>
            </w:r>
          </w:p>
        </w:tc>
      </w:tr>
      <w:tr w:rsidR="002C4CFA" w:rsidRPr="00BF3027" w14:paraId="3834F6A0" w14:textId="77777777" w:rsidTr="002C4CFA">
        <w:trPr>
          <w:trHeight w:val="416"/>
        </w:trPr>
        <w:tc>
          <w:tcPr>
            <w:tcW w:w="853" w:type="dxa"/>
            <w:shd w:val="clear" w:color="auto" w:fill="D9D9D9"/>
            <w:noWrap/>
            <w:vAlign w:val="center"/>
          </w:tcPr>
          <w:p w14:paraId="1B1BAF0A"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מחוזי</w:t>
            </w:r>
          </w:p>
        </w:tc>
        <w:tc>
          <w:tcPr>
            <w:tcW w:w="989" w:type="dxa"/>
            <w:shd w:val="clear" w:color="auto" w:fill="D9D9D9"/>
            <w:noWrap/>
            <w:vAlign w:val="center"/>
          </w:tcPr>
          <w:p w14:paraId="1016C536"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עניינים מנהליים/ אזרחי</w:t>
            </w:r>
          </w:p>
        </w:tc>
        <w:tc>
          <w:tcPr>
            <w:tcW w:w="1984" w:type="dxa"/>
            <w:shd w:val="clear" w:color="auto" w:fill="D9D9D9"/>
            <w:vAlign w:val="center"/>
          </w:tcPr>
          <w:p w14:paraId="5498736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ועדת ערר (ו"ע)</w:t>
            </w:r>
          </w:p>
        </w:tc>
        <w:tc>
          <w:tcPr>
            <w:tcW w:w="1276" w:type="dxa"/>
            <w:shd w:val="clear" w:color="auto" w:fill="D9D9D9"/>
            <w:vAlign w:val="center"/>
          </w:tcPr>
          <w:p w14:paraId="778FCE2B"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777</w:t>
            </w:r>
          </w:p>
        </w:tc>
        <w:tc>
          <w:tcPr>
            <w:tcW w:w="1417" w:type="dxa"/>
            <w:shd w:val="clear" w:color="auto" w:fill="D9D9D9"/>
            <w:noWrap/>
            <w:vAlign w:val="center"/>
          </w:tcPr>
          <w:p w14:paraId="62E537B6"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4:15</w:t>
            </w:r>
          </w:p>
        </w:tc>
        <w:tc>
          <w:tcPr>
            <w:tcW w:w="1276" w:type="dxa"/>
            <w:shd w:val="clear" w:color="auto" w:fill="D9D9D9"/>
            <w:vAlign w:val="center"/>
          </w:tcPr>
          <w:p w14:paraId="0E973722"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3:36</w:t>
            </w:r>
          </w:p>
        </w:tc>
        <w:tc>
          <w:tcPr>
            <w:tcW w:w="851" w:type="dxa"/>
            <w:shd w:val="clear" w:color="auto" w:fill="D9D9D9"/>
            <w:vAlign w:val="center"/>
          </w:tcPr>
          <w:p w14:paraId="5A2ACA0C"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+0:39</w:t>
            </w:r>
          </w:p>
        </w:tc>
        <w:tc>
          <w:tcPr>
            <w:tcW w:w="992" w:type="dxa"/>
            <w:shd w:val="clear" w:color="auto" w:fill="D9D9D9"/>
            <w:vAlign w:val="center"/>
          </w:tcPr>
          <w:p w14:paraId="36961F21"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128</w:t>
            </w:r>
          </w:p>
        </w:tc>
      </w:tr>
      <w:tr w:rsidR="002C4CFA" w:rsidRPr="00BF3027" w14:paraId="352A4891" w14:textId="77777777" w:rsidTr="002C4CFA">
        <w:trPr>
          <w:trHeight w:val="416"/>
        </w:trPr>
        <w:tc>
          <w:tcPr>
            <w:tcW w:w="853" w:type="dxa"/>
            <w:shd w:val="clear" w:color="auto" w:fill="auto"/>
            <w:noWrap/>
            <w:vAlign w:val="center"/>
          </w:tcPr>
          <w:p w14:paraId="62E6367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משפחה</w:t>
            </w:r>
          </w:p>
        </w:tc>
        <w:tc>
          <w:tcPr>
            <w:tcW w:w="989" w:type="dxa"/>
            <w:shd w:val="clear" w:color="auto" w:fill="auto"/>
            <w:noWrap/>
            <w:vAlign w:val="center"/>
          </w:tcPr>
          <w:p w14:paraId="34C41AA5" w14:textId="77777777" w:rsidR="002C4CFA" w:rsidRPr="00BF3027" w:rsidRDefault="002C4CFA" w:rsidP="002C4CFA">
            <w:pPr>
              <w:spacing w:after="0" w:line="240" w:lineRule="auto"/>
              <w:rPr>
                <w:rFonts w:ascii="David" w:eastAsia="Times New Roman" w:hAnsi="David" w:cs="David"/>
                <w:rtl/>
              </w:rPr>
            </w:pPr>
          </w:p>
        </w:tc>
        <w:tc>
          <w:tcPr>
            <w:tcW w:w="1984" w:type="dxa"/>
            <w:shd w:val="clear" w:color="auto" w:fill="auto"/>
            <w:vAlign w:val="center"/>
          </w:tcPr>
          <w:p w14:paraId="623EF43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עזבונות (ת"ע)</w:t>
            </w:r>
          </w:p>
        </w:tc>
        <w:tc>
          <w:tcPr>
            <w:tcW w:w="1276" w:type="dxa"/>
            <w:shd w:val="clear" w:color="auto" w:fill="auto"/>
            <w:vAlign w:val="center"/>
          </w:tcPr>
          <w:p w14:paraId="242CF998"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7,720</w:t>
            </w:r>
          </w:p>
        </w:tc>
        <w:tc>
          <w:tcPr>
            <w:tcW w:w="1417" w:type="dxa"/>
            <w:shd w:val="clear" w:color="auto" w:fill="auto"/>
            <w:noWrap/>
            <w:vAlign w:val="center"/>
          </w:tcPr>
          <w:p w14:paraId="6C6FF47D"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hint="cs"/>
                <w:b/>
                <w:bCs/>
                <w:rtl/>
              </w:rPr>
              <w:t>4:07</w:t>
            </w:r>
          </w:p>
        </w:tc>
        <w:tc>
          <w:tcPr>
            <w:tcW w:w="1276" w:type="dxa"/>
            <w:shd w:val="clear" w:color="auto" w:fill="auto"/>
            <w:vAlign w:val="center"/>
          </w:tcPr>
          <w:p w14:paraId="1E034910"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2:22</w:t>
            </w:r>
          </w:p>
        </w:tc>
        <w:tc>
          <w:tcPr>
            <w:tcW w:w="851" w:type="dxa"/>
            <w:shd w:val="clear" w:color="auto" w:fill="auto"/>
            <w:vAlign w:val="center"/>
          </w:tcPr>
          <w:p w14:paraId="7F16A2C8"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+1:45</w:t>
            </w:r>
          </w:p>
        </w:tc>
        <w:tc>
          <w:tcPr>
            <w:tcW w:w="992" w:type="dxa"/>
            <w:shd w:val="clear" w:color="auto" w:fill="auto"/>
            <w:vAlign w:val="center"/>
          </w:tcPr>
          <w:p w14:paraId="226FC6CC"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124</w:t>
            </w:r>
          </w:p>
        </w:tc>
      </w:tr>
      <w:tr w:rsidR="002C4CFA" w:rsidRPr="00BF3027" w14:paraId="2CAEE763" w14:textId="77777777" w:rsidTr="002C4CFA">
        <w:trPr>
          <w:trHeight w:val="416"/>
        </w:trPr>
        <w:tc>
          <w:tcPr>
            <w:tcW w:w="853" w:type="dxa"/>
            <w:shd w:val="clear" w:color="auto" w:fill="D9D9D9"/>
            <w:noWrap/>
            <w:vAlign w:val="center"/>
          </w:tcPr>
          <w:p w14:paraId="322EAEF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D9D9D9"/>
            <w:noWrap/>
            <w:vAlign w:val="center"/>
          </w:tcPr>
          <w:p w14:paraId="43FA9D08"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עניינים מקומיים</w:t>
            </w:r>
          </w:p>
        </w:tc>
        <w:tc>
          <w:tcPr>
            <w:tcW w:w="1984" w:type="dxa"/>
            <w:shd w:val="clear" w:color="auto" w:fill="D9D9D9"/>
            <w:vAlign w:val="center"/>
          </w:tcPr>
          <w:p w14:paraId="0067264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תכנון ובנייה - ועדות מקומיות (תו"ב)</w:t>
            </w:r>
          </w:p>
        </w:tc>
        <w:tc>
          <w:tcPr>
            <w:tcW w:w="1276" w:type="dxa"/>
            <w:shd w:val="clear" w:color="auto" w:fill="D9D9D9"/>
            <w:vAlign w:val="center"/>
          </w:tcPr>
          <w:p w14:paraId="1035557B"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4,386</w:t>
            </w:r>
          </w:p>
        </w:tc>
        <w:tc>
          <w:tcPr>
            <w:tcW w:w="1417" w:type="dxa"/>
            <w:shd w:val="clear" w:color="auto" w:fill="D9D9D9"/>
            <w:noWrap/>
            <w:vAlign w:val="center"/>
          </w:tcPr>
          <w:p w14:paraId="691D0CAD"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4:07</w:t>
            </w:r>
          </w:p>
        </w:tc>
        <w:tc>
          <w:tcPr>
            <w:tcW w:w="1276" w:type="dxa"/>
            <w:shd w:val="clear" w:color="auto" w:fill="D9D9D9"/>
            <w:vAlign w:val="center"/>
          </w:tcPr>
          <w:p w14:paraId="1A7C2B83"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1:04</w:t>
            </w:r>
          </w:p>
        </w:tc>
        <w:tc>
          <w:tcPr>
            <w:tcW w:w="851" w:type="dxa"/>
            <w:shd w:val="clear" w:color="auto" w:fill="D9D9D9"/>
            <w:vAlign w:val="center"/>
          </w:tcPr>
          <w:p w14:paraId="289E046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hint="cs"/>
                <w:rtl/>
              </w:rPr>
              <w:t>3:03</w:t>
            </w:r>
            <w:r w:rsidRPr="00BF3027">
              <w:rPr>
                <w:rFonts w:ascii="David" w:eastAsia="Times New Roman" w:hAnsi="David" w:cs="David"/>
                <w:rtl/>
              </w:rPr>
              <w:t>+</w:t>
            </w:r>
          </w:p>
        </w:tc>
        <w:tc>
          <w:tcPr>
            <w:tcW w:w="992" w:type="dxa"/>
            <w:shd w:val="clear" w:color="auto" w:fill="D9D9D9"/>
            <w:vAlign w:val="center"/>
          </w:tcPr>
          <w:p w14:paraId="511BA5A7"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124</w:t>
            </w:r>
          </w:p>
        </w:tc>
      </w:tr>
      <w:tr w:rsidR="002C4CFA" w:rsidRPr="00BF3027" w14:paraId="46AB0BF9" w14:textId="77777777" w:rsidTr="002C4CFA">
        <w:trPr>
          <w:trHeight w:val="512"/>
        </w:trPr>
        <w:tc>
          <w:tcPr>
            <w:tcW w:w="853" w:type="dxa"/>
            <w:shd w:val="clear" w:color="auto" w:fill="FFFFFF"/>
            <w:noWrap/>
            <w:vAlign w:val="center"/>
          </w:tcPr>
          <w:p w14:paraId="4CEF942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עבודה</w:t>
            </w:r>
          </w:p>
        </w:tc>
        <w:tc>
          <w:tcPr>
            <w:tcW w:w="989" w:type="dxa"/>
            <w:shd w:val="clear" w:color="auto" w:fill="FFFFFF"/>
            <w:noWrap/>
            <w:vAlign w:val="center"/>
          </w:tcPr>
          <w:p w14:paraId="1E12CE0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FFFFFF"/>
            <w:vAlign w:val="center"/>
          </w:tcPr>
          <w:p w14:paraId="52765E59"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סכסוך עבודה בסמכות שופט (סע"ש)</w:t>
            </w:r>
          </w:p>
        </w:tc>
        <w:tc>
          <w:tcPr>
            <w:tcW w:w="1276" w:type="dxa"/>
            <w:shd w:val="clear" w:color="auto" w:fill="FFFFFF"/>
            <w:vAlign w:val="center"/>
          </w:tcPr>
          <w:p w14:paraId="220E4F94"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19,316</w:t>
            </w:r>
          </w:p>
        </w:tc>
        <w:tc>
          <w:tcPr>
            <w:tcW w:w="1417" w:type="dxa"/>
            <w:shd w:val="clear" w:color="auto" w:fill="FFFFFF"/>
            <w:noWrap/>
            <w:vAlign w:val="center"/>
          </w:tcPr>
          <w:p w14:paraId="1A0FB30A"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hint="cs"/>
                <w:b/>
                <w:bCs/>
                <w:rtl/>
              </w:rPr>
              <w:t>4:04</w:t>
            </w:r>
          </w:p>
        </w:tc>
        <w:tc>
          <w:tcPr>
            <w:tcW w:w="1276" w:type="dxa"/>
            <w:shd w:val="clear" w:color="auto" w:fill="FFFFFF"/>
            <w:vAlign w:val="center"/>
          </w:tcPr>
          <w:p w14:paraId="67544B0A"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w:t>
            </w:r>
          </w:p>
        </w:tc>
        <w:tc>
          <w:tcPr>
            <w:tcW w:w="851" w:type="dxa"/>
            <w:shd w:val="clear" w:color="auto" w:fill="FFFFFF"/>
            <w:vAlign w:val="center"/>
          </w:tcPr>
          <w:p w14:paraId="27CFB89E"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shd w:val="clear" w:color="auto" w:fill="FFFFFF"/>
            <w:vAlign w:val="center"/>
          </w:tcPr>
          <w:p w14:paraId="66EA5425"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122</w:t>
            </w:r>
          </w:p>
        </w:tc>
      </w:tr>
      <w:tr w:rsidR="002C4CFA" w:rsidRPr="00BF3027" w14:paraId="30C7A265" w14:textId="77777777" w:rsidTr="002C4CFA">
        <w:trPr>
          <w:trHeight w:val="567"/>
        </w:trPr>
        <w:tc>
          <w:tcPr>
            <w:tcW w:w="853" w:type="dxa"/>
            <w:shd w:val="clear" w:color="auto" w:fill="auto"/>
            <w:noWrap/>
            <w:vAlign w:val="center"/>
          </w:tcPr>
          <w:p w14:paraId="6D35029C" w14:textId="7A1A66DC" w:rsidR="002C4CFA" w:rsidRPr="00BF3027" w:rsidRDefault="002C4CFA" w:rsidP="002C4CFA">
            <w:pPr>
              <w:spacing w:after="0" w:line="240" w:lineRule="auto"/>
              <w:rPr>
                <w:rFonts w:ascii="David" w:eastAsia="Times New Roman" w:hAnsi="David" w:cs="David"/>
                <w:rtl/>
              </w:rPr>
            </w:pPr>
            <w:r w:rsidRPr="00BF3027">
              <w:rPr>
                <w:rFonts w:ascii="Arial" w:eastAsia="Times New Roman" w:hAnsi="Arial" w:cs="David" w:hint="cs"/>
                <w:b/>
                <w:bCs/>
                <w:rtl/>
              </w:rPr>
              <w:lastRenderedPageBreak/>
              <w:t>ערכאה</w:t>
            </w:r>
          </w:p>
        </w:tc>
        <w:tc>
          <w:tcPr>
            <w:tcW w:w="989" w:type="dxa"/>
            <w:shd w:val="clear" w:color="auto" w:fill="auto"/>
            <w:noWrap/>
            <w:vAlign w:val="center"/>
          </w:tcPr>
          <w:p w14:paraId="25B21375" w14:textId="61E90885" w:rsidR="002C4CFA" w:rsidRPr="00BF3027" w:rsidRDefault="002C4CFA" w:rsidP="002C4CFA">
            <w:pPr>
              <w:spacing w:after="0" w:line="240" w:lineRule="auto"/>
              <w:rPr>
                <w:rFonts w:ascii="David" w:eastAsia="Times New Roman" w:hAnsi="David" w:cs="David"/>
                <w:rtl/>
              </w:rPr>
            </w:pPr>
            <w:r w:rsidRPr="00BF3027">
              <w:rPr>
                <w:rFonts w:ascii="Arial" w:eastAsia="Times New Roman" w:hAnsi="Arial" w:cs="David" w:hint="cs"/>
                <w:b/>
                <w:bCs/>
                <w:rtl/>
              </w:rPr>
              <w:t>הליך</w:t>
            </w:r>
          </w:p>
        </w:tc>
        <w:tc>
          <w:tcPr>
            <w:tcW w:w="1984" w:type="dxa"/>
            <w:shd w:val="clear" w:color="auto" w:fill="auto"/>
            <w:vAlign w:val="center"/>
          </w:tcPr>
          <w:p w14:paraId="3BA141DA" w14:textId="43F8C73C" w:rsidR="002C4CFA" w:rsidRPr="00BF3027" w:rsidRDefault="002C4CFA" w:rsidP="002C4CFA">
            <w:pPr>
              <w:spacing w:after="0" w:line="240" w:lineRule="auto"/>
              <w:rPr>
                <w:rFonts w:ascii="David" w:eastAsia="Times New Roman" w:hAnsi="David" w:cs="David"/>
                <w:rtl/>
              </w:rPr>
            </w:pPr>
            <w:r w:rsidRPr="00BF3027">
              <w:rPr>
                <w:rFonts w:ascii="Arial" w:eastAsia="Times New Roman" w:hAnsi="Arial" w:cs="David" w:hint="cs"/>
                <w:b/>
                <w:bCs/>
                <w:rtl/>
              </w:rPr>
              <w:t>סוג תיק</w:t>
            </w:r>
          </w:p>
        </w:tc>
        <w:tc>
          <w:tcPr>
            <w:tcW w:w="1276" w:type="dxa"/>
            <w:shd w:val="clear" w:color="auto" w:fill="auto"/>
            <w:vAlign w:val="center"/>
          </w:tcPr>
          <w:p w14:paraId="34681393" w14:textId="3A00185F" w:rsidR="002C4CFA" w:rsidRPr="00BF3027" w:rsidRDefault="002C4CFA" w:rsidP="002C4CFA">
            <w:pPr>
              <w:spacing w:after="0" w:line="240" w:lineRule="auto"/>
              <w:jc w:val="center"/>
              <w:rPr>
                <w:rFonts w:ascii="David" w:eastAsia="Times New Roman" w:hAnsi="David" w:cs="David"/>
              </w:rPr>
            </w:pPr>
            <w:r w:rsidRPr="00BF3027">
              <w:rPr>
                <w:rFonts w:ascii="Arial" w:eastAsia="Times New Roman" w:hAnsi="Arial" w:cs="David" w:hint="cs"/>
                <w:b/>
                <w:bCs/>
                <w:rtl/>
              </w:rPr>
              <w:t>מספר תיקים שנסגרו ב-2019</w:t>
            </w:r>
          </w:p>
        </w:tc>
        <w:tc>
          <w:tcPr>
            <w:tcW w:w="1417" w:type="dxa"/>
            <w:shd w:val="clear" w:color="auto" w:fill="auto"/>
            <w:noWrap/>
            <w:vAlign w:val="center"/>
          </w:tcPr>
          <w:p w14:paraId="17C3BDE7" w14:textId="30B3CA9B" w:rsidR="002C4CFA" w:rsidRPr="00BF3027" w:rsidRDefault="002C4CFA" w:rsidP="002C4CFA">
            <w:pPr>
              <w:spacing w:after="0" w:line="240" w:lineRule="auto"/>
              <w:jc w:val="center"/>
              <w:rPr>
                <w:rFonts w:ascii="David" w:eastAsia="Times New Roman" w:hAnsi="David" w:cs="David"/>
                <w:b/>
                <w:bCs/>
              </w:rPr>
            </w:pPr>
            <w:r w:rsidRPr="00BF3027">
              <w:rPr>
                <w:rFonts w:ascii="Arial" w:eastAsia="Times New Roman" w:hAnsi="Arial" w:cs="David" w:hint="cs"/>
                <w:b/>
                <w:bCs/>
                <w:rtl/>
              </w:rPr>
              <w:t>הזמן השיפוטי הממוצע לטיפול בתיק</w:t>
            </w:r>
          </w:p>
        </w:tc>
        <w:tc>
          <w:tcPr>
            <w:tcW w:w="1276" w:type="dxa"/>
            <w:shd w:val="clear" w:color="auto" w:fill="auto"/>
            <w:vAlign w:val="center"/>
          </w:tcPr>
          <w:p w14:paraId="4B59160B" w14:textId="7C706AD5" w:rsidR="002C4CFA" w:rsidRPr="00BF3027" w:rsidRDefault="002C4CFA" w:rsidP="002C4CFA">
            <w:pPr>
              <w:spacing w:after="0" w:line="240" w:lineRule="auto"/>
              <w:jc w:val="center"/>
              <w:rPr>
                <w:rFonts w:ascii="David" w:eastAsia="Times New Roman" w:hAnsi="David" w:cs="David"/>
              </w:rPr>
            </w:pPr>
            <w:r w:rsidRPr="00BF3027">
              <w:rPr>
                <w:rFonts w:ascii="Arial" w:eastAsia="Times New Roman" w:hAnsi="Arial" w:cs="David" w:hint="cs"/>
                <w:b/>
                <w:bCs/>
                <w:rtl/>
              </w:rPr>
              <w:t>הזמן השיפוטי הממוצע לפי המחקר הקודם</w:t>
            </w:r>
          </w:p>
        </w:tc>
        <w:tc>
          <w:tcPr>
            <w:tcW w:w="851" w:type="dxa"/>
            <w:shd w:val="clear" w:color="auto" w:fill="auto"/>
            <w:vAlign w:val="center"/>
          </w:tcPr>
          <w:p w14:paraId="33AF76A5" w14:textId="7FBF5500" w:rsidR="002C4CFA" w:rsidRPr="00BF3027" w:rsidRDefault="002C4CFA" w:rsidP="002C4CFA">
            <w:pPr>
              <w:spacing w:after="0" w:line="240" w:lineRule="auto"/>
              <w:jc w:val="center"/>
              <w:rPr>
                <w:rFonts w:ascii="David" w:eastAsia="Times New Roman" w:hAnsi="David" w:cs="David"/>
                <w:rtl/>
              </w:rPr>
            </w:pPr>
            <w:r w:rsidRPr="00BF3027">
              <w:rPr>
                <w:rFonts w:ascii="Arial" w:eastAsia="Times New Roman" w:hAnsi="Arial" w:cs="David" w:hint="cs"/>
                <w:b/>
                <w:bCs/>
                <w:rtl/>
              </w:rPr>
              <w:t>מגמת השינוי</w:t>
            </w:r>
          </w:p>
        </w:tc>
        <w:tc>
          <w:tcPr>
            <w:tcW w:w="992" w:type="dxa"/>
            <w:shd w:val="clear" w:color="auto" w:fill="auto"/>
            <w:vAlign w:val="center"/>
          </w:tcPr>
          <w:p w14:paraId="6D6758D4" w14:textId="6A2CE94B" w:rsidR="002C4CFA" w:rsidRPr="00BF3027" w:rsidRDefault="002C4CFA" w:rsidP="002C4CFA">
            <w:pPr>
              <w:spacing w:after="0" w:line="240" w:lineRule="auto"/>
              <w:jc w:val="center"/>
              <w:rPr>
                <w:rFonts w:ascii="David" w:eastAsia="Times New Roman" w:hAnsi="David" w:cs="David"/>
              </w:rPr>
            </w:pPr>
            <w:r w:rsidRPr="00BF3027">
              <w:rPr>
                <w:rFonts w:ascii="Arial" w:hAnsi="Arial" w:cs="David" w:hint="cs"/>
                <w:b/>
                <w:bCs/>
                <w:rtl/>
              </w:rPr>
              <w:t>משקל לתיק לפי המחקר הנוכחי</w:t>
            </w:r>
          </w:p>
        </w:tc>
      </w:tr>
      <w:tr w:rsidR="002C4CFA" w:rsidRPr="00BF3027" w14:paraId="08B3CCF3" w14:textId="77777777" w:rsidTr="002C4CFA">
        <w:trPr>
          <w:trHeight w:val="567"/>
        </w:trPr>
        <w:tc>
          <w:tcPr>
            <w:tcW w:w="853" w:type="dxa"/>
            <w:shd w:val="clear" w:color="auto" w:fill="D9D9D9"/>
            <w:noWrap/>
            <w:vAlign w:val="center"/>
          </w:tcPr>
          <w:p w14:paraId="2AF724F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D9D9D9"/>
            <w:noWrap/>
            <w:vAlign w:val="center"/>
          </w:tcPr>
          <w:p w14:paraId="665161C8"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D9D9D9"/>
            <w:vAlign w:val="center"/>
          </w:tcPr>
          <w:p w14:paraId="5B2117E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תובענה ייצוגית (ת"צ)</w:t>
            </w:r>
          </w:p>
        </w:tc>
        <w:tc>
          <w:tcPr>
            <w:tcW w:w="1276" w:type="dxa"/>
            <w:shd w:val="clear" w:color="auto" w:fill="D9D9D9"/>
            <w:vAlign w:val="center"/>
          </w:tcPr>
          <w:p w14:paraId="1F9E3E54"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133</w:t>
            </w:r>
          </w:p>
        </w:tc>
        <w:tc>
          <w:tcPr>
            <w:tcW w:w="1417" w:type="dxa"/>
            <w:shd w:val="clear" w:color="auto" w:fill="D9D9D9"/>
            <w:noWrap/>
            <w:vAlign w:val="center"/>
          </w:tcPr>
          <w:p w14:paraId="14C9CE59"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4:04</w:t>
            </w:r>
          </w:p>
        </w:tc>
        <w:tc>
          <w:tcPr>
            <w:tcW w:w="1276" w:type="dxa"/>
            <w:shd w:val="clear" w:color="auto" w:fill="D9D9D9"/>
            <w:vAlign w:val="center"/>
          </w:tcPr>
          <w:p w14:paraId="1CFDD7CB"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4:54</w:t>
            </w:r>
          </w:p>
        </w:tc>
        <w:tc>
          <w:tcPr>
            <w:tcW w:w="851" w:type="dxa"/>
            <w:shd w:val="clear" w:color="auto" w:fill="D9D9D9"/>
            <w:vAlign w:val="center"/>
          </w:tcPr>
          <w:p w14:paraId="514C47B5"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hint="cs"/>
                <w:rtl/>
              </w:rPr>
              <w:t>0</w:t>
            </w:r>
            <w:r w:rsidRPr="00BF3027">
              <w:rPr>
                <w:rFonts w:ascii="David" w:eastAsia="Times New Roman" w:hAnsi="David" w:cs="David"/>
                <w:rtl/>
              </w:rPr>
              <w:t>:</w:t>
            </w:r>
            <w:r w:rsidRPr="00BF3027">
              <w:rPr>
                <w:rFonts w:ascii="David" w:eastAsia="Times New Roman" w:hAnsi="David" w:cs="David" w:hint="cs"/>
                <w:rtl/>
              </w:rPr>
              <w:t>50-</w:t>
            </w:r>
          </w:p>
        </w:tc>
        <w:tc>
          <w:tcPr>
            <w:tcW w:w="992" w:type="dxa"/>
            <w:shd w:val="clear" w:color="auto" w:fill="D9D9D9"/>
            <w:vAlign w:val="center"/>
          </w:tcPr>
          <w:p w14:paraId="7667D719"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122</w:t>
            </w:r>
          </w:p>
        </w:tc>
      </w:tr>
      <w:tr w:rsidR="002C4CFA" w:rsidRPr="00BF3027" w14:paraId="473B8A1B" w14:textId="77777777" w:rsidTr="002C4CFA">
        <w:trPr>
          <w:trHeight w:val="472"/>
        </w:trPr>
        <w:tc>
          <w:tcPr>
            <w:tcW w:w="853" w:type="dxa"/>
            <w:shd w:val="clear" w:color="auto" w:fill="auto"/>
            <w:noWrap/>
            <w:vAlign w:val="center"/>
          </w:tcPr>
          <w:p w14:paraId="74CA4B49"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נוער</w:t>
            </w:r>
          </w:p>
        </w:tc>
        <w:tc>
          <w:tcPr>
            <w:tcW w:w="989" w:type="dxa"/>
            <w:shd w:val="clear" w:color="auto" w:fill="auto"/>
            <w:noWrap/>
            <w:vAlign w:val="center"/>
          </w:tcPr>
          <w:p w14:paraId="0FB71487" w14:textId="77777777" w:rsidR="002C4CFA" w:rsidRPr="00BF3027" w:rsidRDefault="002C4CFA" w:rsidP="002C4CFA">
            <w:pPr>
              <w:spacing w:after="0" w:line="240" w:lineRule="auto"/>
              <w:rPr>
                <w:rFonts w:ascii="David" w:eastAsia="Times New Roman" w:hAnsi="David" w:cs="David"/>
                <w:rtl/>
              </w:rPr>
            </w:pPr>
          </w:p>
        </w:tc>
        <w:tc>
          <w:tcPr>
            <w:tcW w:w="1984" w:type="dxa"/>
            <w:shd w:val="clear" w:color="auto" w:fill="auto"/>
            <w:vAlign w:val="center"/>
          </w:tcPr>
          <w:p w14:paraId="7D9B2CD2"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צו ביניים לנזקקות (צב"נ)</w:t>
            </w:r>
          </w:p>
        </w:tc>
        <w:tc>
          <w:tcPr>
            <w:tcW w:w="1276" w:type="dxa"/>
            <w:shd w:val="clear" w:color="auto" w:fill="auto"/>
            <w:vAlign w:val="center"/>
          </w:tcPr>
          <w:p w14:paraId="451373D1"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1,765</w:t>
            </w:r>
          </w:p>
        </w:tc>
        <w:tc>
          <w:tcPr>
            <w:tcW w:w="1417" w:type="dxa"/>
            <w:shd w:val="clear" w:color="auto" w:fill="auto"/>
            <w:noWrap/>
            <w:vAlign w:val="center"/>
          </w:tcPr>
          <w:p w14:paraId="164EF8C3"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4:04</w:t>
            </w:r>
          </w:p>
        </w:tc>
        <w:tc>
          <w:tcPr>
            <w:tcW w:w="1276" w:type="dxa"/>
            <w:shd w:val="clear" w:color="auto" w:fill="auto"/>
            <w:vAlign w:val="center"/>
          </w:tcPr>
          <w:p w14:paraId="6EAA1087"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1:04</w:t>
            </w:r>
          </w:p>
        </w:tc>
        <w:tc>
          <w:tcPr>
            <w:tcW w:w="851" w:type="dxa"/>
            <w:shd w:val="clear" w:color="auto" w:fill="auto"/>
            <w:vAlign w:val="center"/>
          </w:tcPr>
          <w:p w14:paraId="0D48F405"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+3:00</w:t>
            </w:r>
          </w:p>
        </w:tc>
        <w:tc>
          <w:tcPr>
            <w:tcW w:w="992" w:type="dxa"/>
            <w:shd w:val="clear" w:color="auto" w:fill="auto"/>
            <w:vAlign w:val="center"/>
          </w:tcPr>
          <w:p w14:paraId="42C629BA"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122</w:t>
            </w:r>
          </w:p>
        </w:tc>
      </w:tr>
      <w:tr w:rsidR="002C4CFA" w:rsidRPr="00BF3027" w14:paraId="64DE911B" w14:textId="77777777" w:rsidTr="002C4CFA">
        <w:trPr>
          <w:trHeight w:val="434"/>
        </w:trPr>
        <w:tc>
          <w:tcPr>
            <w:tcW w:w="853" w:type="dxa"/>
            <w:shd w:val="clear" w:color="auto" w:fill="D9D9D9"/>
            <w:noWrap/>
            <w:vAlign w:val="center"/>
          </w:tcPr>
          <w:p w14:paraId="522DF6DD"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שלום</w:t>
            </w:r>
          </w:p>
        </w:tc>
        <w:tc>
          <w:tcPr>
            <w:tcW w:w="989" w:type="dxa"/>
            <w:shd w:val="clear" w:color="auto" w:fill="D9D9D9"/>
            <w:noWrap/>
            <w:vAlign w:val="center"/>
          </w:tcPr>
          <w:p w14:paraId="486459F2"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פלילי</w:t>
            </w:r>
          </w:p>
        </w:tc>
        <w:tc>
          <w:tcPr>
            <w:tcW w:w="1984" w:type="dxa"/>
            <w:shd w:val="clear" w:color="auto" w:fill="D9D9D9"/>
            <w:vAlign w:val="center"/>
          </w:tcPr>
          <w:p w14:paraId="4CDB74B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ביטול צו הריסה מינהלי (בצה"מ)</w:t>
            </w:r>
          </w:p>
        </w:tc>
        <w:tc>
          <w:tcPr>
            <w:tcW w:w="1276" w:type="dxa"/>
            <w:shd w:val="clear" w:color="auto" w:fill="D9D9D9"/>
            <w:vAlign w:val="center"/>
          </w:tcPr>
          <w:p w14:paraId="1A18E46D"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353</w:t>
            </w:r>
          </w:p>
        </w:tc>
        <w:tc>
          <w:tcPr>
            <w:tcW w:w="1417" w:type="dxa"/>
            <w:shd w:val="clear" w:color="auto" w:fill="D9D9D9"/>
            <w:noWrap/>
            <w:vAlign w:val="center"/>
          </w:tcPr>
          <w:p w14:paraId="47FFE491"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3:57</w:t>
            </w:r>
          </w:p>
        </w:tc>
        <w:tc>
          <w:tcPr>
            <w:tcW w:w="1276" w:type="dxa"/>
            <w:shd w:val="clear" w:color="auto" w:fill="D9D9D9"/>
            <w:vAlign w:val="center"/>
          </w:tcPr>
          <w:p w14:paraId="3EF066A4"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851" w:type="dxa"/>
            <w:shd w:val="clear" w:color="auto" w:fill="D9D9D9"/>
            <w:vAlign w:val="center"/>
          </w:tcPr>
          <w:p w14:paraId="279E84DC"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shd w:val="clear" w:color="auto" w:fill="D9D9D9"/>
            <w:vAlign w:val="center"/>
          </w:tcPr>
          <w:p w14:paraId="075BB940"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119</w:t>
            </w:r>
          </w:p>
        </w:tc>
      </w:tr>
      <w:tr w:rsidR="002C4CFA" w:rsidRPr="00BF3027" w14:paraId="3C4870DE" w14:textId="77777777" w:rsidTr="002C4CFA">
        <w:trPr>
          <w:trHeight w:val="569"/>
        </w:trPr>
        <w:tc>
          <w:tcPr>
            <w:tcW w:w="853" w:type="dxa"/>
            <w:shd w:val="clear" w:color="auto" w:fill="auto"/>
            <w:noWrap/>
            <w:vAlign w:val="center"/>
          </w:tcPr>
          <w:p w14:paraId="4971B63D"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auto"/>
            <w:noWrap/>
            <w:vAlign w:val="center"/>
          </w:tcPr>
          <w:p w14:paraId="2A691E8C"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auto"/>
            <w:vAlign w:val="center"/>
          </w:tcPr>
          <w:p w14:paraId="1DC5B947"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רשות ערעור על החלטת ראש הוצל"פ (רע"צ)</w:t>
            </w:r>
          </w:p>
        </w:tc>
        <w:tc>
          <w:tcPr>
            <w:tcW w:w="1276" w:type="dxa"/>
            <w:shd w:val="clear" w:color="auto" w:fill="auto"/>
            <w:vAlign w:val="center"/>
          </w:tcPr>
          <w:p w14:paraId="45619928"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432</w:t>
            </w:r>
          </w:p>
        </w:tc>
        <w:tc>
          <w:tcPr>
            <w:tcW w:w="1417" w:type="dxa"/>
            <w:shd w:val="clear" w:color="auto" w:fill="auto"/>
            <w:noWrap/>
            <w:vAlign w:val="center"/>
          </w:tcPr>
          <w:p w14:paraId="4C3D6E7E"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3:50</w:t>
            </w:r>
          </w:p>
        </w:tc>
        <w:tc>
          <w:tcPr>
            <w:tcW w:w="1276" w:type="dxa"/>
            <w:shd w:val="clear" w:color="auto" w:fill="auto"/>
            <w:vAlign w:val="center"/>
          </w:tcPr>
          <w:p w14:paraId="6BC4C53E"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1:52</w:t>
            </w:r>
          </w:p>
        </w:tc>
        <w:tc>
          <w:tcPr>
            <w:tcW w:w="851" w:type="dxa"/>
            <w:shd w:val="clear" w:color="auto" w:fill="auto"/>
            <w:vAlign w:val="center"/>
          </w:tcPr>
          <w:p w14:paraId="76CFC3D2"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hint="cs"/>
                <w:rtl/>
              </w:rPr>
              <w:t>1:58</w:t>
            </w:r>
            <w:r w:rsidRPr="00BF3027">
              <w:rPr>
                <w:rFonts w:ascii="David" w:eastAsia="Times New Roman" w:hAnsi="David" w:cs="David"/>
                <w:rtl/>
              </w:rPr>
              <w:t>+</w:t>
            </w:r>
          </w:p>
        </w:tc>
        <w:tc>
          <w:tcPr>
            <w:tcW w:w="992" w:type="dxa"/>
            <w:shd w:val="clear" w:color="auto" w:fill="auto"/>
            <w:vAlign w:val="center"/>
          </w:tcPr>
          <w:p w14:paraId="1B984980"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115</w:t>
            </w:r>
          </w:p>
        </w:tc>
      </w:tr>
      <w:tr w:rsidR="002C4CFA" w:rsidRPr="00BF3027" w14:paraId="6A307B80" w14:textId="77777777" w:rsidTr="002C4CFA">
        <w:trPr>
          <w:trHeight w:val="555"/>
        </w:trPr>
        <w:tc>
          <w:tcPr>
            <w:tcW w:w="853" w:type="dxa"/>
            <w:shd w:val="clear" w:color="auto" w:fill="D9D9D9"/>
            <w:noWrap/>
            <w:vAlign w:val="center"/>
          </w:tcPr>
          <w:p w14:paraId="421EC56C"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D9D9D9"/>
            <w:noWrap/>
            <w:vAlign w:val="center"/>
          </w:tcPr>
          <w:p w14:paraId="318892BB"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D9D9D9"/>
            <w:vAlign w:val="center"/>
          </w:tcPr>
          <w:p w14:paraId="5F71E93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ערעור שונה - אזרחי (עש"א)</w:t>
            </w:r>
          </w:p>
        </w:tc>
        <w:tc>
          <w:tcPr>
            <w:tcW w:w="1276" w:type="dxa"/>
            <w:shd w:val="clear" w:color="auto" w:fill="D9D9D9"/>
            <w:vAlign w:val="center"/>
          </w:tcPr>
          <w:p w14:paraId="300E0382"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446</w:t>
            </w:r>
          </w:p>
        </w:tc>
        <w:tc>
          <w:tcPr>
            <w:tcW w:w="1417" w:type="dxa"/>
            <w:shd w:val="clear" w:color="auto" w:fill="D9D9D9"/>
            <w:noWrap/>
            <w:vAlign w:val="center"/>
          </w:tcPr>
          <w:p w14:paraId="24A9621A"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3:49</w:t>
            </w:r>
          </w:p>
        </w:tc>
        <w:tc>
          <w:tcPr>
            <w:tcW w:w="1276" w:type="dxa"/>
            <w:shd w:val="clear" w:color="auto" w:fill="D9D9D9"/>
            <w:vAlign w:val="center"/>
          </w:tcPr>
          <w:p w14:paraId="11254B0D"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851" w:type="dxa"/>
            <w:shd w:val="clear" w:color="auto" w:fill="D9D9D9"/>
            <w:vAlign w:val="center"/>
          </w:tcPr>
          <w:p w14:paraId="5EBCEFC3"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shd w:val="clear" w:color="auto" w:fill="D9D9D9"/>
            <w:vAlign w:val="center"/>
          </w:tcPr>
          <w:p w14:paraId="1146F4F8"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115</w:t>
            </w:r>
          </w:p>
        </w:tc>
      </w:tr>
      <w:tr w:rsidR="002C4CFA" w:rsidRPr="00BF3027" w14:paraId="3CF6969B" w14:textId="77777777" w:rsidTr="002C4CFA">
        <w:trPr>
          <w:trHeight w:val="510"/>
        </w:trPr>
        <w:tc>
          <w:tcPr>
            <w:tcW w:w="853" w:type="dxa"/>
            <w:shd w:val="clear" w:color="auto" w:fill="auto"/>
            <w:noWrap/>
            <w:vAlign w:val="center"/>
          </w:tcPr>
          <w:p w14:paraId="60FEBA2F"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שלום</w:t>
            </w:r>
          </w:p>
        </w:tc>
        <w:tc>
          <w:tcPr>
            <w:tcW w:w="989" w:type="dxa"/>
            <w:shd w:val="clear" w:color="auto" w:fill="auto"/>
            <w:noWrap/>
            <w:vAlign w:val="center"/>
          </w:tcPr>
          <w:p w14:paraId="2739915D"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 ועדת ערר</w:t>
            </w:r>
          </w:p>
        </w:tc>
        <w:tc>
          <w:tcPr>
            <w:tcW w:w="1984" w:type="dxa"/>
            <w:shd w:val="clear" w:color="auto" w:fill="auto"/>
            <w:vAlign w:val="center"/>
          </w:tcPr>
          <w:p w14:paraId="668A7307"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ועדת ערר (ו"ע)</w:t>
            </w:r>
          </w:p>
        </w:tc>
        <w:tc>
          <w:tcPr>
            <w:tcW w:w="1276" w:type="dxa"/>
            <w:shd w:val="clear" w:color="auto" w:fill="auto"/>
            <w:vAlign w:val="center"/>
          </w:tcPr>
          <w:p w14:paraId="686BB001"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1,905</w:t>
            </w:r>
          </w:p>
        </w:tc>
        <w:tc>
          <w:tcPr>
            <w:tcW w:w="1417" w:type="dxa"/>
            <w:shd w:val="clear" w:color="auto" w:fill="auto"/>
            <w:noWrap/>
            <w:vAlign w:val="center"/>
          </w:tcPr>
          <w:p w14:paraId="064BF5C0"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3:38</w:t>
            </w:r>
          </w:p>
        </w:tc>
        <w:tc>
          <w:tcPr>
            <w:tcW w:w="1276" w:type="dxa"/>
            <w:shd w:val="clear" w:color="auto" w:fill="auto"/>
            <w:vAlign w:val="center"/>
          </w:tcPr>
          <w:p w14:paraId="2B1F82FE"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2:26</w:t>
            </w:r>
          </w:p>
        </w:tc>
        <w:tc>
          <w:tcPr>
            <w:tcW w:w="851" w:type="dxa"/>
            <w:shd w:val="clear" w:color="auto" w:fill="auto"/>
            <w:vAlign w:val="center"/>
          </w:tcPr>
          <w:p w14:paraId="72F1259C"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1:12</w:t>
            </w:r>
            <w:r w:rsidRPr="00BF3027">
              <w:rPr>
                <w:rFonts w:ascii="David" w:eastAsia="Times New Roman" w:hAnsi="David" w:cs="David"/>
                <w:rtl/>
              </w:rPr>
              <w:t>+</w:t>
            </w:r>
          </w:p>
        </w:tc>
        <w:tc>
          <w:tcPr>
            <w:tcW w:w="992" w:type="dxa"/>
            <w:shd w:val="clear" w:color="auto" w:fill="auto"/>
            <w:vAlign w:val="center"/>
          </w:tcPr>
          <w:p w14:paraId="283CBB9F"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109</w:t>
            </w:r>
          </w:p>
        </w:tc>
      </w:tr>
      <w:tr w:rsidR="002C4CFA" w:rsidRPr="00BF3027" w14:paraId="29932D35" w14:textId="77777777" w:rsidTr="002C4CFA">
        <w:trPr>
          <w:trHeight w:val="510"/>
        </w:trPr>
        <w:tc>
          <w:tcPr>
            <w:tcW w:w="853" w:type="dxa"/>
            <w:shd w:val="clear" w:color="auto" w:fill="D9D9D9"/>
            <w:noWrap/>
            <w:vAlign w:val="center"/>
          </w:tcPr>
          <w:p w14:paraId="5AFC9BF6"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עבודה</w:t>
            </w:r>
          </w:p>
        </w:tc>
        <w:tc>
          <w:tcPr>
            <w:tcW w:w="989" w:type="dxa"/>
            <w:shd w:val="clear" w:color="auto" w:fill="D9D9D9"/>
            <w:noWrap/>
            <w:vAlign w:val="center"/>
          </w:tcPr>
          <w:p w14:paraId="27F81C89"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D9D9D9"/>
            <w:vAlign w:val="center"/>
          </w:tcPr>
          <w:p w14:paraId="746B8A62"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ביטוח לאומי (ב"ל) – נפגעי עבודה</w:t>
            </w:r>
          </w:p>
        </w:tc>
        <w:tc>
          <w:tcPr>
            <w:tcW w:w="1276" w:type="dxa"/>
            <w:shd w:val="clear" w:color="auto" w:fill="D9D9D9"/>
            <w:vAlign w:val="center"/>
          </w:tcPr>
          <w:p w14:paraId="5CA8D0E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4,167</w:t>
            </w:r>
          </w:p>
        </w:tc>
        <w:tc>
          <w:tcPr>
            <w:tcW w:w="1417" w:type="dxa"/>
            <w:shd w:val="clear" w:color="auto" w:fill="D9D9D9"/>
            <w:noWrap/>
            <w:vAlign w:val="center"/>
          </w:tcPr>
          <w:p w14:paraId="53631F22" w14:textId="77777777" w:rsidR="002C4CFA" w:rsidRPr="00BF3027" w:rsidRDefault="002C4CFA" w:rsidP="002C4CFA">
            <w:pPr>
              <w:bidi w:val="0"/>
              <w:spacing w:after="0" w:line="240" w:lineRule="auto"/>
              <w:jc w:val="center"/>
              <w:rPr>
                <w:rFonts w:ascii="David" w:eastAsia="Times New Roman" w:hAnsi="David" w:cs="David"/>
                <w:b/>
                <w:bCs/>
                <w:rtl/>
              </w:rPr>
            </w:pPr>
            <w:r w:rsidRPr="00BF3027">
              <w:rPr>
                <w:rFonts w:ascii="David" w:eastAsia="Times New Roman" w:hAnsi="David" w:cs="David"/>
                <w:b/>
                <w:bCs/>
                <w:rtl/>
              </w:rPr>
              <w:t>3:2</w:t>
            </w:r>
            <w:r w:rsidRPr="00BF3027">
              <w:rPr>
                <w:rFonts w:ascii="David" w:eastAsia="Times New Roman" w:hAnsi="David" w:cs="David" w:hint="cs"/>
                <w:b/>
                <w:bCs/>
                <w:rtl/>
              </w:rPr>
              <w:t>9</w:t>
            </w:r>
          </w:p>
        </w:tc>
        <w:tc>
          <w:tcPr>
            <w:tcW w:w="1276" w:type="dxa"/>
            <w:shd w:val="clear" w:color="auto" w:fill="D9D9D9"/>
            <w:vAlign w:val="center"/>
          </w:tcPr>
          <w:p w14:paraId="1CAE46CD" w14:textId="77777777" w:rsidR="002C4CFA" w:rsidRPr="00BF3027" w:rsidRDefault="002C4CFA" w:rsidP="002C4CFA">
            <w:pPr>
              <w:bidi w:val="0"/>
              <w:spacing w:after="0" w:line="240" w:lineRule="auto"/>
              <w:jc w:val="center"/>
              <w:rPr>
                <w:rFonts w:ascii="David" w:eastAsia="Times New Roman" w:hAnsi="David" w:cs="David"/>
              </w:rPr>
            </w:pPr>
            <w:r w:rsidRPr="00BF3027">
              <w:rPr>
                <w:rFonts w:ascii="David" w:eastAsia="Times New Roman" w:hAnsi="David" w:cs="David"/>
                <w:rtl/>
              </w:rPr>
              <w:t>3:24</w:t>
            </w:r>
          </w:p>
        </w:tc>
        <w:tc>
          <w:tcPr>
            <w:tcW w:w="851" w:type="dxa"/>
            <w:shd w:val="clear" w:color="auto" w:fill="D9D9D9"/>
            <w:vAlign w:val="center"/>
          </w:tcPr>
          <w:p w14:paraId="64DEEC14" w14:textId="77777777" w:rsidR="002C4CFA" w:rsidRPr="00BF3027" w:rsidRDefault="002C4CFA" w:rsidP="002C4CFA">
            <w:pPr>
              <w:bidi w:val="0"/>
              <w:spacing w:after="0" w:line="240" w:lineRule="auto"/>
              <w:jc w:val="center"/>
              <w:rPr>
                <w:rFonts w:ascii="David" w:eastAsia="Times New Roman" w:hAnsi="David" w:cs="David"/>
              </w:rPr>
            </w:pPr>
            <w:r w:rsidRPr="00BF3027">
              <w:rPr>
                <w:rFonts w:ascii="David" w:eastAsia="Times New Roman" w:hAnsi="David" w:cs="David"/>
                <w:rtl/>
              </w:rPr>
              <w:t>0:0</w:t>
            </w:r>
            <w:r w:rsidRPr="00BF3027">
              <w:rPr>
                <w:rFonts w:ascii="David" w:eastAsia="Times New Roman" w:hAnsi="David" w:cs="David" w:hint="cs"/>
                <w:rtl/>
              </w:rPr>
              <w:t>5</w:t>
            </w:r>
            <w:r w:rsidRPr="00BF3027">
              <w:rPr>
                <w:rFonts w:ascii="David" w:eastAsia="Times New Roman" w:hAnsi="David" w:cs="David"/>
                <w:rtl/>
              </w:rPr>
              <w:t>+</w:t>
            </w:r>
          </w:p>
        </w:tc>
        <w:tc>
          <w:tcPr>
            <w:tcW w:w="992" w:type="dxa"/>
            <w:shd w:val="clear" w:color="auto" w:fill="D9D9D9"/>
            <w:vAlign w:val="center"/>
          </w:tcPr>
          <w:p w14:paraId="5713B1A7"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105</w:t>
            </w:r>
          </w:p>
        </w:tc>
      </w:tr>
      <w:tr w:rsidR="002C4CFA" w:rsidRPr="00BF3027" w14:paraId="56A78B40" w14:textId="77777777" w:rsidTr="002C4CFA">
        <w:trPr>
          <w:trHeight w:val="630"/>
        </w:trPr>
        <w:tc>
          <w:tcPr>
            <w:tcW w:w="853" w:type="dxa"/>
            <w:shd w:val="clear" w:color="auto" w:fill="auto"/>
            <w:noWrap/>
            <w:vAlign w:val="center"/>
          </w:tcPr>
          <w:p w14:paraId="0E3A266B"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auto"/>
            <w:noWrap/>
            <w:vAlign w:val="center"/>
          </w:tcPr>
          <w:p w14:paraId="67E09A61"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auto"/>
            <w:vAlign w:val="center"/>
          </w:tcPr>
          <w:p w14:paraId="2E8F6E5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אזרחי בסדר דין רגיל (ת"א)-נזקי רכוש - רכב</w:t>
            </w:r>
          </w:p>
        </w:tc>
        <w:tc>
          <w:tcPr>
            <w:tcW w:w="1276" w:type="dxa"/>
            <w:shd w:val="clear" w:color="auto" w:fill="auto"/>
            <w:vAlign w:val="center"/>
          </w:tcPr>
          <w:p w14:paraId="4F88665B"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874</w:t>
            </w:r>
          </w:p>
        </w:tc>
        <w:tc>
          <w:tcPr>
            <w:tcW w:w="1417" w:type="dxa"/>
            <w:shd w:val="clear" w:color="auto" w:fill="auto"/>
            <w:noWrap/>
            <w:vAlign w:val="center"/>
          </w:tcPr>
          <w:p w14:paraId="3ECB82BB"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3:23</w:t>
            </w:r>
          </w:p>
        </w:tc>
        <w:tc>
          <w:tcPr>
            <w:tcW w:w="1276" w:type="dxa"/>
            <w:shd w:val="clear" w:color="auto" w:fill="auto"/>
            <w:vAlign w:val="center"/>
          </w:tcPr>
          <w:p w14:paraId="20631953"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w:t>
            </w:r>
          </w:p>
        </w:tc>
        <w:tc>
          <w:tcPr>
            <w:tcW w:w="851" w:type="dxa"/>
            <w:shd w:val="clear" w:color="auto" w:fill="auto"/>
            <w:vAlign w:val="center"/>
          </w:tcPr>
          <w:p w14:paraId="14CF5361"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shd w:val="clear" w:color="auto" w:fill="auto"/>
            <w:vAlign w:val="center"/>
          </w:tcPr>
          <w:p w14:paraId="70BE7BFD"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102</w:t>
            </w:r>
          </w:p>
        </w:tc>
      </w:tr>
      <w:tr w:rsidR="002C4CFA" w:rsidRPr="00BF3027" w14:paraId="19714EED" w14:textId="77777777" w:rsidTr="002C4CFA">
        <w:trPr>
          <w:trHeight w:val="471"/>
        </w:trPr>
        <w:tc>
          <w:tcPr>
            <w:tcW w:w="853" w:type="dxa"/>
            <w:shd w:val="clear" w:color="auto" w:fill="D9D9D9"/>
            <w:noWrap/>
            <w:vAlign w:val="center"/>
          </w:tcPr>
          <w:p w14:paraId="7495F747"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D9D9D9"/>
            <w:noWrap/>
            <w:vAlign w:val="center"/>
          </w:tcPr>
          <w:p w14:paraId="383C679D"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עניינים מנהליים/ אזרחי</w:t>
            </w:r>
          </w:p>
        </w:tc>
        <w:tc>
          <w:tcPr>
            <w:tcW w:w="1984" w:type="dxa"/>
            <w:shd w:val="clear" w:color="auto" w:fill="D9D9D9"/>
            <w:vAlign w:val="center"/>
          </w:tcPr>
          <w:p w14:paraId="005FBF97"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ערעור על ועדה (ע"ו)</w:t>
            </w:r>
          </w:p>
        </w:tc>
        <w:tc>
          <w:tcPr>
            <w:tcW w:w="1276" w:type="dxa"/>
            <w:shd w:val="clear" w:color="auto" w:fill="D9D9D9"/>
            <w:vAlign w:val="center"/>
          </w:tcPr>
          <w:p w14:paraId="7445B741"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1,034</w:t>
            </w:r>
          </w:p>
        </w:tc>
        <w:tc>
          <w:tcPr>
            <w:tcW w:w="1417" w:type="dxa"/>
            <w:shd w:val="clear" w:color="auto" w:fill="D9D9D9"/>
            <w:noWrap/>
            <w:vAlign w:val="center"/>
          </w:tcPr>
          <w:p w14:paraId="319429AF"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3:16</w:t>
            </w:r>
          </w:p>
        </w:tc>
        <w:tc>
          <w:tcPr>
            <w:tcW w:w="1276" w:type="dxa"/>
            <w:shd w:val="clear" w:color="auto" w:fill="D9D9D9"/>
            <w:vAlign w:val="center"/>
          </w:tcPr>
          <w:p w14:paraId="1C0FE42F"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5:58</w:t>
            </w:r>
          </w:p>
        </w:tc>
        <w:tc>
          <w:tcPr>
            <w:tcW w:w="851" w:type="dxa"/>
            <w:shd w:val="clear" w:color="auto" w:fill="D9D9D9"/>
            <w:vAlign w:val="center"/>
          </w:tcPr>
          <w:p w14:paraId="28B1AF19"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-2:42</w:t>
            </w:r>
          </w:p>
        </w:tc>
        <w:tc>
          <w:tcPr>
            <w:tcW w:w="992" w:type="dxa"/>
            <w:shd w:val="clear" w:color="auto" w:fill="D9D9D9"/>
            <w:vAlign w:val="center"/>
          </w:tcPr>
          <w:p w14:paraId="43972B9F"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98</w:t>
            </w:r>
          </w:p>
        </w:tc>
      </w:tr>
      <w:tr w:rsidR="002C4CFA" w:rsidRPr="00BF3027" w14:paraId="080E3198" w14:textId="77777777" w:rsidTr="002C4CFA">
        <w:trPr>
          <w:trHeight w:val="531"/>
        </w:trPr>
        <w:tc>
          <w:tcPr>
            <w:tcW w:w="853" w:type="dxa"/>
            <w:shd w:val="clear" w:color="auto" w:fill="auto"/>
            <w:noWrap/>
            <w:vAlign w:val="center"/>
          </w:tcPr>
          <w:p w14:paraId="2AED9D9C"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auto"/>
            <w:noWrap/>
            <w:vAlign w:val="center"/>
          </w:tcPr>
          <w:p w14:paraId="78C4366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auto"/>
            <w:vAlign w:val="center"/>
          </w:tcPr>
          <w:p w14:paraId="1A67C0E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אזרחי בסדר דין רגיל (ת"א)-קניין רוחני*</w:t>
            </w:r>
          </w:p>
        </w:tc>
        <w:tc>
          <w:tcPr>
            <w:tcW w:w="1276" w:type="dxa"/>
            <w:shd w:val="clear" w:color="auto" w:fill="auto"/>
            <w:vAlign w:val="center"/>
          </w:tcPr>
          <w:p w14:paraId="195FE2F1"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287</w:t>
            </w:r>
          </w:p>
        </w:tc>
        <w:tc>
          <w:tcPr>
            <w:tcW w:w="1417" w:type="dxa"/>
            <w:shd w:val="clear" w:color="auto" w:fill="auto"/>
            <w:noWrap/>
            <w:vAlign w:val="center"/>
          </w:tcPr>
          <w:p w14:paraId="0E91F18C"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3:12</w:t>
            </w:r>
          </w:p>
        </w:tc>
        <w:tc>
          <w:tcPr>
            <w:tcW w:w="1276" w:type="dxa"/>
            <w:shd w:val="clear" w:color="auto" w:fill="auto"/>
            <w:vAlign w:val="center"/>
          </w:tcPr>
          <w:p w14:paraId="0FEC51F7"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w:t>
            </w:r>
          </w:p>
        </w:tc>
        <w:tc>
          <w:tcPr>
            <w:tcW w:w="851" w:type="dxa"/>
            <w:shd w:val="clear" w:color="auto" w:fill="auto"/>
            <w:vAlign w:val="center"/>
          </w:tcPr>
          <w:p w14:paraId="78113CDB"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shd w:val="clear" w:color="auto" w:fill="auto"/>
            <w:vAlign w:val="center"/>
          </w:tcPr>
          <w:p w14:paraId="48588C61"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96</w:t>
            </w:r>
          </w:p>
        </w:tc>
      </w:tr>
      <w:tr w:rsidR="002C4CFA" w:rsidRPr="00BF3027" w14:paraId="54D73BDE" w14:textId="77777777" w:rsidTr="002C4CFA">
        <w:trPr>
          <w:trHeight w:val="531"/>
        </w:trPr>
        <w:tc>
          <w:tcPr>
            <w:tcW w:w="853" w:type="dxa"/>
            <w:shd w:val="clear" w:color="auto" w:fill="D0CECE" w:themeFill="background2" w:themeFillShade="E6"/>
            <w:noWrap/>
            <w:vAlign w:val="center"/>
          </w:tcPr>
          <w:p w14:paraId="23914B38"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D0CECE" w:themeFill="background2" w:themeFillShade="E6"/>
            <w:noWrap/>
            <w:vAlign w:val="center"/>
          </w:tcPr>
          <w:p w14:paraId="17FF634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D0CECE" w:themeFill="background2" w:themeFillShade="E6"/>
            <w:vAlign w:val="center"/>
          </w:tcPr>
          <w:p w14:paraId="3B8FB27E"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המרצת פתיחה (ה"פ)</w:t>
            </w:r>
          </w:p>
        </w:tc>
        <w:tc>
          <w:tcPr>
            <w:tcW w:w="1276" w:type="dxa"/>
            <w:shd w:val="clear" w:color="auto" w:fill="D0CECE" w:themeFill="background2" w:themeFillShade="E6"/>
            <w:vAlign w:val="center"/>
          </w:tcPr>
          <w:p w14:paraId="12BF6B9C"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1,992</w:t>
            </w:r>
          </w:p>
        </w:tc>
        <w:tc>
          <w:tcPr>
            <w:tcW w:w="1417" w:type="dxa"/>
            <w:shd w:val="clear" w:color="auto" w:fill="D0CECE" w:themeFill="background2" w:themeFillShade="E6"/>
            <w:noWrap/>
            <w:vAlign w:val="center"/>
          </w:tcPr>
          <w:p w14:paraId="548FFF5C"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3:04</w:t>
            </w:r>
          </w:p>
        </w:tc>
        <w:tc>
          <w:tcPr>
            <w:tcW w:w="1276" w:type="dxa"/>
            <w:shd w:val="clear" w:color="auto" w:fill="D0CECE" w:themeFill="background2" w:themeFillShade="E6"/>
            <w:vAlign w:val="center"/>
          </w:tcPr>
          <w:p w14:paraId="33445566"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2:31</w:t>
            </w:r>
          </w:p>
        </w:tc>
        <w:tc>
          <w:tcPr>
            <w:tcW w:w="851" w:type="dxa"/>
            <w:shd w:val="clear" w:color="auto" w:fill="D0CECE" w:themeFill="background2" w:themeFillShade="E6"/>
            <w:vAlign w:val="center"/>
          </w:tcPr>
          <w:p w14:paraId="5F8CEFE3"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0:</w:t>
            </w:r>
            <w:r w:rsidRPr="00BF3027">
              <w:rPr>
                <w:rFonts w:ascii="David" w:eastAsia="Times New Roman" w:hAnsi="David" w:cs="David" w:hint="cs"/>
                <w:rtl/>
              </w:rPr>
              <w:t>33</w:t>
            </w:r>
            <w:r w:rsidRPr="00BF3027">
              <w:rPr>
                <w:rFonts w:ascii="David" w:eastAsia="Times New Roman" w:hAnsi="David" w:cs="David"/>
                <w:rtl/>
              </w:rPr>
              <w:t>+</w:t>
            </w:r>
          </w:p>
        </w:tc>
        <w:tc>
          <w:tcPr>
            <w:tcW w:w="992" w:type="dxa"/>
            <w:shd w:val="clear" w:color="auto" w:fill="D0CECE" w:themeFill="background2" w:themeFillShade="E6"/>
            <w:vAlign w:val="center"/>
          </w:tcPr>
          <w:p w14:paraId="3CDBBC65"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92</w:t>
            </w:r>
          </w:p>
        </w:tc>
      </w:tr>
      <w:tr w:rsidR="002C4CFA" w:rsidRPr="00BF3027" w14:paraId="0E0B82BE" w14:textId="77777777" w:rsidTr="002C4CFA">
        <w:trPr>
          <w:trHeight w:val="531"/>
        </w:trPr>
        <w:tc>
          <w:tcPr>
            <w:tcW w:w="853" w:type="dxa"/>
            <w:shd w:val="clear" w:color="auto" w:fill="auto"/>
            <w:noWrap/>
            <w:vAlign w:val="center"/>
          </w:tcPr>
          <w:p w14:paraId="602090E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auto"/>
            <w:noWrap/>
            <w:vAlign w:val="center"/>
          </w:tcPr>
          <w:p w14:paraId="5C650022"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פלילי</w:t>
            </w:r>
          </w:p>
        </w:tc>
        <w:tc>
          <w:tcPr>
            <w:tcW w:w="1984" w:type="dxa"/>
            <w:shd w:val="clear" w:color="auto" w:fill="auto"/>
            <w:vAlign w:val="center"/>
          </w:tcPr>
          <w:p w14:paraId="29C2F3FE"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פיקוח על עבריין מין (פע"מ)</w:t>
            </w:r>
          </w:p>
        </w:tc>
        <w:tc>
          <w:tcPr>
            <w:tcW w:w="1276" w:type="dxa"/>
            <w:shd w:val="clear" w:color="auto" w:fill="auto"/>
            <w:vAlign w:val="center"/>
          </w:tcPr>
          <w:p w14:paraId="3717105F"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350</w:t>
            </w:r>
          </w:p>
        </w:tc>
        <w:tc>
          <w:tcPr>
            <w:tcW w:w="1417" w:type="dxa"/>
            <w:shd w:val="clear" w:color="auto" w:fill="auto"/>
            <w:noWrap/>
            <w:vAlign w:val="center"/>
          </w:tcPr>
          <w:p w14:paraId="0ADBCFBA"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3:00</w:t>
            </w:r>
          </w:p>
        </w:tc>
        <w:tc>
          <w:tcPr>
            <w:tcW w:w="1276" w:type="dxa"/>
            <w:shd w:val="clear" w:color="auto" w:fill="auto"/>
            <w:vAlign w:val="center"/>
          </w:tcPr>
          <w:p w14:paraId="2DBCC36D"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851" w:type="dxa"/>
            <w:shd w:val="clear" w:color="auto" w:fill="auto"/>
            <w:vAlign w:val="center"/>
          </w:tcPr>
          <w:p w14:paraId="3DA1F08F"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shd w:val="clear" w:color="auto" w:fill="auto"/>
            <w:vAlign w:val="center"/>
          </w:tcPr>
          <w:p w14:paraId="08966E20"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90</w:t>
            </w:r>
          </w:p>
        </w:tc>
      </w:tr>
      <w:tr w:rsidR="002C4CFA" w:rsidRPr="00BF3027" w14:paraId="6965BAC9" w14:textId="77777777" w:rsidTr="002C4CFA">
        <w:trPr>
          <w:trHeight w:val="630"/>
        </w:trPr>
        <w:tc>
          <w:tcPr>
            <w:tcW w:w="853" w:type="dxa"/>
            <w:tcBorders>
              <w:bottom w:val="single" w:sz="4" w:space="0" w:color="auto"/>
            </w:tcBorders>
            <w:shd w:val="clear" w:color="auto" w:fill="D9D9D9"/>
            <w:noWrap/>
            <w:vAlign w:val="center"/>
          </w:tcPr>
          <w:p w14:paraId="6AA3609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tcBorders>
              <w:bottom w:val="single" w:sz="4" w:space="0" w:color="auto"/>
            </w:tcBorders>
            <w:shd w:val="clear" w:color="auto" w:fill="D9D9D9"/>
            <w:noWrap/>
            <w:vAlign w:val="center"/>
          </w:tcPr>
          <w:p w14:paraId="18BCF86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tcBorders>
              <w:bottom w:val="single" w:sz="4" w:space="0" w:color="auto"/>
            </w:tcBorders>
            <w:shd w:val="clear" w:color="auto" w:fill="D9D9D9"/>
            <w:vAlign w:val="center"/>
          </w:tcPr>
          <w:p w14:paraId="2491DA03"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צו מניעה - סגירה מנהלית לעסק (צ"מ)</w:t>
            </w:r>
          </w:p>
        </w:tc>
        <w:tc>
          <w:tcPr>
            <w:tcW w:w="1276" w:type="dxa"/>
            <w:tcBorders>
              <w:bottom w:val="single" w:sz="4" w:space="0" w:color="auto"/>
            </w:tcBorders>
            <w:shd w:val="clear" w:color="auto" w:fill="D9D9D9"/>
            <w:vAlign w:val="center"/>
          </w:tcPr>
          <w:p w14:paraId="0A657C16"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36</w:t>
            </w:r>
          </w:p>
        </w:tc>
        <w:tc>
          <w:tcPr>
            <w:tcW w:w="1417" w:type="dxa"/>
            <w:tcBorders>
              <w:bottom w:val="single" w:sz="4" w:space="0" w:color="auto"/>
            </w:tcBorders>
            <w:shd w:val="clear" w:color="auto" w:fill="D9D9D9"/>
            <w:noWrap/>
            <w:vAlign w:val="center"/>
          </w:tcPr>
          <w:p w14:paraId="7256070B"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2:53</w:t>
            </w:r>
          </w:p>
        </w:tc>
        <w:tc>
          <w:tcPr>
            <w:tcW w:w="1276" w:type="dxa"/>
            <w:tcBorders>
              <w:bottom w:val="single" w:sz="4" w:space="0" w:color="auto"/>
            </w:tcBorders>
            <w:shd w:val="clear" w:color="auto" w:fill="D9D9D9"/>
            <w:vAlign w:val="center"/>
          </w:tcPr>
          <w:p w14:paraId="695933E5"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851" w:type="dxa"/>
            <w:tcBorders>
              <w:bottom w:val="single" w:sz="4" w:space="0" w:color="auto"/>
            </w:tcBorders>
            <w:shd w:val="clear" w:color="auto" w:fill="D9D9D9"/>
            <w:vAlign w:val="center"/>
          </w:tcPr>
          <w:p w14:paraId="1E28BE9F"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992" w:type="dxa"/>
            <w:tcBorders>
              <w:bottom w:val="single" w:sz="4" w:space="0" w:color="auto"/>
            </w:tcBorders>
            <w:shd w:val="clear" w:color="auto" w:fill="D9D9D9"/>
            <w:vAlign w:val="center"/>
          </w:tcPr>
          <w:p w14:paraId="1C2598DB"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87</w:t>
            </w:r>
          </w:p>
        </w:tc>
      </w:tr>
      <w:tr w:rsidR="002C4CFA" w:rsidRPr="00BF3027" w14:paraId="03E506DF" w14:textId="77777777" w:rsidTr="002C4CFA">
        <w:trPr>
          <w:trHeight w:val="630"/>
        </w:trPr>
        <w:tc>
          <w:tcPr>
            <w:tcW w:w="853" w:type="dxa"/>
            <w:tcBorders>
              <w:top w:val="single" w:sz="4" w:space="0" w:color="auto"/>
              <w:bottom w:val="single" w:sz="4" w:space="0" w:color="auto"/>
            </w:tcBorders>
            <w:shd w:val="clear" w:color="auto" w:fill="auto"/>
            <w:noWrap/>
            <w:vAlign w:val="center"/>
          </w:tcPr>
          <w:p w14:paraId="7EBB97D1"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tcBorders>
              <w:top w:val="single" w:sz="4" w:space="0" w:color="auto"/>
              <w:bottom w:val="single" w:sz="4" w:space="0" w:color="auto"/>
            </w:tcBorders>
            <w:shd w:val="clear" w:color="auto" w:fill="auto"/>
            <w:noWrap/>
            <w:vAlign w:val="center"/>
          </w:tcPr>
          <w:p w14:paraId="7DBC3538"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hint="cs"/>
                <w:rtl/>
              </w:rPr>
              <w:t>מעצרים/</w:t>
            </w:r>
            <w:r w:rsidRPr="00BF3027">
              <w:rPr>
                <w:rFonts w:ascii="David" w:eastAsia="Times New Roman" w:hAnsi="David" w:cs="David"/>
                <w:rtl/>
              </w:rPr>
              <w:t xml:space="preserve">ערעור </w:t>
            </w:r>
            <w:r w:rsidRPr="00BF3027">
              <w:rPr>
                <w:rFonts w:ascii="David" w:eastAsia="Times New Roman" w:hAnsi="David" w:cs="David" w:hint="cs"/>
                <w:rtl/>
              </w:rPr>
              <w:t>פלילי/ פלילי</w:t>
            </w:r>
          </w:p>
        </w:tc>
        <w:tc>
          <w:tcPr>
            <w:tcW w:w="1984" w:type="dxa"/>
            <w:tcBorders>
              <w:top w:val="single" w:sz="4" w:space="0" w:color="auto"/>
              <w:bottom w:val="single" w:sz="4" w:space="0" w:color="auto"/>
            </w:tcBorders>
            <w:shd w:val="clear" w:color="auto" w:fill="auto"/>
            <w:vAlign w:val="center"/>
          </w:tcPr>
          <w:p w14:paraId="38528EC5"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ערר אחר (ע"ח)</w:t>
            </w:r>
          </w:p>
        </w:tc>
        <w:tc>
          <w:tcPr>
            <w:tcW w:w="1276" w:type="dxa"/>
            <w:tcBorders>
              <w:top w:val="single" w:sz="4" w:space="0" w:color="auto"/>
              <w:bottom w:val="single" w:sz="4" w:space="0" w:color="auto"/>
            </w:tcBorders>
            <w:shd w:val="clear" w:color="auto" w:fill="auto"/>
            <w:vAlign w:val="center"/>
          </w:tcPr>
          <w:p w14:paraId="523BE4EC" w14:textId="77777777" w:rsidR="002C4CFA" w:rsidRPr="00BF3027" w:rsidRDefault="002C4CFA" w:rsidP="002C4CFA">
            <w:pPr>
              <w:spacing w:after="0" w:line="240" w:lineRule="auto"/>
              <w:jc w:val="center"/>
              <w:rPr>
                <w:rFonts w:asciiTheme="minorHAnsi" w:eastAsia="Times New Roman" w:hAnsiTheme="minorHAnsi" w:cs="David"/>
                <w:rtl/>
              </w:rPr>
            </w:pPr>
            <w:r w:rsidRPr="00BF3027">
              <w:rPr>
                <w:rFonts w:ascii="David" w:eastAsia="Times New Roman" w:hAnsi="David" w:cs="David"/>
                <w:rtl/>
              </w:rPr>
              <w:t>624</w:t>
            </w:r>
          </w:p>
        </w:tc>
        <w:tc>
          <w:tcPr>
            <w:tcW w:w="1417" w:type="dxa"/>
            <w:tcBorders>
              <w:top w:val="single" w:sz="4" w:space="0" w:color="auto"/>
              <w:bottom w:val="single" w:sz="4" w:space="0" w:color="auto"/>
            </w:tcBorders>
            <w:shd w:val="clear" w:color="auto" w:fill="auto"/>
            <w:noWrap/>
            <w:vAlign w:val="center"/>
          </w:tcPr>
          <w:p w14:paraId="5ECA04E7"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2:53</w:t>
            </w:r>
          </w:p>
        </w:tc>
        <w:tc>
          <w:tcPr>
            <w:tcW w:w="1276" w:type="dxa"/>
            <w:tcBorders>
              <w:top w:val="single" w:sz="4" w:space="0" w:color="auto"/>
              <w:bottom w:val="single" w:sz="4" w:space="0" w:color="auto"/>
            </w:tcBorders>
            <w:shd w:val="clear" w:color="auto" w:fill="auto"/>
            <w:vAlign w:val="center"/>
          </w:tcPr>
          <w:p w14:paraId="072B0397"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851" w:type="dxa"/>
            <w:tcBorders>
              <w:top w:val="single" w:sz="4" w:space="0" w:color="auto"/>
              <w:bottom w:val="single" w:sz="4" w:space="0" w:color="auto"/>
            </w:tcBorders>
            <w:shd w:val="clear" w:color="auto" w:fill="auto"/>
            <w:vAlign w:val="center"/>
          </w:tcPr>
          <w:p w14:paraId="18355A07"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992" w:type="dxa"/>
            <w:tcBorders>
              <w:top w:val="single" w:sz="4" w:space="0" w:color="auto"/>
              <w:bottom w:val="single" w:sz="4" w:space="0" w:color="auto"/>
            </w:tcBorders>
            <w:shd w:val="clear" w:color="auto" w:fill="auto"/>
            <w:vAlign w:val="center"/>
          </w:tcPr>
          <w:p w14:paraId="51CB6B6D"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87</w:t>
            </w:r>
          </w:p>
        </w:tc>
      </w:tr>
      <w:tr w:rsidR="002C4CFA" w:rsidRPr="00BF3027" w14:paraId="1B077842" w14:textId="77777777" w:rsidTr="002C4CFA">
        <w:trPr>
          <w:trHeight w:val="416"/>
        </w:trPr>
        <w:tc>
          <w:tcPr>
            <w:tcW w:w="853" w:type="dxa"/>
            <w:tcBorders>
              <w:top w:val="single" w:sz="4" w:space="0" w:color="auto"/>
              <w:bottom w:val="single" w:sz="4" w:space="0" w:color="auto"/>
            </w:tcBorders>
            <w:shd w:val="clear" w:color="auto" w:fill="D9D9D9"/>
            <w:noWrap/>
            <w:vAlign w:val="center"/>
          </w:tcPr>
          <w:p w14:paraId="04455D6D"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מחוזי</w:t>
            </w:r>
          </w:p>
        </w:tc>
        <w:tc>
          <w:tcPr>
            <w:tcW w:w="989" w:type="dxa"/>
            <w:tcBorders>
              <w:top w:val="single" w:sz="4" w:space="0" w:color="auto"/>
              <w:bottom w:val="single" w:sz="4" w:space="0" w:color="auto"/>
            </w:tcBorders>
            <w:shd w:val="clear" w:color="auto" w:fill="D9D9D9"/>
            <w:noWrap/>
            <w:vAlign w:val="center"/>
          </w:tcPr>
          <w:p w14:paraId="741DCBDA"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ערעור פלילי</w:t>
            </w:r>
          </w:p>
        </w:tc>
        <w:tc>
          <w:tcPr>
            <w:tcW w:w="1984" w:type="dxa"/>
            <w:tcBorders>
              <w:top w:val="single" w:sz="4" w:space="0" w:color="auto"/>
              <w:bottom w:val="single" w:sz="4" w:space="0" w:color="auto"/>
            </w:tcBorders>
            <w:shd w:val="clear" w:color="auto" w:fill="D9D9D9"/>
            <w:vAlign w:val="center"/>
          </w:tcPr>
          <w:p w14:paraId="36225F4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ערעור פלילי תעבורה (עפ"ת)</w:t>
            </w:r>
          </w:p>
        </w:tc>
        <w:tc>
          <w:tcPr>
            <w:tcW w:w="1276" w:type="dxa"/>
            <w:tcBorders>
              <w:top w:val="single" w:sz="4" w:space="0" w:color="auto"/>
              <w:bottom w:val="single" w:sz="4" w:space="0" w:color="auto"/>
            </w:tcBorders>
            <w:shd w:val="clear" w:color="auto" w:fill="D9D9D9"/>
            <w:vAlign w:val="center"/>
          </w:tcPr>
          <w:p w14:paraId="5FAF2FF1"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1,289</w:t>
            </w:r>
          </w:p>
        </w:tc>
        <w:tc>
          <w:tcPr>
            <w:tcW w:w="1417" w:type="dxa"/>
            <w:tcBorders>
              <w:top w:val="single" w:sz="4" w:space="0" w:color="auto"/>
              <w:bottom w:val="single" w:sz="4" w:space="0" w:color="auto"/>
            </w:tcBorders>
            <w:shd w:val="clear" w:color="auto" w:fill="D9D9D9"/>
            <w:noWrap/>
            <w:vAlign w:val="center"/>
          </w:tcPr>
          <w:p w14:paraId="5ECF0D03"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2:50</w:t>
            </w:r>
          </w:p>
        </w:tc>
        <w:tc>
          <w:tcPr>
            <w:tcW w:w="1276" w:type="dxa"/>
            <w:tcBorders>
              <w:top w:val="single" w:sz="4" w:space="0" w:color="auto"/>
              <w:bottom w:val="single" w:sz="4" w:space="0" w:color="auto"/>
            </w:tcBorders>
            <w:shd w:val="clear" w:color="auto" w:fill="D9D9D9"/>
            <w:vAlign w:val="center"/>
          </w:tcPr>
          <w:p w14:paraId="48330B79"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4:23</w:t>
            </w:r>
          </w:p>
        </w:tc>
        <w:tc>
          <w:tcPr>
            <w:tcW w:w="851" w:type="dxa"/>
            <w:tcBorders>
              <w:top w:val="single" w:sz="4" w:space="0" w:color="auto"/>
              <w:bottom w:val="single" w:sz="4" w:space="0" w:color="auto"/>
            </w:tcBorders>
            <w:shd w:val="clear" w:color="auto" w:fill="D9D9D9"/>
            <w:vAlign w:val="center"/>
          </w:tcPr>
          <w:p w14:paraId="694C038F"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-1:33</w:t>
            </w:r>
          </w:p>
        </w:tc>
        <w:tc>
          <w:tcPr>
            <w:tcW w:w="992" w:type="dxa"/>
            <w:tcBorders>
              <w:top w:val="single" w:sz="4" w:space="0" w:color="auto"/>
              <w:bottom w:val="single" w:sz="4" w:space="0" w:color="auto"/>
            </w:tcBorders>
            <w:shd w:val="clear" w:color="auto" w:fill="D9D9D9"/>
            <w:vAlign w:val="center"/>
          </w:tcPr>
          <w:p w14:paraId="243186A7"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85</w:t>
            </w:r>
          </w:p>
        </w:tc>
      </w:tr>
      <w:tr w:rsidR="002C4CFA" w:rsidRPr="00BF3027" w14:paraId="43C38FB2" w14:textId="77777777" w:rsidTr="002C4CFA">
        <w:trPr>
          <w:trHeight w:val="614"/>
        </w:trPr>
        <w:tc>
          <w:tcPr>
            <w:tcW w:w="853" w:type="dxa"/>
            <w:tcBorders>
              <w:top w:val="single" w:sz="4" w:space="0" w:color="auto"/>
            </w:tcBorders>
            <w:shd w:val="clear" w:color="auto" w:fill="auto"/>
            <w:noWrap/>
            <w:vAlign w:val="center"/>
          </w:tcPr>
          <w:p w14:paraId="089D2950"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tcBorders>
              <w:top w:val="single" w:sz="4" w:space="0" w:color="auto"/>
            </w:tcBorders>
            <w:shd w:val="clear" w:color="auto" w:fill="auto"/>
            <w:noWrap/>
            <w:vAlign w:val="center"/>
          </w:tcPr>
          <w:p w14:paraId="1046916C"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עניינים מקומיים</w:t>
            </w:r>
          </w:p>
        </w:tc>
        <w:tc>
          <w:tcPr>
            <w:tcW w:w="1984" w:type="dxa"/>
            <w:tcBorders>
              <w:top w:val="single" w:sz="4" w:space="0" w:color="auto"/>
            </w:tcBorders>
            <w:shd w:val="clear" w:color="auto" w:fill="auto"/>
            <w:vAlign w:val="center"/>
          </w:tcPr>
          <w:p w14:paraId="7E4587EA"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עניינים מקומיים אחרים (עמ"א)</w:t>
            </w:r>
          </w:p>
        </w:tc>
        <w:tc>
          <w:tcPr>
            <w:tcW w:w="1276" w:type="dxa"/>
            <w:tcBorders>
              <w:top w:val="single" w:sz="4" w:space="0" w:color="auto"/>
            </w:tcBorders>
            <w:shd w:val="clear" w:color="auto" w:fill="auto"/>
            <w:vAlign w:val="center"/>
          </w:tcPr>
          <w:p w14:paraId="4C7C183D"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501</w:t>
            </w:r>
          </w:p>
        </w:tc>
        <w:tc>
          <w:tcPr>
            <w:tcW w:w="1417" w:type="dxa"/>
            <w:tcBorders>
              <w:top w:val="single" w:sz="4" w:space="0" w:color="auto"/>
            </w:tcBorders>
            <w:shd w:val="clear" w:color="auto" w:fill="auto"/>
            <w:noWrap/>
            <w:vAlign w:val="center"/>
          </w:tcPr>
          <w:p w14:paraId="4FBABC4B"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2:49</w:t>
            </w:r>
          </w:p>
        </w:tc>
        <w:tc>
          <w:tcPr>
            <w:tcW w:w="1276" w:type="dxa"/>
            <w:tcBorders>
              <w:top w:val="single" w:sz="4" w:space="0" w:color="auto"/>
            </w:tcBorders>
            <w:shd w:val="clear" w:color="auto" w:fill="auto"/>
            <w:vAlign w:val="center"/>
          </w:tcPr>
          <w:p w14:paraId="49D664CF"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851" w:type="dxa"/>
            <w:tcBorders>
              <w:top w:val="single" w:sz="4" w:space="0" w:color="auto"/>
            </w:tcBorders>
            <w:shd w:val="clear" w:color="auto" w:fill="auto"/>
            <w:vAlign w:val="center"/>
          </w:tcPr>
          <w:p w14:paraId="40E631B1"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tcBorders>
              <w:top w:val="single" w:sz="4" w:space="0" w:color="auto"/>
            </w:tcBorders>
            <w:shd w:val="clear" w:color="auto" w:fill="auto"/>
            <w:vAlign w:val="center"/>
          </w:tcPr>
          <w:p w14:paraId="5A0D1AA2"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85</w:t>
            </w:r>
          </w:p>
        </w:tc>
      </w:tr>
      <w:tr w:rsidR="002C4CFA" w:rsidRPr="00BF3027" w14:paraId="04B91A17" w14:textId="77777777" w:rsidTr="002C4CFA">
        <w:trPr>
          <w:trHeight w:val="422"/>
        </w:trPr>
        <w:tc>
          <w:tcPr>
            <w:tcW w:w="853" w:type="dxa"/>
            <w:shd w:val="clear" w:color="auto" w:fill="D9D9D9"/>
            <w:noWrap/>
            <w:vAlign w:val="center"/>
          </w:tcPr>
          <w:p w14:paraId="406C672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D9D9D9"/>
            <w:noWrap/>
            <w:vAlign w:val="center"/>
          </w:tcPr>
          <w:p w14:paraId="19BDDB39"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D9D9D9"/>
            <w:vAlign w:val="center"/>
          </w:tcPr>
          <w:p w14:paraId="238FD8F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ערעור על החלטת רשם (ע"ר)*</w:t>
            </w:r>
          </w:p>
        </w:tc>
        <w:tc>
          <w:tcPr>
            <w:tcW w:w="1276" w:type="dxa"/>
            <w:shd w:val="clear" w:color="auto" w:fill="D9D9D9"/>
            <w:vAlign w:val="center"/>
          </w:tcPr>
          <w:p w14:paraId="6082A171"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123</w:t>
            </w:r>
          </w:p>
        </w:tc>
        <w:tc>
          <w:tcPr>
            <w:tcW w:w="1417" w:type="dxa"/>
            <w:shd w:val="clear" w:color="auto" w:fill="D9D9D9"/>
            <w:noWrap/>
            <w:vAlign w:val="center"/>
          </w:tcPr>
          <w:p w14:paraId="0E784A9D"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2:42</w:t>
            </w:r>
          </w:p>
        </w:tc>
        <w:tc>
          <w:tcPr>
            <w:tcW w:w="1276" w:type="dxa"/>
            <w:shd w:val="clear" w:color="auto" w:fill="D9D9D9"/>
            <w:vAlign w:val="center"/>
          </w:tcPr>
          <w:p w14:paraId="37D3255A"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851" w:type="dxa"/>
            <w:shd w:val="clear" w:color="auto" w:fill="D9D9D9"/>
            <w:vAlign w:val="center"/>
          </w:tcPr>
          <w:p w14:paraId="3A4CD000"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shd w:val="clear" w:color="auto" w:fill="D9D9D9"/>
            <w:vAlign w:val="center"/>
          </w:tcPr>
          <w:p w14:paraId="2FD475D4"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81</w:t>
            </w:r>
          </w:p>
        </w:tc>
      </w:tr>
      <w:tr w:rsidR="002C4CFA" w:rsidRPr="00BF3027" w14:paraId="23F96A01" w14:textId="77777777" w:rsidTr="002C4CFA">
        <w:trPr>
          <w:trHeight w:val="663"/>
        </w:trPr>
        <w:tc>
          <w:tcPr>
            <w:tcW w:w="853" w:type="dxa"/>
            <w:shd w:val="clear" w:color="auto" w:fill="auto"/>
            <w:noWrap/>
            <w:vAlign w:val="center"/>
          </w:tcPr>
          <w:p w14:paraId="4C2A9030"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auto"/>
            <w:noWrap/>
            <w:vAlign w:val="center"/>
          </w:tcPr>
          <w:p w14:paraId="17EA653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מעצרים/ פלילי</w:t>
            </w:r>
          </w:p>
        </w:tc>
        <w:tc>
          <w:tcPr>
            <w:tcW w:w="1984" w:type="dxa"/>
            <w:shd w:val="clear" w:color="auto" w:fill="auto"/>
            <w:vAlign w:val="center"/>
          </w:tcPr>
          <w:p w14:paraId="163AD34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מעצר עד תום ההליכים (מ"ת)</w:t>
            </w:r>
          </w:p>
        </w:tc>
        <w:tc>
          <w:tcPr>
            <w:tcW w:w="1276" w:type="dxa"/>
            <w:shd w:val="clear" w:color="auto" w:fill="auto"/>
            <w:vAlign w:val="center"/>
          </w:tcPr>
          <w:p w14:paraId="69C7A613"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10,583</w:t>
            </w:r>
          </w:p>
        </w:tc>
        <w:tc>
          <w:tcPr>
            <w:tcW w:w="1417" w:type="dxa"/>
            <w:shd w:val="clear" w:color="auto" w:fill="auto"/>
            <w:noWrap/>
            <w:vAlign w:val="center"/>
          </w:tcPr>
          <w:p w14:paraId="2B3B26F5"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2:37</w:t>
            </w:r>
          </w:p>
        </w:tc>
        <w:tc>
          <w:tcPr>
            <w:tcW w:w="1276" w:type="dxa"/>
            <w:shd w:val="clear" w:color="auto" w:fill="auto"/>
            <w:vAlign w:val="center"/>
          </w:tcPr>
          <w:p w14:paraId="175248BE"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2:26</w:t>
            </w:r>
          </w:p>
        </w:tc>
        <w:tc>
          <w:tcPr>
            <w:tcW w:w="851" w:type="dxa"/>
            <w:shd w:val="clear" w:color="auto" w:fill="auto"/>
            <w:vAlign w:val="center"/>
          </w:tcPr>
          <w:p w14:paraId="4ABD5C4B"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0:</w:t>
            </w:r>
            <w:r w:rsidRPr="00BF3027">
              <w:rPr>
                <w:rFonts w:ascii="David" w:eastAsia="Times New Roman" w:hAnsi="David" w:cs="David" w:hint="cs"/>
                <w:rtl/>
              </w:rPr>
              <w:t>1</w:t>
            </w:r>
            <w:r w:rsidRPr="00BF3027">
              <w:rPr>
                <w:rFonts w:ascii="David" w:eastAsia="Times New Roman" w:hAnsi="David" w:cs="David"/>
                <w:rtl/>
              </w:rPr>
              <w:t>1</w:t>
            </w:r>
            <w:r w:rsidRPr="00BF3027">
              <w:rPr>
                <w:rFonts w:ascii="David" w:eastAsia="Times New Roman" w:hAnsi="David" w:cs="David" w:hint="cs"/>
                <w:rtl/>
              </w:rPr>
              <w:t>+</w:t>
            </w:r>
          </w:p>
        </w:tc>
        <w:tc>
          <w:tcPr>
            <w:tcW w:w="992" w:type="dxa"/>
            <w:shd w:val="clear" w:color="auto" w:fill="auto"/>
            <w:vAlign w:val="center"/>
          </w:tcPr>
          <w:p w14:paraId="5D8A76B8"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79</w:t>
            </w:r>
          </w:p>
        </w:tc>
      </w:tr>
      <w:tr w:rsidR="002C4CFA" w:rsidRPr="00BF3027" w14:paraId="067C4A17" w14:textId="77777777" w:rsidTr="002C4CFA">
        <w:trPr>
          <w:trHeight w:val="306"/>
        </w:trPr>
        <w:tc>
          <w:tcPr>
            <w:tcW w:w="853" w:type="dxa"/>
            <w:shd w:val="clear" w:color="auto" w:fill="D0CECE" w:themeFill="background2" w:themeFillShade="E6"/>
            <w:noWrap/>
            <w:vAlign w:val="center"/>
          </w:tcPr>
          <w:p w14:paraId="32647730"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משפחה</w:t>
            </w:r>
          </w:p>
        </w:tc>
        <w:tc>
          <w:tcPr>
            <w:tcW w:w="989" w:type="dxa"/>
            <w:shd w:val="clear" w:color="auto" w:fill="D0CECE" w:themeFill="background2" w:themeFillShade="E6"/>
            <w:noWrap/>
            <w:vAlign w:val="center"/>
          </w:tcPr>
          <w:p w14:paraId="533D4993" w14:textId="77777777" w:rsidR="002C4CFA" w:rsidRPr="00BF3027" w:rsidRDefault="002C4CFA" w:rsidP="002C4CFA">
            <w:pPr>
              <w:spacing w:after="0" w:line="240" w:lineRule="auto"/>
              <w:rPr>
                <w:rFonts w:ascii="David" w:eastAsia="Times New Roman" w:hAnsi="David" w:cs="David"/>
                <w:rtl/>
              </w:rPr>
            </w:pPr>
          </w:p>
        </w:tc>
        <w:tc>
          <w:tcPr>
            <w:tcW w:w="1984" w:type="dxa"/>
            <w:shd w:val="clear" w:color="auto" w:fill="D0CECE" w:themeFill="background2" w:themeFillShade="E6"/>
            <w:vAlign w:val="center"/>
          </w:tcPr>
          <w:p w14:paraId="713C5DC6"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היתר נישואין (ה"נ)*</w:t>
            </w:r>
          </w:p>
        </w:tc>
        <w:tc>
          <w:tcPr>
            <w:tcW w:w="1276" w:type="dxa"/>
            <w:shd w:val="clear" w:color="auto" w:fill="D0CECE" w:themeFill="background2" w:themeFillShade="E6"/>
            <w:vAlign w:val="center"/>
          </w:tcPr>
          <w:p w14:paraId="33E658CF"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37</w:t>
            </w:r>
          </w:p>
        </w:tc>
        <w:tc>
          <w:tcPr>
            <w:tcW w:w="1417" w:type="dxa"/>
            <w:shd w:val="clear" w:color="auto" w:fill="D0CECE" w:themeFill="background2" w:themeFillShade="E6"/>
            <w:noWrap/>
            <w:vAlign w:val="center"/>
          </w:tcPr>
          <w:p w14:paraId="26E9DBFC"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2:36</w:t>
            </w:r>
          </w:p>
        </w:tc>
        <w:tc>
          <w:tcPr>
            <w:tcW w:w="1276" w:type="dxa"/>
            <w:shd w:val="clear" w:color="auto" w:fill="D0CECE" w:themeFill="background2" w:themeFillShade="E6"/>
            <w:vAlign w:val="center"/>
          </w:tcPr>
          <w:p w14:paraId="74A923C4"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2:34</w:t>
            </w:r>
          </w:p>
        </w:tc>
        <w:tc>
          <w:tcPr>
            <w:tcW w:w="851" w:type="dxa"/>
            <w:shd w:val="clear" w:color="auto" w:fill="D0CECE" w:themeFill="background2" w:themeFillShade="E6"/>
            <w:vAlign w:val="center"/>
          </w:tcPr>
          <w:p w14:paraId="17CE1283"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0:02+</w:t>
            </w:r>
          </w:p>
        </w:tc>
        <w:tc>
          <w:tcPr>
            <w:tcW w:w="992" w:type="dxa"/>
            <w:shd w:val="clear" w:color="auto" w:fill="D0CECE" w:themeFill="background2" w:themeFillShade="E6"/>
            <w:vAlign w:val="center"/>
          </w:tcPr>
          <w:p w14:paraId="57A8EC40"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78</w:t>
            </w:r>
          </w:p>
        </w:tc>
      </w:tr>
      <w:tr w:rsidR="002C4CFA" w:rsidRPr="00BF3027" w14:paraId="29091CE4" w14:textId="77777777" w:rsidTr="002C4CFA">
        <w:trPr>
          <w:trHeight w:val="663"/>
        </w:trPr>
        <w:tc>
          <w:tcPr>
            <w:tcW w:w="853" w:type="dxa"/>
            <w:shd w:val="clear" w:color="auto" w:fill="auto"/>
            <w:noWrap/>
            <w:vAlign w:val="center"/>
          </w:tcPr>
          <w:p w14:paraId="69330AFA"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auto"/>
            <w:noWrap/>
            <w:vAlign w:val="center"/>
          </w:tcPr>
          <w:p w14:paraId="6639029E"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auto"/>
            <w:vAlign w:val="center"/>
          </w:tcPr>
          <w:p w14:paraId="3426538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אזרחי בסדר דין רגיל (ת"א)-נזקי גוף ביטוח (פוליסה)</w:t>
            </w:r>
          </w:p>
        </w:tc>
        <w:tc>
          <w:tcPr>
            <w:tcW w:w="1276" w:type="dxa"/>
            <w:shd w:val="clear" w:color="auto" w:fill="auto"/>
            <w:vAlign w:val="center"/>
          </w:tcPr>
          <w:p w14:paraId="3D5EF347"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894</w:t>
            </w:r>
          </w:p>
        </w:tc>
        <w:tc>
          <w:tcPr>
            <w:tcW w:w="1417" w:type="dxa"/>
            <w:shd w:val="clear" w:color="auto" w:fill="auto"/>
            <w:noWrap/>
            <w:vAlign w:val="center"/>
          </w:tcPr>
          <w:p w14:paraId="7EA7BC16"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2:32</w:t>
            </w:r>
          </w:p>
        </w:tc>
        <w:tc>
          <w:tcPr>
            <w:tcW w:w="1276" w:type="dxa"/>
            <w:shd w:val="clear" w:color="auto" w:fill="auto"/>
            <w:vAlign w:val="center"/>
          </w:tcPr>
          <w:p w14:paraId="03E79B45"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w:t>
            </w:r>
          </w:p>
        </w:tc>
        <w:tc>
          <w:tcPr>
            <w:tcW w:w="851" w:type="dxa"/>
            <w:shd w:val="clear" w:color="auto" w:fill="auto"/>
            <w:vAlign w:val="center"/>
          </w:tcPr>
          <w:p w14:paraId="673C6288"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w:t>
            </w:r>
          </w:p>
        </w:tc>
        <w:tc>
          <w:tcPr>
            <w:tcW w:w="992" w:type="dxa"/>
            <w:shd w:val="clear" w:color="auto" w:fill="auto"/>
            <w:vAlign w:val="center"/>
          </w:tcPr>
          <w:p w14:paraId="129CEBA7"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76</w:t>
            </w:r>
          </w:p>
        </w:tc>
      </w:tr>
      <w:tr w:rsidR="002C4CFA" w:rsidRPr="00BF3027" w14:paraId="4CC28383" w14:textId="77777777" w:rsidTr="002C4CFA">
        <w:trPr>
          <w:trHeight w:val="663"/>
        </w:trPr>
        <w:tc>
          <w:tcPr>
            <w:tcW w:w="853" w:type="dxa"/>
            <w:shd w:val="clear" w:color="auto" w:fill="D0CECE" w:themeFill="background2" w:themeFillShade="E6"/>
            <w:noWrap/>
            <w:vAlign w:val="center"/>
          </w:tcPr>
          <w:p w14:paraId="5DA62BA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D0CECE" w:themeFill="background2" w:themeFillShade="E6"/>
            <w:noWrap/>
            <w:vAlign w:val="center"/>
          </w:tcPr>
          <w:p w14:paraId="4AE54A7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ערעור אזרחי</w:t>
            </w:r>
          </w:p>
        </w:tc>
        <w:tc>
          <w:tcPr>
            <w:tcW w:w="1984" w:type="dxa"/>
            <w:shd w:val="clear" w:color="auto" w:fill="D0CECE" w:themeFill="background2" w:themeFillShade="E6"/>
            <w:vAlign w:val="center"/>
          </w:tcPr>
          <w:p w14:paraId="59664B76"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רשות ערעור אזרחי (רע"א) - דן יחיד</w:t>
            </w:r>
          </w:p>
        </w:tc>
        <w:tc>
          <w:tcPr>
            <w:tcW w:w="1276" w:type="dxa"/>
            <w:shd w:val="clear" w:color="auto" w:fill="D0CECE" w:themeFill="background2" w:themeFillShade="E6"/>
            <w:vAlign w:val="center"/>
          </w:tcPr>
          <w:p w14:paraId="4469C95B"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1,268</w:t>
            </w:r>
          </w:p>
        </w:tc>
        <w:tc>
          <w:tcPr>
            <w:tcW w:w="1417" w:type="dxa"/>
            <w:shd w:val="clear" w:color="auto" w:fill="D0CECE" w:themeFill="background2" w:themeFillShade="E6"/>
            <w:noWrap/>
            <w:vAlign w:val="center"/>
          </w:tcPr>
          <w:p w14:paraId="295E7995"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2:31</w:t>
            </w:r>
          </w:p>
        </w:tc>
        <w:tc>
          <w:tcPr>
            <w:tcW w:w="1276" w:type="dxa"/>
            <w:shd w:val="clear" w:color="auto" w:fill="D0CECE" w:themeFill="background2" w:themeFillShade="E6"/>
            <w:vAlign w:val="center"/>
          </w:tcPr>
          <w:p w14:paraId="286B1495"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1:07</w:t>
            </w:r>
          </w:p>
        </w:tc>
        <w:tc>
          <w:tcPr>
            <w:tcW w:w="851" w:type="dxa"/>
            <w:shd w:val="clear" w:color="auto" w:fill="D0CECE" w:themeFill="background2" w:themeFillShade="E6"/>
            <w:vAlign w:val="center"/>
          </w:tcPr>
          <w:p w14:paraId="2F016E99"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+1:24</w:t>
            </w:r>
          </w:p>
        </w:tc>
        <w:tc>
          <w:tcPr>
            <w:tcW w:w="992" w:type="dxa"/>
            <w:shd w:val="clear" w:color="auto" w:fill="D0CECE" w:themeFill="background2" w:themeFillShade="E6"/>
            <w:vAlign w:val="center"/>
          </w:tcPr>
          <w:p w14:paraId="64FCAE95"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76</w:t>
            </w:r>
          </w:p>
        </w:tc>
      </w:tr>
      <w:tr w:rsidR="002C4CFA" w:rsidRPr="00BF3027" w14:paraId="6C256482" w14:textId="77777777" w:rsidTr="002C4CFA">
        <w:trPr>
          <w:trHeight w:val="416"/>
        </w:trPr>
        <w:tc>
          <w:tcPr>
            <w:tcW w:w="853" w:type="dxa"/>
            <w:shd w:val="clear" w:color="auto" w:fill="auto"/>
            <w:noWrap/>
            <w:vAlign w:val="center"/>
          </w:tcPr>
          <w:p w14:paraId="2C20BBF7" w14:textId="1F8BF709" w:rsidR="002C4CFA" w:rsidRPr="00BF3027" w:rsidRDefault="002C4CFA" w:rsidP="002C4CFA">
            <w:pPr>
              <w:spacing w:after="0" w:line="240" w:lineRule="auto"/>
              <w:rPr>
                <w:rFonts w:ascii="David" w:eastAsia="Times New Roman" w:hAnsi="David" w:cs="David"/>
                <w:rtl/>
              </w:rPr>
            </w:pPr>
            <w:r w:rsidRPr="00BF3027">
              <w:rPr>
                <w:rFonts w:ascii="Arial" w:eastAsia="Times New Roman" w:hAnsi="Arial" w:cs="David" w:hint="cs"/>
                <w:b/>
                <w:bCs/>
                <w:rtl/>
              </w:rPr>
              <w:lastRenderedPageBreak/>
              <w:t>ערכאה</w:t>
            </w:r>
          </w:p>
        </w:tc>
        <w:tc>
          <w:tcPr>
            <w:tcW w:w="989" w:type="dxa"/>
            <w:shd w:val="clear" w:color="auto" w:fill="auto"/>
            <w:noWrap/>
            <w:vAlign w:val="center"/>
          </w:tcPr>
          <w:p w14:paraId="7ED7B410" w14:textId="5790E02C" w:rsidR="002C4CFA" w:rsidRPr="00BF3027" w:rsidRDefault="002C4CFA" w:rsidP="002C4CFA">
            <w:pPr>
              <w:spacing w:after="0" w:line="240" w:lineRule="auto"/>
              <w:rPr>
                <w:rFonts w:ascii="David" w:eastAsia="Times New Roman" w:hAnsi="David" w:cs="David"/>
                <w:rtl/>
              </w:rPr>
            </w:pPr>
            <w:r w:rsidRPr="00BF3027">
              <w:rPr>
                <w:rFonts w:ascii="Arial" w:eastAsia="Times New Roman" w:hAnsi="Arial" w:cs="David" w:hint="cs"/>
                <w:b/>
                <w:bCs/>
                <w:rtl/>
              </w:rPr>
              <w:t>הליך</w:t>
            </w:r>
          </w:p>
        </w:tc>
        <w:tc>
          <w:tcPr>
            <w:tcW w:w="1984" w:type="dxa"/>
            <w:shd w:val="clear" w:color="auto" w:fill="auto"/>
            <w:vAlign w:val="center"/>
          </w:tcPr>
          <w:p w14:paraId="3423D900" w14:textId="6BF4D1E5" w:rsidR="002C4CFA" w:rsidRPr="00BF3027" w:rsidRDefault="002C4CFA" w:rsidP="002C4CFA">
            <w:pPr>
              <w:spacing w:after="0" w:line="240" w:lineRule="auto"/>
              <w:rPr>
                <w:rFonts w:ascii="David" w:eastAsia="Times New Roman" w:hAnsi="David" w:cs="David"/>
                <w:rtl/>
              </w:rPr>
            </w:pPr>
            <w:r w:rsidRPr="00BF3027">
              <w:rPr>
                <w:rFonts w:ascii="Arial" w:eastAsia="Times New Roman" w:hAnsi="Arial" w:cs="David" w:hint="cs"/>
                <w:b/>
                <w:bCs/>
                <w:rtl/>
              </w:rPr>
              <w:t>סוג תיק</w:t>
            </w:r>
          </w:p>
        </w:tc>
        <w:tc>
          <w:tcPr>
            <w:tcW w:w="1276" w:type="dxa"/>
            <w:shd w:val="clear" w:color="auto" w:fill="auto"/>
            <w:vAlign w:val="center"/>
          </w:tcPr>
          <w:p w14:paraId="5E48B355" w14:textId="2A253D32" w:rsidR="002C4CFA" w:rsidRPr="00BF3027" w:rsidRDefault="002C4CFA" w:rsidP="002C4CFA">
            <w:pPr>
              <w:spacing w:after="0" w:line="240" w:lineRule="auto"/>
              <w:jc w:val="center"/>
              <w:rPr>
                <w:rFonts w:ascii="David" w:eastAsia="Times New Roman" w:hAnsi="David" w:cs="David"/>
              </w:rPr>
            </w:pPr>
            <w:r w:rsidRPr="00BF3027">
              <w:rPr>
                <w:rFonts w:ascii="Arial" w:eastAsia="Times New Roman" w:hAnsi="Arial" w:cs="David" w:hint="cs"/>
                <w:b/>
                <w:bCs/>
                <w:rtl/>
              </w:rPr>
              <w:t>מספר תיקים שנסגרו ב-2019</w:t>
            </w:r>
          </w:p>
        </w:tc>
        <w:tc>
          <w:tcPr>
            <w:tcW w:w="1417" w:type="dxa"/>
            <w:shd w:val="clear" w:color="auto" w:fill="auto"/>
            <w:noWrap/>
            <w:vAlign w:val="center"/>
          </w:tcPr>
          <w:p w14:paraId="2614B805" w14:textId="71A97C81" w:rsidR="002C4CFA" w:rsidRPr="00BF3027" w:rsidRDefault="002C4CFA" w:rsidP="002C4CFA">
            <w:pPr>
              <w:spacing w:after="0" w:line="240" w:lineRule="auto"/>
              <w:jc w:val="center"/>
              <w:rPr>
                <w:rFonts w:ascii="David" w:eastAsia="Times New Roman" w:hAnsi="David" w:cs="David"/>
                <w:b/>
                <w:bCs/>
              </w:rPr>
            </w:pPr>
            <w:r w:rsidRPr="00BF3027">
              <w:rPr>
                <w:rFonts w:ascii="Arial" w:eastAsia="Times New Roman" w:hAnsi="Arial" w:cs="David" w:hint="cs"/>
                <w:b/>
                <w:bCs/>
                <w:rtl/>
              </w:rPr>
              <w:t>הזמן השיפוטי הממוצע לטיפול בתיק</w:t>
            </w:r>
          </w:p>
        </w:tc>
        <w:tc>
          <w:tcPr>
            <w:tcW w:w="1276" w:type="dxa"/>
            <w:shd w:val="clear" w:color="auto" w:fill="auto"/>
            <w:vAlign w:val="center"/>
          </w:tcPr>
          <w:p w14:paraId="03E46020" w14:textId="0E1A5CCC" w:rsidR="002C4CFA" w:rsidRPr="00BF3027" w:rsidRDefault="002C4CFA" w:rsidP="002C4CFA">
            <w:pPr>
              <w:spacing w:after="0" w:line="240" w:lineRule="auto"/>
              <w:jc w:val="center"/>
              <w:rPr>
                <w:rFonts w:ascii="David" w:eastAsia="Times New Roman" w:hAnsi="David" w:cs="David"/>
              </w:rPr>
            </w:pPr>
            <w:r w:rsidRPr="00BF3027">
              <w:rPr>
                <w:rFonts w:ascii="Arial" w:eastAsia="Times New Roman" w:hAnsi="Arial" w:cs="David" w:hint="cs"/>
                <w:b/>
                <w:bCs/>
                <w:rtl/>
              </w:rPr>
              <w:t>הזמן השיפוטי הממוצע לפי המחקר הקודם</w:t>
            </w:r>
          </w:p>
        </w:tc>
        <w:tc>
          <w:tcPr>
            <w:tcW w:w="851" w:type="dxa"/>
            <w:shd w:val="clear" w:color="auto" w:fill="auto"/>
            <w:vAlign w:val="center"/>
          </w:tcPr>
          <w:p w14:paraId="6B4869F7" w14:textId="2466C25F" w:rsidR="002C4CFA" w:rsidRPr="00BF3027" w:rsidRDefault="002C4CFA" w:rsidP="002C4CFA">
            <w:pPr>
              <w:spacing w:after="0" w:line="240" w:lineRule="auto"/>
              <w:jc w:val="center"/>
              <w:rPr>
                <w:rFonts w:ascii="David" w:eastAsia="Times New Roman" w:hAnsi="David" w:cs="David"/>
              </w:rPr>
            </w:pPr>
            <w:r w:rsidRPr="00BF3027">
              <w:rPr>
                <w:rFonts w:ascii="Arial" w:eastAsia="Times New Roman" w:hAnsi="Arial" w:cs="David" w:hint="cs"/>
                <w:b/>
                <w:bCs/>
                <w:rtl/>
              </w:rPr>
              <w:t>מגמת השינוי</w:t>
            </w:r>
          </w:p>
        </w:tc>
        <w:tc>
          <w:tcPr>
            <w:tcW w:w="992" w:type="dxa"/>
            <w:shd w:val="clear" w:color="auto" w:fill="auto"/>
            <w:vAlign w:val="center"/>
          </w:tcPr>
          <w:p w14:paraId="5416075D" w14:textId="153B7C33" w:rsidR="002C4CFA" w:rsidRPr="00BF3027" w:rsidRDefault="002C4CFA" w:rsidP="002C4CFA">
            <w:pPr>
              <w:spacing w:after="0" w:line="240" w:lineRule="auto"/>
              <w:jc w:val="center"/>
              <w:rPr>
                <w:rFonts w:ascii="David" w:eastAsia="Times New Roman" w:hAnsi="David" w:cs="David"/>
              </w:rPr>
            </w:pPr>
            <w:r w:rsidRPr="00BF3027">
              <w:rPr>
                <w:rFonts w:ascii="Arial" w:hAnsi="Arial" w:cs="David" w:hint="cs"/>
                <w:b/>
                <w:bCs/>
                <w:rtl/>
              </w:rPr>
              <w:t>משקל לתיק לפי המחקר הנוכחי</w:t>
            </w:r>
          </w:p>
        </w:tc>
      </w:tr>
      <w:tr w:rsidR="002C4CFA" w:rsidRPr="00BF3027" w14:paraId="0A83A8EC" w14:textId="77777777" w:rsidTr="002C4CFA">
        <w:trPr>
          <w:trHeight w:val="416"/>
        </w:trPr>
        <w:tc>
          <w:tcPr>
            <w:tcW w:w="853" w:type="dxa"/>
            <w:shd w:val="clear" w:color="auto" w:fill="auto"/>
            <w:noWrap/>
            <w:vAlign w:val="center"/>
          </w:tcPr>
          <w:p w14:paraId="5D3C1C51"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משפחה</w:t>
            </w:r>
          </w:p>
        </w:tc>
        <w:tc>
          <w:tcPr>
            <w:tcW w:w="989" w:type="dxa"/>
            <w:shd w:val="clear" w:color="auto" w:fill="auto"/>
            <w:noWrap/>
            <w:vAlign w:val="center"/>
          </w:tcPr>
          <w:p w14:paraId="6617468F" w14:textId="77777777" w:rsidR="002C4CFA" w:rsidRPr="00BF3027" w:rsidRDefault="002C4CFA" w:rsidP="002C4CFA">
            <w:pPr>
              <w:spacing w:after="0" w:line="240" w:lineRule="auto"/>
              <w:rPr>
                <w:rFonts w:ascii="David" w:eastAsia="Times New Roman" w:hAnsi="David" w:cs="David"/>
                <w:rtl/>
              </w:rPr>
            </w:pPr>
          </w:p>
        </w:tc>
        <w:tc>
          <w:tcPr>
            <w:tcW w:w="1984" w:type="dxa"/>
            <w:shd w:val="clear" w:color="auto" w:fill="auto"/>
            <w:vAlign w:val="center"/>
          </w:tcPr>
          <w:p w14:paraId="25FAD4C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ערעור על החלטת רשם (ע"ר)</w:t>
            </w:r>
          </w:p>
        </w:tc>
        <w:tc>
          <w:tcPr>
            <w:tcW w:w="1276" w:type="dxa"/>
            <w:shd w:val="clear" w:color="auto" w:fill="auto"/>
            <w:vAlign w:val="center"/>
          </w:tcPr>
          <w:p w14:paraId="22C2E284"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426</w:t>
            </w:r>
          </w:p>
        </w:tc>
        <w:tc>
          <w:tcPr>
            <w:tcW w:w="1417" w:type="dxa"/>
            <w:shd w:val="clear" w:color="auto" w:fill="auto"/>
            <w:noWrap/>
            <w:vAlign w:val="center"/>
          </w:tcPr>
          <w:p w14:paraId="2978A936"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2:30</w:t>
            </w:r>
          </w:p>
        </w:tc>
        <w:tc>
          <w:tcPr>
            <w:tcW w:w="1276" w:type="dxa"/>
            <w:shd w:val="clear" w:color="auto" w:fill="auto"/>
            <w:vAlign w:val="center"/>
          </w:tcPr>
          <w:p w14:paraId="15004C7E"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1:46</w:t>
            </w:r>
          </w:p>
        </w:tc>
        <w:tc>
          <w:tcPr>
            <w:tcW w:w="851" w:type="dxa"/>
            <w:shd w:val="clear" w:color="auto" w:fill="auto"/>
            <w:vAlign w:val="center"/>
          </w:tcPr>
          <w:p w14:paraId="47834960"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+0:44</w:t>
            </w:r>
          </w:p>
        </w:tc>
        <w:tc>
          <w:tcPr>
            <w:tcW w:w="992" w:type="dxa"/>
            <w:shd w:val="clear" w:color="auto" w:fill="auto"/>
            <w:vAlign w:val="center"/>
          </w:tcPr>
          <w:p w14:paraId="12A2CC48"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75</w:t>
            </w:r>
          </w:p>
        </w:tc>
      </w:tr>
      <w:tr w:rsidR="002C4CFA" w:rsidRPr="00BF3027" w14:paraId="43D70DD9" w14:textId="77777777" w:rsidTr="002C4CFA">
        <w:trPr>
          <w:trHeight w:val="422"/>
        </w:trPr>
        <w:tc>
          <w:tcPr>
            <w:tcW w:w="853" w:type="dxa"/>
            <w:shd w:val="clear" w:color="auto" w:fill="D9D9D9"/>
            <w:noWrap/>
            <w:vAlign w:val="center"/>
          </w:tcPr>
          <w:p w14:paraId="77F4132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עבודה</w:t>
            </w:r>
          </w:p>
        </w:tc>
        <w:tc>
          <w:tcPr>
            <w:tcW w:w="989" w:type="dxa"/>
            <w:shd w:val="clear" w:color="auto" w:fill="D9D9D9"/>
            <w:noWrap/>
            <w:vAlign w:val="center"/>
          </w:tcPr>
          <w:p w14:paraId="698F28C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D9D9D9"/>
            <w:vAlign w:val="center"/>
          </w:tcPr>
          <w:p w14:paraId="341BB53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ערעור על החלטת רשם (ע"ר)</w:t>
            </w:r>
          </w:p>
        </w:tc>
        <w:tc>
          <w:tcPr>
            <w:tcW w:w="1276" w:type="dxa"/>
            <w:shd w:val="clear" w:color="auto" w:fill="D9D9D9"/>
            <w:vAlign w:val="center"/>
          </w:tcPr>
          <w:p w14:paraId="2603691A"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122</w:t>
            </w:r>
          </w:p>
        </w:tc>
        <w:tc>
          <w:tcPr>
            <w:tcW w:w="1417" w:type="dxa"/>
            <w:shd w:val="clear" w:color="auto" w:fill="D9D9D9"/>
            <w:noWrap/>
            <w:vAlign w:val="center"/>
          </w:tcPr>
          <w:p w14:paraId="6BE3E2C9"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2:28</w:t>
            </w:r>
          </w:p>
        </w:tc>
        <w:tc>
          <w:tcPr>
            <w:tcW w:w="1276" w:type="dxa"/>
            <w:shd w:val="clear" w:color="auto" w:fill="D9D9D9"/>
            <w:vAlign w:val="center"/>
          </w:tcPr>
          <w:p w14:paraId="208018C8"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1:21</w:t>
            </w:r>
          </w:p>
        </w:tc>
        <w:tc>
          <w:tcPr>
            <w:tcW w:w="851" w:type="dxa"/>
            <w:shd w:val="clear" w:color="auto" w:fill="D9D9D9"/>
            <w:vAlign w:val="center"/>
          </w:tcPr>
          <w:p w14:paraId="6D436986"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1</w:t>
            </w:r>
            <w:r w:rsidRPr="00BF3027">
              <w:rPr>
                <w:rFonts w:ascii="David" w:eastAsia="Times New Roman" w:hAnsi="David" w:cs="David"/>
                <w:rtl/>
              </w:rPr>
              <w:t>:</w:t>
            </w:r>
            <w:r w:rsidRPr="00BF3027">
              <w:rPr>
                <w:rFonts w:ascii="David" w:eastAsia="Times New Roman" w:hAnsi="David" w:cs="David" w:hint="cs"/>
                <w:rtl/>
              </w:rPr>
              <w:t>07</w:t>
            </w:r>
            <w:r w:rsidRPr="00BF3027">
              <w:rPr>
                <w:rFonts w:ascii="David" w:eastAsia="Times New Roman" w:hAnsi="David" w:cs="David"/>
                <w:rtl/>
              </w:rPr>
              <w:t>+</w:t>
            </w:r>
          </w:p>
        </w:tc>
        <w:tc>
          <w:tcPr>
            <w:tcW w:w="992" w:type="dxa"/>
            <w:shd w:val="clear" w:color="auto" w:fill="D9D9D9"/>
            <w:vAlign w:val="center"/>
          </w:tcPr>
          <w:p w14:paraId="4E3434B6"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74</w:t>
            </w:r>
          </w:p>
        </w:tc>
      </w:tr>
      <w:tr w:rsidR="002C4CFA" w:rsidRPr="00BF3027" w14:paraId="26112A10" w14:textId="77777777" w:rsidTr="002C4CFA">
        <w:trPr>
          <w:trHeight w:val="551"/>
        </w:trPr>
        <w:tc>
          <w:tcPr>
            <w:tcW w:w="853" w:type="dxa"/>
            <w:shd w:val="clear" w:color="auto" w:fill="auto"/>
            <w:noWrap/>
            <w:vAlign w:val="center"/>
          </w:tcPr>
          <w:p w14:paraId="2C3B0E9B"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auto"/>
            <w:noWrap/>
            <w:vAlign w:val="center"/>
          </w:tcPr>
          <w:p w14:paraId="70AC22CD"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עניינים מקומיים</w:t>
            </w:r>
          </w:p>
        </w:tc>
        <w:tc>
          <w:tcPr>
            <w:tcW w:w="1984" w:type="dxa"/>
            <w:shd w:val="clear" w:color="auto" w:fill="auto"/>
            <w:vAlign w:val="center"/>
          </w:tcPr>
          <w:p w14:paraId="16C01227"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בקשות בנייה (בב"נ)</w:t>
            </w:r>
          </w:p>
        </w:tc>
        <w:tc>
          <w:tcPr>
            <w:tcW w:w="1276" w:type="dxa"/>
            <w:shd w:val="clear" w:color="auto" w:fill="auto"/>
            <w:vAlign w:val="center"/>
          </w:tcPr>
          <w:p w14:paraId="6185296C"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1,472</w:t>
            </w:r>
          </w:p>
        </w:tc>
        <w:tc>
          <w:tcPr>
            <w:tcW w:w="1417" w:type="dxa"/>
            <w:shd w:val="clear" w:color="auto" w:fill="auto"/>
            <w:noWrap/>
            <w:vAlign w:val="center"/>
          </w:tcPr>
          <w:p w14:paraId="4C930A79"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hint="cs"/>
                <w:b/>
                <w:bCs/>
                <w:rtl/>
              </w:rPr>
              <w:t>2:26</w:t>
            </w:r>
          </w:p>
        </w:tc>
        <w:tc>
          <w:tcPr>
            <w:tcW w:w="1276" w:type="dxa"/>
            <w:shd w:val="clear" w:color="auto" w:fill="auto"/>
            <w:vAlign w:val="center"/>
          </w:tcPr>
          <w:p w14:paraId="40058F8F"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851" w:type="dxa"/>
            <w:shd w:val="clear" w:color="auto" w:fill="auto"/>
            <w:vAlign w:val="center"/>
          </w:tcPr>
          <w:p w14:paraId="3061455B"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shd w:val="clear" w:color="auto" w:fill="auto"/>
            <w:vAlign w:val="center"/>
          </w:tcPr>
          <w:p w14:paraId="1EAE76D2"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73</w:t>
            </w:r>
          </w:p>
        </w:tc>
      </w:tr>
      <w:tr w:rsidR="002C4CFA" w:rsidRPr="00BF3027" w14:paraId="23B5BA48" w14:textId="77777777" w:rsidTr="002C4CFA">
        <w:trPr>
          <w:trHeight w:val="742"/>
        </w:trPr>
        <w:tc>
          <w:tcPr>
            <w:tcW w:w="853" w:type="dxa"/>
            <w:shd w:val="clear" w:color="auto" w:fill="D9D9D9"/>
            <w:noWrap/>
            <w:vAlign w:val="center"/>
          </w:tcPr>
          <w:p w14:paraId="7B875E22"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D9D9D9"/>
            <w:noWrap/>
            <w:vAlign w:val="center"/>
          </w:tcPr>
          <w:p w14:paraId="133332A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D9D9D9"/>
            <w:vAlign w:val="center"/>
          </w:tcPr>
          <w:p w14:paraId="2E2A93D2"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אזרחי בסדר דין רגיל (ת"א)-פלת"ד</w:t>
            </w:r>
          </w:p>
        </w:tc>
        <w:tc>
          <w:tcPr>
            <w:tcW w:w="1276" w:type="dxa"/>
            <w:shd w:val="clear" w:color="auto" w:fill="D9D9D9"/>
            <w:vAlign w:val="center"/>
          </w:tcPr>
          <w:p w14:paraId="3275BBC0"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28,681</w:t>
            </w:r>
          </w:p>
        </w:tc>
        <w:tc>
          <w:tcPr>
            <w:tcW w:w="1417" w:type="dxa"/>
            <w:shd w:val="clear" w:color="auto" w:fill="D9D9D9"/>
            <w:noWrap/>
            <w:vAlign w:val="center"/>
          </w:tcPr>
          <w:p w14:paraId="69B09422"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2:26</w:t>
            </w:r>
          </w:p>
        </w:tc>
        <w:tc>
          <w:tcPr>
            <w:tcW w:w="1276" w:type="dxa"/>
            <w:shd w:val="clear" w:color="auto" w:fill="D9D9D9"/>
            <w:vAlign w:val="center"/>
          </w:tcPr>
          <w:p w14:paraId="362FBEF5"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3:27</w:t>
            </w:r>
          </w:p>
        </w:tc>
        <w:tc>
          <w:tcPr>
            <w:tcW w:w="851" w:type="dxa"/>
            <w:shd w:val="clear" w:color="auto" w:fill="D9D9D9"/>
            <w:vAlign w:val="center"/>
          </w:tcPr>
          <w:p w14:paraId="60BD9857" w14:textId="77777777" w:rsidR="002C4CFA" w:rsidRPr="00BF3027" w:rsidRDefault="002C4CFA" w:rsidP="002C4CFA">
            <w:pPr>
              <w:spacing w:after="0" w:line="240" w:lineRule="auto"/>
              <w:jc w:val="center"/>
              <w:rPr>
                <w:rFonts w:ascii="David" w:eastAsia="Times New Roman" w:hAnsi="David" w:cs="David"/>
                <w:rtl/>
              </w:rPr>
            </w:pPr>
            <w:r w:rsidRPr="00BF3027">
              <w:rPr>
                <w:rFonts w:asciiTheme="minorHAnsi" w:eastAsia="Times New Roman" w:hAnsiTheme="minorHAnsi" w:cs="David"/>
              </w:rPr>
              <w:t>01</w:t>
            </w:r>
            <w:r w:rsidRPr="00BF3027">
              <w:rPr>
                <w:rFonts w:ascii="David" w:eastAsia="Times New Roman" w:hAnsi="David" w:cs="David" w:hint="cs"/>
                <w:rtl/>
              </w:rPr>
              <w:t>:</w:t>
            </w:r>
            <w:r w:rsidRPr="00BF3027">
              <w:rPr>
                <w:rFonts w:ascii="David" w:eastAsia="Times New Roman" w:hAnsi="David" w:cs="David"/>
                <w:rtl/>
              </w:rPr>
              <w:t>1</w:t>
            </w:r>
            <w:r w:rsidRPr="00BF3027">
              <w:rPr>
                <w:rFonts w:ascii="David" w:eastAsia="Times New Roman" w:hAnsi="David" w:cs="David" w:hint="cs"/>
                <w:rtl/>
              </w:rPr>
              <w:t>-</w:t>
            </w:r>
          </w:p>
        </w:tc>
        <w:tc>
          <w:tcPr>
            <w:tcW w:w="992" w:type="dxa"/>
            <w:shd w:val="clear" w:color="auto" w:fill="D9D9D9"/>
            <w:vAlign w:val="center"/>
          </w:tcPr>
          <w:p w14:paraId="648A2B8D"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73</w:t>
            </w:r>
          </w:p>
        </w:tc>
      </w:tr>
      <w:tr w:rsidR="002C4CFA" w:rsidRPr="00BF3027" w14:paraId="77F208B9" w14:textId="77777777" w:rsidTr="002C4CFA">
        <w:trPr>
          <w:trHeight w:val="554"/>
        </w:trPr>
        <w:tc>
          <w:tcPr>
            <w:tcW w:w="853" w:type="dxa"/>
            <w:shd w:val="clear" w:color="auto" w:fill="auto"/>
            <w:noWrap/>
            <w:vAlign w:val="center"/>
          </w:tcPr>
          <w:p w14:paraId="0DB831E1"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auto"/>
            <w:noWrap/>
            <w:vAlign w:val="center"/>
          </w:tcPr>
          <w:p w14:paraId="6E5E306B"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פלילי</w:t>
            </w:r>
          </w:p>
        </w:tc>
        <w:tc>
          <w:tcPr>
            <w:tcW w:w="1984" w:type="dxa"/>
            <w:shd w:val="clear" w:color="auto" w:fill="auto"/>
            <w:vAlign w:val="center"/>
          </w:tcPr>
          <w:p w14:paraId="2E74751B"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בקשה לעיון בחומר חקירה (בע"ח)</w:t>
            </w:r>
          </w:p>
        </w:tc>
        <w:tc>
          <w:tcPr>
            <w:tcW w:w="1276" w:type="dxa"/>
            <w:shd w:val="clear" w:color="auto" w:fill="auto"/>
            <w:vAlign w:val="center"/>
          </w:tcPr>
          <w:p w14:paraId="44BD4694"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354</w:t>
            </w:r>
          </w:p>
        </w:tc>
        <w:tc>
          <w:tcPr>
            <w:tcW w:w="1417" w:type="dxa"/>
            <w:shd w:val="clear" w:color="auto" w:fill="auto"/>
            <w:noWrap/>
            <w:vAlign w:val="center"/>
          </w:tcPr>
          <w:p w14:paraId="2C497754"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hint="cs"/>
                <w:b/>
                <w:bCs/>
                <w:rtl/>
              </w:rPr>
              <w:t>2:20</w:t>
            </w:r>
          </w:p>
        </w:tc>
        <w:tc>
          <w:tcPr>
            <w:tcW w:w="1276" w:type="dxa"/>
            <w:shd w:val="clear" w:color="auto" w:fill="auto"/>
            <w:vAlign w:val="center"/>
          </w:tcPr>
          <w:p w14:paraId="1973AA02"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851" w:type="dxa"/>
            <w:shd w:val="clear" w:color="auto" w:fill="auto"/>
            <w:vAlign w:val="center"/>
          </w:tcPr>
          <w:p w14:paraId="054DD610"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shd w:val="clear" w:color="auto" w:fill="auto"/>
            <w:vAlign w:val="center"/>
          </w:tcPr>
          <w:p w14:paraId="1619D44B"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70</w:t>
            </w:r>
          </w:p>
        </w:tc>
      </w:tr>
      <w:tr w:rsidR="002C4CFA" w:rsidRPr="00BF3027" w14:paraId="47DAE4A0" w14:textId="77777777" w:rsidTr="002C4CFA">
        <w:trPr>
          <w:trHeight w:val="319"/>
        </w:trPr>
        <w:tc>
          <w:tcPr>
            <w:tcW w:w="853" w:type="dxa"/>
            <w:shd w:val="clear" w:color="auto" w:fill="D9D9D9"/>
            <w:noWrap/>
            <w:vAlign w:val="center"/>
          </w:tcPr>
          <w:p w14:paraId="1B45AC5A"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D9D9D9"/>
            <w:noWrap/>
            <w:vAlign w:val="center"/>
          </w:tcPr>
          <w:p w14:paraId="5AF1B802"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D9D9D9"/>
            <w:vAlign w:val="center"/>
          </w:tcPr>
          <w:p w14:paraId="062D113A"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ערעור שונה - אזרחי (עש"א)</w:t>
            </w:r>
          </w:p>
        </w:tc>
        <w:tc>
          <w:tcPr>
            <w:tcW w:w="1276" w:type="dxa"/>
            <w:shd w:val="clear" w:color="auto" w:fill="D9D9D9"/>
            <w:vAlign w:val="center"/>
          </w:tcPr>
          <w:p w14:paraId="09FA922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1,325</w:t>
            </w:r>
          </w:p>
        </w:tc>
        <w:tc>
          <w:tcPr>
            <w:tcW w:w="1417" w:type="dxa"/>
            <w:shd w:val="clear" w:color="auto" w:fill="D9D9D9"/>
            <w:noWrap/>
            <w:vAlign w:val="center"/>
          </w:tcPr>
          <w:p w14:paraId="6CC5787F"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2:18</w:t>
            </w:r>
          </w:p>
        </w:tc>
        <w:tc>
          <w:tcPr>
            <w:tcW w:w="1276" w:type="dxa"/>
            <w:shd w:val="clear" w:color="auto" w:fill="D9D9D9"/>
            <w:vAlign w:val="center"/>
          </w:tcPr>
          <w:p w14:paraId="6EAC7EEB"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2:28</w:t>
            </w:r>
          </w:p>
        </w:tc>
        <w:tc>
          <w:tcPr>
            <w:tcW w:w="851" w:type="dxa"/>
            <w:shd w:val="clear" w:color="auto" w:fill="D9D9D9"/>
            <w:vAlign w:val="center"/>
          </w:tcPr>
          <w:p w14:paraId="6A8DF508"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0:1</w:t>
            </w:r>
            <w:r w:rsidRPr="00BF3027">
              <w:rPr>
                <w:rFonts w:ascii="David" w:eastAsia="Times New Roman" w:hAnsi="David" w:cs="David" w:hint="cs"/>
                <w:rtl/>
              </w:rPr>
              <w:t>0-</w:t>
            </w:r>
          </w:p>
        </w:tc>
        <w:tc>
          <w:tcPr>
            <w:tcW w:w="992" w:type="dxa"/>
            <w:shd w:val="clear" w:color="auto" w:fill="D9D9D9"/>
            <w:vAlign w:val="center"/>
          </w:tcPr>
          <w:p w14:paraId="62FE10E4"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69</w:t>
            </w:r>
          </w:p>
        </w:tc>
      </w:tr>
      <w:tr w:rsidR="002C4CFA" w:rsidRPr="00BF3027" w14:paraId="3EB7D56F" w14:textId="77777777" w:rsidTr="002C4CFA">
        <w:trPr>
          <w:trHeight w:val="611"/>
        </w:trPr>
        <w:tc>
          <w:tcPr>
            <w:tcW w:w="853" w:type="dxa"/>
            <w:shd w:val="clear" w:color="auto" w:fill="auto"/>
            <w:noWrap/>
            <w:vAlign w:val="center"/>
          </w:tcPr>
          <w:p w14:paraId="3381BA3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auto"/>
            <w:noWrap/>
            <w:vAlign w:val="center"/>
          </w:tcPr>
          <w:p w14:paraId="12D2E0DA"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פלילי</w:t>
            </w:r>
          </w:p>
        </w:tc>
        <w:tc>
          <w:tcPr>
            <w:tcW w:w="1984" w:type="dxa"/>
            <w:shd w:val="clear" w:color="auto" w:fill="auto"/>
            <w:vAlign w:val="center"/>
          </w:tcPr>
          <w:p w14:paraId="3F08B621"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בקשה לעיון בחומר חקירה (בע"ח)</w:t>
            </w:r>
          </w:p>
        </w:tc>
        <w:tc>
          <w:tcPr>
            <w:tcW w:w="1276" w:type="dxa"/>
            <w:shd w:val="clear" w:color="auto" w:fill="auto"/>
            <w:vAlign w:val="center"/>
          </w:tcPr>
          <w:p w14:paraId="4C3FECE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776</w:t>
            </w:r>
          </w:p>
        </w:tc>
        <w:tc>
          <w:tcPr>
            <w:tcW w:w="1417" w:type="dxa"/>
            <w:shd w:val="clear" w:color="auto" w:fill="auto"/>
            <w:noWrap/>
            <w:vAlign w:val="center"/>
          </w:tcPr>
          <w:p w14:paraId="4B701662"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2:16</w:t>
            </w:r>
          </w:p>
        </w:tc>
        <w:tc>
          <w:tcPr>
            <w:tcW w:w="1276" w:type="dxa"/>
            <w:shd w:val="clear" w:color="auto" w:fill="auto"/>
            <w:vAlign w:val="center"/>
          </w:tcPr>
          <w:p w14:paraId="26179DD9"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851" w:type="dxa"/>
            <w:shd w:val="clear" w:color="auto" w:fill="auto"/>
            <w:vAlign w:val="center"/>
          </w:tcPr>
          <w:p w14:paraId="730F450D"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shd w:val="clear" w:color="auto" w:fill="auto"/>
            <w:vAlign w:val="center"/>
          </w:tcPr>
          <w:p w14:paraId="2BD8FEE8"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68</w:t>
            </w:r>
          </w:p>
        </w:tc>
      </w:tr>
      <w:tr w:rsidR="002C4CFA" w:rsidRPr="00BF3027" w14:paraId="42EDFC86" w14:textId="77777777" w:rsidTr="002C4CFA">
        <w:trPr>
          <w:trHeight w:val="618"/>
        </w:trPr>
        <w:tc>
          <w:tcPr>
            <w:tcW w:w="853" w:type="dxa"/>
            <w:shd w:val="clear" w:color="auto" w:fill="D9D9D9"/>
            <w:noWrap/>
            <w:vAlign w:val="center"/>
          </w:tcPr>
          <w:p w14:paraId="2D83E448"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D9D9D9"/>
            <w:noWrap/>
            <w:vAlign w:val="center"/>
          </w:tcPr>
          <w:p w14:paraId="37D979A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עניינים מקומיים</w:t>
            </w:r>
          </w:p>
        </w:tc>
        <w:tc>
          <w:tcPr>
            <w:tcW w:w="1984" w:type="dxa"/>
            <w:shd w:val="clear" w:color="auto" w:fill="D9D9D9"/>
            <w:vAlign w:val="center"/>
          </w:tcPr>
          <w:p w14:paraId="2D1C8077"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רישוי עסקים (רע"ס)*</w:t>
            </w:r>
          </w:p>
        </w:tc>
        <w:tc>
          <w:tcPr>
            <w:tcW w:w="1276" w:type="dxa"/>
            <w:shd w:val="clear" w:color="auto" w:fill="D9D9D9"/>
            <w:vAlign w:val="center"/>
          </w:tcPr>
          <w:p w14:paraId="397920AF"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2,428</w:t>
            </w:r>
          </w:p>
        </w:tc>
        <w:tc>
          <w:tcPr>
            <w:tcW w:w="1417" w:type="dxa"/>
            <w:shd w:val="clear" w:color="auto" w:fill="D9D9D9"/>
            <w:noWrap/>
            <w:vAlign w:val="center"/>
          </w:tcPr>
          <w:p w14:paraId="76E7B00A"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2:13</w:t>
            </w:r>
          </w:p>
        </w:tc>
        <w:tc>
          <w:tcPr>
            <w:tcW w:w="1276" w:type="dxa"/>
            <w:shd w:val="clear" w:color="auto" w:fill="D9D9D9"/>
            <w:vAlign w:val="center"/>
          </w:tcPr>
          <w:p w14:paraId="31596100"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851" w:type="dxa"/>
            <w:shd w:val="clear" w:color="auto" w:fill="D9D9D9"/>
            <w:vAlign w:val="center"/>
          </w:tcPr>
          <w:p w14:paraId="4CEB1018"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shd w:val="clear" w:color="auto" w:fill="D9D9D9"/>
            <w:vAlign w:val="center"/>
          </w:tcPr>
          <w:p w14:paraId="70D5536A"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67</w:t>
            </w:r>
          </w:p>
        </w:tc>
      </w:tr>
      <w:tr w:rsidR="002C4CFA" w:rsidRPr="00BF3027" w14:paraId="5CAF74AB" w14:textId="77777777" w:rsidTr="002C4CFA">
        <w:trPr>
          <w:trHeight w:val="485"/>
        </w:trPr>
        <w:tc>
          <w:tcPr>
            <w:tcW w:w="853" w:type="dxa"/>
            <w:shd w:val="clear" w:color="auto" w:fill="auto"/>
            <w:noWrap/>
            <w:vAlign w:val="center"/>
          </w:tcPr>
          <w:p w14:paraId="3EFD73A0"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auto"/>
            <w:noWrap/>
            <w:vAlign w:val="center"/>
          </w:tcPr>
          <w:p w14:paraId="1C499DE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auto"/>
            <w:vAlign w:val="center"/>
          </w:tcPr>
          <w:p w14:paraId="4F3AE25C"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אזרחי בסדר דין מהיר (תא"מ) - אחר</w:t>
            </w:r>
          </w:p>
        </w:tc>
        <w:tc>
          <w:tcPr>
            <w:tcW w:w="1276" w:type="dxa"/>
            <w:shd w:val="clear" w:color="auto" w:fill="auto"/>
            <w:vAlign w:val="center"/>
          </w:tcPr>
          <w:p w14:paraId="210AB58C"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36,937</w:t>
            </w:r>
          </w:p>
        </w:tc>
        <w:tc>
          <w:tcPr>
            <w:tcW w:w="1417" w:type="dxa"/>
            <w:shd w:val="clear" w:color="auto" w:fill="auto"/>
            <w:noWrap/>
            <w:vAlign w:val="center"/>
          </w:tcPr>
          <w:p w14:paraId="32E37255"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2:10</w:t>
            </w:r>
          </w:p>
        </w:tc>
        <w:tc>
          <w:tcPr>
            <w:tcW w:w="1276" w:type="dxa"/>
            <w:shd w:val="clear" w:color="auto" w:fill="auto"/>
            <w:vAlign w:val="center"/>
          </w:tcPr>
          <w:p w14:paraId="5AA602BD"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w:t>
            </w:r>
          </w:p>
        </w:tc>
        <w:tc>
          <w:tcPr>
            <w:tcW w:w="851" w:type="dxa"/>
            <w:shd w:val="clear" w:color="auto" w:fill="auto"/>
            <w:vAlign w:val="center"/>
          </w:tcPr>
          <w:p w14:paraId="2DC4010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shd w:val="clear" w:color="auto" w:fill="auto"/>
            <w:vAlign w:val="center"/>
          </w:tcPr>
          <w:p w14:paraId="53682064"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65</w:t>
            </w:r>
          </w:p>
        </w:tc>
      </w:tr>
      <w:tr w:rsidR="002C4CFA" w:rsidRPr="00BF3027" w14:paraId="17E1962B" w14:textId="77777777" w:rsidTr="002C4CFA">
        <w:trPr>
          <w:trHeight w:val="537"/>
        </w:trPr>
        <w:tc>
          <w:tcPr>
            <w:tcW w:w="853" w:type="dxa"/>
            <w:shd w:val="clear" w:color="auto" w:fill="D9D9D9"/>
            <w:noWrap/>
            <w:vAlign w:val="center"/>
          </w:tcPr>
          <w:p w14:paraId="521BA3E1"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D9D9D9"/>
            <w:noWrap/>
            <w:vAlign w:val="center"/>
          </w:tcPr>
          <w:p w14:paraId="096ACDD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D9D9D9"/>
            <w:vAlign w:val="center"/>
          </w:tcPr>
          <w:p w14:paraId="6166DE62"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המרצת פתיחה בוררות (הפ"ב)</w:t>
            </w:r>
          </w:p>
        </w:tc>
        <w:tc>
          <w:tcPr>
            <w:tcW w:w="1276" w:type="dxa"/>
            <w:shd w:val="clear" w:color="auto" w:fill="D9D9D9"/>
            <w:vAlign w:val="center"/>
          </w:tcPr>
          <w:p w14:paraId="426E416C"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421</w:t>
            </w:r>
          </w:p>
        </w:tc>
        <w:tc>
          <w:tcPr>
            <w:tcW w:w="1417" w:type="dxa"/>
            <w:shd w:val="clear" w:color="auto" w:fill="D9D9D9"/>
            <w:noWrap/>
            <w:vAlign w:val="center"/>
          </w:tcPr>
          <w:p w14:paraId="1AD0B4B0"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2:06</w:t>
            </w:r>
          </w:p>
        </w:tc>
        <w:tc>
          <w:tcPr>
            <w:tcW w:w="1276" w:type="dxa"/>
            <w:shd w:val="clear" w:color="auto" w:fill="D9D9D9"/>
            <w:vAlign w:val="center"/>
          </w:tcPr>
          <w:p w14:paraId="53B07F5B"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851" w:type="dxa"/>
            <w:shd w:val="clear" w:color="auto" w:fill="D9D9D9"/>
            <w:vAlign w:val="center"/>
          </w:tcPr>
          <w:p w14:paraId="3512A179"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shd w:val="clear" w:color="auto" w:fill="D9D9D9"/>
            <w:vAlign w:val="center"/>
          </w:tcPr>
          <w:p w14:paraId="26C96983"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63</w:t>
            </w:r>
          </w:p>
        </w:tc>
      </w:tr>
      <w:tr w:rsidR="002C4CFA" w:rsidRPr="00BF3027" w14:paraId="22237092" w14:textId="77777777" w:rsidTr="002C4CFA">
        <w:trPr>
          <w:trHeight w:val="357"/>
        </w:trPr>
        <w:tc>
          <w:tcPr>
            <w:tcW w:w="853" w:type="dxa"/>
            <w:shd w:val="clear" w:color="auto" w:fill="auto"/>
            <w:noWrap/>
            <w:vAlign w:val="center"/>
          </w:tcPr>
          <w:p w14:paraId="444A9F5A"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תעבורה</w:t>
            </w:r>
          </w:p>
        </w:tc>
        <w:tc>
          <w:tcPr>
            <w:tcW w:w="989" w:type="dxa"/>
            <w:shd w:val="clear" w:color="auto" w:fill="auto"/>
            <w:noWrap/>
            <w:vAlign w:val="center"/>
          </w:tcPr>
          <w:p w14:paraId="7DD00E37" w14:textId="77777777" w:rsidR="002C4CFA" w:rsidRPr="00BF3027" w:rsidRDefault="002C4CFA" w:rsidP="002C4CFA">
            <w:pPr>
              <w:spacing w:after="0" w:line="240" w:lineRule="auto"/>
              <w:rPr>
                <w:rFonts w:ascii="David" w:eastAsia="Times New Roman" w:hAnsi="David" w:cs="David"/>
                <w:rtl/>
              </w:rPr>
            </w:pPr>
          </w:p>
        </w:tc>
        <w:tc>
          <w:tcPr>
            <w:tcW w:w="1984" w:type="dxa"/>
            <w:shd w:val="clear" w:color="auto" w:fill="auto"/>
            <w:vAlign w:val="center"/>
          </w:tcPr>
          <w:p w14:paraId="31BE61F9"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ת"ד אדום (תד"א)</w:t>
            </w:r>
          </w:p>
        </w:tc>
        <w:tc>
          <w:tcPr>
            <w:tcW w:w="1276" w:type="dxa"/>
            <w:shd w:val="clear" w:color="auto" w:fill="auto"/>
            <w:vAlign w:val="center"/>
          </w:tcPr>
          <w:p w14:paraId="6FC1490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87</w:t>
            </w:r>
          </w:p>
        </w:tc>
        <w:tc>
          <w:tcPr>
            <w:tcW w:w="1417" w:type="dxa"/>
            <w:shd w:val="clear" w:color="auto" w:fill="auto"/>
            <w:noWrap/>
            <w:vAlign w:val="center"/>
          </w:tcPr>
          <w:p w14:paraId="651B5487"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hint="cs"/>
                <w:b/>
                <w:bCs/>
                <w:rtl/>
              </w:rPr>
              <w:t>2:04</w:t>
            </w:r>
          </w:p>
        </w:tc>
        <w:tc>
          <w:tcPr>
            <w:tcW w:w="1276" w:type="dxa"/>
            <w:shd w:val="clear" w:color="auto" w:fill="auto"/>
            <w:vAlign w:val="center"/>
          </w:tcPr>
          <w:p w14:paraId="6486A7DE"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851" w:type="dxa"/>
            <w:shd w:val="clear" w:color="auto" w:fill="auto"/>
            <w:vAlign w:val="center"/>
          </w:tcPr>
          <w:p w14:paraId="1CE2CDE9"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shd w:val="clear" w:color="auto" w:fill="auto"/>
            <w:vAlign w:val="center"/>
          </w:tcPr>
          <w:p w14:paraId="44022A74"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62</w:t>
            </w:r>
          </w:p>
        </w:tc>
      </w:tr>
      <w:tr w:rsidR="002C4CFA" w:rsidRPr="00BF3027" w14:paraId="2298E723" w14:textId="77777777" w:rsidTr="002C4CFA">
        <w:trPr>
          <w:trHeight w:val="601"/>
        </w:trPr>
        <w:tc>
          <w:tcPr>
            <w:tcW w:w="853" w:type="dxa"/>
            <w:shd w:val="clear" w:color="auto" w:fill="D9D9D9"/>
            <w:noWrap/>
            <w:vAlign w:val="center"/>
          </w:tcPr>
          <w:p w14:paraId="44A24F01"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D9D9D9"/>
            <w:noWrap/>
            <w:vAlign w:val="center"/>
          </w:tcPr>
          <w:p w14:paraId="21BDBB86"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ערעור אזרחי</w:t>
            </w:r>
          </w:p>
        </w:tc>
        <w:tc>
          <w:tcPr>
            <w:tcW w:w="1984" w:type="dxa"/>
            <w:shd w:val="clear" w:color="auto" w:fill="D9D9D9"/>
            <w:vAlign w:val="center"/>
          </w:tcPr>
          <w:p w14:paraId="06CFB536"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רשות ערעור משפחה (רמ"ש) - דן יחיד</w:t>
            </w:r>
          </w:p>
        </w:tc>
        <w:tc>
          <w:tcPr>
            <w:tcW w:w="1276" w:type="dxa"/>
            <w:shd w:val="clear" w:color="auto" w:fill="D9D9D9"/>
            <w:vAlign w:val="center"/>
          </w:tcPr>
          <w:p w14:paraId="69678E90"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869</w:t>
            </w:r>
          </w:p>
        </w:tc>
        <w:tc>
          <w:tcPr>
            <w:tcW w:w="1417" w:type="dxa"/>
            <w:shd w:val="clear" w:color="auto" w:fill="D9D9D9"/>
            <w:noWrap/>
            <w:vAlign w:val="center"/>
          </w:tcPr>
          <w:p w14:paraId="44D5221F"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2:03</w:t>
            </w:r>
          </w:p>
        </w:tc>
        <w:tc>
          <w:tcPr>
            <w:tcW w:w="1276" w:type="dxa"/>
            <w:shd w:val="clear" w:color="auto" w:fill="D9D9D9"/>
            <w:vAlign w:val="center"/>
          </w:tcPr>
          <w:p w14:paraId="3F8AEA1C"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851" w:type="dxa"/>
            <w:shd w:val="clear" w:color="auto" w:fill="D9D9D9"/>
            <w:vAlign w:val="center"/>
          </w:tcPr>
          <w:p w14:paraId="4F440EC2"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shd w:val="clear" w:color="auto" w:fill="D9D9D9"/>
            <w:vAlign w:val="center"/>
          </w:tcPr>
          <w:p w14:paraId="00F71979"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62</w:t>
            </w:r>
          </w:p>
        </w:tc>
      </w:tr>
      <w:tr w:rsidR="002C4CFA" w:rsidRPr="00BF3027" w14:paraId="50A91FBB" w14:textId="77777777" w:rsidTr="002C4CFA">
        <w:trPr>
          <w:trHeight w:val="371"/>
        </w:trPr>
        <w:tc>
          <w:tcPr>
            <w:tcW w:w="853" w:type="dxa"/>
            <w:shd w:val="clear" w:color="auto" w:fill="auto"/>
            <w:noWrap/>
            <w:vAlign w:val="center"/>
          </w:tcPr>
          <w:p w14:paraId="5EE7FBB0"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תעבורה</w:t>
            </w:r>
          </w:p>
        </w:tc>
        <w:tc>
          <w:tcPr>
            <w:tcW w:w="989" w:type="dxa"/>
            <w:shd w:val="clear" w:color="auto" w:fill="auto"/>
            <w:noWrap/>
            <w:vAlign w:val="center"/>
          </w:tcPr>
          <w:p w14:paraId="04AF6958" w14:textId="77777777" w:rsidR="002C4CFA" w:rsidRPr="00BF3027" w:rsidRDefault="002C4CFA" w:rsidP="002C4CFA">
            <w:pPr>
              <w:bidi w:val="0"/>
              <w:spacing w:after="0" w:line="240" w:lineRule="auto"/>
              <w:rPr>
                <w:rFonts w:ascii="David" w:eastAsia="Times New Roman" w:hAnsi="David" w:cs="David"/>
                <w:rtl/>
              </w:rPr>
            </w:pPr>
          </w:p>
        </w:tc>
        <w:tc>
          <w:tcPr>
            <w:tcW w:w="1984" w:type="dxa"/>
            <w:shd w:val="clear" w:color="auto" w:fill="auto"/>
            <w:vAlign w:val="center"/>
          </w:tcPr>
          <w:p w14:paraId="5868FB08"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תיק פ"ל אדום (פל"א)</w:t>
            </w:r>
          </w:p>
        </w:tc>
        <w:tc>
          <w:tcPr>
            <w:tcW w:w="1276" w:type="dxa"/>
            <w:shd w:val="clear" w:color="auto" w:fill="auto"/>
            <w:vAlign w:val="center"/>
          </w:tcPr>
          <w:p w14:paraId="4E73463C"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2,113</w:t>
            </w:r>
          </w:p>
        </w:tc>
        <w:tc>
          <w:tcPr>
            <w:tcW w:w="1417" w:type="dxa"/>
            <w:shd w:val="clear" w:color="auto" w:fill="auto"/>
            <w:noWrap/>
            <w:vAlign w:val="center"/>
          </w:tcPr>
          <w:p w14:paraId="375A4DF4"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1:57</w:t>
            </w:r>
          </w:p>
        </w:tc>
        <w:tc>
          <w:tcPr>
            <w:tcW w:w="1276" w:type="dxa"/>
            <w:shd w:val="clear" w:color="auto" w:fill="auto"/>
            <w:vAlign w:val="center"/>
          </w:tcPr>
          <w:p w14:paraId="1E6D6189"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w:t>
            </w:r>
          </w:p>
        </w:tc>
        <w:tc>
          <w:tcPr>
            <w:tcW w:w="851" w:type="dxa"/>
            <w:shd w:val="clear" w:color="auto" w:fill="auto"/>
            <w:vAlign w:val="center"/>
          </w:tcPr>
          <w:p w14:paraId="65437AB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shd w:val="clear" w:color="auto" w:fill="auto"/>
            <w:vAlign w:val="center"/>
          </w:tcPr>
          <w:p w14:paraId="68C7B64A"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59</w:t>
            </w:r>
          </w:p>
        </w:tc>
      </w:tr>
      <w:tr w:rsidR="002C4CFA" w:rsidRPr="00BF3027" w14:paraId="6DA3E933" w14:textId="77777777" w:rsidTr="002C4CFA">
        <w:trPr>
          <w:trHeight w:val="404"/>
        </w:trPr>
        <w:tc>
          <w:tcPr>
            <w:tcW w:w="853" w:type="dxa"/>
            <w:shd w:val="clear" w:color="auto" w:fill="D9D9D9"/>
            <w:noWrap/>
            <w:vAlign w:val="center"/>
          </w:tcPr>
          <w:p w14:paraId="03332387"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עבודה</w:t>
            </w:r>
          </w:p>
        </w:tc>
        <w:tc>
          <w:tcPr>
            <w:tcW w:w="989" w:type="dxa"/>
            <w:shd w:val="clear" w:color="auto" w:fill="D9D9D9"/>
            <w:noWrap/>
            <w:vAlign w:val="center"/>
          </w:tcPr>
          <w:p w14:paraId="5BE6964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D9D9D9"/>
            <w:vAlign w:val="center"/>
          </w:tcPr>
          <w:p w14:paraId="38212B3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ערעור לפי חוק (על"ח)</w:t>
            </w:r>
          </w:p>
        </w:tc>
        <w:tc>
          <w:tcPr>
            <w:tcW w:w="1276" w:type="dxa"/>
            <w:shd w:val="clear" w:color="auto" w:fill="D9D9D9"/>
            <w:vAlign w:val="center"/>
          </w:tcPr>
          <w:p w14:paraId="6B84D27F"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372</w:t>
            </w:r>
          </w:p>
        </w:tc>
        <w:tc>
          <w:tcPr>
            <w:tcW w:w="1417" w:type="dxa"/>
            <w:shd w:val="clear" w:color="auto" w:fill="D9D9D9"/>
            <w:noWrap/>
            <w:vAlign w:val="center"/>
          </w:tcPr>
          <w:p w14:paraId="618C3E55" w14:textId="77777777" w:rsidR="002C4CFA" w:rsidRPr="00BF3027" w:rsidRDefault="002C4CFA" w:rsidP="002C4CFA">
            <w:pPr>
              <w:spacing w:after="0" w:line="240" w:lineRule="auto"/>
              <w:jc w:val="center"/>
              <w:rPr>
                <w:rFonts w:asciiTheme="minorHAnsi" w:eastAsia="Times New Roman" w:hAnsiTheme="minorHAnsi" w:cs="David"/>
                <w:b/>
                <w:bCs/>
                <w:rtl/>
              </w:rPr>
            </w:pPr>
            <w:r w:rsidRPr="00BF3027">
              <w:rPr>
                <w:rFonts w:ascii="David" w:eastAsia="Times New Roman" w:hAnsi="David" w:cs="David"/>
                <w:b/>
                <w:bCs/>
              </w:rPr>
              <w:t>1:56</w:t>
            </w:r>
          </w:p>
        </w:tc>
        <w:tc>
          <w:tcPr>
            <w:tcW w:w="1276" w:type="dxa"/>
            <w:shd w:val="clear" w:color="auto" w:fill="D9D9D9"/>
            <w:vAlign w:val="center"/>
          </w:tcPr>
          <w:p w14:paraId="5C4027CE"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1:30</w:t>
            </w:r>
          </w:p>
        </w:tc>
        <w:tc>
          <w:tcPr>
            <w:tcW w:w="851" w:type="dxa"/>
            <w:shd w:val="clear" w:color="auto" w:fill="D9D9D9"/>
            <w:vAlign w:val="center"/>
          </w:tcPr>
          <w:p w14:paraId="2443FD61"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+0:26</w:t>
            </w:r>
          </w:p>
        </w:tc>
        <w:tc>
          <w:tcPr>
            <w:tcW w:w="992" w:type="dxa"/>
            <w:shd w:val="clear" w:color="auto" w:fill="D9D9D9"/>
            <w:vAlign w:val="center"/>
          </w:tcPr>
          <w:p w14:paraId="5F5C2929"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58</w:t>
            </w:r>
          </w:p>
        </w:tc>
      </w:tr>
      <w:tr w:rsidR="002C4CFA" w:rsidRPr="00BF3027" w14:paraId="149A8049" w14:textId="77777777" w:rsidTr="002C4CFA">
        <w:trPr>
          <w:trHeight w:val="426"/>
        </w:trPr>
        <w:tc>
          <w:tcPr>
            <w:tcW w:w="853" w:type="dxa"/>
            <w:shd w:val="clear" w:color="auto" w:fill="auto"/>
            <w:noWrap/>
            <w:vAlign w:val="center"/>
          </w:tcPr>
          <w:p w14:paraId="44364B87"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נוער</w:t>
            </w:r>
          </w:p>
        </w:tc>
        <w:tc>
          <w:tcPr>
            <w:tcW w:w="989" w:type="dxa"/>
            <w:shd w:val="clear" w:color="auto" w:fill="auto"/>
            <w:noWrap/>
            <w:vAlign w:val="center"/>
          </w:tcPr>
          <w:p w14:paraId="71FC5993" w14:textId="77777777" w:rsidR="002C4CFA" w:rsidRPr="00BF3027" w:rsidRDefault="002C4CFA" w:rsidP="002C4CFA">
            <w:pPr>
              <w:spacing w:after="0" w:line="240" w:lineRule="auto"/>
              <w:rPr>
                <w:rFonts w:ascii="David" w:eastAsia="Times New Roman" w:hAnsi="David" w:cs="David"/>
                <w:rtl/>
              </w:rPr>
            </w:pPr>
          </w:p>
        </w:tc>
        <w:tc>
          <w:tcPr>
            <w:tcW w:w="1984" w:type="dxa"/>
            <w:shd w:val="clear" w:color="auto" w:fill="auto"/>
            <w:vAlign w:val="center"/>
          </w:tcPr>
          <w:p w14:paraId="79054CF1"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מעצר ימים (מ"י)</w:t>
            </w:r>
          </w:p>
        </w:tc>
        <w:tc>
          <w:tcPr>
            <w:tcW w:w="1276" w:type="dxa"/>
            <w:shd w:val="clear" w:color="auto" w:fill="auto"/>
            <w:vAlign w:val="center"/>
          </w:tcPr>
          <w:p w14:paraId="5B65B328"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2,652</w:t>
            </w:r>
          </w:p>
        </w:tc>
        <w:tc>
          <w:tcPr>
            <w:tcW w:w="1417" w:type="dxa"/>
            <w:shd w:val="clear" w:color="auto" w:fill="auto"/>
            <w:noWrap/>
            <w:vAlign w:val="center"/>
          </w:tcPr>
          <w:p w14:paraId="6796FE3D"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hint="cs"/>
                <w:b/>
                <w:bCs/>
                <w:rtl/>
              </w:rPr>
              <w:t>1:52</w:t>
            </w:r>
          </w:p>
        </w:tc>
        <w:tc>
          <w:tcPr>
            <w:tcW w:w="1276" w:type="dxa"/>
            <w:shd w:val="clear" w:color="auto" w:fill="auto"/>
            <w:vAlign w:val="center"/>
          </w:tcPr>
          <w:p w14:paraId="26A45BE7"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1:04</w:t>
            </w:r>
          </w:p>
        </w:tc>
        <w:tc>
          <w:tcPr>
            <w:tcW w:w="851" w:type="dxa"/>
            <w:shd w:val="clear" w:color="auto" w:fill="auto"/>
            <w:vAlign w:val="center"/>
          </w:tcPr>
          <w:p w14:paraId="0A667C6C"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+0:4</w:t>
            </w:r>
            <w:r w:rsidRPr="00BF3027">
              <w:rPr>
                <w:rFonts w:ascii="David" w:eastAsia="Times New Roman" w:hAnsi="David" w:cs="David" w:hint="cs"/>
                <w:rtl/>
              </w:rPr>
              <w:t>8</w:t>
            </w:r>
          </w:p>
        </w:tc>
        <w:tc>
          <w:tcPr>
            <w:tcW w:w="992" w:type="dxa"/>
            <w:shd w:val="clear" w:color="auto" w:fill="auto"/>
            <w:vAlign w:val="center"/>
          </w:tcPr>
          <w:p w14:paraId="18BFE400"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56</w:t>
            </w:r>
          </w:p>
        </w:tc>
      </w:tr>
      <w:tr w:rsidR="002C4CFA" w:rsidRPr="00BF3027" w14:paraId="23543D9C" w14:textId="77777777" w:rsidTr="002C4CFA">
        <w:trPr>
          <w:trHeight w:val="417"/>
        </w:trPr>
        <w:tc>
          <w:tcPr>
            <w:tcW w:w="853" w:type="dxa"/>
            <w:shd w:val="clear" w:color="auto" w:fill="D9D9D9"/>
            <w:noWrap/>
            <w:vAlign w:val="center"/>
          </w:tcPr>
          <w:p w14:paraId="06383169"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נוער</w:t>
            </w:r>
          </w:p>
        </w:tc>
        <w:tc>
          <w:tcPr>
            <w:tcW w:w="989" w:type="dxa"/>
            <w:shd w:val="clear" w:color="auto" w:fill="D9D9D9"/>
            <w:noWrap/>
            <w:vAlign w:val="center"/>
          </w:tcPr>
          <w:p w14:paraId="34CC4829" w14:textId="77777777" w:rsidR="002C4CFA" w:rsidRPr="00BF3027" w:rsidRDefault="002C4CFA" w:rsidP="002C4CFA">
            <w:pPr>
              <w:spacing w:after="0" w:line="240" w:lineRule="auto"/>
              <w:rPr>
                <w:rFonts w:ascii="David" w:eastAsia="Times New Roman" w:hAnsi="David" w:cs="David"/>
                <w:rtl/>
              </w:rPr>
            </w:pPr>
          </w:p>
        </w:tc>
        <w:tc>
          <w:tcPr>
            <w:tcW w:w="1984" w:type="dxa"/>
            <w:shd w:val="clear" w:color="auto" w:fill="D9D9D9"/>
            <w:vAlign w:val="center"/>
          </w:tcPr>
          <w:p w14:paraId="1BF91D8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תעבורה (תת"ע)</w:t>
            </w:r>
          </w:p>
        </w:tc>
        <w:tc>
          <w:tcPr>
            <w:tcW w:w="1276" w:type="dxa"/>
            <w:shd w:val="clear" w:color="auto" w:fill="D9D9D9"/>
            <w:vAlign w:val="center"/>
          </w:tcPr>
          <w:p w14:paraId="3EEE3BE0"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798</w:t>
            </w:r>
          </w:p>
        </w:tc>
        <w:tc>
          <w:tcPr>
            <w:tcW w:w="1417" w:type="dxa"/>
            <w:shd w:val="clear" w:color="auto" w:fill="D9D9D9"/>
            <w:noWrap/>
            <w:vAlign w:val="center"/>
          </w:tcPr>
          <w:p w14:paraId="547BE1EE"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1:51</w:t>
            </w:r>
          </w:p>
        </w:tc>
        <w:tc>
          <w:tcPr>
            <w:tcW w:w="1276" w:type="dxa"/>
            <w:shd w:val="clear" w:color="auto" w:fill="D9D9D9"/>
            <w:vAlign w:val="center"/>
          </w:tcPr>
          <w:p w14:paraId="2F975455"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851" w:type="dxa"/>
            <w:shd w:val="clear" w:color="auto" w:fill="D9D9D9"/>
            <w:vAlign w:val="center"/>
          </w:tcPr>
          <w:p w14:paraId="5B8B17CB"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shd w:val="clear" w:color="auto" w:fill="D9D9D9"/>
            <w:vAlign w:val="center"/>
          </w:tcPr>
          <w:p w14:paraId="021CBB90"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56</w:t>
            </w:r>
          </w:p>
        </w:tc>
      </w:tr>
      <w:tr w:rsidR="002C4CFA" w:rsidRPr="00BF3027" w14:paraId="18F5D41F" w14:textId="77777777" w:rsidTr="002C4CFA">
        <w:trPr>
          <w:trHeight w:val="274"/>
        </w:trPr>
        <w:tc>
          <w:tcPr>
            <w:tcW w:w="853" w:type="dxa"/>
            <w:shd w:val="clear" w:color="auto" w:fill="auto"/>
            <w:noWrap/>
            <w:vAlign w:val="center"/>
          </w:tcPr>
          <w:p w14:paraId="71CC4949"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auto"/>
            <w:noWrap/>
            <w:vAlign w:val="center"/>
          </w:tcPr>
          <w:p w14:paraId="45246E87"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ערעור אזרחי</w:t>
            </w:r>
          </w:p>
        </w:tc>
        <w:tc>
          <w:tcPr>
            <w:tcW w:w="1984" w:type="dxa"/>
            <w:shd w:val="clear" w:color="auto" w:fill="auto"/>
            <w:vAlign w:val="center"/>
          </w:tcPr>
          <w:p w14:paraId="21B1185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רשות ערעור תביעות קטנות (רת"ק)</w:t>
            </w:r>
          </w:p>
        </w:tc>
        <w:tc>
          <w:tcPr>
            <w:tcW w:w="1276" w:type="dxa"/>
            <w:shd w:val="clear" w:color="auto" w:fill="auto"/>
            <w:vAlign w:val="center"/>
          </w:tcPr>
          <w:p w14:paraId="2200BA7F"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537</w:t>
            </w:r>
          </w:p>
        </w:tc>
        <w:tc>
          <w:tcPr>
            <w:tcW w:w="1417" w:type="dxa"/>
            <w:shd w:val="clear" w:color="auto" w:fill="auto"/>
            <w:noWrap/>
            <w:vAlign w:val="center"/>
          </w:tcPr>
          <w:p w14:paraId="10FF66A4"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hint="cs"/>
                <w:b/>
                <w:bCs/>
                <w:rtl/>
              </w:rPr>
              <w:t>1:50</w:t>
            </w:r>
          </w:p>
        </w:tc>
        <w:tc>
          <w:tcPr>
            <w:tcW w:w="1276" w:type="dxa"/>
            <w:shd w:val="clear" w:color="auto" w:fill="auto"/>
            <w:vAlign w:val="center"/>
          </w:tcPr>
          <w:p w14:paraId="31116683"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851" w:type="dxa"/>
            <w:shd w:val="clear" w:color="auto" w:fill="auto"/>
            <w:vAlign w:val="center"/>
          </w:tcPr>
          <w:p w14:paraId="03968DA1"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992" w:type="dxa"/>
            <w:shd w:val="clear" w:color="auto" w:fill="auto"/>
            <w:vAlign w:val="center"/>
          </w:tcPr>
          <w:p w14:paraId="41C40B64"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55</w:t>
            </w:r>
          </w:p>
        </w:tc>
      </w:tr>
      <w:tr w:rsidR="002C4CFA" w:rsidRPr="00BF3027" w14:paraId="7ACCC403" w14:textId="77777777" w:rsidTr="002C4CFA">
        <w:trPr>
          <w:trHeight w:val="292"/>
        </w:trPr>
        <w:tc>
          <w:tcPr>
            <w:tcW w:w="853" w:type="dxa"/>
            <w:tcBorders>
              <w:bottom w:val="single" w:sz="4" w:space="0" w:color="auto"/>
            </w:tcBorders>
            <w:shd w:val="clear" w:color="auto" w:fill="D9D9D9"/>
            <w:noWrap/>
            <w:vAlign w:val="center"/>
          </w:tcPr>
          <w:p w14:paraId="29D7661B"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עבודה</w:t>
            </w:r>
          </w:p>
        </w:tc>
        <w:tc>
          <w:tcPr>
            <w:tcW w:w="989" w:type="dxa"/>
            <w:tcBorders>
              <w:bottom w:val="single" w:sz="4" w:space="0" w:color="auto"/>
            </w:tcBorders>
            <w:shd w:val="clear" w:color="auto" w:fill="D9D9D9"/>
            <w:noWrap/>
            <w:vAlign w:val="center"/>
          </w:tcPr>
          <w:p w14:paraId="4774E02B"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tcBorders>
              <w:bottom w:val="single" w:sz="4" w:space="0" w:color="auto"/>
            </w:tcBorders>
            <w:shd w:val="clear" w:color="auto" w:fill="D9D9D9"/>
            <w:vAlign w:val="center"/>
          </w:tcPr>
          <w:p w14:paraId="69C89A99"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חוק ביטוח בריאות ממלכתי (חב"ר)</w:t>
            </w:r>
          </w:p>
        </w:tc>
        <w:tc>
          <w:tcPr>
            <w:tcW w:w="1276" w:type="dxa"/>
            <w:tcBorders>
              <w:bottom w:val="single" w:sz="4" w:space="0" w:color="auto"/>
            </w:tcBorders>
            <w:shd w:val="clear" w:color="auto" w:fill="D9D9D9"/>
            <w:vAlign w:val="center"/>
          </w:tcPr>
          <w:p w14:paraId="4FDFDCA3"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162</w:t>
            </w:r>
          </w:p>
        </w:tc>
        <w:tc>
          <w:tcPr>
            <w:tcW w:w="1417" w:type="dxa"/>
            <w:tcBorders>
              <w:bottom w:val="single" w:sz="4" w:space="0" w:color="auto"/>
            </w:tcBorders>
            <w:shd w:val="clear" w:color="auto" w:fill="D9D9D9"/>
            <w:noWrap/>
            <w:vAlign w:val="center"/>
          </w:tcPr>
          <w:p w14:paraId="5A20391F"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1:49</w:t>
            </w:r>
          </w:p>
        </w:tc>
        <w:tc>
          <w:tcPr>
            <w:tcW w:w="1276" w:type="dxa"/>
            <w:tcBorders>
              <w:bottom w:val="single" w:sz="4" w:space="0" w:color="auto"/>
            </w:tcBorders>
            <w:shd w:val="clear" w:color="auto" w:fill="D9D9D9"/>
            <w:vAlign w:val="center"/>
          </w:tcPr>
          <w:p w14:paraId="213C4749"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3:52</w:t>
            </w:r>
          </w:p>
        </w:tc>
        <w:tc>
          <w:tcPr>
            <w:tcW w:w="851" w:type="dxa"/>
            <w:tcBorders>
              <w:bottom w:val="single" w:sz="4" w:space="0" w:color="auto"/>
            </w:tcBorders>
            <w:shd w:val="clear" w:color="auto" w:fill="D9D9D9"/>
            <w:vAlign w:val="center"/>
          </w:tcPr>
          <w:p w14:paraId="20877A03" w14:textId="77777777" w:rsidR="002C4CFA" w:rsidRPr="00BF3027" w:rsidRDefault="002C4CFA" w:rsidP="002C4CFA">
            <w:pPr>
              <w:spacing w:after="0" w:line="240" w:lineRule="auto"/>
              <w:jc w:val="center"/>
              <w:rPr>
                <w:rFonts w:asciiTheme="minorHAnsi" w:eastAsia="Times New Roman" w:hAnsiTheme="minorHAnsi" w:cs="David"/>
              </w:rPr>
            </w:pPr>
            <w:r w:rsidRPr="00BF3027">
              <w:rPr>
                <w:rFonts w:ascii="David" w:eastAsia="Times New Roman" w:hAnsi="David" w:cs="David"/>
              </w:rPr>
              <w:t>-2:0</w:t>
            </w:r>
            <w:r w:rsidRPr="00BF3027">
              <w:rPr>
                <w:rFonts w:ascii="David" w:eastAsia="Times New Roman" w:hAnsi="David" w:cs="David" w:hint="cs"/>
                <w:rtl/>
              </w:rPr>
              <w:t>3</w:t>
            </w:r>
          </w:p>
        </w:tc>
        <w:tc>
          <w:tcPr>
            <w:tcW w:w="992" w:type="dxa"/>
            <w:tcBorders>
              <w:bottom w:val="single" w:sz="4" w:space="0" w:color="auto"/>
            </w:tcBorders>
            <w:shd w:val="clear" w:color="auto" w:fill="D9D9D9"/>
            <w:vAlign w:val="center"/>
          </w:tcPr>
          <w:p w14:paraId="08608B4D"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55</w:t>
            </w:r>
          </w:p>
        </w:tc>
      </w:tr>
      <w:tr w:rsidR="002C4CFA" w:rsidRPr="00BF3027" w14:paraId="2EF2F9C5" w14:textId="77777777" w:rsidTr="002C4CFA">
        <w:trPr>
          <w:trHeight w:val="292"/>
        </w:trPr>
        <w:tc>
          <w:tcPr>
            <w:tcW w:w="853" w:type="dxa"/>
            <w:tcBorders>
              <w:top w:val="single" w:sz="4" w:space="0" w:color="auto"/>
              <w:bottom w:val="single" w:sz="4" w:space="0" w:color="auto"/>
            </w:tcBorders>
            <w:shd w:val="clear" w:color="auto" w:fill="auto"/>
            <w:noWrap/>
            <w:vAlign w:val="center"/>
          </w:tcPr>
          <w:p w14:paraId="1C88AC6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עבודה</w:t>
            </w:r>
          </w:p>
        </w:tc>
        <w:tc>
          <w:tcPr>
            <w:tcW w:w="989" w:type="dxa"/>
            <w:tcBorders>
              <w:top w:val="single" w:sz="4" w:space="0" w:color="auto"/>
              <w:bottom w:val="single" w:sz="4" w:space="0" w:color="auto"/>
            </w:tcBorders>
            <w:shd w:val="clear" w:color="auto" w:fill="auto"/>
            <w:noWrap/>
            <w:vAlign w:val="center"/>
          </w:tcPr>
          <w:p w14:paraId="424A313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tcBorders>
              <w:top w:val="single" w:sz="4" w:space="0" w:color="auto"/>
              <w:bottom w:val="single" w:sz="4" w:space="0" w:color="auto"/>
            </w:tcBorders>
            <w:shd w:val="clear" w:color="auto" w:fill="auto"/>
            <w:vAlign w:val="center"/>
          </w:tcPr>
          <w:p w14:paraId="334E463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סכסוך עבודה (ס"ע)</w:t>
            </w:r>
          </w:p>
        </w:tc>
        <w:tc>
          <w:tcPr>
            <w:tcW w:w="1276" w:type="dxa"/>
            <w:tcBorders>
              <w:top w:val="single" w:sz="4" w:space="0" w:color="auto"/>
              <w:bottom w:val="single" w:sz="4" w:space="0" w:color="auto"/>
            </w:tcBorders>
            <w:shd w:val="clear" w:color="auto" w:fill="auto"/>
            <w:vAlign w:val="center"/>
          </w:tcPr>
          <w:p w14:paraId="5CE7CFBE"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4,727</w:t>
            </w:r>
          </w:p>
        </w:tc>
        <w:tc>
          <w:tcPr>
            <w:tcW w:w="1417" w:type="dxa"/>
            <w:tcBorders>
              <w:top w:val="single" w:sz="4" w:space="0" w:color="auto"/>
              <w:bottom w:val="single" w:sz="4" w:space="0" w:color="auto"/>
            </w:tcBorders>
            <w:shd w:val="clear" w:color="auto" w:fill="auto"/>
            <w:noWrap/>
            <w:vAlign w:val="center"/>
          </w:tcPr>
          <w:p w14:paraId="44199539"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tl/>
              </w:rPr>
              <w:t>1:</w:t>
            </w:r>
            <w:r w:rsidRPr="00BF3027">
              <w:rPr>
                <w:rFonts w:ascii="David" w:eastAsia="Times New Roman" w:hAnsi="David" w:cs="David" w:hint="cs"/>
                <w:b/>
                <w:bCs/>
                <w:rtl/>
              </w:rPr>
              <w:t>45</w:t>
            </w:r>
          </w:p>
        </w:tc>
        <w:tc>
          <w:tcPr>
            <w:tcW w:w="1276" w:type="dxa"/>
            <w:tcBorders>
              <w:top w:val="single" w:sz="4" w:space="0" w:color="auto"/>
              <w:bottom w:val="single" w:sz="4" w:space="0" w:color="auto"/>
            </w:tcBorders>
            <w:shd w:val="clear" w:color="auto" w:fill="auto"/>
            <w:vAlign w:val="center"/>
          </w:tcPr>
          <w:p w14:paraId="247E8672"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5:30</w:t>
            </w:r>
          </w:p>
        </w:tc>
        <w:tc>
          <w:tcPr>
            <w:tcW w:w="851" w:type="dxa"/>
            <w:tcBorders>
              <w:top w:val="single" w:sz="4" w:space="0" w:color="auto"/>
              <w:bottom w:val="single" w:sz="4" w:space="0" w:color="auto"/>
            </w:tcBorders>
            <w:shd w:val="clear" w:color="auto" w:fill="auto"/>
            <w:vAlign w:val="center"/>
          </w:tcPr>
          <w:p w14:paraId="24F89BFB"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3:</w:t>
            </w:r>
            <w:r w:rsidRPr="00BF3027">
              <w:rPr>
                <w:rFonts w:ascii="David" w:eastAsia="Times New Roman" w:hAnsi="David" w:cs="David" w:hint="cs"/>
                <w:rtl/>
              </w:rPr>
              <w:t>45</w:t>
            </w:r>
            <w:r w:rsidRPr="00BF3027">
              <w:rPr>
                <w:rFonts w:ascii="David" w:eastAsia="Times New Roman" w:hAnsi="David" w:cs="David"/>
                <w:rtl/>
              </w:rPr>
              <w:t>-</w:t>
            </w:r>
          </w:p>
        </w:tc>
        <w:tc>
          <w:tcPr>
            <w:tcW w:w="992" w:type="dxa"/>
            <w:tcBorders>
              <w:top w:val="single" w:sz="4" w:space="0" w:color="auto"/>
              <w:bottom w:val="single" w:sz="4" w:space="0" w:color="auto"/>
            </w:tcBorders>
            <w:shd w:val="clear" w:color="auto" w:fill="auto"/>
            <w:vAlign w:val="center"/>
          </w:tcPr>
          <w:p w14:paraId="7084BA7B"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53</w:t>
            </w:r>
          </w:p>
        </w:tc>
      </w:tr>
      <w:tr w:rsidR="002C4CFA" w:rsidRPr="00BF3027" w14:paraId="53BCAA5A" w14:textId="77777777" w:rsidTr="002C4CFA">
        <w:trPr>
          <w:trHeight w:val="555"/>
        </w:trPr>
        <w:tc>
          <w:tcPr>
            <w:tcW w:w="853" w:type="dxa"/>
            <w:shd w:val="clear" w:color="auto" w:fill="D9D9D9"/>
            <w:noWrap/>
            <w:vAlign w:val="center"/>
          </w:tcPr>
          <w:p w14:paraId="3A64C26C"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משפחה</w:t>
            </w:r>
          </w:p>
        </w:tc>
        <w:tc>
          <w:tcPr>
            <w:tcW w:w="989" w:type="dxa"/>
            <w:shd w:val="clear" w:color="auto" w:fill="D9D9D9"/>
            <w:noWrap/>
            <w:vAlign w:val="center"/>
          </w:tcPr>
          <w:p w14:paraId="46838A7E" w14:textId="77777777" w:rsidR="002C4CFA" w:rsidRPr="00BF3027" w:rsidRDefault="002C4CFA" w:rsidP="002C4CFA">
            <w:pPr>
              <w:spacing w:after="0" w:line="240" w:lineRule="auto"/>
              <w:rPr>
                <w:rFonts w:ascii="David" w:eastAsia="Times New Roman" w:hAnsi="David" w:cs="David"/>
                <w:rtl/>
              </w:rPr>
            </w:pPr>
          </w:p>
        </w:tc>
        <w:tc>
          <w:tcPr>
            <w:tcW w:w="1984" w:type="dxa"/>
            <w:shd w:val="clear" w:color="auto" w:fill="D9D9D9"/>
            <w:vAlign w:val="center"/>
          </w:tcPr>
          <w:p w14:paraId="3F64D4C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הטרדה מאיימת וצו הגנה (ה"ט)</w:t>
            </w:r>
          </w:p>
        </w:tc>
        <w:tc>
          <w:tcPr>
            <w:tcW w:w="1276" w:type="dxa"/>
            <w:shd w:val="clear" w:color="auto" w:fill="D9D9D9"/>
            <w:vAlign w:val="center"/>
          </w:tcPr>
          <w:p w14:paraId="1A4370F8"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10,033</w:t>
            </w:r>
          </w:p>
        </w:tc>
        <w:tc>
          <w:tcPr>
            <w:tcW w:w="1417" w:type="dxa"/>
            <w:shd w:val="clear" w:color="auto" w:fill="D9D9D9"/>
            <w:noWrap/>
            <w:vAlign w:val="center"/>
          </w:tcPr>
          <w:p w14:paraId="2851A70C" w14:textId="77777777" w:rsidR="002C4CFA" w:rsidRPr="00BF3027" w:rsidRDefault="002C4CFA" w:rsidP="002C4CFA">
            <w:pPr>
              <w:bidi w:val="0"/>
              <w:spacing w:after="0" w:line="240" w:lineRule="auto"/>
              <w:jc w:val="center"/>
              <w:rPr>
                <w:rFonts w:ascii="David" w:eastAsia="Times New Roman" w:hAnsi="David" w:cs="David"/>
                <w:b/>
                <w:bCs/>
              </w:rPr>
            </w:pPr>
            <w:r w:rsidRPr="00BF3027">
              <w:rPr>
                <w:rFonts w:ascii="David" w:eastAsia="Times New Roman" w:hAnsi="David" w:cs="David"/>
                <w:b/>
                <w:bCs/>
              </w:rPr>
              <w:t>1:39</w:t>
            </w:r>
          </w:p>
        </w:tc>
        <w:tc>
          <w:tcPr>
            <w:tcW w:w="1276" w:type="dxa"/>
            <w:shd w:val="clear" w:color="auto" w:fill="D9D9D9"/>
            <w:vAlign w:val="center"/>
          </w:tcPr>
          <w:p w14:paraId="5F823FBD" w14:textId="77777777" w:rsidR="002C4CFA" w:rsidRPr="00BF3027" w:rsidRDefault="002C4CFA" w:rsidP="002C4CFA">
            <w:pPr>
              <w:bidi w:val="0"/>
              <w:spacing w:after="0" w:line="240" w:lineRule="auto"/>
              <w:jc w:val="center"/>
              <w:rPr>
                <w:rFonts w:ascii="David" w:eastAsia="Times New Roman" w:hAnsi="David" w:cs="David"/>
              </w:rPr>
            </w:pPr>
            <w:r w:rsidRPr="00BF3027">
              <w:rPr>
                <w:rFonts w:ascii="David" w:eastAsia="Times New Roman" w:hAnsi="David" w:cs="David"/>
              </w:rPr>
              <w:t>1:57</w:t>
            </w:r>
          </w:p>
        </w:tc>
        <w:tc>
          <w:tcPr>
            <w:tcW w:w="851" w:type="dxa"/>
            <w:shd w:val="clear" w:color="auto" w:fill="D9D9D9"/>
            <w:vAlign w:val="center"/>
          </w:tcPr>
          <w:p w14:paraId="22D42156" w14:textId="77777777" w:rsidR="002C4CFA" w:rsidRPr="00BF3027" w:rsidRDefault="002C4CFA" w:rsidP="002C4CFA">
            <w:pPr>
              <w:bidi w:val="0"/>
              <w:spacing w:after="0" w:line="240" w:lineRule="auto"/>
              <w:jc w:val="center"/>
              <w:rPr>
                <w:rFonts w:ascii="David" w:eastAsia="Times New Roman" w:hAnsi="David" w:cs="David"/>
              </w:rPr>
            </w:pPr>
            <w:r w:rsidRPr="00BF3027">
              <w:rPr>
                <w:rFonts w:ascii="David" w:eastAsia="Times New Roman" w:hAnsi="David" w:cs="David"/>
              </w:rPr>
              <w:t>-0:18</w:t>
            </w:r>
          </w:p>
        </w:tc>
        <w:tc>
          <w:tcPr>
            <w:tcW w:w="992" w:type="dxa"/>
            <w:shd w:val="clear" w:color="auto" w:fill="D9D9D9"/>
            <w:vAlign w:val="center"/>
          </w:tcPr>
          <w:p w14:paraId="3F0F9465"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50</w:t>
            </w:r>
          </w:p>
        </w:tc>
      </w:tr>
      <w:tr w:rsidR="002C4CFA" w:rsidRPr="00BF3027" w14:paraId="214CAA5D" w14:textId="77777777" w:rsidTr="002C4CFA">
        <w:trPr>
          <w:trHeight w:val="430"/>
        </w:trPr>
        <w:tc>
          <w:tcPr>
            <w:tcW w:w="853" w:type="dxa"/>
            <w:shd w:val="clear" w:color="auto" w:fill="auto"/>
            <w:noWrap/>
            <w:vAlign w:val="center"/>
          </w:tcPr>
          <w:p w14:paraId="07E0195D"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תעבורה</w:t>
            </w:r>
          </w:p>
        </w:tc>
        <w:tc>
          <w:tcPr>
            <w:tcW w:w="989" w:type="dxa"/>
            <w:shd w:val="clear" w:color="auto" w:fill="auto"/>
            <w:noWrap/>
            <w:vAlign w:val="center"/>
          </w:tcPr>
          <w:p w14:paraId="3B39B005" w14:textId="77777777" w:rsidR="002C4CFA" w:rsidRPr="00BF3027" w:rsidRDefault="002C4CFA" w:rsidP="002C4CFA">
            <w:pPr>
              <w:bidi w:val="0"/>
              <w:spacing w:after="0" w:line="240" w:lineRule="auto"/>
              <w:rPr>
                <w:rFonts w:ascii="David" w:eastAsia="Times New Roman" w:hAnsi="David" w:cs="David"/>
                <w:rtl/>
              </w:rPr>
            </w:pPr>
          </w:p>
        </w:tc>
        <w:tc>
          <w:tcPr>
            <w:tcW w:w="1984" w:type="dxa"/>
            <w:shd w:val="clear" w:color="auto" w:fill="auto"/>
            <w:vAlign w:val="center"/>
          </w:tcPr>
          <w:p w14:paraId="2F22823D"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עבירות שאינן תאונות דרכים ואינן דו"חות (פ"ל)</w:t>
            </w:r>
          </w:p>
        </w:tc>
        <w:tc>
          <w:tcPr>
            <w:tcW w:w="1276" w:type="dxa"/>
            <w:shd w:val="clear" w:color="auto" w:fill="auto"/>
            <w:vAlign w:val="center"/>
          </w:tcPr>
          <w:p w14:paraId="59EB3081"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3,449</w:t>
            </w:r>
          </w:p>
        </w:tc>
        <w:tc>
          <w:tcPr>
            <w:tcW w:w="1417" w:type="dxa"/>
            <w:shd w:val="clear" w:color="auto" w:fill="auto"/>
            <w:noWrap/>
            <w:vAlign w:val="center"/>
          </w:tcPr>
          <w:p w14:paraId="2EB0B69B" w14:textId="77777777" w:rsidR="002C4CFA" w:rsidRPr="00BF3027" w:rsidRDefault="002C4CFA" w:rsidP="002C4CFA">
            <w:pPr>
              <w:bidi w:val="0"/>
              <w:spacing w:after="0" w:line="240" w:lineRule="auto"/>
              <w:jc w:val="center"/>
              <w:rPr>
                <w:rFonts w:ascii="David" w:eastAsia="Times New Roman" w:hAnsi="David" w:cs="David"/>
                <w:b/>
                <w:bCs/>
                <w:rtl/>
              </w:rPr>
            </w:pPr>
            <w:r w:rsidRPr="00BF3027">
              <w:rPr>
                <w:rFonts w:ascii="David" w:eastAsia="Times New Roman" w:hAnsi="David" w:cs="David"/>
                <w:b/>
                <w:bCs/>
              </w:rPr>
              <w:t>1:38</w:t>
            </w:r>
          </w:p>
        </w:tc>
        <w:tc>
          <w:tcPr>
            <w:tcW w:w="1276" w:type="dxa"/>
            <w:shd w:val="clear" w:color="auto" w:fill="auto"/>
            <w:vAlign w:val="center"/>
          </w:tcPr>
          <w:p w14:paraId="4C5A27CF" w14:textId="77777777" w:rsidR="002C4CFA" w:rsidRPr="00BF3027" w:rsidRDefault="002C4CFA" w:rsidP="002C4CFA">
            <w:pPr>
              <w:bidi w:val="0"/>
              <w:spacing w:after="0" w:line="240" w:lineRule="auto"/>
              <w:jc w:val="center"/>
              <w:rPr>
                <w:rFonts w:ascii="David" w:eastAsia="Times New Roman" w:hAnsi="David" w:cs="David"/>
              </w:rPr>
            </w:pPr>
            <w:r w:rsidRPr="00BF3027">
              <w:rPr>
                <w:rFonts w:ascii="David" w:eastAsia="Times New Roman" w:hAnsi="David" w:cs="David"/>
              </w:rPr>
              <w:t>2:14</w:t>
            </w:r>
          </w:p>
        </w:tc>
        <w:tc>
          <w:tcPr>
            <w:tcW w:w="851" w:type="dxa"/>
            <w:shd w:val="clear" w:color="auto" w:fill="auto"/>
            <w:vAlign w:val="center"/>
          </w:tcPr>
          <w:p w14:paraId="39B5FF53" w14:textId="77777777" w:rsidR="002C4CFA" w:rsidRPr="00BF3027" w:rsidRDefault="002C4CFA" w:rsidP="002C4CFA">
            <w:pPr>
              <w:bidi w:val="0"/>
              <w:spacing w:after="0" w:line="240" w:lineRule="auto"/>
              <w:jc w:val="center"/>
              <w:rPr>
                <w:rFonts w:ascii="David" w:eastAsia="Times New Roman" w:hAnsi="David" w:cs="David"/>
              </w:rPr>
            </w:pPr>
            <w:r w:rsidRPr="00BF3027">
              <w:rPr>
                <w:rFonts w:ascii="David" w:eastAsia="Times New Roman" w:hAnsi="David" w:cs="David"/>
                <w:rtl/>
              </w:rPr>
              <w:t>0</w:t>
            </w:r>
            <w:r w:rsidRPr="00BF3027">
              <w:rPr>
                <w:rFonts w:ascii="David" w:eastAsia="Times New Roman" w:hAnsi="David" w:cs="David" w:hint="cs"/>
                <w:rtl/>
              </w:rPr>
              <w:t>:36-</w:t>
            </w:r>
          </w:p>
        </w:tc>
        <w:tc>
          <w:tcPr>
            <w:tcW w:w="992" w:type="dxa"/>
            <w:shd w:val="clear" w:color="auto" w:fill="auto"/>
            <w:vAlign w:val="center"/>
          </w:tcPr>
          <w:p w14:paraId="1610E5CD"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49</w:t>
            </w:r>
          </w:p>
        </w:tc>
      </w:tr>
      <w:tr w:rsidR="002C4CFA" w:rsidRPr="00BF3027" w14:paraId="46C4E539" w14:textId="77777777" w:rsidTr="002C4CFA">
        <w:trPr>
          <w:trHeight w:val="481"/>
        </w:trPr>
        <w:tc>
          <w:tcPr>
            <w:tcW w:w="853" w:type="dxa"/>
            <w:shd w:val="clear" w:color="auto" w:fill="D9D9D9"/>
            <w:noWrap/>
            <w:vAlign w:val="center"/>
          </w:tcPr>
          <w:p w14:paraId="153070CE"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D9D9D9"/>
            <w:noWrap/>
            <w:vAlign w:val="center"/>
          </w:tcPr>
          <w:p w14:paraId="7E643918"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פלילי</w:t>
            </w:r>
          </w:p>
        </w:tc>
        <w:tc>
          <w:tcPr>
            <w:tcW w:w="1984" w:type="dxa"/>
            <w:shd w:val="clear" w:color="auto" w:fill="D9D9D9"/>
            <w:vAlign w:val="center"/>
          </w:tcPr>
          <w:p w14:paraId="65EF38A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איסור פרסום (פ"ר)</w:t>
            </w:r>
          </w:p>
        </w:tc>
        <w:tc>
          <w:tcPr>
            <w:tcW w:w="1276" w:type="dxa"/>
            <w:shd w:val="clear" w:color="auto" w:fill="D9D9D9"/>
            <w:vAlign w:val="center"/>
          </w:tcPr>
          <w:p w14:paraId="255CCD3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475</w:t>
            </w:r>
          </w:p>
        </w:tc>
        <w:tc>
          <w:tcPr>
            <w:tcW w:w="1417" w:type="dxa"/>
            <w:shd w:val="clear" w:color="auto" w:fill="D9D9D9"/>
            <w:noWrap/>
            <w:vAlign w:val="center"/>
          </w:tcPr>
          <w:p w14:paraId="74395E17"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1:36</w:t>
            </w:r>
          </w:p>
        </w:tc>
        <w:tc>
          <w:tcPr>
            <w:tcW w:w="1276" w:type="dxa"/>
            <w:shd w:val="clear" w:color="auto" w:fill="D9D9D9"/>
            <w:vAlign w:val="center"/>
          </w:tcPr>
          <w:p w14:paraId="57DB9183"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851" w:type="dxa"/>
            <w:shd w:val="clear" w:color="auto" w:fill="D9D9D9"/>
            <w:vAlign w:val="center"/>
          </w:tcPr>
          <w:p w14:paraId="1D6A43DB"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shd w:val="clear" w:color="auto" w:fill="D9D9D9"/>
            <w:vAlign w:val="center"/>
          </w:tcPr>
          <w:p w14:paraId="10B9E64D"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48</w:t>
            </w:r>
          </w:p>
        </w:tc>
      </w:tr>
      <w:tr w:rsidR="002C4CFA" w:rsidRPr="00BF3027" w14:paraId="3D7ADEF1" w14:textId="77777777" w:rsidTr="002C4CFA">
        <w:trPr>
          <w:trHeight w:val="505"/>
        </w:trPr>
        <w:tc>
          <w:tcPr>
            <w:tcW w:w="853" w:type="dxa"/>
            <w:shd w:val="clear" w:color="auto" w:fill="auto"/>
            <w:noWrap/>
            <w:vAlign w:val="center"/>
          </w:tcPr>
          <w:p w14:paraId="0A9A9FF7"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תעבורה</w:t>
            </w:r>
          </w:p>
        </w:tc>
        <w:tc>
          <w:tcPr>
            <w:tcW w:w="989" w:type="dxa"/>
            <w:shd w:val="clear" w:color="auto" w:fill="auto"/>
            <w:noWrap/>
            <w:vAlign w:val="center"/>
          </w:tcPr>
          <w:p w14:paraId="68F77B8E" w14:textId="77777777" w:rsidR="002C4CFA" w:rsidRPr="00BF3027" w:rsidRDefault="002C4CFA" w:rsidP="002C4CFA">
            <w:pPr>
              <w:bidi w:val="0"/>
              <w:spacing w:after="0" w:line="240" w:lineRule="auto"/>
              <w:rPr>
                <w:rFonts w:ascii="David" w:eastAsia="Times New Roman" w:hAnsi="David" w:cs="David"/>
                <w:rtl/>
              </w:rPr>
            </w:pPr>
          </w:p>
        </w:tc>
        <w:tc>
          <w:tcPr>
            <w:tcW w:w="1984" w:type="dxa"/>
            <w:shd w:val="clear" w:color="auto" w:fill="auto"/>
            <w:vAlign w:val="center"/>
          </w:tcPr>
          <w:p w14:paraId="794BD298"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מעצר עד תום ההליכים (מ"ת)</w:t>
            </w:r>
          </w:p>
        </w:tc>
        <w:tc>
          <w:tcPr>
            <w:tcW w:w="1276" w:type="dxa"/>
            <w:shd w:val="clear" w:color="auto" w:fill="auto"/>
            <w:vAlign w:val="center"/>
          </w:tcPr>
          <w:p w14:paraId="6CDB1384"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1,774</w:t>
            </w:r>
          </w:p>
        </w:tc>
        <w:tc>
          <w:tcPr>
            <w:tcW w:w="1417" w:type="dxa"/>
            <w:shd w:val="clear" w:color="auto" w:fill="auto"/>
            <w:noWrap/>
            <w:vAlign w:val="center"/>
          </w:tcPr>
          <w:p w14:paraId="2B88AA5D"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1:32</w:t>
            </w:r>
          </w:p>
        </w:tc>
        <w:tc>
          <w:tcPr>
            <w:tcW w:w="1276" w:type="dxa"/>
            <w:shd w:val="clear" w:color="auto" w:fill="auto"/>
            <w:vAlign w:val="center"/>
          </w:tcPr>
          <w:p w14:paraId="34FC6B8E"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2:40</w:t>
            </w:r>
          </w:p>
        </w:tc>
        <w:tc>
          <w:tcPr>
            <w:tcW w:w="851" w:type="dxa"/>
            <w:shd w:val="clear" w:color="auto" w:fill="auto"/>
            <w:vAlign w:val="center"/>
          </w:tcPr>
          <w:p w14:paraId="52B7022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hint="cs"/>
                <w:rtl/>
              </w:rPr>
              <w:t>1:08 -</w:t>
            </w:r>
          </w:p>
        </w:tc>
        <w:tc>
          <w:tcPr>
            <w:tcW w:w="992" w:type="dxa"/>
            <w:shd w:val="clear" w:color="auto" w:fill="auto"/>
            <w:vAlign w:val="center"/>
          </w:tcPr>
          <w:p w14:paraId="51DA444B"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46</w:t>
            </w:r>
          </w:p>
        </w:tc>
      </w:tr>
      <w:tr w:rsidR="002C4CFA" w:rsidRPr="00BF3027" w14:paraId="6A8FD73F" w14:textId="77777777" w:rsidTr="002C4CFA">
        <w:trPr>
          <w:trHeight w:val="495"/>
        </w:trPr>
        <w:tc>
          <w:tcPr>
            <w:tcW w:w="853" w:type="dxa"/>
            <w:shd w:val="clear" w:color="auto" w:fill="auto"/>
            <w:noWrap/>
            <w:vAlign w:val="center"/>
          </w:tcPr>
          <w:p w14:paraId="43ECFC78" w14:textId="284D9B79" w:rsidR="002C4CFA" w:rsidRPr="00BF3027" w:rsidRDefault="002C4CFA" w:rsidP="002C4CFA">
            <w:pPr>
              <w:spacing w:after="0" w:line="240" w:lineRule="auto"/>
              <w:rPr>
                <w:rFonts w:ascii="David" w:eastAsia="Times New Roman" w:hAnsi="David" w:cs="David"/>
                <w:rtl/>
              </w:rPr>
            </w:pPr>
            <w:r w:rsidRPr="00BF3027">
              <w:rPr>
                <w:rFonts w:ascii="Arial" w:eastAsia="Times New Roman" w:hAnsi="Arial" w:cs="David" w:hint="cs"/>
                <w:b/>
                <w:bCs/>
                <w:rtl/>
              </w:rPr>
              <w:lastRenderedPageBreak/>
              <w:t>ערכאה</w:t>
            </w:r>
          </w:p>
        </w:tc>
        <w:tc>
          <w:tcPr>
            <w:tcW w:w="989" w:type="dxa"/>
            <w:shd w:val="clear" w:color="auto" w:fill="auto"/>
            <w:noWrap/>
            <w:vAlign w:val="center"/>
          </w:tcPr>
          <w:p w14:paraId="759E6088" w14:textId="445243E7" w:rsidR="002C4CFA" w:rsidRPr="00BF3027" w:rsidRDefault="002C4CFA" w:rsidP="002C4CFA">
            <w:pPr>
              <w:spacing w:after="0" w:line="240" w:lineRule="auto"/>
              <w:rPr>
                <w:rFonts w:ascii="David" w:eastAsia="Times New Roman" w:hAnsi="David" w:cs="David"/>
                <w:rtl/>
              </w:rPr>
            </w:pPr>
            <w:r w:rsidRPr="00BF3027">
              <w:rPr>
                <w:rFonts w:ascii="Arial" w:eastAsia="Times New Roman" w:hAnsi="Arial" w:cs="David" w:hint="cs"/>
                <w:b/>
                <w:bCs/>
                <w:rtl/>
              </w:rPr>
              <w:t>הליך</w:t>
            </w:r>
          </w:p>
        </w:tc>
        <w:tc>
          <w:tcPr>
            <w:tcW w:w="1984" w:type="dxa"/>
            <w:shd w:val="clear" w:color="auto" w:fill="auto"/>
            <w:vAlign w:val="center"/>
          </w:tcPr>
          <w:p w14:paraId="57EA328C" w14:textId="2303D1AE" w:rsidR="002C4CFA" w:rsidRPr="00BF3027" w:rsidRDefault="002C4CFA" w:rsidP="002C4CFA">
            <w:pPr>
              <w:spacing w:after="0" w:line="240" w:lineRule="auto"/>
              <w:rPr>
                <w:rFonts w:ascii="David" w:eastAsia="Times New Roman" w:hAnsi="David" w:cs="David"/>
                <w:rtl/>
              </w:rPr>
            </w:pPr>
            <w:r w:rsidRPr="00BF3027">
              <w:rPr>
                <w:rFonts w:ascii="Arial" w:eastAsia="Times New Roman" w:hAnsi="Arial" w:cs="David" w:hint="cs"/>
                <w:b/>
                <w:bCs/>
                <w:rtl/>
              </w:rPr>
              <w:t>סוג תיק</w:t>
            </w:r>
          </w:p>
        </w:tc>
        <w:tc>
          <w:tcPr>
            <w:tcW w:w="1276" w:type="dxa"/>
            <w:shd w:val="clear" w:color="auto" w:fill="auto"/>
            <w:vAlign w:val="center"/>
          </w:tcPr>
          <w:p w14:paraId="4EA2097D" w14:textId="648FD51A" w:rsidR="002C4CFA" w:rsidRPr="00BF3027" w:rsidRDefault="002C4CFA" w:rsidP="002C4CFA">
            <w:pPr>
              <w:spacing w:after="0" w:line="240" w:lineRule="auto"/>
              <w:jc w:val="center"/>
              <w:rPr>
                <w:rFonts w:ascii="David" w:eastAsia="Times New Roman" w:hAnsi="David" w:cs="David"/>
                <w:rtl/>
              </w:rPr>
            </w:pPr>
            <w:r w:rsidRPr="00BF3027">
              <w:rPr>
                <w:rFonts w:ascii="Arial" w:eastAsia="Times New Roman" w:hAnsi="Arial" w:cs="David" w:hint="cs"/>
                <w:b/>
                <w:bCs/>
                <w:rtl/>
              </w:rPr>
              <w:t>מספר תיקים שנסגרו ב-2019</w:t>
            </w:r>
          </w:p>
        </w:tc>
        <w:tc>
          <w:tcPr>
            <w:tcW w:w="1417" w:type="dxa"/>
            <w:shd w:val="clear" w:color="auto" w:fill="auto"/>
            <w:noWrap/>
            <w:vAlign w:val="center"/>
          </w:tcPr>
          <w:p w14:paraId="3952D814" w14:textId="7CEF3EED" w:rsidR="002C4CFA" w:rsidRPr="00BF3027" w:rsidRDefault="002C4CFA" w:rsidP="002C4CFA">
            <w:pPr>
              <w:spacing w:after="0" w:line="240" w:lineRule="auto"/>
              <w:jc w:val="center"/>
              <w:rPr>
                <w:rFonts w:ascii="David" w:eastAsia="Times New Roman" w:hAnsi="David" w:cs="David"/>
                <w:b/>
                <w:bCs/>
              </w:rPr>
            </w:pPr>
            <w:r w:rsidRPr="00BF3027">
              <w:rPr>
                <w:rFonts w:ascii="Arial" w:eastAsia="Times New Roman" w:hAnsi="Arial" w:cs="David" w:hint="cs"/>
                <w:b/>
                <w:bCs/>
                <w:rtl/>
              </w:rPr>
              <w:t>הזמן השיפוטי הממוצע לטיפול בתיק</w:t>
            </w:r>
          </w:p>
        </w:tc>
        <w:tc>
          <w:tcPr>
            <w:tcW w:w="1276" w:type="dxa"/>
            <w:shd w:val="clear" w:color="auto" w:fill="auto"/>
            <w:vAlign w:val="center"/>
          </w:tcPr>
          <w:p w14:paraId="3A383EAC" w14:textId="014E0D4D" w:rsidR="002C4CFA" w:rsidRPr="00BF3027" w:rsidRDefault="002C4CFA" w:rsidP="002C4CFA">
            <w:pPr>
              <w:spacing w:after="0" w:line="240" w:lineRule="auto"/>
              <w:jc w:val="center"/>
              <w:rPr>
                <w:rFonts w:ascii="David" w:eastAsia="Times New Roman" w:hAnsi="David" w:cs="David"/>
              </w:rPr>
            </w:pPr>
            <w:r w:rsidRPr="00BF3027">
              <w:rPr>
                <w:rFonts w:ascii="Arial" w:eastAsia="Times New Roman" w:hAnsi="Arial" w:cs="David" w:hint="cs"/>
                <w:b/>
                <w:bCs/>
                <w:rtl/>
              </w:rPr>
              <w:t>הזמן השיפוטי הממוצע לפי המחקר הקודם</w:t>
            </w:r>
          </w:p>
        </w:tc>
        <w:tc>
          <w:tcPr>
            <w:tcW w:w="851" w:type="dxa"/>
            <w:shd w:val="clear" w:color="auto" w:fill="auto"/>
            <w:vAlign w:val="center"/>
          </w:tcPr>
          <w:p w14:paraId="1AC92A4C" w14:textId="2A60F88C" w:rsidR="002C4CFA" w:rsidRPr="00BF3027" w:rsidRDefault="002C4CFA" w:rsidP="002C4CFA">
            <w:pPr>
              <w:spacing w:after="0" w:line="240" w:lineRule="auto"/>
              <w:jc w:val="center"/>
              <w:rPr>
                <w:rFonts w:ascii="David" w:eastAsia="Times New Roman" w:hAnsi="David" w:cs="David"/>
              </w:rPr>
            </w:pPr>
            <w:r w:rsidRPr="00BF3027">
              <w:rPr>
                <w:rFonts w:ascii="Arial" w:eastAsia="Times New Roman" w:hAnsi="Arial" w:cs="David" w:hint="cs"/>
                <w:b/>
                <w:bCs/>
                <w:rtl/>
              </w:rPr>
              <w:t>מגמת השינוי</w:t>
            </w:r>
          </w:p>
        </w:tc>
        <w:tc>
          <w:tcPr>
            <w:tcW w:w="992" w:type="dxa"/>
            <w:shd w:val="clear" w:color="auto" w:fill="auto"/>
            <w:vAlign w:val="center"/>
          </w:tcPr>
          <w:p w14:paraId="326868F9" w14:textId="652BE7D4" w:rsidR="002C4CFA" w:rsidRPr="00BF3027" w:rsidRDefault="002C4CFA" w:rsidP="002C4CFA">
            <w:pPr>
              <w:spacing w:after="0" w:line="240" w:lineRule="auto"/>
              <w:jc w:val="center"/>
              <w:rPr>
                <w:rFonts w:ascii="David" w:eastAsia="Times New Roman" w:hAnsi="David" w:cs="David"/>
              </w:rPr>
            </w:pPr>
            <w:r w:rsidRPr="00BF3027">
              <w:rPr>
                <w:rFonts w:ascii="Arial" w:hAnsi="Arial" w:cs="David" w:hint="cs"/>
                <w:b/>
                <w:bCs/>
                <w:rtl/>
              </w:rPr>
              <w:t>משקל לתיק לפי המחקר הנוכחי</w:t>
            </w:r>
          </w:p>
        </w:tc>
      </w:tr>
      <w:tr w:rsidR="002C4CFA" w:rsidRPr="00BF3027" w14:paraId="2AA13867" w14:textId="77777777" w:rsidTr="002C4CFA">
        <w:trPr>
          <w:trHeight w:val="495"/>
        </w:trPr>
        <w:tc>
          <w:tcPr>
            <w:tcW w:w="853" w:type="dxa"/>
            <w:shd w:val="clear" w:color="auto" w:fill="D9D9D9"/>
            <w:noWrap/>
            <w:vAlign w:val="center"/>
          </w:tcPr>
          <w:p w14:paraId="2DC79A6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D9D9D9"/>
            <w:noWrap/>
            <w:vAlign w:val="center"/>
          </w:tcPr>
          <w:p w14:paraId="5D7ADC2C"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ערעור פלילי</w:t>
            </w:r>
          </w:p>
        </w:tc>
        <w:tc>
          <w:tcPr>
            <w:tcW w:w="1984" w:type="dxa"/>
            <w:shd w:val="clear" w:color="auto" w:fill="D9D9D9"/>
            <w:vAlign w:val="center"/>
          </w:tcPr>
          <w:p w14:paraId="4D5D68C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ערעור פלילי על בימ"ש לעניינים מקומיים (עפמ"ק)</w:t>
            </w:r>
          </w:p>
        </w:tc>
        <w:tc>
          <w:tcPr>
            <w:tcW w:w="1276" w:type="dxa"/>
            <w:shd w:val="clear" w:color="auto" w:fill="D9D9D9"/>
            <w:vAlign w:val="center"/>
          </w:tcPr>
          <w:p w14:paraId="1388E672"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450</w:t>
            </w:r>
          </w:p>
        </w:tc>
        <w:tc>
          <w:tcPr>
            <w:tcW w:w="1417" w:type="dxa"/>
            <w:shd w:val="clear" w:color="auto" w:fill="D9D9D9"/>
            <w:noWrap/>
            <w:vAlign w:val="center"/>
          </w:tcPr>
          <w:p w14:paraId="05FD6295"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1:30</w:t>
            </w:r>
          </w:p>
        </w:tc>
        <w:tc>
          <w:tcPr>
            <w:tcW w:w="1276" w:type="dxa"/>
            <w:shd w:val="clear" w:color="auto" w:fill="D9D9D9"/>
            <w:vAlign w:val="center"/>
          </w:tcPr>
          <w:p w14:paraId="64BBA653"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851" w:type="dxa"/>
            <w:shd w:val="clear" w:color="auto" w:fill="D9D9D9"/>
            <w:vAlign w:val="center"/>
          </w:tcPr>
          <w:p w14:paraId="0DE8A0D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shd w:val="clear" w:color="auto" w:fill="D9D9D9"/>
            <w:vAlign w:val="center"/>
          </w:tcPr>
          <w:p w14:paraId="306EEDB0"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45</w:t>
            </w:r>
          </w:p>
        </w:tc>
      </w:tr>
      <w:tr w:rsidR="002C4CFA" w:rsidRPr="00BF3027" w14:paraId="6C9DC07F" w14:textId="77777777" w:rsidTr="002C4CFA">
        <w:trPr>
          <w:trHeight w:val="488"/>
        </w:trPr>
        <w:tc>
          <w:tcPr>
            <w:tcW w:w="853" w:type="dxa"/>
            <w:shd w:val="clear" w:color="auto" w:fill="auto"/>
            <w:noWrap/>
            <w:vAlign w:val="center"/>
          </w:tcPr>
          <w:p w14:paraId="05FD9B7E"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auto"/>
            <w:noWrap/>
            <w:vAlign w:val="center"/>
          </w:tcPr>
          <w:p w14:paraId="6D42DC9B"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auto"/>
            <w:vAlign w:val="center"/>
          </w:tcPr>
          <w:p w14:paraId="39160A1D"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 xml:space="preserve">תיק אזרחי בסדר דין מהיר (תא"מ) - </w:t>
            </w:r>
            <w:r w:rsidRPr="00BF3027">
              <w:rPr>
                <w:rFonts w:ascii="David" w:eastAsia="Times New Roman" w:hAnsi="David" w:cs="David"/>
                <w:b/>
                <w:bCs/>
                <w:rtl/>
              </w:rPr>
              <w:t>משוקלל</w:t>
            </w:r>
          </w:p>
        </w:tc>
        <w:tc>
          <w:tcPr>
            <w:tcW w:w="1276" w:type="dxa"/>
            <w:shd w:val="clear" w:color="auto" w:fill="auto"/>
            <w:vAlign w:val="center"/>
          </w:tcPr>
          <w:p w14:paraId="1D8ED24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84,454</w:t>
            </w:r>
          </w:p>
        </w:tc>
        <w:tc>
          <w:tcPr>
            <w:tcW w:w="1417" w:type="dxa"/>
            <w:shd w:val="clear" w:color="auto" w:fill="auto"/>
            <w:noWrap/>
            <w:vAlign w:val="center"/>
          </w:tcPr>
          <w:p w14:paraId="0B25BC2C"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1:29</w:t>
            </w:r>
          </w:p>
        </w:tc>
        <w:tc>
          <w:tcPr>
            <w:tcW w:w="1276" w:type="dxa"/>
            <w:shd w:val="clear" w:color="auto" w:fill="auto"/>
            <w:vAlign w:val="center"/>
          </w:tcPr>
          <w:p w14:paraId="41B0974F"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1:35</w:t>
            </w:r>
          </w:p>
        </w:tc>
        <w:tc>
          <w:tcPr>
            <w:tcW w:w="851" w:type="dxa"/>
            <w:shd w:val="clear" w:color="auto" w:fill="auto"/>
            <w:vAlign w:val="center"/>
          </w:tcPr>
          <w:p w14:paraId="2EA99BCD"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0:0</w:t>
            </w:r>
            <w:r w:rsidRPr="00BF3027">
              <w:rPr>
                <w:rFonts w:ascii="David" w:eastAsia="Times New Roman" w:hAnsi="David" w:cs="David" w:hint="cs"/>
                <w:rtl/>
              </w:rPr>
              <w:t>6</w:t>
            </w:r>
            <w:r w:rsidRPr="00BF3027">
              <w:rPr>
                <w:rFonts w:ascii="David" w:eastAsia="Times New Roman" w:hAnsi="David" w:cs="David"/>
              </w:rPr>
              <w:t>-</w:t>
            </w:r>
          </w:p>
        </w:tc>
        <w:tc>
          <w:tcPr>
            <w:tcW w:w="992" w:type="dxa"/>
            <w:shd w:val="clear" w:color="auto" w:fill="auto"/>
            <w:vAlign w:val="center"/>
          </w:tcPr>
          <w:p w14:paraId="3BCAC2BE"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45</w:t>
            </w:r>
          </w:p>
        </w:tc>
      </w:tr>
      <w:tr w:rsidR="002C4CFA" w:rsidRPr="00BF3027" w14:paraId="17140B01" w14:textId="77777777" w:rsidTr="002C4CFA">
        <w:trPr>
          <w:trHeight w:val="472"/>
        </w:trPr>
        <w:tc>
          <w:tcPr>
            <w:tcW w:w="853" w:type="dxa"/>
            <w:shd w:val="clear" w:color="auto" w:fill="D9D9D9"/>
            <w:noWrap/>
            <w:vAlign w:val="center"/>
          </w:tcPr>
          <w:p w14:paraId="7AEEC14B"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שלום</w:t>
            </w:r>
          </w:p>
        </w:tc>
        <w:tc>
          <w:tcPr>
            <w:tcW w:w="989" w:type="dxa"/>
            <w:shd w:val="clear" w:color="auto" w:fill="D9D9D9"/>
            <w:noWrap/>
            <w:vAlign w:val="center"/>
          </w:tcPr>
          <w:p w14:paraId="347A4F8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פלילי</w:t>
            </w:r>
          </w:p>
        </w:tc>
        <w:tc>
          <w:tcPr>
            <w:tcW w:w="1984" w:type="dxa"/>
            <w:shd w:val="clear" w:color="auto" w:fill="D9D9D9"/>
            <w:vAlign w:val="center"/>
          </w:tcPr>
          <w:p w14:paraId="53491268"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גישור פלילי (ג"פ)</w:t>
            </w:r>
          </w:p>
        </w:tc>
        <w:tc>
          <w:tcPr>
            <w:tcW w:w="1276" w:type="dxa"/>
            <w:shd w:val="clear" w:color="auto" w:fill="D9D9D9"/>
            <w:vAlign w:val="center"/>
          </w:tcPr>
          <w:p w14:paraId="3553F400"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111</w:t>
            </w:r>
          </w:p>
        </w:tc>
        <w:tc>
          <w:tcPr>
            <w:tcW w:w="1417" w:type="dxa"/>
            <w:shd w:val="clear" w:color="auto" w:fill="D9D9D9"/>
            <w:noWrap/>
            <w:vAlign w:val="center"/>
          </w:tcPr>
          <w:p w14:paraId="70C48421"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1:28</w:t>
            </w:r>
          </w:p>
        </w:tc>
        <w:tc>
          <w:tcPr>
            <w:tcW w:w="1276" w:type="dxa"/>
            <w:shd w:val="clear" w:color="auto" w:fill="D9D9D9"/>
            <w:vAlign w:val="center"/>
          </w:tcPr>
          <w:p w14:paraId="3E0DE7EA"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851" w:type="dxa"/>
            <w:shd w:val="clear" w:color="auto" w:fill="D9D9D9"/>
            <w:vAlign w:val="center"/>
          </w:tcPr>
          <w:p w14:paraId="3686D4A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shd w:val="clear" w:color="auto" w:fill="D9D9D9"/>
            <w:vAlign w:val="center"/>
          </w:tcPr>
          <w:p w14:paraId="6D98B992"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44</w:t>
            </w:r>
          </w:p>
        </w:tc>
      </w:tr>
      <w:tr w:rsidR="002C4CFA" w:rsidRPr="00BF3027" w14:paraId="1D8BC43C" w14:textId="77777777" w:rsidTr="002C4CFA">
        <w:trPr>
          <w:trHeight w:val="408"/>
        </w:trPr>
        <w:tc>
          <w:tcPr>
            <w:tcW w:w="853" w:type="dxa"/>
            <w:shd w:val="clear" w:color="auto" w:fill="FFFFFF"/>
            <w:noWrap/>
            <w:vAlign w:val="center"/>
          </w:tcPr>
          <w:p w14:paraId="76F6EDAB"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עבודה</w:t>
            </w:r>
          </w:p>
        </w:tc>
        <w:tc>
          <w:tcPr>
            <w:tcW w:w="989" w:type="dxa"/>
            <w:shd w:val="clear" w:color="auto" w:fill="FFFFFF"/>
            <w:noWrap/>
            <w:vAlign w:val="center"/>
          </w:tcPr>
          <w:p w14:paraId="7A089DD2" w14:textId="77777777" w:rsidR="002C4CFA" w:rsidRPr="00BF3027" w:rsidRDefault="002C4CFA" w:rsidP="002C4CFA">
            <w:pPr>
              <w:bidi w:val="0"/>
              <w:spacing w:after="0" w:line="240" w:lineRule="auto"/>
              <w:jc w:val="right"/>
              <w:rPr>
                <w:rFonts w:ascii="David" w:eastAsia="Times New Roman" w:hAnsi="David" w:cs="David"/>
                <w:rtl/>
              </w:rPr>
            </w:pPr>
            <w:r w:rsidRPr="00BF3027">
              <w:rPr>
                <w:rFonts w:ascii="David" w:eastAsia="Times New Roman" w:hAnsi="David" w:cs="David"/>
                <w:rtl/>
              </w:rPr>
              <w:t>אזרחי</w:t>
            </w:r>
          </w:p>
        </w:tc>
        <w:tc>
          <w:tcPr>
            <w:tcW w:w="1984" w:type="dxa"/>
            <w:shd w:val="clear" w:color="auto" w:fill="FFFFFF"/>
            <w:vAlign w:val="center"/>
          </w:tcPr>
          <w:p w14:paraId="379B864A"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ביטוח לאומי (ב"ל)</w:t>
            </w:r>
          </w:p>
        </w:tc>
        <w:tc>
          <w:tcPr>
            <w:tcW w:w="1276" w:type="dxa"/>
            <w:shd w:val="clear" w:color="auto" w:fill="FFFFFF"/>
            <w:vAlign w:val="center"/>
          </w:tcPr>
          <w:p w14:paraId="647B883E"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11,533</w:t>
            </w:r>
          </w:p>
        </w:tc>
        <w:tc>
          <w:tcPr>
            <w:tcW w:w="1417" w:type="dxa"/>
            <w:shd w:val="clear" w:color="auto" w:fill="FFFFFF"/>
            <w:noWrap/>
            <w:vAlign w:val="center"/>
          </w:tcPr>
          <w:p w14:paraId="722697AD"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tl/>
              </w:rPr>
              <w:t>1</w:t>
            </w:r>
            <w:r w:rsidRPr="00BF3027">
              <w:rPr>
                <w:rFonts w:ascii="David" w:eastAsia="Times New Roman" w:hAnsi="David" w:cs="David" w:hint="cs"/>
                <w:b/>
                <w:bCs/>
                <w:rtl/>
              </w:rPr>
              <w:t>:26</w:t>
            </w:r>
          </w:p>
        </w:tc>
        <w:tc>
          <w:tcPr>
            <w:tcW w:w="1276" w:type="dxa"/>
            <w:shd w:val="clear" w:color="auto" w:fill="FFFFFF"/>
            <w:vAlign w:val="center"/>
          </w:tcPr>
          <w:p w14:paraId="4D95A9EE"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3:24</w:t>
            </w:r>
          </w:p>
        </w:tc>
        <w:tc>
          <w:tcPr>
            <w:tcW w:w="851" w:type="dxa"/>
            <w:shd w:val="clear" w:color="auto" w:fill="FFFFFF"/>
            <w:vAlign w:val="center"/>
          </w:tcPr>
          <w:p w14:paraId="01A4E07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1:5</w:t>
            </w:r>
            <w:r w:rsidRPr="00BF3027">
              <w:rPr>
                <w:rFonts w:ascii="David" w:eastAsia="Times New Roman" w:hAnsi="David" w:cs="David" w:hint="cs"/>
                <w:rtl/>
              </w:rPr>
              <w:t>8</w:t>
            </w:r>
            <w:r w:rsidRPr="00BF3027">
              <w:rPr>
                <w:rFonts w:ascii="David" w:eastAsia="Times New Roman" w:hAnsi="David" w:cs="David"/>
                <w:rtl/>
              </w:rPr>
              <w:t>-</w:t>
            </w:r>
          </w:p>
        </w:tc>
        <w:tc>
          <w:tcPr>
            <w:tcW w:w="992" w:type="dxa"/>
            <w:shd w:val="clear" w:color="auto" w:fill="FFFFFF"/>
            <w:vAlign w:val="center"/>
          </w:tcPr>
          <w:p w14:paraId="2D43CFE8"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43</w:t>
            </w:r>
          </w:p>
        </w:tc>
      </w:tr>
      <w:tr w:rsidR="002C4CFA" w:rsidRPr="00BF3027" w14:paraId="39F6368F" w14:textId="77777777" w:rsidTr="002C4CFA">
        <w:trPr>
          <w:trHeight w:val="590"/>
        </w:trPr>
        <w:tc>
          <w:tcPr>
            <w:tcW w:w="853" w:type="dxa"/>
            <w:shd w:val="clear" w:color="auto" w:fill="D9D9D9"/>
            <w:noWrap/>
            <w:vAlign w:val="center"/>
          </w:tcPr>
          <w:p w14:paraId="15F405A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D9D9D9"/>
            <w:noWrap/>
            <w:vAlign w:val="center"/>
          </w:tcPr>
          <w:p w14:paraId="4D8AB82B"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עניינים מנהליים</w:t>
            </w:r>
          </w:p>
        </w:tc>
        <w:tc>
          <w:tcPr>
            <w:tcW w:w="1984" w:type="dxa"/>
            <w:shd w:val="clear" w:color="auto" w:fill="D9D9D9"/>
            <w:vAlign w:val="center"/>
          </w:tcPr>
          <w:p w14:paraId="5DC8248C"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עתירות אסירים (עת"א) - דן יחיד</w:t>
            </w:r>
          </w:p>
        </w:tc>
        <w:tc>
          <w:tcPr>
            <w:tcW w:w="1276" w:type="dxa"/>
            <w:shd w:val="clear" w:color="auto" w:fill="D9D9D9"/>
            <w:vAlign w:val="center"/>
          </w:tcPr>
          <w:p w14:paraId="622EE5A0"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4,132</w:t>
            </w:r>
          </w:p>
        </w:tc>
        <w:tc>
          <w:tcPr>
            <w:tcW w:w="1417" w:type="dxa"/>
            <w:shd w:val="clear" w:color="auto" w:fill="D9D9D9"/>
            <w:noWrap/>
            <w:vAlign w:val="center"/>
          </w:tcPr>
          <w:p w14:paraId="3C2C1201"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1:24</w:t>
            </w:r>
          </w:p>
        </w:tc>
        <w:tc>
          <w:tcPr>
            <w:tcW w:w="1276" w:type="dxa"/>
            <w:shd w:val="clear" w:color="auto" w:fill="D9D9D9"/>
            <w:vAlign w:val="center"/>
          </w:tcPr>
          <w:p w14:paraId="01BB72E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1:02</w:t>
            </w:r>
          </w:p>
        </w:tc>
        <w:tc>
          <w:tcPr>
            <w:tcW w:w="851" w:type="dxa"/>
            <w:shd w:val="clear" w:color="auto" w:fill="D9D9D9"/>
            <w:vAlign w:val="center"/>
          </w:tcPr>
          <w:p w14:paraId="0F33C6C9"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hint="cs"/>
                <w:rtl/>
              </w:rPr>
              <w:t>0:22+</w:t>
            </w:r>
          </w:p>
        </w:tc>
        <w:tc>
          <w:tcPr>
            <w:tcW w:w="992" w:type="dxa"/>
            <w:shd w:val="clear" w:color="auto" w:fill="D9D9D9"/>
            <w:vAlign w:val="center"/>
          </w:tcPr>
          <w:p w14:paraId="505DCFB5"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42</w:t>
            </w:r>
          </w:p>
        </w:tc>
      </w:tr>
      <w:tr w:rsidR="002C4CFA" w:rsidRPr="00BF3027" w14:paraId="7B85961F" w14:textId="77777777" w:rsidTr="002C4CFA">
        <w:trPr>
          <w:trHeight w:val="590"/>
        </w:trPr>
        <w:tc>
          <w:tcPr>
            <w:tcW w:w="853" w:type="dxa"/>
            <w:shd w:val="clear" w:color="auto" w:fill="auto"/>
            <w:noWrap/>
            <w:vAlign w:val="center"/>
          </w:tcPr>
          <w:p w14:paraId="3597E3B1"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תעבורה</w:t>
            </w:r>
          </w:p>
        </w:tc>
        <w:tc>
          <w:tcPr>
            <w:tcW w:w="989" w:type="dxa"/>
            <w:shd w:val="clear" w:color="auto" w:fill="auto"/>
            <w:noWrap/>
            <w:vAlign w:val="center"/>
          </w:tcPr>
          <w:p w14:paraId="1F06CBAE" w14:textId="77777777" w:rsidR="002C4CFA" w:rsidRPr="00BF3027" w:rsidRDefault="002C4CFA" w:rsidP="002C4CFA">
            <w:pPr>
              <w:spacing w:after="0" w:line="240" w:lineRule="auto"/>
              <w:rPr>
                <w:rFonts w:ascii="David" w:eastAsia="Times New Roman" w:hAnsi="David" w:cs="David"/>
                <w:rtl/>
              </w:rPr>
            </w:pPr>
          </w:p>
        </w:tc>
        <w:tc>
          <w:tcPr>
            <w:tcW w:w="1984" w:type="dxa"/>
            <w:shd w:val="clear" w:color="auto" w:fill="auto"/>
            <w:vAlign w:val="center"/>
          </w:tcPr>
          <w:p w14:paraId="62C08589"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תאונת דרכים ללא נפגעי גוף (נ"ב)</w:t>
            </w:r>
          </w:p>
        </w:tc>
        <w:tc>
          <w:tcPr>
            <w:tcW w:w="1276" w:type="dxa"/>
            <w:shd w:val="clear" w:color="auto" w:fill="auto"/>
            <w:vAlign w:val="center"/>
          </w:tcPr>
          <w:p w14:paraId="0ECFC2DF"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483</w:t>
            </w:r>
          </w:p>
        </w:tc>
        <w:tc>
          <w:tcPr>
            <w:tcW w:w="1417" w:type="dxa"/>
            <w:shd w:val="clear" w:color="auto" w:fill="auto"/>
            <w:noWrap/>
            <w:vAlign w:val="center"/>
          </w:tcPr>
          <w:p w14:paraId="5373A047"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1:22</w:t>
            </w:r>
          </w:p>
        </w:tc>
        <w:tc>
          <w:tcPr>
            <w:tcW w:w="1276" w:type="dxa"/>
            <w:shd w:val="clear" w:color="auto" w:fill="auto"/>
            <w:vAlign w:val="center"/>
          </w:tcPr>
          <w:p w14:paraId="15D8B7A3"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851" w:type="dxa"/>
            <w:shd w:val="clear" w:color="auto" w:fill="auto"/>
            <w:vAlign w:val="center"/>
          </w:tcPr>
          <w:p w14:paraId="360994A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shd w:val="clear" w:color="auto" w:fill="auto"/>
            <w:vAlign w:val="center"/>
          </w:tcPr>
          <w:p w14:paraId="28987322"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41</w:t>
            </w:r>
          </w:p>
        </w:tc>
      </w:tr>
      <w:tr w:rsidR="002C4CFA" w:rsidRPr="00BF3027" w14:paraId="2F8764F5" w14:textId="77777777" w:rsidTr="002C4CFA">
        <w:trPr>
          <w:trHeight w:val="590"/>
        </w:trPr>
        <w:tc>
          <w:tcPr>
            <w:tcW w:w="853" w:type="dxa"/>
            <w:shd w:val="clear" w:color="auto" w:fill="D9D9D9"/>
            <w:noWrap/>
            <w:vAlign w:val="center"/>
          </w:tcPr>
          <w:p w14:paraId="4EDD1AF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D9D9D9"/>
            <w:noWrap/>
            <w:vAlign w:val="center"/>
          </w:tcPr>
          <w:p w14:paraId="13618CAB"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D9D9D9"/>
            <w:vAlign w:val="center"/>
          </w:tcPr>
          <w:p w14:paraId="205E4268"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התנגדות לביצוע שטר (ת"ט)</w:t>
            </w:r>
          </w:p>
        </w:tc>
        <w:tc>
          <w:tcPr>
            <w:tcW w:w="1276" w:type="dxa"/>
            <w:shd w:val="clear" w:color="auto" w:fill="D9D9D9"/>
            <w:vAlign w:val="center"/>
          </w:tcPr>
          <w:p w14:paraId="5B2651CB"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5,001</w:t>
            </w:r>
          </w:p>
        </w:tc>
        <w:tc>
          <w:tcPr>
            <w:tcW w:w="1417" w:type="dxa"/>
            <w:shd w:val="clear" w:color="auto" w:fill="D9D9D9"/>
            <w:noWrap/>
            <w:vAlign w:val="center"/>
          </w:tcPr>
          <w:p w14:paraId="681CB38F"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1:21</w:t>
            </w:r>
          </w:p>
        </w:tc>
        <w:tc>
          <w:tcPr>
            <w:tcW w:w="1276" w:type="dxa"/>
            <w:shd w:val="clear" w:color="auto" w:fill="D9D9D9"/>
            <w:vAlign w:val="center"/>
          </w:tcPr>
          <w:p w14:paraId="3021547C"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1:52</w:t>
            </w:r>
          </w:p>
        </w:tc>
        <w:tc>
          <w:tcPr>
            <w:tcW w:w="851" w:type="dxa"/>
            <w:shd w:val="clear" w:color="auto" w:fill="D9D9D9"/>
            <w:vAlign w:val="center"/>
          </w:tcPr>
          <w:p w14:paraId="09B2E33B"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0</w:t>
            </w:r>
            <w:r w:rsidRPr="00BF3027">
              <w:rPr>
                <w:rFonts w:ascii="David" w:eastAsia="Times New Roman" w:hAnsi="David" w:cs="David" w:hint="cs"/>
                <w:rtl/>
              </w:rPr>
              <w:t>:31-</w:t>
            </w:r>
          </w:p>
        </w:tc>
        <w:tc>
          <w:tcPr>
            <w:tcW w:w="992" w:type="dxa"/>
            <w:shd w:val="clear" w:color="auto" w:fill="D9D9D9"/>
            <w:vAlign w:val="center"/>
          </w:tcPr>
          <w:p w14:paraId="2EC3FB2B"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41</w:t>
            </w:r>
          </w:p>
        </w:tc>
      </w:tr>
      <w:tr w:rsidR="002C4CFA" w:rsidRPr="00BF3027" w14:paraId="784C7428" w14:textId="77777777" w:rsidTr="002C4CFA">
        <w:trPr>
          <w:trHeight w:val="535"/>
        </w:trPr>
        <w:tc>
          <w:tcPr>
            <w:tcW w:w="853" w:type="dxa"/>
            <w:shd w:val="clear" w:color="auto" w:fill="FFFFFF"/>
            <w:noWrap/>
            <w:vAlign w:val="center"/>
          </w:tcPr>
          <w:p w14:paraId="7838D7A7"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FFFFFF"/>
            <w:noWrap/>
            <w:vAlign w:val="center"/>
          </w:tcPr>
          <w:p w14:paraId="37B61AE7"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FFFFFF"/>
            <w:vAlign w:val="center"/>
          </w:tcPr>
          <w:p w14:paraId="6032E5DC"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ועדת שחרורים (וש"ר)</w:t>
            </w:r>
          </w:p>
        </w:tc>
        <w:tc>
          <w:tcPr>
            <w:tcW w:w="1276" w:type="dxa"/>
            <w:shd w:val="clear" w:color="auto" w:fill="FFFFFF"/>
            <w:vAlign w:val="center"/>
          </w:tcPr>
          <w:p w14:paraId="1BA90FE0"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6,969</w:t>
            </w:r>
          </w:p>
        </w:tc>
        <w:tc>
          <w:tcPr>
            <w:tcW w:w="1417" w:type="dxa"/>
            <w:shd w:val="clear" w:color="auto" w:fill="FFFFFF"/>
            <w:noWrap/>
            <w:vAlign w:val="center"/>
          </w:tcPr>
          <w:p w14:paraId="3FD2CDE1"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1:20</w:t>
            </w:r>
          </w:p>
        </w:tc>
        <w:tc>
          <w:tcPr>
            <w:tcW w:w="1276" w:type="dxa"/>
            <w:shd w:val="clear" w:color="auto" w:fill="FFFFFF"/>
            <w:vAlign w:val="center"/>
          </w:tcPr>
          <w:p w14:paraId="153111D9"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851" w:type="dxa"/>
            <w:shd w:val="clear" w:color="auto" w:fill="FFFFFF"/>
            <w:vAlign w:val="center"/>
          </w:tcPr>
          <w:p w14:paraId="168674E5"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shd w:val="clear" w:color="auto" w:fill="FFFFFF"/>
            <w:vAlign w:val="center"/>
          </w:tcPr>
          <w:p w14:paraId="3F3F3E79"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40</w:t>
            </w:r>
          </w:p>
        </w:tc>
      </w:tr>
      <w:tr w:rsidR="002C4CFA" w:rsidRPr="00BF3027" w14:paraId="2151E0A7" w14:textId="77777777" w:rsidTr="002C4CFA">
        <w:trPr>
          <w:trHeight w:val="471"/>
        </w:trPr>
        <w:tc>
          <w:tcPr>
            <w:tcW w:w="853" w:type="dxa"/>
            <w:shd w:val="clear" w:color="auto" w:fill="D9D9D9"/>
            <w:noWrap/>
            <w:vAlign w:val="center"/>
          </w:tcPr>
          <w:p w14:paraId="28111852"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תעבורה</w:t>
            </w:r>
          </w:p>
        </w:tc>
        <w:tc>
          <w:tcPr>
            <w:tcW w:w="989" w:type="dxa"/>
            <w:shd w:val="clear" w:color="auto" w:fill="D9D9D9"/>
            <w:noWrap/>
            <w:vAlign w:val="center"/>
          </w:tcPr>
          <w:p w14:paraId="32DEC9F2" w14:textId="77777777" w:rsidR="002C4CFA" w:rsidRPr="00BF3027" w:rsidRDefault="002C4CFA" w:rsidP="002C4CFA">
            <w:pPr>
              <w:spacing w:after="0" w:line="240" w:lineRule="auto"/>
              <w:rPr>
                <w:rFonts w:ascii="David" w:eastAsia="Times New Roman" w:hAnsi="David" w:cs="David"/>
                <w:rtl/>
              </w:rPr>
            </w:pPr>
          </w:p>
        </w:tc>
        <w:tc>
          <w:tcPr>
            <w:tcW w:w="1984" w:type="dxa"/>
            <w:shd w:val="clear" w:color="auto" w:fill="D9D9D9"/>
            <w:vAlign w:val="center"/>
          </w:tcPr>
          <w:p w14:paraId="27F61FA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בקשה לעיון בחומר חקירה (בע"ח)</w:t>
            </w:r>
          </w:p>
        </w:tc>
        <w:tc>
          <w:tcPr>
            <w:tcW w:w="1276" w:type="dxa"/>
            <w:shd w:val="clear" w:color="auto" w:fill="D9D9D9"/>
            <w:vAlign w:val="center"/>
          </w:tcPr>
          <w:p w14:paraId="282A3D1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232</w:t>
            </w:r>
          </w:p>
        </w:tc>
        <w:tc>
          <w:tcPr>
            <w:tcW w:w="1417" w:type="dxa"/>
            <w:shd w:val="clear" w:color="auto" w:fill="D9D9D9"/>
            <w:noWrap/>
            <w:vAlign w:val="center"/>
          </w:tcPr>
          <w:p w14:paraId="77765DE4"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1:19</w:t>
            </w:r>
          </w:p>
        </w:tc>
        <w:tc>
          <w:tcPr>
            <w:tcW w:w="1276" w:type="dxa"/>
            <w:shd w:val="clear" w:color="auto" w:fill="D9D9D9"/>
            <w:vAlign w:val="center"/>
          </w:tcPr>
          <w:p w14:paraId="12FCD90F"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851" w:type="dxa"/>
            <w:shd w:val="clear" w:color="auto" w:fill="D9D9D9"/>
            <w:vAlign w:val="center"/>
          </w:tcPr>
          <w:p w14:paraId="091FD73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shd w:val="clear" w:color="auto" w:fill="D9D9D9"/>
            <w:vAlign w:val="center"/>
          </w:tcPr>
          <w:p w14:paraId="25900664"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40</w:t>
            </w:r>
          </w:p>
        </w:tc>
      </w:tr>
      <w:tr w:rsidR="002C4CFA" w:rsidRPr="00BF3027" w14:paraId="21C44C54" w14:textId="77777777" w:rsidTr="002C4CFA">
        <w:trPr>
          <w:trHeight w:val="592"/>
        </w:trPr>
        <w:tc>
          <w:tcPr>
            <w:tcW w:w="853" w:type="dxa"/>
            <w:shd w:val="clear" w:color="auto" w:fill="FFFFFF"/>
            <w:noWrap/>
            <w:vAlign w:val="center"/>
          </w:tcPr>
          <w:p w14:paraId="5D243498"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FFFFFF"/>
            <w:noWrap/>
            <w:vAlign w:val="center"/>
          </w:tcPr>
          <w:p w14:paraId="51028176"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FFFFFF"/>
            <w:vAlign w:val="center"/>
          </w:tcPr>
          <w:p w14:paraId="682D685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אזרחי בסדר דין מיוחד (תא"ח)</w:t>
            </w:r>
          </w:p>
        </w:tc>
        <w:tc>
          <w:tcPr>
            <w:tcW w:w="1276" w:type="dxa"/>
            <w:shd w:val="clear" w:color="auto" w:fill="FFFFFF"/>
            <w:vAlign w:val="center"/>
          </w:tcPr>
          <w:p w14:paraId="31083DE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2,759</w:t>
            </w:r>
          </w:p>
        </w:tc>
        <w:tc>
          <w:tcPr>
            <w:tcW w:w="1417" w:type="dxa"/>
            <w:shd w:val="clear" w:color="auto" w:fill="FFFFFF"/>
            <w:noWrap/>
            <w:vAlign w:val="center"/>
          </w:tcPr>
          <w:p w14:paraId="243B832A"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1:19</w:t>
            </w:r>
          </w:p>
        </w:tc>
        <w:tc>
          <w:tcPr>
            <w:tcW w:w="1276" w:type="dxa"/>
            <w:shd w:val="clear" w:color="auto" w:fill="FFFFFF"/>
            <w:vAlign w:val="center"/>
          </w:tcPr>
          <w:p w14:paraId="1A23973C"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1:58</w:t>
            </w:r>
          </w:p>
        </w:tc>
        <w:tc>
          <w:tcPr>
            <w:tcW w:w="851" w:type="dxa"/>
            <w:shd w:val="clear" w:color="auto" w:fill="FFFFFF"/>
            <w:vAlign w:val="center"/>
          </w:tcPr>
          <w:p w14:paraId="626D9C61"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0:39-</w:t>
            </w:r>
          </w:p>
        </w:tc>
        <w:tc>
          <w:tcPr>
            <w:tcW w:w="992" w:type="dxa"/>
            <w:shd w:val="clear" w:color="auto" w:fill="FFFFFF"/>
            <w:vAlign w:val="center"/>
          </w:tcPr>
          <w:p w14:paraId="22152F4C"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40</w:t>
            </w:r>
          </w:p>
        </w:tc>
      </w:tr>
      <w:tr w:rsidR="002C4CFA" w:rsidRPr="00BF3027" w14:paraId="3F5832F5" w14:textId="77777777" w:rsidTr="002C4CFA">
        <w:trPr>
          <w:trHeight w:val="382"/>
        </w:trPr>
        <w:tc>
          <w:tcPr>
            <w:tcW w:w="853" w:type="dxa"/>
            <w:tcBorders>
              <w:bottom w:val="single" w:sz="4" w:space="0" w:color="auto"/>
            </w:tcBorders>
            <w:shd w:val="clear" w:color="auto" w:fill="D9D9D9"/>
            <w:noWrap/>
            <w:vAlign w:val="center"/>
          </w:tcPr>
          <w:p w14:paraId="02B10491"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tcBorders>
              <w:bottom w:val="single" w:sz="4" w:space="0" w:color="auto"/>
            </w:tcBorders>
            <w:shd w:val="clear" w:color="auto" w:fill="D9D9D9"/>
            <w:noWrap/>
            <w:vAlign w:val="center"/>
          </w:tcPr>
          <w:p w14:paraId="5C08DE2E"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מעצרים/ ערעור פלילי/ פלילי</w:t>
            </w:r>
          </w:p>
        </w:tc>
        <w:tc>
          <w:tcPr>
            <w:tcW w:w="1984" w:type="dxa"/>
            <w:tcBorders>
              <w:bottom w:val="single" w:sz="4" w:space="0" w:color="auto"/>
            </w:tcBorders>
            <w:shd w:val="clear" w:color="auto" w:fill="D9D9D9"/>
            <w:vAlign w:val="center"/>
          </w:tcPr>
          <w:p w14:paraId="5B406AB2"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ערר מ"ת (עמ"ת)</w:t>
            </w:r>
          </w:p>
        </w:tc>
        <w:tc>
          <w:tcPr>
            <w:tcW w:w="1276" w:type="dxa"/>
            <w:tcBorders>
              <w:bottom w:val="single" w:sz="4" w:space="0" w:color="auto"/>
            </w:tcBorders>
            <w:shd w:val="clear" w:color="auto" w:fill="D9D9D9"/>
            <w:vAlign w:val="center"/>
          </w:tcPr>
          <w:p w14:paraId="514A134B"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2,029</w:t>
            </w:r>
          </w:p>
        </w:tc>
        <w:tc>
          <w:tcPr>
            <w:tcW w:w="1417" w:type="dxa"/>
            <w:tcBorders>
              <w:bottom w:val="single" w:sz="4" w:space="0" w:color="auto"/>
            </w:tcBorders>
            <w:shd w:val="clear" w:color="auto" w:fill="D9D9D9"/>
            <w:noWrap/>
            <w:vAlign w:val="center"/>
          </w:tcPr>
          <w:p w14:paraId="21D2FBEA"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1:16</w:t>
            </w:r>
          </w:p>
        </w:tc>
        <w:tc>
          <w:tcPr>
            <w:tcW w:w="1276" w:type="dxa"/>
            <w:tcBorders>
              <w:bottom w:val="single" w:sz="4" w:space="0" w:color="auto"/>
            </w:tcBorders>
            <w:shd w:val="clear" w:color="auto" w:fill="D9D9D9"/>
            <w:vAlign w:val="center"/>
          </w:tcPr>
          <w:p w14:paraId="3617076A"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1:27</w:t>
            </w:r>
          </w:p>
        </w:tc>
        <w:tc>
          <w:tcPr>
            <w:tcW w:w="851" w:type="dxa"/>
            <w:tcBorders>
              <w:bottom w:val="single" w:sz="4" w:space="0" w:color="auto"/>
            </w:tcBorders>
            <w:shd w:val="clear" w:color="auto" w:fill="D9D9D9"/>
            <w:vAlign w:val="center"/>
          </w:tcPr>
          <w:p w14:paraId="2C844B52"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-0:11</w:t>
            </w:r>
          </w:p>
        </w:tc>
        <w:tc>
          <w:tcPr>
            <w:tcW w:w="992" w:type="dxa"/>
            <w:tcBorders>
              <w:bottom w:val="single" w:sz="4" w:space="0" w:color="auto"/>
            </w:tcBorders>
            <w:shd w:val="clear" w:color="auto" w:fill="D9D9D9"/>
            <w:vAlign w:val="center"/>
          </w:tcPr>
          <w:p w14:paraId="6A4A4C26"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38</w:t>
            </w:r>
          </w:p>
        </w:tc>
      </w:tr>
      <w:tr w:rsidR="002C4CFA" w:rsidRPr="00BF3027" w14:paraId="162F2758" w14:textId="77777777" w:rsidTr="002C4CFA">
        <w:trPr>
          <w:trHeight w:val="416"/>
        </w:trPr>
        <w:tc>
          <w:tcPr>
            <w:tcW w:w="853" w:type="dxa"/>
            <w:tcBorders>
              <w:top w:val="single" w:sz="4" w:space="0" w:color="auto"/>
              <w:bottom w:val="single" w:sz="4" w:space="0" w:color="auto"/>
            </w:tcBorders>
            <w:shd w:val="clear" w:color="auto" w:fill="FFFFFF"/>
            <w:noWrap/>
            <w:vAlign w:val="center"/>
          </w:tcPr>
          <w:p w14:paraId="35A7C316"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tcBorders>
              <w:top w:val="single" w:sz="4" w:space="0" w:color="auto"/>
              <w:bottom w:val="single" w:sz="4" w:space="0" w:color="auto"/>
            </w:tcBorders>
            <w:shd w:val="clear" w:color="auto" w:fill="FFFFFF"/>
            <w:noWrap/>
            <w:vAlign w:val="center"/>
          </w:tcPr>
          <w:p w14:paraId="7FF3F3E9"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עניינים מקומיים</w:t>
            </w:r>
          </w:p>
        </w:tc>
        <w:tc>
          <w:tcPr>
            <w:tcW w:w="1984" w:type="dxa"/>
            <w:tcBorders>
              <w:top w:val="single" w:sz="4" w:space="0" w:color="auto"/>
              <w:bottom w:val="single" w:sz="4" w:space="0" w:color="auto"/>
            </w:tcBorders>
            <w:shd w:val="clear" w:color="auto" w:fill="FFFFFF"/>
            <w:vAlign w:val="center"/>
          </w:tcPr>
          <w:p w14:paraId="4CE13871"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צו הריסה ללא הרשעה (212) (צ"ה)*</w:t>
            </w:r>
          </w:p>
        </w:tc>
        <w:tc>
          <w:tcPr>
            <w:tcW w:w="1276" w:type="dxa"/>
            <w:tcBorders>
              <w:top w:val="single" w:sz="4" w:space="0" w:color="auto"/>
              <w:bottom w:val="single" w:sz="4" w:space="0" w:color="auto"/>
            </w:tcBorders>
            <w:shd w:val="clear" w:color="auto" w:fill="FFFFFF"/>
            <w:vAlign w:val="center"/>
          </w:tcPr>
          <w:p w14:paraId="773F1832"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395</w:t>
            </w:r>
          </w:p>
        </w:tc>
        <w:tc>
          <w:tcPr>
            <w:tcW w:w="1417" w:type="dxa"/>
            <w:tcBorders>
              <w:top w:val="single" w:sz="4" w:space="0" w:color="auto"/>
              <w:bottom w:val="single" w:sz="4" w:space="0" w:color="auto"/>
            </w:tcBorders>
            <w:shd w:val="clear" w:color="auto" w:fill="FFFFFF"/>
            <w:noWrap/>
            <w:vAlign w:val="center"/>
          </w:tcPr>
          <w:p w14:paraId="4A902B80"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1:16</w:t>
            </w:r>
          </w:p>
        </w:tc>
        <w:tc>
          <w:tcPr>
            <w:tcW w:w="1276" w:type="dxa"/>
            <w:tcBorders>
              <w:top w:val="single" w:sz="4" w:space="0" w:color="auto"/>
              <w:bottom w:val="single" w:sz="4" w:space="0" w:color="auto"/>
            </w:tcBorders>
            <w:shd w:val="clear" w:color="auto" w:fill="FFFFFF"/>
            <w:vAlign w:val="center"/>
          </w:tcPr>
          <w:p w14:paraId="17E1B8BA"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851" w:type="dxa"/>
            <w:tcBorders>
              <w:top w:val="single" w:sz="4" w:space="0" w:color="auto"/>
              <w:bottom w:val="single" w:sz="4" w:space="0" w:color="auto"/>
            </w:tcBorders>
            <w:shd w:val="clear" w:color="auto" w:fill="FFFFFF"/>
            <w:vAlign w:val="center"/>
          </w:tcPr>
          <w:p w14:paraId="4978684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tcBorders>
              <w:top w:val="single" w:sz="4" w:space="0" w:color="auto"/>
              <w:bottom w:val="single" w:sz="4" w:space="0" w:color="auto"/>
            </w:tcBorders>
            <w:shd w:val="clear" w:color="auto" w:fill="FFFFFF"/>
            <w:vAlign w:val="center"/>
          </w:tcPr>
          <w:p w14:paraId="2B4521D1"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38</w:t>
            </w:r>
          </w:p>
        </w:tc>
      </w:tr>
      <w:tr w:rsidR="002C4CFA" w:rsidRPr="00BF3027" w14:paraId="51756F58" w14:textId="77777777" w:rsidTr="002C4CFA">
        <w:trPr>
          <w:trHeight w:val="557"/>
        </w:trPr>
        <w:tc>
          <w:tcPr>
            <w:tcW w:w="853" w:type="dxa"/>
            <w:tcBorders>
              <w:top w:val="single" w:sz="4" w:space="0" w:color="auto"/>
              <w:bottom w:val="single" w:sz="4" w:space="0" w:color="auto"/>
            </w:tcBorders>
            <w:shd w:val="clear" w:color="auto" w:fill="D9D9D9"/>
            <w:noWrap/>
            <w:vAlign w:val="center"/>
          </w:tcPr>
          <w:p w14:paraId="2A051B5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tcBorders>
              <w:top w:val="single" w:sz="4" w:space="0" w:color="auto"/>
              <w:bottom w:val="single" w:sz="4" w:space="0" w:color="auto"/>
            </w:tcBorders>
            <w:shd w:val="clear" w:color="auto" w:fill="D9D9D9"/>
            <w:noWrap/>
            <w:vAlign w:val="center"/>
          </w:tcPr>
          <w:p w14:paraId="20F666D8"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מעצרים/ פלילי</w:t>
            </w:r>
          </w:p>
        </w:tc>
        <w:tc>
          <w:tcPr>
            <w:tcW w:w="1984" w:type="dxa"/>
            <w:tcBorders>
              <w:top w:val="single" w:sz="4" w:space="0" w:color="auto"/>
              <w:bottom w:val="single" w:sz="4" w:space="0" w:color="auto"/>
            </w:tcBorders>
            <w:shd w:val="clear" w:color="auto" w:fill="D9D9D9"/>
            <w:vAlign w:val="center"/>
          </w:tcPr>
          <w:p w14:paraId="27D4339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החזרה/טיפול בתפוס (ה"ת)</w:t>
            </w:r>
          </w:p>
        </w:tc>
        <w:tc>
          <w:tcPr>
            <w:tcW w:w="1276" w:type="dxa"/>
            <w:tcBorders>
              <w:top w:val="single" w:sz="4" w:space="0" w:color="auto"/>
              <w:bottom w:val="single" w:sz="4" w:space="0" w:color="auto"/>
            </w:tcBorders>
            <w:shd w:val="clear" w:color="auto" w:fill="D9D9D9"/>
            <w:vAlign w:val="center"/>
          </w:tcPr>
          <w:p w14:paraId="12CB76B5"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6,377</w:t>
            </w:r>
          </w:p>
        </w:tc>
        <w:tc>
          <w:tcPr>
            <w:tcW w:w="1417" w:type="dxa"/>
            <w:tcBorders>
              <w:top w:val="single" w:sz="4" w:space="0" w:color="auto"/>
              <w:bottom w:val="single" w:sz="4" w:space="0" w:color="auto"/>
            </w:tcBorders>
            <w:shd w:val="clear" w:color="auto" w:fill="D9D9D9"/>
            <w:noWrap/>
            <w:vAlign w:val="center"/>
          </w:tcPr>
          <w:p w14:paraId="2295AB3D"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1:15</w:t>
            </w:r>
          </w:p>
        </w:tc>
        <w:tc>
          <w:tcPr>
            <w:tcW w:w="1276" w:type="dxa"/>
            <w:tcBorders>
              <w:top w:val="single" w:sz="4" w:space="0" w:color="auto"/>
              <w:bottom w:val="single" w:sz="4" w:space="0" w:color="auto"/>
            </w:tcBorders>
            <w:shd w:val="clear" w:color="auto" w:fill="D9D9D9"/>
            <w:vAlign w:val="center"/>
          </w:tcPr>
          <w:p w14:paraId="62D70073"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0:14</w:t>
            </w:r>
          </w:p>
        </w:tc>
        <w:tc>
          <w:tcPr>
            <w:tcW w:w="851" w:type="dxa"/>
            <w:tcBorders>
              <w:top w:val="single" w:sz="4" w:space="0" w:color="auto"/>
              <w:bottom w:val="single" w:sz="4" w:space="0" w:color="auto"/>
            </w:tcBorders>
            <w:shd w:val="clear" w:color="auto" w:fill="D9D9D9"/>
            <w:vAlign w:val="center"/>
          </w:tcPr>
          <w:p w14:paraId="6D392BF1"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1:01</w:t>
            </w:r>
            <w:r w:rsidRPr="00BF3027">
              <w:rPr>
                <w:rFonts w:ascii="David" w:eastAsia="Times New Roman" w:hAnsi="David" w:cs="David"/>
                <w:rtl/>
              </w:rPr>
              <w:t>+</w:t>
            </w:r>
          </w:p>
        </w:tc>
        <w:tc>
          <w:tcPr>
            <w:tcW w:w="992" w:type="dxa"/>
            <w:tcBorders>
              <w:top w:val="single" w:sz="4" w:space="0" w:color="auto"/>
              <w:bottom w:val="single" w:sz="4" w:space="0" w:color="auto"/>
            </w:tcBorders>
            <w:shd w:val="clear" w:color="auto" w:fill="D9D9D9"/>
            <w:vAlign w:val="center"/>
          </w:tcPr>
          <w:p w14:paraId="4557B988"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38</w:t>
            </w:r>
          </w:p>
        </w:tc>
      </w:tr>
      <w:tr w:rsidR="002C4CFA" w:rsidRPr="00BF3027" w14:paraId="1063CD1B" w14:textId="77777777" w:rsidTr="002C4CFA">
        <w:trPr>
          <w:trHeight w:val="401"/>
        </w:trPr>
        <w:tc>
          <w:tcPr>
            <w:tcW w:w="853" w:type="dxa"/>
            <w:tcBorders>
              <w:top w:val="single" w:sz="4" w:space="0" w:color="auto"/>
              <w:bottom w:val="single" w:sz="4" w:space="0" w:color="auto"/>
            </w:tcBorders>
            <w:shd w:val="clear" w:color="auto" w:fill="auto"/>
            <w:noWrap/>
            <w:vAlign w:val="center"/>
          </w:tcPr>
          <w:p w14:paraId="213D741D"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תעבורה</w:t>
            </w:r>
          </w:p>
        </w:tc>
        <w:tc>
          <w:tcPr>
            <w:tcW w:w="989" w:type="dxa"/>
            <w:tcBorders>
              <w:top w:val="single" w:sz="4" w:space="0" w:color="auto"/>
              <w:bottom w:val="single" w:sz="4" w:space="0" w:color="auto"/>
            </w:tcBorders>
            <w:shd w:val="clear" w:color="auto" w:fill="auto"/>
            <w:noWrap/>
            <w:vAlign w:val="center"/>
          </w:tcPr>
          <w:p w14:paraId="4D9C3AA6" w14:textId="77777777" w:rsidR="002C4CFA" w:rsidRPr="00BF3027" w:rsidRDefault="002C4CFA" w:rsidP="002C4CFA">
            <w:pPr>
              <w:spacing w:after="0" w:line="240" w:lineRule="auto"/>
              <w:rPr>
                <w:rFonts w:ascii="David" w:eastAsia="Times New Roman" w:hAnsi="David" w:cs="David"/>
                <w:rtl/>
              </w:rPr>
            </w:pPr>
          </w:p>
        </w:tc>
        <w:tc>
          <w:tcPr>
            <w:tcW w:w="1984" w:type="dxa"/>
            <w:tcBorders>
              <w:top w:val="single" w:sz="4" w:space="0" w:color="auto"/>
              <w:bottom w:val="single" w:sz="4" w:space="0" w:color="auto"/>
            </w:tcBorders>
            <w:shd w:val="clear" w:color="auto" w:fill="auto"/>
            <w:vAlign w:val="center"/>
          </w:tcPr>
          <w:p w14:paraId="7D82E26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נ"ב אדום (נב"א)</w:t>
            </w:r>
          </w:p>
        </w:tc>
        <w:tc>
          <w:tcPr>
            <w:tcW w:w="1276" w:type="dxa"/>
            <w:tcBorders>
              <w:top w:val="single" w:sz="4" w:space="0" w:color="auto"/>
              <w:bottom w:val="single" w:sz="4" w:space="0" w:color="auto"/>
            </w:tcBorders>
            <w:shd w:val="clear" w:color="auto" w:fill="auto"/>
            <w:vAlign w:val="center"/>
          </w:tcPr>
          <w:p w14:paraId="213432B5"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120</w:t>
            </w:r>
          </w:p>
        </w:tc>
        <w:tc>
          <w:tcPr>
            <w:tcW w:w="1417" w:type="dxa"/>
            <w:tcBorders>
              <w:top w:val="single" w:sz="4" w:space="0" w:color="auto"/>
              <w:bottom w:val="single" w:sz="4" w:space="0" w:color="auto"/>
            </w:tcBorders>
            <w:shd w:val="clear" w:color="auto" w:fill="auto"/>
            <w:noWrap/>
            <w:vAlign w:val="center"/>
          </w:tcPr>
          <w:p w14:paraId="6A8A0086"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1:14</w:t>
            </w:r>
          </w:p>
        </w:tc>
        <w:tc>
          <w:tcPr>
            <w:tcW w:w="1276" w:type="dxa"/>
            <w:tcBorders>
              <w:top w:val="single" w:sz="4" w:space="0" w:color="auto"/>
              <w:bottom w:val="single" w:sz="4" w:space="0" w:color="auto"/>
            </w:tcBorders>
            <w:shd w:val="clear" w:color="auto" w:fill="auto"/>
            <w:vAlign w:val="center"/>
          </w:tcPr>
          <w:p w14:paraId="4B430C6A"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851" w:type="dxa"/>
            <w:tcBorders>
              <w:top w:val="single" w:sz="4" w:space="0" w:color="auto"/>
              <w:bottom w:val="single" w:sz="4" w:space="0" w:color="auto"/>
            </w:tcBorders>
            <w:shd w:val="clear" w:color="auto" w:fill="auto"/>
            <w:vAlign w:val="center"/>
          </w:tcPr>
          <w:p w14:paraId="66402263"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tcBorders>
              <w:top w:val="single" w:sz="4" w:space="0" w:color="auto"/>
              <w:bottom w:val="single" w:sz="4" w:space="0" w:color="auto"/>
            </w:tcBorders>
            <w:shd w:val="clear" w:color="auto" w:fill="auto"/>
            <w:vAlign w:val="center"/>
          </w:tcPr>
          <w:p w14:paraId="45740EAD"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37</w:t>
            </w:r>
          </w:p>
        </w:tc>
      </w:tr>
      <w:tr w:rsidR="002C4CFA" w:rsidRPr="00BF3027" w14:paraId="06E373BB" w14:textId="77777777" w:rsidTr="002C4CFA">
        <w:trPr>
          <w:trHeight w:val="557"/>
        </w:trPr>
        <w:tc>
          <w:tcPr>
            <w:tcW w:w="853" w:type="dxa"/>
            <w:tcBorders>
              <w:top w:val="single" w:sz="4" w:space="0" w:color="auto"/>
              <w:bottom w:val="single" w:sz="4" w:space="0" w:color="auto"/>
            </w:tcBorders>
            <w:shd w:val="clear" w:color="auto" w:fill="D9D9D9"/>
            <w:noWrap/>
            <w:vAlign w:val="center"/>
          </w:tcPr>
          <w:p w14:paraId="5FC03882"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tcBorders>
              <w:top w:val="single" w:sz="4" w:space="0" w:color="auto"/>
              <w:bottom w:val="single" w:sz="4" w:space="0" w:color="auto"/>
            </w:tcBorders>
            <w:shd w:val="clear" w:color="auto" w:fill="D9D9D9"/>
            <w:noWrap/>
            <w:vAlign w:val="center"/>
          </w:tcPr>
          <w:p w14:paraId="6C44B9CD"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tcBorders>
              <w:top w:val="single" w:sz="4" w:space="0" w:color="auto"/>
              <w:bottom w:val="single" w:sz="4" w:space="0" w:color="auto"/>
            </w:tcBorders>
            <w:shd w:val="clear" w:color="auto" w:fill="D9D9D9"/>
            <w:vAlign w:val="center"/>
          </w:tcPr>
          <w:p w14:paraId="2398E0DD"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בקשה לאישור עיקול (בע"ק)</w:t>
            </w:r>
          </w:p>
        </w:tc>
        <w:tc>
          <w:tcPr>
            <w:tcW w:w="1276" w:type="dxa"/>
            <w:tcBorders>
              <w:top w:val="single" w:sz="4" w:space="0" w:color="auto"/>
              <w:bottom w:val="single" w:sz="4" w:space="0" w:color="auto"/>
            </w:tcBorders>
            <w:shd w:val="clear" w:color="auto" w:fill="D9D9D9"/>
            <w:vAlign w:val="center"/>
          </w:tcPr>
          <w:p w14:paraId="3AF74DA3"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145</w:t>
            </w:r>
          </w:p>
        </w:tc>
        <w:tc>
          <w:tcPr>
            <w:tcW w:w="1417" w:type="dxa"/>
            <w:tcBorders>
              <w:top w:val="single" w:sz="4" w:space="0" w:color="auto"/>
              <w:bottom w:val="single" w:sz="4" w:space="0" w:color="auto"/>
            </w:tcBorders>
            <w:shd w:val="clear" w:color="auto" w:fill="D9D9D9"/>
            <w:noWrap/>
            <w:vAlign w:val="center"/>
          </w:tcPr>
          <w:p w14:paraId="3C6A2767"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1:14</w:t>
            </w:r>
          </w:p>
        </w:tc>
        <w:tc>
          <w:tcPr>
            <w:tcW w:w="1276" w:type="dxa"/>
            <w:tcBorders>
              <w:top w:val="single" w:sz="4" w:space="0" w:color="auto"/>
              <w:bottom w:val="single" w:sz="4" w:space="0" w:color="auto"/>
            </w:tcBorders>
            <w:shd w:val="clear" w:color="auto" w:fill="D9D9D9"/>
            <w:vAlign w:val="center"/>
          </w:tcPr>
          <w:p w14:paraId="4F76754E"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851" w:type="dxa"/>
            <w:tcBorders>
              <w:top w:val="single" w:sz="4" w:space="0" w:color="auto"/>
              <w:bottom w:val="single" w:sz="4" w:space="0" w:color="auto"/>
            </w:tcBorders>
            <w:shd w:val="clear" w:color="auto" w:fill="D9D9D9"/>
            <w:vAlign w:val="center"/>
          </w:tcPr>
          <w:p w14:paraId="0E7F17D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tcBorders>
              <w:top w:val="single" w:sz="4" w:space="0" w:color="auto"/>
              <w:bottom w:val="single" w:sz="4" w:space="0" w:color="auto"/>
            </w:tcBorders>
            <w:shd w:val="clear" w:color="auto" w:fill="D9D9D9"/>
            <w:vAlign w:val="center"/>
          </w:tcPr>
          <w:p w14:paraId="3CC2592A"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37</w:t>
            </w:r>
          </w:p>
        </w:tc>
      </w:tr>
      <w:tr w:rsidR="002C4CFA" w:rsidRPr="00BF3027" w14:paraId="1687E67A" w14:textId="77777777" w:rsidTr="002C4CFA">
        <w:trPr>
          <w:trHeight w:val="417"/>
        </w:trPr>
        <w:tc>
          <w:tcPr>
            <w:tcW w:w="853" w:type="dxa"/>
            <w:tcBorders>
              <w:top w:val="single" w:sz="4" w:space="0" w:color="auto"/>
            </w:tcBorders>
            <w:shd w:val="clear" w:color="auto" w:fill="FFFFFF"/>
            <w:noWrap/>
            <w:vAlign w:val="center"/>
          </w:tcPr>
          <w:p w14:paraId="5EDB8DB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משפחה</w:t>
            </w:r>
          </w:p>
        </w:tc>
        <w:tc>
          <w:tcPr>
            <w:tcW w:w="989" w:type="dxa"/>
            <w:tcBorders>
              <w:top w:val="single" w:sz="4" w:space="0" w:color="auto"/>
            </w:tcBorders>
            <w:shd w:val="clear" w:color="auto" w:fill="FFFFFF"/>
            <w:noWrap/>
            <w:vAlign w:val="center"/>
          </w:tcPr>
          <w:p w14:paraId="27D9B6CC" w14:textId="77777777" w:rsidR="002C4CFA" w:rsidRPr="00BF3027" w:rsidRDefault="002C4CFA" w:rsidP="002C4CFA">
            <w:pPr>
              <w:bidi w:val="0"/>
              <w:spacing w:after="0" w:line="240" w:lineRule="auto"/>
              <w:rPr>
                <w:rFonts w:ascii="David" w:eastAsia="Times New Roman" w:hAnsi="David" w:cs="David"/>
                <w:rtl/>
              </w:rPr>
            </w:pPr>
          </w:p>
        </w:tc>
        <w:tc>
          <w:tcPr>
            <w:tcW w:w="1984" w:type="dxa"/>
            <w:tcBorders>
              <w:top w:val="single" w:sz="4" w:space="0" w:color="auto"/>
            </w:tcBorders>
            <w:shd w:val="clear" w:color="auto" w:fill="FFFFFF"/>
            <w:vAlign w:val="center"/>
          </w:tcPr>
          <w:p w14:paraId="664684DA"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תיק אפוטרופסות (א"פ)</w:t>
            </w:r>
          </w:p>
        </w:tc>
        <w:tc>
          <w:tcPr>
            <w:tcW w:w="1276" w:type="dxa"/>
            <w:tcBorders>
              <w:top w:val="single" w:sz="4" w:space="0" w:color="auto"/>
            </w:tcBorders>
            <w:shd w:val="clear" w:color="auto" w:fill="FFFFFF"/>
            <w:vAlign w:val="center"/>
          </w:tcPr>
          <w:p w14:paraId="3A6389BE"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18,369</w:t>
            </w:r>
          </w:p>
        </w:tc>
        <w:tc>
          <w:tcPr>
            <w:tcW w:w="1417" w:type="dxa"/>
            <w:tcBorders>
              <w:top w:val="single" w:sz="4" w:space="0" w:color="auto"/>
            </w:tcBorders>
            <w:shd w:val="clear" w:color="auto" w:fill="FFFFFF"/>
            <w:noWrap/>
            <w:vAlign w:val="center"/>
          </w:tcPr>
          <w:p w14:paraId="17A8231B"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hint="cs"/>
                <w:b/>
                <w:bCs/>
                <w:rtl/>
              </w:rPr>
              <w:t>1:07</w:t>
            </w:r>
          </w:p>
        </w:tc>
        <w:tc>
          <w:tcPr>
            <w:tcW w:w="1276" w:type="dxa"/>
            <w:tcBorders>
              <w:top w:val="single" w:sz="4" w:space="0" w:color="auto"/>
            </w:tcBorders>
            <w:shd w:val="clear" w:color="auto" w:fill="FFFFFF"/>
            <w:vAlign w:val="center"/>
          </w:tcPr>
          <w:p w14:paraId="2857778F"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0:28</w:t>
            </w:r>
          </w:p>
        </w:tc>
        <w:tc>
          <w:tcPr>
            <w:tcW w:w="851" w:type="dxa"/>
            <w:tcBorders>
              <w:top w:val="single" w:sz="4" w:space="0" w:color="auto"/>
            </w:tcBorders>
            <w:shd w:val="clear" w:color="auto" w:fill="FFFFFF"/>
            <w:vAlign w:val="center"/>
          </w:tcPr>
          <w:p w14:paraId="3E927DFE"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0:</w:t>
            </w:r>
            <w:r w:rsidRPr="00BF3027">
              <w:rPr>
                <w:rFonts w:ascii="David" w:eastAsia="Times New Roman" w:hAnsi="David" w:cs="David" w:hint="cs"/>
                <w:rtl/>
              </w:rPr>
              <w:t>39</w:t>
            </w:r>
            <w:r w:rsidRPr="00BF3027">
              <w:rPr>
                <w:rFonts w:ascii="David" w:eastAsia="Times New Roman" w:hAnsi="David" w:cs="David"/>
                <w:rtl/>
              </w:rPr>
              <w:t>+</w:t>
            </w:r>
          </w:p>
        </w:tc>
        <w:tc>
          <w:tcPr>
            <w:tcW w:w="992" w:type="dxa"/>
            <w:tcBorders>
              <w:top w:val="single" w:sz="4" w:space="0" w:color="auto"/>
            </w:tcBorders>
            <w:shd w:val="clear" w:color="auto" w:fill="FFFFFF"/>
            <w:vAlign w:val="center"/>
          </w:tcPr>
          <w:p w14:paraId="14F85956"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34</w:t>
            </w:r>
          </w:p>
        </w:tc>
      </w:tr>
      <w:tr w:rsidR="002C4CFA" w:rsidRPr="00BF3027" w14:paraId="02E28357" w14:textId="77777777" w:rsidTr="002C4CFA">
        <w:trPr>
          <w:trHeight w:val="436"/>
        </w:trPr>
        <w:tc>
          <w:tcPr>
            <w:tcW w:w="853" w:type="dxa"/>
            <w:shd w:val="clear" w:color="auto" w:fill="D9D9D9"/>
            <w:noWrap/>
            <w:vAlign w:val="center"/>
          </w:tcPr>
          <w:p w14:paraId="76A18C91"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עבודה</w:t>
            </w:r>
          </w:p>
        </w:tc>
        <w:tc>
          <w:tcPr>
            <w:tcW w:w="989" w:type="dxa"/>
            <w:shd w:val="clear" w:color="auto" w:fill="D9D9D9"/>
            <w:noWrap/>
            <w:vAlign w:val="center"/>
          </w:tcPr>
          <w:p w14:paraId="2E9A83F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D9D9D9"/>
            <w:vAlign w:val="center"/>
          </w:tcPr>
          <w:p w14:paraId="78C6A812"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קופת גמל (ק"ג)</w:t>
            </w:r>
          </w:p>
        </w:tc>
        <w:tc>
          <w:tcPr>
            <w:tcW w:w="1276" w:type="dxa"/>
            <w:shd w:val="clear" w:color="auto" w:fill="D9D9D9"/>
            <w:vAlign w:val="center"/>
          </w:tcPr>
          <w:p w14:paraId="782AC3F4"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3,957</w:t>
            </w:r>
          </w:p>
        </w:tc>
        <w:tc>
          <w:tcPr>
            <w:tcW w:w="1417" w:type="dxa"/>
            <w:shd w:val="clear" w:color="auto" w:fill="D9D9D9"/>
            <w:noWrap/>
            <w:vAlign w:val="center"/>
          </w:tcPr>
          <w:p w14:paraId="1BAC6CF1"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1:06</w:t>
            </w:r>
          </w:p>
        </w:tc>
        <w:tc>
          <w:tcPr>
            <w:tcW w:w="1276" w:type="dxa"/>
            <w:shd w:val="clear" w:color="auto" w:fill="D9D9D9"/>
            <w:vAlign w:val="center"/>
          </w:tcPr>
          <w:p w14:paraId="40DC126C"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2:37</w:t>
            </w:r>
          </w:p>
        </w:tc>
        <w:tc>
          <w:tcPr>
            <w:tcW w:w="851" w:type="dxa"/>
            <w:shd w:val="clear" w:color="auto" w:fill="D9D9D9"/>
            <w:vAlign w:val="center"/>
          </w:tcPr>
          <w:p w14:paraId="55BB8DE7" w14:textId="77777777" w:rsidR="002C4CFA" w:rsidRPr="00BF3027" w:rsidRDefault="002C4CFA" w:rsidP="002C4CFA">
            <w:pPr>
              <w:spacing w:after="0" w:line="240" w:lineRule="auto"/>
              <w:jc w:val="center"/>
              <w:rPr>
                <w:rFonts w:asciiTheme="minorHAnsi" w:eastAsia="Times New Roman" w:hAnsiTheme="minorHAnsi" w:cs="David"/>
              </w:rPr>
            </w:pPr>
            <w:r w:rsidRPr="00BF3027">
              <w:rPr>
                <w:rFonts w:asciiTheme="minorHAnsi" w:eastAsia="Times New Roman" w:hAnsiTheme="minorHAnsi" w:cs="David"/>
              </w:rPr>
              <w:t>31</w:t>
            </w:r>
            <w:r w:rsidRPr="00BF3027">
              <w:rPr>
                <w:rFonts w:ascii="David" w:eastAsia="Times New Roman" w:hAnsi="David" w:cs="David" w:hint="cs"/>
                <w:rtl/>
              </w:rPr>
              <w:t>:</w:t>
            </w:r>
            <w:r w:rsidRPr="00BF3027">
              <w:rPr>
                <w:rFonts w:ascii="David" w:eastAsia="Times New Roman" w:hAnsi="David" w:cs="David"/>
                <w:rtl/>
              </w:rPr>
              <w:t>1-</w:t>
            </w:r>
          </w:p>
        </w:tc>
        <w:tc>
          <w:tcPr>
            <w:tcW w:w="992" w:type="dxa"/>
            <w:shd w:val="clear" w:color="auto" w:fill="D9D9D9"/>
            <w:vAlign w:val="center"/>
          </w:tcPr>
          <w:p w14:paraId="173FBA80"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33</w:t>
            </w:r>
          </w:p>
        </w:tc>
      </w:tr>
      <w:tr w:rsidR="002C4CFA" w:rsidRPr="00BF3027" w14:paraId="73D42A06" w14:textId="77777777" w:rsidTr="002C4CFA">
        <w:trPr>
          <w:trHeight w:val="674"/>
        </w:trPr>
        <w:tc>
          <w:tcPr>
            <w:tcW w:w="853" w:type="dxa"/>
            <w:shd w:val="clear" w:color="auto" w:fill="auto"/>
            <w:noWrap/>
            <w:vAlign w:val="center"/>
          </w:tcPr>
          <w:p w14:paraId="46D554FB"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auto"/>
            <w:noWrap/>
            <w:vAlign w:val="center"/>
          </w:tcPr>
          <w:p w14:paraId="0129F9C1"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auto"/>
            <w:vAlign w:val="center"/>
          </w:tcPr>
          <w:p w14:paraId="425F200E"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בקשה לתשלום תכוף (בת"ת)</w:t>
            </w:r>
          </w:p>
        </w:tc>
        <w:tc>
          <w:tcPr>
            <w:tcW w:w="1276" w:type="dxa"/>
            <w:shd w:val="clear" w:color="auto" w:fill="auto"/>
            <w:vAlign w:val="center"/>
          </w:tcPr>
          <w:p w14:paraId="565D82BE"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167</w:t>
            </w:r>
          </w:p>
        </w:tc>
        <w:tc>
          <w:tcPr>
            <w:tcW w:w="1417" w:type="dxa"/>
            <w:shd w:val="clear" w:color="auto" w:fill="auto"/>
            <w:noWrap/>
            <w:vAlign w:val="center"/>
          </w:tcPr>
          <w:p w14:paraId="5C6D872B"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1:05</w:t>
            </w:r>
          </w:p>
        </w:tc>
        <w:tc>
          <w:tcPr>
            <w:tcW w:w="1276" w:type="dxa"/>
            <w:shd w:val="clear" w:color="auto" w:fill="auto"/>
            <w:vAlign w:val="center"/>
          </w:tcPr>
          <w:p w14:paraId="70E755C8"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851" w:type="dxa"/>
            <w:shd w:val="clear" w:color="auto" w:fill="auto"/>
            <w:vAlign w:val="center"/>
          </w:tcPr>
          <w:p w14:paraId="75D2DFB3" w14:textId="77777777" w:rsidR="002C4CFA" w:rsidRPr="00BF3027" w:rsidRDefault="002C4CFA" w:rsidP="002C4CFA">
            <w:pPr>
              <w:spacing w:after="0" w:line="240" w:lineRule="auto"/>
              <w:jc w:val="center"/>
              <w:rPr>
                <w:rFonts w:asciiTheme="minorHAnsi" w:eastAsia="Times New Roman" w:hAnsiTheme="minorHAnsi" w:cs="David"/>
              </w:rPr>
            </w:pPr>
            <w:r w:rsidRPr="00BF3027">
              <w:rPr>
                <w:rFonts w:ascii="David" w:eastAsia="Times New Roman" w:hAnsi="David" w:cs="David"/>
              </w:rPr>
              <w:t>-</w:t>
            </w:r>
          </w:p>
        </w:tc>
        <w:tc>
          <w:tcPr>
            <w:tcW w:w="992" w:type="dxa"/>
            <w:shd w:val="clear" w:color="auto" w:fill="auto"/>
            <w:vAlign w:val="center"/>
          </w:tcPr>
          <w:p w14:paraId="35DCD495"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33</w:t>
            </w:r>
          </w:p>
        </w:tc>
      </w:tr>
      <w:tr w:rsidR="002C4CFA" w:rsidRPr="00BF3027" w14:paraId="390B5074" w14:textId="77777777" w:rsidTr="002C4CFA">
        <w:trPr>
          <w:trHeight w:val="483"/>
        </w:trPr>
        <w:tc>
          <w:tcPr>
            <w:tcW w:w="853" w:type="dxa"/>
            <w:shd w:val="clear" w:color="auto" w:fill="D9D9D9"/>
            <w:noWrap/>
            <w:vAlign w:val="center"/>
          </w:tcPr>
          <w:p w14:paraId="2D5D167A"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D9D9D9"/>
            <w:noWrap/>
            <w:vAlign w:val="center"/>
          </w:tcPr>
          <w:p w14:paraId="6734082E"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תביעה קטנה</w:t>
            </w:r>
          </w:p>
        </w:tc>
        <w:tc>
          <w:tcPr>
            <w:tcW w:w="1984" w:type="dxa"/>
            <w:shd w:val="clear" w:color="auto" w:fill="D9D9D9"/>
            <w:vAlign w:val="center"/>
          </w:tcPr>
          <w:p w14:paraId="522ABFF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תביעה קטנה (ת"ק)</w:t>
            </w:r>
          </w:p>
        </w:tc>
        <w:tc>
          <w:tcPr>
            <w:tcW w:w="1276" w:type="dxa"/>
            <w:shd w:val="clear" w:color="auto" w:fill="D9D9D9"/>
            <w:vAlign w:val="center"/>
          </w:tcPr>
          <w:p w14:paraId="4D12B50D"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38,947</w:t>
            </w:r>
          </w:p>
        </w:tc>
        <w:tc>
          <w:tcPr>
            <w:tcW w:w="1417" w:type="dxa"/>
            <w:shd w:val="clear" w:color="auto" w:fill="D9D9D9"/>
            <w:noWrap/>
            <w:vAlign w:val="center"/>
          </w:tcPr>
          <w:p w14:paraId="61B8A384"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1:05</w:t>
            </w:r>
          </w:p>
        </w:tc>
        <w:tc>
          <w:tcPr>
            <w:tcW w:w="1276" w:type="dxa"/>
            <w:shd w:val="clear" w:color="auto" w:fill="D9D9D9"/>
            <w:vAlign w:val="center"/>
          </w:tcPr>
          <w:p w14:paraId="0365D919"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0:59</w:t>
            </w:r>
          </w:p>
        </w:tc>
        <w:tc>
          <w:tcPr>
            <w:tcW w:w="851" w:type="dxa"/>
            <w:shd w:val="clear" w:color="auto" w:fill="D9D9D9"/>
            <w:vAlign w:val="center"/>
          </w:tcPr>
          <w:p w14:paraId="754634E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0:0</w:t>
            </w:r>
            <w:r w:rsidRPr="00BF3027">
              <w:rPr>
                <w:rFonts w:ascii="David" w:eastAsia="Times New Roman" w:hAnsi="David" w:cs="David" w:hint="cs"/>
                <w:rtl/>
              </w:rPr>
              <w:t>6</w:t>
            </w:r>
            <w:r w:rsidRPr="00BF3027">
              <w:rPr>
                <w:rFonts w:ascii="David" w:eastAsia="Times New Roman" w:hAnsi="David" w:cs="David"/>
                <w:rtl/>
              </w:rPr>
              <w:t>+</w:t>
            </w:r>
          </w:p>
        </w:tc>
        <w:tc>
          <w:tcPr>
            <w:tcW w:w="992" w:type="dxa"/>
            <w:shd w:val="clear" w:color="auto" w:fill="D9D9D9"/>
            <w:vAlign w:val="center"/>
          </w:tcPr>
          <w:p w14:paraId="21684AD3"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33</w:t>
            </w:r>
          </w:p>
        </w:tc>
      </w:tr>
      <w:tr w:rsidR="002C4CFA" w:rsidRPr="00BF3027" w14:paraId="23E388C6" w14:textId="77777777" w:rsidTr="002C4CFA">
        <w:trPr>
          <w:trHeight w:val="536"/>
        </w:trPr>
        <w:tc>
          <w:tcPr>
            <w:tcW w:w="853" w:type="dxa"/>
            <w:shd w:val="clear" w:color="auto" w:fill="auto"/>
            <w:noWrap/>
            <w:vAlign w:val="center"/>
          </w:tcPr>
          <w:p w14:paraId="021A36C7"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משפחה</w:t>
            </w:r>
          </w:p>
        </w:tc>
        <w:tc>
          <w:tcPr>
            <w:tcW w:w="989" w:type="dxa"/>
            <w:shd w:val="clear" w:color="auto" w:fill="auto"/>
            <w:noWrap/>
            <w:vAlign w:val="center"/>
          </w:tcPr>
          <w:p w14:paraId="42B43274" w14:textId="77777777" w:rsidR="002C4CFA" w:rsidRPr="00BF3027" w:rsidRDefault="002C4CFA" w:rsidP="002C4CFA">
            <w:pPr>
              <w:bidi w:val="0"/>
              <w:spacing w:after="0" w:line="240" w:lineRule="auto"/>
              <w:rPr>
                <w:rFonts w:ascii="David" w:eastAsia="Times New Roman" w:hAnsi="David" w:cs="David"/>
                <w:rtl/>
              </w:rPr>
            </w:pPr>
          </w:p>
        </w:tc>
        <w:tc>
          <w:tcPr>
            <w:tcW w:w="1984" w:type="dxa"/>
            <w:shd w:val="clear" w:color="auto" w:fill="auto"/>
            <w:vAlign w:val="center"/>
          </w:tcPr>
          <w:p w14:paraId="160074E5"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תיק הסכם (תה"ס)</w:t>
            </w:r>
          </w:p>
        </w:tc>
        <w:tc>
          <w:tcPr>
            <w:tcW w:w="1276" w:type="dxa"/>
            <w:shd w:val="clear" w:color="auto" w:fill="auto"/>
            <w:vAlign w:val="center"/>
          </w:tcPr>
          <w:p w14:paraId="2A913D20"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9,247</w:t>
            </w:r>
          </w:p>
        </w:tc>
        <w:tc>
          <w:tcPr>
            <w:tcW w:w="1417" w:type="dxa"/>
            <w:shd w:val="clear" w:color="auto" w:fill="auto"/>
            <w:noWrap/>
            <w:vAlign w:val="center"/>
          </w:tcPr>
          <w:p w14:paraId="20E2B67D"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1:03</w:t>
            </w:r>
          </w:p>
        </w:tc>
        <w:tc>
          <w:tcPr>
            <w:tcW w:w="1276" w:type="dxa"/>
            <w:shd w:val="clear" w:color="auto" w:fill="auto"/>
            <w:vAlign w:val="center"/>
          </w:tcPr>
          <w:p w14:paraId="347FA64A"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0:39</w:t>
            </w:r>
          </w:p>
        </w:tc>
        <w:tc>
          <w:tcPr>
            <w:tcW w:w="851" w:type="dxa"/>
            <w:shd w:val="clear" w:color="auto" w:fill="auto"/>
            <w:vAlign w:val="center"/>
          </w:tcPr>
          <w:p w14:paraId="201B264C"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+0:24</w:t>
            </w:r>
          </w:p>
        </w:tc>
        <w:tc>
          <w:tcPr>
            <w:tcW w:w="992" w:type="dxa"/>
            <w:shd w:val="clear" w:color="auto" w:fill="auto"/>
            <w:vAlign w:val="center"/>
          </w:tcPr>
          <w:p w14:paraId="4C98FB0A"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32</w:t>
            </w:r>
          </w:p>
        </w:tc>
      </w:tr>
      <w:tr w:rsidR="002C4CFA" w:rsidRPr="00BF3027" w14:paraId="7952B0D6" w14:textId="77777777" w:rsidTr="002C4CFA">
        <w:trPr>
          <w:trHeight w:val="382"/>
        </w:trPr>
        <w:tc>
          <w:tcPr>
            <w:tcW w:w="853" w:type="dxa"/>
            <w:shd w:val="clear" w:color="auto" w:fill="D9D9D9"/>
            <w:noWrap/>
            <w:vAlign w:val="center"/>
          </w:tcPr>
          <w:p w14:paraId="6B02DB1C"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תעבורה</w:t>
            </w:r>
          </w:p>
        </w:tc>
        <w:tc>
          <w:tcPr>
            <w:tcW w:w="989" w:type="dxa"/>
            <w:shd w:val="clear" w:color="auto" w:fill="D9D9D9"/>
            <w:noWrap/>
            <w:vAlign w:val="center"/>
          </w:tcPr>
          <w:p w14:paraId="679CB070" w14:textId="77777777" w:rsidR="002C4CFA" w:rsidRPr="00BF3027" w:rsidRDefault="002C4CFA" w:rsidP="002C4CFA">
            <w:pPr>
              <w:bidi w:val="0"/>
              <w:spacing w:after="0" w:line="240" w:lineRule="auto"/>
              <w:rPr>
                <w:rFonts w:ascii="David" w:eastAsia="Times New Roman" w:hAnsi="David" w:cs="David"/>
                <w:rtl/>
              </w:rPr>
            </w:pPr>
          </w:p>
        </w:tc>
        <w:tc>
          <w:tcPr>
            <w:tcW w:w="1984" w:type="dxa"/>
            <w:shd w:val="clear" w:color="auto" w:fill="D9D9D9"/>
            <w:vAlign w:val="center"/>
          </w:tcPr>
          <w:p w14:paraId="0129AEDB"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תאונת דרכים (ת"ד)</w:t>
            </w:r>
          </w:p>
        </w:tc>
        <w:tc>
          <w:tcPr>
            <w:tcW w:w="1276" w:type="dxa"/>
            <w:shd w:val="clear" w:color="auto" w:fill="D9D9D9"/>
            <w:vAlign w:val="center"/>
          </w:tcPr>
          <w:p w14:paraId="3725A5D5"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8,337</w:t>
            </w:r>
          </w:p>
        </w:tc>
        <w:tc>
          <w:tcPr>
            <w:tcW w:w="1417" w:type="dxa"/>
            <w:shd w:val="clear" w:color="auto" w:fill="D9D9D9"/>
            <w:noWrap/>
            <w:vAlign w:val="center"/>
          </w:tcPr>
          <w:p w14:paraId="3A579E8B"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1:02</w:t>
            </w:r>
          </w:p>
        </w:tc>
        <w:tc>
          <w:tcPr>
            <w:tcW w:w="1276" w:type="dxa"/>
            <w:shd w:val="clear" w:color="auto" w:fill="D9D9D9"/>
            <w:vAlign w:val="center"/>
          </w:tcPr>
          <w:p w14:paraId="4E6A0859"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0:50</w:t>
            </w:r>
          </w:p>
        </w:tc>
        <w:tc>
          <w:tcPr>
            <w:tcW w:w="851" w:type="dxa"/>
            <w:shd w:val="clear" w:color="auto" w:fill="D9D9D9"/>
            <w:vAlign w:val="center"/>
          </w:tcPr>
          <w:p w14:paraId="54CF0D9B"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0:1</w:t>
            </w:r>
            <w:r w:rsidRPr="00BF3027">
              <w:rPr>
                <w:rFonts w:ascii="David" w:eastAsia="Times New Roman" w:hAnsi="David" w:cs="David" w:hint="cs"/>
                <w:rtl/>
              </w:rPr>
              <w:t>2</w:t>
            </w:r>
            <w:r w:rsidRPr="00BF3027">
              <w:rPr>
                <w:rFonts w:ascii="David" w:eastAsia="Times New Roman" w:hAnsi="David" w:cs="David"/>
                <w:rtl/>
              </w:rPr>
              <w:t>+</w:t>
            </w:r>
          </w:p>
        </w:tc>
        <w:tc>
          <w:tcPr>
            <w:tcW w:w="992" w:type="dxa"/>
            <w:shd w:val="clear" w:color="auto" w:fill="D9D9D9"/>
            <w:vAlign w:val="center"/>
          </w:tcPr>
          <w:p w14:paraId="2649D3E5"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31</w:t>
            </w:r>
          </w:p>
        </w:tc>
      </w:tr>
      <w:tr w:rsidR="002C4CFA" w:rsidRPr="00BF3027" w14:paraId="16F7F326" w14:textId="77777777" w:rsidTr="002C4CFA">
        <w:trPr>
          <w:trHeight w:val="404"/>
        </w:trPr>
        <w:tc>
          <w:tcPr>
            <w:tcW w:w="853" w:type="dxa"/>
            <w:shd w:val="clear" w:color="auto" w:fill="auto"/>
            <w:noWrap/>
            <w:vAlign w:val="center"/>
          </w:tcPr>
          <w:p w14:paraId="7456E7DE"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משפחה</w:t>
            </w:r>
          </w:p>
        </w:tc>
        <w:tc>
          <w:tcPr>
            <w:tcW w:w="989" w:type="dxa"/>
            <w:shd w:val="clear" w:color="auto" w:fill="auto"/>
            <w:noWrap/>
            <w:vAlign w:val="center"/>
          </w:tcPr>
          <w:p w14:paraId="450A1FAB" w14:textId="77777777" w:rsidR="002C4CFA" w:rsidRPr="00BF3027" w:rsidRDefault="002C4CFA" w:rsidP="002C4CFA">
            <w:pPr>
              <w:spacing w:after="0" w:line="240" w:lineRule="auto"/>
              <w:rPr>
                <w:rFonts w:ascii="David" w:eastAsia="Times New Roman" w:hAnsi="David" w:cs="David"/>
                <w:rtl/>
              </w:rPr>
            </w:pPr>
          </w:p>
        </w:tc>
        <w:tc>
          <w:tcPr>
            <w:tcW w:w="1984" w:type="dxa"/>
            <w:shd w:val="clear" w:color="auto" w:fill="auto"/>
            <w:vAlign w:val="center"/>
          </w:tcPr>
          <w:p w14:paraId="306DABE1"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יישוב סכסוך (י"ס)</w:t>
            </w:r>
          </w:p>
        </w:tc>
        <w:tc>
          <w:tcPr>
            <w:tcW w:w="1276" w:type="dxa"/>
            <w:shd w:val="clear" w:color="auto" w:fill="auto"/>
            <w:vAlign w:val="center"/>
          </w:tcPr>
          <w:p w14:paraId="7A679886"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17,589</w:t>
            </w:r>
          </w:p>
        </w:tc>
        <w:tc>
          <w:tcPr>
            <w:tcW w:w="1417" w:type="dxa"/>
            <w:shd w:val="clear" w:color="auto" w:fill="auto"/>
            <w:noWrap/>
            <w:vAlign w:val="center"/>
          </w:tcPr>
          <w:p w14:paraId="735338F3"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:00</w:t>
            </w:r>
            <w:r w:rsidRPr="00BF3027">
              <w:rPr>
                <w:rFonts w:ascii="David" w:eastAsia="Times New Roman" w:hAnsi="David" w:cs="David" w:hint="cs"/>
                <w:b/>
                <w:bCs/>
                <w:rtl/>
              </w:rPr>
              <w:t>1</w:t>
            </w:r>
          </w:p>
        </w:tc>
        <w:tc>
          <w:tcPr>
            <w:tcW w:w="1276" w:type="dxa"/>
            <w:shd w:val="clear" w:color="auto" w:fill="auto"/>
            <w:vAlign w:val="center"/>
          </w:tcPr>
          <w:p w14:paraId="5ABCAE3F"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0:19</w:t>
            </w:r>
          </w:p>
        </w:tc>
        <w:tc>
          <w:tcPr>
            <w:tcW w:w="851" w:type="dxa"/>
            <w:shd w:val="clear" w:color="auto" w:fill="auto"/>
            <w:vAlign w:val="center"/>
          </w:tcPr>
          <w:p w14:paraId="13759D5A"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+0:41</w:t>
            </w:r>
          </w:p>
        </w:tc>
        <w:tc>
          <w:tcPr>
            <w:tcW w:w="992" w:type="dxa"/>
            <w:shd w:val="clear" w:color="auto" w:fill="auto"/>
            <w:vAlign w:val="center"/>
          </w:tcPr>
          <w:p w14:paraId="22223FD8"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30</w:t>
            </w:r>
          </w:p>
        </w:tc>
      </w:tr>
      <w:tr w:rsidR="002C4CFA" w:rsidRPr="00BF3027" w14:paraId="431CC815" w14:textId="77777777" w:rsidTr="002C4CFA">
        <w:trPr>
          <w:trHeight w:val="607"/>
        </w:trPr>
        <w:tc>
          <w:tcPr>
            <w:tcW w:w="853" w:type="dxa"/>
            <w:shd w:val="clear" w:color="auto" w:fill="auto"/>
            <w:noWrap/>
            <w:vAlign w:val="center"/>
          </w:tcPr>
          <w:p w14:paraId="7062BD69" w14:textId="3CD44B5D" w:rsidR="002C4CFA" w:rsidRPr="00BF3027" w:rsidRDefault="002C4CFA" w:rsidP="002C4CFA">
            <w:pPr>
              <w:spacing w:after="0" w:line="240" w:lineRule="auto"/>
              <w:rPr>
                <w:rFonts w:ascii="David" w:eastAsia="Times New Roman" w:hAnsi="David" w:cs="David"/>
                <w:rtl/>
              </w:rPr>
            </w:pPr>
            <w:r w:rsidRPr="00BF3027">
              <w:rPr>
                <w:rFonts w:ascii="Arial" w:eastAsia="Times New Roman" w:hAnsi="Arial" w:cs="David" w:hint="cs"/>
                <w:b/>
                <w:bCs/>
                <w:rtl/>
              </w:rPr>
              <w:lastRenderedPageBreak/>
              <w:t>ערכאה</w:t>
            </w:r>
          </w:p>
        </w:tc>
        <w:tc>
          <w:tcPr>
            <w:tcW w:w="989" w:type="dxa"/>
            <w:shd w:val="clear" w:color="auto" w:fill="auto"/>
            <w:noWrap/>
            <w:vAlign w:val="center"/>
          </w:tcPr>
          <w:p w14:paraId="1709461B" w14:textId="375BFF1C" w:rsidR="002C4CFA" w:rsidRPr="00BF3027" w:rsidRDefault="002C4CFA" w:rsidP="002C4CFA">
            <w:pPr>
              <w:spacing w:after="0" w:line="240" w:lineRule="auto"/>
              <w:rPr>
                <w:rFonts w:ascii="David" w:eastAsia="Times New Roman" w:hAnsi="David" w:cs="David"/>
                <w:rtl/>
              </w:rPr>
            </w:pPr>
            <w:r w:rsidRPr="00BF3027">
              <w:rPr>
                <w:rFonts w:ascii="Arial" w:eastAsia="Times New Roman" w:hAnsi="Arial" w:cs="David" w:hint="cs"/>
                <w:b/>
                <w:bCs/>
                <w:rtl/>
              </w:rPr>
              <w:t>הליך</w:t>
            </w:r>
          </w:p>
        </w:tc>
        <w:tc>
          <w:tcPr>
            <w:tcW w:w="1984" w:type="dxa"/>
            <w:shd w:val="clear" w:color="auto" w:fill="auto"/>
            <w:vAlign w:val="center"/>
          </w:tcPr>
          <w:p w14:paraId="59D32F15" w14:textId="5F56A438" w:rsidR="002C4CFA" w:rsidRPr="00BF3027" w:rsidRDefault="002C4CFA" w:rsidP="002C4CFA">
            <w:pPr>
              <w:spacing w:after="0" w:line="240" w:lineRule="auto"/>
              <w:rPr>
                <w:rFonts w:ascii="David" w:eastAsia="Times New Roman" w:hAnsi="David" w:cs="David"/>
                <w:rtl/>
              </w:rPr>
            </w:pPr>
            <w:r w:rsidRPr="00BF3027">
              <w:rPr>
                <w:rFonts w:ascii="Arial" w:eastAsia="Times New Roman" w:hAnsi="Arial" w:cs="David" w:hint="cs"/>
                <w:b/>
                <w:bCs/>
                <w:rtl/>
              </w:rPr>
              <w:t>סוג תיק</w:t>
            </w:r>
          </w:p>
        </w:tc>
        <w:tc>
          <w:tcPr>
            <w:tcW w:w="1276" w:type="dxa"/>
            <w:shd w:val="clear" w:color="auto" w:fill="auto"/>
            <w:vAlign w:val="center"/>
          </w:tcPr>
          <w:p w14:paraId="15C21817" w14:textId="19E6EA63" w:rsidR="002C4CFA" w:rsidRPr="00BF3027" w:rsidRDefault="002C4CFA" w:rsidP="002C4CFA">
            <w:pPr>
              <w:spacing w:after="0" w:line="240" w:lineRule="auto"/>
              <w:jc w:val="center"/>
              <w:rPr>
                <w:rFonts w:ascii="David" w:eastAsia="Times New Roman" w:hAnsi="David" w:cs="David"/>
              </w:rPr>
            </w:pPr>
            <w:r w:rsidRPr="00BF3027">
              <w:rPr>
                <w:rFonts w:ascii="Arial" w:eastAsia="Times New Roman" w:hAnsi="Arial" w:cs="David" w:hint="cs"/>
                <w:b/>
                <w:bCs/>
                <w:rtl/>
              </w:rPr>
              <w:t>מספר תיקים שנסגרו ב-2019</w:t>
            </w:r>
          </w:p>
        </w:tc>
        <w:tc>
          <w:tcPr>
            <w:tcW w:w="1417" w:type="dxa"/>
            <w:shd w:val="clear" w:color="auto" w:fill="auto"/>
            <w:noWrap/>
            <w:vAlign w:val="center"/>
          </w:tcPr>
          <w:p w14:paraId="5222ED91" w14:textId="4ABA9CF9" w:rsidR="002C4CFA" w:rsidRPr="00BF3027" w:rsidRDefault="002C4CFA" w:rsidP="002C4CFA">
            <w:pPr>
              <w:spacing w:after="0" w:line="240" w:lineRule="auto"/>
              <w:jc w:val="center"/>
              <w:rPr>
                <w:rFonts w:ascii="David" w:eastAsia="Times New Roman" w:hAnsi="David" w:cs="David"/>
                <w:b/>
                <w:bCs/>
              </w:rPr>
            </w:pPr>
            <w:r w:rsidRPr="00BF3027">
              <w:rPr>
                <w:rFonts w:ascii="Arial" w:eastAsia="Times New Roman" w:hAnsi="Arial" w:cs="David" w:hint="cs"/>
                <w:b/>
                <w:bCs/>
                <w:rtl/>
              </w:rPr>
              <w:t>הזמן השיפוטי הממוצע לטיפול בתיק</w:t>
            </w:r>
          </w:p>
        </w:tc>
        <w:tc>
          <w:tcPr>
            <w:tcW w:w="1276" w:type="dxa"/>
            <w:shd w:val="clear" w:color="auto" w:fill="auto"/>
            <w:vAlign w:val="center"/>
          </w:tcPr>
          <w:p w14:paraId="2100AAE5" w14:textId="7424E175" w:rsidR="002C4CFA" w:rsidRPr="00BF3027" w:rsidRDefault="002C4CFA" w:rsidP="002C4CFA">
            <w:pPr>
              <w:spacing w:after="0" w:line="240" w:lineRule="auto"/>
              <w:jc w:val="center"/>
              <w:rPr>
                <w:rFonts w:ascii="David" w:eastAsia="Times New Roman" w:hAnsi="David" w:cs="David"/>
              </w:rPr>
            </w:pPr>
            <w:r w:rsidRPr="00BF3027">
              <w:rPr>
                <w:rFonts w:ascii="Arial" w:eastAsia="Times New Roman" w:hAnsi="Arial" w:cs="David" w:hint="cs"/>
                <w:b/>
                <w:bCs/>
                <w:rtl/>
              </w:rPr>
              <w:t>הזמן השיפוטי הממוצע לפי המחקר הקודם</w:t>
            </w:r>
          </w:p>
        </w:tc>
        <w:tc>
          <w:tcPr>
            <w:tcW w:w="851" w:type="dxa"/>
            <w:shd w:val="clear" w:color="auto" w:fill="auto"/>
            <w:vAlign w:val="center"/>
          </w:tcPr>
          <w:p w14:paraId="31A8D727" w14:textId="45EA4003" w:rsidR="002C4CFA" w:rsidRPr="00BF3027" w:rsidRDefault="002C4CFA" w:rsidP="002C4CFA">
            <w:pPr>
              <w:spacing w:after="0" w:line="240" w:lineRule="auto"/>
              <w:jc w:val="center"/>
              <w:rPr>
                <w:rFonts w:ascii="David" w:eastAsia="Times New Roman" w:hAnsi="David" w:cs="David"/>
                <w:rtl/>
              </w:rPr>
            </w:pPr>
            <w:r w:rsidRPr="00BF3027">
              <w:rPr>
                <w:rFonts w:ascii="Arial" w:eastAsia="Times New Roman" w:hAnsi="Arial" w:cs="David" w:hint="cs"/>
                <w:b/>
                <w:bCs/>
                <w:rtl/>
              </w:rPr>
              <w:t>מגמת השינוי</w:t>
            </w:r>
          </w:p>
        </w:tc>
        <w:tc>
          <w:tcPr>
            <w:tcW w:w="992" w:type="dxa"/>
            <w:shd w:val="clear" w:color="auto" w:fill="auto"/>
            <w:vAlign w:val="center"/>
          </w:tcPr>
          <w:p w14:paraId="3552C358" w14:textId="46A68C54" w:rsidR="002C4CFA" w:rsidRPr="00BF3027" w:rsidRDefault="002C4CFA" w:rsidP="002C4CFA">
            <w:pPr>
              <w:spacing w:after="0" w:line="240" w:lineRule="auto"/>
              <w:jc w:val="center"/>
              <w:rPr>
                <w:rFonts w:ascii="David" w:eastAsia="Times New Roman" w:hAnsi="David" w:cs="David"/>
              </w:rPr>
            </w:pPr>
            <w:r w:rsidRPr="00BF3027">
              <w:rPr>
                <w:rFonts w:ascii="Arial" w:hAnsi="Arial" w:cs="David" w:hint="cs"/>
                <w:b/>
                <w:bCs/>
                <w:rtl/>
              </w:rPr>
              <w:t>משקל לתיק לפי המחקר הנוכחי</w:t>
            </w:r>
          </w:p>
        </w:tc>
      </w:tr>
      <w:tr w:rsidR="002C4CFA" w:rsidRPr="00BF3027" w14:paraId="668F2AAB" w14:textId="77777777" w:rsidTr="002C4CFA">
        <w:trPr>
          <w:trHeight w:val="607"/>
        </w:trPr>
        <w:tc>
          <w:tcPr>
            <w:tcW w:w="853" w:type="dxa"/>
            <w:shd w:val="clear" w:color="auto" w:fill="D9D9D9"/>
            <w:noWrap/>
            <w:vAlign w:val="center"/>
          </w:tcPr>
          <w:p w14:paraId="4137BCB1"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D9D9D9"/>
            <w:noWrap/>
            <w:vAlign w:val="center"/>
          </w:tcPr>
          <w:p w14:paraId="124E9B82"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D9D9D9"/>
            <w:vAlign w:val="center"/>
          </w:tcPr>
          <w:p w14:paraId="6CB08F7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הטרדה מאיימת וצו הגנה (ה"ט)</w:t>
            </w:r>
          </w:p>
        </w:tc>
        <w:tc>
          <w:tcPr>
            <w:tcW w:w="1276" w:type="dxa"/>
            <w:shd w:val="clear" w:color="auto" w:fill="D9D9D9"/>
            <w:vAlign w:val="center"/>
          </w:tcPr>
          <w:p w14:paraId="4C7C7569"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7,558</w:t>
            </w:r>
          </w:p>
        </w:tc>
        <w:tc>
          <w:tcPr>
            <w:tcW w:w="1417" w:type="dxa"/>
            <w:shd w:val="clear" w:color="auto" w:fill="D9D9D9"/>
            <w:noWrap/>
            <w:vAlign w:val="center"/>
          </w:tcPr>
          <w:p w14:paraId="5DB12B5D"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0:58</w:t>
            </w:r>
          </w:p>
        </w:tc>
        <w:tc>
          <w:tcPr>
            <w:tcW w:w="1276" w:type="dxa"/>
            <w:shd w:val="clear" w:color="auto" w:fill="D9D9D9"/>
            <w:vAlign w:val="center"/>
          </w:tcPr>
          <w:p w14:paraId="70D9700A"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1:41</w:t>
            </w:r>
          </w:p>
        </w:tc>
        <w:tc>
          <w:tcPr>
            <w:tcW w:w="851" w:type="dxa"/>
            <w:shd w:val="clear" w:color="auto" w:fill="D9D9D9"/>
            <w:vAlign w:val="center"/>
          </w:tcPr>
          <w:p w14:paraId="60AC26FE"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0</w:t>
            </w:r>
            <w:r w:rsidRPr="00BF3027">
              <w:rPr>
                <w:rFonts w:ascii="David" w:eastAsia="Times New Roman" w:hAnsi="David" w:cs="David" w:hint="cs"/>
                <w:rtl/>
              </w:rPr>
              <w:t>:43</w:t>
            </w:r>
            <w:r w:rsidRPr="00BF3027">
              <w:rPr>
                <w:rFonts w:ascii="David" w:eastAsia="Times New Roman" w:hAnsi="David" w:cs="David"/>
              </w:rPr>
              <w:t>-</w:t>
            </w:r>
          </w:p>
        </w:tc>
        <w:tc>
          <w:tcPr>
            <w:tcW w:w="992" w:type="dxa"/>
            <w:shd w:val="clear" w:color="auto" w:fill="D9D9D9"/>
            <w:vAlign w:val="center"/>
          </w:tcPr>
          <w:p w14:paraId="4760C5C0"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29</w:t>
            </w:r>
          </w:p>
        </w:tc>
      </w:tr>
      <w:tr w:rsidR="002C4CFA" w:rsidRPr="00BF3027" w14:paraId="4E5E56F1" w14:textId="77777777" w:rsidTr="002C4CFA">
        <w:trPr>
          <w:trHeight w:val="611"/>
        </w:trPr>
        <w:tc>
          <w:tcPr>
            <w:tcW w:w="853" w:type="dxa"/>
            <w:shd w:val="clear" w:color="auto" w:fill="auto"/>
            <w:noWrap/>
            <w:vAlign w:val="center"/>
          </w:tcPr>
          <w:p w14:paraId="1D64CCB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auto"/>
            <w:noWrap/>
            <w:vAlign w:val="center"/>
          </w:tcPr>
          <w:p w14:paraId="3F0F8112"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עניינים מקומיים</w:t>
            </w:r>
          </w:p>
        </w:tc>
        <w:tc>
          <w:tcPr>
            <w:tcW w:w="1984" w:type="dxa"/>
            <w:shd w:val="clear" w:color="auto" w:fill="auto"/>
            <w:vAlign w:val="center"/>
          </w:tcPr>
          <w:p w14:paraId="50D76688"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פיקוח וחוקים אחרים (פק"ח)*</w:t>
            </w:r>
          </w:p>
        </w:tc>
        <w:tc>
          <w:tcPr>
            <w:tcW w:w="1276" w:type="dxa"/>
            <w:shd w:val="clear" w:color="auto" w:fill="auto"/>
            <w:vAlign w:val="center"/>
          </w:tcPr>
          <w:p w14:paraId="728544D2"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734</w:t>
            </w:r>
          </w:p>
        </w:tc>
        <w:tc>
          <w:tcPr>
            <w:tcW w:w="1417" w:type="dxa"/>
            <w:shd w:val="clear" w:color="auto" w:fill="auto"/>
            <w:noWrap/>
            <w:vAlign w:val="center"/>
          </w:tcPr>
          <w:p w14:paraId="7DAE2F2F"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0:57</w:t>
            </w:r>
          </w:p>
        </w:tc>
        <w:tc>
          <w:tcPr>
            <w:tcW w:w="1276" w:type="dxa"/>
            <w:shd w:val="clear" w:color="auto" w:fill="auto"/>
            <w:vAlign w:val="center"/>
          </w:tcPr>
          <w:p w14:paraId="1E552ADE"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851" w:type="dxa"/>
            <w:shd w:val="clear" w:color="auto" w:fill="auto"/>
            <w:vAlign w:val="center"/>
          </w:tcPr>
          <w:p w14:paraId="445A45D0"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shd w:val="clear" w:color="auto" w:fill="auto"/>
            <w:vAlign w:val="center"/>
          </w:tcPr>
          <w:p w14:paraId="56351B1F"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29</w:t>
            </w:r>
          </w:p>
        </w:tc>
      </w:tr>
      <w:tr w:rsidR="002C4CFA" w:rsidRPr="00BF3027" w14:paraId="307DE736" w14:textId="77777777" w:rsidTr="002C4CFA">
        <w:trPr>
          <w:trHeight w:val="562"/>
        </w:trPr>
        <w:tc>
          <w:tcPr>
            <w:tcW w:w="853" w:type="dxa"/>
            <w:shd w:val="clear" w:color="auto" w:fill="D9D9D9"/>
            <w:noWrap/>
            <w:vAlign w:val="center"/>
          </w:tcPr>
          <w:p w14:paraId="143A3DDC"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D9D9D9"/>
            <w:noWrap/>
            <w:vAlign w:val="center"/>
          </w:tcPr>
          <w:p w14:paraId="1963E06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D9D9D9"/>
            <w:vAlign w:val="center"/>
          </w:tcPr>
          <w:p w14:paraId="27A40A09"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אזרחי בסדר דין מהיר (תא"מ) - נזקי רכוש רכב</w:t>
            </w:r>
          </w:p>
        </w:tc>
        <w:tc>
          <w:tcPr>
            <w:tcW w:w="1276" w:type="dxa"/>
            <w:shd w:val="clear" w:color="auto" w:fill="D9D9D9"/>
            <w:vAlign w:val="center"/>
          </w:tcPr>
          <w:p w14:paraId="5B21CD7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47,517</w:t>
            </w:r>
          </w:p>
        </w:tc>
        <w:tc>
          <w:tcPr>
            <w:tcW w:w="1417" w:type="dxa"/>
            <w:shd w:val="clear" w:color="auto" w:fill="D9D9D9"/>
            <w:noWrap/>
            <w:vAlign w:val="center"/>
          </w:tcPr>
          <w:p w14:paraId="3AD43209"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0:57</w:t>
            </w:r>
          </w:p>
        </w:tc>
        <w:tc>
          <w:tcPr>
            <w:tcW w:w="1276" w:type="dxa"/>
            <w:shd w:val="clear" w:color="auto" w:fill="D9D9D9"/>
            <w:vAlign w:val="center"/>
          </w:tcPr>
          <w:p w14:paraId="79905B02"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w:t>
            </w:r>
          </w:p>
        </w:tc>
        <w:tc>
          <w:tcPr>
            <w:tcW w:w="851" w:type="dxa"/>
            <w:shd w:val="clear" w:color="auto" w:fill="D9D9D9"/>
            <w:vAlign w:val="center"/>
          </w:tcPr>
          <w:p w14:paraId="3200507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shd w:val="clear" w:color="auto" w:fill="D9D9D9"/>
            <w:vAlign w:val="center"/>
          </w:tcPr>
          <w:p w14:paraId="511BBF12"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29</w:t>
            </w:r>
          </w:p>
        </w:tc>
      </w:tr>
      <w:tr w:rsidR="002C4CFA" w:rsidRPr="00BF3027" w14:paraId="10790234" w14:textId="77777777" w:rsidTr="002C4CFA">
        <w:trPr>
          <w:trHeight w:val="562"/>
        </w:trPr>
        <w:tc>
          <w:tcPr>
            <w:tcW w:w="853" w:type="dxa"/>
            <w:shd w:val="clear" w:color="auto" w:fill="FFFFFF"/>
            <w:noWrap/>
            <w:vAlign w:val="center"/>
          </w:tcPr>
          <w:p w14:paraId="691BDC01"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FFFFFF"/>
            <w:noWrap/>
            <w:vAlign w:val="center"/>
          </w:tcPr>
          <w:p w14:paraId="6CD406F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FFFFFF"/>
            <w:vAlign w:val="center"/>
          </w:tcPr>
          <w:p w14:paraId="1D1B8A6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ביצוע תביעה בהוצאה לפועל (ת"ת)</w:t>
            </w:r>
          </w:p>
        </w:tc>
        <w:tc>
          <w:tcPr>
            <w:tcW w:w="1276" w:type="dxa"/>
            <w:shd w:val="clear" w:color="auto" w:fill="FFFFFF"/>
            <w:vAlign w:val="center"/>
          </w:tcPr>
          <w:p w14:paraId="449910BE"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4,510</w:t>
            </w:r>
          </w:p>
        </w:tc>
        <w:tc>
          <w:tcPr>
            <w:tcW w:w="1417" w:type="dxa"/>
            <w:shd w:val="clear" w:color="auto" w:fill="FFFFFF"/>
            <w:noWrap/>
            <w:vAlign w:val="center"/>
          </w:tcPr>
          <w:p w14:paraId="3F2430E0"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0:55</w:t>
            </w:r>
          </w:p>
        </w:tc>
        <w:tc>
          <w:tcPr>
            <w:tcW w:w="1276" w:type="dxa"/>
            <w:shd w:val="clear" w:color="auto" w:fill="FFFFFF"/>
            <w:vAlign w:val="center"/>
          </w:tcPr>
          <w:p w14:paraId="6A73D1C5"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1:21</w:t>
            </w:r>
          </w:p>
        </w:tc>
        <w:tc>
          <w:tcPr>
            <w:tcW w:w="851" w:type="dxa"/>
            <w:shd w:val="clear" w:color="auto" w:fill="FFFFFF"/>
            <w:vAlign w:val="center"/>
          </w:tcPr>
          <w:p w14:paraId="78436EF2"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hint="cs"/>
                <w:rtl/>
              </w:rPr>
              <w:t>0:26</w:t>
            </w:r>
            <w:r w:rsidRPr="00BF3027">
              <w:rPr>
                <w:rFonts w:ascii="David" w:eastAsia="Times New Roman" w:hAnsi="David" w:cs="David"/>
              </w:rPr>
              <w:t>-</w:t>
            </w:r>
          </w:p>
        </w:tc>
        <w:tc>
          <w:tcPr>
            <w:tcW w:w="992" w:type="dxa"/>
            <w:shd w:val="clear" w:color="auto" w:fill="FFFFFF"/>
            <w:vAlign w:val="center"/>
          </w:tcPr>
          <w:p w14:paraId="4E0427D5"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28</w:t>
            </w:r>
          </w:p>
        </w:tc>
      </w:tr>
      <w:tr w:rsidR="002C4CFA" w:rsidRPr="00BF3027" w14:paraId="1A449232" w14:textId="77777777" w:rsidTr="002C4CFA">
        <w:trPr>
          <w:trHeight w:val="552"/>
        </w:trPr>
        <w:tc>
          <w:tcPr>
            <w:tcW w:w="853" w:type="dxa"/>
            <w:tcBorders>
              <w:bottom w:val="single" w:sz="4" w:space="0" w:color="auto"/>
            </w:tcBorders>
            <w:shd w:val="clear" w:color="auto" w:fill="D9D9D9"/>
            <w:noWrap/>
            <w:vAlign w:val="center"/>
          </w:tcPr>
          <w:p w14:paraId="0D5646FB"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tcBorders>
              <w:bottom w:val="single" w:sz="4" w:space="0" w:color="auto"/>
            </w:tcBorders>
            <w:shd w:val="clear" w:color="auto" w:fill="D9D9D9"/>
            <w:noWrap/>
            <w:vAlign w:val="center"/>
          </w:tcPr>
          <w:p w14:paraId="41EDC69A"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tcBorders>
              <w:bottom w:val="single" w:sz="4" w:space="0" w:color="auto"/>
            </w:tcBorders>
            <w:shd w:val="clear" w:color="auto" w:fill="D9D9D9"/>
            <w:vAlign w:val="center"/>
          </w:tcPr>
          <w:p w14:paraId="59E8DD5B"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אזרחי בסדר דין מקוצר (תא"ק)</w:t>
            </w:r>
          </w:p>
        </w:tc>
        <w:tc>
          <w:tcPr>
            <w:tcW w:w="1276" w:type="dxa"/>
            <w:tcBorders>
              <w:bottom w:val="single" w:sz="4" w:space="0" w:color="auto"/>
            </w:tcBorders>
            <w:shd w:val="clear" w:color="auto" w:fill="D9D9D9"/>
            <w:vAlign w:val="center"/>
          </w:tcPr>
          <w:p w14:paraId="5580DCF9"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21,455</w:t>
            </w:r>
          </w:p>
        </w:tc>
        <w:tc>
          <w:tcPr>
            <w:tcW w:w="1417" w:type="dxa"/>
            <w:tcBorders>
              <w:bottom w:val="single" w:sz="4" w:space="0" w:color="auto"/>
            </w:tcBorders>
            <w:shd w:val="clear" w:color="auto" w:fill="D9D9D9"/>
            <w:noWrap/>
            <w:vAlign w:val="center"/>
          </w:tcPr>
          <w:p w14:paraId="4BAA3265"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0:55</w:t>
            </w:r>
          </w:p>
        </w:tc>
        <w:tc>
          <w:tcPr>
            <w:tcW w:w="1276" w:type="dxa"/>
            <w:tcBorders>
              <w:bottom w:val="single" w:sz="4" w:space="0" w:color="auto"/>
            </w:tcBorders>
            <w:shd w:val="clear" w:color="auto" w:fill="D9D9D9"/>
            <w:vAlign w:val="center"/>
          </w:tcPr>
          <w:p w14:paraId="5B5C22C8"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1:04</w:t>
            </w:r>
          </w:p>
        </w:tc>
        <w:tc>
          <w:tcPr>
            <w:tcW w:w="851" w:type="dxa"/>
            <w:tcBorders>
              <w:bottom w:val="single" w:sz="4" w:space="0" w:color="auto"/>
            </w:tcBorders>
            <w:shd w:val="clear" w:color="auto" w:fill="D9D9D9"/>
            <w:vAlign w:val="center"/>
          </w:tcPr>
          <w:p w14:paraId="78AF478B"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0</w:t>
            </w:r>
            <w:r w:rsidRPr="00BF3027">
              <w:rPr>
                <w:rFonts w:ascii="David" w:eastAsia="Times New Roman" w:hAnsi="David" w:cs="David" w:hint="cs"/>
                <w:rtl/>
              </w:rPr>
              <w:t>:09-</w:t>
            </w:r>
          </w:p>
        </w:tc>
        <w:tc>
          <w:tcPr>
            <w:tcW w:w="992" w:type="dxa"/>
            <w:tcBorders>
              <w:bottom w:val="single" w:sz="4" w:space="0" w:color="auto"/>
            </w:tcBorders>
            <w:shd w:val="clear" w:color="auto" w:fill="D9D9D9"/>
            <w:vAlign w:val="center"/>
          </w:tcPr>
          <w:p w14:paraId="7758871E"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28</w:t>
            </w:r>
          </w:p>
        </w:tc>
      </w:tr>
      <w:tr w:rsidR="002C4CFA" w:rsidRPr="00BF3027" w14:paraId="394A5C84" w14:textId="77777777" w:rsidTr="002C4CFA">
        <w:trPr>
          <w:trHeight w:val="548"/>
        </w:trPr>
        <w:tc>
          <w:tcPr>
            <w:tcW w:w="853" w:type="dxa"/>
            <w:tcBorders>
              <w:top w:val="single" w:sz="4" w:space="0" w:color="auto"/>
              <w:bottom w:val="single" w:sz="4" w:space="0" w:color="auto"/>
            </w:tcBorders>
            <w:shd w:val="clear" w:color="auto" w:fill="auto"/>
            <w:noWrap/>
            <w:vAlign w:val="center"/>
          </w:tcPr>
          <w:p w14:paraId="53A94B39"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נוער</w:t>
            </w:r>
          </w:p>
        </w:tc>
        <w:tc>
          <w:tcPr>
            <w:tcW w:w="989" w:type="dxa"/>
            <w:tcBorders>
              <w:top w:val="single" w:sz="4" w:space="0" w:color="auto"/>
              <w:bottom w:val="single" w:sz="4" w:space="0" w:color="auto"/>
            </w:tcBorders>
            <w:shd w:val="clear" w:color="auto" w:fill="auto"/>
            <w:noWrap/>
            <w:vAlign w:val="center"/>
          </w:tcPr>
          <w:p w14:paraId="20B7B95A" w14:textId="77777777" w:rsidR="002C4CFA" w:rsidRPr="00BF3027" w:rsidRDefault="002C4CFA" w:rsidP="002C4CFA">
            <w:pPr>
              <w:spacing w:after="0" w:line="240" w:lineRule="auto"/>
              <w:rPr>
                <w:rFonts w:ascii="David" w:eastAsia="Times New Roman" w:hAnsi="David" w:cs="David"/>
                <w:rtl/>
              </w:rPr>
            </w:pPr>
          </w:p>
        </w:tc>
        <w:tc>
          <w:tcPr>
            <w:tcW w:w="1984" w:type="dxa"/>
            <w:tcBorders>
              <w:top w:val="single" w:sz="4" w:space="0" w:color="auto"/>
              <w:bottom w:val="single" w:sz="4" w:space="0" w:color="auto"/>
            </w:tcBorders>
            <w:shd w:val="clear" w:color="auto" w:fill="auto"/>
            <w:vAlign w:val="center"/>
          </w:tcPr>
          <w:p w14:paraId="434E7DE6"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צו אחר (צ"א)</w:t>
            </w:r>
          </w:p>
        </w:tc>
        <w:tc>
          <w:tcPr>
            <w:tcW w:w="1276" w:type="dxa"/>
            <w:tcBorders>
              <w:top w:val="single" w:sz="4" w:space="0" w:color="auto"/>
              <w:bottom w:val="single" w:sz="4" w:space="0" w:color="auto"/>
            </w:tcBorders>
            <w:shd w:val="clear" w:color="auto" w:fill="auto"/>
            <w:vAlign w:val="center"/>
          </w:tcPr>
          <w:p w14:paraId="3540AFFB"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210</w:t>
            </w:r>
          </w:p>
        </w:tc>
        <w:tc>
          <w:tcPr>
            <w:tcW w:w="1417" w:type="dxa"/>
            <w:tcBorders>
              <w:top w:val="single" w:sz="4" w:space="0" w:color="auto"/>
              <w:bottom w:val="single" w:sz="4" w:space="0" w:color="auto"/>
            </w:tcBorders>
            <w:shd w:val="clear" w:color="auto" w:fill="auto"/>
            <w:noWrap/>
            <w:vAlign w:val="center"/>
          </w:tcPr>
          <w:p w14:paraId="0DABF858"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0:54</w:t>
            </w:r>
          </w:p>
        </w:tc>
        <w:tc>
          <w:tcPr>
            <w:tcW w:w="1276" w:type="dxa"/>
            <w:tcBorders>
              <w:top w:val="single" w:sz="4" w:space="0" w:color="auto"/>
              <w:bottom w:val="single" w:sz="4" w:space="0" w:color="auto"/>
            </w:tcBorders>
            <w:shd w:val="clear" w:color="auto" w:fill="auto"/>
            <w:vAlign w:val="center"/>
          </w:tcPr>
          <w:p w14:paraId="1962F860"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851" w:type="dxa"/>
            <w:tcBorders>
              <w:top w:val="single" w:sz="4" w:space="0" w:color="auto"/>
              <w:bottom w:val="single" w:sz="4" w:space="0" w:color="auto"/>
            </w:tcBorders>
            <w:shd w:val="clear" w:color="auto" w:fill="auto"/>
            <w:vAlign w:val="center"/>
          </w:tcPr>
          <w:p w14:paraId="04DF3B64"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tcBorders>
              <w:top w:val="single" w:sz="4" w:space="0" w:color="auto"/>
              <w:bottom w:val="single" w:sz="4" w:space="0" w:color="auto"/>
            </w:tcBorders>
            <w:shd w:val="clear" w:color="auto" w:fill="auto"/>
            <w:vAlign w:val="center"/>
          </w:tcPr>
          <w:p w14:paraId="02F62DDE"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27</w:t>
            </w:r>
          </w:p>
        </w:tc>
      </w:tr>
      <w:tr w:rsidR="002C4CFA" w:rsidRPr="00BF3027" w14:paraId="0A40B8F6" w14:textId="77777777" w:rsidTr="002C4CFA">
        <w:trPr>
          <w:trHeight w:val="547"/>
        </w:trPr>
        <w:tc>
          <w:tcPr>
            <w:tcW w:w="853" w:type="dxa"/>
            <w:tcBorders>
              <w:top w:val="single" w:sz="4" w:space="0" w:color="auto"/>
            </w:tcBorders>
            <w:shd w:val="clear" w:color="auto" w:fill="D9D9D9"/>
            <w:noWrap/>
            <w:vAlign w:val="center"/>
          </w:tcPr>
          <w:p w14:paraId="74CBF6A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tcBorders>
              <w:top w:val="single" w:sz="4" w:space="0" w:color="auto"/>
            </w:tcBorders>
            <w:shd w:val="clear" w:color="auto" w:fill="D9D9D9"/>
            <w:noWrap/>
            <w:vAlign w:val="center"/>
          </w:tcPr>
          <w:p w14:paraId="4FC1D562"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מעצרים/ ערעור פלילי/ פלילי</w:t>
            </w:r>
          </w:p>
        </w:tc>
        <w:tc>
          <w:tcPr>
            <w:tcW w:w="1984" w:type="dxa"/>
            <w:tcBorders>
              <w:top w:val="single" w:sz="4" w:space="0" w:color="auto"/>
            </w:tcBorders>
            <w:shd w:val="clear" w:color="auto" w:fill="D9D9D9"/>
            <w:vAlign w:val="center"/>
          </w:tcPr>
          <w:p w14:paraId="5A23E857"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ערר מ"י (עמ"י)</w:t>
            </w:r>
          </w:p>
        </w:tc>
        <w:tc>
          <w:tcPr>
            <w:tcW w:w="1276" w:type="dxa"/>
            <w:tcBorders>
              <w:top w:val="single" w:sz="4" w:space="0" w:color="auto"/>
            </w:tcBorders>
            <w:shd w:val="clear" w:color="auto" w:fill="D9D9D9"/>
            <w:vAlign w:val="center"/>
          </w:tcPr>
          <w:p w14:paraId="2E954658"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5194</w:t>
            </w:r>
          </w:p>
        </w:tc>
        <w:tc>
          <w:tcPr>
            <w:tcW w:w="1417" w:type="dxa"/>
            <w:tcBorders>
              <w:top w:val="single" w:sz="4" w:space="0" w:color="auto"/>
            </w:tcBorders>
            <w:shd w:val="clear" w:color="auto" w:fill="D9D9D9"/>
            <w:noWrap/>
            <w:vAlign w:val="center"/>
          </w:tcPr>
          <w:p w14:paraId="2FB877A9"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0:52</w:t>
            </w:r>
          </w:p>
        </w:tc>
        <w:tc>
          <w:tcPr>
            <w:tcW w:w="1276" w:type="dxa"/>
            <w:tcBorders>
              <w:top w:val="single" w:sz="4" w:space="0" w:color="auto"/>
            </w:tcBorders>
            <w:shd w:val="clear" w:color="auto" w:fill="D9D9D9"/>
            <w:vAlign w:val="center"/>
          </w:tcPr>
          <w:p w14:paraId="52D35221"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0:53</w:t>
            </w:r>
          </w:p>
        </w:tc>
        <w:tc>
          <w:tcPr>
            <w:tcW w:w="851" w:type="dxa"/>
            <w:tcBorders>
              <w:top w:val="single" w:sz="4" w:space="0" w:color="auto"/>
            </w:tcBorders>
            <w:shd w:val="clear" w:color="auto" w:fill="D9D9D9"/>
            <w:vAlign w:val="center"/>
          </w:tcPr>
          <w:p w14:paraId="10029DA0"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-0:01</w:t>
            </w:r>
          </w:p>
        </w:tc>
        <w:tc>
          <w:tcPr>
            <w:tcW w:w="992" w:type="dxa"/>
            <w:tcBorders>
              <w:top w:val="single" w:sz="4" w:space="0" w:color="auto"/>
            </w:tcBorders>
            <w:shd w:val="clear" w:color="auto" w:fill="D9D9D9"/>
            <w:vAlign w:val="center"/>
          </w:tcPr>
          <w:p w14:paraId="4F65AA3D"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26</w:t>
            </w:r>
          </w:p>
        </w:tc>
      </w:tr>
      <w:tr w:rsidR="002C4CFA" w:rsidRPr="00BF3027" w14:paraId="7A82030B" w14:textId="77777777" w:rsidTr="002C4CFA">
        <w:trPr>
          <w:trHeight w:val="656"/>
        </w:trPr>
        <w:tc>
          <w:tcPr>
            <w:tcW w:w="853" w:type="dxa"/>
            <w:shd w:val="clear" w:color="auto" w:fill="auto"/>
            <w:noWrap/>
            <w:vAlign w:val="center"/>
          </w:tcPr>
          <w:p w14:paraId="70045DD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עבודה</w:t>
            </w:r>
          </w:p>
        </w:tc>
        <w:tc>
          <w:tcPr>
            <w:tcW w:w="989" w:type="dxa"/>
            <w:shd w:val="clear" w:color="auto" w:fill="auto"/>
            <w:noWrap/>
            <w:vAlign w:val="center"/>
          </w:tcPr>
          <w:p w14:paraId="72906B26" w14:textId="77777777" w:rsidR="002C4CFA" w:rsidRPr="00BF3027" w:rsidRDefault="002C4CFA" w:rsidP="002C4CFA">
            <w:pPr>
              <w:bidi w:val="0"/>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auto"/>
            <w:vAlign w:val="center"/>
          </w:tcPr>
          <w:p w14:paraId="296B889E"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צו עשה/ צו מניעה קבוע (צ"ו)</w:t>
            </w:r>
          </w:p>
        </w:tc>
        <w:tc>
          <w:tcPr>
            <w:tcW w:w="1276" w:type="dxa"/>
            <w:shd w:val="clear" w:color="auto" w:fill="auto"/>
            <w:vAlign w:val="center"/>
          </w:tcPr>
          <w:p w14:paraId="1D64D9F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1,043</w:t>
            </w:r>
          </w:p>
        </w:tc>
        <w:tc>
          <w:tcPr>
            <w:tcW w:w="1417" w:type="dxa"/>
            <w:shd w:val="clear" w:color="auto" w:fill="auto"/>
            <w:noWrap/>
            <w:vAlign w:val="center"/>
          </w:tcPr>
          <w:p w14:paraId="410A6D90"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hint="cs"/>
                <w:b/>
                <w:bCs/>
                <w:rtl/>
              </w:rPr>
              <w:t>0:50</w:t>
            </w:r>
          </w:p>
        </w:tc>
        <w:tc>
          <w:tcPr>
            <w:tcW w:w="1276" w:type="dxa"/>
            <w:shd w:val="clear" w:color="auto" w:fill="auto"/>
            <w:vAlign w:val="center"/>
          </w:tcPr>
          <w:p w14:paraId="4819F3D2"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0:36</w:t>
            </w:r>
          </w:p>
        </w:tc>
        <w:tc>
          <w:tcPr>
            <w:tcW w:w="851" w:type="dxa"/>
            <w:shd w:val="clear" w:color="auto" w:fill="auto"/>
            <w:vAlign w:val="center"/>
          </w:tcPr>
          <w:p w14:paraId="26AB9635"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0:</w:t>
            </w:r>
            <w:r w:rsidRPr="00BF3027">
              <w:rPr>
                <w:rFonts w:ascii="David" w:eastAsia="Times New Roman" w:hAnsi="David" w:cs="David" w:hint="cs"/>
                <w:rtl/>
              </w:rPr>
              <w:t>14</w:t>
            </w:r>
            <w:r w:rsidRPr="00BF3027">
              <w:rPr>
                <w:rFonts w:ascii="David" w:eastAsia="Times New Roman" w:hAnsi="David" w:cs="David"/>
                <w:rtl/>
              </w:rPr>
              <w:t>+</w:t>
            </w:r>
          </w:p>
        </w:tc>
        <w:tc>
          <w:tcPr>
            <w:tcW w:w="992" w:type="dxa"/>
            <w:shd w:val="clear" w:color="auto" w:fill="auto"/>
            <w:vAlign w:val="center"/>
          </w:tcPr>
          <w:p w14:paraId="1FAE3DB5"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25</w:t>
            </w:r>
          </w:p>
        </w:tc>
      </w:tr>
      <w:tr w:rsidR="002C4CFA" w:rsidRPr="00BF3027" w14:paraId="5D53E1AB" w14:textId="77777777" w:rsidTr="002C4CFA">
        <w:trPr>
          <w:trHeight w:val="274"/>
        </w:trPr>
        <w:tc>
          <w:tcPr>
            <w:tcW w:w="853" w:type="dxa"/>
            <w:shd w:val="clear" w:color="auto" w:fill="D9D9D9"/>
            <w:noWrap/>
            <w:vAlign w:val="center"/>
          </w:tcPr>
          <w:p w14:paraId="68BBC956"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עבודה</w:t>
            </w:r>
          </w:p>
        </w:tc>
        <w:tc>
          <w:tcPr>
            <w:tcW w:w="989" w:type="dxa"/>
            <w:shd w:val="clear" w:color="auto" w:fill="D9D9D9"/>
            <w:noWrap/>
            <w:vAlign w:val="center"/>
          </w:tcPr>
          <w:p w14:paraId="0727CA54" w14:textId="77777777" w:rsidR="002C4CFA" w:rsidRPr="00BF3027" w:rsidRDefault="002C4CFA" w:rsidP="002C4CFA">
            <w:pPr>
              <w:bidi w:val="0"/>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D9D9D9"/>
            <w:vAlign w:val="center"/>
          </w:tcPr>
          <w:p w14:paraId="1C89A314"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תביעה לפי חוק הגזזת (גז"ז)</w:t>
            </w:r>
          </w:p>
        </w:tc>
        <w:tc>
          <w:tcPr>
            <w:tcW w:w="1276" w:type="dxa"/>
            <w:shd w:val="clear" w:color="auto" w:fill="D9D9D9"/>
            <w:vAlign w:val="center"/>
          </w:tcPr>
          <w:p w14:paraId="6741F055"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175</w:t>
            </w:r>
          </w:p>
        </w:tc>
        <w:tc>
          <w:tcPr>
            <w:tcW w:w="1417" w:type="dxa"/>
            <w:shd w:val="clear" w:color="auto" w:fill="D9D9D9"/>
            <w:noWrap/>
            <w:vAlign w:val="center"/>
          </w:tcPr>
          <w:p w14:paraId="67ADE450"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0:50</w:t>
            </w:r>
          </w:p>
        </w:tc>
        <w:tc>
          <w:tcPr>
            <w:tcW w:w="1276" w:type="dxa"/>
            <w:shd w:val="clear" w:color="auto" w:fill="D9D9D9"/>
            <w:vAlign w:val="center"/>
          </w:tcPr>
          <w:p w14:paraId="151CBF6F"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2:20</w:t>
            </w:r>
          </w:p>
        </w:tc>
        <w:tc>
          <w:tcPr>
            <w:tcW w:w="851" w:type="dxa"/>
            <w:shd w:val="clear" w:color="auto" w:fill="D9D9D9"/>
            <w:vAlign w:val="center"/>
          </w:tcPr>
          <w:p w14:paraId="0AE8CE28"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01</w:t>
            </w:r>
            <w:r w:rsidRPr="00BF3027">
              <w:rPr>
                <w:rFonts w:ascii="David" w:eastAsia="Times New Roman" w:hAnsi="David" w:cs="David" w:hint="cs"/>
                <w:rtl/>
              </w:rPr>
              <w:t>:30</w:t>
            </w:r>
            <w:r w:rsidRPr="00BF3027">
              <w:rPr>
                <w:rFonts w:ascii="David" w:eastAsia="Times New Roman" w:hAnsi="David" w:cs="David"/>
                <w:rtl/>
              </w:rPr>
              <w:t>-</w:t>
            </w:r>
          </w:p>
        </w:tc>
        <w:tc>
          <w:tcPr>
            <w:tcW w:w="992" w:type="dxa"/>
            <w:shd w:val="clear" w:color="auto" w:fill="D9D9D9"/>
            <w:vAlign w:val="center"/>
          </w:tcPr>
          <w:p w14:paraId="20399D4A"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25</w:t>
            </w:r>
          </w:p>
        </w:tc>
      </w:tr>
      <w:tr w:rsidR="002C4CFA" w:rsidRPr="00BF3027" w14:paraId="5C7CB766" w14:textId="77777777" w:rsidTr="002C4CFA">
        <w:trPr>
          <w:trHeight w:val="399"/>
        </w:trPr>
        <w:tc>
          <w:tcPr>
            <w:tcW w:w="853" w:type="dxa"/>
            <w:shd w:val="clear" w:color="auto" w:fill="auto"/>
            <w:noWrap/>
            <w:vAlign w:val="center"/>
          </w:tcPr>
          <w:p w14:paraId="76054964"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עבודה</w:t>
            </w:r>
          </w:p>
        </w:tc>
        <w:tc>
          <w:tcPr>
            <w:tcW w:w="989" w:type="dxa"/>
            <w:shd w:val="clear" w:color="auto" w:fill="auto"/>
            <w:noWrap/>
            <w:vAlign w:val="center"/>
          </w:tcPr>
          <w:p w14:paraId="43DD6D3A" w14:textId="77777777" w:rsidR="002C4CFA" w:rsidRPr="00BF3027" w:rsidRDefault="002C4CFA" w:rsidP="002C4CFA">
            <w:pPr>
              <w:bidi w:val="0"/>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shd w:val="clear" w:color="auto" w:fill="auto"/>
            <w:vAlign w:val="center"/>
          </w:tcPr>
          <w:p w14:paraId="20B41321"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דיון מהיר (ד"מ)</w:t>
            </w:r>
          </w:p>
        </w:tc>
        <w:tc>
          <w:tcPr>
            <w:tcW w:w="1276" w:type="dxa"/>
            <w:shd w:val="clear" w:color="auto" w:fill="auto"/>
            <w:vAlign w:val="center"/>
          </w:tcPr>
          <w:p w14:paraId="374E9049"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9,582</w:t>
            </w:r>
          </w:p>
        </w:tc>
        <w:tc>
          <w:tcPr>
            <w:tcW w:w="1417" w:type="dxa"/>
            <w:shd w:val="clear" w:color="auto" w:fill="auto"/>
            <w:noWrap/>
            <w:vAlign w:val="center"/>
          </w:tcPr>
          <w:p w14:paraId="5C021C4E"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0:48</w:t>
            </w:r>
          </w:p>
        </w:tc>
        <w:tc>
          <w:tcPr>
            <w:tcW w:w="1276" w:type="dxa"/>
            <w:shd w:val="clear" w:color="auto" w:fill="auto"/>
            <w:vAlign w:val="center"/>
          </w:tcPr>
          <w:p w14:paraId="5804C9BB"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851" w:type="dxa"/>
            <w:shd w:val="clear" w:color="auto" w:fill="auto"/>
            <w:vAlign w:val="center"/>
          </w:tcPr>
          <w:p w14:paraId="4ABBEC44"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shd w:val="clear" w:color="auto" w:fill="auto"/>
            <w:vAlign w:val="center"/>
          </w:tcPr>
          <w:p w14:paraId="2663C4AC"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24</w:t>
            </w:r>
          </w:p>
        </w:tc>
      </w:tr>
      <w:tr w:rsidR="002C4CFA" w:rsidRPr="00BF3027" w14:paraId="3C8FB970" w14:textId="77777777" w:rsidTr="002C4CFA">
        <w:trPr>
          <w:trHeight w:val="441"/>
        </w:trPr>
        <w:tc>
          <w:tcPr>
            <w:tcW w:w="853" w:type="dxa"/>
            <w:shd w:val="clear" w:color="auto" w:fill="D9D9D9"/>
            <w:noWrap/>
            <w:vAlign w:val="center"/>
          </w:tcPr>
          <w:p w14:paraId="3794B7B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תעבורה</w:t>
            </w:r>
          </w:p>
        </w:tc>
        <w:tc>
          <w:tcPr>
            <w:tcW w:w="989" w:type="dxa"/>
            <w:shd w:val="clear" w:color="auto" w:fill="D9D9D9"/>
            <w:noWrap/>
            <w:vAlign w:val="center"/>
          </w:tcPr>
          <w:p w14:paraId="5F59DF3F" w14:textId="77777777" w:rsidR="002C4CFA" w:rsidRPr="00BF3027" w:rsidRDefault="002C4CFA" w:rsidP="002C4CFA">
            <w:pPr>
              <w:spacing w:after="0" w:line="240" w:lineRule="auto"/>
              <w:rPr>
                <w:rFonts w:ascii="David" w:eastAsia="Times New Roman" w:hAnsi="David" w:cs="David"/>
                <w:rtl/>
              </w:rPr>
            </w:pPr>
          </w:p>
        </w:tc>
        <w:tc>
          <w:tcPr>
            <w:tcW w:w="1984" w:type="dxa"/>
            <w:shd w:val="clear" w:color="auto" w:fill="D9D9D9"/>
            <w:vAlign w:val="center"/>
          </w:tcPr>
          <w:p w14:paraId="15D64AF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תת"ע אדום (תתע"א)</w:t>
            </w:r>
          </w:p>
        </w:tc>
        <w:tc>
          <w:tcPr>
            <w:tcW w:w="1276" w:type="dxa"/>
            <w:shd w:val="clear" w:color="auto" w:fill="D9D9D9"/>
            <w:vAlign w:val="center"/>
          </w:tcPr>
          <w:p w14:paraId="59064F0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3,425</w:t>
            </w:r>
          </w:p>
        </w:tc>
        <w:tc>
          <w:tcPr>
            <w:tcW w:w="1417" w:type="dxa"/>
            <w:shd w:val="clear" w:color="auto" w:fill="D9D9D9"/>
            <w:noWrap/>
            <w:vAlign w:val="center"/>
          </w:tcPr>
          <w:p w14:paraId="621297F5"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0:45</w:t>
            </w:r>
          </w:p>
        </w:tc>
        <w:tc>
          <w:tcPr>
            <w:tcW w:w="1276" w:type="dxa"/>
            <w:shd w:val="clear" w:color="auto" w:fill="D9D9D9"/>
            <w:vAlign w:val="center"/>
          </w:tcPr>
          <w:p w14:paraId="7E5C78BA"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w:t>
            </w:r>
          </w:p>
        </w:tc>
        <w:tc>
          <w:tcPr>
            <w:tcW w:w="851" w:type="dxa"/>
            <w:shd w:val="clear" w:color="auto" w:fill="D9D9D9"/>
            <w:vAlign w:val="center"/>
          </w:tcPr>
          <w:p w14:paraId="3C9078E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shd w:val="clear" w:color="auto" w:fill="D9D9D9"/>
            <w:vAlign w:val="center"/>
          </w:tcPr>
          <w:p w14:paraId="0D7AD6D1"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23</w:t>
            </w:r>
          </w:p>
        </w:tc>
      </w:tr>
      <w:tr w:rsidR="002C4CFA" w:rsidRPr="00BF3027" w14:paraId="556D99C3" w14:textId="77777777" w:rsidTr="002C4CFA">
        <w:trPr>
          <w:trHeight w:val="482"/>
        </w:trPr>
        <w:tc>
          <w:tcPr>
            <w:tcW w:w="853" w:type="dxa"/>
            <w:shd w:val="clear" w:color="auto" w:fill="auto"/>
            <w:noWrap/>
            <w:vAlign w:val="center"/>
          </w:tcPr>
          <w:p w14:paraId="70C9C94A"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תעבורה</w:t>
            </w:r>
          </w:p>
        </w:tc>
        <w:tc>
          <w:tcPr>
            <w:tcW w:w="989" w:type="dxa"/>
            <w:shd w:val="clear" w:color="auto" w:fill="auto"/>
            <w:noWrap/>
            <w:vAlign w:val="center"/>
          </w:tcPr>
          <w:p w14:paraId="083C004A" w14:textId="77777777" w:rsidR="002C4CFA" w:rsidRPr="00BF3027" w:rsidRDefault="002C4CFA" w:rsidP="002C4CFA">
            <w:pPr>
              <w:spacing w:after="0" w:line="240" w:lineRule="auto"/>
              <w:rPr>
                <w:rFonts w:ascii="David" w:eastAsia="Times New Roman" w:hAnsi="David" w:cs="David"/>
                <w:rtl/>
              </w:rPr>
            </w:pPr>
          </w:p>
        </w:tc>
        <w:tc>
          <w:tcPr>
            <w:tcW w:w="1984" w:type="dxa"/>
            <w:shd w:val="clear" w:color="auto" w:fill="auto"/>
            <w:vAlign w:val="center"/>
          </w:tcPr>
          <w:p w14:paraId="00E3D9A6"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בקשה לפסילה עד תום ההליכים (בפ"ת)</w:t>
            </w:r>
          </w:p>
        </w:tc>
        <w:tc>
          <w:tcPr>
            <w:tcW w:w="1276" w:type="dxa"/>
            <w:shd w:val="clear" w:color="auto" w:fill="auto"/>
            <w:vAlign w:val="center"/>
          </w:tcPr>
          <w:p w14:paraId="402162B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3,726</w:t>
            </w:r>
          </w:p>
        </w:tc>
        <w:tc>
          <w:tcPr>
            <w:tcW w:w="1417" w:type="dxa"/>
            <w:shd w:val="clear" w:color="auto" w:fill="auto"/>
            <w:noWrap/>
            <w:vAlign w:val="center"/>
          </w:tcPr>
          <w:p w14:paraId="5BD4BCCE"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0:39</w:t>
            </w:r>
          </w:p>
        </w:tc>
        <w:tc>
          <w:tcPr>
            <w:tcW w:w="1276" w:type="dxa"/>
            <w:shd w:val="clear" w:color="auto" w:fill="auto"/>
            <w:vAlign w:val="center"/>
          </w:tcPr>
          <w:p w14:paraId="0B5C043B"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851" w:type="dxa"/>
            <w:shd w:val="clear" w:color="auto" w:fill="auto"/>
            <w:vAlign w:val="center"/>
          </w:tcPr>
          <w:p w14:paraId="641AF34B"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shd w:val="clear" w:color="auto" w:fill="auto"/>
            <w:vAlign w:val="center"/>
          </w:tcPr>
          <w:p w14:paraId="78F4765C"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20</w:t>
            </w:r>
          </w:p>
        </w:tc>
      </w:tr>
      <w:tr w:rsidR="002C4CFA" w:rsidRPr="00BF3027" w14:paraId="563F85A6" w14:textId="77777777" w:rsidTr="002C4CFA">
        <w:trPr>
          <w:trHeight w:val="416"/>
        </w:trPr>
        <w:tc>
          <w:tcPr>
            <w:tcW w:w="853" w:type="dxa"/>
            <w:tcBorders>
              <w:bottom w:val="single" w:sz="4" w:space="0" w:color="auto"/>
            </w:tcBorders>
            <w:shd w:val="clear" w:color="auto" w:fill="D9D9D9"/>
            <w:noWrap/>
            <w:vAlign w:val="center"/>
          </w:tcPr>
          <w:p w14:paraId="68B0AED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עבודה</w:t>
            </w:r>
          </w:p>
        </w:tc>
        <w:tc>
          <w:tcPr>
            <w:tcW w:w="989" w:type="dxa"/>
            <w:tcBorders>
              <w:bottom w:val="single" w:sz="4" w:space="0" w:color="auto"/>
            </w:tcBorders>
            <w:shd w:val="clear" w:color="auto" w:fill="D9D9D9"/>
            <w:noWrap/>
            <w:vAlign w:val="center"/>
          </w:tcPr>
          <w:p w14:paraId="5D318377"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tcBorders>
              <w:bottom w:val="single" w:sz="4" w:space="0" w:color="auto"/>
            </w:tcBorders>
            <w:shd w:val="clear" w:color="auto" w:fill="D9D9D9"/>
            <w:vAlign w:val="center"/>
          </w:tcPr>
          <w:p w14:paraId="4F8D5FFE"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דמי טיפול ארגוני (ד"ט)</w:t>
            </w:r>
          </w:p>
        </w:tc>
        <w:tc>
          <w:tcPr>
            <w:tcW w:w="1276" w:type="dxa"/>
            <w:tcBorders>
              <w:bottom w:val="single" w:sz="4" w:space="0" w:color="auto"/>
            </w:tcBorders>
            <w:shd w:val="clear" w:color="auto" w:fill="D9D9D9"/>
            <w:vAlign w:val="center"/>
          </w:tcPr>
          <w:p w14:paraId="7DA8857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727</w:t>
            </w:r>
          </w:p>
        </w:tc>
        <w:tc>
          <w:tcPr>
            <w:tcW w:w="1417" w:type="dxa"/>
            <w:tcBorders>
              <w:bottom w:val="single" w:sz="4" w:space="0" w:color="auto"/>
            </w:tcBorders>
            <w:shd w:val="clear" w:color="auto" w:fill="D9D9D9"/>
            <w:noWrap/>
            <w:vAlign w:val="center"/>
          </w:tcPr>
          <w:p w14:paraId="4514F92D"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0:37</w:t>
            </w:r>
          </w:p>
        </w:tc>
        <w:tc>
          <w:tcPr>
            <w:tcW w:w="1276" w:type="dxa"/>
            <w:tcBorders>
              <w:bottom w:val="single" w:sz="4" w:space="0" w:color="auto"/>
            </w:tcBorders>
            <w:shd w:val="clear" w:color="auto" w:fill="D9D9D9"/>
            <w:vAlign w:val="center"/>
          </w:tcPr>
          <w:p w14:paraId="50A8102F"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0:48</w:t>
            </w:r>
          </w:p>
        </w:tc>
        <w:tc>
          <w:tcPr>
            <w:tcW w:w="851" w:type="dxa"/>
            <w:tcBorders>
              <w:bottom w:val="single" w:sz="4" w:space="0" w:color="auto"/>
            </w:tcBorders>
            <w:shd w:val="clear" w:color="auto" w:fill="D9D9D9"/>
            <w:vAlign w:val="center"/>
          </w:tcPr>
          <w:p w14:paraId="5A81B6EF"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-0:11</w:t>
            </w:r>
          </w:p>
        </w:tc>
        <w:tc>
          <w:tcPr>
            <w:tcW w:w="992" w:type="dxa"/>
            <w:tcBorders>
              <w:bottom w:val="single" w:sz="4" w:space="0" w:color="auto"/>
            </w:tcBorders>
            <w:shd w:val="clear" w:color="auto" w:fill="D9D9D9"/>
            <w:vAlign w:val="center"/>
          </w:tcPr>
          <w:p w14:paraId="3D53E330"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19</w:t>
            </w:r>
          </w:p>
        </w:tc>
      </w:tr>
      <w:tr w:rsidR="002C4CFA" w:rsidRPr="00BF3027" w14:paraId="6B6B0ABC" w14:textId="77777777" w:rsidTr="002C4CFA">
        <w:trPr>
          <w:trHeight w:val="549"/>
        </w:trPr>
        <w:tc>
          <w:tcPr>
            <w:tcW w:w="853" w:type="dxa"/>
            <w:tcBorders>
              <w:top w:val="single" w:sz="4" w:space="0" w:color="auto"/>
              <w:bottom w:val="single" w:sz="4" w:space="0" w:color="auto"/>
            </w:tcBorders>
            <w:shd w:val="clear" w:color="auto" w:fill="auto"/>
            <w:noWrap/>
            <w:vAlign w:val="center"/>
          </w:tcPr>
          <w:p w14:paraId="5DF709A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משפחה</w:t>
            </w:r>
          </w:p>
        </w:tc>
        <w:tc>
          <w:tcPr>
            <w:tcW w:w="989" w:type="dxa"/>
            <w:tcBorders>
              <w:top w:val="single" w:sz="4" w:space="0" w:color="auto"/>
              <w:bottom w:val="single" w:sz="4" w:space="0" w:color="auto"/>
            </w:tcBorders>
            <w:shd w:val="clear" w:color="auto" w:fill="auto"/>
            <w:noWrap/>
            <w:vAlign w:val="center"/>
          </w:tcPr>
          <w:p w14:paraId="6939DEB3" w14:textId="77777777" w:rsidR="002C4CFA" w:rsidRPr="00BF3027" w:rsidRDefault="002C4CFA" w:rsidP="002C4CFA">
            <w:pPr>
              <w:spacing w:after="0" w:line="240" w:lineRule="auto"/>
              <w:rPr>
                <w:rFonts w:ascii="David" w:eastAsia="Times New Roman" w:hAnsi="David" w:cs="David"/>
                <w:rtl/>
              </w:rPr>
            </w:pPr>
          </w:p>
        </w:tc>
        <w:tc>
          <w:tcPr>
            <w:tcW w:w="1984" w:type="dxa"/>
            <w:tcBorders>
              <w:top w:val="single" w:sz="4" w:space="0" w:color="auto"/>
              <w:bottom w:val="single" w:sz="4" w:space="0" w:color="auto"/>
            </w:tcBorders>
            <w:shd w:val="clear" w:color="auto" w:fill="auto"/>
            <w:vAlign w:val="center"/>
          </w:tcPr>
          <w:p w14:paraId="6C21581C"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התרת נישואין (תה"ן)</w:t>
            </w:r>
          </w:p>
        </w:tc>
        <w:tc>
          <w:tcPr>
            <w:tcW w:w="1276" w:type="dxa"/>
            <w:tcBorders>
              <w:top w:val="single" w:sz="4" w:space="0" w:color="auto"/>
              <w:bottom w:val="single" w:sz="4" w:space="0" w:color="auto"/>
            </w:tcBorders>
            <w:shd w:val="clear" w:color="auto" w:fill="auto"/>
            <w:vAlign w:val="center"/>
          </w:tcPr>
          <w:p w14:paraId="563E1744"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1,943</w:t>
            </w:r>
          </w:p>
        </w:tc>
        <w:tc>
          <w:tcPr>
            <w:tcW w:w="1417" w:type="dxa"/>
            <w:tcBorders>
              <w:top w:val="single" w:sz="4" w:space="0" w:color="auto"/>
              <w:bottom w:val="single" w:sz="4" w:space="0" w:color="auto"/>
            </w:tcBorders>
            <w:shd w:val="clear" w:color="auto" w:fill="auto"/>
            <w:noWrap/>
            <w:vAlign w:val="center"/>
          </w:tcPr>
          <w:p w14:paraId="270F7787"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0:36</w:t>
            </w:r>
          </w:p>
        </w:tc>
        <w:tc>
          <w:tcPr>
            <w:tcW w:w="1276" w:type="dxa"/>
            <w:tcBorders>
              <w:top w:val="single" w:sz="4" w:space="0" w:color="auto"/>
              <w:bottom w:val="single" w:sz="4" w:space="0" w:color="auto"/>
            </w:tcBorders>
            <w:shd w:val="clear" w:color="auto" w:fill="auto"/>
            <w:vAlign w:val="center"/>
          </w:tcPr>
          <w:p w14:paraId="17693822"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0:28</w:t>
            </w:r>
          </w:p>
        </w:tc>
        <w:tc>
          <w:tcPr>
            <w:tcW w:w="851" w:type="dxa"/>
            <w:tcBorders>
              <w:top w:val="single" w:sz="4" w:space="0" w:color="auto"/>
              <w:bottom w:val="single" w:sz="4" w:space="0" w:color="auto"/>
            </w:tcBorders>
            <w:shd w:val="clear" w:color="auto" w:fill="auto"/>
            <w:vAlign w:val="center"/>
          </w:tcPr>
          <w:p w14:paraId="3A9B2BC5"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+0:08</w:t>
            </w:r>
          </w:p>
        </w:tc>
        <w:tc>
          <w:tcPr>
            <w:tcW w:w="992" w:type="dxa"/>
            <w:tcBorders>
              <w:top w:val="single" w:sz="4" w:space="0" w:color="auto"/>
              <w:bottom w:val="single" w:sz="4" w:space="0" w:color="auto"/>
            </w:tcBorders>
            <w:shd w:val="clear" w:color="auto" w:fill="auto"/>
            <w:vAlign w:val="center"/>
          </w:tcPr>
          <w:p w14:paraId="6DEAFFFA"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18</w:t>
            </w:r>
          </w:p>
        </w:tc>
      </w:tr>
      <w:tr w:rsidR="002C4CFA" w:rsidRPr="00BF3027" w14:paraId="01E53B59" w14:textId="77777777" w:rsidTr="002C4CFA">
        <w:trPr>
          <w:trHeight w:val="796"/>
        </w:trPr>
        <w:tc>
          <w:tcPr>
            <w:tcW w:w="853" w:type="dxa"/>
            <w:tcBorders>
              <w:top w:val="single" w:sz="4" w:space="0" w:color="auto"/>
              <w:bottom w:val="single" w:sz="4" w:space="0" w:color="auto"/>
            </w:tcBorders>
            <w:shd w:val="clear" w:color="auto" w:fill="D9D9D9"/>
            <w:noWrap/>
            <w:vAlign w:val="center"/>
          </w:tcPr>
          <w:p w14:paraId="0487C450"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tcBorders>
              <w:top w:val="single" w:sz="4" w:space="0" w:color="auto"/>
              <w:bottom w:val="single" w:sz="4" w:space="0" w:color="auto"/>
            </w:tcBorders>
            <w:shd w:val="clear" w:color="auto" w:fill="D9D9D9"/>
            <w:noWrap/>
            <w:vAlign w:val="center"/>
          </w:tcPr>
          <w:p w14:paraId="6782E7D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עניינים מקומיים</w:t>
            </w:r>
          </w:p>
        </w:tc>
        <w:tc>
          <w:tcPr>
            <w:tcW w:w="1984" w:type="dxa"/>
            <w:tcBorders>
              <w:top w:val="single" w:sz="4" w:space="0" w:color="auto"/>
              <w:bottom w:val="single" w:sz="4" w:space="0" w:color="auto"/>
            </w:tcBorders>
            <w:shd w:val="clear" w:color="auto" w:fill="D9D9D9"/>
            <w:vAlign w:val="center"/>
          </w:tcPr>
          <w:p w14:paraId="2404CE1E"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חוקי עזר עירוניים - ברירת קנס (חע"ק)*</w:t>
            </w:r>
          </w:p>
        </w:tc>
        <w:tc>
          <w:tcPr>
            <w:tcW w:w="1276" w:type="dxa"/>
            <w:tcBorders>
              <w:top w:val="single" w:sz="4" w:space="0" w:color="auto"/>
              <w:bottom w:val="single" w:sz="4" w:space="0" w:color="auto"/>
            </w:tcBorders>
            <w:shd w:val="clear" w:color="auto" w:fill="D9D9D9"/>
            <w:vAlign w:val="center"/>
          </w:tcPr>
          <w:p w14:paraId="6764126A"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785</w:t>
            </w:r>
          </w:p>
        </w:tc>
        <w:tc>
          <w:tcPr>
            <w:tcW w:w="1417" w:type="dxa"/>
            <w:tcBorders>
              <w:top w:val="single" w:sz="4" w:space="0" w:color="auto"/>
              <w:bottom w:val="single" w:sz="4" w:space="0" w:color="auto"/>
            </w:tcBorders>
            <w:shd w:val="clear" w:color="auto" w:fill="D9D9D9"/>
            <w:noWrap/>
            <w:vAlign w:val="center"/>
          </w:tcPr>
          <w:p w14:paraId="05234B39"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0:36</w:t>
            </w:r>
          </w:p>
        </w:tc>
        <w:tc>
          <w:tcPr>
            <w:tcW w:w="1276" w:type="dxa"/>
            <w:tcBorders>
              <w:top w:val="single" w:sz="4" w:space="0" w:color="auto"/>
              <w:bottom w:val="single" w:sz="4" w:space="0" w:color="auto"/>
            </w:tcBorders>
            <w:shd w:val="clear" w:color="auto" w:fill="D9D9D9"/>
            <w:vAlign w:val="center"/>
          </w:tcPr>
          <w:p w14:paraId="36096D99"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0:17</w:t>
            </w:r>
          </w:p>
        </w:tc>
        <w:tc>
          <w:tcPr>
            <w:tcW w:w="851" w:type="dxa"/>
            <w:tcBorders>
              <w:top w:val="single" w:sz="4" w:space="0" w:color="auto"/>
              <w:bottom w:val="single" w:sz="4" w:space="0" w:color="auto"/>
            </w:tcBorders>
            <w:shd w:val="clear" w:color="auto" w:fill="D9D9D9"/>
            <w:vAlign w:val="center"/>
          </w:tcPr>
          <w:p w14:paraId="22BE60A6" w14:textId="77777777" w:rsidR="002C4CFA" w:rsidRPr="00BF3027" w:rsidRDefault="002C4CFA" w:rsidP="002C4CFA">
            <w:pPr>
              <w:spacing w:after="0" w:line="240" w:lineRule="auto"/>
              <w:jc w:val="center"/>
              <w:rPr>
                <w:rFonts w:ascii="David" w:eastAsia="Times New Roman" w:hAnsi="David" w:cs="David"/>
                <w:rtl/>
              </w:rPr>
            </w:pPr>
            <w:r w:rsidRPr="00BF3027">
              <w:rPr>
                <w:rFonts w:asciiTheme="minorHAnsi" w:eastAsia="Times New Roman" w:hAnsiTheme="minorHAnsi" w:cs="David"/>
              </w:rPr>
              <w:t>19</w:t>
            </w:r>
            <w:r w:rsidRPr="00BF3027">
              <w:rPr>
                <w:rFonts w:ascii="David" w:eastAsia="Times New Roman" w:hAnsi="David" w:cs="David" w:hint="cs"/>
                <w:rtl/>
              </w:rPr>
              <w:t>:</w:t>
            </w:r>
            <w:r w:rsidRPr="00BF3027">
              <w:rPr>
                <w:rFonts w:ascii="David" w:eastAsia="Times New Roman" w:hAnsi="David" w:cs="David"/>
                <w:rtl/>
              </w:rPr>
              <w:t>0+</w:t>
            </w:r>
          </w:p>
        </w:tc>
        <w:tc>
          <w:tcPr>
            <w:tcW w:w="992" w:type="dxa"/>
            <w:tcBorders>
              <w:top w:val="single" w:sz="4" w:space="0" w:color="auto"/>
              <w:bottom w:val="single" w:sz="4" w:space="0" w:color="auto"/>
            </w:tcBorders>
            <w:shd w:val="clear" w:color="auto" w:fill="D9D9D9"/>
            <w:vAlign w:val="center"/>
          </w:tcPr>
          <w:p w14:paraId="7C8E8084"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18</w:t>
            </w:r>
          </w:p>
        </w:tc>
      </w:tr>
      <w:tr w:rsidR="002C4CFA" w:rsidRPr="00BF3027" w14:paraId="03B32A56" w14:textId="77777777" w:rsidTr="002C4CFA">
        <w:trPr>
          <w:trHeight w:val="376"/>
        </w:trPr>
        <w:tc>
          <w:tcPr>
            <w:tcW w:w="853" w:type="dxa"/>
            <w:tcBorders>
              <w:top w:val="single" w:sz="4" w:space="0" w:color="auto"/>
            </w:tcBorders>
            <w:shd w:val="clear" w:color="auto" w:fill="auto"/>
            <w:noWrap/>
            <w:vAlign w:val="center"/>
          </w:tcPr>
          <w:p w14:paraId="52226E51"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tcBorders>
              <w:top w:val="single" w:sz="4" w:space="0" w:color="auto"/>
            </w:tcBorders>
            <w:shd w:val="clear" w:color="auto" w:fill="auto"/>
            <w:noWrap/>
            <w:vAlign w:val="center"/>
          </w:tcPr>
          <w:p w14:paraId="0DEF00FB" w14:textId="77777777" w:rsidR="002C4CFA" w:rsidRPr="00BF3027" w:rsidRDefault="002C4CFA" w:rsidP="002C4CFA">
            <w:pPr>
              <w:bidi w:val="0"/>
              <w:spacing w:after="0" w:line="240" w:lineRule="auto"/>
              <w:rPr>
                <w:rFonts w:ascii="David" w:eastAsia="Times New Roman" w:hAnsi="David" w:cs="David"/>
                <w:rtl/>
              </w:rPr>
            </w:pPr>
            <w:r w:rsidRPr="00BF3027">
              <w:rPr>
                <w:rFonts w:ascii="David" w:eastAsia="Times New Roman" w:hAnsi="David" w:cs="David"/>
                <w:rtl/>
              </w:rPr>
              <w:t>מעצרים/ פלילי</w:t>
            </w:r>
          </w:p>
        </w:tc>
        <w:tc>
          <w:tcPr>
            <w:tcW w:w="1984" w:type="dxa"/>
            <w:tcBorders>
              <w:top w:val="single" w:sz="4" w:space="0" w:color="auto"/>
            </w:tcBorders>
            <w:shd w:val="clear" w:color="auto" w:fill="auto"/>
            <w:vAlign w:val="center"/>
          </w:tcPr>
          <w:p w14:paraId="250568B7"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מעצר ימים (מ"י)</w:t>
            </w:r>
          </w:p>
        </w:tc>
        <w:tc>
          <w:tcPr>
            <w:tcW w:w="1276" w:type="dxa"/>
            <w:tcBorders>
              <w:top w:val="single" w:sz="4" w:space="0" w:color="auto"/>
            </w:tcBorders>
            <w:shd w:val="clear" w:color="auto" w:fill="auto"/>
            <w:vAlign w:val="center"/>
          </w:tcPr>
          <w:p w14:paraId="5B8EEB8D"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39,112</w:t>
            </w:r>
          </w:p>
        </w:tc>
        <w:tc>
          <w:tcPr>
            <w:tcW w:w="1417" w:type="dxa"/>
            <w:tcBorders>
              <w:top w:val="single" w:sz="4" w:space="0" w:color="auto"/>
            </w:tcBorders>
            <w:shd w:val="clear" w:color="auto" w:fill="auto"/>
            <w:noWrap/>
            <w:vAlign w:val="center"/>
          </w:tcPr>
          <w:p w14:paraId="14EF6D79"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0:35</w:t>
            </w:r>
          </w:p>
        </w:tc>
        <w:tc>
          <w:tcPr>
            <w:tcW w:w="1276" w:type="dxa"/>
            <w:tcBorders>
              <w:top w:val="single" w:sz="4" w:space="0" w:color="auto"/>
            </w:tcBorders>
            <w:shd w:val="clear" w:color="auto" w:fill="auto"/>
            <w:vAlign w:val="center"/>
          </w:tcPr>
          <w:p w14:paraId="404767FD"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0:31</w:t>
            </w:r>
          </w:p>
        </w:tc>
        <w:tc>
          <w:tcPr>
            <w:tcW w:w="851" w:type="dxa"/>
            <w:tcBorders>
              <w:top w:val="single" w:sz="4" w:space="0" w:color="auto"/>
            </w:tcBorders>
            <w:shd w:val="clear" w:color="auto" w:fill="auto"/>
            <w:vAlign w:val="center"/>
          </w:tcPr>
          <w:p w14:paraId="0E6D351F"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0</w:t>
            </w:r>
            <w:r w:rsidRPr="00BF3027">
              <w:rPr>
                <w:rFonts w:ascii="David" w:eastAsia="Times New Roman" w:hAnsi="David" w:cs="David" w:hint="cs"/>
                <w:rtl/>
              </w:rPr>
              <w:t>:04</w:t>
            </w:r>
            <w:r w:rsidRPr="00BF3027">
              <w:rPr>
                <w:rFonts w:ascii="David" w:eastAsia="Times New Roman" w:hAnsi="David" w:cs="David"/>
                <w:rtl/>
              </w:rPr>
              <w:t>+</w:t>
            </w:r>
          </w:p>
        </w:tc>
        <w:tc>
          <w:tcPr>
            <w:tcW w:w="992" w:type="dxa"/>
            <w:tcBorders>
              <w:top w:val="single" w:sz="4" w:space="0" w:color="auto"/>
            </w:tcBorders>
            <w:shd w:val="clear" w:color="auto" w:fill="auto"/>
            <w:vAlign w:val="center"/>
          </w:tcPr>
          <w:p w14:paraId="0E9BA26F"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18</w:t>
            </w:r>
          </w:p>
        </w:tc>
      </w:tr>
      <w:tr w:rsidR="002C4CFA" w:rsidRPr="00BF3027" w14:paraId="446E1402" w14:textId="77777777" w:rsidTr="002C4CFA">
        <w:trPr>
          <w:trHeight w:val="659"/>
        </w:trPr>
        <w:tc>
          <w:tcPr>
            <w:tcW w:w="853" w:type="dxa"/>
            <w:shd w:val="clear" w:color="auto" w:fill="D9D9D9"/>
            <w:noWrap/>
            <w:vAlign w:val="center"/>
          </w:tcPr>
          <w:p w14:paraId="0B6BC697"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D9D9D9"/>
            <w:noWrap/>
            <w:vAlign w:val="center"/>
          </w:tcPr>
          <w:p w14:paraId="40AE3BD0" w14:textId="77777777" w:rsidR="002C4CFA" w:rsidRPr="00BF3027" w:rsidRDefault="002C4CFA" w:rsidP="002C4CFA">
            <w:pPr>
              <w:bidi w:val="0"/>
              <w:spacing w:after="0" w:line="240" w:lineRule="auto"/>
              <w:jc w:val="right"/>
              <w:rPr>
                <w:rFonts w:ascii="David" w:eastAsia="Times New Roman" w:hAnsi="David" w:cs="David"/>
                <w:rtl/>
              </w:rPr>
            </w:pPr>
            <w:r w:rsidRPr="00BF3027">
              <w:rPr>
                <w:rFonts w:ascii="David" w:eastAsia="Times New Roman" w:hAnsi="David" w:cs="David"/>
                <w:rtl/>
              </w:rPr>
              <w:t>פלילי</w:t>
            </w:r>
          </w:p>
        </w:tc>
        <w:tc>
          <w:tcPr>
            <w:tcW w:w="1984" w:type="dxa"/>
            <w:shd w:val="clear" w:color="auto" w:fill="D9D9D9"/>
            <w:vAlign w:val="center"/>
          </w:tcPr>
          <w:p w14:paraId="773973CD"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ערר על החלטת קצין (ע"ק)*</w:t>
            </w:r>
          </w:p>
        </w:tc>
        <w:tc>
          <w:tcPr>
            <w:tcW w:w="1276" w:type="dxa"/>
            <w:shd w:val="clear" w:color="auto" w:fill="D9D9D9"/>
            <w:vAlign w:val="center"/>
          </w:tcPr>
          <w:p w14:paraId="721C661F"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499</w:t>
            </w:r>
          </w:p>
        </w:tc>
        <w:tc>
          <w:tcPr>
            <w:tcW w:w="1417" w:type="dxa"/>
            <w:shd w:val="clear" w:color="auto" w:fill="D9D9D9"/>
            <w:noWrap/>
            <w:vAlign w:val="center"/>
          </w:tcPr>
          <w:p w14:paraId="4686ADC5"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0:35</w:t>
            </w:r>
          </w:p>
        </w:tc>
        <w:tc>
          <w:tcPr>
            <w:tcW w:w="1276" w:type="dxa"/>
            <w:shd w:val="clear" w:color="auto" w:fill="D9D9D9"/>
            <w:vAlign w:val="center"/>
          </w:tcPr>
          <w:p w14:paraId="37C537CF"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851" w:type="dxa"/>
            <w:shd w:val="clear" w:color="auto" w:fill="D9D9D9"/>
            <w:vAlign w:val="center"/>
          </w:tcPr>
          <w:p w14:paraId="23FAC07D"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992" w:type="dxa"/>
            <w:shd w:val="clear" w:color="auto" w:fill="D9D9D9"/>
            <w:vAlign w:val="center"/>
          </w:tcPr>
          <w:p w14:paraId="65B74F67"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18</w:t>
            </w:r>
          </w:p>
        </w:tc>
      </w:tr>
      <w:tr w:rsidR="002C4CFA" w:rsidRPr="00BF3027" w14:paraId="071BE39C" w14:textId="77777777" w:rsidTr="002C4CFA">
        <w:trPr>
          <w:trHeight w:val="557"/>
        </w:trPr>
        <w:tc>
          <w:tcPr>
            <w:tcW w:w="853" w:type="dxa"/>
            <w:shd w:val="clear" w:color="auto" w:fill="auto"/>
            <w:noWrap/>
            <w:vAlign w:val="center"/>
          </w:tcPr>
          <w:p w14:paraId="4E0278A7"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תעבורה</w:t>
            </w:r>
          </w:p>
        </w:tc>
        <w:tc>
          <w:tcPr>
            <w:tcW w:w="989" w:type="dxa"/>
            <w:shd w:val="clear" w:color="auto" w:fill="auto"/>
            <w:noWrap/>
            <w:vAlign w:val="center"/>
          </w:tcPr>
          <w:p w14:paraId="4FDB7609" w14:textId="77777777" w:rsidR="002C4CFA" w:rsidRPr="00BF3027" w:rsidRDefault="002C4CFA" w:rsidP="002C4CFA">
            <w:pPr>
              <w:spacing w:after="0" w:line="240" w:lineRule="auto"/>
              <w:rPr>
                <w:rFonts w:ascii="David" w:eastAsia="Times New Roman" w:hAnsi="David" w:cs="David"/>
                <w:rtl/>
              </w:rPr>
            </w:pPr>
          </w:p>
        </w:tc>
        <w:tc>
          <w:tcPr>
            <w:tcW w:w="1984" w:type="dxa"/>
            <w:shd w:val="clear" w:color="auto" w:fill="auto"/>
            <w:vAlign w:val="center"/>
          </w:tcPr>
          <w:p w14:paraId="314C092B"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בקשה לביטול - פסילה מנהלית (בפ"מ)</w:t>
            </w:r>
          </w:p>
        </w:tc>
        <w:tc>
          <w:tcPr>
            <w:tcW w:w="1276" w:type="dxa"/>
            <w:shd w:val="clear" w:color="auto" w:fill="auto"/>
            <w:vAlign w:val="center"/>
          </w:tcPr>
          <w:p w14:paraId="4D087E8D"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4,108</w:t>
            </w:r>
          </w:p>
        </w:tc>
        <w:tc>
          <w:tcPr>
            <w:tcW w:w="1417" w:type="dxa"/>
            <w:shd w:val="clear" w:color="auto" w:fill="auto"/>
            <w:noWrap/>
            <w:vAlign w:val="center"/>
          </w:tcPr>
          <w:p w14:paraId="59EBCF72"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0:34</w:t>
            </w:r>
          </w:p>
        </w:tc>
        <w:tc>
          <w:tcPr>
            <w:tcW w:w="1276" w:type="dxa"/>
            <w:shd w:val="clear" w:color="auto" w:fill="auto"/>
            <w:vAlign w:val="center"/>
          </w:tcPr>
          <w:p w14:paraId="46823BA7"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0:28</w:t>
            </w:r>
          </w:p>
        </w:tc>
        <w:tc>
          <w:tcPr>
            <w:tcW w:w="851" w:type="dxa"/>
            <w:shd w:val="clear" w:color="auto" w:fill="auto"/>
            <w:vAlign w:val="center"/>
          </w:tcPr>
          <w:p w14:paraId="0D375D72"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0:0</w:t>
            </w:r>
            <w:r w:rsidRPr="00BF3027">
              <w:rPr>
                <w:rFonts w:ascii="David" w:eastAsia="Times New Roman" w:hAnsi="David" w:cs="David" w:hint="cs"/>
                <w:rtl/>
              </w:rPr>
              <w:t>6</w:t>
            </w:r>
            <w:r w:rsidRPr="00BF3027">
              <w:rPr>
                <w:rFonts w:ascii="David" w:eastAsia="Times New Roman" w:hAnsi="David" w:cs="David"/>
                <w:rtl/>
              </w:rPr>
              <w:t>+</w:t>
            </w:r>
          </w:p>
        </w:tc>
        <w:tc>
          <w:tcPr>
            <w:tcW w:w="992" w:type="dxa"/>
            <w:shd w:val="clear" w:color="auto" w:fill="auto"/>
            <w:vAlign w:val="center"/>
          </w:tcPr>
          <w:p w14:paraId="2008A7D9"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17</w:t>
            </w:r>
          </w:p>
        </w:tc>
      </w:tr>
      <w:tr w:rsidR="002C4CFA" w:rsidRPr="00BF3027" w14:paraId="1BC76C27" w14:textId="77777777" w:rsidTr="002C4CFA">
        <w:trPr>
          <w:trHeight w:val="402"/>
        </w:trPr>
        <w:tc>
          <w:tcPr>
            <w:tcW w:w="853" w:type="dxa"/>
            <w:tcBorders>
              <w:bottom w:val="single" w:sz="4" w:space="0" w:color="auto"/>
            </w:tcBorders>
            <w:shd w:val="clear" w:color="auto" w:fill="D9D9D9"/>
            <w:noWrap/>
            <w:vAlign w:val="center"/>
          </w:tcPr>
          <w:p w14:paraId="53F79EDA"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תעבורה</w:t>
            </w:r>
          </w:p>
        </w:tc>
        <w:tc>
          <w:tcPr>
            <w:tcW w:w="989" w:type="dxa"/>
            <w:tcBorders>
              <w:bottom w:val="single" w:sz="4" w:space="0" w:color="auto"/>
            </w:tcBorders>
            <w:shd w:val="clear" w:color="auto" w:fill="D9D9D9"/>
            <w:noWrap/>
            <w:vAlign w:val="center"/>
          </w:tcPr>
          <w:p w14:paraId="5D960076" w14:textId="77777777" w:rsidR="002C4CFA" w:rsidRPr="00BF3027" w:rsidRDefault="002C4CFA" w:rsidP="002C4CFA">
            <w:pPr>
              <w:spacing w:after="0" w:line="240" w:lineRule="auto"/>
              <w:rPr>
                <w:rFonts w:ascii="David" w:eastAsia="Times New Roman" w:hAnsi="David" w:cs="David"/>
                <w:rtl/>
              </w:rPr>
            </w:pPr>
          </w:p>
        </w:tc>
        <w:tc>
          <w:tcPr>
            <w:tcW w:w="1984" w:type="dxa"/>
            <w:tcBorders>
              <w:bottom w:val="single" w:sz="4" w:space="0" w:color="auto"/>
            </w:tcBorders>
            <w:shd w:val="clear" w:color="auto" w:fill="D9D9D9"/>
            <w:vAlign w:val="center"/>
          </w:tcPr>
          <w:p w14:paraId="5E9CA4F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בקשה לביטול איסור שימוש ברכב (בא"ש)</w:t>
            </w:r>
          </w:p>
        </w:tc>
        <w:tc>
          <w:tcPr>
            <w:tcW w:w="1276" w:type="dxa"/>
            <w:tcBorders>
              <w:bottom w:val="single" w:sz="4" w:space="0" w:color="auto"/>
            </w:tcBorders>
            <w:shd w:val="clear" w:color="auto" w:fill="D9D9D9"/>
            <w:vAlign w:val="center"/>
          </w:tcPr>
          <w:p w14:paraId="3A7108AC"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2,909</w:t>
            </w:r>
          </w:p>
        </w:tc>
        <w:tc>
          <w:tcPr>
            <w:tcW w:w="1417" w:type="dxa"/>
            <w:tcBorders>
              <w:bottom w:val="single" w:sz="4" w:space="0" w:color="auto"/>
            </w:tcBorders>
            <w:shd w:val="clear" w:color="auto" w:fill="D9D9D9"/>
            <w:noWrap/>
            <w:vAlign w:val="center"/>
          </w:tcPr>
          <w:p w14:paraId="1D6674C5"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0:34</w:t>
            </w:r>
          </w:p>
        </w:tc>
        <w:tc>
          <w:tcPr>
            <w:tcW w:w="1276" w:type="dxa"/>
            <w:tcBorders>
              <w:bottom w:val="single" w:sz="4" w:space="0" w:color="auto"/>
            </w:tcBorders>
            <w:shd w:val="clear" w:color="auto" w:fill="D9D9D9"/>
            <w:vAlign w:val="center"/>
          </w:tcPr>
          <w:p w14:paraId="7E9A6B93"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tl/>
              </w:rPr>
              <w:t>-</w:t>
            </w:r>
          </w:p>
        </w:tc>
        <w:tc>
          <w:tcPr>
            <w:tcW w:w="851" w:type="dxa"/>
            <w:tcBorders>
              <w:bottom w:val="single" w:sz="4" w:space="0" w:color="auto"/>
            </w:tcBorders>
            <w:shd w:val="clear" w:color="auto" w:fill="D9D9D9"/>
            <w:vAlign w:val="center"/>
          </w:tcPr>
          <w:p w14:paraId="051DE795"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tcBorders>
              <w:bottom w:val="single" w:sz="4" w:space="0" w:color="auto"/>
            </w:tcBorders>
            <w:shd w:val="clear" w:color="auto" w:fill="D9D9D9"/>
            <w:vAlign w:val="center"/>
          </w:tcPr>
          <w:p w14:paraId="6749F84C"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hint="cs"/>
                <w:rtl/>
              </w:rPr>
              <w:t>17</w:t>
            </w:r>
          </w:p>
        </w:tc>
      </w:tr>
      <w:tr w:rsidR="002C4CFA" w:rsidRPr="00BF3027" w14:paraId="678759E0" w14:textId="77777777" w:rsidTr="002C4CFA">
        <w:trPr>
          <w:trHeight w:val="374"/>
        </w:trPr>
        <w:tc>
          <w:tcPr>
            <w:tcW w:w="853" w:type="dxa"/>
            <w:tcBorders>
              <w:top w:val="single" w:sz="4" w:space="0" w:color="auto"/>
              <w:bottom w:val="single" w:sz="4" w:space="0" w:color="auto"/>
            </w:tcBorders>
            <w:shd w:val="clear" w:color="auto" w:fill="FFFFFF"/>
            <w:noWrap/>
            <w:vAlign w:val="center"/>
          </w:tcPr>
          <w:p w14:paraId="4C8CE74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tcBorders>
              <w:top w:val="single" w:sz="4" w:space="0" w:color="auto"/>
              <w:bottom w:val="single" w:sz="4" w:space="0" w:color="auto"/>
            </w:tcBorders>
            <w:shd w:val="clear" w:color="auto" w:fill="FFFFFF"/>
            <w:noWrap/>
            <w:vAlign w:val="center"/>
          </w:tcPr>
          <w:p w14:paraId="5490E009"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פלילי</w:t>
            </w:r>
          </w:p>
        </w:tc>
        <w:tc>
          <w:tcPr>
            <w:tcW w:w="1984" w:type="dxa"/>
            <w:tcBorders>
              <w:top w:val="single" w:sz="4" w:space="0" w:color="auto"/>
              <w:bottom w:val="single" w:sz="4" w:space="0" w:color="auto"/>
            </w:tcBorders>
            <w:shd w:val="clear" w:color="auto" w:fill="FFFFFF"/>
            <w:vAlign w:val="center"/>
          </w:tcPr>
          <w:p w14:paraId="54EFAC49"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חקירת סיבות מוות (חס"מ)</w:t>
            </w:r>
          </w:p>
        </w:tc>
        <w:tc>
          <w:tcPr>
            <w:tcW w:w="1276" w:type="dxa"/>
            <w:tcBorders>
              <w:top w:val="single" w:sz="4" w:space="0" w:color="auto"/>
              <w:bottom w:val="single" w:sz="4" w:space="0" w:color="auto"/>
            </w:tcBorders>
            <w:shd w:val="clear" w:color="auto" w:fill="FFFFFF"/>
            <w:vAlign w:val="center"/>
          </w:tcPr>
          <w:p w14:paraId="09B13F65"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149</w:t>
            </w:r>
          </w:p>
        </w:tc>
        <w:tc>
          <w:tcPr>
            <w:tcW w:w="1417" w:type="dxa"/>
            <w:tcBorders>
              <w:top w:val="single" w:sz="4" w:space="0" w:color="auto"/>
              <w:bottom w:val="single" w:sz="4" w:space="0" w:color="auto"/>
            </w:tcBorders>
            <w:shd w:val="clear" w:color="auto" w:fill="FFFFFF"/>
            <w:noWrap/>
            <w:vAlign w:val="center"/>
          </w:tcPr>
          <w:p w14:paraId="6FD9B51E" w14:textId="77777777" w:rsidR="002C4CFA" w:rsidRPr="00BF3027" w:rsidRDefault="002C4CFA" w:rsidP="002C4CFA">
            <w:pPr>
              <w:bidi w:val="0"/>
              <w:spacing w:after="0" w:line="240" w:lineRule="auto"/>
              <w:jc w:val="center"/>
              <w:rPr>
                <w:rFonts w:ascii="David" w:eastAsia="Times New Roman" w:hAnsi="David" w:cs="David"/>
                <w:b/>
                <w:bCs/>
              </w:rPr>
            </w:pPr>
            <w:r w:rsidRPr="00BF3027">
              <w:rPr>
                <w:rFonts w:ascii="David" w:eastAsia="Times New Roman" w:hAnsi="David" w:cs="David"/>
                <w:b/>
                <w:bCs/>
              </w:rPr>
              <w:t>0:30</w:t>
            </w:r>
          </w:p>
        </w:tc>
        <w:tc>
          <w:tcPr>
            <w:tcW w:w="1276" w:type="dxa"/>
            <w:tcBorders>
              <w:top w:val="single" w:sz="4" w:space="0" w:color="auto"/>
              <w:bottom w:val="single" w:sz="4" w:space="0" w:color="auto"/>
            </w:tcBorders>
            <w:shd w:val="clear" w:color="auto" w:fill="FFFFFF"/>
            <w:vAlign w:val="center"/>
          </w:tcPr>
          <w:p w14:paraId="0E063F48" w14:textId="77777777" w:rsidR="002C4CFA" w:rsidRPr="00BF3027" w:rsidRDefault="002C4CFA" w:rsidP="002C4CFA">
            <w:pPr>
              <w:bidi w:val="0"/>
              <w:spacing w:after="0" w:line="240" w:lineRule="auto"/>
              <w:jc w:val="center"/>
              <w:rPr>
                <w:rFonts w:ascii="David" w:eastAsia="Times New Roman" w:hAnsi="David" w:cs="David"/>
              </w:rPr>
            </w:pPr>
            <w:r w:rsidRPr="00BF3027">
              <w:rPr>
                <w:rFonts w:ascii="David" w:eastAsia="Times New Roman" w:hAnsi="David" w:cs="David"/>
              </w:rPr>
              <w:t>-</w:t>
            </w:r>
          </w:p>
        </w:tc>
        <w:tc>
          <w:tcPr>
            <w:tcW w:w="851" w:type="dxa"/>
            <w:tcBorders>
              <w:top w:val="single" w:sz="4" w:space="0" w:color="auto"/>
              <w:bottom w:val="single" w:sz="4" w:space="0" w:color="auto"/>
            </w:tcBorders>
            <w:shd w:val="clear" w:color="auto" w:fill="FFFFFF"/>
            <w:vAlign w:val="center"/>
          </w:tcPr>
          <w:p w14:paraId="20B6588B" w14:textId="77777777" w:rsidR="002C4CFA" w:rsidRPr="00BF3027" w:rsidRDefault="002C4CFA" w:rsidP="002C4CFA">
            <w:pPr>
              <w:bidi w:val="0"/>
              <w:spacing w:after="0" w:line="240" w:lineRule="auto"/>
              <w:jc w:val="center"/>
              <w:rPr>
                <w:rFonts w:ascii="David" w:eastAsia="Times New Roman" w:hAnsi="David" w:cs="David"/>
              </w:rPr>
            </w:pPr>
            <w:r w:rsidRPr="00BF3027">
              <w:rPr>
                <w:rFonts w:ascii="David" w:eastAsia="Times New Roman" w:hAnsi="David" w:cs="David"/>
              </w:rPr>
              <w:t>-</w:t>
            </w:r>
          </w:p>
        </w:tc>
        <w:tc>
          <w:tcPr>
            <w:tcW w:w="992" w:type="dxa"/>
            <w:tcBorders>
              <w:top w:val="single" w:sz="4" w:space="0" w:color="auto"/>
              <w:bottom w:val="single" w:sz="4" w:space="0" w:color="auto"/>
            </w:tcBorders>
            <w:shd w:val="clear" w:color="auto" w:fill="FFFFFF"/>
            <w:vAlign w:val="center"/>
          </w:tcPr>
          <w:p w14:paraId="0E6F867E"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15</w:t>
            </w:r>
          </w:p>
        </w:tc>
      </w:tr>
      <w:tr w:rsidR="002C4CFA" w:rsidRPr="00BF3027" w14:paraId="038888B9" w14:textId="77777777" w:rsidTr="002C4CFA">
        <w:trPr>
          <w:trHeight w:val="421"/>
        </w:trPr>
        <w:tc>
          <w:tcPr>
            <w:tcW w:w="853" w:type="dxa"/>
            <w:shd w:val="clear" w:color="auto" w:fill="D9D9D9"/>
            <w:noWrap/>
            <w:vAlign w:val="center"/>
          </w:tcPr>
          <w:p w14:paraId="4E8FD8DD"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תעבורה</w:t>
            </w:r>
          </w:p>
        </w:tc>
        <w:tc>
          <w:tcPr>
            <w:tcW w:w="989" w:type="dxa"/>
            <w:shd w:val="clear" w:color="auto" w:fill="D9D9D9"/>
            <w:noWrap/>
            <w:vAlign w:val="center"/>
          </w:tcPr>
          <w:p w14:paraId="7F7F851A" w14:textId="77777777" w:rsidR="002C4CFA" w:rsidRPr="00BF3027" w:rsidRDefault="002C4CFA" w:rsidP="002C4CFA">
            <w:pPr>
              <w:spacing w:after="0" w:line="240" w:lineRule="auto"/>
              <w:rPr>
                <w:rFonts w:ascii="David" w:eastAsia="Times New Roman" w:hAnsi="David" w:cs="David"/>
                <w:rtl/>
              </w:rPr>
            </w:pPr>
          </w:p>
        </w:tc>
        <w:tc>
          <w:tcPr>
            <w:tcW w:w="1984" w:type="dxa"/>
            <w:shd w:val="clear" w:color="auto" w:fill="D9D9D9"/>
            <w:vAlign w:val="center"/>
          </w:tcPr>
          <w:p w14:paraId="5A222916"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תיק תעבורה (תת"ע)</w:t>
            </w:r>
          </w:p>
        </w:tc>
        <w:tc>
          <w:tcPr>
            <w:tcW w:w="1276" w:type="dxa"/>
            <w:shd w:val="clear" w:color="auto" w:fill="D9D9D9"/>
            <w:vAlign w:val="center"/>
          </w:tcPr>
          <w:p w14:paraId="6B8F0788"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113,190</w:t>
            </w:r>
          </w:p>
        </w:tc>
        <w:tc>
          <w:tcPr>
            <w:tcW w:w="1417" w:type="dxa"/>
            <w:shd w:val="clear" w:color="auto" w:fill="D9D9D9"/>
            <w:noWrap/>
            <w:vAlign w:val="center"/>
          </w:tcPr>
          <w:p w14:paraId="6920E4BD"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0:27</w:t>
            </w:r>
          </w:p>
        </w:tc>
        <w:tc>
          <w:tcPr>
            <w:tcW w:w="1276" w:type="dxa"/>
            <w:shd w:val="clear" w:color="auto" w:fill="D9D9D9"/>
            <w:vAlign w:val="center"/>
          </w:tcPr>
          <w:p w14:paraId="2DF41C13"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0:28</w:t>
            </w:r>
          </w:p>
        </w:tc>
        <w:tc>
          <w:tcPr>
            <w:tcW w:w="851" w:type="dxa"/>
            <w:shd w:val="clear" w:color="auto" w:fill="D9D9D9"/>
            <w:vAlign w:val="center"/>
          </w:tcPr>
          <w:p w14:paraId="08E5D095"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0:0</w:t>
            </w:r>
            <w:r w:rsidRPr="00BF3027">
              <w:rPr>
                <w:rFonts w:ascii="David" w:eastAsia="Times New Roman" w:hAnsi="David" w:cs="David" w:hint="cs"/>
                <w:rtl/>
              </w:rPr>
              <w:t>1-</w:t>
            </w:r>
          </w:p>
        </w:tc>
        <w:tc>
          <w:tcPr>
            <w:tcW w:w="992" w:type="dxa"/>
            <w:shd w:val="clear" w:color="auto" w:fill="D9D9D9"/>
            <w:vAlign w:val="center"/>
          </w:tcPr>
          <w:p w14:paraId="737FA923"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14</w:t>
            </w:r>
          </w:p>
        </w:tc>
      </w:tr>
      <w:tr w:rsidR="002C4CFA" w:rsidRPr="00BF3027" w14:paraId="3E069959" w14:textId="77777777" w:rsidTr="002C4CFA">
        <w:trPr>
          <w:trHeight w:val="602"/>
        </w:trPr>
        <w:tc>
          <w:tcPr>
            <w:tcW w:w="853" w:type="dxa"/>
            <w:shd w:val="clear" w:color="auto" w:fill="FFFFFF"/>
            <w:noWrap/>
            <w:vAlign w:val="center"/>
          </w:tcPr>
          <w:p w14:paraId="315E98B7" w14:textId="35B0AD34" w:rsidR="002C4CFA" w:rsidRPr="00BF3027" w:rsidRDefault="002C4CFA" w:rsidP="002C4CFA">
            <w:pPr>
              <w:spacing w:after="0" w:line="240" w:lineRule="auto"/>
              <w:rPr>
                <w:rFonts w:ascii="David" w:eastAsia="Times New Roman" w:hAnsi="David" w:cs="David"/>
                <w:rtl/>
              </w:rPr>
            </w:pPr>
            <w:r w:rsidRPr="00BF3027">
              <w:rPr>
                <w:rFonts w:ascii="Arial" w:eastAsia="Times New Roman" w:hAnsi="Arial" w:cs="David" w:hint="cs"/>
                <w:b/>
                <w:bCs/>
                <w:rtl/>
              </w:rPr>
              <w:lastRenderedPageBreak/>
              <w:t>ערכאה</w:t>
            </w:r>
          </w:p>
        </w:tc>
        <w:tc>
          <w:tcPr>
            <w:tcW w:w="989" w:type="dxa"/>
            <w:shd w:val="clear" w:color="auto" w:fill="FFFFFF"/>
            <w:noWrap/>
            <w:vAlign w:val="center"/>
          </w:tcPr>
          <w:p w14:paraId="1515806C" w14:textId="55F186DF" w:rsidR="002C4CFA" w:rsidRPr="00BF3027" w:rsidRDefault="002C4CFA" w:rsidP="002C4CFA">
            <w:pPr>
              <w:spacing w:after="0" w:line="240" w:lineRule="auto"/>
              <w:rPr>
                <w:rFonts w:ascii="David" w:eastAsia="Times New Roman" w:hAnsi="David" w:cs="David"/>
                <w:rtl/>
              </w:rPr>
            </w:pPr>
            <w:r w:rsidRPr="00BF3027">
              <w:rPr>
                <w:rFonts w:ascii="Arial" w:eastAsia="Times New Roman" w:hAnsi="Arial" w:cs="David" w:hint="cs"/>
                <w:b/>
                <w:bCs/>
                <w:rtl/>
              </w:rPr>
              <w:t>הליך</w:t>
            </w:r>
          </w:p>
        </w:tc>
        <w:tc>
          <w:tcPr>
            <w:tcW w:w="1984" w:type="dxa"/>
            <w:shd w:val="clear" w:color="auto" w:fill="FFFFFF"/>
            <w:vAlign w:val="center"/>
          </w:tcPr>
          <w:p w14:paraId="74EC5DD6" w14:textId="2DCFF0D4" w:rsidR="002C4CFA" w:rsidRPr="00BF3027" w:rsidRDefault="002C4CFA" w:rsidP="002C4CFA">
            <w:pPr>
              <w:spacing w:after="0" w:line="240" w:lineRule="auto"/>
              <w:rPr>
                <w:rFonts w:ascii="David" w:eastAsia="Times New Roman" w:hAnsi="David" w:cs="David"/>
                <w:rtl/>
              </w:rPr>
            </w:pPr>
            <w:r w:rsidRPr="00BF3027">
              <w:rPr>
                <w:rFonts w:ascii="Arial" w:eastAsia="Times New Roman" w:hAnsi="Arial" w:cs="David" w:hint="cs"/>
                <w:b/>
                <w:bCs/>
                <w:rtl/>
              </w:rPr>
              <w:t>סוג תיק</w:t>
            </w:r>
          </w:p>
        </w:tc>
        <w:tc>
          <w:tcPr>
            <w:tcW w:w="1276" w:type="dxa"/>
            <w:shd w:val="clear" w:color="auto" w:fill="FFFFFF"/>
            <w:vAlign w:val="center"/>
          </w:tcPr>
          <w:p w14:paraId="2AD8DA32" w14:textId="1D56CA5D" w:rsidR="002C4CFA" w:rsidRPr="00BF3027" w:rsidRDefault="002C4CFA" w:rsidP="002C4CFA">
            <w:pPr>
              <w:spacing w:after="0" w:line="240" w:lineRule="auto"/>
              <w:jc w:val="center"/>
              <w:rPr>
                <w:rFonts w:ascii="David" w:eastAsia="Times New Roman" w:hAnsi="David" w:cs="David"/>
              </w:rPr>
            </w:pPr>
            <w:r w:rsidRPr="00BF3027">
              <w:rPr>
                <w:rFonts w:ascii="Arial" w:eastAsia="Times New Roman" w:hAnsi="Arial" w:cs="David" w:hint="cs"/>
                <w:b/>
                <w:bCs/>
                <w:rtl/>
              </w:rPr>
              <w:t>מספר תיקים שנסגרו ב-2019</w:t>
            </w:r>
          </w:p>
        </w:tc>
        <w:tc>
          <w:tcPr>
            <w:tcW w:w="1417" w:type="dxa"/>
            <w:shd w:val="clear" w:color="auto" w:fill="FFFFFF"/>
            <w:noWrap/>
            <w:vAlign w:val="center"/>
          </w:tcPr>
          <w:p w14:paraId="5C3788F4" w14:textId="259E00FE" w:rsidR="002C4CFA" w:rsidRPr="00BF3027" w:rsidRDefault="002C4CFA" w:rsidP="002C4CFA">
            <w:pPr>
              <w:spacing w:after="0" w:line="240" w:lineRule="auto"/>
              <w:jc w:val="center"/>
              <w:rPr>
                <w:rFonts w:ascii="David" w:eastAsia="Times New Roman" w:hAnsi="David" w:cs="David"/>
                <w:b/>
                <w:bCs/>
              </w:rPr>
            </w:pPr>
            <w:r w:rsidRPr="00BF3027">
              <w:rPr>
                <w:rFonts w:ascii="Arial" w:eastAsia="Times New Roman" w:hAnsi="Arial" w:cs="David" w:hint="cs"/>
                <w:b/>
                <w:bCs/>
                <w:rtl/>
              </w:rPr>
              <w:t>הזמן השיפוטי הממוצע לטיפול בתיק</w:t>
            </w:r>
          </w:p>
        </w:tc>
        <w:tc>
          <w:tcPr>
            <w:tcW w:w="1276" w:type="dxa"/>
            <w:shd w:val="clear" w:color="auto" w:fill="FFFFFF"/>
            <w:vAlign w:val="center"/>
          </w:tcPr>
          <w:p w14:paraId="598DDBD8" w14:textId="3998D462" w:rsidR="002C4CFA" w:rsidRPr="00BF3027" w:rsidRDefault="002C4CFA" w:rsidP="002C4CFA">
            <w:pPr>
              <w:spacing w:after="0" w:line="240" w:lineRule="auto"/>
              <w:jc w:val="center"/>
              <w:rPr>
                <w:rFonts w:ascii="David" w:eastAsia="Times New Roman" w:hAnsi="David" w:cs="David"/>
                <w:rtl/>
              </w:rPr>
            </w:pPr>
            <w:r w:rsidRPr="00BF3027">
              <w:rPr>
                <w:rFonts w:ascii="Arial" w:eastAsia="Times New Roman" w:hAnsi="Arial" w:cs="David" w:hint="cs"/>
                <w:b/>
                <w:bCs/>
                <w:rtl/>
              </w:rPr>
              <w:t>הזמן השיפוטי הממוצע לפי המחקר הקודם</w:t>
            </w:r>
          </w:p>
        </w:tc>
        <w:tc>
          <w:tcPr>
            <w:tcW w:w="851" w:type="dxa"/>
            <w:shd w:val="clear" w:color="auto" w:fill="FFFFFF"/>
            <w:vAlign w:val="center"/>
          </w:tcPr>
          <w:p w14:paraId="3237DA31" w14:textId="371891B6" w:rsidR="002C4CFA" w:rsidRPr="00BF3027" w:rsidRDefault="002C4CFA" w:rsidP="002C4CFA">
            <w:pPr>
              <w:spacing w:after="0" w:line="240" w:lineRule="auto"/>
              <w:jc w:val="center"/>
              <w:rPr>
                <w:rFonts w:ascii="David" w:eastAsia="Times New Roman" w:hAnsi="David" w:cs="David"/>
              </w:rPr>
            </w:pPr>
            <w:r w:rsidRPr="00BF3027">
              <w:rPr>
                <w:rFonts w:ascii="Arial" w:eastAsia="Times New Roman" w:hAnsi="Arial" w:cs="David" w:hint="cs"/>
                <w:b/>
                <w:bCs/>
                <w:rtl/>
              </w:rPr>
              <w:t>מגמת השינוי</w:t>
            </w:r>
          </w:p>
        </w:tc>
        <w:tc>
          <w:tcPr>
            <w:tcW w:w="992" w:type="dxa"/>
            <w:shd w:val="clear" w:color="auto" w:fill="FFFFFF"/>
            <w:vAlign w:val="center"/>
          </w:tcPr>
          <w:p w14:paraId="23BA52C8" w14:textId="449AD25A" w:rsidR="002C4CFA" w:rsidRPr="00BF3027" w:rsidRDefault="002C4CFA" w:rsidP="002C4CFA">
            <w:pPr>
              <w:spacing w:after="0" w:line="240" w:lineRule="auto"/>
              <w:jc w:val="center"/>
              <w:rPr>
                <w:rFonts w:ascii="David" w:eastAsia="Times New Roman" w:hAnsi="David" w:cs="David"/>
              </w:rPr>
            </w:pPr>
            <w:r w:rsidRPr="00BF3027">
              <w:rPr>
                <w:rFonts w:ascii="Arial" w:hAnsi="Arial" w:cs="David" w:hint="cs"/>
                <w:b/>
                <w:bCs/>
                <w:rtl/>
              </w:rPr>
              <w:t>משקל לתיק לפי המחקר הנוכחי</w:t>
            </w:r>
          </w:p>
        </w:tc>
      </w:tr>
      <w:tr w:rsidR="002C4CFA" w:rsidRPr="00BF3027" w14:paraId="71BA3C20" w14:textId="77777777" w:rsidTr="002C4CFA">
        <w:trPr>
          <w:trHeight w:val="602"/>
        </w:trPr>
        <w:tc>
          <w:tcPr>
            <w:tcW w:w="853" w:type="dxa"/>
            <w:shd w:val="clear" w:color="auto" w:fill="FFFFFF"/>
            <w:noWrap/>
            <w:vAlign w:val="center"/>
          </w:tcPr>
          <w:p w14:paraId="27F1CEFD"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FFFFFF"/>
            <w:noWrap/>
            <w:vAlign w:val="center"/>
          </w:tcPr>
          <w:p w14:paraId="029E991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עניינים מקומיים</w:t>
            </w:r>
          </w:p>
        </w:tc>
        <w:tc>
          <w:tcPr>
            <w:tcW w:w="1984" w:type="dxa"/>
            <w:shd w:val="clear" w:color="auto" w:fill="FFFFFF"/>
            <w:vAlign w:val="center"/>
          </w:tcPr>
          <w:p w14:paraId="19634D97"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חנייה (ח"נ)</w:t>
            </w:r>
          </w:p>
        </w:tc>
        <w:tc>
          <w:tcPr>
            <w:tcW w:w="1276" w:type="dxa"/>
            <w:shd w:val="clear" w:color="auto" w:fill="FFFFFF"/>
            <w:vAlign w:val="center"/>
          </w:tcPr>
          <w:p w14:paraId="11A44B9D"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23,851</w:t>
            </w:r>
          </w:p>
        </w:tc>
        <w:tc>
          <w:tcPr>
            <w:tcW w:w="1417" w:type="dxa"/>
            <w:shd w:val="clear" w:color="auto" w:fill="FFFFFF"/>
            <w:noWrap/>
            <w:vAlign w:val="center"/>
          </w:tcPr>
          <w:p w14:paraId="66F58187"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0:23</w:t>
            </w:r>
          </w:p>
        </w:tc>
        <w:tc>
          <w:tcPr>
            <w:tcW w:w="1276" w:type="dxa"/>
            <w:shd w:val="clear" w:color="auto" w:fill="FFFFFF"/>
            <w:vAlign w:val="center"/>
          </w:tcPr>
          <w:p w14:paraId="7376FA6C"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0:28</w:t>
            </w:r>
          </w:p>
        </w:tc>
        <w:tc>
          <w:tcPr>
            <w:tcW w:w="851" w:type="dxa"/>
            <w:shd w:val="clear" w:color="auto" w:fill="FFFFFF"/>
            <w:vAlign w:val="center"/>
          </w:tcPr>
          <w:p w14:paraId="3671EE08"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-0:05</w:t>
            </w:r>
          </w:p>
        </w:tc>
        <w:tc>
          <w:tcPr>
            <w:tcW w:w="992" w:type="dxa"/>
            <w:shd w:val="clear" w:color="auto" w:fill="FFFFFF"/>
            <w:vAlign w:val="center"/>
          </w:tcPr>
          <w:p w14:paraId="4BC578DB"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12</w:t>
            </w:r>
          </w:p>
        </w:tc>
      </w:tr>
      <w:tr w:rsidR="002C4CFA" w:rsidRPr="00BF3027" w14:paraId="2ABF004A" w14:textId="77777777" w:rsidTr="002C4CFA">
        <w:trPr>
          <w:trHeight w:val="416"/>
        </w:trPr>
        <w:tc>
          <w:tcPr>
            <w:tcW w:w="853" w:type="dxa"/>
            <w:shd w:val="clear" w:color="auto" w:fill="D9D9D9"/>
            <w:noWrap/>
            <w:vAlign w:val="center"/>
          </w:tcPr>
          <w:p w14:paraId="10A19E46"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תעבורה</w:t>
            </w:r>
          </w:p>
        </w:tc>
        <w:tc>
          <w:tcPr>
            <w:tcW w:w="989" w:type="dxa"/>
            <w:shd w:val="clear" w:color="auto" w:fill="D9D9D9"/>
            <w:noWrap/>
            <w:vAlign w:val="center"/>
          </w:tcPr>
          <w:p w14:paraId="2341A6A4" w14:textId="77777777" w:rsidR="002C4CFA" w:rsidRPr="00BF3027" w:rsidRDefault="002C4CFA" w:rsidP="002C4CFA">
            <w:pPr>
              <w:spacing w:after="0" w:line="240" w:lineRule="auto"/>
              <w:rPr>
                <w:rFonts w:ascii="David" w:eastAsia="Times New Roman" w:hAnsi="David" w:cs="David"/>
                <w:rtl/>
              </w:rPr>
            </w:pPr>
          </w:p>
        </w:tc>
        <w:tc>
          <w:tcPr>
            <w:tcW w:w="1984" w:type="dxa"/>
            <w:shd w:val="clear" w:color="auto" w:fill="D9D9D9"/>
            <w:vAlign w:val="center"/>
          </w:tcPr>
          <w:p w14:paraId="28A2B8CC"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מעצר ימים (מ"י)</w:t>
            </w:r>
          </w:p>
        </w:tc>
        <w:tc>
          <w:tcPr>
            <w:tcW w:w="1276" w:type="dxa"/>
            <w:shd w:val="clear" w:color="auto" w:fill="D9D9D9"/>
            <w:vAlign w:val="center"/>
          </w:tcPr>
          <w:p w14:paraId="05982E13"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101</w:t>
            </w:r>
          </w:p>
        </w:tc>
        <w:tc>
          <w:tcPr>
            <w:tcW w:w="1417" w:type="dxa"/>
            <w:shd w:val="clear" w:color="auto" w:fill="D9D9D9"/>
            <w:noWrap/>
            <w:vAlign w:val="center"/>
          </w:tcPr>
          <w:p w14:paraId="3A2C38B7"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0:21</w:t>
            </w:r>
          </w:p>
        </w:tc>
        <w:tc>
          <w:tcPr>
            <w:tcW w:w="1276" w:type="dxa"/>
            <w:shd w:val="clear" w:color="auto" w:fill="D9D9D9"/>
            <w:vAlign w:val="center"/>
          </w:tcPr>
          <w:p w14:paraId="4D888598"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0:34</w:t>
            </w:r>
          </w:p>
        </w:tc>
        <w:tc>
          <w:tcPr>
            <w:tcW w:w="851" w:type="dxa"/>
            <w:shd w:val="clear" w:color="auto" w:fill="D9D9D9"/>
            <w:vAlign w:val="center"/>
          </w:tcPr>
          <w:p w14:paraId="0979EC24"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0:1</w:t>
            </w:r>
            <w:r w:rsidRPr="00BF3027">
              <w:rPr>
                <w:rFonts w:ascii="David" w:eastAsia="Times New Roman" w:hAnsi="David" w:cs="David" w:hint="cs"/>
                <w:rtl/>
              </w:rPr>
              <w:t>3-</w:t>
            </w:r>
          </w:p>
        </w:tc>
        <w:tc>
          <w:tcPr>
            <w:tcW w:w="992" w:type="dxa"/>
            <w:shd w:val="clear" w:color="auto" w:fill="D9D9D9"/>
            <w:vAlign w:val="center"/>
          </w:tcPr>
          <w:p w14:paraId="2564E557"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11</w:t>
            </w:r>
          </w:p>
        </w:tc>
      </w:tr>
      <w:tr w:rsidR="002C4CFA" w:rsidRPr="00BF3027" w14:paraId="6BFF249A" w14:textId="77777777" w:rsidTr="002C4CFA">
        <w:trPr>
          <w:trHeight w:val="426"/>
        </w:trPr>
        <w:tc>
          <w:tcPr>
            <w:tcW w:w="853" w:type="dxa"/>
            <w:shd w:val="clear" w:color="auto" w:fill="FFFFFF"/>
            <w:noWrap/>
            <w:vAlign w:val="center"/>
          </w:tcPr>
          <w:p w14:paraId="7C7AEDD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תעבורה</w:t>
            </w:r>
          </w:p>
        </w:tc>
        <w:tc>
          <w:tcPr>
            <w:tcW w:w="989" w:type="dxa"/>
            <w:shd w:val="clear" w:color="auto" w:fill="FFFFFF"/>
            <w:noWrap/>
            <w:vAlign w:val="center"/>
          </w:tcPr>
          <w:p w14:paraId="13047FCC" w14:textId="77777777" w:rsidR="002C4CFA" w:rsidRPr="00BF3027" w:rsidRDefault="002C4CFA" w:rsidP="002C4CFA">
            <w:pPr>
              <w:bidi w:val="0"/>
              <w:spacing w:after="0" w:line="240" w:lineRule="auto"/>
              <w:rPr>
                <w:rFonts w:ascii="David" w:eastAsia="Times New Roman" w:hAnsi="David" w:cs="David"/>
                <w:rtl/>
              </w:rPr>
            </w:pPr>
          </w:p>
        </w:tc>
        <w:tc>
          <w:tcPr>
            <w:tcW w:w="1984" w:type="dxa"/>
            <w:shd w:val="clear" w:color="auto" w:fill="FFFFFF"/>
            <w:vAlign w:val="center"/>
          </w:tcPr>
          <w:p w14:paraId="2EA76B49"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בקשה לשחרור בערובה (בש"ע)</w:t>
            </w:r>
          </w:p>
        </w:tc>
        <w:tc>
          <w:tcPr>
            <w:tcW w:w="1276" w:type="dxa"/>
            <w:shd w:val="clear" w:color="auto" w:fill="FFFFFF"/>
            <w:vAlign w:val="center"/>
          </w:tcPr>
          <w:p w14:paraId="67CB8F82"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176</w:t>
            </w:r>
          </w:p>
        </w:tc>
        <w:tc>
          <w:tcPr>
            <w:tcW w:w="1417" w:type="dxa"/>
            <w:shd w:val="clear" w:color="auto" w:fill="FFFFFF"/>
            <w:noWrap/>
            <w:vAlign w:val="center"/>
          </w:tcPr>
          <w:p w14:paraId="074D4CB7"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0:21</w:t>
            </w:r>
          </w:p>
        </w:tc>
        <w:tc>
          <w:tcPr>
            <w:tcW w:w="1276" w:type="dxa"/>
            <w:shd w:val="clear" w:color="auto" w:fill="FFFFFF"/>
            <w:vAlign w:val="center"/>
          </w:tcPr>
          <w:p w14:paraId="3B84BDD4"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851" w:type="dxa"/>
            <w:shd w:val="clear" w:color="auto" w:fill="FFFFFF"/>
            <w:vAlign w:val="center"/>
          </w:tcPr>
          <w:p w14:paraId="6E735471"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w:t>
            </w:r>
          </w:p>
        </w:tc>
        <w:tc>
          <w:tcPr>
            <w:tcW w:w="992" w:type="dxa"/>
            <w:shd w:val="clear" w:color="auto" w:fill="FFFFFF"/>
            <w:vAlign w:val="center"/>
          </w:tcPr>
          <w:p w14:paraId="597B5881"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11</w:t>
            </w:r>
          </w:p>
        </w:tc>
      </w:tr>
      <w:tr w:rsidR="002C4CFA" w:rsidRPr="00BF3027" w14:paraId="5780172D" w14:textId="77777777" w:rsidTr="002C4CFA">
        <w:trPr>
          <w:trHeight w:val="495"/>
        </w:trPr>
        <w:tc>
          <w:tcPr>
            <w:tcW w:w="853" w:type="dxa"/>
            <w:shd w:val="clear" w:color="auto" w:fill="D9D9D9"/>
            <w:noWrap/>
            <w:vAlign w:val="center"/>
          </w:tcPr>
          <w:p w14:paraId="362C1CA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תעבורה</w:t>
            </w:r>
          </w:p>
        </w:tc>
        <w:tc>
          <w:tcPr>
            <w:tcW w:w="989" w:type="dxa"/>
            <w:shd w:val="clear" w:color="auto" w:fill="D9D9D9"/>
            <w:noWrap/>
            <w:vAlign w:val="center"/>
          </w:tcPr>
          <w:p w14:paraId="55553F6A" w14:textId="77777777" w:rsidR="002C4CFA" w:rsidRPr="00BF3027" w:rsidRDefault="002C4CFA" w:rsidP="002C4CFA">
            <w:pPr>
              <w:bidi w:val="0"/>
              <w:spacing w:after="0" w:line="240" w:lineRule="auto"/>
              <w:rPr>
                <w:rFonts w:ascii="David" w:hAnsi="David" w:cs="David"/>
                <w:rtl/>
              </w:rPr>
            </w:pPr>
          </w:p>
        </w:tc>
        <w:tc>
          <w:tcPr>
            <w:tcW w:w="1984" w:type="dxa"/>
            <w:shd w:val="clear" w:color="auto" w:fill="D9D9D9"/>
            <w:vAlign w:val="center"/>
          </w:tcPr>
          <w:p w14:paraId="426E972E"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הארכת מועד להישפט (המ"ש)</w:t>
            </w:r>
          </w:p>
        </w:tc>
        <w:tc>
          <w:tcPr>
            <w:tcW w:w="1276" w:type="dxa"/>
            <w:shd w:val="clear" w:color="auto" w:fill="D9D9D9"/>
            <w:vAlign w:val="center"/>
          </w:tcPr>
          <w:p w14:paraId="27AA991A"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9,283</w:t>
            </w:r>
          </w:p>
        </w:tc>
        <w:tc>
          <w:tcPr>
            <w:tcW w:w="1417" w:type="dxa"/>
            <w:shd w:val="clear" w:color="auto" w:fill="D9D9D9"/>
            <w:noWrap/>
            <w:vAlign w:val="center"/>
          </w:tcPr>
          <w:p w14:paraId="56C048AB"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0:21</w:t>
            </w:r>
          </w:p>
        </w:tc>
        <w:tc>
          <w:tcPr>
            <w:tcW w:w="1276" w:type="dxa"/>
            <w:shd w:val="clear" w:color="auto" w:fill="D9D9D9"/>
            <w:vAlign w:val="center"/>
          </w:tcPr>
          <w:p w14:paraId="29B0BA3D"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0:34</w:t>
            </w:r>
          </w:p>
        </w:tc>
        <w:tc>
          <w:tcPr>
            <w:tcW w:w="851" w:type="dxa"/>
            <w:shd w:val="clear" w:color="auto" w:fill="D9D9D9"/>
            <w:vAlign w:val="center"/>
          </w:tcPr>
          <w:p w14:paraId="7BE58222"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0:1</w:t>
            </w:r>
            <w:r w:rsidRPr="00BF3027">
              <w:rPr>
                <w:rFonts w:ascii="David" w:eastAsia="Times New Roman" w:hAnsi="David" w:cs="David" w:hint="cs"/>
                <w:rtl/>
              </w:rPr>
              <w:t>3-</w:t>
            </w:r>
          </w:p>
        </w:tc>
        <w:tc>
          <w:tcPr>
            <w:tcW w:w="992" w:type="dxa"/>
            <w:shd w:val="clear" w:color="auto" w:fill="D9D9D9"/>
            <w:vAlign w:val="center"/>
          </w:tcPr>
          <w:p w14:paraId="2EBE5999"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11</w:t>
            </w:r>
          </w:p>
        </w:tc>
      </w:tr>
      <w:tr w:rsidR="002C4CFA" w:rsidRPr="00BF3027" w14:paraId="401C2BE0" w14:textId="77777777" w:rsidTr="002C4CFA">
        <w:trPr>
          <w:trHeight w:val="433"/>
        </w:trPr>
        <w:tc>
          <w:tcPr>
            <w:tcW w:w="853" w:type="dxa"/>
            <w:shd w:val="clear" w:color="auto" w:fill="FFFFFF"/>
            <w:noWrap/>
            <w:vAlign w:val="center"/>
          </w:tcPr>
          <w:p w14:paraId="6805F5F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shd w:val="clear" w:color="auto" w:fill="FFFFFF"/>
            <w:noWrap/>
            <w:vAlign w:val="center"/>
          </w:tcPr>
          <w:p w14:paraId="47B9A55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עניינים מקומיים</w:t>
            </w:r>
          </w:p>
        </w:tc>
        <w:tc>
          <w:tcPr>
            <w:tcW w:w="1984" w:type="dxa"/>
            <w:shd w:val="clear" w:color="auto" w:fill="FFFFFF"/>
            <w:vAlign w:val="center"/>
          </w:tcPr>
          <w:p w14:paraId="38083B84"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חוקי עזר עירוניים - ברירת משפט (חע"מ)*</w:t>
            </w:r>
          </w:p>
        </w:tc>
        <w:tc>
          <w:tcPr>
            <w:tcW w:w="1276" w:type="dxa"/>
            <w:shd w:val="clear" w:color="auto" w:fill="FFFFFF"/>
            <w:vAlign w:val="center"/>
          </w:tcPr>
          <w:p w14:paraId="2EE0130B"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6705</w:t>
            </w:r>
          </w:p>
        </w:tc>
        <w:tc>
          <w:tcPr>
            <w:tcW w:w="1417" w:type="dxa"/>
            <w:shd w:val="clear" w:color="auto" w:fill="FFFFFF"/>
            <w:noWrap/>
            <w:vAlign w:val="center"/>
          </w:tcPr>
          <w:p w14:paraId="65474989"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0:21</w:t>
            </w:r>
          </w:p>
        </w:tc>
        <w:tc>
          <w:tcPr>
            <w:tcW w:w="1276" w:type="dxa"/>
            <w:shd w:val="clear" w:color="auto" w:fill="FFFFFF"/>
            <w:vAlign w:val="center"/>
          </w:tcPr>
          <w:p w14:paraId="7ADD03FA"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0:53</w:t>
            </w:r>
          </w:p>
        </w:tc>
        <w:tc>
          <w:tcPr>
            <w:tcW w:w="851" w:type="dxa"/>
            <w:shd w:val="clear" w:color="auto" w:fill="FFFFFF"/>
            <w:vAlign w:val="center"/>
          </w:tcPr>
          <w:p w14:paraId="0BEE8DA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0</w:t>
            </w:r>
            <w:r w:rsidRPr="00BF3027">
              <w:rPr>
                <w:rFonts w:ascii="David" w:eastAsia="Times New Roman" w:hAnsi="David" w:cs="David" w:hint="cs"/>
                <w:rtl/>
              </w:rPr>
              <w:t>:32</w:t>
            </w:r>
            <w:r w:rsidRPr="00BF3027">
              <w:rPr>
                <w:rFonts w:ascii="David" w:eastAsia="Times New Roman" w:hAnsi="David" w:cs="David"/>
                <w:rtl/>
              </w:rPr>
              <w:t>-</w:t>
            </w:r>
          </w:p>
        </w:tc>
        <w:tc>
          <w:tcPr>
            <w:tcW w:w="992" w:type="dxa"/>
            <w:shd w:val="clear" w:color="auto" w:fill="FFFFFF"/>
            <w:vAlign w:val="center"/>
          </w:tcPr>
          <w:p w14:paraId="59BCEEA6"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11</w:t>
            </w:r>
          </w:p>
        </w:tc>
      </w:tr>
      <w:tr w:rsidR="002C4CFA" w:rsidRPr="00BF3027" w14:paraId="26E12784" w14:textId="77777777" w:rsidTr="002C4CFA">
        <w:trPr>
          <w:trHeight w:val="433"/>
        </w:trPr>
        <w:tc>
          <w:tcPr>
            <w:tcW w:w="853" w:type="dxa"/>
            <w:shd w:val="clear" w:color="auto" w:fill="D9D9D9"/>
            <w:noWrap/>
            <w:vAlign w:val="center"/>
          </w:tcPr>
          <w:p w14:paraId="13CBF47D"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shd w:val="clear" w:color="auto" w:fill="D9D9D9"/>
            <w:noWrap/>
            <w:vAlign w:val="center"/>
          </w:tcPr>
          <w:p w14:paraId="126F1729"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פלילי</w:t>
            </w:r>
          </w:p>
        </w:tc>
        <w:tc>
          <w:tcPr>
            <w:tcW w:w="1984" w:type="dxa"/>
            <w:shd w:val="clear" w:color="auto" w:fill="D9D9D9"/>
            <w:vAlign w:val="center"/>
          </w:tcPr>
          <w:p w14:paraId="4AD838C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האזנת סתר (הס"ת)</w:t>
            </w:r>
          </w:p>
        </w:tc>
        <w:tc>
          <w:tcPr>
            <w:tcW w:w="1276" w:type="dxa"/>
            <w:shd w:val="clear" w:color="auto" w:fill="D9D9D9"/>
            <w:vAlign w:val="center"/>
          </w:tcPr>
          <w:p w14:paraId="64068BDF"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4,572</w:t>
            </w:r>
          </w:p>
        </w:tc>
        <w:tc>
          <w:tcPr>
            <w:tcW w:w="1417" w:type="dxa"/>
            <w:shd w:val="clear" w:color="auto" w:fill="D9D9D9"/>
            <w:noWrap/>
            <w:vAlign w:val="center"/>
          </w:tcPr>
          <w:p w14:paraId="6A30CD97" w14:textId="77777777" w:rsidR="002C4CFA" w:rsidRPr="00BF3027" w:rsidRDefault="002C4CFA" w:rsidP="002C4CFA">
            <w:pPr>
              <w:spacing w:after="0" w:line="240" w:lineRule="auto"/>
              <w:jc w:val="center"/>
              <w:rPr>
                <w:rFonts w:asciiTheme="minorHAnsi" w:eastAsia="Times New Roman" w:hAnsiTheme="minorHAnsi" w:cs="David"/>
                <w:b/>
                <w:bCs/>
              </w:rPr>
            </w:pPr>
            <w:r w:rsidRPr="00BF3027">
              <w:rPr>
                <w:rFonts w:ascii="David" w:eastAsia="Times New Roman" w:hAnsi="David" w:cs="David"/>
                <w:b/>
                <w:bCs/>
              </w:rPr>
              <w:t>0:15</w:t>
            </w:r>
          </w:p>
        </w:tc>
        <w:tc>
          <w:tcPr>
            <w:tcW w:w="1276" w:type="dxa"/>
            <w:shd w:val="clear" w:color="auto" w:fill="D9D9D9"/>
            <w:vAlign w:val="center"/>
          </w:tcPr>
          <w:p w14:paraId="6D4C030D"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851" w:type="dxa"/>
            <w:shd w:val="clear" w:color="auto" w:fill="D9D9D9"/>
            <w:vAlign w:val="center"/>
          </w:tcPr>
          <w:p w14:paraId="181E0AD4"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992" w:type="dxa"/>
            <w:shd w:val="clear" w:color="auto" w:fill="D9D9D9"/>
            <w:vAlign w:val="center"/>
          </w:tcPr>
          <w:p w14:paraId="5392194B"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8</w:t>
            </w:r>
          </w:p>
        </w:tc>
      </w:tr>
      <w:tr w:rsidR="002C4CFA" w:rsidRPr="00BF3027" w14:paraId="4C723B94" w14:textId="77777777" w:rsidTr="002C4CFA">
        <w:trPr>
          <w:trHeight w:val="413"/>
        </w:trPr>
        <w:tc>
          <w:tcPr>
            <w:tcW w:w="853" w:type="dxa"/>
            <w:shd w:val="clear" w:color="auto" w:fill="FFFFFF"/>
            <w:noWrap/>
            <w:vAlign w:val="center"/>
          </w:tcPr>
          <w:p w14:paraId="26B5C18E"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נוער</w:t>
            </w:r>
          </w:p>
        </w:tc>
        <w:tc>
          <w:tcPr>
            <w:tcW w:w="989" w:type="dxa"/>
            <w:shd w:val="clear" w:color="auto" w:fill="FFFFFF"/>
            <w:noWrap/>
            <w:vAlign w:val="center"/>
          </w:tcPr>
          <w:p w14:paraId="25CF2CD2" w14:textId="77777777" w:rsidR="002C4CFA" w:rsidRPr="00BF3027" w:rsidRDefault="002C4CFA" w:rsidP="002C4CFA">
            <w:pPr>
              <w:spacing w:after="0" w:line="240" w:lineRule="auto"/>
              <w:rPr>
                <w:rFonts w:ascii="David" w:eastAsia="Times New Roman" w:hAnsi="David" w:cs="David"/>
                <w:rtl/>
              </w:rPr>
            </w:pPr>
          </w:p>
        </w:tc>
        <w:tc>
          <w:tcPr>
            <w:tcW w:w="1984" w:type="dxa"/>
            <w:shd w:val="clear" w:color="auto" w:fill="FFFFFF"/>
            <w:vAlign w:val="center"/>
          </w:tcPr>
          <w:p w14:paraId="17F72BAA"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מעצר ימים בהעדר (מי"ב)</w:t>
            </w:r>
          </w:p>
        </w:tc>
        <w:tc>
          <w:tcPr>
            <w:tcW w:w="1276" w:type="dxa"/>
            <w:shd w:val="clear" w:color="auto" w:fill="FFFFFF"/>
            <w:vAlign w:val="center"/>
          </w:tcPr>
          <w:p w14:paraId="0052D527"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748</w:t>
            </w:r>
          </w:p>
        </w:tc>
        <w:tc>
          <w:tcPr>
            <w:tcW w:w="1417" w:type="dxa"/>
            <w:shd w:val="clear" w:color="auto" w:fill="FFFFFF"/>
            <w:noWrap/>
            <w:vAlign w:val="center"/>
          </w:tcPr>
          <w:p w14:paraId="04C7FC15"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hint="cs"/>
                <w:b/>
                <w:bCs/>
                <w:rtl/>
              </w:rPr>
              <w:t>0:15</w:t>
            </w:r>
          </w:p>
        </w:tc>
        <w:tc>
          <w:tcPr>
            <w:tcW w:w="1276" w:type="dxa"/>
            <w:shd w:val="clear" w:color="auto" w:fill="FFFFFF"/>
            <w:vAlign w:val="center"/>
          </w:tcPr>
          <w:p w14:paraId="071E6CFA"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851" w:type="dxa"/>
            <w:shd w:val="clear" w:color="auto" w:fill="FFFFFF"/>
            <w:vAlign w:val="center"/>
          </w:tcPr>
          <w:p w14:paraId="35476F4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shd w:val="clear" w:color="auto" w:fill="FFFFFF"/>
            <w:vAlign w:val="center"/>
          </w:tcPr>
          <w:p w14:paraId="1084A9C9"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8</w:t>
            </w:r>
          </w:p>
        </w:tc>
      </w:tr>
      <w:tr w:rsidR="002C4CFA" w:rsidRPr="00BF3027" w14:paraId="635EB40F" w14:textId="77777777" w:rsidTr="002C4CFA">
        <w:trPr>
          <w:trHeight w:val="630"/>
        </w:trPr>
        <w:tc>
          <w:tcPr>
            <w:tcW w:w="853" w:type="dxa"/>
            <w:tcBorders>
              <w:bottom w:val="single" w:sz="4" w:space="0" w:color="auto"/>
            </w:tcBorders>
            <w:shd w:val="clear" w:color="auto" w:fill="D9D9D9"/>
            <w:noWrap/>
            <w:vAlign w:val="center"/>
          </w:tcPr>
          <w:p w14:paraId="55647DC2"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tcBorders>
              <w:bottom w:val="single" w:sz="4" w:space="0" w:color="auto"/>
            </w:tcBorders>
            <w:shd w:val="clear" w:color="auto" w:fill="D9D9D9"/>
            <w:noWrap/>
            <w:vAlign w:val="center"/>
          </w:tcPr>
          <w:p w14:paraId="0B396DAC" w14:textId="77777777" w:rsidR="002C4CFA" w:rsidRPr="00BF3027" w:rsidRDefault="002C4CFA" w:rsidP="002C4CFA">
            <w:pPr>
              <w:spacing w:after="0" w:line="240" w:lineRule="auto"/>
              <w:rPr>
                <w:rFonts w:asciiTheme="minorHAnsi" w:eastAsia="Times New Roman" w:hAnsiTheme="minorHAnsi" w:cs="David"/>
                <w:rtl/>
              </w:rPr>
            </w:pPr>
            <w:r w:rsidRPr="00BF3027">
              <w:rPr>
                <w:rFonts w:ascii="David" w:eastAsia="Times New Roman" w:hAnsi="David" w:cs="David"/>
                <w:rtl/>
              </w:rPr>
              <w:t>פלילי</w:t>
            </w:r>
          </w:p>
        </w:tc>
        <w:tc>
          <w:tcPr>
            <w:tcW w:w="1984" w:type="dxa"/>
            <w:tcBorders>
              <w:bottom w:val="single" w:sz="4" w:space="0" w:color="auto"/>
            </w:tcBorders>
            <w:shd w:val="clear" w:color="auto" w:fill="D9D9D9"/>
            <w:vAlign w:val="center"/>
          </w:tcPr>
          <w:p w14:paraId="35310C11"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מאסר - קנס מנהלי (מק"מ)</w:t>
            </w:r>
          </w:p>
        </w:tc>
        <w:tc>
          <w:tcPr>
            <w:tcW w:w="1276" w:type="dxa"/>
            <w:tcBorders>
              <w:bottom w:val="single" w:sz="4" w:space="0" w:color="auto"/>
            </w:tcBorders>
            <w:shd w:val="clear" w:color="auto" w:fill="D9D9D9"/>
            <w:vAlign w:val="center"/>
          </w:tcPr>
          <w:p w14:paraId="35A8C4F0"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938</w:t>
            </w:r>
          </w:p>
        </w:tc>
        <w:tc>
          <w:tcPr>
            <w:tcW w:w="1417" w:type="dxa"/>
            <w:tcBorders>
              <w:bottom w:val="single" w:sz="4" w:space="0" w:color="auto"/>
            </w:tcBorders>
            <w:shd w:val="clear" w:color="auto" w:fill="D9D9D9"/>
            <w:noWrap/>
            <w:vAlign w:val="center"/>
          </w:tcPr>
          <w:p w14:paraId="26980015" w14:textId="77777777" w:rsidR="002C4CFA" w:rsidRPr="00BF3027" w:rsidRDefault="002C4CFA" w:rsidP="002C4CFA">
            <w:pPr>
              <w:bidi w:val="0"/>
              <w:spacing w:after="0" w:line="240" w:lineRule="auto"/>
              <w:jc w:val="center"/>
              <w:rPr>
                <w:rFonts w:ascii="David" w:eastAsia="Times New Roman" w:hAnsi="David" w:cs="David"/>
                <w:b/>
                <w:bCs/>
                <w:rtl/>
              </w:rPr>
            </w:pPr>
            <w:r w:rsidRPr="00BF3027">
              <w:rPr>
                <w:rFonts w:ascii="David" w:eastAsia="Times New Roman" w:hAnsi="David" w:cs="David"/>
                <w:b/>
                <w:bCs/>
              </w:rPr>
              <w:t>0:11</w:t>
            </w:r>
          </w:p>
        </w:tc>
        <w:tc>
          <w:tcPr>
            <w:tcW w:w="1276" w:type="dxa"/>
            <w:tcBorders>
              <w:bottom w:val="single" w:sz="4" w:space="0" w:color="auto"/>
            </w:tcBorders>
            <w:shd w:val="clear" w:color="auto" w:fill="D9D9D9"/>
            <w:vAlign w:val="center"/>
          </w:tcPr>
          <w:p w14:paraId="3047F7C0" w14:textId="77777777" w:rsidR="002C4CFA" w:rsidRPr="00BF3027" w:rsidRDefault="002C4CFA" w:rsidP="002C4CFA">
            <w:pPr>
              <w:bidi w:val="0"/>
              <w:spacing w:after="0" w:line="240" w:lineRule="auto"/>
              <w:jc w:val="center"/>
              <w:rPr>
                <w:rFonts w:ascii="David" w:eastAsia="Times New Roman" w:hAnsi="David" w:cs="David"/>
              </w:rPr>
            </w:pPr>
            <w:r w:rsidRPr="00BF3027">
              <w:rPr>
                <w:rFonts w:ascii="David" w:eastAsia="Times New Roman" w:hAnsi="David" w:cs="David"/>
                <w:rtl/>
              </w:rPr>
              <w:t>-</w:t>
            </w:r>
          </w:p>
        </w:tc>
        <w:tc>
          <w:tcPr>
            <w:tcW w:w="851" w:type="dxa"/>
            <w:tcBorders>
              <w:bottom w:val="single" w:sz="4" w:space="0" w:color="auto"/>
            </w:tcBorders>
            <w:shd w:val="clear" w:color="auto" w:fill="D9D9D9"/>
            <w:vAlign w:val="center"/>
          </w:tcPr>
          <w:p w14:paraId="53F85D96" w14:textId="77777777" w:rsidR="002C4CFA" w:rsidRPr="00BF3027" w:rsidRDefault="002C4CFA" w:rsidP="002C4CFA">
            <w:pPr>
              <w:bidi w:val="0"/>
              <w:spacing w:after="0" w:line="240" w:lineRule="auto"/>
              <w:jc w:val="center"/>
              <w:rPr>
                <w:rFonts w:ascii="David" w:eastAsia="Times New Roman" w:hAnsi="David" w:cs="David"/>
              </w:rPr>
            </w:pPr>
            <w:r w:rsidRPr="00BF3027">
              <w:rPr>
                <w:rFonts w:ascii="David" w:eastAsia="Times New Roman" w:hAnsi="David" w:cs="David"/>
                <w:rtl/>
              </w:rPr>
              <w:t>-</w:t>
            </w:r>
          </w:p>
        </w:tc>
        <w:tc>
          <w:tcPr>
            <w:tcW w:w="992" w:type="dxa"/>
            <w:tcBorders>
              <w:bottom w:val="single" w:sz="4" w:space="0" w:color="auto"/>
            </w:tcBorders>
            <w:shd w:val="clear" w:color="auto" w:fill="D9D9D9"/>
            <w:vAlign w:val="center"/>
          </w:tcPr>
          <w:p w14:paraId="7A2B1F5A"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6</w:t>
            </w:r>
          </w:p>
        </w:tc>
      </w:tr>
      <w:tr w:rsidR="002C4CFA" w:rsidRPr="00BF3027" w14:paraId="4D694AAA" w14:textId="77777777" w:rsidTr="002C4CFA">
        <w:trPr>
          <w:trHeight w:val="630"/>
        </w:trPr>
        <w:tc>
          <w:tcPr>
            <w:tcW w:w="853" w:type="dxa"/>
            <w:tcBorders>
              <w:top w:val="single" w:sz="4" w:space="0" w:color="auto"/>
              <w:bottom w:val="single" w:sz="4" w:space="0" w:color="auto"/>
            </w:tcBorders>
            <w:shd w:val="clear" w:color="auto" w:fill="FFFFFF"/>
            <w:noWrap/>
            <w:vAlign w:val="center"/>
          </w:tcPr>
          <w:p w14:paraId="432E80BC"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tcBorders>
              <w:top w:val="single" w:sz="4" w:space="0" w:color="auto"/>
              <w:bottom w:val="single" w:sz="4" w:space="0" w:color="auto"/>
            </w:tcBorders>
            <w:shd w:val="clear" w:color="auto" w:fill="FFFFFF"/>
            <w:noWrap/>
            <w:vAlign w:val="center"/>
          </w:tcPr>
          <w:p w14:paraId="6A0D8B9A"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מעצרים/ פלילי</w:t>
            </w:r>
          </w:p>
        </w:tc>
        <w:tc>
          <w:tcPr>
            <w:tcW w:w="1984" w:type="dxa"/>
            <w:tcBorders>
              <w:top w:val="single" w:sz="4" w:space="0" w:color="auto"/>
              <w:bottom w:val="single" w:sz="4" w:space="0" w:color="auto"/>
            </w:tcBorders>
            <w:shd w:val="clear" w:color="auto" w:fill="FFFFFF"/>
            <w:vAlign w:val="center"/>
          </w:tcPr>
          <w:p w14:paraId="24B194F3"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צו אחר (צ"א)</w:t>
            </w:r>
          </w:p>
        </w:tc>
        <w:tc>
          <w:tcPr>
            <w:tcW w:w="1276" w:type="dxa"/>
            <w:tcBorders>
              <w:top w:val="single" w:sz="4" w:space="0" w:color="auto"/>
              <w:bottom w:val="single" w:sz="4" w:space="0" w:color="auto"/>
            </w:tcBorders>
            <w:shd w:val="clear" w:color="auto" w:fill="FFFFFF"/>
            <w:vAlign w:val="center"/>
          </w:tcPr>
          <w:p w14:paraId="4BABE75F"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75,556</w:t>
            </w:r>
          </w:p>
        </w:tc>
        <w:tc>
          <w:tcPr>
            <w:tcW w:w="1417" w:type="dxa"/>
            <w:tcBorders>
              <w:top w:val="single" w:sz="4" w:space="0" w:color="auto"/>
              <w:bottom w:val="single" w:sz="4" w:space="0" w:color="auto"/>
            </w:tcBorders>
            <w:shd w:val="clear" w:color="auto" w:fill="FFFFFF"/>
            <w:noWrap/>
            <w:vAlign w:val="center"/>
          </w:tcPr>
          <w:p w14:paraId="1CD81117"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0:09</w:t>
            </w:r>
          </w:p>
        </w:tc>
        <w:tc>
          <w:tcPr>
            <w:tcW w:w="1276" w:type="dxa"/>
            <w:tcBorders>
              <w:top w:val="single" w:sz="4" w:space="0" w:color="auto"/>
              <w:bottom w:val="single" w:sz="4" w:space="0" w:color="auto"/>
            </w:tcBorders>
            <w:shd w:val="clear" w:color="auto" w:fill="FFFFFF"/>
            <w:vAlign w:val="center"/>
          </w:tcPr>
          <w:p w14:paraId="28145036"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0:03</w:t>
            </w:r>
          </w:p>
        </w:tc>
        <w:tc>
          <w:tcPr>
            <w:tcW w:w="851" w:type="dxa"/>
            <w:tcBorders>
              <w:top w:val="single" w:sz="4" w:space="0" w:color="auto"/>
              <w:bottom w:val="single" w:sz="4" w:space="0" w:color="auto"/>
            </w:tcBorders>
            <w:shd w:val="clear" w:color="auto" w:fill="FFFFFF"/>
            <w:vAlign w:val="center"/>
          </w:tcPr>
          <w:p w14:paraId="2E55EB94"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0:0</w:t>
            </w:r>
            <w:r w:rsidRPr="00BF3027">
              <w:rPr>
                <w:rFonts w:ascii="David" w:eastAsia="Times New Roman" w:hAnsi="David" w:cs="David" w:hint="cs"/>
                <w:rtl/>
              </w:rPr>
              <w:t>6</w:t>
            </w:r>
            <w:r w:rsidRPr="00BF3027">
              <w:rPr>
                <w:rFonts w:ascii="David" w:eastAsia="Times New Roman" w:hAnsi="David" w:cs="David"/>
                <w:rtl/>
              </w:rPr>
              <w:t>+</w:t>
            </w:r>
          </w:p>
        </w:tc>
        <w:tc>
          <w:tcPr>
            <w:tcW w:w="992" w:type="dxa"/>
            <w:tcBorders>
              <w:top w:val="single" w:sz="4" w:space="0" w:color="auto"/>
              <w:bottom w:val="single" w:sz="4" w:space="0" w:color="auto"/>
            </w:tcBorders>
            <w:shd w:val="clear" w:color="auto" w:fill="FFFFFF"/>
            <w:vAlign w:val="center"/>
          </w:tcPr>
          <w:p w14:paraId="313B5CF1"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5</w:t>
            </w:r>
          </w:p>
        </w:tc>
      </w:tr>
      <w:tr w:rsidR="002C4CFA" w:rsidRPr="00BF3027" w14:paraId="688DA79E" w14:textId="77777777" w:rsidTr="002C4CFA">
        <w:trPr>
          <w:trHeight w:val="472"/>
        </w:trPr>
        <w:tc>
          <w:tcPr>
            <w:tcW w:w="853" w:type="dxa"/>
            <w:tcBorders>
              <w:top w:val="single" w:sz="4" w:space="0" w:color="auto"/>
            </w:tcBorders>
            <w:shd w:val="clear" w:color="auto" w:fill="D9D9D9"/>
            <w:noWrap/>
            <w:vAlign w:val="center"/>
          </w:tcPr>
          <w:p w14:paraId="5B622FAD"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tcBorders>
              <w:top w:val="single" w:sz="4" w:space="0" w:color="auto"/>
            </w:tcBorders>
            <w:shd w:val="clear" w:color="auto" w:fill="D9D9D9"/>
            <w:noWrap/>
            <w:vAlign w:val="center"/>
          </w:tcPr>
          <w:p w14:paraId="60CBEA78"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מעצרים/ פלילי</w:t>
            </w:r>
          </w:p>
        </w:tc>
        <w:tc>
          <w:tcPr>
            <w:tcW w:w="1984" w:type="dxa"/>
            <w:tcBorders>
              <w:top w:val="single" w:sz="4" w:space="0" w:color="auto"/>
            </w:tcBorders>
            <w:shd w:val="clear" w:color="auto" w:fill="D9D9D9"/>
            <w:vAlign w:val="center"/>
          </w:tcPr>
          <w:p w14:paraId="09EEE9A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צו חיפוש / צו כניסה (צ"ח)</w:t>
            </w:r>
          </w:p>
        </w:tc>
        <w:tc>
          <w:tcPr>
            <w:tcW w:w="1276" w:type="dxa"/>
            <w:tcBorders>
              <w:top w:val="single" w:sz="4" w:space="0" w:color="auto"/>
            </w:tcBorders>
            <w:shd w:val="clear" w:color="auto" w:fill="D9D9D9"/>
            <w:vAlign w:val="center"/>
          </w:tcPr>
          <w:p w14:paraId="2D860F92"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71,360</w:t>
            </w:r>
          </w:p>
        </w:tc>
        <w:tc>
          <w:tcPr>
            <w:tcW w:w="1417" w:type="dxa"/>
            <w:tcBorders>
              <w:top w:val="single" w:sz="4" w:space="0" w:color="auto"/>
            </w:tcBorders>
            <w:shd w:val="clear" w:color="auto" w:fill="D9D9D9"/>
            <w:noWrap/>
            <w:vAlign w:val="center"/>
          </w:tcPr>
          <w:p w14:paraId="0B102976" w14:textId="77777777" w:rsidR="002C4CFA" w:rsidRPr="00BF3027" w:rsidRDefault="002C4CFA" w:rsidP="002C4CFA">
            <w:pPr>
              <w:spacing w:after="0" w:line="240" w:lineRule="auto"/>
              <w:jc w:val="center"/>
              <w:rPr>
                <w:rFonts w:asciiTheme="minorHAnsi" w:eastAsia="Times New Roman" w:hAnsiTheme="minorHAnsi" w:cs="David"/>
                <w:b/>
                <w:bCs/>
              </w:rPr>
            </w:pPr>
            <w:r w:rsidRPr="00BF3027">
              <w:rPr>
                <w:rFonts w:ascii="David" w:eastAsia="Times New Roman" w:hAnsi="David" w:cs="David"/>
                <w:b/>
                <w:bCs/>
              </w:rPr>
              <w:t>0:08</w:t>
            </w:r>
          </w:p>
        </w:tc>
        <w:tc>
          <w:tcPr>
            <w:tcW w:w="1276" w:type="dxa"/>
            <w:tcBorders>
              <w:top w:val="single" w:sz="4" w:space="0" w:color="auto"/>
            </w:tcBorders>
            <w:shd w:val="clear" w:color="auto" w:fill="D9D9D9"/>
            <w:vAlign w:val="center"/>
          </w:tcPr>
          <w:p w14:paraId="06134A0B"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0:03</w:t>
            </w:r>
          </w:p>
        </w:tc>
        <w:tc>
          <w:tcPr>
            <w:tcW w:w="851" w:type="dxa"/>
            <w:tcBorders>
              <w:top w:val="single" w:sz="4" w:space="0" w:color="auto"/>
            </w:tcBorders>
            <w:shd w:val="clear" w:color="auto" w:fill="D9D9D9"/>
            <w:vAlign w:val="center"/>
          </w:tcPr>
          <w:p w14:paraId="2D0C47FD"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0:0</w:t>
            </w:r>
            <w:r w:rsidRPr="00BF3027">
              <w:rPr>
                <w:rFonts w:ascii="David" w:eastAsia="Times New Roman" w:hAnsi="David" w:cs="David" w:hint="cs"/>
                <w:rtl/>
              </w:rPr>
              <w:t>5</w:t>
            </w:r>
            <w:r w:rsidRPr="00BF3027">
              <w:rPr>
                <w:rFonts w:ascii="David" w:eastAsia="Times New Roman" w:hAnsi="David" w:cs="David"/>
                <w:rtl/>
              </w:rPr>
              <w:t>+</w:t>
            </w:r>
          </w:p>
        </w:tc>
        <w:tc>
          <w:tcPr>
            <w:tcW w:w="992" w:type="dxa"/>
            <w:tcBorders>
              <w:top w:val="single" w:sz="4" w:space="0" w:color="auto"/>
            </w:tcBorders>
            <w:shd w:val="clear" w:color="auto" w:fill="D9D9D9"/>
            <w:vAlign w:val="center"/>
          </w:tcPr>
          <w:p w14:paraId="4B326D08"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4</w:t>
            </w:r>
          </w:p>
        </w:tc>
      </w:tr>
      <w:tr w:rsidR="002C4CFA" w:rsidRPr="00BF3027" w14:paraId="4B9DA2D3" w14:textId="77777777" w:rsidTr="002C4CFA">
        <w:trPr>
          <w:trHeight w:val="315"/>
        </w:trPr>
        <w:tc>
          <w:tcPr>
            <w:tcW w:w="853" w:type="dxa"/>
            <w:tcBorders>
              <w:bottom w:val="single" w:sz="4" w:space="0" w:color="auto"/>
            </w:tcBorders>
            <w:shd w:val="clear" w:color="auto" w:fill="FFFFFF"/>
            <w:noWrap/>
            <w:vAlign w:val="center"/>
          </w:tcPr>
          <w:p w14:paraId="1D643ED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שלום</w:t>
            </w:r>
          </w:p>
        </w:tc>
        <w:tc>
          <w:tcPr>
            <w:tcW w:w="989" w:type="dxa"/>
            <w:tcBorders>
              <w:bottom w:val="single" w:sz="4" w:space="0" w:color="auto"/>
            </w:tcBorders>
            <w:shd w:val="clear" w:color="auto" w:fill="FFFFFF"/>
            <w:noWrap/>
            <w:vAlign w:val="center"/>
          </w:tcPr>
          <w:p w14:paraId="29CB0A1B"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מעצרים/ פלילי</w:t>
            </w:r>
          </w:p>
        </w:tc>
        <w:tc>
          <w:tcPr>
            <w:tcW w:w="1984" w:type="dxa"/>
            <w:tcBorders>
              <w:bottom w:val="single" w:sz="4" w:space="0" w:color="auto"/>
            </w:tcBorders>
            <w:shd w:val="clear" w:color="auto" w:fill="FFFFFF"/>
            <w:vAlign w:val="center"/>
          </w:tcPr>
          <w:p w14:paraId="6D4F8566"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מעצר ימים בהעדר (מי"ב)</w:t>
            </w:r>
          </w:p>
        </w:tc>
        <w:tc>
          <w:tcPr>
            <w:tcW w:w="1276" w:type="dxa"/>
            <w:tcBorders>
              <w:bottom w:val="single" w:sz="4" w:space="0" w:color="auto"/>
            </w:tcBorders>
            <w:shd w:val="clear" w:color="auto" w:fill="FFFFFF"/>
            <w:vAlign w:val="center"/>
          </w:tcPr>
          <w:p w14:paraId="1EBD80DC"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13,037</w:t>
            </w:r>
          </w:p>
        </w:tc>
        <w:tc>
          <w:tcPr>
            <w:tcW w:w="1417" w:type="dxa"/>
            <w:tcBorders>
              <w:bottom w:val="single" w:sz="4" w:space="0" w:color="auto"/>
            </w:tcBorders>
            <w:shd w:val="clear" w:color="auto" w:fill="FFFFFF"/>
            <w:noWrap/>
            <w:vAlign w:val="center"/>
          </w:tcPr>
          <w:p w14:paraId="6705337D"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0:08</w:t>
            </w:r>
          </w:p>
        </w:tc>
        <w:tc>
          <w:tcPr>
            <w:tcW w:w="1276" w:type="dxa"/>
            <w:tcBorders>
              <w:bottom w:val="single" w:sz="4" w:space="0" w:color="auto"/>
            </w:tcBorders>
            <w:shd w:val="clear" w:color="auto" w:fill="FFFFFF"/>
            <w:vAlign w:val="center"/>
          </w:tcPr>
          <w:p w14:paraId="4D952BC2"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0:08</w:t>
            </w:r>
          </w:p>
        </w:tc>
        <w:tc>
          <w:tcPr>
            <w:tcW w:w="851" w:type="dxa"/>
            <w:tcBorders>
              <w:bottom w:val="single" w:sz="4" w:space="0" w:color="auto"/>
            </w:tcBorders>
            <w:shd w:val="clear" w:color="auto" w:fill="FFFFFF"/>
            <w:vAlign w:val="center"/>
          </w:tcPr>
          <w:p w14:paraId="6EBC9A2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hint="cs"/>
                <w:rtl/>
              </w:rPr>
              <w:t>0:00</w:t>
            </w:r>
          </w:p>
        </w:tc>
        <w:tc>
          <w:tcPr>
            <w:tcW w:w="992" w:type="dxa"/>
            <w:tcBorders>
              <w:bottom w:val="single" w:sz="4" w:space="0" w:color="auto"/>
            </w:tcBorders>
            <w:shd w:val="clear" w:color="auto" w:fill="FFFFFF"/>
            <w:vAlign w:val="center"/>
          </w:tcPr>
          <w:p w14:paraId="54729A7D"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4</w:t>
            </w:r>
          </w:p>
        </w:tc>
      </w:tr>
      <w:tr w:rsidR="002C4CFA" w:rsidRPr="00BF3027" w14:paraId="29220E08" w14:textId="77777777" w:rsidTr="002C4CFA">
        <w:trPr>
          <w:trHeight w:val="595"/>
        </w:trPr>
        <w:tc>
          <w:tcPr>
            <w:tcW w:w="853" w:type="dxa"/>
            <w:tcBorders>
              <w:top w:val="single" w:sz="4" w:space="0" w:color="auto"/>
              <w:bottom w:val="single" w:sz="4" w:space="0" w:color="auto"/>
            </w:tcBorders>
            <w:shd w:val="clear" w:color="auto" w:fill="D0CECE" w:themeFill="background2" w:themeFillShade="E6"/>
            <w:noWrap/>
            <w:vAlign w:val="center"/>
          </w:tcPr>
          <w:p w14:paraId="797C445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hint="cs"/>
                <w:rtl/>
              </w:rPr>
              <w:t>תעבורה</w:t>
            </w:r>
          </w:p>
        </w:tc>
        <w:tc>
          <w:tcPr>
            <w:tcW w:w="989" w:type="dxa"/>
            <w:tcBorders>
              <w:top w:val="single" w:sz="4" w:space="0" w:color="auto"/>
              <w:bottom w:val="single" w:sz="4" w:space="0" w:color="auto"/>
            </w:tcBorders>
            <w:shd w:val="clear" w:color="auto" w:fill="D0CECE" w:themeFill="background2" w:themeFillShade="E6"/>
            <w:noWrap/>
            <w:vAlign w:val="center"/>
          </w:tcPr>
          <w:p w14:paraId="2F5635E4"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מעצרים/ פלילי</w:t>
            </w:r>
          </w:p>
        </w:tc>
        <w:tc>
          <w:tcPr>
            <w:tcW w:w="1984" w:type="dxa"/>
            <w:tcBorders>
              <w:top w:val="single" w:sz="4" w:space="0" w:color="auto"/>
              <w:bottom w:val="single" w:sz="4" w:space="0" w:color="auto"/>
            </w:tcBorders>
            <w:shd w:val="clear" w:color="auto" w:fill="D0CECE" w:themeFill="background2" w:themeFillShade="E6"/>
            <w:vAlign w:val="center"/>
          </w:tcPr>
          <w:p w14:paraId="195E2A8C"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צו אחר (צ"א)</w:t>
            </w:r>
          </w:p>
        </w:tc>
        <w:tc>
          <w:tcPr>
            <w:tcW w:w="1276" w:type="dxa"/>
            <w:tcBorders>
              <w:top w:val="single" w:sz="4" w:space="0" w:color="auto"/>
              <w:bottom w:val="single" w:sz="4" w:space="0" w:color="auto"/>
            </w:tcBorders>
            <w:shd w:val="clear" w:color="auto" w:fill="D0CECE" w:themeFill="background2" w:themeFillShade="E6"/>
            <w:vAlign w:val="center"/>
          </w:tcPr>
          <w:p w14:paraId="4C92F19C"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hint="cs"/>
                <w:rtl/>
              </w:rPr>
              <w:t>487</w:t>
            </w:r>
          </w:p>
        </w:tc>
        <w:tc>
          <w:tcPr>
            <w:tcW w:w="1417" w:type="dxa"/>
            <w:tcBorders>
              <w:top w:val="single" w:sz="4" w:space="0" w:color="auto"/>
              <w:bottom w:val="single" w:sz="4" w:space="0" w:color="auto"/>
            </w:tcBorders>
            <w:shd w:val="clear" w:color="auto" w:fill="D0CECE" w:themeFill="background2" w:themeFillShade="E6"/>
            <w:noWrap/>
            <w:vAlign w:val="center"/>
          </w:tcPr>
          <w:p w14:paraId="3C4BC2B7"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hint="cs"/>
                <w:b/>
                <w:bCs/>
                <w:rtl/>
              </w:rPr>
              <w:t>0:08</w:t>
            </w:r>
          </w:p>
        </w:tc>
        <w:tc>
          <w:tcPr>
            <w:tcW w:w="1276" w:type="dxa"/>
            <w:tcBorders>
              <w:top w:val="single" w:sz="4" w:space="0" w:color="auto"/>
              <w:bottom w:val="single" w:sz="4" w:space="0" w:color="auto"/>
            </w:tcBorders>
            <w:shd w:val="clear" w:color="auto" w:fill="D0CECE" w:themeFill="background2" w:themeFillShade="E6"/>
            <w:vAlign w:val="center"/>
          </w:tcPr>
          <w:p w14:paraId="4179C68A"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w:t>
            </w:r>
          </w:p>
        </w:tc>
        <w:tc>
          <w:tcPr>
            <w:tcW w:w="851" w:type="dxa"/>
            <w:tcBorders>
              <w:top w:val="single" w:sz="4" w:space="0" w:color="auto"/>
              <w:bottom w:val="single" w:sz="4" w:space="0" w:color="auto"/>
            </w:tcBorders>
            <w:shd w:val="clear" w:color="auto" w:fill="D0CECE" w:themeFill="background2" w:themeFillShade="E6"/>
            <w:vAlign w:val="center"/>
          </w:tcPr>
          <w:p w14:paraId="77C270B9"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w:t>
            </w:r>
          </w:p>
        </w:tc>
        <w:tc>
          <w:tcPr>
            <w:tcW w:w="992" w:type="dxa"/>
            <w:tcBorders>
              <w:top w:val="single" w:sz="4" w:space="0" w:color="auto"/>
              <w:bottom w:val="single" w:sz="4" w:space="0" w:color="auto"/>
            </w:tcBorders>
            <w:shd w:val="clear" w:color="auto" w:fill="D0CECE" w:themeFill="background2" w:themeFillShade="E6"/>
            <w:vAlign w:val="center"/>
          </w:tcPr>
          <w:p w14:paraId="796B6C2E"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4</w:t>
            </w:r>
          </w:p>
        </w:tc>
      </w:tr>
      <w:tr w:rsidR="002C4CFA" w:rsidRPr="00BF3027" w14:paraId="0A2D4522" w14:textId="77777777" w:rsidTr="002C4CFA">
        <w:trPr>
          <w:trHeight w:val="595"/>
        </w:trPr>
        <w:tc>
          <w:tcPr>
            <w:tcW w:w="853" w:type="dxa"/>
            <w:tcBorders>
              <w:top w:val="single" w:sz="4" w:space="0" w:color="auto"/>
              <w:bottom w:val="single" w:sz="4" w:space="0" w:color="auto"/>
            </w:tcBorders>
            <w:shd w:val="clear" w:color="auto" w:fill="auto"/>
            <w:noWrap/>
            <w:vAlign w:val="center"/>
          </w:tcPr>
          <w:p w14:paraId="1A812359"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מחוזי</w:t>
            </w:r>
          </w:p>
        </w:tc>
        <w:tc>
          <w:tcPr>
            <w:tcW w:w="989" w:type="dxa"/>
            <w:tcBorders>
              <w:top w:val="single" w:sz="4" w:space="0" w:color="auto"/>
              <w:bottom w:val="single" w:sz="4" w:space="0" w:color="auto"/>
            </w:tcBorders>
            <w:shd w:val="clear" w:color="auto" w:fill="auto"/>
            <w:noWrap/>
            <w:vAlign w:val="center"/>
          </w:tcPr>
          <w:p w14:paraId="6735CA06"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אזרחי</w:t>
            </w:r>
          </w:p>
        </w:tc>
        <w:tc>
          <w:tcPr>
            <w:tcW w:w="1984" w:type="dxa"/>
            <w:tcBorders>
              <w:top w:val="single" w:sz="4" w:space="0" w:color="auto"/>
              <w:bottom w:val="single" w:sz="4" w:space="0" w:color="auto"/>
            </w:tcBorders>
            <w:shd w:val="clear" w:color="auto" w:fill="auto"/>
            <w:vAlign w:val="center"/>
          </w:tcPr>
          <w:p w14:paraId="159426F8"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ניהול רכושם של נעדרים או שבויים (נע"ד)</w:t>
            </w:r>
          </w:p>
        </w:tc>
        <w:tc>
          <w:tcPr>
            <w:tcW w:w="1276" w:type="dxa"/>
            <w:tcBorders>
              <w:top w:val="single" w:sz="4" w:space="0" w:color="auto"/>
              <w:bottom w:val="single" w:sz="4" w:space="0" w:color="auto"/>
            </w:tcBorders>
            <w:shd w:val="clear" w:color="auto" w:fill="auto"/>
            <w:vAlign w:val="center"/>
          </w:tcPr>
          <w:p w14:paraId="6FA7A2F3"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tl/>
              </w:rPr>
              <w:t>219</w:t>
            </w:r>
          </w:p>
        </w:tc>
        <w:tc>
          <w:tcPr>
            <w:tcW w:w="1417" w:type="dxa"/>
            <w:tcBorders>
              <w:top w:val="single" w:sz="4" w:space="0" w:color="auto"/>
              <w:bottom w:val="single" w:sz="4" w:space="0" w:color="auto"/>
            </w:tcBorders>
            <w:shd w:val="clear" w:color="auto" w:fill="auto"/>
            <w:noWrap/>
            <w:vAlign w:val="center"/>
          </w:tcPr>
          <w:p w14:paraId="0D234096" w14:textId="77777777" w:rsidR="002C4CFA" w:rsidRPr="00BF3027" w:rsidRDefault="002C4CFA" w:rsidP="002C4CFA">
            <w:pPr>
              <w:spacing w:after="0" w:line="240" w:lineRule="auto"/>
              <w:jc w:val="center"/>
              <w:rPr>
                <w:rFonts w:ascii="David" w:eastAsia="Times New Roman" w:hAnsi="David" w:cs="David"/>
                <w:b/>
                <w:bCs/>
              </w:rPr>
            </w:pPr>
            <w:r w:rsidRPr="00BF3027">
              <w:rPr>
                <w:rFonts w:ascii="David" w:eastAsia="Times New Roman" w:hAnsi="David" w:cs="David"/>
                <w:b/>
                <w:bCs/>
              </w:rPr>
              <w:t>0:04</w:t>
            </w:r>
          </w:p>
        </w:tc>
        <w:tc>
          <w:tcPr>
            <w:tcW w:w="1276" w:type="dxa"/>
            <w:tcBorders>
              <w:top w:val="single" w:sz="4" w:space="0" w:color="auto"/>
              <w:bottom w:val="single" w:sz="4" w:space="0" w:color="auto"/>
            </w:tcBorders>
            <w:shd w:val="clear" w:color="auto" w:fill="auto"/>
            <w:vAlign w:val="center"/>
          </w:tcPr>
          <w:p w14:paraId="1C717B28"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851" w:type="dxa"/>
            <w:tcBorders>
              <w:top w:val="single" w:sz="4" w:space="0" w:color="auto"/>
              <w:bottom w:val="single" w:sz="4" w:space="0" w:color="auto"/>
            </w:tcBorders>
            <w:shd w:val="clear" w:color="auto" w:fill="auto"/>
            <w:vAlign w:val="center"/>
          </w:tcPr>
          <w:p w14:paraId="488E7E01"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992" w:type="dxa"/>
            <w:tcBorders>
              <w:top w:val="single" w:sz="4" w:space="0" w:color="auto"/>
              <w:bottom w:val="single" w:sz="4" w:space="0" w:color="auto"/>
            </w:tcBorders>
            <w:shd w:val="clear" w:color="auto" w:fill="auto"/>
            <w:vAlign w:val="center"/>
          </w:tcPr>
          <w:p w14:paraId="1D84C95A"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hint="cs"/>
                <w:rtl/>
              </w:rPr>
              <w:t>2</w:t>
            </w:r>
          </w:p>
        </w:tc>
      </w:tr>
      <w:tr w:rsidR="002C4CFA" w:rsidRPr="00BF3027" w14:paraId="1BDBF6E7" w14:textId="77777777" w:rsidTr="002C4CFA">
        <w:trPr>
          <w:trHeight w:val="424"/>
        </w:trPr>
        <w:tc>
          <w:tcPr>
            <w:tcW w:w="853" w:type="dxa"/>
            <w:tcBorders>
              <w:top w:val="single" w:sz="4" w:space="0" w:color="auto"/>
              <w:bottom w:val="single" w:sz="4" w:space="0" w:color="auto"/>
            </w:tcBorders>
            <w:shd w:val="clear" w:color="auto" w:fill="D0CECE" w:themeFill="background2" w:themeFillShade="E6"/>
            <w:noWrap/>
            <w:vAlign w:val="center"/>
          </w:tcPr>
          <w:p w14:paraId="05C1EF1D"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נוער</w:t>
            </w:r>
          </w:p>
        </w:tc>
        <w:tc>
          <w:tcPr>
            <w:tcW w:w="989" w:type="dxa"/>
            <w:tcBorders>
              <w:top w:val="single" w:sz="4" w:space="0" w:color="auto"/>
              <w:bottom w:val="single" w:sz="4" w:space="0" w:color="auto"/>
            </w:tcBorders>
            <w:shd w:val="clear" w:color="auto" w:fill="D0CECE" w:themeFill="background2" w:themeFillShade="E6"/>
            <w:noWrap/>
            <w:vAlign w:val="center"/>
          </w:tcPr>
          <w:p w14:paraId="7BFEE321" w14:textId="77777777" w:rsidR="002C4CFA" w:rsidRPr="00BF3027" w:rsidRDefault="002C4CFA" w:rsidP="002C4CFA">
            <w:pPr>
              <w:spacing w:after="0" w:line="240" w:lineRule="auto"/>
              <w:rPr>
                <w:rFonts w:ascii="David" w:eastAsia="Times New Roman" w:hAnsi="David" w:cs="David"/>
                <w:rtl/>
              </w:rPr>
            </w:pPr>
          </w:p>
        </w:tc>
        <w:tc>
          <w:tcPr>
            <w:tcW w:w="1984" w:type="dxa"/>
            <w:tcBorders>
              <w:top w:val="single" w:sz="4" w:space="0" w:color="auto"/>
              <w:bottom w:val="single" w:sz="4" w:space="0" w:color="auto"/>
            </w:tcBorders>
            <w:shd w:val="clear" w:color="auto" w:fill="D0CECE" w:themeFill="background2" w:themeFillShade="E6"/>
            <w:vAlign w:val="center"/>
          </w:tcPr>
          <w:p w14:paraId="7C5C60A5"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צו חיפוש / צו כניסה (צ"ח)</w:t>
            </w:r>
          </w:p>
        </w:tc>
        <w:tc>
          <w:tcPr>
            <w:tcW w:w="1276" w:type="dxa"/>
            <w:tcBorders>
              <w:top w:val="single" w:sz="4" w:space="0" w:color="auto"/>
              <w:bottom w:val="single" w:sz="4" w:space="0" w:color="auto"/>
            </w:tcBorders>
            <w:shd w:val="clear" w:color="auto" w:fill="D0CECE" w:themeFill="background2" w:themeFillShade="E6"/>
            <w:vAlign w:val="center"/>
          </w:tcPr>
          <w:p w14:paraId="7EF49D4A"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1,503</w:t>
            </w:r>
          </w:p>
        </w:tc>
        <w:tc>
          <w:tcPr>
            <w:tcW w:w="1417" w:type="dxa"/>
            <w:tcBorders>
              <w:top w:val="single" w:sz="4" w:space="0" w:color="auto"/>
              <w:bottom w:val="single" w:sz="4" w:space="0" w:color="auto"/>
            </w:tcBorders>
            <w:shd w:val="clear" w:color="auto" w:fill="D0CECE" w:themeFill="background2" w:themeFillShade="E6"/>
            <w:noWrap/>
            <w:vAlign w:val="center"/>
          </w:tcPr>
          <w:p w14:paraId="094309C3"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0:03</w:t>
            </w:r>
          </w:p>
        </w:tc>
        <w:tc>
          <w:tcPr>
            <w:tcW w:w="1276" w:type="dxa"/>
            <w:tcBorders>
              <w:top w:val="single" w:sz="4" w:space="0" w:color="auto"/>
              <w:bottom w:val="single" w:sz="4" w:space="0" w:color="auto"/>
            </w:tcBorders>
            <w:shd w:val="clear" w:color="auto" w:fill="D0CECE" w:themeFill="background2" w:themeFillShade="E6"/>
            <w:vAlign w:val="center"/>
          </w:tcPr>
          <w:p w14:paraId="6BDA2447"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w:t>
            </w:r>
          </w:p>
        </w:tc>
        <w:tc>
          <w:tcPr>
            <w:tcW w:w="851" w:type="dxa"/>
            <w:tcBorders>
              <w:top w:val="single" w:sz="4" w:space="0" w:color="auto"/>
              <w:bottom w:val="single" w:sz="4" w:space="0" w:color="auto"/>
            </w:tcBorders>
            <w:shd w:val="clear" w:color="auto" w:fill="D0CECE" w:themeFill="background2" w:themeFillShade="E6"/>
            <w:vAlign w:val="center"/>
          </w:tcPr>
          <w:p w14:paraId="2AAE989A"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tcBorders>
              <w:top w:val="single" w:sz="4" w:space="0" w:color="auto"/>
              <w:bottom w:val="single" w:sz="4" w:space="0" w:color="auto"/>
            </w:tcBorders>
            <w:shd w:val="clear" w:color="auto" w:fill="D0CECE" w:themeFill="background2" w:themeFillShade="E6"/>
            <w:vAlign w:val="center"/>
          </w:tcPr>
          <w:p w14:paraId="07211980"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2</w:t>
            </w:r>
          </w:p>
        </w:tc>
      </w:tr>
      <w:tr w:rsidR="002C4CFA" w:rsidRPr="00BF3027" w14:paraId="4ECE3F02" w14:textId="77777777" w:rsidTr="002C4CFA">
        <w:trPr>
          <w:trHeight w:val="315"/>
        </w:trPr>
        <w:tc>
          <w:tcPr>
            <w:tcW w:w="853" w:type="dxa"/>
            <w:tcBorders>
              <w:top w:val="single" w:sz="4" w:space="0" w:color="auto"/>
            </w:tcBorders>
            <w:shd w:val="clear" w:color="auto" w:fill="FFFFFF"/>
            <w:noWrap/>
            <w:vAlign w:val="center"/>
          </w:tcPr>
          <w:p w14:paraId="609BC69F"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נוער</w:t>
            </w:r>
          </w:p>
        </w:tc>
        <w:tc>
          <w:tcPr>
            <w:tcW w:w="989" w:type="dxa"/>
            <w:tcBorders>
              <w:top w:val="single" w:sz="4" w:space="0" w:color="auto"/>
            </w:tcBorders>
            <w:shd w:val="clear" w:color="auto" w:fill="FFFFFF"/>
            <w:noWrap/>
            <w:vAlign w:val="center"/>
          </w:tcPr>
          <w:p w14:paraId="531F9F45" w14:textId="77777777" w:rsidR="002C4CFA" w:rsidRPr="00BF3027" w:rsidRDefault="002C4CFA" w:rsidP="002C4CFA">
            <w:pPr>
              <w:spacing w:after="0" w:line="240" w:lineRule="auto"/>
              <w:rPr>
                <w:rFonts w:ascii="David" w:eastAsia="Times New Roman" w:hAnsi="David" w:cs="David"/>
                <w:rtl/>
              </w:rPr>
            </w:pPr>
          </w:p>
        </w:tc>
        <w:tc>
          <w:tcPr>
            <w:tcW w:w="1984" w:type="dxa"/>
            <w:tcBorders>
              <w:top w:val="single" w:sz="4" w:space="0" w:color="auto"/>
            </w:tcBorders>
            <w:shd w:val="clear" w:color="auto" w:fill="FFFFFF"/>
            <w:vAlign w:val="center"/>
          </w:tcPr>
          <w:p w14:paraId="7F2E0E47"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מינוי סנגור טרם כתב אישום (מס"ט)</w:t>
            </w:r>
          </w:p>
        </w:tc>
        <w:tc>
          <w:tcPr>
            <w:tcW w:w="1276" w:type="dxa"/>
            <w:tcBorders>
              <w:top w:val="single" w:sz="4" w:space="0" w:color="auto"/>
            </w:tcBorders>
            <w:shd w:val="clear" w:color="auto" w:fill="FFFFFF"/>
            <w:vAlign w:val="center"/>
          </w:tcPr>
          <w:p w14:paraId="24E6AF6F"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297</w:t>
            </w:r>
          </w:p>
        </w:tc>
        <w:tc>
          <w:tcPr>
            <w:tcW w:w="1417" w:type="dxa"/>
            <w:tcBorders>
              <w:top w:val="single" w:sz="4" w:space="0" w:color="auto"/>
            </w:tcBorders>
            <w:shd w:val="clear" w:color="auto" w:fill="FFFFFF"/>
            <w:noWrap/>
            <w:vAlign w:val="center"/>
          </w:tcPr>
          <w:p w14:paraId="40E4EFB2" w14:textId="77777777" w:rsidR="002C4CFA" w:rsidRPr="00BF3027" w:rsidRDefault="002C4CFA" w:rsidP="002C4CFA">
            <w:pPr>
              <w:spacing w:after="0" w:line="240" w:lineRule="auto"/>
              <w:jc w:val="center"/>
              <w:rPr>
                <w:rFonts w:ascii="David" w:eastAsia="Times New Roman" w:hAnsi="David" w:cs="David"/>
                <w:b/>
                <w:bCs/>
                <w:rtl/>
              </w:rPr>
            </w:pPr>
            <w:r w:rsidRPr="00BF3027">
              <w:rPr>
                <w:rFonts w:ascii="David" w:eastAsia="Times New Roman" w:hAnsi="David" w:cs="David"/>
                <w:b/>
                <w:bCs/>
              </w:rPr>
              <w:t>0:02</w:t>
            </w:r>
          </w:p>
        </w:tc>
        <w:tc>
          <w:tcPr>
            <w:tcW w:w="1276" w:type="dxa"/>
            <w:tcBorders>
              <w:top w:val="single" w:sz="4" w:space="0" w:color="auto"/>
            </w:tcBorders>
            <w:shd w:val="clear" w:color="auto" w:fill="FFFFFF"/>
            <w:vAlign w:val="center"/>
          </w:tcPr>
          <w:p w14:paraId="29CC4640"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851" w:type="dxa"/>
            <w:tcBorders>
              <w:top w:val="single" w:sz="4" w:space="0" w:color="auto"/>
            </w:tcBorders>
            <w:shd w:val="clear" w:color="auto" w:fill="FFFFFF"/>
            <w:vAlign w:val="center"/>
          </w:tcPr>
          <w:p w14:paraId="1CAFBCC6"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w:t>
            </w:r>
          </w:p>
        </w:tc>
        <w:tc>
          <w:tcPr>
            <w:tcW w:w="992" w:type="dxa"/>
            <w:tcBorders>
              <w:top w:val="single" w:sz="4" w:space="0" w:color="auto"/>
            </w:tcBorders>
            <w:shd w:val="clear" w:color="auto" w:fill="FFFFFF"/>
            <w:vAlign w:val="center"/>
          </w:tcPr>
          <w:p w14:paraId="1CE9C243"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w:t>
            </w:r>
          </w:p>
        </w:tc>
      </w:tr>
      <w:tr w:rsidR="002C4CFA" w:rsidRPr="00BF3027" w14:paraId="581B5B71" w14:textId="77777777" w:rsidTr="002C4CFA">
        <w:trPr>
          <w:trHeight w:val="315"/>
        </w:trPr>
        <w:tc>
          <w:tcPr>
            <w:tcW w:w="853" w:type="dxa"/>
            <w:tcBorders>
              <w:bottom w:val="single" w:sz="4" w:space="0" w:color="auto"/>
            </w:tcBorders>
            <w:shd w:val="clear" w:color="auto" w:fill="D0CECE" w:themeFill="background2" w:themeFillShade="E6"/>
            <w:noWrap/>
            <w:vAlign w:val="center"/>
          </w:tcPr>
          <w:p w14:paraId="5954122E" w14:textId="77777777" w:rsidR="002C4CFA" w:rsidRPr="00BF3027" w:rsidRDefault="002C4CFA" w:rsidP="002C4CFA">
            <w:pPr>
              <w:spacing w:after="0" w:line="240" w:lineRule="auto"/>
              <w:rPr>
                <w:rFonts w:ascii="David" w:eastAsia="Times New Roman" w:hAnsi="David" w:cs="David"/>
                <w:rtl/>
              </w:rPr>
            </w:pPr>
            <w:r w:rsidRPr="00BF3027">
              <w:rPr>
                <w:rFonts w:ascii="David" w:eastAsia="Times New Roman" w:hAnsi="David" w:cs="David"/>
                <w:rtl/>
              </w:rPr>
              <w:t>נוער</w:t>
            </w:r>
          </w:p>
        </w:tc>
        <w:tc>
          <w:tcPr>
            <w:tcW w:w="989" w:type="dxa"/>
            <w:tcBorders>
              <w:bottom w:val="single" w:sz="4" w:space="0" w:color="auto"/>
            </w:tcBorders>
            <w:shd w:val="clear" w:color="auto" w:fill="D0CECE" w:themeFill="background2" w:themeFillShade="E6"/>
            <w:noWrap/>
            <w:vAlign w:val="center"/>
          </w:tcPr>
          <w:p w14:paraId="094A627B" w14:textId="77777777" w:rsidR="002C4CFA" w:rsidRPr="00BF3027" w:rsidRDefault="002C4CFA" w:rsidP="002C4CFA">
            <w:pPr>
              <w:bidi w:val="0"/>
              <w:spacing w:after="0" w:line="240" w:lineRule="auto"/>
              <w:rPr>
                <w:rFonts w:ascii="David" w:eastAsia="Times New Roman" w:hAnsi="David" w:cs="David"/>
                <w:rtl/>
              </w:rPr>
            </w:pPr>
          </w:p>
        </w:tc>
        <w:tc>
          <w:tcPr>
            <w:tcW w:w="1984" w:type="dxa"/>
            <w:tcBorders>
              <w:bottom w:val="single" w:sz="4" w:space="0" w:color="auto"/>
            </w:tcBorders>
            <w:shd w:val="clear" w:color="auto" w:fill="D0CECE" w:themeFill="background2" w:themeFillShade="E6"/>
            <w:vAlign w:val="center"/>
          </w:tcPr>
          <w:p w14:paraId="05B0AE27" w14:textId="77777777" w:rsidR="002C4CFA" w:rsidRPr="00BF3027" w:rsidRDefault="002C4CFA" w:rsidP="002C4CFA">
            <w:pPr>
              <w:spacing w:after="0" w:line="240" w:lineRule="auto"/>
              <w:rPr>
                <w:rFonts w:ascii="David" w:eastAsia="Times New Roman" w:hAnsi="David" w:cs="David"/>
              </w:rPr>
            </w:pPr>
            <w:r w:rsidRPr="00BF3027">
              <w:rPr>
                <w:rFonts w:ascii="David" w:eastAsia="Times New Roman" w:hAnsi="David" w:cs="David"/>
                <w:rtl/>
              </w:rPr>
              <w:t>מינוי סנגור לפי סעיף 60א' (מ"ס)</w:t>
            </w:r>
          </w:p>
        </w:tc>
        <w:tc>
          <w:tcPr>
            <w:tcW w:w="1276" w:type="dxa"/>
            <w:tcBorders>
              <w:bottom w:val="single" w:sz="4" w:space="0" w:color="auto"/>
            </w:tcBorders>
            <w:shd w:val="clear" w:color="auto" w:fill="D0CECE" w:themeFill="background2" w:themeFillShade="E6"/>
            <w:vAlign w:val="center"/>
          </w:tcPr>
          <w:p w14:paraId="6615BAC0" w14:textId="77777777" w:rsidR="002C4CFA" w:rsidRPr="00BF3027" w:rsidRDefault="002C4CFA" w:rsidP="002C4CFA">
            <w:pPr>
              <w:spacing w:after="0" w:line="240" w:lineRule="auto"/>
              <w:jc w:val="center"/>
              <w:rPr>
                <w:rFonts w:ascii="David" w:eastAsia="Times New Roman" w:hAnsi="David" w:cs="David"/>
                <w:rtl/>
              </w:rPr>
            </w:pPr>
            <w:r w:rsidRPr="00BF3027">
              <w:rPr>
                <w:rFonts w:ascii="David" w:eastAsia="Times New Roman" w:hAnsi="David" w:cs="David"/>
              </w:rPr>
              <w:t>148</w:t>
            </w:r>
          </w:p>
        </w:tc>
        <w:tc>
          <w:tcPr>
            <w:tcW w:w="1417" w:type="dxa"/>
            <w:tcBorders>
              <w:bottom w:val="single" w:sz="4" w:space="0" w:color="auto"/>
            </w:tcBorders>
            <w:shd w:val="clear" w:color="auto" w:fill="D0CECE" w:themeFill="background2" w:themeFillShade="E6"/>
            <w:noWrap/>
            <w:vAlign w:val="center"/>
          </w:tcPr>
          <w:p w14:paraId="6AAA3482" w14:textId="77777777" w:rsidR="002C4CFA" w:rsidRPr="00BF3027" w:rsidRDefault="002C4CFA" w:rsidP="002C4CFA">
            <w:pPr>
              <w:bidi w:val="0"/>
              <w:spacing w:after="0" w:line="240" w:lineRule="auto"/>
              <w:jc w:val="center"/>
              <w:rPr>
                <w:rFonts w:ascii="David" w:eastAsia="Times New Roman" w:hAnsi="David" w:cs="David"/>
                <w:b/>
                <w:bCs/>
                <w:rtl/>
              </w:rPr>
            </w:pPr>
            <w:r w:rsidRPr="00BF3027">
              <w:rPr>
                <w:rFonts w:ascii="David" w:eastAsia="Times New Roman" w:hAnsi="David" w:cs="David"/>
                <w:b/>
                <w:bCs/>
              </w:rPr>
              <w:t>0:02</w:t>
            </w:r>
          </w:p>
        </w:tc>
        <w:tc>
          <w:tcPr>
            <w:tcW w:w="1276" w:type="dxa"/>
            <w:tcBorders>
              <w:bottom w:val="single" w:sz="4" w:space="0" w:color="auto"/>
            </w:tcBorders>
            <w:shd w:val="clear" w:color="auto" w:fill="D0CECE" w:themeFill="background2" w:themeFillShade="E6"/>
            <w:vAlign w:val="center"/>
          </w:tcPr>
          <w:p w14:paraId="1EAD5A7C" w14:textId="77777777" w:rsidR="002C4CFA" w:rsidRPr="00BF3027" w:rsidRDefault="002C4CFA" w:rsidP="002C4CFA">
            <w:pPr>
              <w:bidi w:val="0"/>
              <w:spacing w:after="0" w:line="240" w:lineRule="auto"/>
              <w:jc w:val="center"/>
              <w:rPr>
                <w:rFonts w:ascii="David" w:eastAsia="Times New Roman" w:hAnsi="David" w:cs="David"/>
              </w:rPr>
            </w:pPr>
            <w:r w:rsidRPr="00BF3027">
              <w:rPr>
                <w:rFonts w:ascii="David" w:eastAsia="Times New Roman" w:hAnsi="David" w:cs="David"/>
              </w:rPr>
              <w:t>-</w:t>
            </w:r>
          </w:p>
        </w:tc>
        <w:tc>
          <w:tcPr>
            <w:tcW w:w="851" w:type="dxa"/>
            <w:tcBorders>
              <w:bottom w:val="single" w:sz="4" w:space="0" w:color="auto"/>
            </w:tcBorders>
            <w:shd w:val="clear" w:color="auto" w:fill="D0CECE" w:themeFill="background2" w:themeFillShade="E6"/>
            <w:vAlign w:val="center"/>
          </w:tcPr>
          <w:p w14:paraId="7B75192A" w14:textId="77777777" w:rsidR="002C4CFA" w:rsidRPr="00BF3027" w:rsidRDefault="002C4CFA" w:rsidP="002C4CFA">
            <w:pPr>
              <w:bidi w:val="0"/>
              <w:spacing w:after="0" w:line="240" w:lineRule="auto"/>
              <w:jc w:val="center"/>
              <w:rPr>
                <w:rFonts w:ascii="David" w:eastAsia="Times New Roman" w:hAnsi="David" w:cs="David"/>
              </w:rPr>
            </w:pPr>
            <w:r w:rsidRPr="00BF3027">
              <w:rPr>
                <w:rFonts w:ascii="David" w:eastAsia="Times New Roman" w:hAnsi="David" w:cs="David"/>
              </w:rPr>
              <w:t>-</w:t>
            </w:r>
          </w:p>
        </w:tc>
        <w:tc>
          <w:tcPr>
            <w:tcW w:w="992" w:type="dxa"/>
            <w:tcBorders>
              <w:bottom w:val="single" w:sz="4" w:space="0" w:color="auto"/>
            </w:tcBorders>
            <w:shd w:val="clear" w:color="auto" w:fill="D0CECE" w:themeFill="background2" w:themeFillShade="E6"/>
            <w:vAlign w:val="center"/>
          </w:tcPr>
          <w:p w14:paraId="56536375" w14:textId="77777777" w:rsidR="002C4CFA" w:rsidRPr="00BF3027" w:rsidRDefault="002C4CFA" w:rsidP="002C4CFA">
            <w:pPr>
              <w:spacing w:after="0" w:line="240" w:lineRule="auto"/>
              <w:jc w:val="center"/>
              <w:rPr>
                <w:rFonts w:ascii="David" w:eastAsia="Times New Roman" w:hAnsi="David" w:cs="David"/>
              </w:rPr>
            </w:pPr>
            <w:r w:rsidRPr="00BF3027">
              <w:rPr>
                <w:rFonts w:ascii="David" w:eastAsia="Times New Roman" w:hAnsi="David" w:cs="David"/>
              </w:rPr>
              <w:t>1</w:t>
            </w:r>
          </w:p>
        </w:tc>
      </w:tr>
    </w:tbl>
    <w:p w14:paraId="693C83C8" w14:textId="77777777" w:rsidR="003068A1" w:rsidRDefault="003068A1" w:rsidP="00E01773">
      <w:pPr>
        <w:pStyle w:val="a3"/>
        <w:widowControl w:val="0"/>
        <w:autoSpaceDE w:val="0"/>
        <w:autoSpaceDN w:val="0"/>
        <w:bidi/>
        <w:adjustRightInd w:val="0"/>
        <w:spacing w:before="60" w:after="60" w:line="360" w:lineRule="auto"/>
        <w:ind w:left="0"/>
        <w:rPr>
          <w:rFonts w:ascii="David" w:hAnsi="David" w:cs="David"/>
          <w:b/>
          <w:bCs/>
          <w:sz w:val="24"/>
          <w:szCs w:val="24"/>
          <w:rtl/>
          <w:lang w:val="en-US"/>
        </w:rPr>
      </w:pPr>
    </w:p>
    <w:p w14:paraId="249F3FE8" w14:textId="29E74250" w:rsidR="002C5C14" w:rsidRPr="00F25744" w:rsidRDefault="00E25AE7" w:rsidP="00327700">
      <w:pPr>
        <w:pStyle w:val="a3"/>
        <w:widowControl w:val="0"/>
        <w:autoSpaceDE w:val="0"/>
        <w:autoSpaceDN w:val="0"/>
        <w:bidi/>
        <w:adjustRightInd w:val="0"/>
        <w:spacing w:before="60" w:after="60" w:line="360" w:lineRule="auto"/>
        <w:ind w:left="0"/>
        <w:rPr>
          <w:rFonts w:ascii="David" w:hAnsi="David" w:cs="David"/>
          <w:sz w:val="24"/>
          <w:szCs w:val="24"/>
          <w:rtl/>
        </w:rPr>
      </w:pPr>
      <w:r w:rsidRPr="00F25744">
        <w:rPr>
          <w:rFonts w:ascii="David" w:hAnsi="David" w:cs="David" w:hint="cs"/>
          <w:b/>
          <w:bCs/>
          <w:sz w:val="24"/>
          <w:szCs w:val="24"/>
          <w:rtl/>
        </w:rPr>
        <w:t>הערה</w:t>
      </w:r>
      <w:r w:rsidRPr="00F25744">
        <w:rPr>
          <w:rFonts w:ascii="David" w:hAnsi="David" w:cs="David" w:hint="cs"/>
          <w:sz w:val="24"/>
          <w:szCs w:val="24"/>
          <w:rtl/>
        </w:rPr>
        <w:t xml:space="preserve"> - מעבר להצגת הממצאים לגבי זמני הטיפול השיפוטי בתיקים השונים, ולשם הצרכים הניהוליים של הערכאות השונות, ניתן למצוא בנספחים טבלאות המראות את משקלות התיקים של כל ערכאה בנפרד (כלומר, את הזמנים היחסיים של כל סוג תיק מאותה ערכה, ביחס לתיקים האחרים באותה הערכאה בלבד), ב</w:t>
      </w:r>
      <w:r w:rsidRPr="00F25744">
        <w:rPr>
          <w:rFonts w:ascii="David" w:hAnsi="David" w:cs="David" w:hint="cs"/>
          <w:b/>
          <w:bCs/>
          <w:sz w:val="24"/>
          <w:szCs w:val="24"/>
          <w:rtl/>
        </w:rPr>
        <w:t>נספחים ה1</w:t>
      </w:r>
      <w:r w:rsidR="001E6A52" w:rsidRPr="00F25744">
        <w:rPr>
          <w:rFonts w:ascii="David" w:hAnsi="David" w:cs="David" w:hint="cs"/>
          <w:b/>
          <w:bCs/>
          <w:sz w:val="24"/>
          <w:szCs w:val="24"/>
          <w:rtl/>
        </w:rPr>
        <w:t xml:space="preserve"> </w:t>
      </w:r>
      <w:r w:rsidRPr="00F25744">
        <w:rPr>
          <w:rFonts w:ascii="David" w:hAnsi="David" w:cs="David" w:hint="cs"/>
          <w:b/>
          <w:bCs/>
          <w:sz w:val="24"/>
          <w:szCs w:val="24"/>
          <w:rtl/>
        </w:rPr>
        <w:t>- ה8</w:t>
      </w:r>
      <w:r w:rsidRPr="00F25744">
        <w:rPr>
          <w:rFonts w:ascii="David" w:hAnsi="David" w:cs="David" w:hint="cs"/>
          <w:sz w:val="24"/>
          <w:szCs w:val="24"/>
          <w:rtl/>
        </w:rPr>
        <w:t>.</w:t>
      </w:r>
    </w:p>
    <w:p w14:paraId="0C638000" w14:textId="77777777" w:rsidR="002C5C14" w:rsidRPr="00F25744" w:rsidRDefault="002C5C14" w:rsidP="001B0FA3">
      <w:pPr>
        <w:pStyle w:val="a3"/>
        <w:widowControl w:val="0"/>
        <w:autoSpaceDE w:val="0"/>
        <w:autoSpaceDN w:val="0"/>
        <w:bidi/>
        <w:adjustRightInd w:val="0"/>
        <w:spacing w:before="60" w:after="60" w:line="240" w:lineRule="auto"/>
        <w:ind w:left="0"/>
        <w:rPr>
          <w:rFonts w:ascii="David" w:hAnsi="David" w:cs="David"/>
          <w:b/>
          <w:bCs/>
          <w:sz w:val="24"/>
          <w:szCs w:val="24"/>
          <w:rtl/>
        </w:rPr>
      </w:pPr>
    </w:p>
    <w:p w14:paraId="603235DF" w14:textId="77777777" w:rsidR="002263F5" w:rsidRPr="00F25744" w:rsidRDefault="00E25AE7" w:rsidP="000C1408">
      <w:pPr>
        <w:pStyle w:val="3"/>
        <w:ind w:left="852"/>
        <w:rPr>
          <w:rtl/>
        </w:rPr>
      </w:pPr>
      <w:bookmarkStart w:id="740" w:name="_Toc46414061"/>
      <w:bookmarkStart w:id="741" w:name="_Toc49352776"/>
      <w:bookmarkStart w:id="742" w:name="_Toc49429681"/>
      <w:bookmarkStart w:id="743" w:name="_Toc49435910"/>
      <w:bookmarkStart w:id="744" w:name="_Toc74751019"/>
      <w:r w:rsidRPr="00F25744">
        <w:rPr>
          <w:rFonts w:hint="cs"/>
          <w:rtl/>
        </w:rPr>
        <w:t>חישוב זמני הטיפול בתיקים לצרכים ניהוליים</w:t>
      </w:r>
      <w:bookmarkEnd w:id="740"/>
      <w:bookmarkEnd w:id="741"/>
      <w:bookmarkEnd w:id="742"/>
      <w:bookmarkEnd w:id="743"/>
      <w:bookmarkEnd w:id="744"/>
    </w:p>
    <w:p w14:paraId="01499CDC" w14:textId="77777777" w:rsidR="00470A7D" w:rsidRPr="00F25744" w:rsidRDefault="00E25AE7" w:rsidP="001B0FA3">
      <w:pPr>
        <w:autoSpaceDE w:val="0"/>
        <w:autoSpaceDN w:val="0"/>
        <w:adjustRightInd w:val="0"/>
        <w:spacing w:before="120" w:after="0" w:line="360" w:lineRule="auto"/>
        <w:jc w:val="both"/>
        <w:rPr>
          <w:rFonts w:cs="David"/>
          <w:sz w:val="24"/>
          <w:szCs w:val="24"/>
          <w:rtl/>
        </w:rPr>
      </w:pPr>
      <w:r w:rsidRPr="00F25744">
        <w:rPr>
          <w:rFonts w:cs="David" w:hint="cs"/>
          <w:sz w:val="24"/>
          <w:szCs w:val="24"/>
          <w:rtl/>
        </w:rPr>
        <w:t xml:space="preserve">נתון נוסף שנאסף במהלך מחקר סיבות הסגירה, הוא מספר התיקים שכל פסק דין סוגר. למשל, בתיקים מאוחדים ניתן פסק דין אחד אשר סוגר שניים, שלושה או יותר תיקים אשר אוחדו בשלב מסוים בחיי התיק. התיקים המאוחדים נספרים במערכת כתיקים נפרדים, מבחינת כמויות התיקים שנפתחים </w:t>
      </w:r>
      <w:r w:rsidRPr="00F25744">
        <w:rPr>
          <w:rFonts w:cs="David" w:hint="cs"/>
          <w:sz w:val="24"/>
          <w:szCs w:val="24"/>
          <w:rtl/>
        </w:rPr>
        <w:lastRenderedPageBreak/>
        <w:t>ונסגרים. על כן, בדקנו במסגרת מחקר סיבות הסגירה גם את כמות התיקים הממוצעת שכל פסק דין סוגר בסוגי התיקים השונים</w:t>
      </w:r>
      <w:r w:rsidR="00591F9E" w:rsidRPr="00F25744">
        <w:rPr>
          <w:rFonts w:cs="David" w:hint="cs"/>
          <w:sz w:val="24"/>
          <w:szCs w:val="24"/>
          <w:rtl/>
        </w:rPr>
        <w:t xml:space="preserve"> (להרחבה על מחקר זה ראו בפרק המתודולוגיה)</w:t>
      </w:r>
      <w:r w:rsidRPr="00F25744">
        <w:rPr>
          <w:rFonts w:cs="David" w:hint="cs"/>
          <w:sz w:val="24"/>
          <w:szCs w:val="24"/>
          <w:rtl/>
        </w:rPr>
        <w:t xml:space="preserve">. </w:t>
      </w:r>
    </w:p>
    <w:p w14:paraId="3EB53B5C" w14:textId="53F25CC7" w:rsidR="00675C04" w:rsidRDefault="00E25AE7" w:rsidP="00B7742A">
      <w:pPr>
        <w:autoSpaceDE w:val="0"/>
        <w:autoSpaceDN w:val="0"/>
        <w:adjustRightInd w:val="0"/>
        <w:spacing w:after="0" w:line="360" w:lineRule="auto"/>
        <w:jc w:val="both"/>
        <w:rPr>
          <w:rFonts w:cs="David"/>
          <w:sz w:val="24"/>
          <w:szCs w:val="24"/>
          <w:rtl/>
        </w:rPr>
      </w:pPr>
      <w:r w:rsidRPr="00F25744">
        <w:rPr>
          <w:rFonts w:cs="David" w:hint="cs"/>
          <w:sz w:val="24"/>
          <w:szCs w:val="24"/>
          <w:rtl/>
        </w:rPr>
        <w:t>כאן יש להדגיש, כי האופן שבו נמדדה כמות התיקים שנסגרה בכל פסק דין, הוא על ידי בדיקת מספרי התיקים שהופיעו בכותרת פסק הדין. עם זאת, ידוע לנו כי לא בכל מקרה של תיקים מאוחדים מספריהם של כל התיקים המאוחדים נרשמים בכותרת מסמך פסק הדין, אלא לעתים רק "שותלים" את פסק הדין גם בתיקים הקשורים המאוחדים בנט המשפט, וכך סוגרים אותם. על כן, ייתכן שמספר התיקים הממוצע שכל פסק דין סוגר בכל סוג תיק גבוה אף יותר מהנתונים שנאספו בידי מחלקת המחקר.</w:t>
      </w:r>
      <w:r w:rsidR="0033492C" w:rsidRPr="00F25744">
        <w:rPr>
          <w:rFonts w:cs="David" w:hint="cs"/>
          <w:sz w:val="24"/>
          <w:szCs w:val="24"/>
          <w:rtl/>
        </w:rPr>
        <w:t xml:space="preserve"> </w:t>
      </w:r>
      <w:r w:rsidR="00591F9E" w:rsidRPr="00F25744">
        <w:rPr>
          <w:rFonts w:cs="David" w:hint="cs"/>
          <w:sz w:val="24"/>
          <w:szCs w:val="24"/>
          <w:rtl/>
        </w:rPr>
        <w:t xml:space="preserve">למרות האמור, </w:t>
      </w:r>
      <w:r w:rsidR="007F3A52" w:rsidRPr="00F25744">
        <w:rPr>
          <w:rFonts w:cs="David" w:hint="cs"/>
          <w:sz w:val="24"/>
          <w:szCs w:val="24"/>
          <w:rtl/>
        </w:rPr>
        <w:t xml:space="preserve">לטעמנו, הצגת הזמנים גם בהתחשב בנתון זה של כמות התיקים הנסגרת בכל פסק דין, יש בה טעם ועשוי להיות בה שימוש לצרכים הניהוליים של ראשי המערכת. על כן, בטבלה </w:t>
      </w:r>
      <w:r w:rsidR="000306D7" w:rsidRPr="00F25744">
        <w:rPr>
          <w:rFonts w:cs="David" w:hint="cs"/>
          <w:sz w:val="24"/>
          <w:szCs w:val="24"/>
          <w:rtl/>
        </w:rPr>
        <w:t xml:space="preserve">המצורפת </w:t>
      </w:r>
      <w:r w:rsidR="003958B0" w:rsidRPr="00F25744">
        <w:rPr>
          <w:rFonts w:cs="David" w:hint="cs"/>
          <w:sz w:val="24"/>
          <w:szCs w:val="24"/>
          <w:rtl/>
        </w:rPr>
        <w:t>ב</w:t>
      </w:r>
      <w:r w:rsidR="000306D7" w:rsidRPr="00F25744">
        <w:rPr>
          <w:rFonts w:cs="David" w:hint="cs"/>
          <w:b/>
          <w:bCs/>
          <w:sz w:val="24"/>
          <w:szCs w:val="24"/>
          <w:rtl/>
        </w:rPr>
        <w:t xml:space="preserve">נספח </w:t>
      </w:r>
      <w:r w:rsidR="00B7742A">
        <w:rPr>
          <w:rFonts w:cs="David" w:hint="cs"/>
          <w:b/>
          <w:bCs/>
          <w:sz w:val="24"/>
          <w:szCs w:val="24"/>
          <w:rtl/>
        </w:rPr>
        <w:t>ח</w:t>
      </w:r>
      <w:r w:rsidR="000306D7" w:rsidRPr="00F25744">
        <w:rPr>
          <w:rFonts w:cs="David" w:hint="cs"/>
          <w:b/>
          <w:bCs/>
          <w:sz w:val="24"/>
          <w:szCs w:val="24"/>
          <w:rtl/>
        </w:rPr>
        <w:t>'</w:t>
      </w:r>
      <w:r w:rsidR="000306D7" w:rsidRPr="00F25744">
        <w:rPr>
          <w:rFonts w:cs="David" w:hint="cs"/>
          <w:sz w:val="24"/>
          <w:szCs w:val="24"/>
          <w:rtl/>
        </w:rPr>
        <w:t>,</w:t>
      </w:r>
      <w:r w:rsidR="007F3A52" w:rsidRPr="00F25744">
        <w:rPr>
          <w:rFonts w:cs="David" w:hint="cs"/>
          <w:sz w:val="24"/>
          <w:szCs w:val="24"/>
          <w:rtl/>
        </w:rPr>
        <w:t xml:space="preserve"> </w:t>
      </w:r>
      <w:r w:rsidR="000306D7" w:rsidRPr="00F25744">
        <w:rPr>
          <w:rFonts w:cs="David" w:hint="cs"/>
          <w:sz w:val="24"/>
          <w:szCs w:val="24"/>
          <w:rtl/>
        </w:rPr>
        <w:t>יוצג</w:t>
      </w:r>
      <w:r w:rsidR="003958B0" w:rsidRPr="00F25744">
        <w:rPr>
          <w:rFonts w:cs="David" w:hint="cs"/>
          <w:sz w:val="24"/>
          <w:szCs w:val="24"/>
          <w:rtl/>
        </w:rPr>
        <w:t xml:space="preserve">ו, נוסף על זמני הטיפול בתיקים, גם כמות התיקים הממוצעת שכל פסק דין סוגר בכל אחד מסוגי התיקים שיוצגו, והזמן השיפוטי הממוצע לטיפול בתיק חלקי כמות התיקים. </w:t>
      </w:r>
      <w:r w:rsidR="007F3A52" w:rsidRPr="00F25744">
        <w:rPr>
          <w:rFonts w:cs="David" w:hint="cs"/>
          <w:sz w:val="24"/>
          <w:szCs w:val="24"/>
          <w:rtl/>
        </w:rPr>
        <w:t>בכך</w:t>
      </w:r>
      <w:r w:rsidR="003958B0" w:rsidRPr="00F25744">
        <w:rPr>
          <w:rFonts w:cs="David" w:hint="cs"/>
          <w:sz w:val="24"/>
          <w:szCs w:val="24"/>
          <w:rtl/>
        </w:rPr>
        <w:t>,</w:t>
      </w:r>
      <w:r w:rsidR="007F3A52" w:rsidRPr="00F25744">
        <w:rPr>
          <w:rFonts w:cs="David" w:hint="cs"/>
          <w:sz w:val="24"/>
          <w:szCs w:val="24"/>
          <w:rtl/>
        </w:rPr>
        <w:t xml:space="preserve"> ניתן ביטוי לסוג הטיפול השונה בתיקים מאוחדים.</w:t>
      </w:r>
    </w:p>
    <w:p w14:paraId="14A54057" w14:textId="77777777" w:rsidR="00227D0D" w:rsidRDefault="00227D0D" w:rsidP="00227D0D">
      <w:pPr>
        <w:autoSpaceDE w:val="0"/>
        <w:autoSpaceDN w:val="0"/>
        <w:adjustRightInd w:val="0"/>
        <w:spacing w:after="0" w:line="240" w:lineRule="auto"/>
        <w:jc w:val="both"/>
        <w:rPr>
          <w:rFonts w:cs="David"/>
          <w:sz w:val="24"/>
          <w:szCs w:val="24"/>
          <w:rtl/>
        </w:rPr>
      </w:pPr>
    </w:p>
    <w:p w14:paraId="2DCB8C10" w14:textId="2F3F1F6D" w:rsidR="00227D0D" w:rsidRPr="00C176DD" w:rsidRDefault="00227D0D" w:rsidP="000C1408">
      <w:pPr>
        <w:pStyle w:val="3"/>
        <w:ind w:left="852"/>
        <w:rPr>
          <w:rtl/>
        </w:rPr>
      </w:pPr>
      <w:bookmarkStart w:id="745" w:name="_Toc74751020"/>
      <w:r w:rsidRPr="00C176DD">
        <w:rPr>
          <w:rFonts w:hint="cs"/>
          <w:rtl/>
        </w:rPr>
        <w:t>הערכת משקלות תיקים שלא נמדדו במסגרת המחקר</w:t>
      </w:r>
      <w:bookmarkEnd w:id="745"/>
    </w:p>
    <w:p w14:paraId="75DB61D9" w14:textId="3860B937" w:rsidR="00D2400A" w:rsidRPr="00C176DD" w:rsidRDefault="00483F38" w:rsidP="00D2400A">
      <w:pPr>
        <w:spacing w:before="120" w:after="0" w:line="360" w:lineRule="auto"/>
        <w:jc w:val="both"/>
        <w:rPr>
          <w:rFonts w:cs="David"/>
          <w:sz w:val="24"/>
          <w:szCs w:val="24"/>
          <w:rtl/>
        </w:rPr>
      </w:pPr>
      <w:r w:rsidRPr="00C176DD">
        <w:rPr>
          <w:rFonts w:cs="David" w:hint="cs"/>
          <w:sz w:val="24"/>
          <w:szCs w:val="24"/>
          <w:rtl/>
        </w:rPr>
        <w:t xml:space="preserve">כפי שפורט לעיל, </w:t>
      </w:r>
      <w:r w:rsidR="00227D0D" w:rsidRPr="00C176DD">
        <w:rPr>
          <w:rFonts w:cs="David" w:hint="cs"/>
          <w:sz w:val="24"/>
          <w:szCs w:val="24"/>
          <w:rtl/>
        </w:rPr>
        <w:t xml:space="preserve">במסגרת מחקר זה נמדדו זמניהם של כ-99% מתמהיל התיקים שנסגרו במערכת בשנת 2019. עם זאת, על מנת להשלים את תמונת העומסים במערכת, ביצענו מהלך מחקרי נוסף, לאחר סיום מחקר זה, שבו ניסינו להעריך את זמני הטיפול בתיקים שלא </w:t>
      </w:r>
      <w:r w:rsidRPr="00C176DD">
        <w:rPr>
          <w:rFonts w:cs="David" w:hint="cs"/>
          <w:sz w:val="24"/>
          <w:szCs w:val="24"/>
          <w:rtl/>
        </w:rPr>
        <w:t>חושבו זמני הטיפול בהם</w:t>
      </w:r>
      <w:r w:rsidR="00227D0D" w:rsidRPr="00C176DD">
        <w:rPr>
          <w:rFonts w:cs="David" w:hint="cs"/>
          <w:sz w:val="24"/>
          <w:szCs w:val="24"/>
          <w:rtl/>
        </w:rPr>
        <w:t xml:space="preserve"> במסגרת המחקר, משום שלא התקבלו לגביהם די נתונים</w:t>
      </w:r>
      <w:r w:rsidRPr="00C176DD">
        <w:rPr>
          <w:rFonts w:cs="David" w:hint="cs"/>
          <w:sz w:val="24"/>
          <w:szCs w:val="24"/>
          <w:rtl/>
        </w:rPr>
        <w:t xml:space="preserve"> במהלך תקופת המחקר</w:t>
      </w:r>
      <w:r w:rsidR="00227D0D" w:rsidRPr="00C176DD">
        <w:rPr>
          <w:rFonts w:cs="David" w:hint="cs"/>
          <w:sz w:val="24"/>
          <w:szCs w:val="24"/>
          <w:rtl/>
        </w:rPr>
        <w:t>.</w:t>
      </w:r>
      <w:r w:rsidRPr="00C176DD">
        <w:rPr>
          <w:rFonts w:cs="David" w:hint="cs"/>
          <w:sz w:val="24"/>
          <w:szCs w:val="24"/>
          <w:rtl/>
        </w:rPr>
        <w:t xml:space="preserve"> על פי רוב, מדובר בתיקים הפחות נפוצים במערכת.</w:t>
      </w:r>
      <w:r w:rsidR="00227D0D" w:rsidRPr="00C176DD">
        <w:rPr>
          <w:rFonts w:cs="David" w:hint="cs"/>
          <w:sz w:val="24"/>
          <w:szCs w:val="24"/>
          <w:rtl/>
        </w:rPr>
        <w:t xml:space="preserve"> מהלך </w:t>
      </w:r>
      <w:r w:rsidR="00D2400A" w:rsidRPr="00C176DD">
        <w:rPr>
          <w:rFonts w:cs="David" w:hint="cs"/>
          <w:sz w:val="24"/>
          <w:szCs w:val="24"/>
          <w:rtl/>
        </w:rPr>
        <w:t>מחקרי נוסף זה לא נ</w:t>
      </w:r>
      <w:r w:rsidR="00227D0D" w:rsidRPr="00C176DD">
        <w:rPr>
          <w:rFonts w:cs="David" w:hint="cs"/>
          <w:sz w:val="24"/>
          <w:szCs w:val="24"/>
          <w:rtl/>
        </w:rPr>
        <w:t>כלל במסגרת המחקר, אשר מבוסס כאמור על מדידת זמני הטיפול בתיקים בזמן אמת</w:t>
      </w:r>
      <w:r w:rsidR="00CA5695" w:rsidRPr="00C176DD">
        <w:rPr>
          <w:rFonts w:cs="David" w:hint="cs"/>
          <w:sz w:val="24"/>
          <w:szCs w:val="24"/>
          <w:rtl/>
        </w:rPr>
        <w:t xml:space="preserve">. </w:t>
      </w:r>
    </w:p>
    <w:p w14:paraId="208F8B3F" w14:textId="1A2CA205" w:rsidR="00C67890" w:rsidRPr="00C176DD" w:rsidRDefault="00CA5695" w:rsidP="003E67B5">
      <w:pPr>
        <w:spacing w:before="120" w:after="0" w:line="360" w:lineRule="auto"/>
        <w:jc w:val="both"/>
        <w:rPr>
          <w:rFonts w:cs="David"/>
          <w:sz w:val="24"/>
          <w:szCs w:val="24"/>
          <w:rtl/>
        </w:rPr>
      </w:pPr>
      <w:r w:rsidRPr="00C176DD">
        <w:rPr>
          <w:rFonts w:cs="David" w:hint="cs"/>
          <w:sz w:val="24"/>
          <w:szCs w:val="24"/>
          <w:rtl/>
        </w:rPr>
        <w:t xml:space="preserve">במסגרת מהלך מחקרי נוסף זה, </w:t>
      </w:r>
      <w:r w:rsidR="00EC6ECC" w:rsidRPr="00C176DD">
        <w:rPr>
          <w:rFonts w:cs="David" w:hint="cs"/>
          <w:sz w:val="24"/>
          <w:szCs w:val="24"/>
          <w:rtl/>
        </w:rPr>
        <w:t xml:space="preserve">ניסינו להעריך את זמני הטיפול בתיקים שלא נמדדו במסגרת המחקר, באמצעות שאלונים קצרים ייחודיים שבנינו לסוגי התיקים השונים. בשאלונים אלו התבקשו השופטים להקביל את זמן הטיפול הכולל באותו תיק לזמן הטיפול בשני סוגי תיקים נפוצים אחרים שבטיפולם, </w:t>
      </w:r>
      <w:r w:rsidR="00F063C7" w:rsidRPr="00C176DD">
        <w:rPr>
          <w:rFonts w:cs="David" w:hint="cs"/>
          <w:sz w:val="24"/>
          <w:szCs w:val="24"/>
          <w:rtl/>
        </w:rPr>
        <w:t xml:space="preserve">ולהעריך </w:t>
      </w:r>
      <w:r w:rsidR="00EC6ECC" w:rsidRPr="00C176DD">
        <w:rPr>
          <w:rFonts w:cs="David" w:hint="cs"/>
          <w:sz w:val="24"/>
          <w:szCs w:val="24"/>
          <w:rtl/>
        </w:rPr>
        <w:t xml:space="preserve">את זמן הטיפול הכולל בתיק, ובמעט סוגי התיקים שקיבלו משקל במחקר הקודם, שאלנו את השופטים גם האם הזמנים שהוערכו במחקר הקודם משקפים את זמני הטיפול בתיק גם כיום. נוסף על כך אפשרנו לשופטים להעיר הערות כלליות נוספות לגבי זמני הטיפול בתיק, והייחודיות של </w:t>
      </w:r>
      <w:r w:rsidR="00F759B1" w:rsidRPr="00C176DD">
        <w:rPr>
          <w:rFonts w:cs="David" w:hint="cs"/>
          <w:sz w:val="24"/>
          <w:szCs w:val="24"/>
          <w:rtl/>
        </w:rPr>
        <w:t>הטיפול ב</w:t>
      </w:r>
      <w:r w:rsidR="00EC6ECC" w:rsidRPr="00C176DD">
        <w:rPr>
          <w:rFonts w:cs="David" w:hint="cs"/>
          <w:sz w:val="24"/>
          <w:szCs w:val="24"/>
          <w:rtl/>
        </w:rPr>
        <w:t>ו.</w:t>
      </w:r>
      <w:r w:rsidR="00D64D95" w:rsidRPr="00C176DD">
        <w:rPr>
          <w:rFonts w:cs="David" w:hint="cs"/>
          <w:sz w:val="24"/>
          <w:szCs w:val="24"/>
          <w:rtl/>
        </w:rPr>
        <w:t xml:space="preserve"> לאחר שבנינו את השאלונים הייחודיים, שלחנו 180 שאלונים לשופטים העיקריים המטפלים באותו סוג תיק מכל ערכאה ומחוז בשנה-שנתיים האחרונות. במקרה שבאותו סוג תיק </w:t>
      </w:r>
      <w:r w:rsidR="00EC6ECC" w:rsidRPr="00C176DD">
        <w:rPr>
          <w:rFonts w:cs="David" w:hint="cs"/>
          <w:sz w:val="24"/>
          <w:szCs w:val="24"/>
          <w:rtl/>
        </w:rPr>
        <w:t xml:space="preserve">מטפל שופט יחיד מכל הארץ (כמו תיקי נמ"ב </w:t>
      </w:r>
      <w:r w:rsidR="00EC6ECC" w:rsidRPr="00C176DD">
        <w:rPr>
          <w:rFonts w:cs="David"/>
          <w:sz w:val="24"/>
          <w:szCs w:val="24"/>
          <w:rtl/>
        </w:rPr>
        <w:t>–</w:t>
      </w:r>
      <w:r w:rsidR="00EC6ECC" w:rsidRPr="00C176DD">
        <w:rPr>
          <w:rFonts w:cs="David" w:hint="cs"/>
          <w:sz w:val="24"/>
          <w:szCs w:val="24"/>
          <w:rtl/>
        </w:rPr>
        <w:t xml:space="preserve"> נשיאת מאסר בישראל, או תיקי עח"ק </w:t>
      </w:r>
      <w:r w:rsidR="00EC6ECC" w:rsidRPr="00C176DD">
        <w:rPr>
          <w:rFonts w:cs="David"/>
          <w:sz w:val="24"/>
          <w:szCs w:val="24"/>
          <w:rtl/>
        </w:rPr>
        <w:t>–</w:t>
      </w:r>
      <w:r w:rsidR="00EC6ECC" w:rsidRPr="00C176DD">
        <w:rPr>
          <w:rFonts w:cs="David" w:hint="cs"/>
          <w:sz w:val="24"/>
          <w:szCs w:val="24"/>
          <w:rtl/>
        </w:rPr>
        <w:t xml:space="preserve"> ערר על פי חוק המים)</w:t>
      </w:r>
      <w:r w:rsidR="00D64D95" w:rsidRPr="00C176DD">
        <w:rPr>
          <w:rFonts w:cs="David" w:hint="cs"/>
          <w:sz w:val="24"/>
          <w:szCs w:val="24"/>
          <w:rtl/>
        </w:rPr>
        <w:t>, הסתמכנו על תשובותיו בלבד</w:t>
      </w:r>
      <w:r w:rsidR="00EC6ECC" w:rsidRPr="00C176DD">
        <w:rPr>
          <w:rFonts w:cs="David"/>
          <w:sz w:val="24"/>
          <w:szCs w:val="24"/>
          <w:rtl/>
        </w:rPr>
        <w:t xml:space="preserve">. </w:t>
      </w:r>
      <w:r w:rsidR="00D64D95" w:rsidRPr="00C176DD">
        <w:rPr>
          <w:rFonts w:cs="David" w:hint="cs"/>
          <w:sz w:val="24"/>
          <w:szCs w:val="24"/>
          <w:rtl/>
        </w:rPr>
        <w:t>נוסף על האמור, ערכנו שיחות טלפוניות מקיפות עם שבעה שופטים מהערכאות השונות. לאחר כל זאת, קיבלנו כ-</w:t>
      </w:r>
      <w:r w:rsidR="00EC6ECC" w:rsidRPr="00C176DD">
        <w:rPr>
          <w:rFonts w:cs="David"/>
          <w:sz w:val="24"/>
          <w:szCs w:val="24"/>
          <w:rtl/>
        </w:rPr>
        <w:t xml:space="preserve"> </w:t>
      </w:r>
      <w:r w:rsidR="00EC6ECC" w:rsidRPr="00C176DD">
        <w:rPr>
          <w:rFonts w:cs="David" w:hint="cs"/>
          <w:sz w:val="24"/>
          <w:szCs w:val="24"/>
          <w:rtl/>
        </w:rPr>
        <w:t>100</w:t>
      </w:r>
      <w:r w:rsidR="00EC6ECC" w:rsidRPr="00C176DD">
        <w:rPr>
          <w:rFonts w:cs="David"/>
          <w:sz w:val="24"/>
          <w:szCs w:val="24"/>
          <w:rtl/>
        </w:rPr>
        <w:t xml:space="preserve"> תשובות מהשופטים</w:t>
      </w:r>
      <w:r w:rsidR="00EC6ECC" w:rsidRPr="00C176DD">
        <w:rPr>
          <w:rFonts w:cs="David" w:hint="cs"/>
          <w:sz w:val="24"/>
          <w:szCs w:val="24"/>
          <w:rtl/>
        </w:rPr>
        <w:t xml:space="preserve"> על השאלונים,</w:t>
      </w:r>
      <w:r w:rsidR="00EC6ECC" w:rsidRPr="00C176DD">
        <w:rPr>
          <w:rFonts w:cs="David"/>
          <w:sz w:val="24"/>
          <w:szCs w:val="24"/>
          <w:rtl/>
        </w:rPr>
        <w:t xml:space="preserve"> ו</w:t>
      </w:r>
      <w:r w:rsidR="00D64D95" w:rsidRPr="00C176DD">
        <w:rPr>
          <w:rFonts w:cs="David" w:hint="cs"/>
          <w:sz w:val="24"/>
          <w:szCs w:val="24"/>
          <w:rtl/>
        </w:rPr>
        <w:t xml:space="preserve">מספר </w:t>
      </w:r>
      <w:r w:rsidR="00EC6ECC" w:rsidRPr="00C176DD">
        <w:rPr>
          <w:rFonts w:cs="David"/>
          <w:sz w:val="24"/>
          <w:szCs w:val="24"/>
          <w:rtl/>
        </w:rPr>
        <w:t>שופטים</w:t>
      </w:r>
      <w:r w:rsidR="00D64D95" w:rsidRPr="00C176DD">
        <w:rPr>
          <w:rFonts w:cs="David" w:hint="cs"/>
          <w:sz w:val="24"/>
          <w:szCs w:val="24"/>
          <w:rtl/>
        </w:rPr>
        <w:t xml:space="preserve"> נוספים</w:t>
      </w:r>
      <w:r w:rsidR="00EC6ECC" w:rsidRPr="00C176DD">
        <w:rPr>
          <w:rFonts w:cs="David"/>
          <w:sz w:val="24"/>
          <w:szCs w:val="24"/>
          <w:rtl/>
        </w:rPr>
        <w:t xml:space="preserve"> השיבו לנו שאין ביכולתם לענות על השאלון, </w:t>
      </w:r>
      <w:r w:rsidR="00D64D95" w:rsidRPr="00C176DD">
        <w:rPr>
          <w:rFonts w:cs="David" w:hint="cs"/>
          <w:sz w:val="24"/>
          <w:szCs w:val="24"/>
          <w:rtl/>
        </w:rPr>
        <w:t xml:space="preserve">בעיקר משום </w:t>
      </w:r>
      <w:r w:rsidR="00EC6ECC" w:rsidRPr="00C176DD">
        <w:rPr>
          <w:rFonts w:cs="David" w:hint="cs"/>
          <w:sz w:val="24"/>
          <w:szCs w:val="24"/>
          <w:rtl/>
        </w:rPr>
        <w:t>ש</w:t>
      </w:r>
      <w:r w:rsidR="00EC6ECC" w:rsidRPr="00C176DD">
        <w:rPr>
          <w:rFonts w:cs="David"/>
          <w:sz w:val="24"/>
          <w:szCs w:val="24"/>
          <w:rtl/>
        </w:rPr>
        <w:t>הם מתקשים להעריך את הזמנים ועל כן מעדיפים שלא להשיב. לחלק מן השופטים</w:t>
      </w:r>
      <w:r w:rsidR="00EC6ECC" w:rsidRPr="00C176DD">
        <w:rPr>
          <w:rFonts w:cs="David" w:hint="cs"/>
          <w:sz w:val="24"/>
          <w:szCs w:val="24"/>
          <w:rtl/>
        </w:rPr>
        <w:t xml:space="preserve"> שהשיבו על השאלונים </w:t>
      </w:r>
      <w:r w:rsidR="00EC6ECC" w:rsidRPr="00C176DD">
        <w:rPr>
          <w:rFonts w:cs="David"/>
          <w:sz w:val="24"/>
          <w:szCs w:val="24"/>
          <w:rtl/>
        </w:rPr>
        <w:t xml:space="preserve">חזרנו בשאלות הבהרה שונות. את תשובות השופטים </w:t>
      </w:r>
      <w:r w:rsidR="00EC6ECC" w:rsidRPr="00C176DD">
        <w:rPr>
          <w:rFonts w:cs="David" w:hint="cs"/>
          <w:sz w:val="24"/>
          <w:szCs w:val="24"/>
          <w:rtl/>
        </w:rPr>
        <w:t>על השאלונים</w:t>
      </w:r>
      <w:r w:rsidR="00981807" w:rsidRPr="00C176DD">
        <w:rPr>
          <w:rFonts w:cs="David"/>
          <w:sz w:val="24"/>
          <w:szCs w:val="24"/>
          <w:rtl/>
        </w:rPr>
        <w:t xml:space="preserve"> קודדנו, עיבדנו וניתחנו</w:t>
      </w:r>
      <w:r w:rsidR="00981807" w:rsidRPr="00C176DD">
        <w:rPr>
          <w:rFonts w:cs="David" w:hint="cs"/>
          <w:sz w:val="24"/>
          <w:szCs w:val="24"/>
          <w:rtl/>
        </w:rPr>
        <w:t xml:space="preserve">, בשים לב הן להקבלות השופטים והן להערכות הזמנים שנתנו, ולבסוף גיבשנו משקלות </w:t>
      </w:r>
      <w:r w:rsidR="00981807" w:rsidRPr="003E67B5">
        <w:rPr>
          <w:rFonts w:cs="David" w:hint="cs"/>
          <w:sz w:val="24"/>
          <w:szCs w:val="24"/>
          <w:rtl/>
        </w:rPr>
        <w:t xml:space="preserve">מוערכים </w:t>
      </w:r>
      <w:r w:rsidR="0000620A" w:rsidRPr="003E67B5">
        <w:rPr>
          <w:rFonts w:cs="David" w:hint="cs"/>
          <w:sz w:val="24"/>
          <w:szCs w:val="24"/>
          <w:rtl/>
        </w:rPr>
        <w:t>ל-</w:t>
      </w:r>
      <w:r w:rsidR="003E67B5">
        <w:rPr>
          <w:rFonts w:cs="David" w:hint="cs"/>
          <w:sz w:val="24"/>
          <w:szCs w:val="24"/>
          <w:rtl/>
        </w:rPr>
        <w:t>44</w:t>
      </w:r>
      <w:r w:rsidR="0000620A" w:rsidRPr="003E67B5">
        <w:rPr>
          <w:rFonts w:cs="David" w:hint="cs"/>
          <w:sz w:val="24"/>
          <w:szCs w:val="24"/>
          <w:rtl/>
        </w:rPr>
        <w:t xml:space="preserve"> סוגי</w:t>
      </w:r>
      <w:r w:rsidR="0000620A" w:rsidRPr="00C176DD">
        <w:rPr>
          <w:rFonts w:cs="David" w:hint="cs"/>
          <w:sz w:val="24"/>
          <w:szCs w:val="24"/>
          <w:rtl/>
        </w:rPr>
        <w:t xml:space="preserve"> תיקים מכל הערכאות</w:t>
      </w:r>
      <w:r w:rsidR="00EC6ECC" w:rsidRPr="00C176DD">
        <w:rPr>
          <w:rFonts w:cs="David"/>
          <w:sz w:val="24"/>
          <w:szCs w:val="24"/>
          <w:rtl/>
        </w:rPr>
        <w:t>.</w:t>
      </w:r>
      <w:r w:rsidR="0000620A" w:rsidRPr="00C176DD">
        <w:rPr>
          <w:rFonts w:cs="David" w:hint="cs"/>
          <w:sz w:val="24"/>
          <w:szCs w:val="24"/>
          <w:rtl/>
        </w:rPr>
        <w:t xml:space="preserve"> </w:t>
      </w:r>
    </w:p>
    <w:p w14:paraId="7559CFBF" w14:textId="6AA6EAEE" w:rsidR="0000620A" w:rsidRPr="00C176DD" w:rsidRDefault="0000620A" w:rsidP="004140FD">
      <w:pPr>
        <w:spacing w:before="120" w:after="0" w:line="360" w:lineRule="auto"/>
        <w:jc w:val="both"/>
        <w:rPr>
          <w:rFonts w:cs="David"/>
          <w:sz w:val="24"/>
          <w:szCs w:val="24"/>
          <w:rtl/>
        </w:rPr>
      </w:pPr>
      <w:r w:rsidRPr="00C176DD">
        <w:rPr>
          <w:rFonts w:cs="David" w:hint="cs"/>
          <w:sz w:val="24"/>
          <w:szCs w:val="24"/>
          <w:rtl/>
        </w:rPr>
        <w:lastRenderedPageBreak/>
        <w:t xml:space="preserve">יש לציין, כי לא לכל התיקים שבדקנו ניתן היה לתת משקל מוערך, </w:t>
      </w:r>
      <w:r w:rsidR="004140FD" w:rsidRPr="00C176DD">
        <w:rPr>
          <w:rFonts w:cs="David" w:hint="cs"/>
          <w:sz w:val="24"/>
          <w:szCs w:val="24"/>
          <w:rtl/>
        </w:rPr>
        <w:t>חלקם משום שלא קיבלנו לגביהם מספיק מידע, וחלקם משום שהשונות בין תשובות השופטים הייתה גדולה מדי. גם במסגרת מהלך מחקרי זה ניתן היה לראות את קשיי ההערכה של זמני הטיפול בתיקים, ואת השונות הגדולה בין הערכות השופטים, בדומה לקשיים שעלו במסגרת מהלכי התיקוף הנוספים שביצענו (כמפורט בפרק הממצאים של ערכאת המחוזי, תת פרק 3.1.2.2).</w:t>
      </w:r>
    </w:p>
    <w:p w14:paraId="1B219A01" w14:textId="07A1677B" w:rsidR="00227D0D" w:rsidRDefault="0000620A" w:rsidP="002F34D4">
      <w:pPr>
        <w:spacing w:before="120" w:after="0" w:line="360" w:lineRule="auto"/>
        <w:jc w:val="both"/>
        <w:rPr>
          <w:rFonts w:cs="David"/>
          <w:sz w:val="24"/>
          <w:szCs w:val="24"/>
          <w:rtl/>
        </w:rPr>
      </w:pPr>
      <w:r w:rsidRPr="00C176DD">
        <w:rPr>
          <w:rFonts w:cs="David" w:hint="cs"/>
          <w:sz w:val="24"/>
          <w:szCs w:val="24"/>
          <w:rtl/>
        </w:rPr>
        <w:t>ניתן לראות את</w:t>
      </w:r>
      <w:r w:rsidR="00227D0D" w:rsidRPr="00C176DD">
        <w:rPr>
          <w:rFonts w:cs="David" w:hint="cs"/>
          <w:sz w:val="24"/>
          <w:szCs w:val="24"/>
          <w:rtl/>
        </w:rPr>
        <w:t xml:space="preserve"> המשקלות המוערכים של </w:t>
      </w:r>
      <w:r w:rsidRPr="00C176DD">
        <w:rPr>
          <w:rFonts w:cs="David" w:hint="cs"/>
          <w:sz w:val="24"/>
          <w:szCs w:val="24"/>
          <w:rtl/>
        </w:rPr>
        <w:t>ה</w:t>
      </w:r>
      <w:r w:rsidR="00227D0D" w:rsidRPr="00C176DD">
        <w:rPr>
          <w:rFonts w:cs="David" w:hint="cs"/>
          <w:sz w:val="24"/>
          <w:szCs w:val="24"/>
          <w:rtl/>
        </w:rPr>
        <w:t>תיקים</w:t>
      </w:r>
      <w:r w:rsidRPr="00C176DD">
        <w:rPr>
          <w:rFonts w:cs="David" w:hint="cs"/>
          <w:sz w:val="24"/>
          <w:szCs w:val="24"/>
          <w:rtl/>
        </w:rPr>
        <w:t xml:space="preserve"> שלא נמדדו במחקר</w:t>
      </w:r>
      <w:r w:rsidR="00227D0D" w:rsidRPr="00C176DD">
        <w:rPr>
          <w:rFonts w:cs="David" w:hint="cs"/>
          <w:sz w:val="24"/>
          <w:szCs w:val="24"/>
          <w:rtl/>
        </w:rPr>
        <w:t xml:space="preserve"> ב</w:t>
      </w:r>
      <w:r w:rsidR="00227D0D" w:rsidRPr="00C176DD">
        <w:rPr>
          <w:rFonts w:cs="David" w:hint="cs"/>
          <w:b/>
          <w:bCs/>
          <w:sz w:val="24"/>
          <w:szCs w:val="24"/>
          <w:rtl/>
        </w:rPr>
        <w:t>נספח ט'</w:t>
      </w:r>
      <w:r w:rsidR="00227D0D" w:rsidRPr="00C176DD">
        <w:rPr>
          <w:rFonts w:cs="David" w:hint="cs"/>
          <w:sz w:val="24"/>
          <w:szCs w:val="24"/>
          <w:rtl/>
        </w:rPr>
        <w:t>.</w:t>
      </w:r>
      <w:r w:rsidR="00227D0D">
        <w:rPr>
          <w:rFonts w:cs="David" w:hint="cs"/>
          <w:sz w:val="24"/>
          <w:szCs w:val="24"/>
          <w:rtl/>
        </w:rPr>
        <w:t xml:space="preserve"> </w:t>
      </w:r>
    </w:p>
    <w:p w14:paraId="560B9F4A" w14:textId="77777777" w:rsidR="00C176DD" w:rsidRPr="00F25744" w:rsidRDefault="00C176DD" w:rsidP="00C176DD">
      <w:pPr>
        <w:spacing w:before="120" w:after="0" w:line="240" w:lineRule="auto"/>
        <w:jc w:val="both"/>
        <w:rPr>
          <w:rFonts w:cs="David"/>
          <w:sz w:val="24"/>
          <w:szCs w:val="24"/>
          <w:rtl/>
        </w:rPr>
      </w:pPr>
    </w:p>
    <w:p w14:paraId="4C61629B" w14:textId="77777777" w:rsidR="00840519" w:rsidRPr="00F25744" w:rsidRDefault="00E25AE7" w:rsidP="000C1408">
      <w:pPr>
        <w:pStyle w:val="3"/>
        <w:ind w:left="852"/>
      </w:pPr>
      <w:bookmarkStart w:id="746" w:name="_Toc46226095"/>
      <w:bookmarkStart w:id="747" w:name="_Toc46226239"/>
      <w:bookmarkStart w:id="748" w:name="_Toc46228406"/>
      <w:bookmarkStart w:id="749" w:name="_Toc46228504"/>
      <w:bookmarkStart w:id="750" w:name="_Toc46230431"/>
      <w:bookmarkStart w:id="751" w:name="_Toc46230529"/>
      <w:bookmarkStart w:id="752" w:name="_Toc46310419"/>
      <w:bookmarkStart w:id="753" w:name="_Toc46414062"/>
      <w:bookmarkStart w:id="754" w:name="_Toc49352777"/>
      <w:bookmarkStart w:id="755" w:name="_Toc49429682"/>
      <w:bookmarkStart w:id="756" w:name="_Toc49435911"/>
      <w:bookmarkStart w:id="757" w:name="_Toc74751021"/>
      <w:r w:rsidRPr="00F25744">
        <w:rPr>
          <w:rFonts w:hint="cs"/>
          <w:rtl/>
        </w:rPr>
        <w:t>משך יום העבודה השיפוטי</w:t>
      </w:r>
      <w:bookmarkEnd w:id="746"/>
      <w:bookmarkEnd w:id="747"/>
      <w:bookmarkEnd w:id="748"/>
      <w:bookmarkEnd w:id="749"/>
      <w:bookmarkEnd w:id="750"/>
      <w:bookmarkEnd w:id="751"/>
      <w:bookmarkEnd w:id="752"/>
      <w:bookmarkEnd w:id="753"/>
      <w:bookmarkEnd w:id="754"/>
      <w:bookmarkEnd w:id="755"/>
      <w:bookmarkEnd w:id="756"/>
      <w:bookmarkEnd w:id="757"/>
    </w:p>
    <w:p w14:paraId="4F10B963" w14:textId="77777777" w:rsidR="00A26218" w:rsidRPr="00F25744" w:rsidRDefault="00E25AE7" w:rsidP="001B0FA3">
      <w:pPr>
        <w:pStyle w:val="a3"/>
        <w:widowControl w:val="0"/>
        <w:autoSpaceDE w:val="0"/>
        <w:autoSpaceDN w:val="0"/>
        <w:bidi/>
        <w:adjustRightInd w:val="0"/>
        <w:spacing w:before="120" w:after="0" w:line="360" w:lineRule="auto"/>
        <w:ind w:left="0"/>
        <w:rPr>
          <w:rFonts w:ascii="David" w:hAnsi="David" w:cs="David"/>
          <w:sz w:val="24"/>
          <w:szCs w:val="24"/>
          <w:rtl/>
        </w:rPr>
      </w:pPr>
      <w:r w:rsidRPr="00F25744">
        <w:rPr>
          <w:rFonts w:ascii="David" w:hAnsi="David" w:cs="David" w:hint="cs"/>
          <w:sz w:val="24"/>
          <w:szCs w:val="24"/>
          <w:rtl/>
        </w:rPr>
        <w:t xml:space="preserve">בתת פרק זה נציג את משך יום העבודה השיפוטי </w:t>
      </w:r>
      <w:r w:rsidRPr="00F25744">
        <w:rPr>
          <w:rFonts w:ascii="David" w:hAnsi="David" w:cs="David" w:hint="cs"/>
          <w:b/>
          <w:bCs/>
          <w:sz w:val="24"/>
          <w:szCs w:val="24"/>
          <w:rtl/>
        </w:rPr>
        <w:t>הממוצע</w:t>
      </w:r>
      <w:r w:rsidRPr="00F25744">
        <w:rPr>
          <w:rFonts w:ascii="David" w:hAnsi="David" w:cs="David" w:hint="cs"/>
          <w:sz w:val="24"/>
          <w:szCs w:val="24"/>
          <w:rtl/>
        </w:rPr>
        <w:t xml:space="preserve"> לשופט בישראל. את משך יום העבודה השיפוטי מצאנו לאחר סכימת זמני הפעילויות השיפוטיות השונות שמהן מורכב יום עבודה שיפוטי כמפורט לעיל: פעילות שיפוטית שאינה קשורה לתיקים ספציפיים שבטיפולו של השופט, כמו השתלמויות, </w:t>
      </w:r>
      <w:r w:rsidR="00340554" w:rsidRPr="00F25744">
        <w:rPr>
          <w:rFonts w:ascii="David" w:hAnsi="David" w:cs="David" w:hint="cs"/>
          <w:sz w:val="24"/>
          <w:szCs w:val="24"/>
          <w:rtl/>
        </w:rPr>
        <w:t xml:space="preserve">ישיבות צוות וכדומה; </w:t>
      </w:r>
      <w:r w:rsidRPr="00F25744">
        <w:rPr>
          <w:rFonts w:ascii="David" w:hAnsi="David" w:cs="David" w:hint="cs"/>
          <w:sz w:val="24"/>
          <w:szCs w:val="24"/>
          <w:rtl/>
        </w:rPr>
        <w:t>ופעילות שיפוטית הקשורה בתיקים, הכוללת</w:t>
      </w:r>
      <w:r w:rsidR="00340554" w:rsidRPr="00F25744">
        <w:rPr>
          <w:rFonts w:ascii="David" w:hAnsi="David" w:cs="David" w:hint="cs"/>
          <w:sz w:val="24"/>
          <w:szCs w:val="24"/>
          <w:rtl/>
        </w:rPr>
        <w:t xml:space="preserve"> אדמיניסטרציה הקשורה בתיקים, טיפול גורף במשימות בסל העבודה,</w:t>
      </w:r>
      <w:r w:rsidRPr="00F25744">
        <w:rPr>
          <w:rFonts w:ascii="David" w:hAnsi="David" w:cs="David" w:hint="cs"/>
          <w:sz w:val="24"/>
          <w:szCs w:val="24"/>
          <w:rtl/>
        </w:rPr>
        <w:t xml:space="preserve"> הכנה לדיונים וכתיבת החלטות ופסקי דין. </w:t>
      </w:r>
      <w:r w:rsidR="00340554" w:rsidRPr="00F25744">
        <w:rPr>
          <w:rFonts w:ascii="David" w:hAnsi="David" w:cs="David" w:hint="cs"/>
          <w:sz w:val="24"/>
          <w:szCs w:val="24"/>
          <w:rtl/>
        </w:rPr>
        <w:t>בחישוב יו</w:t>
      </w:r>
      <w:r w:rsidRPr="00F25744">
        <w:rPr>
          <w:rFonts w:ascii="David" w:hAnsi="David" w:cs="David" w:hint="cs"/>
          <w:sz w:val="24"/>
          <w:szCs w:val="24"/>
          <w:rtl/>
        </w:rPr>
        <w:t>ם</w:t>
      </w:r>
      <w:r w:rsidR="00340554" w:rsidRPr="00F25744">
        <w:rPr>
          <w:rFonts w:ascii="David" w:hAnsi="David" w:cs="David" w:hint="cs"/>
          <w:sz w:val="24"/>
          <w:szCs w:val="24"/>
          <w:rtl/>
        </w:rPr>
        <w:t xml:space="preserve"> העבודה השיפוטי</w:t>
      </w:r>
      <w:r w:rsidRPr="00F25744">
        <w:rPr>
          <w:rFonts w:ascii="David" w:hAnsi="David" w:cs="David" w:hint="cs"/>
          <w:sz w:val="24"/>
          <w:szCs w:val="24"/>
          <w:rtl/>
        </w:rPr>
        <w:t xml:space="preserve"> </w:t>
      </w:r>
      <w:r w:rsidR="00340554" w:rsidRPr="00F25744">
        <w:rPr>
          <w:rFonts w:ascii="David" w:hAnsi="David" w:cs="David" w:hint="cs"/>
          <w:sz w:val="24"/>
          <w:szCs w:val="24"/>
          <w:rtl/>
        </w:rPr>
        <w:t>לא כללנו א</w:t>
      </w:r>
      <w:r w:rsidRPr="00F25744">
        <w:rPr>
          <w:rFonts w:ascii="David" w:hAnsi="David" w:cs="David" w:hint="cs"/>
          <w:sz w:val="24"/>
          <w:szCs w:val="24"/>
          <w:rtl/>
        </w:rPr>
        <w:t xml:space="preserve">ת הזמנים אשר דווחו כ"פעילות לבר שיפוטית" וכן את הזמנים שהוקדשו למילוי היומנים עצמם. </w:t>
      </w:r>
    </w:p>
    <w:p w14:paraId="4FA4E614" w14:textId="77777777" w:rsidR="00A26218" w:rsidRPr="00F25744" w:rsidRDefault="00E25AE7" w:rsidP="001B0FA3">
      <w:pPr>
        <w:pStyle w:val="a3"/>
        <w:widowControl w:val="0"/>
        <w:autoSpaceDE w:val="0"/>
        <w:autoSpaceDN w:val="0"/>
        <w:bidi/>
        <w:adjustRightInd w:val="0"/>
        <w:spacing w:before="120" w:after="0" w:line="360" w:lineRule="auto"/>
        <w:ind w:left="0"/>
        <w:rPr>
          <w:rFonts w:ascii="David" w:hAnsi="David" w:cs="David"/>
          <w:sz w:val="24"/>
          <w:szCs w:val="24"/>
          <w:rtl/>
        </w:rPr>
      </w:pPr>
      <w:r w:rsidRPr="00F25744">
        <w:rPr>
          <w:rFonts w:ascii="David" w:hAnsi="David" w:cs="David"/>
          <w:sz w:val="24"/>
          <w:szCs w:val="24"/>
          <w:rtl/>
        </w:rPr>
        <w:t>בבחינת</w:t>
      </w:r>
      <w:r w:rsidRPr="00F25744">
        <w:rPr>
          <w:rFonts w:ascii="David" w:hAnsi="David" w:cs="David"/>
          <w:sz w:val="24"/>
          <w:szCs w:val="24"/>
        </w:rPr>
        <w:t xml:space="preserve"> </w:t>
      </w:r>
      <w:r w:rsidRPr="00F25744">
        <w:rPr>
          <w:rFonts w:ascii="David" w:hAnsi="David" w:cs="David"/>
          <w:sz w:val="24"/>
          <w:szCs w:val="24"/>
          <w:rtl/>
        </w:rPr>
        <w:t>הנתונים</w:t>
      </w:r>
      <w:r w:rsidRPr="00F25744">
        <w:rPr>
          <w:rFonts w:ascii="David" w:hAnsi="David" w:cs="David"/>
          <w:sz w:val="24"/>
          <w:szCs w:val="24"/>
        </w:rPr>
        <w:t xml:space="preserve"> </w:t>
      </w:r>
      <w:r w:rsidRPr="00F25744">
        <w:rPr>
          <w:rFonts w:ascii="David" w:hAnsi="David" w:cs="David"/>
          <w:sz w:val="24"/>
          <w:szCs w:val="24"/>
          <w:rtl/>
        </w:rPr>
        <w:t>בישראל</w:t>
      </w:r>
      <w:r w:rsidRPr="00F25744">
        <w:rPr>
          <w:rFonts w:ascii="David" w:hAnsi="David" w:cs="David"/>
          <w:sz w:val="24"/>
          <w:szCs w:val="24"/>
        </w:rPr>
        <w:t xml:space="preserve"> </w:t>
      </w:r>
      <w:r w:rsidRPr="00F25744">
        <w:rPr>
          <w:rFonts w:ascii="David" w:hAnsi="David" w:cs="David"/>
          <w:sz w:val="24"/>
          <w:szCs w:val="24"/>
          <w:rtl/>
        </w:rPr>
        <w:t>אל</w:t>
      </w:r>
      <w:r w:rsidRPr="00F25744">
        <w:rPr>
          <w:rFonts w:ascii="David" w:hAnsi="David" w:cs="David"/>
          <w:sz w:val="24"/>
          <w:szCs w:val="24"/>
        </w:rPr>
        <w:t xml:space="preserve"> </w:t>
      </w:r>
      <w:r w:rsidRPr="00F25744">
        <w:rPr>
          <w:rFonts w:ascii="David" w:hAnsi="David" w:cs="David"/>
          <w:sz w:val="24"/>
          <w:szCs w:val="24"/>
          <w:rtl/>
        </w:rPr>
        <w:t>מול</w:t>
      </w:r>
      <w:r w:rsidRPr="00F25744">
        <w:rPr>
          <w:rFonts w:ascii="David" w:hAnsi="David" w:cs="David"/>
          <w:sz w:val="24"/>
          <w:szCs w:val="24"/>
        </w:rPr>
        <w:t xml:space="preserve"> </w:t>
      </w:r>
      <w:r w:rsidRPr="00F25744">
        <w:rPr>
          <w:rFonts w:ascii="David" w:hAnsi="David" w:cs="David"/>
          <w:sz w:val="24"/>
          <w:szCs w:val="24"/>
          <w:rtl/>
        </w:rPr>
        <w:t>נתוני</w:t>
      </w:r>
      <w:r w:rsidRPr="00F25744">
        <w:rPr>
          <w:rFonts w:ascii="David" w:hAnsi="David" w:cs="David"/>
          <w:sz w:val="24"/>
          <w:szCs w:val="24"/>
        </w:rPr>
        <w:t xml:space="preserve"> 47 </w:t>
      </w:r>
      <w:r w:rsidRPr="00F25744">
        <w:rPr>
          <w:rFonts w:ascii="David" w:hAnsi="David" w:cs="David"/>
          <w:sz w:val="24"/>
          <w:szCs w:val="24"/>
          <w:rtl/>
        </w:rPr>
        <w:t>מדינות</w:t>
      </w:r>
      <w:r w:rsidRPr="00F25744">
        <w:rPr>
          <w:rFonts w:ascii="David" w:hAnsi="David" w:cs="David"/>
          <w:sz w:val="24"/>
          <w:szCs w:val="24"/>
        </w:rPr>
        <w:t xml:space="preserve"> </w:t>
      </w:r>
      <w:r w:rsidRPr="00F25744">
        <w:rPr>
          <w:rFonts w:ascii="David" w:hAnsi="David" w:cs="David"/>
          <w:sz w:val="24"/>
          <w:szCs w:val="24"/>
          <w:rtl/>
        </w:rPr>
        <w:t>האיחוד</w:t>
      </w:r>
      <w:r w:rsidRPr="00F25744">
        <w:rPr>
          <w:rFonts w:ascii="David" w:hAnsi="David" w:cs="David"/>
          <w:sz w:val="24"/>
          <w:szCs w:val="24"/>
        </w:rPr>
        <w:t xml:space="preserve"> </w:t>
      </w:r>
      <w:r w:rsidRPr="00F25744">
        <w:rPr>
          <w:rFonts w:ascii="David" w:hAnsi="David" w:cs="David"/>
          <w:sz w:val="24"/>
          <w:szCs w:val="24"/>
          <w:rtl/>
        </w:rPr>
        <w:t>האירופי</w:t>
      </w:r>
      <w:r w:rsidR="00315C4B" w:rsidRPr="00F25744">
        <w:rPr>
          <w:rFonts w:ascii="David" w:hAnsi="David" w:cs="David" w:hint="cs"/>
          <w:sz w:val="24"/>
          <w:szCs w:val="24"/>
          <w:rtl/>
        </w:rPr>
        <w:t>,</w:t>
      </w:r>
      <w:r w:rsidRPr="00F25744">
        <w:rPr>
          <w:rFonts w:ascii="David" w:hAnsi="David" w:cs="David" w:hint="cs"/>
          <w:sz w:val="24"/>
          <w:szCs w:val="24"/>
          <w:rtl/>
        </w:rPr>
        <w:t xml:space="preserve"> נמצא כי</w:t>
      </w:r>
      <w:r w:rsidRPr="00F25744">
        <w:rPr>
          <w:rFonts w:ascii="David" w:hAnsi="David" w:cs="David"/>
          <w:sz w:val="24"/>
          <w:szCs w:val="24"/>
        </w:rPr>
        <w:t xml:space="preserve"> </w:t>
      </w:r>
      <w:r w:rsidRPr="00F25744">
        <w:rPr>
          <w:rFonts w:ascii="David" w:hAnsi="David" w:cs="David"/>
          <w:sz w:val="24"/>
          <w:szCs w:val="24"/>
          <w:rtl/>
        </w:rPr>
        <w:t>מצבת</w:t>
      </w:r>
      <w:r w:rsidRPr="00F25744">
        <w:rPr>
          <w:rFonts w:ascii="David" w:hAnsi="David" w:cs="David"/>
          <w:sz w:val="24"/>
          <w:szCs w:val="24"/>
        </w:rPr>
        <w:t xml:space="preserve"> </w:t>
      </w:r>
      <w:r w:rsidRPr="00F25744">
        <w:rPr>
          <w:rFonts w:ascii="David" w:hAnsi="David" w:cs="David"/>
          <w:sz w:val="24"/>
          <w:szCs w:val="24"/>
          <w:rtl/>
        </w:rPr>
        <w:t>תקינת</w:t>
      </w:r>
      <w:r w:rsidRPr="00F25744">
        <w:rPr>
          <w:rFonts w:ascii="David" w:hAnsi="David" w:cs="David" w:hint="cs"/>
          <w:sz w:val="24"/>
          <w:szCs w:val="24"/>
          <w:rtl/>
        </w:rPr>
        <w:t xml:space="preserve"> </w:t>
      </w:r>
      <w:r w:rsidRPr="00F25744">
        <w:rPr>
          <w:rFonts w:ascii="David" w:hAnsi="David" w:cs="David"/>
          <w:sz w:val="24"/>
          <w:szCs w:val="24"/>
          <w:rtl/>
        </w:rPr>
        <w:t>השופטים</w:t>
      </w:r>
      <w:r w:rsidRPr="00F25744">
        <w:rPr>
          <w:rFonts w:ascii="David" w:hAnsi="David" w:cs="David"/>
          <w:sz w:val="24"/>
          <w:szCs w:val="24"/>
        </w:rPr>
        <w:t xml:space="preserve"> </w:t>
      </w:r>
      <w:r w:rsidRPr="00F25744">
        <w:rPr>
          <w:rFonts w:ascii="David" w:hAnsi="David" w:cs="David"/>
          <w:sz w:val="24"/>
          <w:szCs w:val="24"/>
          <w:rtl/>
        </w:rPr>
        <w:t>בישראל</w:t>
      </w:r>
      <w:r w:rsidRPr="00F25744">
        <w:rPr>
          <w:rFonts w:ascii="David" w:hAnsi="David" w:cs="David" w:hint="cs"/>
          <w:sz w:val="24"/>
          <w:szCs w:val="24"/>
          <w:rtl/>
        </w:rPr>
        <w:t xml:space="preserve"> (ביחס</w:t>
      </w:r>
      <w:r w:rsidRPr="00F25744">
        <w:rPr>
          <w:rFonts w:ascii="David" w:hAnsi="David" w:cs="David"/>
          <w:sz w:val="24"/>
          <w:szCs w:val="24"/>
        </w:rPr>
        <w:t xml:space="preserve"> </w:t>
      </w:r>
      <w:r w:rsidRPr="00F25744">
        <w:rPr>
          <w:rFonts w:ascii="David" w:hAnsi="David" w:cs="David"/>
          <w:sz w:val="24"/>
          <w:szCs w:val="24"/>
          <w:rtl/>
        </w:rPr>
        <w:t>ל</w:t>
      </w:r>
      <w:r w:rsidR="00E6459F" w:rsidRPr="00F25744">
        <w:rPr>
          <w:rFonts w:ascii="David" w:hAnsi="David" w:cs="David" w:hint="cs"/>
          <w:sz w:val="24"/>
          <w:szCs w:val="24"/>
          <w:rtl/>
        </w:rPr>
        <w:t>-100,000 תושבים</w:t>
      </w:r>
      <w:r w:rsidRPr="00F25744">
        <w:rPr>
          <w:rFonts w:ascii="David" w:hAnsi="David" w:cs="David"/>
          <w:sz w:val="24"/>
          <w:szCs w:val="24"/>
        </w:rPr>
        <w:t>(</w:t>
      </w:r>
      <w:r w:rsidRPr="00F25744">
        <w:rPr>
          <w:rFonts w:ascii="David" w:hAnsi="David" w:cs="David" w:hint="cs"/>
          <w:sz w:val="24"/>
          <w:szCs w:val="24"/>
          <w:rtl/>
        </w:rPr>
        <w:t xml:space="preserve"> </w:t>
      </w:r>
      <w:r w:rsidRPr="00F25744">
        <w:rPr>
          <w:rFonts w:ascii="David" w:hAnsi="David" w:cs="David"/>
          <w:sz w:val="24"/>
          <w:szCs w:val="24"/>
          <w:rtl/>
        </w:rPr>
        <w:t>מהווה</w:t>
      </w:r>
      <w:r w:rsidRPr="00F25744">
        <w:rPr>
          <w:rFonts w:ascii="David" w:hAnsi="David" w:cs="David"/>
          <w:sz w:val="24"/>
          <w:szCs w:val="24"/>
        </w:rPr>
        <w:t xml:space="preserve"> </w:t>
      </w:r>
      <w:r w:rsidRPr="00F25744">
        <w:rPr>
          <w:rFonts w:ascii="David" w:hAnsi="David" w:cs="David"/>
          <w:sz w:val="24"/>
          <w:szCs w:val="24"/>
          <w:rtl/>
        </w:rPr>
        <w:t>כשליש</w:t>
      </w:r>
      <w:r w:rsidRPr="00F25744">
        <w:rPr>
          <w:rFonts w:ascii="David" w:hAnsi="David" w:cs="David" w:hint="cs"/>
          <w:sz w:val="24"/>
          <w:szCs w:val="24"/>
          <w:rtl/>
        </w:rPr>
        <w:t xml:space="preserve"> מ</w:t>
      </w:r>
      <w:r w:rsidRPr="00F25744">
        <w:rPr>
          <w:rFonts w:ascii="David" w:hAnsi="David" w:cs="David"/>
          <w:sz w:val="24"/>
          <w:szCs w:val="24"/>
          <w:rtl/>
        </w:rPr>
        <w:t>ן</w:t>
      </w:r>
      <w:r w:rsidRPr="00F25744">
        <w:rPr>
          <w:rFonts w:ascii="David" w:hAnsi="David" w:cs="David"/>
          <w:sz w:val="24"/>
          <w:szCs w:val="24"/>
        </w:rPr>
        <w:t xml:space="preserve"> </w:t>
      </w:r>
      <w:r w:rsidRPr="00F25744">
        <w:rPr>
          <w:rFonts w:ascii="David" w:hAnsi="David" w:cs="David"/>
          <w:sz w:val="24"/>
          <w:szCs w:val="24"/>
          <w:rtl/>
        </w:rPr>
        <w:t>הממוצע</w:t>
      </w:r>
      <w:r w:rsidRPr="00F25744">
        <w:rPr>
          <w:rFonts w:ascii="David" w:hAnsi="David" w:cs="David"/>
          <w:sz w:val="24"/>
          <w:szCs w:val="24"/>
        </w:rPr>
        <w:t xml:space="preserve"> </w:t>
      </w:r>
      <w:r w:rsidRPr="00F25744">
        <w:rPr>
          <w:rFonts w:ascii="David" w:hAnsi="David" w:cs="David"/>
          <w:sz w:val="24"/>
          <w:szCs w:val="24"/>
          <w:rtl/>
        </w:rPr>
        <w:t>האירופי</w:t>
      </w:r>
      <w:r w:rsidRPr="00F25744">
        <w:rPr>
          <w:rFonts w:ascii="David" w:hAnsi="David" w:cs="David"/>
          <w:sz w:val="24"/>
          <w:szCs w:val="24"/>
        </w:rPr>
        <w:t>.</w:t>
      </w:r>
      <w:r w:rsidRPr="00F25744">
        <w:rPr>
          <w:rFonts w:ascii="David" w:hAnsi="David" w:cs="David" w:hint="cs"/>
          <w:sz w:val="24"/>
          <w:szCs w:val="24"/>
          <w:rtl/>
        </w:rPr>
        <w:t xml:space="preserve"> חסר תקינתי זה מהווה למעשה את הבסיס לעומס העבודה השיפוטית הכבד המוטל על כתפי השופטים בישראל, אשר יחד עם כמות </w:t>
      </w:r>
      <w:r w:rsidR="00591F9E" w:rsidRPr="00F25744">
        <w:rPr>
          <w:rFonts w:ascii="David" w:hAnsi="David" w:cs="David" w:hint="cs"/>
          <w:sz w:val="24"/>
          <w:szCs w:val="24"/>
          <w:rtl/>
        </w:rPr>
        <w:t xml:space="preserve">הליכים </w:t>
      </w:r>
      <w:r w:rsidR="00E6459F" w:rsidRPr="00F25744">
        <w:rPr>
          <w:rFonts w:ascii="David" w:hAnsi="David" w:cs="David" w:hint="cs"/>
          <w:sz w:val="24"/>
          <w:szCs w:val="24"/>
          <w:rtl/>
        </w:rPr>
        <w:t xml:space="preserve">משפטיים </w:t>
      </w:r>
      <w:r w:rsidRPr="00F25744">
        <w:rPr>
          <w:rFonts w:ascii="David" w:hAnsi="David" w:cs="David" w:hint="cs"/>
          <w:sz w:val="24"/>
          <w:szCs w:val="24"/>
          <w:rtl/>
        </w:rPr>
        <w:t>גבוהה יחסית לגודל האוכלוסייה, כפי שפורט בתקציר המנהלים בתחילת דוח זה, משפיעים ישירות על מספר שעות העבודה הרב שעובדים השופטים בישראל</w:t>
      </w:r>
      <w:r w:rsidR="009F79A3" w:rsidRPr="00F25744">
        <w:rPr>
          <w:rFonts w:ascii="David" w:hAnsi="David" w:cs="David" w:hint="cs"/>
          <w:sz w:val="24"/>
          <w:szCs w:val="24"/>
          <w:rtl/>
        </w:rPr>
        <w:t>, כפי שניתן לראות בנתונים המוצגים בפרק זה</w:t>
      </w:r>
      <w:r w:rsidRPr="00F25744">
        <w:rPr>
          <w:rFonts w:ascii="David" w:hAnsi="David" w:cs="David" w:hint="cs"/>
          <w:sz w:val="24"/>
          <w:szCs w:val="24"/>
          <w:rtl/>
        </w:rPr>
        <w:t xml:space="preserve">. </w:t>
      </w:r>
    </w:p>
    <w:p w14:paraId="041B6250" w14:textId="77777777" w:rsidR="00A26218" w:rsidRPr="00F25744" w:rsidRDefault="00E25AE7" w:rsidP="001B0FA3">
      <w:pPr>
        <w:pStyle w:val="a3"/>
        <w:widowControl w:val="0"/>
        <w:autoSpaceDE w:val="0"/>
        <w:autoSpaceDN w:val="0"/>
        <w:bidi/>
        <w:adjustRightInd w:val="0"/>
        <w:spacing w:before="120" w:after="0" w:line="360" w:lineRule="auto"/>
        <w:ind w:left="0"/>
        <w:rPr>
          <w:rFonts w:ascii="David" w:hAnsi="David" w:cs="David"/>
          <w:sz w:val="24"/>
          <w:szCs w:val="24"/>
          <w:rtl/>
        </w:rPr>
      </w:pPr>
      <w:r w:rsidRPr="00F25744">
        <w:rPr>
          <w:rFonts w:ascii="David" w:hAnsi="David" w:cs="David" w:hint="cs"/>
          <w:sz w:val="24"/>
          <w:szCs w:val="24"/>
          <w:rtl/>
        </w:rPr>
        <w:t xml:space="preserve">לצורך חישוב משך יום העבודה השיפוטי, הפרדנו בין ימי עבודה </w:t>
      </w:r>
      <w:r w:rsidR="00FB54D1" w:rsidRPr="00F25744">
        <w:rPr>
          <w:rFonts w:ascii="David" w:hAnsi="David" w:cs="David" w:hint="cs"/>
          <w:sz w:val="24"/>
          <w:szCs w:val="24"/>
          <w:rtl/>
        </w:rPr>
        <w:t>מוגדרים</w:t>
      </w:r>
      <w:r w:rsidRPr="00F25744">
        <w:rPr>
          <w:rFonts w:ascii="David" w:hAnsi="David" w:cs="David" w:hint="cs"/>
          <w:sz w:val="24"/>
          <w:szCs w:val="24"/>
          <w:rtl/>
        </w:rPr>
        <w:t>, דהיינו ימים א'-</w:t>
      </w:r>
      <w:r w:rsidR="00FB54D1" w:rsidRPr="00F25744">
        <w:rPr>
          <w:rFonts w:ascii="David" w:hAnsi="David" w:cs="David" w:hint="cs"/>
          <w:sz w:val="24"/>
          <w:szCs w:val="24"/>
          <w:rtl/>
        </w:rPr>
        <w:t>ו</w:t>
      </w:r>
      <w:r w:rsidRPr="00F25744">
        <w:rPr>
          <w:rFonts w:ascii="David" w:hAnsi="David" w:cs="David" w:hint="cs"/>
          <w:sz w:val="24"/>
          <w:szCs w:val="24"/>
          <w:rtl/>
        </w:rPr>
        <w:t>', ובין ימי עבודה "מיוחדים" הכוללים שבת</w:t>
      </w:r>
      <w:r w:rsidR="00FB54D1" w:rsidRPr="00F25744">
        <w:rPr>
          <w:rFonts w:ascii="David" w:hAnsi="David" w:cs="David" w:hint="cs"/>
          <w:sz w:val="24"/>
          <w:szCs w:val="24"/>
          <w:rtl/>
        </w:rPr>
        <w:t>ות</w:t>
      </w:r>
      <w:r w:rsidR="00F01F86" w:rsidRPr="00F25744">
        <w:rPr>
          <w:rFonts w:ascii="David" w:hAnsi="David" w:cs="David" w:hint="cs"/>
          <w:sz w:val="24"/>
          <w:szCs w:val="24"/>
          <w:rtl/>
        </w:rPr>
        <w:t>/</w:t>
      </w:r>
      <w:r w:rsidRPr="00F25744">
        <w:rPr>
          <w:rFonts w:ascii="David" w:hAnsi="David" w:cs="David" w:hint="cs"/>
          <w:sz w:val="24"/>
          <w:szCs w:val="24"/>
          <w:rtl/>
        </w:rPr>
        <w:t xml:space="preserve"> ימי ארעי/ חופשה/ מחלה/ השתלמויות/ שבתון ועוד. נסביר, כי במהלך תקופת המחקר, כאשר מילאו השופטים את יומן העבודה המקוון, היה עליהם לציין בפתח השאלון האם מדובר ביום עבודה "רגיל" או ביום ארעי/ שבתון וכדומה</w:t>
      </w:r>
      <w:r w:rsidR="004E7230" w:rsidRPr="00F25744">
        <w:rPr>
          <w:rFonts w:ascii="David" w:hAnsi="David" w:cs="David" w:hint="cs"/>
          <w:sz w:val="24"/>
          <w:szCs w:val="24"/>
          <w:rtl/>
        </w:rPr>
        <w:t>.</w:t>
      </w:r>
      <w:r w:rsidRPr="00F25744">
        <w:rPr>
          <w:rStyle w:val="a6"/>
          <w:rFonts w:ascii="David" w:hAnsi="David" w:cs="David"/>
          <w:sz w:val="24"/>
          <w:szCs w:val="24"/>
          <w:rtl/>
        </w:rPr>
        <w:footnoteReference w:id="37"/>
      </w:r>
      <w:r w:rsidRPr="00F25744">
        <w:rPr>
          <w:rFonts w:ascii="David" w:hAnsi="David" w:cs="David" w:hint="cs"/>
          <w:sz w:val="24"/>
          <w:szCs w:val="24"/>
          <w:rtl/>
        </w:rPr>
        <w:t xml:space="preserve"> </w:t>
      </w:r>
    </w:p>
    <w:p w14:paraId="299750C2" w14:textId="77777777" w:rsidR="009721DC" w:rsidRPr="00F25744" w:rsidRDefault="00E25AE7" w:rsidP="001B0FA3">
      <w:pPr>
        <w:pStyle w:val="a3"/>
        <w:widowControl w:val="0"/>
        <w:autoSpaceDE w:val="0"/>
        <w:autoSpaceDN w:val="0"/>
        <w:bidi/>
        <w:adjustRightInd w:val="0"/>
        <w:spacing w:before="120" w:after="0" w:line="360" w:lineRule="auto"/>
        <w:ind w:left="0"/>
        <w:rPr>
          <w:rFonts w:ascii="David" w:hAnsi="David" w:cs="David"/>
          <w:sz w:val="24"/>
          <w:szCs w:val="24"/>
          <w:rtl/>
        </w:rPr>
      </w:pPr>
      <w:r w:rsidRPr="00F25744">
        <w:rPr>
          <w:rFonts w:ascii="David" w:hAnsi="David" w:cs="David" w:hint="cs"/>
          <w:sz w:val="24"/>
          <w:szCs w:val="24"/>
          <w:rtl/>
        </w:rPr>
        <w:t xml:space="preserve">כמו כן, </w:t>
      </w:r>
      <w:r w:rsidR="007F3A52" w:rsidRPr="00F25744">
        <w:rPr>
          <w:rFonts w:ascii="David" w:hAnsi="David" w:cs="David" w:hint="cs"/>
          <w:sz w:val="24"/>
          <w:szCs w:val="24"/>
          <w:rtl/>
        </w:rPr>
        <w:t>מעבר לפילוח הערכאתי, נ</w:t>
      </w:r>
      <w:r w:rsidRPr="00F25744">
        <w:rPr>
          <w:rFonts w:ascii="David" w:hAnsi="David" w:cs="David" w:hint="cs"/>
          <w:sz w:val="24"/>
          <w:szCs w:val="24"/>
          <w:rtl/>
        </w:rPr>
        <w:t xml:space="preserve">ציג להלן </w:t>
      </w:r>
      <w:r w:rsidR="003A6DC6" w:rsidRPr="00F25744">
        <w:rPr>
          <w:rFonts w:ascii="David" w:hAnsi="David" w:cs="David" w:hint="cs"/>
          <w:sz w:val="24"/>
          <w:szCs w:val="24"/>
          <w:rtl/>
        </w:rPr>
        <w:t>גם פילוחים</w:t>
      </w:r>
      <w:r w:rsidRPr="00F25744">
        <w:rPr>
          <w:rFonts w:ascii="David" w:hAnsi="David" w:cs="David" w:hint="cs"/>
          <w:sz w:val="24"/>
          <w:szCs w:val="24"/>
          <w:rtl/>
        </w:rPr>
        <w:t xml:space="preserve"> </w:t>
      </w:r>
      <w:r w:rsidR="007F3A52" w:rsidRPr="00F25744">
        <w:rPr>
          <w:rFonts w:ascii="David" w:hAnsi="David" w:cs="David" w:hint="cs"/>
          <w:sz w:val="24"/>
          <w:szCs w:val="24"/>
          <w:rtl/>
        </w:rPr>
        <w:t>ברמה ה"הליכית"</w:t>
      </w:r>
      <w:r w:rsidRPr="00F25744">
        <w:rPr>
          <w:rFonts w:ascii="David" w:hAnsi="David" w:cs="David" w:hint="cs"/>
          <w:sz w:val="24"/>
          <w:szCs w:val="24"/>
          <w:rtl/>
        </w:rPr>
        <w:t>, דהיינו - בין שופטים אזרחיים לפליליים בערכאות המחוזי והשלום.</w:t>
      </w:r>
    </w:p>
    <w:p w14:paraId="2D01F712" w14:textId="77777777" w:rsidR="00315C4B" w:rsidRPr="00F25744" w:rsidRDefault="00315C4B" w:rsidP="001B0FA3">
      <w:pPr>
        <w:pStyle w:val="a3"/>
        <w:widowControl w:val="0"/>
        <w:autoSpaceDE w:val="0"/>
        <w:autoSpaceDN w:val="0"/>
        <w:bidi/>
        <w:adjustRightInd w:val="0"/>
        <w:spacing w:before="60" w:after="60" w:line="240" w:lineRule="auto"/>
        <w:ind w:left="0"/>
        <w:rPr>
          <w:rFonts w:ascii="David" w:hAnsi="David" w:cs="David"/>
          <w:sz w:val="24"/>
          <w:szCs w:val="24"/>
          <w:rtl/>
        </w:rPr>
      </w:pPr>
    </w:p>
    <w:p w14:paraId="3F704A27" w14:textId="6FA0C07F" w:rsidR="00840519" w:rsidRPr="00F25744" w:rsidRDefault="000C1408" w:rsidP="000C1408">
      <w:pPr>
        <w:pStyle w:val="4"/>
        <w:ind w:left="994"/>
        <w:rPr>
          <w:rtl/>
        </w:rPr>
      </w:pPr>
      <w:bookmarkStart w:id="758" w:name="_Toc46226096"/>
      <w:bookmarkStart w:id="759" w:name="_Toc46226240"/>
      <w:bookmarkStart w:id="760" w:name="_Toc46228407"/>
      <w:bookmarkStart w:id="761" w:name="_Toc46228505"/>
      <w:bookmarkStart w:id="762" w:name="_Toc46230432"/>
      <w:bookmarkStart w:id="763" w:name="_Toc46230530"/>
      <w:bookmarkStart w:id="764" w:name="_Toc46310420"/>
      <w:bookmarkStart w:id="765" w:name="_Toc46414063"/>
      <w:r>
        <w:rPr>
          <w:rFonts w:hint="cs"/>
          <w:rtl/>
        </w:rPr>
        <w:t xml:space="preserve"> </w:t>
      </w:r>
      <w:bookmarkStart w:id="766" w:name="_Toc74751022"/>
      <w:r w:rsidR="00E25AE7" w:rsidRPr="00F25744">
        <w:rPr>
          <w:rFonts w:hint="cs"/>
          <w:rtl/>
        </w:rPr>
        <w:t xml:space="preserve">משך יום העבודה השיפוטי בימי </w:t>
      </w:r>
      <w:r w:rsidR="00DC7CF7" w:rsidRPr="00F25744">
        <w:rPr>
          <w:rFonts w:hint="cs"/>
          <w:rtl/>
        </w:rPr>
        <w:t>ה</w:t>
      </w:r>
      <w:r w:rsidR="00E25AE7" w:rsidRPr="00F25744">
        <w:rPr>
          <w:rFonts w:hint="cs"/>
          <w:rtl/>
        </w:rPr>
        <w:t xml:space="preserve">עבודה </w:t>
      </w:r>
      <w:r w:rsidR="00DC7CF7" w:rsidRPr="00F25744">
        <w:rPr>
          <w:rFonts w:hint="cs"/>
          <w:rtl/>
        </w:rPr>
        <w:t>ה</w:t>
      </w:r>
      <w:r w:rsidR="001B212D" w:rsidRPr="00F25744">
        <w:rPr>
          <w:rFonts w:hint="cs"/>
          <w:rtl/>
        </w:rPr>
        <w:t>מוגדרים</w:t>
      </w:r>
      <w:bookmarkEnd w:id="758"/>
      <w:bookmarkEnd w:id="759"/>
      <w:bookmarkEnd w:id="760"/>
      <w:bookmarkEnd w:id="761"/>
      <w:bookmarkEnd w:id="762"/>
      <w:bookmarkEnd w:id="763"/>
      <w:bookmarkEnd w:id="764"/>
      <w:bookmarkEnd w:id="765"/>
      <w:bookmarkEnd w:id="766"/>
    </w:p>
    <w:p w14:paraId="204A8F49" w14:textId="77777777" w:rsidR="00BF3027" w:rsidRDefault="00E25AE7" w:rsidP="00341018">
      <w:pPr>
        <w:pStyle w:val="a3"/>
        <w:widowControl w:val="0"/>
        <w:autoSpaceDE w:val="0"/>
        <w:autoSpaceDN w:val="0"/>
        <w:bidi/>
        <w:adjustRightInd w:val="0"/>
        <w:spacing w:before="60" w:after="60" w:line="360" w:lineRule="auto"/>
        <w:ind w:left="0"/>
        <w:rPr>
          <w:rFonts w:ascii="David" w:hAnsi="David" w:cs="David"/>
          <w:sz w:val="24"/>
          <w:szCs w:val="24"/>
          <w:rtl/>
        </w:rPr>
      </w:pPr>
      <w:r w:rsidRPr="00F25744">
        <w:rPr>
          <w:rFonts w:ascii="David" w:hAnsi="David" w:cs="David" w:hint="cs"/>
          <w:sz w:val="24"/>
          <w:szCs w:val="24"/>
          <w:rtl/>
        </w:rPr>
        <w:t>ימי העבודה המוגדרים לנושאי מש</w:t>
      </w:r>
      <w:r w:rsidR="00693648" w:rsidRPr="00F25744">
        <w:rPr>
          <w:rFonts w:ascii="David" w:hAnsi="David" w:cs="David" w:hint="cs"/>
          <w:sz w:val="24"/>
          <w:szCs w:val="24"/>
          <w:rtl/>
        </w:rPr>
        <w:t>רה שיפוטית בישראל הם ימים א'-ו'. עם זאת, לא ניתן להתעלם מכך ש</w:t>
      </w:r>
      <w:r w:rsidRPr="00F25744">
        <w:rPr>
          <w:rFonts w:ascii="David" w:hAnsi="David" w:cs="David" w:hint="cs"/>
          <w:sz w:val="24"/>
          <w:szCs w:val="24"/>
          <w:rtl/>
        </w:rPr>
        <w:t>ימי שישי הם ימי עבודה מקוצרים</w:t>
      </w:r>
      <w:r w:rsidR="000B5778" w:rsidRPr="00F25744">
        <w:rPr>
          <w:rFonts w:ascii="David" w:hAnsi="David" w:cs="David" w:hint="cs"/>
          <w:sz w:val="24"/>
          <w:szCs w:val="24"/>
          <w:rtl/>
        </w:rPr>
        <w:t xml:space="preserve">, שבהם </w:t>
      </w:r>
      <w:r w:rsidR="00341018" w:rsidRPr="00F25744">
        <w:rPr>
          <w:rFonts w:ascii="David" w:hAnsi="David" w:cs="David" w:hint="cs"/>
          <w:sz w:val="24"/>
          <w:szCs w:val="24"/>
          <w:rtl/>
        </w:rPr>
        <w:t xml:space="preserve">ככלל </w:t>
      </w:r>
      <w:r w:rsidR="000B5778" w:rsidRPr="00F25744">
        <w:rPr>
          <w:rFonts w:ascii="David" w:hAnsi="David" w:cs="David" w:hint="cs"/>
          <w:sz w:val="24"/>
          <w:szCs w:val="24"/>
          <w:rtl/>
        </w:rPr>
        <w:t>לא נקבעים דיונים</w:t>
      </w:r>
      <w:r w:rsidR="00341018" w:rsidRPr="00F25744">
        <w:rPr>
          <w:rFonts w:ascii="David" w:hAnsi="David" w:cs="David" w:hint="cs"/>
          <w:sz w:val="24"/>
          <w:szCs w:val="24"/>
          <w:rtl/>
        </w:rPr>
        <w:t>,</w:t>
      </w:r>
      <w:r w:rsidR="000B5778" w:rsidRPr="00F25744">
        <w:rPr>
          <w:rFonts w:ascii="David" w:hAnsi="David" w:cs="David" w:hint="cs"/>
          <w:sz w:val="24"/>
          <w:szCs w:val="24"/>
          <w:rtl/>
        </w:rPr>
        <w:t xml:space="preserve"> למעט תורנויות מעצרים</w:t>
      </w:r>
      <w:r w:rsidR="00341018" w:rsidRPr="00F25744">
        <w:rPr>
          <w:rFonts w:ascii="David" w:hAnsi="David" w:cs="David" w:hint="cs"/>
          <w:sz w:val="24"/>
          <w:szCs w:val="24"/>
          <w:rtl/>
        </w:rPr>
        <w:t>,</w:t>
      </w:r>
      <w:r w:rsidR="000B5778" w:rsidRPr="00F25744">
        <w:rPr>
          <w:rFonts w:ascii="David" w:hAnsi="David" w:cs="David" w:hint="cs"/>
          <w:sz w:val="24"/>
          <w:szCs w:val="24"/>
          <w:rtl/>
        </w:rPr>
        <w:t xml:space="preserve"> למשל</w:t>
      </w:r>
      <w:r w:rsidR="00341018" w:rsidRPr="00F25744">
        <w:rPr>
          <w:rFonts w:ascii="David" w:hAnsi="David" w:cs="David" w:hint="cs"/>
          <w:sz w:val="24"/>
          <w:szCs w:val="24"/>
          <w:rtl/>
        </w:rPr>
        <w:t>,</w:t>
      </w:r>
      <w:r w:rsidR="000B5778" w:rsidRPr="00F25744">
        <w:rPr>
          <w:rFonts w:ascii="David" w:hAnsi="David" w:cs="David" w:hint="cs"/>
          <w:sz w:val="24"/>
          <w:szCs w:val="24"/>
          <w:rtl/>
        </w:rPr>
        <w:t xml:space="preserve"> או דיונים דחופים</w:t>
      </w:r>
      <w:r w:rsidRPr="00F25744">
        <w:rPr>
          <w:rFonts w:ascii="David" w:hAnsi="David" w:cs="David" w:hint="cs"/>
          <w:sz w:val="24"/>
          <w:szCs w:val="24"/>
          <w:rtl/>
        </w:rPr>
        <w:t xml:space="preserve">. </w:t>
      </w:r>
      <w:r w:rsidR="000B5778" w:rsidRPr="00F25744">
        <w:rPr>
          <w:rFonts w:ascii="David" w:hAnsi="David" w:cs="David" w:hint="cs"/>
          <w:sz w:val="24"/>
          <w:szCs w:val="24"/>
          <w:rtl/>
        </w:rPr>
        <w:t xml:space="preserve">על כן, </w:t>
      </w:r>
      <w:r w:rsidR="00693648" w:rsidRPr="00F25744">
        <w:rPr>
          <w:rFonts w:ascii="David" w:hAnsi="David" w:cs="David" w:hint="cs"/>
          <w:sz w:val="24"/>
          <w:szCs w:val="24"/>
          <w:rtl/>
        </w:rPr>
        <w:t xml:space="preserve">על מנת לדייק בנתונים המוצגים, </w:t>
      </w:r>
      <w:r w:rsidR="000B5778" w:rsidRPr="00F25744">
        <w:rPr>
          <w:rFonts w:ascii="David" w:hAnsi="David" w:cs="David" w:hint="cs"/>
          <w:sz w:val="24"/>
          <w:szCs w:val="24"/>
          <w:rtl/>
        </w:rPr>
        <w:t xml:space="preserve">נציג כעת נתונים על ימי העבודה המלאים </w:t>
      </w:r>
      <w:r w:rsidR="000B5778" w:rsidRPr="00F25744">
        <w:rPr>
          <w:rFonts w:ascii="David" w:hAnsi="David" w:cs="David"/>
          <w:sz w:val="24"/>
          <w:szCs w:val="24"/>
          <w:rtl/>
        </w:rPr>
        <w:t>–</w:t>
      </w:r>
      <w:r w:rsidR="000B5778" w:rsidRPr="00F25744">
        <w:rPr>
          <w:rFonts w:ascii="David" w:hAnsi="David" w:cs="David" w:hint="cs"/>
          <w:sz w:val="24"/>
          <w:szCs w:val="24"/>
          <w:rtl/>
        </w:rPr>
        <w:t xml:space="preserve"> ימי א'-ה', ובהמשך נציג נתונים נפרדים על ימי שישי</w:t>
      </w:r>
      <w:r w:rsidR="00693648" w:rsidRPr="00F25744">
        <w:rPr>
          <w:rFonts w:ascii="David" w:hAnsi="David" w:cs="David" w:hint="cs"/>
          <w:sz w:val="24"/>
          <w:szCs w:val="24"/>
          <w:rtl/>
        </w:rPr>
        <w:t>:</w:t>
      </w:r>
    </w:p>
    <w:p w14:paraId="51D98120" w14:textId="241A4EB7" w:rsidR="00DC7CF7" w:rsidRPr="00F25744" w:rsidRDefault="00E25AE7" w:rsidP="00BF3027">
      <w:pPr>
        <w:pStyle w:val="a3"/>
        <w:widowControl w:val="0"/>
        <w:autoSpaceDE w:val="0"/>
        <w:autoSpaceDN w:val="0"/>
        <w:bidi/>
        <w:adjustRightInd w:val="0"/>
        <w:spacing w:before="60" w:after="60" w:line="360" w:lineRule="auto"/>
        <w:ind w:left="0"/>
        <w:rPr>
          <w:rFonts w:ascii="David" w:hAnsi="David" w:cs="David"/>
          <w:sz w:val="24"/>
          <w:szCs w:val="24"/>
          <w:rtl/>
        </w:rPr>
      </w:pPr>
      <w:r w:rsidRPr="00F25744">
        <w:rPr>
          <w:rFonts w:ascii="David" w:hAnsi="David" w:cs="David" w:hint="cs"/>
          <w:sz w:val="24"/>
          <w:szCs w:val="24"/>
          <w:rtl/>
        </w:rPr>
        <w:t xml:space="preserve"> </w:t>
      </w:r>
    </w:p>
    <w:p w14:paraId="261D0000" w14:textId="77777777" w:rsidR="00DC7CF7" w:rsidRPr="00F25744" w:rsidRDefault="00E25AE7" w:rsidP="00DC7CF7">
      <w:pPr>
        <w:pStyle w:val="a3"/>
        <w:widowControl w:val="0"/>
        <w:autoSpaceDE w:val="0"/>
        <w:autoSpaceDN w:val="0"/>
        <w:bidi/>
        <w:adjustRightInd w:val="0"/>
        <w:spacing w:before="60" w:after="60" w:line="240" w:lineRule="auto"/>
        <w:ind w:left="0"/>
        <w:rPr>
          <w:rFonts w:ascii="David" w:hAnsi="David" w:cs="David"/>
          <w:sz w:val="24"/>
          <w:szCs w:val="24"/>
          <w:u w:val="single"/>
          <w:rtl/>
        </w:rPr>
      </w:pPr>
      <w:r w:rsidRPr="00F25744">
        <w:rPr>
          <w:rFonts w:ascii="David" w:hAnsi="David" w:cs="David" w:hint="cs"/>
          <w:sz w:val="24"/>
          <w:szCs w:val="24"/>
          <w:u w:val="single"/>
          <w:rtl/>
        </w:rPr>
        <w:lastRenderedPageBreak/>
        <w:t>ימי עבודה מלאים (א'-ה')</w:t>
      </w:r>
    </w:p>
    <w:p w14:paraId="4195BC8B" w14:textId="77777777" w:rsidR="00DC7CF7" w:rsidRPr="00F25744" w:rsidRDefault="00DC7CF7" w:rsidP="00DC7CF7">
      <w:pPr>
        <w:pStyle w:val="a3"/>
        <w:widowControl w:val="0"/>
        <w:autoSpaceDE w:val="0"/>
        <w:autoSpaceDN w:val="0"/>
        <w:bidi/>
        <w:adjustRightInd w:val="0"/>
        <w:spacing w:before="60" w:after="60" w:line="240" w:lineRule="auto"/>
        <w:ind w:left="0"/>
        <w:rPr>
          <w:rFonts w:ascii="David" w:hAnsi="David" w:cs="David"/>
          <w:sz w:val="24"/>
          <w:szCs w:val="24"/>
          <w:u w:val="single"/>
          <w:rtl/>
        </w:rPr>
      </w:pPr>
    </w:p>
    <w:p w14:paraId="286EF158" w14:textId="64A2BB2A" w:rsidR="00840519" w:rsidRPr="00F25744" w:rsidRDefault="00E25AE7" w:rsidP="00A3794F">
      <w:pPr>
        <w:pStyle w:val="a3"/>
        <w:widowControl w:val="0"/>
        <w:autoSpaceDE w:val="0"/>
        <w:autoSpaceDN w:val="0"/>
        <w:bidi/>
        <w:adjustRightInd w:val="0"/>
        <w:spacing w:before="60" w:after="60" w:line="360" w:lineRule="auto"/>
        <w:ind w:left="0"/>
        <w:rPr>
          <w:rFonts w:ascii="David" w:hAnsi="David" w:cs="David"/>
          <w:sz w:val="24"/>
          <w:szCs w:val="24"/>
          <w:rtl/>
        </w:rPr>
      </w:pPr>
      <w:r w:rsidRPr="00F25744">
        <w:rPr>
          <w:rFonts w:ascii="David" w:hAnsi="David" w:cs="David" w:hint="cs"/>
          <w:sz w:val="24"/>
          <w:szCs w:val="24"/>
          <w:rtl/>
        </w:rPr>
        <w:t xml:space="preserve">בהתאם לנתוני המחקר, </w:t>
      </w:r>
      <w:r w:rsidR="007F3A52" w:rsidRPr="00F25744">
        <w:rPr>
          <w:rFonts w:ascii="David" w:hAnsi="David" w:cs="David" w:hint="cs"/>
          <w:sz w:val="24"/>
          <w:szCs w:val="24"/>
          <w:rtl/>
        </w:rPr>
        <w:t xml:space="preserve">משך יום העבודה השיפוטי </w:t>
      </w:r>
      <w:r w:rsidR="007F3A52" w:rsidRPr="00F25744">
        <w:rPr>
          <w:rFonts w:ascii="David" w:hAnsi="David" w:cs="David" w:hint="cs"/>
          <w:b/>
          <w:bCs/>
          <w:sz w:val="24"/>
          <w:szCs w:val="24"/>
          <w:rtl/>
        </w:rPr>
        <w:t>הממוצע</w:t>
      </w:r>
      <w:r w:rsidR="007F3A52" w:rsidRPr="00F25744">
        <w:rPr>
          <w:rFonts w:ascii="David" w:hAnsi="David" w:cs="David" w:hint="cs"/>
          <w:sz w:val="24"/>
          <w:szCs w:val="24"/>
          <w:rtl/>
        </w:rPr>
        <w:t xml:space="preserve"> לשופט בישראל (לרבות שופטי בתי הדין לעבודה) </w:t>
      </w:r>
      <w:r w:rsidRPr="00F25744">
        <w:rPr>
          <w:rFonts w:ascii="David" w:hAnsi="David" w:cs="David" w:hint="cs"/>
          <w:sz w:val="24"/>
          <w:szCs w:val="24"/>
          <w:rtl/>
        </w:rPr>
        <w:t xml:space="preserve">ביום עבודה רגיל (למעט יום שישי כאמור) </w:t>
      </w:r>
      <w:r w:rsidR="007F3A52" w:rsidRPr="00F25744">
        <w:rPr>
          <w:rFonts w:ascii="David" w:hAnsi="David" w:cs="David" w:hint="cs"/>
          <w:sz w:val="24"/>
          <w:szCs w:val="24"/>
          <w:rtl/>
        </w:rPr>
        <w:t>נמצא כמתקרב ל</w:t>
      </w:r>
      <w:r w:rsidR="00905E95" w:rsidRPr="00F25744">
        <w:rPr>
          <w:rFonts w:ascii="David" w:hAnsi="David" w:cs="David" w:hint="cs"/>
          <w:b/>
          <w:bCs/>
          <w:sz w:val="24"/>
          <w:szCs w:val="24"/>
          <w:rtl/>
        </w:rPr>
        <w:t>תשע</w:t>
      </w:r>
      <w:r w:rsidR="007F3A52" w:rsidRPr="00F25744">
        <w:rPr>
          <w:rFonts w:ascii="David" w:hAnsi="David" w:cs="David" w:hint="cs"/>
          <w:b/>
          <w:bCs/>
          <w:sz w:val="24"/>
          <w:szCs w:val="24"/>
          <w:rtl/>
        </w:rPr>
        <w:t xml:space="preserve"> שעות עבודה נטו ליום</w:t>
      </w:r>
      <w:r w:rsidR="007F3A52" w:rsidRPr="00F25744">
        <w:rPr>
          <w:rFonts w:ascii="David" w:hAnsi="David" w:cs="David" w:hint="cs"/>
          <w:sz w:val="24"/>
          <w:szCs w:val="24"/>
          <w:rtl/>
        </w:rPr>
        <w:t>, ללא הפסקות או נסיעות</w:t>
      </w:r>
      <w:r w:rsidR="00905E95" w:rsidRPr="00F25744">
        <w:rPr>
          <w:rFonts w:ascii="David" w:hAnsi="David" w:cs="David" w:hint="cs"/>
          <w:sz w:val="24"/>
          <w:szCs w:val="24"/>
          <w:rtl/>
        </w:rPr>
        <w:t>,</w:t>
      </w:r>
      <w:r w:rsidR="007F3A52" w:rsidRPr="00F25744">
        <w:rPr>
          <w:rFonts w:ascii="David" w:hAnsi="David" w:cs="David" w:hint="cs"/>
          <w:sz w:val="24"/>
          <w:szCs w:val="24"/>
          <w:rtl/>
        </w:rPr>
        <w:t xml:space="preserve"> </w:t>
      </w:r>
      <w:r w:rsidR="00341018" w:rsidRPr="00F25744">
        <w:rPr>
          <w:rFonts w:ascii="David" w:hAnsi="David" w:cs="David" w:hint="cs"/>
          <w:sz w:val="24"/>
          <w:szCs w:val="24"/>
          <w:rtl/>
        </w:rPr>
        <w:t xml:space="preserve">כלומר, </w:t>
      </w:r>
      <w:r w:rsidR="00905E95" w:rsidRPr="00F25744">
        <w:rPr>
          <w:rFonts w:ascii="David" w:hAnsi="David" w:cs="David" w:hint="cs"/>
          <w:sz w:val="24"/>
          <w:szCs w:val="24"/>
          <w:rtl/>
        </w:rPr>
        <w:t>תשע</w:t>
      </w:r>
      <w:r w:rsidR="00341018" w:rsidRPr="00F25744">
        <w:rPr>
          <w:rFonts w:ascii="David" w:hAnsi="David" w:cs="David" w:hint="cs"/>
          <w:sz w:val="24"/>
          <w:szCs w:val="24"/>
          <w:rtl/>
        </w:rPr>
        <w:t xml:space="preserve"> שעות עבודה שיפוטיות בלבד.</w:t>
      </w:r>
    </w:p>
    <w:p w14:paraId="432D966F" w14:textId="4E7F9932" w:rsidR="00840519" w:rsidRDefault="00E25AE7" w:rsidP="00840519">
      <w:pPr>
        <w:pStyle w:val="a3"/>
        <w:widowControl w:val="0"/>
        <w:autoSpaceDE w:val="0"/>
        <w:autoSpaceDN w:val="0"/>
        <w:bidi/>
        <w:adjustRightInd w:val="0"/>
        <w:spacing w:before="60" w:after="60" w:line="360" w:lineRule="auto"/>
        <w:ind w:left="0"/>
        <w:rPr>
          <w:rFonts w:ascii="David" w:hAnsi="David" w:cs="David"/>
          <w:sz w:val="24"/>
          <w:szCs w:val="24"/>
          <w:rtl/>
        </w:rPr>
      </w:pPr>
      <w:r w:rsidRPr="00F25744">
        <w:rPr>
          <w:rFonts w:ascii="David" w:hAnsi="David" w:cs="David" w:hint="cs"/>
          <w:sz w:val="24"/>
          <w:szCs w:val="24"/>
          <w:rtl/>
        </w:rPr>
        <w:t>להלן טבלה המציגה את ממוצע שעות העבודה נטו ליום, בחלוקה לערכאות השונות:</w:t>
      </w:r>
    </w:p>
    <w:p w14:paraId="2F03481C" w14:textId="5358D53E" w:rsidR="00840519" w:rsidRPr="00F25744" w:rsidRDefault="008534FC" w:rsidP="008534FC">
      <w:pPr>
        <w:pStyle w:val="af6"/>
        <w:rPr>
          <w:rFonts w:ascii="David" w:hAnsi="David"/>
          <w:sz w:val="24"/>
          <w:rtl/>
        </w:rPr>
      </w:pPr>
      <w:bookmarkStart w:id="767" w:name="_Toc76988913"/>
      <w:r w:rsidRPr="00F25744">
        <w:rPr>
          <w:rtl/>
        </w:rPr>
        <w:t xml:space="preserve">טבלה </w:t>
      </w:r>
      <w:r w:rsidRPr="00F25744">
        <w:rPr>
          <w:rtl/>
        </w:rPr>
        <w:fldChar w:fldCharType="begin"/>
      </w:r>
      <w:r w:rsidRPr="00F25744">
        <w:rPr>
          <w:rtl/>
        </w:rPr>
        <w:instrText xml:space="preserve"> </w:instrText>
      </w:r>
      <w:r w:rsidRPr="00F25744">
        <w:instrText>SEQ</w:instrText>
      </w:r>
      <w:r w:rsidRPr="00F25744">
        <w:rPr>
          <w:rtl/>
        </w:rPr>
        <w:instrText xml:space="preserve"> טבלה \* </w:instrText>
      </w:r>
      <w:r w:rsidRPr="00F25744">
        <w:instrText>ARABIC</w:instrText>
      </w:r>
      <w:r w:rsidRPr="00F25744">
        <w:rPr>
          <w:rtl/>
        </w:rPr>
        <w:instrText xml:space="preserve"> </w:instrText>
      </w:r>
      <w:r w:rsidRPr="00F25744">
        <w:rPr>
          <w:rtl/>
        </w:rPr>
        <w:fldChar w:fldCharType="separate"/>
      </w:r>
      <w:r w:rsidR="008F1BC3">
        <w:rPr>
          <w:noProof/>
          <w:rtl/>
        </w:rPr>
        <w:t>18</w:t>
      </w:r>
      <w:r w:rsidRPr="00F25744">
        <w:rPr>
          <w:rtl/>
        </w:rPr>
        <w:fldChar w:fldCharType="end"/>
      </w:r>
      <w:r w:rsidR="007F3A52" w:rsidRPr="00F25744">
        <w:rPr>
          <w:rFonts w:ascii="David" w:hAnsi="David" w:hint="cs"/>
          <w:sz w:val="24"/>
          <w:rtl/>
        </w:rPr>
        <w:t>: נתונים על ממוצע שעות העבודה נטו ביום "רגיל" בחלוקה לערכאות</w:t>
      </w:r>
      <w:bookmarkEnd w:id="767"/>
      <w:r w:rsidR="00DC652C" w:rsidRPr="00F25744">
        <w:rPr>
          <w:rFonts w:ascii="David" w:hAnsi="David" w:hint="cs"/>
          <w:sz w:val="24"/>
          <w:rtl/>
        </w:rPr>
        <w:t xml:space="preserve"> </w:t>
      </w:r>
    </w:p>
    <w:tbl>
      <w:tblPr>
        <w:bidiVisual/>
        <w:tblW w:w="8649" w:type="dxa"/>
        <w:tblInd w:w="818" w:type="dxa"/>
        <w:tblLook w:val="04A0" w:firstRow="1" w:lastRow="0" w:firstColumn="1" w:lastColumn="0" w:noHBand="0" w:noVBand="1"/>
      </w:tblPr>
      <w:tblGrid>
        <w:gridCol w:w="914"/>
        <w:gridCol w:w="1134"/>
        <w:gridCol w:w="1559"/>
        <w:gridCol w:w="1417"/>
        <w:gridCol w:w="2268"/>
        <w:gridCol w:w="1357"/>
      </w:tblGrid>
      <w:tr w:rsidR="00E0162E" w:rsidRPr="00F25744" w14:paraId="42C847D3" w14:textId="77777777" w:rsidTr="00EC1EBB">
        <w:trPr>
          <w:trHeight w:val="600"/>
        </w:trPr>
        <w:tc>
          <w:tcPr>
            <w:tcW w:w="852" w:type="dxa"/>
            <w:tcBorders>
              <w:bottom w:val="single" w:sz="4" w:space="0" w:color="auto"/>
            </w:tcBorders>
            <w:shd w:val="clear" w:color="auto" w:fill="auto"/>
            <w:vAlign w:val="bottom"/>
            <w:hideMark/>
          </w:tcPr>
          <w:p w14:paraId="2BF231B1" w14:textId="77777777" w:rsidR="00840519" w:rsidRPr="00F25744" w:rsidRDefault="00E25AE7" w:rsidP="00F021CA">
            <w:pPr>
              <w:spacing w:after="0" w:line="240" w:lineRule="auto"/>
              <w:jc w:val="center"/>
              <w:rPr>
                <w:rFonts w:ascii="David" w:eastAsia="Times New Roman" w:hAnsi="David" w:cs="David"/>
                <w:color w:val="000000"/>
                <w:sz w:val="24"/>
                <w:szCs w:val="24"/>
                <w:rtl/>
              </w:rPr>
            </w:pPr>
            <w:r w:rsidRPr="00F25744">
              <w:rPr>
                <w:rFonts w:ascii="David" w:eastAsia="Times New Roman" w:hAnsi="David" w:cs="David"/>
                <w:color w:val="000000"/>
                <w:sz w:val="24"/>
                <w:szCs w:val="24"/>
                <w:rtl/>
              </w:rPr>
              <w:t>ערכאה</w:t>
            </w:r>
          </w:p>
        </w:tc>
        <w:tc>
          <w:tcPr>
            <w:tcW w:w="1134" w:type="dxa"/>
            <w:tcBorders>
              <w:bottom w:val="single" w:sz="4" w:space="0" w:color="auto"/>
            </w:tcBorders>
            <w:shd w:val="clear" w:color="auto" w:fill="auto"/>
            <w:vAlign w:val="bottom"/>
            <w:hideMark/>
          </w:tcPr>
          <w:p w14:paraId="05690CC6" w14:textId="77777777" w:rsidR="00840519" w:rsidRPr="00F25744" w:rsidRDefault="00E25AE7" w:rsidP="0070412E">
            <w:pPr>
              <w:spacing w:after="0" w:line="240" w:lineRule="auto"/>
              <w:jc w:val="center"/>
              <w:rPr>
                <w:rFonts w:ascii="David" w:eastAsia="Times New Roman" w:hAnsi="David" w:cs="David"/>
                <w:color w:val="000000"/>
                <w:sz w:val="24"/>
                <w:szCs w:val="24"/>
                <w:rtl/>
              </w:rPr>
            </w:pPr>
            <w:r w:rsidRPr="00F25744">
              <w:rPr>
                <w:rFonts w:ascii="David" w:eastAsia="Times New Roman" w:hAnsi="David" w:cs="David"/>
                <w:color w:val="000000"/>
                <w:sz w:val="24"/>
                <w:szCs w:val="24"/>
                <w:rtl/>
              </w:rPr>
              <w:t xml:space="preserve">כמות </w:t>
            </w:r>
            <w:r w:rsidRPr="00F25744">
              <w:rPr>
                <w:rFonts w:ascii="David" w:eastAsia="Times New Roman" w:hAnsi="David" w:cs="David" w:hint="cs"/>
                <w:color w:val="000000"/>
                <w:sz w:val="24"/>
                <w:szCs w:val="24"/>
                <w:rtl/>
              </w:rPr>
              <w:t>דיווחים</w:t>
            </w:r>
          </w:p>
        </w:tc>
        <w:tc>
          <w:tcPr>
            <w:tcW w:w="1559" w:type="dxa"/>
            <w:tcBorders>
              <w:bottom w:val="single" w:sz="4" w:space="0" w:color="auto"/>
            </w:tcBorders>
            <w:shd w:val="clear" w:color="auto" w:fill="auto"/>
            <w:vAlign w:val="bottom"/>
            <w:hideMark/>
          </w:tcPr>
          <w:p w14:paraId="2A1BC79F" w14:textId="77777777" w:rsidR="00840519" w:rsidRPr="00F25744" w:rsidRDefault="00E25AE7" w:rsidP="0070412E">
            <w:pPr>
              <w:spacing w:after="0" w:line="240" w:lineRule="auto"/>
              <w:jc w:val="center"/>
              <w:rPr>
                <w:rFonts w:ascii="David" w:eastAsia="Times New Roman" w:hAnsi="David" w:cs="David"/>
                <w:color w:val="000000"/>
                <w:sz w:val="24"/>
                <w:szCs w:val="24"/>
                <w:rtl/>
              </w:rPr>
            </w:pPr>
            <w:r w:rsidRPr="00F25744">
              <w:rPr>
                <w:rFonts w:ascii="David" w:eastAsia="Times New Roman" w:hAnsi="David" w:cs="David"/>
                <w:color w:val="000000"/>
                <w:sz w:val="24"/>
                <w:szCs w:val="24"/>
                <w:rtl/>
              </w:rPr>
              <w:t>כמות שופטים</w:t>
            </w:r>
            <w:r w:rsidRPr="00F25744">
              <w:rPr>
                <w:rFonts w:ascii="David" w:eastAsia="Times New Roman" w:hAnsi="David" w:cs="David" w:hint="cs"/>
                <w:color w:val="000000"/>
                <w:sz w:val="24"/>
                <w:szCs w:val="24"/>
                <w:rtl/>
              </w:rPr>
              <w:t xml:space="preserve"> מדווחים</w:t>
            </w:r>
          </w:p>
        </w:tc>
        <w:tc>
          <w:tcPr>
            <w:tcW w:w="1417" w:type="dxa"/>
            <w:tcBorders>
              <w:bottom w:val="single" w:sz="4" w:space="0" w:color="auto"/>
            </w:tcBorders>
            <w:shd w:val="clear" w:color="auto" w:fill="auto"/>
            <w:vAlign w:val="bottom"/>
            <w:hideMark/>
          </w:tcPr>
          <w:p w14:paraId="06C5E160" w14:textId="77777777" w:rsidR="00840519" w:rsidRPr="00F25744" w:rsidRDefault="00E25AE7" w:rsidP="0070412E">
            <w:pPr>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tl/>
              </w:rPr>
              <w:t>סך שופטים בערכאה</w:t>
            </w:r>
          </w:p>
        </w:tc>
        <w:tc>
          <w:tcPr>
            <w:tcW w:w="2268" w:type="dxa"/>
            <w:tcBorders>
              <w:bottom w:val="single" w:sz="4" w:space="0" w:color="auto"/>
            </w:tcBorders>
            <w:shd w:val="clear" w:color="auto" w:fill="auto"/>
            <w:vAlign w:val="bottom"/>
            <w:hideMark/>
          </w:tcPr>
          <w:p w14:paraId="7063E5B5" w14:textId="77777777" w:rsidR="00840519" w:rsidRPr="00F25744" w:rsidRDefault="00E25AE7" w:rsidP="0070412E">
            <w:pPr>
              <w:spacing w:after="0" w:line="240" w:lineRule="auto"/>
              <w:jc w:val="center"/>
              <w:rPr>
                <w:rFonts w:ascii="David" w:eastAsia="Times New Roman" w:hAnsi="David" w:cs="David"/>
                <w:color w:val="000000"/>
                <w:sz w:val="24"/>
                <w:szCs w:val="24"/>
                <w:rtl/>
              </w:rPr>
            </w:pPr>
            <w:r w:rsidRPr="00F25744">
              <w:rPr>
                <w:rFonts w:ascii="David" w:eastAsia="Times New Roman" w:hAnsi="David" w:cs="David"/>
                <w:color w:val="000000"/>
                <w:sz w:val="24"/>
                <w:szCs w:val="24"/>
                <w:rtl/>
              </w:rPr>
              <w:t>אחוז שופטים בערכאה שמילאו</w:t>
            </w:r>
            <w:r w:rsidRPr="00F25744">
              <w:rPr>
                <w:rFonts w:ascii="David" w:eastAsia="Times New Roman" w:hAnsi="David" w:cs="David" w:hint="cs"/>
                <w:color w:val="000000"/>
                <w:sz w:val="24"/>
                <w:szCs w:val="24"/>
                <w:rtl/>
              </w:rPr>
              <w:t xml:space="preserve"> יומנים</w:t>
            </w:r>
          </w:p>
        </w:tc>
        <w:tc>
          <w:tcPr>
            <w:tcW w:w="1419" w:type="dxa"/>
            <w:tcBorders>
              <w:bottom w:val="single" w:sz="4" w:space="0" w:color="auto"/>
            </w:tcBorders>
            <w:shd w:val="clear" w:color="auto" w:fill="auto"/>
            <w:vAlign w:val="bottom"/>
            <w:hideMark/>
          </w:tcPr>
          <w:p w14:paraId="437035AF" w14:textId="77777777" w:rsidR="00840519" w:rsidRPr="00F25744" w:rsidRDefault="00E25AE7" w:rsidP="0070412E">
            <w:pPr>
              <w:bidi w:val="0"/>
              <w:spacing w:after="0" w:line="240" w:lineRule="auto"/>
              <w:jc w:val="center"/>
              <w:rPr>
                <w:rFonts w:ascii="David" w:eastAsia="Times New Roman" w:hAnsi="David" w:cs="David"/>
                <w:color w:val="000000"/>
                <w:sz w:val="24"/>
                <w:szCs w:val="24"/>
                <w:rtl/>
              </w:rPr>
            </w:pPr>
            <w:r w:rsidRPr="00F25744">
              <w:rPr>
                <w:rFonts w:ascii="David" w:eastAsia="Times New Roman" w:hAnsi="David" w:cs="David"/>
                <w:color w:val="000000"/>
                <w:sz w:val="24"/>
                <w:szCs w:val="24"/>
                <w:rtl/>
              </w:rPr>
              <w:t>ממוצע שעות עבודה ביום</w:t>
            </w:r>
          </w:p>
        </w:tc>
      </w:tr>
      <w:tr w:rsidR="00E0162E" w:rsidRPr="00F25744" w14:paraId="13225506" w14:textId="77777777" w:rsidTr="00EC1EBB">
        <w:trPr>
          <w:trHeight w:val="300"/>
        </w:trPr>
        <w:tc>
          <w:tcPr>
            <w:tcW w:w="852" w:type="dxa"/>
            <w:tcBorders>
              <w:top w:val="single" w:sz="4" w:space="0" w:color="auto"/>
            </w:tcBorders>
            <w:shd w:val="clear" w:color="auto" w:fill="auto"/>
            <w:noWrap/>
            <w:vAlign w:val="center"/>
            <w:hideMark/>
          </w:tcPr>
          <w:p w14:paraId="18784DE9" w14:textId="77777777" w:rsidR="00840519" w:rsidRPr="00F25744" w:rsidRDefault="00E25AE7" w:rsidP="0070412E">
            <w:pPr>
              <w:bidi w:val="0"/>
              <w:spacing w:after="0" w:line="240" w:lineRule="auto"/>
              <w:jc w:val="center"/>
              <w:rPr>
                <w:rFonts w:ascii="David" w:eastAsia="Times New Roman" w:hAnsi="David" w:cs="David"/>
                <w:b/>
                <w:bCs/>
                <w:color w:val="000000"/>
                <w:sz w:val="24"/>
                <w:szCs w:val="24"/>
                <w:rtl/>
              </w:rPr>
            </w:pPr>
            <w:r w:rsidRPr="00F25744">
              <w:rPr>
                <w:rFonts w:ascii="David" w:eastAsia="Times New Roman" w:hAnsi="David" w:cs="David"/>
                <w:b/>
                <w:bCs/>
                <w:color w:val="000000"/>
                <w:sz w:val="24"/>
                <w:szCs w:val="24"/>
                <w:rtl/>
              </w:rPr>
              <w:t>מחוזי</w:t>
            </w:r>
          </w:p>
        </w:tc>
        <w:tc>
          <w:tcPr>
            <w:tcW w:w="1134" w:type="dxa"/>
            <w:tcBorders>
              <w:top w:val="single" w:sz="4" w:space="0" w:color="auto"/>
            </w:tcBorders>
            <w:shd w:val="clear" w:color="auto" w:fill="auto"/>
            <w:noWrap/>
            <w:vAlign w:val="center"/>
            <w:hideMark/>
          </w:tcPr>
          <w:p w14:paraId="5A519878" w14:textId="77777777" w:rsidR="00840519" w:rsidRPr="00F25744" w:rsidRDefault="00E25AE7" w:rsidP="0070412E">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3424</w:t>
            </w:r>
          </w:p>
        </w:tc>
        <w:tc>
          <w:tcPr>
            <w:tcW w:w="1559" w:type="dxa"/>
            <w:tcBorders>
              <w:top w:val="single" w:sz="4" w:space="0" w:color="auto"/>
            </w:tcBorders>
            <w:shd w:val="clear" w:color="auto" w:fill="auto"/>
            <w:noWrap/>
            <w:vAlign w:val="center"/>
            <w:hideMark/>
          </w:tcPr>
          <w:p w14:paraId="07530F9C" w14:textId="77777777" w:rsidR="00840519" w:rsidRPr="00F25744" w:rsidRDefault="00E25AE7" w:rsidP="0070412E">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172</w:t>
            </w:r>
          </w:p>
        </w:tc>
        <w:tc>
          <w:tcPr>
            <w:tcW w:w="1417" w:type="dxa"/>
            <w:tcBorders>
              <w:top w:val="single" w:sz="4" w:space="0" w:color="auto"/>
            </w:tcBorders>
            <w:shd w:val="clear" w:color="auto" w:fill="auto"/>
            <w:noWrap/>
            <w:vAlign w:val="center"/>
            <w:hideMark/>
          </w:tcPr>
          <w:p w14:paraId="188A8940" w14:textId="77777777" w:rsidR="00840519" w:rsidRPr="00F25744" w:rsidRDefault="00E25AE7" w:rsidP="0070412E">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199</w:t>
            </w:r>
          </w:p>
        </w:tc>
        <w:tc>
          <w:tcPr>
            <w:tcW w:w="2268" w:type="dxa"/>
            <w:tcBorders>
              <w:top w:val="single" w:sz="4" w:space="0" w:color="auto"/>
            </w:tcBorders>
            <w:shd w:val="clear" w:color="auto" w:fill="auto"/>
            <w:noWrap/>
            <w:vAlign w:val="center"/>
            <w:hideMark/>
          </w:tcPr>
          <w:p w14:paraId="15C00ADC" w14:textId="77777777" w:rsidR="00840519" w:rsidRPr="00F25744" w:rsidRDefault="00E25AE7" w:rsidP="0070412E">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86%</w:t>
            </w:r>
          </w:p>
        </w:tc>
        <w:tc>
          <w:tcPr>
            <w:tcW w:w="1419" w:type="dxa"/>
            <w:tcBorders>
              <w:top w:val="single" w:sz="4" w:space="0" w:color="auto"/>
            </w:tcBorders>
            <w:shd w:val="clear" w:color="auto" w:fill="auto"/>
            <w:vAlign w:val="center"/>
            <w:hideMark/>
          </w:tcPr>
          <w:p w14:paraId="036D4CA7" w14:textId="77777777" w:rsidR="00840519" w:rsidRPr="00F25744" w:rsidRDefault="00E25AE7" w:rsidP="0070412E">
            <w:pPr>
              <w:bidi w:val="0"/>
              <w:spacing w:after="0" w:line="240" w:lineRule="auto"/>
              <w:jc w:val="center"/>
              <w:rPr>
                <w:rFonts w:ascii="David" w:eastAsia="Times New Roman" w:hAnsi="David" w:cs="David"/>
                <w:b/>
                <w:bCs/>
                <w:color w:val="000000"/>
                <w:sz w:val="24"/>
                <w:szCs w:val="24"/>
              </w:rPr>
            </w:pPr>
            <w:r w:rsidRPr="00F25744">
              <w:rPr>
                <w:rFonts w:ascii="David" w:eastAsia="Times New Roman" w:hAnsi="David" w:cs="David"/>
                <w:b/>
                <w:bCs/>
                <w:color w:val="000000"/>
                <w:sz w:val="24"/>
                <w:szCs w:val="24"/>
              </w:rPr>
              <w:t>9.02</w:t>
            </w:r>
          </w:p>
        </w:tc>
      </w:tr>
      <w:tr w:rsidR="00E0162E" w:rsidRPr="00F25744" w14:paraId="1DEE678B" w14:textId="77777777" w:rsidTr="00EC1EBB">
        <w:trPr>
          <w:trHeight w:val="300"/>
        </w:trPr>
        <w:tc>
          <w:tcPr>
            <w:tcW w:w="852" w:type="dxa"/>
            <w:shd w:val="clear" w:color="auto" w:fill="auto"/>
            <w:noWrap/>
            <w:vAlign w:val="center"/>
          </w:tcPr>
          <w:p w14:paraId="27247D0E" w14:textId="77777777" w:rsidR="00840519" w:rsidRPr="00F25744" w:rsidRDefault="00E25AE7" w:rsidP="0070412E">
            <w:pPr>
              <w:spacing w:after="0" w:line="240" w:lineRule="auto"/>
              <w:jc w:val="center"/>
              <w:rPr>
                <w:rFonts w:ascii="David" w:eastAsia="Times New Roman" w:hAnsi="David" w:cs="David"/>
                <w:b/>
                <w:bCs/>
                <w:color w:val="000000"/>
                <w:sz w:val="24"/>
                <w:szCs w:val="24"/>
                <w:rtl/>
              </w:rPr>
            </w:pPr>
            <w:r w:rsidRPr="00F25744">
              <w:rPr>
                <w:rFonts w:ascii="David" w:eastAsia="Times New Roman" w:hAnsi="David" w:cs="David"/>
                <w:b/>
                <w:bCs/>
                <w:color w:val="000000"/>
                <w:sz w:val="24"/>
                <w:szCs w:val="24"/>
                <w:rtl/>
              </w:rPr>
              <w:t>שלום</w:t>
            </w:r>
          </w:p>
        </w:tc>
        <w:tc>
          <w:tcPr>
            <w:tcW w:w="1134" w:type="dxa"/>
            <w:shd w:val="clear" w:color="auto" w:fill="auto"/>
            <w:noWrap/>
            <w:vAlign w:val="center"/>
          </w:tcPr>
          <w:p w14:paraId="3DDE4C91" w14:textId="77777777" w:rsidR="00840519" w:rsidRPr="00F25744" w:rsidRDefault="00E25AE7" w:rsidP="0070412E">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6414</w:t>
            </w:r>
          </w:p>
        </w:tc>
        <w:tc>
          <w:tcPr>
            <w:tcW w:w="1559" w:type="dxa"/>
            <w:shd w:val="clear" w:color="auto" w:fill="auto"/>
            <w:noWrap/>
            <w:vAlign w:val="center"/>
          </w:tcPr>
          <w:p w14:paraId="142C1F49" w14:textId="77777777" w:rsidR="00840519" w:rsidRPr="00F25744" w:rsidRDefault="00E25AE7" w:rsidP="0070412E">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323</w:t>
            </w:r>
          </w:p>
        </w:tc>
        <w:tc>
          <w:tcPr>
            <w:tcW w:w="1417" w:type="dxa"/>
            <w:shd w:val="clear" w:color="auto" w:fill="auto"/>
            <w:noWrap/>
            <w:vAlign w:val="center"/>
          </w:tcPr>
          <w:p w14:paraId="7BB8E75E" w14:textId="77777777" w:rsidR="00840519" w:rsidRPr="00F25744" w:rsidRDefault="00E25AE7" w:rsidP="0070412E">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372</w:t>
            </w:r>
          </w:p>
        </w:tc>
        <w:tc>
          <w:tcPr>
            <w:tcW w:w="2268" w:type="dxa"/>
            <w:shd w:val="clear" w:color="auto" w:fill="auto"/>
            <w:noWrap/>
            <w:vAlign w:val="center"/>
          </w:tcPr>
          <w:p w14:paraId="7F90F5A9" w14:textId="77777777" w:rsidR="00840519" w:rsidRPr="00F25744" w:rsidRDefault="00E25AE7" w:rsidP="0070412E">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87%</w:t>
            </w:r>
          </w:p>
        </w:tc>
        <w:tc>
          <w:tcPr>
            <w:tcW w:w="1419" w:type="dxa"/>
            <w:shd w:val="clear" w:color="auto" w:fill="auto"/>
            <w:vAlign w:val="center"/>
          </w:tcPr>
          <w:p w14:paraId="772D3F9D" w14:textId="77777777" w:rsidR="00840519" w:rsidRPr="00F25744" w:rsidRDefault="00E25AE7" w:rsidP="0070412E">
            <w:pPr>
              <w:bidi w:val="0"/>
              <w:spacing w:after="0" w:line="240" w:lineRule="auto"/>
              <w:jc w:val="center"/>
              <w:rPr>
                <w:rFonts w:ascii="David" w:eastAsia="Times New Roman" w:hAnsi="David" w:cs="David"/>
                <w:b/>
                <w:bCs/>
                <w:color w:val="000000"/>
                <w:sz w:val="24"/>
                <w:szCs w:val="24"/>
              </w:rPr>
            </w:pPr>
            <w:r w:rsidRPr="00F25744">
              <w:rPr>
                <w:rFonts w:ascii="David" w:eastAsia="Times New Roman" w:hAnsi="David" w:cs="David"/>
                <w:b/>
                <w:bCs/>
                <w:color w:val="000000"/>
                <w:sz w:val="24"/>
                <w:szCs w:val="24"/>
              </w:rPr>
              <w:t>8.57</w:t>
            </w:r>
          </w:p>
        </w:tc>
      </w:tr>
      <w:tr w:rsidR="00E0162E" w:rsidRPr="00F25744" w14:paraId="31A82655" w14:textId="77777777" w:rsidTr="00EC1EBB">
        <w:trPr>
          <w:trHeight w:val="300"/>
        </w:trPr>
        <w:tc>
          <w:tcPr>
            <w:tcW w:w="852" w:type="dxa"/>
            <w:shd w:val="clear" w:color="auto" w:fill="auto"/>
            <w:noWrap/>
            <w:vAlign w:val="center"/>
            <w:hideMark/>
          </w:tcPr>
          <w:p w14:paraId="5E06FC90" w14:textId="77777777" w:rsidR="00840519" w:rsidRPr="00F25744" w:rsidRDefault="00E25AE7" w:rsidP="0070412E">
            <w:pPr>
              <w:bidi w:val="0"/>
              <w:spacing w:after="0" w:line="240" w:lineRule="auto"/>
              <w:jc w:val="center"/>
              <w:rPr>
                <w:rFonts w:ascii="David" w:eastAsia="Times New Roman" w:hAnsi="David" w:cs="David"/>
                <w:b/>
                <w:bCs/>
                <w:color w:val="000000"/>
                <w:sz w:val="24"/>
                <w:szCs w:val="24"/>
                <w:rtl/>
              </w:rPr>
            </w:pPr>
            <w:r w:rsidRPr="00F25744">
              <w:rPr>
                <w:rFonts w:ascii="David" w:eastAsia="Times New Roman" w:hAnsi="David" w:cs="David"/>
                <w:b/>
                <w:bCs/>
                <w:color w:val="000000"/>
                <w:sz w:val="24"/>
                <w:szCs w:val="24"/>
                <w:rtl/>
              </w:rPr>
              <w:t>משפחה</w:t>
            </w:r>
          </w:p>
        </w:tc>
        <w:tc>
          <w:tcPr>
            <w:tcW w:w="1134" w:type="dxa"/>
            <w:shd w:val="clear" w:color="auto" w:fill="auto"/>
            <w:noWrap/>
            <w:vAlign w:val="center"/>
            <w:hideMark/>
          </w:tcPr>
          <w:p w14:paraId="4D13FB93" w14:textId="77777777" w:rsidR="00840519" w:rsidRPr="003E67B5" w:rsidRDefault="00E25AE7" w:rsidP="0070412E">
            <w:pPr>
              <w:bidi w:val="0"/>
              <w:spacing w:after="0" w:line="240" w:lineRule="auto"/>
              <w:jc w:val="center"/>
              <w:rPr>
                <w:rFonts w:asciiTheme="minorHAnsi" w:eastAsia="Times New Roman" w:hAnsiTheme="minorHAnsi" w:cs="David"/>
                <w:color w:val="000000"/>
                <w:sz w:val="24"/>
                <w:szCs w:val="24"/>
              </w:rPr>
            </w:pPr>
            <w:r w:rsidRPr="00F25744">
              <w:rPr>
                <w:rFonts w:ascii="David" w:eastAsia="Times New Roman" w:hAnsi="David" w:cs="David"/>
                <w:color w:val="000000"/>
                <w:sz w:val="24"/>
                <w:szCs w:val="24"/>
              </w:rPr>
              <w:t>1146</w:t>
            </w:r>
          </w:p>
        </w:tc>
        <w:tc>
          <w:tcPr>
            <w:tcW w:w="1559" w:type="dxa"/>
            <w:shd w:val="clear" w:color="auto" w:fill="auto"/>
            <w:noWrap/>
            <w:vAlign w:val="center"/>
            <w:hideMark/>
          </w:tcPr>
          <w:p w14:paraId="12A71963" w14:textId="77777777" w:rsidR="00840519" w:rsidRPr="00F25744" w:rsidRDefault="00E25AE7" w:rsidP="0070412E">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60</w:t>
            </w:r>
          </w:p>
        </w:tc>
        <w:tc>
          <w:tcPr>
            <w:tcW w:w="1417" w:type="dxa"/>
            <w:shd w:val="clear" w:color="auto" w:fill="auto"/>
            <w:noWrap/>
            <w:vAlign w:val="center"/>
            <w:hideMark/>
          </w:tcPr>
          <w:p w14:paraId="2F859C6B" w14:textId="77777777" w:rsidR="00840519" w:rsidRPr="00F25744" w:rsidRDefault="00E25AE7" w:rsidP="0070412E">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71</w:t>
            </w:r>
          </w:p>
        </w:tc>
        <w:tc>
          <w:tcPr>
            <w:tcW w:w="2268" w:type="dxa"/>
            <w:shd w:val="clear" w:color="auto" w:fill="auto"/>
            <w:noWrap/>
            <w:vAlign w:val="center"/>
            <w:hideMark/>
          </w:tcPr>
          <w:p w14:paraId="33CE8A37" w14:textId="77777777" w:rsidR="00840519" w:rsidRPr="00F25744" w:rsidRDefault="00E25AE7" w:rsidP="0070412E">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85%</w:t>
            </w:r>
          </w:p>
        </w:tc>
        <w:tc>
          <w:tcPr>
            <w:tcW w:w="1419" w:type="dxa"/>
            <w:shd w:val="clear" w:color="auto" w:fill="auto"/>
            <w:vAlign w:val="center"/>
            <w:hideMark/>
          </w:tcPr>
          <w:p w14:paraId="1599358D" w14:textId="77777777" w:rsidR="00840519" w:rsidRPr="00F25744" w:rsidRDefault="00E25AE7" w:rsidP="0070412E">
            <w:pPr>
              <w:bidi w:val="0"/>
              <w:spacing w:after="0" w:line="240" w:lineRule="auto"/>
              <w:jc w:val="center"/>
              <w:rPr>
                <w:rFonts w:ascii="David" w:eastAsia="Times New Roman" w:hAnsi="David" w:cs="David"/>
                <w:b/>
                <w:bCs/>
                <w:color w:val="000000"/>
                <w:sz w:val="24"/>
                <w:szCs w:val="24"/>
              </w:rPr>
            </w:pPr>
            <w:r w:rsidRPr="00F25744">
              <w:rPr>
                <w:rFonts w:ascii="David" w:eastAsia="Times New Roman" w:hAnsi="David" w:cs="David"/>
                <w:b/>
                <w:bCs/>
                <w:color w:val="000000"/>
                <w:sz w:val="24"/>
                <w:szCs w:val="24"/>
              </w:rPr>
              <w:t>9.33</w:t>
            </w:r>
          </w:p>
        </w:tc>
      </w:tr>
      <w:tr w:rsidR="00E0162E" w:rsidRPr="00F25744" w14:paraId="67842704" w14:textId="77777777" w:rsidTr="00EC1EBB">
        <w:trPr>
          <w:trHeight w:val="300"/>
        </w:trPr>
        <w:tc>
          <w:tcPr>
            <w:tcW w:w="852" w:type="dxa"/>
            <w:shd w:val="clear" w:color="auto" w:fill="auto"/>
            <w:noWrap/>
            <w:vAlign w:val="center"/>
            <w:hideMark/>
          </w:tcPr>
          <w:p w14:paraId="1AD368FE" w14:textId="77777777" w:rsidR="00840519" w:rsidRPr="00F25744" w:rsidRDefault="00E25AE7" w:rsidP="0070412E">
            <w:pPr>
              <w:spacing w:after="0" w:line="240" w:lineRule="auto"/>
              <w:jc w:val="center"/>
              <w:rPr>
                <w:rFonts w:ascii="David" w:eastAsia="Times New Roman" w:hAnsi="David" w:cs="David"/>
                <w:b/>
                <w:bCs/>
                <w:color w:val="000000"/>
                <w:sz w:val="24"/>
                <w:szCs w:val="24"/>
                <w:rtl/>
              </w:rPr>
            </w:pPr>
            <w:r w:rsidRPr="00F25744">
              <w:rPr>
                <w:rFonts w:ascii="David" w:eastAsia="Times New Roman" w:hAnsi="David" w:cs="David"/>
                <w:b/>
                <w:bCs/>
                <w:color w:val="000000"/>
                <w:sz w:val="24"/>
                <w:szCs w:val="24"/>
                <w:rtl/>
              </w:rPr>
              <w:t>תעבורה</w:t>
            </w:r>
          </w:p>
        </w:tc>
        <w:tc>
          <w:tcPr>
            <w:tcW w:w="1134" w:type="dxa"/>
            <w:shd w:val="clear" w:color="auto" w:fill="auto"/>
            <w:noWrap/>
            <w:vAlign w:val="center"/>
            <w:hideMark/>
          </w:tcPr>
          <w:p w14:paraId="3B6F9125" w14:textId="77777777" w:rsidR="00840519" w:rsidRPr="00F25744" w:rsidRDefault="00E25AE7" w:rsidP="0070412E">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742</w:t>
            </w:r>
          </w:p>
        </w:tc>
        <w:tc>
          <w:tcPr>
            <w:tcW w:w="1559" w:type="dxa"/>
            <w:shd w:val="clear" w:color="auto" w:fill="auto"/>
            <w:noWrap/>
            <w:vAlign w:val="center"/>
            <w:hideMark/>
          </w:tcPr>
          <w:p w14:paraId="42200D1C" w14:textId="77777777" w:rsidR="00840519" w:rsidRPr="00F25744" w:rsidRDefault="00E25AE7" w:rsidP="0070412E">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36</w:t>
            </w:r>
          </w:p>
        </w:tc>
        <w:tc>
          <w:tcPr>
            <w:tcW w:w="1417" w:type="dxa"/>
            <w:shd w:val="clear" w:color="auto" w:fill="auto"/>
            <w:noWrap/>
            <w:vAlign w:val="center"/>
            <w:hideMark/>
          </w:tcPr>
          <w:p w14:paraId="62A3CEC0" w14:textId="77777777" w:rsidR="00840519" w:rsidRPr="00F25744" w:rsidRDefault="00E25AE7" w:rsidP="0070412E">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38</w:t>
            </w:r>
          </w:p>
        </w:tc>
        <w:tc>
          <w:tcPr>
            <w:tcW w:w="2268" w:type="dxa"/>
            <w:shd w:val="clear" w:color="auto" w:fill="auto"/>
            <w:noWrap/>
            <w:vAlign w:val="center"/>
            <w:hideMark/>
          </w:tcPr>
          <w:p w14:paraId="413F84F3" w14:textId="77777777" w:rsidR="00840519" w:rsidRPr="00F25744" w:rsidRDefault="00E25AE7" w:rsidP="0070412E">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95%</w:t>
            </w:r>
          </w:p>
        </w:tc>
        <w:tc>
          <w:tcPr>
            <w:tcW w:w="1419" w:type="dxa"/>
            <w:shd w:val="clear" w:color="auto" w:fill="auto"/>
            <w:vAlign w:val="center"/>
            <w:hideMark/>
          </w:tcPr>
          <w:p w14:paraId="3CDC3904" w14:textId="77777777" w:rsidR="00840519" w:rsidRPr="00F25744" w:rsidRDefault="00E25AE7" w:rsidP="0070412E">
            <w:pPr>
              <w:bidi w:val="0"/>
              <w:spacing w:after="0" w:line="240" w:lineRule="auto"/>
              <w:jc w:val="center"/>
              <w:rPr>
                <w:rFonts w:ascii="David" w:eastAsia="Times New Roman" w:hAnsi="David" w:cs="David"/>
                <w:b/>
                <w:bCs/>
                <w:color w:val="000000"/>
                <w:sz w:val="24"/>
                <w:szCs w:val="24"/>
              </w:rPr>
            </w:pPr>
            <w:r w:rsidRPr="00F25744">
              <w:rPr>
                <w:rFonts w:ascii="David" w:eastAsia="Times New Roman" w:hAnsi="David" w:cs="David"/>
                <w:b/>
                <w:bCs/>
                <w:color w:val="000000"/>
                <w:sz w:val="24"/>
                <w:szCs w:val="24"/>
              </w:rPr>
              <w:t>7.53</w:t>
            </w:r>
          </w:p>
        </w:tc>
      </w:tr>
      <w:tr w:rsidR="00E0162E" w:rsidRPr="00F25744" w14:paraId="4CAC24DD" w14:textId="77777777" w:rsidTr="00EC1EBB">
        <w:trPr>
          <w:trHeight w:val="300"/>
        </w:trPr>
        <w:tc>
          <w:tcPr>
            <w:tcW w:w="852" w:type="dxa"/>
            <w:shd w:val="clear" w:color="auto" w:fill="auto"/>
            <w:noWrap/>
            <w:vAlign w:val="center"/>
            <w:hideMark/>
          </w:tcPr>
          <w:p w14:paraId="53D9B91E" w14:textId="77777777" w:rsidR="00840519" w:rsidRPr="00F25744" w:rsidRDefault="00E25AE7" w:rsidP="0070412E">
            <w:pPr>
              <w:spacing w:after="0" w:line="240" w:lineRule="auto"/>
              <w:jc w:val="center"/>
              <w:rPr>
                <w:rFonts w:ascii="David" w:eastAsia="Times New Roman" w:hAnsi="David" w:cs="David"/>
                <w:b/>
                <w:bCs/>
                <w:color w:val="000000"/>
                <w:sz w:val="24"/>
                <w:szCs w:val="24"/>
                <w:rtl/>
              </w:rPr>
            </w:pPr>
            <w:r w:rsidRPr="00F25744">
              <w:rPr>
                <w:rFonts w:ascii="David" w:eastAsia="Times New Roman" w:hAnsi="David" w:cs="David"/>
                <w:b/>
                <w:bCs/>
                <w:color w:val="000000"/>
                <w:sz w:val="24"/>
                <w:szCs w:val="24"/>
                <w:rtl/>
              </w:rPr>
              <w:t>נוער</w:t>
            </w:r>
          </w:p>
        </w:tc>
        <w:tc>
          <w:tcPr>
            <w:tcW w:w="1134" w:type="dxa"/>
            <w:shd w:val="clear" w:color="auto" w:fill="auto"/>
            <w:noWrap/>
            <w:vAlign w:val="center"/>
            <w:hideMark/>
          </w:tcPr>
          <w:p w14:paraId="629F869E" w14:textId="77777777" w:rsidR="00840519" w:rsidRPr="00F25744" w:rsidRDefault="00E25AE7" w:rsidP="0070412E">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299</w:t>
            </w:r>
          </w:p>
        </w:tc>
        <w:tc>
          <w:tcPr>
            <w:tcW w:w="1559" w:type="dxa"/>
            <w:shd w:val="clear" w:color="auto" w:fill="auto"/>
            <w:noWrap/>
            <w:vAlign w:val="center"/>
            <w:hideMark/>
          </w:tcPr>
          <w:p w14:paraId="1CFC499F" w14:textId="77777777" w:rsidR="00840519" w:rsidRPr="00F25744" w:rsidRDefault="00E25AE7" w:rsidP="0070412E">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15</w:t>
            </w:r>
          </w:p>
        </w:tc>
        <w:tc>
          <w:tcPr>
            <w:tcW w:w="1417" w:type="dxa"/>
            <w:shd w:val="clear" w:color="auto" w:fill="auto"/>
            <w:noWrap/>
            <w:vAlign w:val="center"/>
            <w:hideMark/>
          </w:tcPr>
          <w:p w14:paraId="15A113A9" w14:textId="77777777" w:rsidR="00840519" w:rsidRPr="00F25744" w:rsidRDefault="00E25AE7" w:rsidP="0070412E">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16</w:t>
            </w:r>
          </w:p>
        </w:tc>
        <w:tc>
          <w:tcPr>
            <w:tcW w:w="2268" w:type="dxa"/>
            <w:shd w:val="clear" w:color="auto" w:fill="auto"/>
            <w:noWrap/>
            <w:vAlign w:val="center"/>
            <w:hideMark/>
          </w:tcPr>
          <w:p w14:paraId="5F7BE507" w14:textId="77777777" w:rsidR="00840519" w:rsidRPr="00F25744" w:rsidRDefault="00E25AE7" w:rsidP="0070412E">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94%</w:t>
            </w:r>
          </w:p>
        </w:tc>
        <w:tc>
          <w:tcPr>
            <w:tcW w:w="1419" w:type="dxa"/>
            <w:shd w:val="clear" w:color="auto" w:fill="auto"/>
            <w:vAlign w:val="center"/>
            <w:hideMark/>
          </w:tcPr>
          <w:p w14:paraId="2F0E24F2" w14:textId="77777777" w:rsidR="00840519" w:rsidRPr="00F25744" w:rsidRDefault="00E25AE7" w:rsidP="0070412E">
            <w:pPr>
              <w:bidi w:val="0"/>
              <w:spacing w:after="0" w:line="240" w:lineRule="auto"/>
              <w:jc w:val="center"/>
              <w:rPr>
                <w:rFonts w:ascii="David" w:eastAsia="Times New Roman" w:hAnsi="David" w:cs="David"/>
                <w:b/>
                <w:bCs/>
                <w:color w:val="000000"/>
                <w:sz w:val="24"/>
                <w:szCs w:val="24"/>
              </w:rPr>
            </w:pPr>
            <w:r w:rsidRPr="00F25744">
              <w:rPr>
                <w:rFonts w:ascii="David" w:eastAsia="Times New Roman" w:hAnsi="David" w:cs="David"/>
                <w:b/>
                <w:bCs/>
                <w:color w:val="000000"/>
                <w:sz w:val="24"/>
                <w:szCs w:val="24"/>
              </w:rPr>
              <w:t>8.85</w:t>
            </w:r>
          </w:p>
        </w:tc>
      </w:tr>
      <w:tr w:rsidR="00E0162E" w:rsidRPr="00F25744" w14:paraId="1A3320FE" w14:textId="77777777" w:rsidTr="00EC1EBB">
        <w:trPr>
          <w:trHeight w:val="300"/>
        </w:trPr>
        <w:tc>
          <w:tcPr>
            <w:tcW w:w="852" w:type="dxa"/>
            <w:tcBorders>
              <w:bottom w:val="single" w:sz="4" w:space="0" w:color="auto"/>
            </w:tcBorders>
            <w:shd w:val="clear" w:color="auto" w:fill="auto"/>
            <w:noWrap/>
            <w:vAlign w:val="center"/>
          </w:tcPr>
          <w:p w14:paraId="030F2109" w14:textId="77777777" w:rsidR="00840519" w:rsidRPr="00F25744" w:rsidRDefault="00E25AE7" w:rsidP="0070412E">
            <w:pPr>
              <w:spacing w:after="0" w:line="240" w:lineRule="auto"/>
              <w:jc w:val="center"/>
              <w:rPr>
                <w:rFonts w:ascii="David" w:eastAsia="Times New Roman" w:hAnsi="David" w:cs="David"/>
                <w:b/>
                <w:bCs/>
                <w:color w:val="000000"/>
                <w:sz w:val="24"/>
                <w:szCs w:val="24"/>
                <w:rtl/>
              </w:rPr>
            </w:pPr>
            <w:r w:rsidRPr="00F25744">
              <w:rPr>
                <w:rFonts w:ascii="David" w:eastAsia="Times New Roman" w:hAnsi="David" w:cs="David" w:hint="cs"/>
                <w:b/>
                <w:bCs/>
                <w:color w:val="000000"/>
                <w:sz w:val="24"/>
                <w:szCs w:val="24"/>
                <w:rtl/>
              </w:rPr>
              <w:t>עבודה</w:t>
            </w:r>
          </w:p>
        </w:tc>
        <w:tc>
          <w:tcPr>
            <w:tcW w:w="1134" w:type="dxa"/>
            <w:tcBorders>
              <w:bottom w:val="single" w:sz="4" w:space="0" w:color="auto"/>
            </w:tcBorders>
            <w:shd w:val="clear" w:color="auto" w:fill="auto"/>
            <w:noWrap/>
            <w:vAlign w:val="center"/>
          </w:tcPr>
          <w:p w14:paraId="7672F536" w14:textId="77777777" w:rsidR="00840519" w:rsidRPr="00F25744" w:rsidRDefault="00E25AE7" w:rsidP="0070412E">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1126</w:t>
            </w:r>
          </w:p>
        </w:tc>
        <w:tc>
          <w:tcPr>
            <w:tcW w:w="1559" w:type="dxa"/>
            <w:tcBorders>
              <w:bottom w:val="single" w:sz="4" w:space="0" w:color="auto"/>
            </w:tcBorders>
            <w:shd w:val="clear" w:color="auto" w:fill="auto"/>
            <w:noWrap/>
            <w:vAlign w:val="center"/>
          </w:tcPr>
          <w:p w14:paraId="3336197F" w14:textId="77777777" w:rsidR="00840519" w:rsidRPr="00F25744" w:rsidRDefault="00E25AE7" w:rsidP="0070412E">
            <w:pPr>
              <w:bidi w:val="0"/>
              <w:spacing w:after="0" w:line="240" w:lineRule="auto"/>
              <w:jc w:val="center"/>
              <w:rPr>
                <w:rFonts w:ascii="David" w:hAnsi="David"/>
                <w:color w:val="000000"/>
                <w:sz w:val="24"/>
              </w:rPr>
            </w:pPr>
            <w:r w:rsidRPr="00F25744">
              <w:rPr>
                <w:rFonts w:ascii="David" w:eastAsia="Times New Roman" w:hAnsi="David" w:cs="David"/>
                <w:color w:val="000000"/>
                <w:sz w:val="24"/>
                <w:szCs w:val="24"/>
              </w:rPr>
              <w:t>61</w:t>
            </w:r>
          </w:p>
        </w:tc>
        <w:tc>
          <w:tcPr>
            <w:tcW w:w="1417" w:type="dxa"/>
            <w:tcBorders>
              <w:bottom w:val="single" w:sz="4" w:space="0" w:color="auto"/>
            </w:tcBorders>
            <w:shd w:val="clear" w:color="auto" w:fill="auto"/>
            <w:noWrap/>
            <w:vAlign w:val="center"/>
          </w:tcPr>
          <w:p w14:paraId="3D7CF7E0" w14:textId="77777777" w:rsidR="00840519" w:rsidRPr="00F25744" w:rsidRDefault="00E25AE7" w:rsidP="0070412E">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73</w:t>
            </w:r>
          </w:p>
        </w:tc>
        <w:tc>
          <w:tcPr>
            <w:tcW w:w="2268" w:type="dxa"/>
            <w:tcBorders>
              <w:bottom w:val="single" w:sz="4" w:space="0" w:color="auto"/>
            </w:tcBorders>
            <w:shd w:val="clear" w:color="auto" w:fill="auto"/>
            <w:noWrap/>
            <w:vAlign w:val="center"/>
          </w:tcPr>
          <w:p w14:paraId="7E3E24F0" w14:textId="77777777" w:rsidR="00840519" w:rsidRPr="00F25744" w:rsidRDefault="00E25AE7" w:rsidP="0070412E">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83.5%</w:t>
            </w:r>
          </w:p>
        </w:tc>
        <w:tc>
          <w:tcPr>
            <w:tcW w:w="1419" w:type="dxa"/>
            <w:tcBorders>
              <w:bottom w:val="single" w:sz="4" w:space="0" w:color="auto"/>
            </w:tcBorders>
            <w:shd w:val="clear" w:color="auto" w:fill="auto"/>
            <w:vAlign w:val="center"/>
          </w:tcPr>
          <w:p w14:paraId="311BFFDA" w14:textId="77777777" w:rsidR="00840519" w:rsidRPr="00F25744" w:rsidRDefault="00E25AE7" w:rsidP="0070412E">
            <w:pPr>
              <w:bidi w:val="0"/>
              <w:spacing w:after="0" w:line="240" w:lineRule="auto"/>
              <w:jc w:val="center"/>
              <w:rPr>
                <w:rFonts w:ascii="David" w:eastAsia="Times New Roman" w:hAnsi="David" w:cs="David"/>
                <w:b/>
                <w:bCs/>
                <w:color w:val="000000"/>
                <w:sz w:val="24"/>
                <w:szCs w:val="24"/>
              </w:rPr>
            </w:pPr>
            <w:r w:rsidRPr="00F25744">
              <w:rPr>
                <w:rFonts w:ascii="David" w:eastAsia="Times New Roman" w:hAnsi="David" w:cs="David"/>
                <w:b/>
                <w:bCs/>
                <w:color w:val="000000"/>
                <w:sz w:val="24"/>
                <w:szCs w:val="24"/>
              </w:rPr>
              <w:t>9.55</w:t>
            </w:r>
          </w:p>
        </w:tc>
      </w:tr>
      <w:tr w:rsidR="00E0162E" w:rsidRPr="00F25744" w14:paraId="2F3BBE60" w14:textId="77777777" w:rsidTr="00EC1EBB">
        <w:trPr>
          <w:trHeight w:val="300"/>
        </w:trPr>
        <w:tc>
          <w:tcPr>
            <w:tcW w:w="852" w:type="dxa"/>
            <w:tcBorders>
              <w:top w:val="single" w:sz="4" w:space="0" w:color="auto"/>
              <w:bottom w:val="single" w:sz="4" w:space="0" w:color="auto"/>
            </w:tcBorders>
            <w:shd w:val="clear" w:color="auto" w:fill="auto"/>
            <w:noWrap/>
            <w:vAlign w:val="center"/>
          </w:tcPr>
          <w:p w14:paraId="36857F19" w14:textId="77777777" w:rsidR="00840519" w:rsidRPr="00F25744" w:rsidRDefault="00E25AE7" w:rsidP="0070412E">
            <w:pPr>
              <w:spacing w:after="0" w:line="240" w:lineRule="auto"/>
              <w:jc w:val="center"/>
              <w:rPr>
                <w:rFonts w:ascii="David" w:eastAsia="Times New Roman" w:hAnsi="David" w:cs="David"/>
                <w:b/>
                <w:bCs/>
                <w:color w:val="000000"/>
                <w:sz w:val="24"/>
                <w:szCs w:val="24"/>
                <w:rtl/>
              </w:rPr>
            </w:pPr>
            <w:r w:rsidRPr="00F25744">
              <w:rPr>
                <w:rFonts w:ascii="David" w:eastAsia="Times New Roman" w:hAnsi="David" w:cs="David" w:hint="cs"/>
                <w:b/>
                <w:bCs/>
                <w:color w:val="000000"/>
                <w:sz w:val="24"/>
                <w:szCs w:val="24"/>
                <w:rtl/>
              </w:rPr>
              <w:t>ממוצע</w:t>
            </w:r>
            <w:r w:rsidR="00DC652C" w:rsidRPr="00F25744">
              <w:rPr>
                <w:rFonts w:ascii="David" w:eastAsia="Times New Roman" w:hAnsi="David" w:cs="David" w:hint="cs"/>
                <w:b/>
                <w:bCs/>
                <w:color w:val="000000"/>
                <w:sz w:val="24"/>
                <w:szCs w:val="24"/>
                <w:rtl/>
              </w:rPr>
              <w:t xml:space="preserve"> מערכתי</w:t>
            </w:r>
            <w:r w:rsidRPr="00F25744">
              <w:rPr>
                <w:rFonts w:ascii="David" w:eastAsia="Times New Roman" w:hAnsi="David" w:cs="David" w:hint="cs"/>
                <w:b/>
                <w:bCs/>
                <w:color w:val="000000"/>
                <w:sz w:val="24"/>
                <w:szCs w:val="24"/>
                <w:rtl/>
              </w:rPr>
              <w:t xml:space="preserve"> </w:t>
            </w:r>
          </w:p>
        </w:tc>
        <w:tc>
          <w:tcPr>
            <w:tcW w:w="1134" w:type="dxa"/>
            <w:tcBorders>
              <w:top w:val="single" w:sz="4" w:space="0" w:color="auto"/>
              <w:bottom w:val="single" w:sz="4" w:space="0" w:color="auto"/>
            </w:tcBorders>
            <w:shd w:val="clear" w:color="auto" w:fill="auto"/>
            <w:noWrap/>
            <w:vAlign w:val="center"/>
          </w:tcPr>
          <w:p w14:paraId="3A69BF38" w14:textId="77777777" w:rsidR="00840519" w:rsidRPr="00F25744" w:rsidRDefault="00840519" w:rsidP="0070412E">
            <w:pPr>
              <w:bidi w:val="0"/>
              <w:spacing w:after="0" w:line="240" w:lineRule="auto"/>
              <w:jc w:val="center"/>
              <w:rPr>
                <w:rFonts w:ascii="David" w:eastAsia="Times New Roman" w:hAnsi="David" w:cs="David"/>
                <w:color w:val="000000"/>
                <w:sz w:val="24"/>
                <w:szCs w:val="24"/>
              </w:rPr>
            </w:pPr>
          </w:p>
        </w:tc>
        <w:tc>
          <w:tcPr>
            <w:tcW w:w="1559" w:type="dxa"/>
            <w:tcBorders>
              <w:top w:val="single" w:sz="4" w:space="0" w:color="auto"/>
              <w:bottom w:val="single" w:sz="4" w:space="0" w:color="auto"/>
            </w:tcBorders>
            <w:shd w:val="clear" w:color="auto" w:fill="auto"/>
            <w:noWrap/>
            <w:vAlign w:val="center"/>
          </w:tcPr>
          <w:p w14:paraId="05D998B8" w14:textId="77777777" w:rsidR="00840519" w:rsidRPr="00F25744" w:rsidRDefault="00840519" w:rsidP="0070412E">
            <w:pPr>
              <w:bidi w:val="0"/>
              <w:spacing w:after="0" w:line="240" w:lineRule="auto"/>
              <w:jc w:val="center"/>
              <w:rPr>
                <w:rFonts w:ascii="David" w:eastAsia="Times New Roman" w:hAnsi="David" w:cs="David"/>
                <w:color w:val="000000"/>
                <w:sz w:val="24"/>
                <w:szCs w:val="24"/>
              </w:rPr>
            </w:pPr>
          </w:p>
        </w:tc>
        <w:tc>
          <w:tcPr>
            <w:tcW w:w="1417" w:type="dxa"/>
            <w:tcBorders>
              <w:top w:val="single" w:sz="4" w:space="0" w:color="auto"/>
              <w:bottom w:val="single" w:sz="4" w:space="0" w:color="auto"/>
            </w:tcBorders>
            <w:shd w:val="clear" w:color="auto" w:fill="auto"/>
            <w:noWrap/>
            <w:vAlign w:val="center"/>
          </w:tcPr>
          <w:p w14:paraId="07C4885D" w14:textId="77777777" w:rsidR="00840519" w:rsidRPr="00F25744" w:rsidRDefault="00840519" w:rsidP="0070412E">
            <w:pPr>
              <w:bidi w:val="0"/>
              <w:spacing w:after="0" w:line="240" w:lineRule="auto"/>
              <w:jc w:val="center"/>
              <w:rPr>
                <w:rFonts w:ascii="David" w:eastAsia="Times New Roman" w:hAnsi="David" w:cs="David"/>
                <w:color w:val="000000"/>
                <w:sz w:val="24"/>
                <w:szCs w:val="24"/>
              </w:rPr>
            </w:pPr>
          </w:p>
        </w:tc>
        <w:tc>
          <w:tcPr>
            <w:tcW w:w="2268" w:type="dxa"/>
            <w:tcBorders>
              <w:top w:val="single" w:sz="4" w:space="0" w:color="auto"/>
              <w:bottom w:val="single" w:sz="4" w:space="0" w:color="auto"/>
            </w:tcBorders>
            <w:shd w:val="clear" w:color="auto" w:fill="auto"/>
            <w:noWrap/>
            <w:vAlign w:val="center"/>
          </w:tcPr>
          <w:p w14:paraId="19B01022" w14:textId="77777777" w:rsidR="00840519" w:rsidRPr="00F25744" w:rsidRDefault="00840519" w:rsidP="0070412E">
            <w:pPr>
              <w:bidi w:val="0"/>
              <w:spacing w:after="0" w:line="240" w:lineRule="auto"/>
              <w:jc w:val="center"/>
              <w:rPr>
                <w:rFonts w:eastAsia="Times New Roman" w:cs="David"/>
                <w:color w:val="000000"/>
                <w:sz w:val="24"/>
                <w:szCs w:val="24"/>
              </w:rPr>
            </w:pPr>
          </w:p>
        </w:tc>
        <w:tc>
          <w:tcPr>
            <w:tcW w:w="1419" w:type="dxa"/>
            <w:tcBorders>
              <w:top w:val="single" w:sz="4" w:space="0" w:color="auto"/>
              <w:bottom w:val="single" w:sz="4" w:space="0" w:color="auto"/>
            </w:tcBorders>
            <w:shd w:val="clear" w:color="auto" w:fill="auto"/>
            <w:vAlign w:val="center"/>
          </w:tcPr>
          <w:p w14:paraId="1267B29C" w14:textId="77777777" w:rsidR="00840519" w:rsidRPr="00F25744" w:rsidRDefault="00E25AE7" w:rsidP="0070412E">
            <w:pPr>
              <w:bidi w:val="0"/>
              <w:spacing w:after="0" w:line="240" w:lineRule="auto"/>
              <w:jc w:val="center"/>
              <w:rPr>
                <w:rFonts w:ascii="David" w:eastAsia="Times New Roman" w:hAnsi="David" w:cs="David"/>
                <w:b/>
                <w:bCs/>
                <w:color w:val="000000"/>
                <w:sz w:val="24"/>
                <w:szCs w:val="24"/>
                <w:rtl/>
              </w:rPr>
            </w:pPr>
            <w:r w:rsidRPr="00F25744">
              <w:rPr>
                <w:rFonts w:ascii="David" w:eastAsia="Times New Roman" w:hAnsi="David" w:cs="David"/>
                <w:b/>
                <w:bCs/>
                <w:color w:val="000000"/>
                <w:sz w:val="24"/>
                <w:szCs w:val="24"/>
              </w:rPr>
              <w:t>8.81</w:t>
            </w:r>
          </w:p>
        </w:tc>
      </w:tr>
    </w:tbl>
    <w:p w14:paraId="22032917" w14:textId="77777777" w:rsidR="00B92FDC" w:rsidRPr="00F25744" w:rsidRDefault="00B92FDC" w:rsidP="00E8622D">
      <w:pPr>
        <w:pStyle w:val="a3"/>
        <w:widowControl w:val="0"/>
        <w:autoSpaceDE w:val="0"/>
        <w:autoSpaceDN w:val="0"/>
        <w:bidi/>
        <w:adjustRightInd w:val="0"/>
        <w:spacing w:before="60" w:after="60" w:line="360" w:lineRule="auto"/>
        <w:ind w:left="0"/>
        <w:rPr>
          <w:rFonts w:ascii="David" w:hAnsi="David" w:cs="David"/>
          <w:sz w:val="24"/>
          <w:szCs w:val="24"/>
          <w:rtl/>
        </w:rPr>
      </w:pPr>
    </w:p>
    <w:p w14:paraId="6E4C2461" w14:textId="77777777" w:rsidR="00840519" w:rsidRPr="00F25744" w:rsidRDefault="00E25AE7" w:rsidP="00B8152F">
      <w:pPr>
        <w:pStyle w:val="a3"/>
        <w:widowControl w:val="0"/>
        <w:autoSpaceDE w:val="0"/>
        <w:autoSpaceDN w:val="0"/>
        <w:bidi/>
        <w:adjustRightInd w:val="0"/>
        <w:spacing w:before="60" w:after="60" w:line="360" w:lineRule="auto"/>
        <w:ind w:left="0"/>
        <w:rPr>
          <w:rFonts w:ascii="David" w:hAnsi="David" w:cs="David"/>
          <w:sz w:val="24"/>
          <w:szCs w:val="24"/>
          <w:rtl/>
        </w:rPr>
      </w:pPr>
      <w:r w:rsidRPr="00F25744">
        <w:rPr>
          <w:rFonts w:ascii="David" w:hAnsi="David" w:cs="David" w:hint="cs"/>
          <w:sz w:val="24"/>
          <w:szCs w:val="24"/>
          <w:rtl/>
        </w:rPr>
        <w:t xml:space="preserve">במחקרים דומים שנעשו בעולם נמצא, כי משך יום העבודה השיפוטי </w:t>
      </w:r>
      <w:r w:rsidRPr="00F25744">
        <w:rPr>
          <w:rFonts w:ascii="David" w:hAnsi="David" w:cs="David"/>
          <w:sz w:val="24"/>
          <w:szCs w:val="24"/>
          <w:rtl/>
        </w:rPr>
        <w:t xml:space="preserve">מכיל לכל היותר </w:t>
      </w:r>
      <w:r w:rsidRPr="00F25744">
        <w:rPr>
          <w:rFonts w:ascii="David" w:hAnsi="David" w:cs="David"/>
          <w:sz w:val="24"/>
          <w:szCs w:val="24"/>
        </w:rPr>
        <w:t>9</w:t>
      </w:r>
      <w:r w:rsidRPr="00F25744">
        <w:rPr>
          <w:rFonts w:ascii="David" w:hAnsi="David" w:cs="David"/>
          <w:sz w:val="24"/>
          <w:szCs w:val="24"/>
          <w:rtl/>
        </w:rPr>
        <w:t xml:space="preserve"> שעות עבודה </w:t>
      </w:r>
      <w:r w:rsidRPr="00F25744">
        <w:rPr>
          <w:rFonts w:ascii="David" w:hAnsi="David" w:cs="David"/>
          <w:b/>
          <w:bCs/>
          <w:sz w:val="24"/>
          <w:szCs w:val="24"/>
          <w:rtl/>
        </w:rPr>
        <w:t>ברוטו</w:t>
      </w:r>
      <w:r w:rsidRPr="00F25744">
        <w:rPr>
          <w:rFonts w:ascii="David" w:hAnsi="David" w:cs="David" w:hint="cs"/>
          <w:sz w:val="24"/>
          <w:szCs w:val="24"/>
          <w:rtl/>
        </w:rPr>
        <w:t xml:space="preserve">, אשר כוללות </w:t>
      </w:r>
      <w:r w:rsidRPr="00F25744">
        <w:rPr>
          <w:rFonts w:ascii="David" w:hAnsi="David" w:cs="David" w:hint="cs"/>
          <w:sz w:val="24"/>
          <w:szCs w:val="24"/>
          <w:rtl/>
          <w:lang w:val="en-US"/>
        </w:rPr>
        <w:t>זמן של עבודה שיפוטית שאינה קשורה בתיקים, זמני הפסקות ואף לעיתים זמני נסיעות (ראו טבלה</w:t>
      </w:r>
      <w:r w:rsidRPr="00F25744">
        <w:rPr>
          <w:rFonts w:ascii="David" w:hAnsi="David" w:cs="David"/>
          <w:sz w:val="24"/>
          <w:szCs w:val="24"/>
          <w:lang w:val="en-US"/>
        </w:rPr>
        <w:t xml:space="preserve"> </w:t>
      </w:r>
      <w:r w:rsidR="00E8622D" w:rsidRPr="00F25744">
        <w:rPr>
          <w:rFonts w:ascii="David" w:hAnsi="David" w:cs="David"/>
          <w:sz w:val="24"/>
          <w:szCs w:val="24"/>
          <w:lang w:val="en-US"/>
        </w:rPr>
        <w:t xml:space="preserve">25 </w:t>
      </w:r>
      <w:r w:rsidR="00E8622D" w:rsidRPr="00F25744">
        <w:rPr>
          <w:rFonts w:ascii="David" w:hAnsi="David" w:cs="David" w:hint="cs"/>
          <w:sz w:val="24"/>
          <w:szCs w:val="24"/>
          <w:rtl/>
          <w:lang w:val="en-US"/>
        </w:rPr>
        <w:t>להלן</w:t>
      </w:r>
      <w:r w:rsidRPr="00F25744">
        <w:rPr>
          <w:rFonts w:ascii="David" w:hAnsi="David" w:cs="David" w:hint="cs"/>
          <w:sz w:val="24"/>
          <w:szCs w:val="24"/>
          <w:rtl/>
          <w:lang w:val="en-US"/>
        </w:rPr>
        <w:t xml:space="preserve"> אשר הובאה במחקר בתי הדין לעבודה). </w:t>
      </w:r>
      <w:r w:rsidRPr="00F25744">
        <w:rPr>
          <w:rFonts w:ascii="David" w:hAnsi="David" w:cs="David" w:hint="cs"/>
          <w:sz w:val="24"/>
          <w:szCs w:val="24"/>
          <w:rtl/>
        </w:rPr>
        <w:t xml:space="preserve">הממצאים שהוצגו לעיל עבור יום העבודה השיפוטי לשופט ממוצע בישראל, אשר נע בממוצע בין 7.5 שעות ל-9.5 שעות, הינם כאמור שעות </w:t>
      </w:r>
      <w:r w:rsidRPr="00F25744">
        <w:rPr>
          <w:rFonts w:ascii="David" w:hAnsi="David" w:cs="David" w:hint="cs"/>
          <w:b/>
          <w:bCs/>
          <w:sz w:val="24"/>
          <w:szCs w:val="24"/>
          <w:rtl/>
        </w:rPr>
        <w:t>נטו</w:t>
      </w:r>
      <w:r w:rsidRPr="00F25744">
        <w:rPr>
          <w:rFonts w:ascii="David" w:hAnsi="David" w:cs="David" w:hint="cs"/>
          <w:sz w:val="24"/>
          <w:szCs w:val="24"/>
          <w:rtl/>
        </w:rPr>
        <w:t xml:space="preserve"> אשר אינן כוללות תוספות אלו.</w:t>
      </w:r>
      <w:r w:rsidRPr="00F25744">
        <w:rPr>
          <w:rFonts w:ascii="David" w:hAnsi="David" w:cs="David" w:hint="cs"/>
          <w:sz w:val="24"/>
          <w:szCs w:val="24"/>
          <w:rtl/>
          <w:lang w:val="en-US"/>
        </w:rPr>
        <w:t xml:space="preserve"> </w:t>
      </w:r>
      <w:r w:rsidRPr="00F25744">
        <w:rPr>
          <w:rFonts w:ascii="David" w:hAnsi="David" w:cs="David" w:hint="cs"/>
          <w:sz w:val="24"/>
          <w:szCs w:val="24"/>
          <w:rtl/>
        </w:rPr>
        <w:t xml:space="preserve">בהינתן הוספת מינימום של שעת הפסקה לשופט, ממוצעים אלו יעלו וינועו בין 8.5 שעות ל-10.5 שעות </w:t>
      </w:r>
      <w:r w:rsidR="00493ABB" w:rsidRPr="00F25744">
        <w:rPr>
          <w:rFonts w:ascii="David" w:hAnsi="David" w:cs="David" w:hint="cs"/>
          <w:sz w:val="24"/>
          <w:szCs w:val="24"/>
          <w:rtl/>
        </w:rPr>
        <w:t xml:space="preserve">ברוטו </w:t>
      </w:r>
      <w:r w:rsidRPr="00F25744">
        <w:rPr>
          <w:rFonts w:ascii="David" w:hAnsi="David" w:cs="David" w:hint="cs"/>
          <w:sz w:val="24"/>
          <w:szCs w:val="24"/>
          <w:rtl/>
        </w:rPr>
        <w:t xml:space="preserve">בממוצע ליום. חישוב דומה בוצע </w:t>
      </w:r>
      <w:r w:rsidR="00DB754B" w:rsidRPr="00F25744">
        <w:rPr>
          <w:rFonts w:ascii="David" w:hAnsi="David" w:cs="David" w:hint="cs"/>
          <w:sz w:val="24"/>
          <w:szCs w:val="24"/>
          <w:rtl/>
          <w:lang w:val="en-US"/>
        </w:rPr>
        <w:t>ב</w:t>
      </w:r>
      <w:r w:rsidRPr="00F25744">
        <w:rPr>
          <w:rFonts w:ascii="David" w:hAnsi="David" w:cs="David" w:hint="cs"/>
          <w:sz w:val="24"/>
          <w:szCs w:val="24"/>
          <w:rtl/>
          <w:lang w:val="en-US"/>
        </w:rPr>
        <w:t xml:space="preserve">מחקר </w:t>
      </w:r>
      <w:r w:rsidRPr="00F25744">
        <w:rPr>
          <w:rFonts w:ascii="David" w:hAnsi="David" w:cs="David" w:hint="cs"/>
          <w:sz w:val="24"/>
          <w:szCs w:val="24"/>
          <w:rtl/>
        </w:rPr>
        <w:t>בתי הדין לעבודה, שם הגיעו לשעות עבודה ברוטו של 10.55 שעות לשופט.</w:t>
      </w:r>
    </w:p>
    <w:p w14:paraId="353E5BE7" w14:textId="4AAAABD6" w:rsidR="00840519" w:rsidRPr="00F25744" w:rsidRDefault="008534FC" w:rsidP="008534FC">
      <w:pPr>
        <w:pStyle w:val="af6"/>
        <w:rPr>
          <w:rFonts w:ascii="David" w:hAnsi="David"/>
          <w:rtl/>
        </w:rPr>
      </w:pPr>
      <w:bookmarkStart w:id="768" w:name="_Toc76988914"/>
      <w:r w:rsidRPr="00F25744">
        <w:rPr>
          <w:rtl/>
        </w:rPr>
        <w:t xml:space="preserve">טבלה </w:t>
      </w:r>
      <w:r w:rsidRPr="00F25744">
        <w:rPr>
          <w:rtl/>
        </w:rPr>
        <w:fldChar w:fldCharType="begin"/>
      </w:r>
      <w:r w:rsidRPr="00F25744">
        <w:rPr>
          <w:rtl/>
        </w:rPr>
        <w:instrText xml:space="preserve"> </w:instrText>
      </w:r>
      <w:r w:rsidRPr="00F25744">
        <w:instrText>SEQ</w:instrText>
      </w:r>
      <w:r w:rsidRPr="00F25744">
        <w:rPr>
          <w:rtl/>
        </w:rPr>
        <w:instrText xml:space="preserve"> טבלה \* </w:instrText>
      </w:r>
      <w:r w:rsidRPr="00F25744">
        <w:instrText>ARABIC</w:instrText>
      </w:r>
      <w:r w:rsidRPr="00F25744">
        <w:rPr>
          <w:rtl/>
        </w:rPr>
        <w:instrText xml:space="preserve"> </w:instrText>
      </w:r>
      <w:r w:rsidRPr="00F25744">
        <w:rPr>
          <w:rtl/>
        </w:rPr>
        <w:fldChar w:fldCharType="separate"/>
      </w:r>
      <w:r w:rsidR="008F1BC3">
        <w:rPr>
          <w:noProof/>
          <w:rtl/>
        </w:rPr>
        <w:t>19</w:t>
      </w:r>
      <w:r w:rsidRPr="00F25744">
        <w:rPr>
          <w:rtl/>
        </w:rPr>
        <w:fldChar w:fldCharType="end"/>
      </w:r>
      <w:r w:rsidR="00011C86" w:rsidRPr="00F25744">
        <w:rPr>
          <w:rFonts w:ascii="David" w:hAnsi="David" w:hint="cs"/>
          <w:w w:val="110"/>
          <w:rtl/>
        </w:rPr>
        <w:t xml:space="preserve">: </w:t>
      </w:r>
      <w:r w:rsidR="007F3A52" w:rsidRPr="00F25744">
        <w:rPr>
          <w:rFonts w:ascii="David" w:hAnsi="David" w:hint="cs"/>
          <w:w w:val="110"/>
          <w:rtl/>
        </w:rPr>
        <w:t xml:space="preserve">אורך יום העבודה השיפוטי </w:t>
      </w:r>
      <w:r w:rsidR="007F3A52" w:rsidRPr="00F25744">
        <w:rPr>
          <w:rFonts w:ascii="David" w:hAnsi="David"/>
          <w:w w:val="110"/>
          <w:rtl/>
        </w:rPr>
        <w:t>על</w:t>
      </w:r>
      <w:r w:rsidR="007F3A52" w:rsidRPr="00F25744">
        <w:rPr>
          <w:rFonts w:ascii="David" w:hAnsi="David"/>
          <w:spacing w:val="-20"/>
          <w:w w:val="110"/>
          <w:rtl/>
        </w:rPr>
        <w:t xml:space="preserve"> </w:t>
      </w:r>
      <w:r w:rsidR="007F3A52" w:rsidRPr="00F25744">
        <w:rPr>
          <w:rFonts w:ascii="David" w:hAnsi="David"/>
          <w:w w:val="110"/>
          <w:rtl/>
        </w:rPr>
        <w:t>פי</w:t>
      </w:r>
      <w:r w:rsidR="007F3A52" w:rsidRPr="00F25744">
        <w:rPr>
          <w:rFonts w:ascii="David" w:hAnsi="David"/>
          <w:spacing w:val="-23"/>
          <w:w w:val="110"/>
          <w:rtl/>
        </w:rPr>
        <w:t xml:space="preserve"> </w:t>
      </w:r>
      <w:r w:rsidR="007F3A52" w:rsidRPr="00F25744">
        <w:rPr>
          <w:rFonts w:ascii="David" w:hAnsi="David"/>
          <w:w w:val="110"/>
          <w:rtl/>
        </w:rPr>
        <w:t>מדדים</w:t>
      </w:r>
      <w:r w:rsidR="007F3A52" w:rsidRPr="00F25744">
        <w:rPr>
          <w:rFonts w:ascii="David" w:hAnsi="David"/>
          <w:spacing w:val="-20"/>
          <w:w w:val="110"/>
          <w:rtl/>
        </w:rPr>
        <w:t xml:space="preserve"> </w:t>
      </w:r>
      <w:r w:rsidR="007F3A52" w:rsidRPr="00F25744">
        <w:rPr>
          <w:rFonts w:ascii="David" w:hAnsi="David"/>
          <w:w w:val="110"/>
          <w:rtl/>
        </w:rPr>
        <w:t>זרים</w:t>
      </w:r>
      <w:bookmarkEnd w:id="768"/>
    </w:p>
    <w:tbl>
      <w:tblPr>
        <w:tblW w:w="0" w:type="auto"/>
        <w:jc w:val="center"/>
        <w:tblLayout w:type="fixed"/>
        <w:tblCellMar>
          <w:left w:w="0" w:type="dxa"/>
          <w:right w:w="0" w:type="dxa"/>
        </w:tblCellMar>
        <w:tblLook w:val="01E0" w:firstRow="1" w:lastRow="1" w:firstColumn="1" w:lastColumn="1" w:noHBand="0" w:noVBand="0"/>
      </w:tblPr>
      <w:tblGrid>
        <w:gridCol w:w="5103"/>
        <w:gridCol w:w="3063"/>
      </w:tblGrid>
      <w:tr w:rsidR="00E0162E" w:rsidRPr="00F25744" w14:paraId="25464163" w14:textId="77777777" w:rsidTr="003068A1">
        <w:trPr>
          <w:trHeight w:val="488"/>
          <w:jc w:val="center"/>
        </w:trPr>
        <w:tc>
          <w:tcPr>
            <w:tcW w:w="5103" w:type="dxa"/>
            <w:tcBorders>
              <w:bottom w:val="single" w:sz="4" w:space="0" w:color="auto"/>
            </w:tcBorders>
            <w:shd w:val="clear" w:color="auto" w:fill="auto"/>
            <w:vAlign w:val="center"/>
          </w:tcPr>
          <w:p w14:paraId="34588EDA" w14:textId="77777777" w:rsidR="00840519" w:rsidRPr="00F25744" w:rsidRDefault="00E25AE7" w:rsidP="00C16359">
            <w:pPr>
              <w:pStyle w:val="TableParagraph"/>
              <w:bidi/>
              <w:spacing w:line="276" w:lineRule="auto"/>
              <w:ind w:right="434"/>
              <w:rPr>
                <w:rFonts w:ascii="David" w:hAnsi="David" w:cs="David"/>
                <w:b/>
                <w:bCs/>
                <w:sz w:val="24"/>
                <w:szCs w:val="24"/>
              </w:rPr>
            </w:pPr>
            <w:r w:rsidRPr="00F25744">
              <w:rPr>
                <w:rFonts w:ascii="David" w:hAnsi="David" w:cs="David" w:hint="cs"/>
                <w:b/>
                <w:bCs/>
                <w:w w:val="95"/>
                <w:sz w:val="24"/>
                <w:szCs w:val="24"/>
                <w:rtl/>
              </w:rPr>
              <w:t xml:space="preserve">משך יום עבודה השיפוטי ממוצע ברוטו  </w:t>
            </w:r>
            <w:r w:rsidR="00C16359" w:rsidRPr="00F25744">
              <w:rPr>
                <w:rFonts w:ascii="David" w:hAnsi="David" w:cs="David" w:hint="cs"/>
                <w:b/>
                <w:bCs/>
                <w:w w:val="95"/>
                <w:sz w:val="24"/>
                <w:szCs w:val="24"/>
                <w:rtl/>
              </w:rPr>
              <w:t>(כולל הפסקות)</w:t>
            </w:r>
          </w:p>
        </w:tc>
        <w:tc>
          <w:tcPr>
            <w:tcW w:w="3063" w:type="dxa"/>
            <w:tcBorders>
              <w:bottom w:val="single" w:sz="4" w:space="0" w:color="auto"/>
            </w:tcBorders>
            <w:shd w:val="clear" w:color="auto" w:fill="auto"/>
            <w:vAlign w:val="center"/>
          </w:tcPr>
          <w:p w14:paraId="446D042E" w14:textId="77777777" w:rsidR="00840519" w:rsidRPr="00F25744" w:rsidRDefault="00E25AE7" w:rsidP="0070412E">
            <w:pPr>
              <w:pStyle w:val="TableParagraph"/>
              <w:bidi/>
              <w:spacing w:line="276" w:lineRule="auto"/>
              <w:ind w:left="91"/>
              <w:jc w:val="left"/>
              <w:rPr>
                <w:rFonts w:ascii="David" w:hAnsi="David" w:cs="David"/>
                <w:b/>
                <w:bCs/>
                <w:sz w:val="24"/>
                <w:szCs w:val="24"/>
                <w:rtl/>
              </w:rPr>
            </w:pPr>
            <w:r w:rsidRPr="00F25744">
              <w:rPr>
                <w:rFonts w:ascii="David" w:hAnsi="David" w:cs="David"/>
                <w:b/>
                <w:bCs/>
                <w:w w:val="90"/>
                <w:sz w:val="24"/>
                <w:szCs w:val="24"/>
                <w:rtl/>
              </w:rPr>
              <w:t>מ</w:t>
            </w:r>
            <w:r w:rsidRPr="00F25744">
              <w:rPr>
                <w:rFonts w:ascii="David" w:hAnsi="David" w:cs="David" w:hint="cs"/>
                <w:b/>
                <w:bCs/>
                <w:w w:val="90"/>
                <w:sz w:val="24"/>
                <w:szCs w:val="24"/>
                <w:rtl/>
              </w:rPr>
              <w:t>ד</w:t>
            </w:r>
            <w:r w:rsidRPr="00F25744">
              <w:rPr>
                <w:rFonts w:ascii="David" w:hAnsi="David" w:cs="David"/>
                <w:b/>
                <w:bCs/>
                <w:w w:val="90"/>
                <w:sz w:val="24"/>
                <w:szCs w:val="24"/>
                <w:rtl/>
              </w:rPr>
              <w:t>ינה</w:t>
            </w:r>
          </w:p>
        </w:tc>
      </w:tr>
      <w:tr w:rsidR="00E0162E" w:rsidRPr="00F25744" w14:paraId="3B476881" w14:textId="77777777" w:rsidTr="003068A1">
        <w:trPr>
          <w:trHeight w:val="330"/>
          <w:jc w:val="center"/>
        </w:trPr>
        <w:tc>
          <w:tcPr>
            <w:tcW w:w="5103" w:type="dxa"/>
            <w:tcBorders>
              <w:top w:val="single" w:sz="4" w:space="0" w:color="auto"/>
            </w:tcBorders>
            <w:shd w:val="clear" w:color="auto" w:fill="auto"/>
            <w:vAlign w:val="center"/>
          </w:tcPr>
          <w:p w14:paraId="1347434B" w14:textId="77777777" w:rsidR="00840519" w:rsidRPr="00F25744" w:rsidRDefault="00E25AE7" w:rsidP="00315C4B">
            <w:pPr>
              <w:pStyle w:val="TableParagraph"/>
              <w:bidi/>
              <w:spacing w:line="276" w:lineRule="auto"/>
              <w:rPr>
                <w:rFonts w:ascii="David" w:hAnsi="David" w:cs="David"/>
                <w:sz w:val="24"/>
                <w:szCs w:val="24"/>
              </w:rPr>
            </w:pPr>
            <w:r w:rsidRPr="00F25744">
              <w:rPr>
                <w:rFonts w:ascii="David" w:hAnsi="David" w:cs="David"/>
                <w:sz w:val="24"/>
                <w:szCs w:val="24"/>
              </w:rPr>
              <w:t>9</w:t>
            </w:r>
            <w:r w:rsidRPr="00F25744">
              <w:rPr>
                <w:rFonts w:ascii="David" w:hAnsi="David" w:cs="David"/>
                <w:sz w:val="24"/>
                <w:szCs w:val="24"/>
                <w:rtl/>
              </w:rPr>
              <w:t xml:space="preserve"> שעות</w:t>
            </w:r>
          </w:p>
        </w:tc>
        <w:tc>
          <w:tcPr>
            <w:tcW w:w="3063" w:type="dxa"/>
            <w:tcBorders>
              <w:top w:val="single" w:sz="4" w:space="0" w:color="auto"/>
            </w:tcBorders>
            <w:shd w:val="clear" w:color="auto" w:fill="auto"/>
            <w:vAlign w:val="center"/>
          </w:tcPr>
          <w:p w14:paraId="2FED3CEF" w14:textId="77777777" w:rsidR="00840519" w:rsidRPr="00F25744" w:rsidRDefault="00E25AE7" w:rsidP="00315C4B">
            <w:pPr>
              <w:pStyle w:val="TableParagraph"/>
              <w:bidi/>
              <w:spacing w:line="276" w:lineRule="auto"/>
              <w:jc w:val="left"/>
              <w:rPr>
                <w:rFonts w:ascii="David" w:hAnsi="David" w:cs="David"/>
                <w:sz w:val="24"/>
                <w:szCs w:val="24"/>
              </w:rPr>
            </w:pPr>
            <w:r w:rsidRPr="00F25744">
              <w:rPr>
                <w:rFonts w:ascii="David" w:hAnsi="David" w:cs="David"/>
                <w:sz w:val="24"/>
                <w:szCs w:val="24"/>
                <w:rtl/>
              </w:rPr>
              <w:t>אריזונה</w:t>
            </w:r>
            <w:r w:rsidRPr="00F25744">
              <w:rPr>
                <w:rFonts w:ascii="David" w:hAnsi="David" w:cs="David" w:hint="cs"/>
                <w:sz w:val="24"/>
                <w:szCs w:val="24"/>
                <w:rtl/>
              </w:rPr>
              <w:t xml:space="preserve"> (2012)</w:t>
            </w:r>
          </w:p>
        </w:tc>
      </w:tr>
      <w:tr w:rsidR="00E0162E" w:rsidRPr="00F25744" w14:paraId="2A0E2699" w14:textId="77777777" w:rsidTr="003068A1">
        <w:trPr>
          <w:trHeight w:val="146"/>
          <w:jc w:val="center"/>
        </w:trPr>
        <w:tc>
          <w:tcPr>
            <w:tcW w:w="5103" w:type="dxa"/>
            <w:shd w:val="clear" w:color="auto" w:fill="auto"/>
            <w:vAlign w:val="center"/>
          </w:tcPr>
          <w:p w14:paraId="3D80E1DF" w14:textId="77777777" w:rsidR="00840519" w:rsidRPr="00F25744" w:rsidRDefault="00E25AE7" w:rsidP="00315C4B">
            <w:pPr>
              <w:pStyle w:val="TableParagraph"/>
              <w:bidi/>
              <w:spacing w:line="276" w:lineRule="auto"/>
              <w:rPr>
                <w:rFonts w:ascii="David" w:hAnsi="David" w:cs="David"/>
                <w:sz w:val="24"/>
                <w:szCs w:val="24"/>
              </w:rPr>
            </w:pPr>
            <w:r w:rsidRPr="00F25744">
              <w:rPr>
                <w:rFonts w:ascii="David" w:hAnsi="David" w:cs="David"/>
                <w:sz w:val="24"/>
                <w:szCs w:val="24"/>
              </w:rPr>
              <w:t>9</w:t>
            </w:r>
            <w:r w:rsidRPr="00F25744">
              <w:rPr>
                <w:rFonts w:ascii="David" w:hAnsi="David" w:cs="David"/>
                <w:sz w:val="24"/>
                <w:szCs w:val="24"/>
                <w:rtl/>
              </w:rPr>
              <w:t xml:space="preserve"> שעות</w:t>
            </w:r>
          </w:p>
        </w:tc>
        <w:tc>
          <w:tcPr>
            <w:tcW w:w="3063" w:type="dxa"/>
            <w:shd w:val="clear" w:color="auto" w:fill="auto"/>
            <w:vAlign w:val="center"/>
          </w:tcPr>
          <w:p w14:paraId="14660D05" w14:textId="77777777" w:rsidR="00840519" w:rsidRPr="00F25744" w:rsidRDefault="00E25AE7" w:rsidP="00315C4B">
            <w:pPr>
              <w:pStyle w:val="TableParagraph"/>
              <w:bidi/>
              <w:spacing w:line="276" w:lineRule="auto"/>
              <w:ind w:right="91"/>
              <w:jc w:val="left"/>
              <w:rPr>
                <w:rFonts w:ascii="David" w:hAnsi="David" w:cs="David"/>
                <w:sz w:val="24"/>
                <w:szCs w:val="24"/>
                <w:rtl/>
              </w:rPr>
            </w:pPr>
            <w:r w:rsidRPr="00F25744">
              <w:rPr>
                <w:rFonts w:ascii="David" w:hAnsi="David" w:cs="David"/>
                <w:sz w:val="24"/>
                <w:szCs w:val="24"/>
                <w:rtl/>
              </w:rPr>
              <w:t>טנסי</w:t>
            </w:r>
            <w:r w:rsidRPr="00F25744">
              <w:rPr>
                <w:rFonts w:ascii="David" w:hAnsi="David" w:cs="David" w:hint="cs"/>
                <w:sz w:val="24"/>
                <w:szCs w:val="24"/>
                <w:rtl/>
              </w:rPr>
              <w:t xml:space="preserve"> (2013)</w:t>
            </w:r>
          </w:p>
        </w:tc>
      </w:tr>
      <w:tr w:rsidR="00E0162E" w:rsidRPr="00F25744" w14:paraId="4637E1BB" w14:textId="77777777" w:rsidTr="003068A1">
        <w:trPr>
          <w:trHeight w:val="406"/>
          <w:jc w:val="center"/>
        </w:trPr>
        <w:tc>
          <w:tcPr>
            <w:tcW w:w="5103" w:type="dxa"/>
            <w:shd w:val="clear" w:color="auto" w:fill="auto"/>
            <w:vAlign w:val="center"/>
          </w:tcPr>
          <w:p w14:paraId="7BEB94BE" w14:textId="77777777" w:rsidR="00840519" w:rsidRPr="00F25744" w:rsidRDefault="00E25AE7" w:rsidP="00315C4B">
            <w:pPr>
              <w:pStyle w:val="TableParagraph"/>
              <w:bidi/>
              <w:spacing w:line="276" w:lineRule="auto"/>
              <w:rPr>
                <w:rFonts w:ascii="David" w:hAnsi="David" w:cs="David"/>
                <w:sz w:val="24"/>
                <w:szCs w:val="24"/>
              </w:rPr>
            </w:pPr>
            <w:r w:rsidRPr="00F25744">
              <w:rPr>
                <w:rFonts w:ascii="David" w:hAnsi="David" w:cs="David"/>
                <w:sz w:val="24"/>
                <w:szCs w:val="24"/>
              </w:rPr>
              <w:t>8</w:t>
            </w:r>
            <w:r w:rsidRPr="00F25744">
              <w:rPr>
                <w:rFonts w:ascii="David" w:hAnsi="David" w:cs="David"/>
                <w:sz w:val="24"/>
                <w:szCs w:val="24"/>
                <w:rtl/>
              </w:rPr>
              <w:t xml:space="preserve"> שעות</w:t>
            </w:r>
          </w:p>
        </w:tc>
        <w:tc>
          <w:tcPr>
            <w:tcW w:w="3063" w:type="dxa"/>
            <w:shd w:val="clear" w:color="auto" w:fill="auto"/>
            <w:vAlign w:val="center"/>
          </w:tcPr>
          <w:p w14:paraId="17B64313" w14:textId="77777777" w:rsidR="00840519" w:rsidRPr="00F25744" w:rsidRDefault="00E25AE7" w:rsidP="00315C4B">
            <w:pPr>
              <w:pStyle w:val="TableParagraph"/>
              <w:bidi/>
              <w:spacing w:line="276" w:lineRule="auto"/>
              <w:jc w:val="left"/>
              <w:rPr>
                <w:rFonts w:ascii="David" w:hAnsi="David" w:cs="David"/>
                <w:sz w:val="24"/>
                <w:szCs w:val="24"/>
              </w:rPr>
            </w:pPr>
            <w:r w:rsidRPr="00F25744">
              <w:rPr>
                <w:rFonts w:ascii="David" w:hAnsi="David" w:cs="David" w:hint="cs"/>
                <w:sz w:val="24"/>
                <w:szCs w:val="24"/>
                <w:rtl/>
              </w:rPr>
              <w:t xml:space="preserve">וירג'יניה </w:t>
            </w:r>
            <w:r w:rsidR="007F3A52" w:rsidRPr="00F25744">
              <w:rPr>
                <w:rFonts w:ascii="David" w:hAnsi="David" w:cs="David"/>
                <w:sz w:val="24"/>
                <w:szCs w:val="24"/>
                <w:rtl/>
              </w:rPr>
              <w:t>המערבית</w:t>
            </w:r>
            <w:r w:rsidR="007F3A52" w:rsidRPr="00F25744">
              <w:rPr>
                <w:rFonts w:ascii="David" w:hAnsi="David" w:cs="David" w:hint="cs"/>
                <w:sz w:val="24"/>
                <w:szCs w:val="24"/>
                <w:rtl/>
              </w:rPr>
              <w:t xml:space="preserve"> (2014)</w:t>
            </w:r>
          </w:p>
        </w:tc>
      </w:tr>
      <w:tr w:rsidR="00E0162E" w:rsidRPr="00F25744" w14:paraId="0B4C900A" w14:textId="77777777" w:rsidTr="003068A1">
        <w:trPr>
          <w:trHeight w:val="284"/>
          <w:jc w:val="center"/>
        </w:trPr>
        <w:tc>
          <w:tcPr>
            <w:tcW w:w="5103" w:type="dxa"/>
            <w:shd w:val="clear" w:color="auto" w:fill="auto"/>
            <w:vAlign w:val="center"/>
          </w:tcPr>
          <w:p w14:paraId="68DB94C1" w14:textId="77777777" w:rsidR="00840519" w:rsidRPr="00F25744" w:rsidRDefault="00E25AE7" w:rsidP="00315C4B">
            <w:pPr>
              <w:pStyle w:val="TableParagraph"/>
              <w:bidi/>
              <w:spacing w:line="276" w:lineRule="auto"/>
              <w:rPr>
                <w:rFonts w:ascii="David" w:hAnsi="David" w:cs="David"/>
                <w:sz w:val="24"/>
                <w:szCs w:val="24"/>
              </w:rPr>
            </w:pPr>
            <w:r w:rsidRPr="00F25744">
              <w:rPr>
                <w:rFonts w:ascii="David" w:hAnsi="David" w:cs="David"/>
                <w:sz w:val="24"/>
                <w:szCs w:val="24"/>
              </w:rPr>
              <w:t>9</w:t>
            </w:r>
            <w:r w:rsidRPr="00F25744">
              <w:rPr>
                <w:rFonts w:ascii="David" w:hAnsi="David" w:cs="David"/>
                <w:sz w:val="24"/>
                <w:szCs w:val="24"/>
                <w:rtl/>
              </w:rPr>
              <w:t xml:space="preserve"> שעות</w:t>
            </w:r>
          </w:p>
        </w:tc>
        <w:tc>
          <w:tcPr>
            <w:tcW w:w="3063" w:type="dxa"/>
            <w:shd w:val="clear" w:color="auto" w:fill="auto"/>
            <w:vAlign w:val="center"/>
          </w:tcPr>
          <w:p w14:paraId="4AE69770" w14:textId="77777777" w:rsidR="00840519" w:rsidRPr="00F25744" w:rsidRDefault="00E25AE7" w:rsidP="00315C4B">
            <w:pPr>
              <w:pStyle w:val="TableParagraph"/>
              <w:bidi/>
              <w:spacing w:line="276" w:lineRule="auto"/>
              <w:jc w:val="left"/>
              <w:rPr>
                <w:rFonts w:ascii="David" w:hAnsi="David" w:cs="David"/>
                <w:sz w:val="24"/>
                <w:szCs w:val="24"/>
              </w:rPr>
            </w:pPr>
            <w:r w:rsidRPr="00F25744">
              <w:rPr>
                <w:rFonts w:ascii="David" w:hAnsi="David" w:cs="David"/>
                <w:sz w:val="24"/>
                <w:szCs w:val="24"/>
                <w:rtl/>
              </w:rPr>
              <w:t>מונטנה</w:t>
            </w:r>
            <w:r w:rsidRPr="00F25744">
              <w:rPr>
                <w:rFonts w:ascii="David" w:hAnsi="David" w:cs="David" w:hint="cs"/>
                <w:sz w:val="24"/>
                <w:szCs w:val="24"/>
                <w:rtl/>
              </w:rPr>
              <w:t xml:space="preserve"> (2014)</w:t>
            </w:r>
          </w:p>
        </w:tc>
      </w:tr>
      <w:tr w:rsidR="00E0162E" w:rsidRPr="00F25744" w14:paraId="49A38952" w14:textId="77777777" w:rsidTr="003068A1">
        <w:trPr>
          <w:trHeight w:val="290"/>
          <w:jc w:val="center"/>
        </w:trPr>
        <w:tc>
          <w:tcPr>
            <w:tcW w:w="5103" w:type="dxa"/>
            <w:shd w:val="clear" w:color="auto" w:fill="auto"/>
            <w:vAlign w:val="center"/>
          </w:tcPr>
          <w:p w14:paraId="133E75C6" w14:textId="77777777" w:rsidR="00840519" w:rsidRPr="00F25744" w:rsidRDefault="00E25AE7" w:rsidP="00315C4B">
            <w:pPr>
              <w:pStyle w:val="TableParagraph"/>
              <w:bidi/>
              <w:spacing w:line="276" w:lineRule="auto"/>
              <w:rPr>
                <w:rFonts w:ascii="David" w:hAnsi="David" w:cs="David"/>
                <w:sz w:val="24"/>
                <w:szCs w:val="24"/>
              </w:rPr>
            </w:pPr>
            <w:r w:rsidRPr="00F25744">
              <w:rPr>
                <w:rFonts w:ascii="David" w:hAnsi="David" w:cs="David"/>
                <w:sz w:val="24"/>
                <w:szCs w:val="24"/>
              </w:rPr>
              <w:t>9</w:t>
            </w:r>
            <w:r w:rsidRPr="00F25744">
              <w:rPr>
                <w:rFonts w:ascii="David" w:hAnsi="David" w:cs="David"/>
                <w:sz w:val="24"/>
                <w:szCs w:val="24"/>
                <w:rtl/>
              </w:rPr>
              <w:t xml:space="preserve"> שעות</w:t>
            </w:r>
          </w:p>
        </w:tc>
        <w:tc>
          <w:tcPr>
            <w:tcW w:w="3063" w:type="dxa"/>
            <w:shd w:val="clear" w:color="auto" w:fill="auto"/>
            <w:vAlign w:val="center"/>
          </w:tcPr>
          <w:p w14:paraId="5E38F1DD" w14:textId="77777777" w:rsidR="00840519" w:rsidRPr="00F25744" w:rsidRDefault="00E25AE7" w:rsidP="00315C4B">
            <w:pPr>
              <w:pStyle w:val="TableParagraph"/>
              <w:bidi/>
              <w:spacing w:line="276" w:lineRule="auto"/>
              <w:jc w:val="left"/>
              <w:rPr>
                <w:rFonts w:ascii="David" w:hAnsi="David" w:cs="David"/>
                <w:sz w:val="24"/>
                <w:szCs w:val="24"/>
              </w:rPr>
            </w:pPr>
            <w:r w:rsidRPr="00F25744">
              <w:rPr>
                <w:rFonts w:ascii="David" w:hAnsi="David" w:cs="David" w:hint="cs"/>
                <w:sz w:val="24"/>
                <w:szCs w:val="24"/>
                <w:rtl/>
              </w:rPr>
              <w:t>ורמונט</w:t>
            </w:r>
            <w:r w:rsidR="007F3A52" w:rsidRPr="00F25744">
              <w:rPr>
                <w:rFonts w:ascii="David" w:hAnsi="David" w:cs="David" w:hint="cs"/>
                <w:sz w:val="24"/>
                <w:szCs w:val="24"/>
                <w:rtl/>
              </w:rPr>
              <w:t xml:space="preserve"> (2015)</w:t>
            </w:r>
          </w:p>
        </w:tc>
      </w:tr>
      <w:tr w:rsidR="00E0162E" w:rsidRPr="00F25744" w14:paraId="78716094" w14:textId="77777777" w:rsidTr="003068A1">
        <w:trPr>
          <w:trHeight w:val="282"/>
          <w:jc w:val="center"/>
        </w:trPr>
        <w:tc>
          <w:tcPr>
            <w:tcW w:w="5103" w:type="dxa"/>
            <w:shd w:val="clear" w:color="auto" w:fill="auto"/>
            <w:vAlign w:val="center"/>
          </w:tcPr>
          <w:p w14:paraId="21D7E70F" w14:textId="77777777" w:rsidR="00840519" w:rsidRPr="00F25744" w:rsidRDefault="00E25AE7" w:rsidP="00315C4B">
            <w:pPr>
              <w:pStyle w:val="TableParagraph"/>
              <w:bidi/>
              <w:spacing w:line="276" w:lineRule="auto"/>
              <w:rPr>
                <w:rFonts w:ascii="David" w:hAnsi="David" w:cs="David"/>
                <w:sz w:val="24"/>
                <w:szCs w:val="24"/>
              </w:rPr>
            </w:pPr>
            <w:r w:rsidRPr="00F25744">
              <w:rPr>
                <w:rFonts w:ascii="David" w:hAnsi="David" w:cs="David"/>
                <w:sz w:val="24"/>
                <w:szCs w:val="24"/>
              </w:rPr>
              <w:t>8</w:t>
            </w:r>
            <w:r w:rsidRPr="00F25744">
              <w:rPr>
                <w:rFonts w:ascii="David" w:hAnsi="David" w:cs="David"/>
                <w:sz w:val="24"/>
                <w:szCs w:val="24"/>
                <w:rtl/>
              </w:rPr>
              <w:t xml:space="preserve"> שעות</w:t>
            </w:r>
          </w:p>
        </w:tc>
        <w:tc>
          <w:tcPr>
            <w:tcW w:w="3063" w:type="dxa"/>
            <w:shd w:val="clear" w:color="auto" w:fill="auto"/>
            <w:vAlign w:val="center"/>
          </w:tcPr>
          <w:p w14:paraId="72C7DCE0" w14:textId="77777777" w:rsidR="00840519" w:rsidRPr="00F25744" w:rsidRDefault="00E25AE7" w:rsidP="00315C4B">
            <w:pPr>
              <w:pStyle w:val="TableParagraph"/>
              <w:bidi/>
              <w:spacing w:line="276" w:lineRule="auto"/>
              <w:jc w:val="left"/>
              <w:rPr>
                <w:rFonts w:ascii="David" w:hAnsi="David" w:cs="David"/>
                <w:sz w:val="24"/>
                <w:szCs w:val="24"/>
              </w:rPr>
            </w:pPr>
            <w:r w:rsidRPr="00F25744">
              <w:rPr>
                <w:rFonts w:ascii="David" w:hAnsi="David" w:cs="David"/>
                <w:sz w:val="24"/>
                <w:szCs w:val="24"/>
                <w:rtl/>
              </w:rPr>
              <w:t>קנטאקי</w:t>
            </w:r>
            <w:r w:rsidRPr="00F25744">
              <w:rPr>
                <w:rFonts w:ascii="David" w:hAnsi="David" w:cs="David" w:hint="cs"/>
                <w:sz w:val="24"/>
                <w:szCs w:val="24"/>
                <w:rtl/>
              </w:rPr>
              <w:t xml:space="preserve"> (2016)</w:t>
            </w:r>
          </w:p>
        </w:tc>
      </w:tr>
      <w:tr w:rsidR="00E0162E" w:rsidRPr="00F25744" w14:paraId="4F21F0E4" w14:textId="77777777" w:rsidTr="003068A1">
        <w:trPr>
          <w:trHeight w:val="430"/>
          <w:jc w:val="center"/>
        </w:trPr>
        <w:tc>
          <w:tcPr>
            <w:tcW w:w="5103" w:type="dxa"/>
            <w:shd w:val="clear" w:color="auto" w:fill="auto"/>
            <w:vAlign w:val="center"/>
          </w:tcPr>
          <w:p w14:paraId="3092FA7D" w14:textId="77777777" w:rsidR="00840519" w:rsidRPr="00F25744" w:rsidRDefault="00E25AE7" w:rsidP="00315C4B">
            <w:pPr>
              <w:pStyle w:val="TableParagraph"/>
              <w:bidi/>
              <w:spacing w:line="276" w:lineRule="auto"/>
              <w:rPr>
                <w:rFonts w:ascii="David" w:hAnsi="David" w:cs="David"/>
                <w:sz w:val="24"/>
                <w:szCs w:val="24"/>
              </w:rPr>
            </w:pPr>
            <w:r w:rsidRPr="00F25744">
              <w:rPr>
                <w:rFonts w:ascii="David" w:hAnsi="David" w:cs="David"/>
                <w:sz w:val="24"/>
                <w:szCs w:val="24"/>
              </w:rPr>
              <w:t>9</w:t>
            </w:r>
            <w:r w:rsidRPr="00F25744">
              <w:rPr>
                <w:rFonts w:ascii="David" w:hAnsi="David" w:cs="David"/>
                <w:sz w:val="24"/>
                <w:szCs w:val="24"/>
                <w:rtl/>
              </w:rPr>
              <w:t xml:space="preserve"> שעות</w:t>
            </w:r>
          </w:p>
        </w:tc>
        <w:tc>
          <w:tcPr>
            <w:tcW w:w="3063" w:type="dxa"/>
            <w:shd w:val="clear" w:color="auto" w:fill="auto"/>
            <w:vAlign w:val="center"/>
          </w:tcPr>
          <w:p w14:paraId="11A05678" w14:textId="77777777" w:rsidR="00840519" w:rsidRPr="00F25744" w:rsidRDefault="00E25AE7" w:rsidP="00315C4B">
            <w:pPr>
              <w:pStyle w:val="TableParagraph"/>
              <w:bidi/>
              <w:spacing w:line="276" w:lineRule="auto"/>
              <w:jc w:val="left"/>
              <w:rPr>
                <w:rFonts w:ascii="David" w:hAnsi="David" w:cs="David"/>
                <w:sz w:val="24"/>
                <w:szCs w:val="24"/>
                <w:rtl/>
              </w:rPr>
            </w:pPr>
            <w:r w:rsidRPr="00F25744">
              <w:rPr>
                <w:rFonts w:ascii="David" w:hAnsi="David" w:cs="David"/>
                <w:sz w:val="24"/>
                <w:szCs w:val="24"/>
                <w:rtl/>
              </w:rPr>
              <w:t>אורגון</w:t>
            </w:r>
            <w:r w:rsidRPr="00F25744">
              <w:rPr>
                <w:rFonts w:ascii="David" w:hAnsi="David" w:cs="David" w:hint="cs"/>
                <w:sz w:val="24"/>
                <w:szCs w:val="24"/>
                <w:rtl/>
              </w:rPr>
              <w:t xml:space="preserve"> (2016)</w:t>
            </w:r>
          </w:p>
        </w:tc>
      </w:tr>
      <w:tr w:rsidR="00E0162E" w:rsidRPr="00F25744" w14:paraId="4916E74B" w14:textId="77777777" w:rsidTr="003068A1">
        <w:trPr>
          <w:trHeight w:val="280"/>
          <w:jc w:val="center"/>
        </w:trPr>
        <w:tc>
          <w:tcPr>
            <w:tcW w:w="5103" w:type="dxa"/>
            <w:shd w:val="clear" w:color="auto" w:fill="auto"/>
            <w:vAlign w:val="center"/>
          </w:tcPr>
          <w:p w14:paraId="6423369D" w14:textId="77777777" w:rsidR="00840519" w:rsidRPr="00F25744" w:rsidRDefault="00E25AE7" w:rsidP="00315C4B">
            <w:pPr>
              <w:pStyle w:val="TableParagraph"/>
              <w:bidi/>
              <w:spacing w:line="276" w:lineRule="auto"/>
              <w:rPr>
                <w:rFonts w:ascii="David" w:hAnsi="David" w:cs="David"/>
                <w:sz w:val="24"/>
                <w:szCs w:val="24"/>
              </w:rPr>
            </w:pPr>
            <w:r w:rsidRPr="00F25744">
              <w:rPr>
                <w:rFonts w:ascii="David" w:hAnsi="David" w:cs="David"/>
                <w:sz w:val="24"/>
                <w:szCs w:val="24"/>
              </w:rPr>
              <w:t>8.5</w:t>
            </w:r>
            <w:r w:rsidRPr="00F25744">
              <w:rPr>
                <w:rFonts w:ascii="David" w:hAnsi="David" w:cs="David"/>
                <w:sz w:val="24"/>
                <w:szCs w:val="24"/>
                <w:rtl/>
              </w:rPr>
              <w:t xml:space="preserve"> שעות</w:t>
            </w:r>
          </w:p>
        </w:tc>
        <w:tc>
          <w:tcPr>
            <w:tcW w:w="3063" w:type="dxa"/>
            <w:shd w:val="clear" w:color="auto" w:fill="auto"/>
            <w:vAlign w:val="center"/>
          </w:tcPr>
          <w:p w14:paraId="35F3126E" w14:textId="77777777" w:rsidR="00840519" w:rsidRPr="00F25744" w:rsidRDefault="00E25AE7" w:rsidP="00315C4B">
            <w:pPr>
              <w:pStyle w:val="TableParagraph"/>
              <w:bidi/>
              <w:spacing w:line="276" w:lineRule="auto"/>
              <w:jc w:val="left"/>
              <w:rPr>
                <w:rFonts w:ascii="David" w:hAnsi="David" w:cs="David"/>
                <w:sz w:val="24"/>
                <w:szCs w:val="24"/>
              </w:rPr>
            </w:pPr>
            <w:r w:rsidRPr="00F25744">
              <w:rPr>
                <w:rFonts w:ascii="David" w:hAnsi="David" w:cs="David"/>
                <w:sz w:val="24"/>
                <w:szCs w:val="24"/>
                <w:rtl/>
              </w:rPr>
              <w:t>פלורידה</w:t>
            </w:r>
            <w:r w:rsidRPr="00F25744">
              <w:rPr>
                <w:rFonts w:ascii="David" w:hAnsi="David" w:cs="David" w:hint="cs"/>
                <w:sz w:val="24"/>
                <w:szCs w:val="24"/>
                <w:rtl/>
              </w:rPr>
              <w:t xml:space="preserve"> (2016)</w:t>
            </w:r>
          </w:p>
        </w:tc>
      </w:tr>
      <w:tr w:rsidR="00E0162E" w:rsidRPr="00F25744" w14:paraId="7E3E16E1" w14:textId="77777777" w:rsidTr="003068A1">
        <w:trPr>
          <w:trHeight w:val="284"/>
          <w:jc w:val="center"/>
        </w:trPr>
        <w:tc>
          <w:tcPr>
            <w:tcW w:w="5103" w:type="dxa"/>
            <w:shd w:val="clear" w:color="auto" w:fill="auto"/>
            <w:vAlign w:val="center"/>
          </w:tcPr>
          <w:p w14:paraId="0EB40037" w14:textId="77777777" w:rsidR="00840519" w:rsidRPr="00F25744" w:rsidRDefault="00E25AE7" w:rsidP="00315C4B">
            <w:pPr>
              <w:pStyle w:val="TableParagraph"/>
              <w:bidi/>
              <w:spacing w:line="276" w:lineRule="auto"/>
              <w:rPr>
                <w:rFonts w:ascii="David" w:hAnsi="David" w:cs="David"/>
                <w:sz w:val="24"/>
                <w:szCs w:val="24"/>
                <w:rtl/>
              </w:rPr>
            </w:pPr>
            <w:r w:rsidRPr="00F25744">
              <w:rPr>
                <w:rFonts w:ascii="David" w:hAnsi="David" w:cs="David"/>
                <w:sz w:val="24"/>
                <w:szCs w:val="24"/>
              </w:rPr>
              <w:t>8</w:t>
            </w:r>
            <w:r w:rsidRPr="00F25744">
              <w:rPr>
                <w:rFonts w:ascii="David" w:hAnsi="David" w:cs="David"/>
                <w:sz w:val="24"/>
                <w:szCs w:val="24"/>
                <w:rtl/>
              </w:rPr>
              <w:t xml:space="preserve"> שעות</w:t>
            </w:r>
          </w:p>
        </w:tc>
        <w:tc>
          <w:tcPr>
            <w:tcW w:w="3063" w:type="dxa"/>
            <w:shd w:val="clear" w:color="auto" w:fill="auto"/>
            <w:vAlign w:val="center"/>
          </w:tcPr>
          <w:p w14:paraId="2A78FAE6" w14:textId="77777777" w:rsidR="00840519" w:rsidRPr="00F25744" w:rsidRDefault="00E25AE7" w:rsidP="00315C4B">
            <w:pPr>
              <w:pStyle w:val="TableParagraph"/>
              <w:bidi/>
              <w:spacing w:line="276" w:lineRule="auto"/>
              <w:jc w:val="left"/>
              <w:rPr>
                <w:rFonts w:ascii="David" w:hAnsi="David" w:cs="David"/>
                <w:sz w:val="24"/>
                <w:szCs w:val="24"/>
              </w:rPr>
            </w:pPr>
            <w:r w:rsidRPr="00F25744">
              <w:rPr>
                <w:rFonts w:ascii="David" w:hAnsi="David" w:cs="David"/>
                <w:sz w:val="24"/>
                <w:szCs w:val="24"/>
                <w:rtl/>
              </w:rPr>
              <w:t>אינדיאנה</w:t>
            </w:r>
            <w:r w:rsidRPr="00F25744">
              <w:rPr>
                <w:rFonts w:ascii="David" w:hAnsi="David" w:cs="David" w:hint="cs"/>
                <w:sz w:val="24"/>
                <w:szCs w:val="24"/>
                <w:rtl/>
              </w:rPr>
              <w:t xml:space="preserve"> (2016)</w:t>
            </w:r>
          </w:p>
        </w:tc>
      </w:tr>
      <w:tr w:rsidR="00E0162E" w:rsidRPr="00F25744" w14:paraId="1A846296" w14:textId="77777777" w:rsidTr="003068A1">
        <w:trPr>
          <w:trHeight w:val="274"/>
          <w:jc w:val="center"/>
        </w:trPr>
        <w:tc>
          <w:tcPr>
            <w:tcW w:w="5103" w:type="dxa"/>
            <w:tcBorders>
              <w:bottom w:val="single" w:sz="4" w:space="0" w:color="auto"/>
            </w:tcBorders>
            <w:shd w:val="clear" w:color="auto" w:fill="auto"/>
            <w:vAlign w:val="center"/>
          </w:tcPr>
          <w:p w14:paraId="2F00A0F6" w14:textId="77777777" w:rsidR="00840519" w:rsidRPr="00F25744" w:rsidRDefault="00E25AE7" w:rsidP="00315C4B">
            <w:pPr>
              <w:pStyle w:val="TableParagraph"/>
              <w:bidi/>
              <w:spacing w:line="276" w:lineRule="auto"/>
              <w:rPr>
                <w:rFonts w:ascii="David" w:hAnsi="David" w:cs="David"/>
                <w:sz w:val="24"/>
                <w:szCs w:val="24"/>
              </w:rPr>
            </w:pPr>
            <w:r w:rsidRPr="00F25744">
              <w:rPr>
                <w:rFonts w:ascii="David" w:hAnsi="David" w:cs="David"/>
                <w:sz w:val="24"/>
                <w:szCs w:val="24"/>
              </w:rPr>
              <w:t>8.4</w:t>
            </w:r>
            <w:r w:rsidRPr="00F25744">
              <w:rPr>
                <w:rFonts w:ascii="David" w:hAnsi="David" w:cs="David"/>
                <w:sz w:val="24"/>
                <w:szCs w:val="24"/>
                <w:rtl/>
              </w:rPr>
              <w:t xml:space="preserve"> שעו</w:t>
            </w:r>
            <w:r w:rsidRPr="00F25744">
              <w:rPr>
                <w:rFonts w:ascii="David" w:hAnsi="David" w:cs="David" w:hint="cs"/>
                <w:sz w:val="24"/>
                <w:szCs w:val="24"/>
                <w:rtl/>
              </w:rPr>
              <w:t>ת</w:t>
            </w:r>
          </w:p>
        </w:tc>
        <w:tc>
          <w:tcPr>
            <w:tcW w:w="3063" w:type="dxa"/>
            <w:tcBorders>
              <w:bottom w:val="single" w:sz="4" w:space="0" w:color="auto"/>
            </w:tcBorders>
            <w:shd w:val="clear" w:color="auto" w:fill="auto"/>
            <w:vAlign w:val="center"/>
          </w:tcPr>
          <w:p w14:paraId="462BD482" w14:textId="77777777" w:rsidR="00840519" w:rsidRPr="00F25744" w:rsidRDefault="00E25AE7" w:rsidP="00315C4B">
            <w:pPr>
              <w:pStyle w:val="TableParagraph"/>
              <w:bidi/>
              <w:spacing w:line="276" w:lineRule="auto"/>
              <w:jc w:val="left"/>
              <w:rPr>
                <w:rFonts w:ascii="David" w:hAnsi="David" w:cs="David"/>
                <w:sz w:val="24"/>
                <w:szCs w:val="24"/>
              </w:rPr>
            </w:pPr>
            <w:r w:rsidRPr="00F25744">
              <w:rPr>
                <w:rFonts w:ascii="David" w:hAnsi="David" w:cs="David"/>
                <w:sz w:val="24"/>
                <w:szCs w:val="24"/>
                <w:rtl/>
              </w:rPr>
              <w:t>שוויץ</w:t>
            </w:r>
            <w:r w:rsidRPr="00F25744">
              <w:rPr>
                <w:rFonts w:ascii="David" w:hAnsi="David" w:cs="David" w:hint="cs"/>
                <w:sz w:val="24"/>
                <w:szCs w:val="24"/>
                <w:rtl/>
              </w:rPr>
              <w:t xml:space="preserve"> (2011)</w:t>
            </w:r>
          </w:p>
        </w:tc>
      </w:tr>
    </w:tbl>
    <w:p w14:paraId="0EB424DD" w14:textId="77777777" w:rsidR="00BF3027" w:rsidRDefault="00BF3027" w:rsidP="00B81146">
      <w:pPr>
        <w:pStyle w:val="a3"/>
        <w:widowControl w:val="0"/>
        <w:autoSpaceDE w:val="0"/>
        <w:autoSpaceDN w:val="0"/>
        <w:bidi/>
        <w:adjustRightInd w:val="0"/>
        <w:spacing w:before="60" w:after="60" w:line="360" w:lineRule="auto"/>
        <w:ind w:left="0"/>
        <w:rPr>
          <w:rFonts w:ascii="David" w:hAnsi="David" w:cs="David"/>
          <w:sz w:val="24"/>
          <w:szCs w:val="24"/>
          <w:rtl/>
        </w:rPr>
      </w:pPr>
    </w:p>
    <w:p w14:paraId="5B1D9056" w14:textId="35EAE085" w:rsidR="00B81146" w:rsidRPr="00F25744" w:rsidRDefault="00E25AE7" w:rsidP="00BF3027">
      <w:pPr>
        <w:pStyle w:val="a3"/>
        <w:widowControl w:val="0"/>
        <w:autoSpaceDE w:val="0"/>
        <w:autoSpaceDN w:val="0"/>
        <w:bidi/>
        <w:adjustRightInd w:val="0"/>
        <w:spacing w:before="60" w:after="60" w:line="360" w:lineRule="auto"/>
        <w:ind w:left="0"/>
        <w:rPr>
          <w:rFonts w:ascii="David" w:hAnsi="David" w:cs="David"/>
          <w:sz w:val="24"/>
          <w:szCs w:val="24"/>
          <w:rtl/>
        </w:rPr>
      </w:pPr>
      <w:r w:rsidRPr="00F25744">
        <w:rPr>
          <w:rFonts w:ascii="David" w:hAnsi="David" w:cs="David" w:hint="cs"/>
          <w:sz w:val="24"/>
          <w:szCs w:val="24"/>
          <w:rtl/>
        </w:rPr>
        <w:t>חשוב לציין, כי מהמחקרים שנעשו במדינות ארצות הברית השונות (ניתן לראות את המחקרים ב</w:t>
      </w:r>
      <w:r w:rsidRPr="00F25744">
        <w:rPr>
          <w:rFonts w:ascii="David" w:hAnsi="David" w:cs="David" w:hint="cs"/>
          <w:b/>
          <w:bCs/>
          <w:sz w:val="24"/>
          <w:szCs w:val="24"/>
          <w:rtl/>
        </w:rPr>
        <w:t>נספח א'</w:t>
      </w:r>
      <w:r w:rsidRPr="00F25744">
        <w:rPr>
          <w:rFonts w:ascii="David" w:hAnsi="David" w:cs="David" w:hint="cs"/>
          <w:sz w:val="24"/>
          <w:szCs w:val="24"/>
          <w:rtl/>
        </w:rPr>
        <w:t xml:space="preserve">), עולה כי ימי העבודה המוגדרים של השופטים שם הם ימים שני עד שישי, כלומר </w:t>
      </w:r>
      <w:r w:rsidRPr="00F25744">
        <w:rPr>
          <w:rFonts w:ascii="David" w:hAnsi="David" w:cs="David"/>
          <w:sz w:val="24"/>
          <w:szCs w:val="24"/>
          <w:rtl/>
        </w:rPr>
        <w:t>–</w:t>
      </w:r>
      <w:r w:rsidRPr="00F25744">
        <w:rPr>
          <w:rFonts w:ascii="David" w:hAnsi="David" w:cs="David" w:hint="cs"/>
          <w:sz w:val="24"/>
          <w:szCs w:val="24"/>
          <w:rtl/>
        </w:rPr>
        <w:t xml:space="preserve"> חמישה ימי </w:t>
      </w:r>
      <w:r w:rsidRPr="00F25744">
        <w:rPr>
          <w:rFonts w:ascii="David" w:hAnsi="David" w:cs="David" w:hint="cs"/>
          <w:sz w:val="24"/>
          <w:szCs w:val="24"/>
          <w:rtl/>
        </w:rPr>
        <w:lastRenderedPageBreak/>
        <w:t xml:space="preserve">עבודה בשבוע. </w:t>
      </w:r>
    </w:p>
    <w:p w14:paraId="18370AB0" w14:textId="77777777" w:rsidR="00693648" w:rsidRPr="00F25744" w:rsidRDefault="00E25AE7" w:rsidP="001B0FA3">
      <w:pPr>
        <w:pStyle w:val="a3"/>
        <w:widowControl w:val="0"/>
        <w:autoSpaceDE w:val="0"/>
        <w:autoSpaceDN w:val="0"/>
        <w:bidi/>
        <w:adjustRightInd w:val="0"/>
        <w:spacing w:before="60" w:after="60" w:line="360" w:lineRule="auto"/>
        <w:ind w:left="0"/>
        <w:rPr>
          <w:rFonts w:ascii="David" w:hAnsi="David" w:cs="David"/>
          <w:sz w:val="24"/>
          <w:szCs w:val="24"/>
          <w:rtl/>
        </w:rPr>
      </w:pPr>
      <w:r w:rsidRPr="00F25744">
        <w:rPr>
          <w:rFonts w:ascii="David" w:hAnsi="David" w:cs="David" w:hint="cs"/>
          <w:sz w:val="24"/>
          <w:szCs w:val="24"/>
          <w:rtl/>
        </w:rPr>
        <w:t xml:space="preserve">כעת נציג את ההבדלים בשעות העבודה הממוצעות בין שופטים "אזרחיים" לשופטים "פליליים" בערכאות המחוזי והשלום. נסביר, כי </w:t>
      </w:r>
      <w:r w:rsidRPr="00F25744">
        <w:rPr>
          <w:rFonts w:ascii="David" w:hAnsi="David" w:cs="David"/>
          <w:sz w:val="24"/>
          <w:szCs w:val="24"/>
          <w:rtl/>
        </w:rPr>
        <w:t>חישוב</w:t>
      </w:r>
      <w:r w:rsidRPr="00F25744">
        <w:rPr>
          <w:rFonts w:ascii="David" w:hAnsi="David" w:cs="David" w:hint="cs"/>
          <w:sz w:val="24"/>
          <w:szCs w:val="24"/>
          <w:rtl/>
        </w:rPr>
        <w:t xml:space="preserve"> הזמנים</w:t>
      </w:r>
      <w:r w:rsidRPr="00F25744">
        <w:rPr>
          <w:rFonts w:ascii="David" w:hAnsi="David" w:cs="David"/>
          <w:sz w:val="24"/>
          <w:szCs w:val="24"/>
          <w:rtl/>
        </w:rPr>
        <w:t xml:space="preserve"> </w:t>
      </w:r>
      <w:r w:rsidRPr="00F25744">
        <w:rPr>
          <w:rFonts w:ascii="David" w:hAnsi="David" w:cs="David" w:hint="cs"/>
          <w:sz w:val="24"/>
          <w:szCs w:val="24"/>
          <w:rtl/>
        </w:rPr>
        <w:t xml:space="preserve">שלהלן </w:t>
      </w:r>
      <w:r w:rsidRPr="00F25744">
        <w:rPr>
          <w:rFonts w:ascii="David" w:hAnsi="David" w:cs="David"/>
          <w:sz w:val="24"/>
          <w:szCs w:val="24"/>
          <w:rtl/>
        </w:rPr>
        <w:t xml:space="preserve">כולל רק </w:t>
      </w:r>
      <w:r w:rsidRPr="00F25744">
        <w:rPr>
          <w:rFonts w:ascii="David" w:hAnsi="David" w:cs="David" w:hint="cs"/>
          <w:sz w:val="24"/>
          <w:szCs w:val="24"/>
          <w:rtl/>
        </w:rPr>
        <w:t xml:space="preserve">את הזמנים שעליהם דיווחו </w:t>
      </w:r>
      <w:r w:rsidRPr="00F25744">
        <w:rPr>
          <w:rFonts w:ascii="David" w:hAnsi="David" w:cs="David"/>
          <w:sz w:val="24"/>
          <w:szCs w:val="24"/>
          <w:rtl/>
        </w:rPr>
        <w:t xml:space="preserve">שופטים שהגדירו את עצמם כ-שופטים אזרחיים </w:t>
      </w:r>
      <w:r w:rsidRPr="00F25744">
        <w:rPr>
          <w:rFonts w:ascii="David" w:hAnsi="David" w:cs="David" w:hint="cs"/>
          <w:sz w:val="24"/>
          <w:szCs w:val="24"/>
          <w:rtl/>
        </w:rPr>
        <w:t xml:space="preserve">או כשופטים פליליים </w:t>
      </w:r>
      <w:r w:rsidRPr="00F25744">
        <w:rPr>
          <w:rFonts w:ascii="David" w:hAnsi="David" w:cs="David"/>
          <w:sz w:val="24"/>
          <w:szCs w:val="24"/>
          <w:rtl/>
        </w:rPr>
        <w:t>בלבד</w:t>
      </w:r>
      <w:r w:rsidRPr="00F25744">
        <w:rPr>
          <w:rFonts w:ascii="David" w:hAnsi="David" w:cs="David" w:hint="cs"/>
          <w:sz w:val="24"/>
          <w:szCs w:val="24"/>
          <w:rtl/>
        </w:rPr>
        <w:t>, ואינו כולל</w:t>
      </w:r>
      <w:r w:rsidRPr="00F25744">
        <w:rPr>
          <w:rFonts w:ascii="David" w:hAnsi="David" w:cs="David"/>
          <w:sz w:val="24"/>
          <w:szCs w:val="24"/>
          <w:rtl/>
        </w:rPr>
        <w:t xml:space="preserve"> את </w:t>
      </w:r>
      <w:r w:rsidRPr="00F25744">
        <w:rPr>
          <w:rFonts w:ascii="David" w:hAnsi="David" w:cs="David" w:hint="cs"/>
          <w:sz w:val="24"/>
          <w:szCs w:val="24"/>
          <w:rtl/>
        </w:rPr>
        <w:t xml:space="preserve">השופטים אשר </w:t>
      </w:r>
      <w:r w:rsidRPr="00F25744">
        <w:rPr>
          <w:rFonts w:ascii="David" w:hAnsi="David" w:cs="David"/>
          <w:sz w:val="24"/>
          <w:szCs w:val="24"/>
          <w:rtl/>
        </w:rPr>
        <w:t>הגדירו</w:t>
      </w:r>
      <w:r w:rsidRPr="00F25744">
        <w:rPr>
          <w:rFonts w:ascii="David" w:hAnsi="David" w:cs="David" w:hint="cs"/>
          <w:sz w:val="24"/>
          <w:szCs w:val="24"/>
          <w:rtl/>
        </w:rPr>
        <w:t xml:space="preserve"> את עצמם כעוסקים</w:t>
      </w:r>
      <w:r w:rsidRPr="00F25744">
        <w:rPr>
          <w:rFonts w:ascii="David" w:hAnsi="David" w:cs="David"/>
          <w:sz w:val="24"/>
          <w:szCs w:val="24"/>
          <w:rtl/>
        </w:rPr>
        <w:t xml:space="preserve"> גם</w:t>
      </w:r>
      <w:r w:rsidRPr="00F25744">
        <w:rPr>
          <w:rFonts w:ascii="David" w:hAnsi="David" w:cs="David" w:hint="cs"/>
          <w:sz w:val="24"/>
          <w:szCs w:val="24"/>
          <w:rtl/>
        </w:rPr>
        <w:t xml:space="preserve"> בפלילי</w:t>
      </w:r>
      <w:r w:rsidRPr="00F25744">
        <w:rPr>
          <w:rFonts w:ascii="David" w:hAnsi="David" w:cs="David"/>
          <w:sz w:val="24"/>
          <w:szCs w:val="24"/>
          <w:rtl/>
        </w:rPr>
        <w:t xml:space="preserve"> וגם</w:t>
      </w:r>
      <w:r w:rsidRPr="00F25744">
        <w:rPr>
          <w:rFonts w:ascii="David" w:hAnsi="David" w:cs="David" w:hint="cs"/>
          <w:sz w:val="24"/>
          <w:szCs w:val="24"/>
          <w:rtl/>
        </w:rPr>
        <w:t xml:space="preserve"> באזרחי (במחוזי </w:t>
      </w:r>
      <w:r w:rsidRPr="00F25744">
        <w:rPr>
          <w:rFonts w:ascii="David" w:hAnsi="David" w:cs="David"/>
          <w:sz w:val="24"/>
          <w:szCs w:val="24"/>
          <w:rtl/>
        </w:rPr>
        <w:t>–</w:t>
      </w:r>
      <w:r w:rsidRPr="00F25744">
        <w:rPr>
          <w:rFonts w:ascii="David" w:hAnsi="David" w:cs="David" w:hint="cs"/>
          <w:sz w:val="24"/>
          <w:szCs w:val="24"/>
          <w:rtl/>
        </w:rPr>
        <w:t xml:space="preserve"> 13% דיווחו על עצמם כ"גם וגם" ובשלום </w:t>
      </w:r>
      <w:r w:rsidRPr="00F25744">
        <w:rPr>
          <w:rFonts w:ascii="David" w:hAnsi="David" w:cs="David"/>
          <w:sz w:val="24"/>
          <w:szCs w:val="24"/>
          <w:rtl/>
        </w:rPr>
        <w:t>–</w:t>
      </w:r>
      <w:r w:rsidRPr="00F25744">
        <w:rPr>
          <w:rFonts w:ascii="David" w:hAnsi="David" w:cs="David" w:hint="cs"/>
          <w:sz w:val="24"/>
          <w:szCs w:val="24"/>
          <w:rtl/>
        </w:rPr>
        <w:t xml:space="preserve"> 4%):</w:t>
      </w:r>
    </w:p>
    <w:p w14:paraId="12A1B471" w14:textId="14C71FD0" w:rsidR="00693648" w:rsidRPr="00F25744" w:rsidRDefault="008534FC" w:rsidP="008534FC">
      <w:pPr>
        <w:pStyle w:val="af6"/>
        <w:rPr>
          <w:rtl/>
        </w:rPr>
      </w:pPr>
      <w:bookmarkStart w:id="769" w:name="_Toc76988915"/>
      <w:r w:rsidRPr="00F25744">
        <w:rPr>
          <w:rtl/>
        </w:rPr>
        <w:t xml:space="preserve">טבלה </w:t>
      </w:r>
      <w:r w:rsidRPr="00F25744">
        <w:rPr>
          <w:rtl/>
        </w:rPr>
        <w:fldChar w:fldCharType="begin"/>
      </w:r>
      <w:r w:rsidRPr="00F25744">
        <w:rPr>
          <w:rtl/>
        </w:rPr>
        <w:instrText xml:space="preserve"> </w:instrText>
      </w:r>
      <w:r w:rsidRPr="00F25744">
        <w:instrText>SEQ</w:instrText>
      </w:r>
      <w:r w:rsidRPr="00F25744">
        <w:rPr>
          <w:rtl/>
        </w:rPr>
        <w:instrText xml:space="preserve"> טבלה \* </w:instrText>
      </w:r>
      <w:r w:rsidRPr="00F25744">
        <w:instrText>ARABIC</w:instrText>
      </w:r>
      <w:r w:rsidRPr="00F25744">
        <w:rPr>
          <w:rtl/>
        </w:rPr>
        <w:instrText xml:space="preserve"> </w:instrText>
      </w:r>
      <w:r w:rsidRPr="00F25744">
        <w:rPr>
          <w:rtl/>
        </w:rPr>
        <w:fldChar w:fldCharType="separate"/>
      </w:r>
      <w:r w:rsidR="008F1BC3">
        <w:rPr>
          <w:noProof/>
          <w:rtl/>
        </w:rPr>
        <w:t>20</w:t>
      </w:r>
      <w:r w:rsidRPr="00F25744">
        <w:rPr>
          <w:rtl/>
        </w:rPr>
        <w:fldChar w:fldCharType="end"/>
      </w:r>
      <w:r w:rsidR="00324984" w:rsidRPr="00F25744">
        <w:rPr>
          <w:rFonts w:hint="cs"/>
          <w:rtl/>
        </w:rPr>
        <w:t>: שעות עבודה ממוצעות ביום רגיל לשופט אזרחי או פלילי</w:t>
      </w:r>
      <w:bookmarkEnd w:id="769"/>
    </w:p>
    <w:tbl>
      <w:tblPr>
        <w:bidiVisual/>
        <w:tblW w:w="7523" w:type="dxa"/>
        <w:tblInd w:w="680" w:type="dxa"/>
        <w:tblLook w:val="04A0" w:firstRow="1" w:lastRow="0" w:firstColumn="1" w:lastColumn="0" w:noHBand="0" w:noVBand="1"/>
      </w:tblPr>
      <w:tblGrid>
        <w:gridCol w:w="857"/>
        <w:gridCol w:w="1080"/>
        <w:gridCol w:w="1069"/>
        <w:gridCol w:w="1069"/>
        <w:gridCol w:w="1037"/>
        <w:gridCol w:w="1141"/>
        <w:gridCol w:w="1270"/>
      </w:tblGrid>
      <w:tr w:rsidR="00E0162E" w:rsidRPr="00F25744" w14:paraId="626C2070" w14:textId="77777777" w:rsidTr="003068A1">
        <w:trPr>
          <w:trHeight w:val="219"/>
        </w:trPr>
        <w:tc>
          <w:tcPr>
            <w:tcW w:w="857" w:type="dxa"/>
            <w:vMerge w:val="restart"/>
            <w:tcBorders>
              <w:top w:val="single" w:sz="4" w:space="0" w:color="auto"/>
              <w:left w:val="single" w:sz="4" w:space="0" w:color="auto"/>
              <w:bottom w:val="single" w:sz="4" w:space="0" w:color="auto"/>
              <w:right w:val="single" w:sz="4" w:space="0" w:color="auto"/>
            </w:tcBorders>
            <w:shd w:val="clear" w:color="auto" w:fill="F2F2F2"/>
            <w:vAlign w:val="bottom"/>
          </w:tcPr>
          <w:p w14:paraId="609416DC" w14:textId="77777777" w:rsidR="00693648" w:rsidRPr="00F25744" w:rsidRDefault="00E25AE7" w:rsidP="00693648">
            <w:pPr>
              <w:bidi w:val="0"/>
              <w:spacing w:after="0" w:line="240" w:lineRule="auto"/>
              <w:rPr>
                <w:rFonts w:ascii="David" w:eastAsia="Times New Roman" w:hAnsi="David" w:cs="David"/>
                <w:b/>
                <w:bCs/>
                <w:color w:val="000000"/>
                <w:sz w:val="24"/>
                <w:szCs w:val="24"/>
              </w:rPr>
            </w:pPr>
            <w:r w:rsidRPr="00F25744">
              <w:rPr>
                <w:rFonts w:ascii="David" w:eastAsia="Times New Roman" w:hAnsi="David" w:cs="David" w:hint="cs"/>
                <w:b/>
                <w:bCs/>
                <w:color w:val="000000"/>
                <w:sz w:val="24"/>
                <w:szCs w:val="24"/>
                <w:rtl/>
              </w:rPr>
              <w:t>ערכאה</w:t>
            </w:r>
          </w:p>
        </w:tc>
        <w:tc>
          <w:tcPr>
            <w:tcW w:w="3207" w:type="dxa"/>
            <w:gridSpan w:val="3"/>
            <w:tcBorders>
              <w:top w:val="single" w:sz="4" w:space="0" w:color="auto"/>
              <w:left w:val="single" w:sz="4" w:space="0" w:color="auto"/>
              <w:bottom w:val="single" w:sz="4" w:space="0" w:color="auto"/>
              <w:right w:val="single" w:sz="4" w:space="0" w:color="auto"/>
            </w:tcBorders>
            <w:shd w:val="clear" w:color="auto" w:fill="FBE4D5"/>
            <w:vAlign w:val="center"/>
          </w:tcPr>
          <w:p w14:paraId="2C3DDE86" w14:textId="77777777" w:rsidR="00693648" w:rsidRPr="00F25744" w:rsidRDefault="00E25AE7" w:rsidP="00693648">
            <w:pPr>
              <w:spacing w:after="0" w:line="240" w:lineRule="auto"/>
              <w:jc w:val="center"/>
              <w:rPr>
                <w:rFonts w:ascii="David" w:eastAsia="Times New Roman" w:hAnsi="David" w:cs="David"/>
                <w:b/>
                <w:bCs/>
                <w:color w:val="000000"/>
                <w:sz w:val="26"/>
                <w:szCs w:val="26"/>
                <w:rtl/>
              </w:rPr>
            </w:pPr>
            <w:r w:rsidRPr="00F25744">
              <w:rPr>
                <w:rFonts w:ascii="David" w:eastAsia="Times New Roman" w:hAnsi="David" w:cs="David" w:hint="cs"/>
                <w:b/>
                <w:bCs/>
                <w:color w:val="000000"/>
                <w:sz w:val="26"/>
                <w:szCs w:val="26"/>
                <w:rtl/>
              </w:rPr>
              <w:t>אזרחי</w:t>
            </w:r>
          </w:p>
        </w:tc>
        <w:tc>
          <w:tcPr>
            <w:tcW w:w="3459" w:type="dxa"/>
            <w:gridSpan w:val="3"/>
            <w:tcBorders>
              <w:top w:val="single" w:sz="4" w:space="0" w:color="auto"/>
              <w:left w:val="single" w:sz="4" w:space="0" w:color="auto"/>
              <w:bottom w:val="single" w:sz="4" w:space="0" w:color="auto"/>
              <w:right w:val="single" w:sz="4" w:space="0" w:color="auto"/>
            </w:tcBorders>
            <w:shd w:val="clear" w:color="000000" w:fill="BDD7EE"/>
            <w:vAlign w:val="center"/>
          </w:tcPr>
          <w:p w14:paraId="5C8E8408" w14:textId="77777777" w:rsidR="00693648" w:rsidRPr="00F25744" w:rsidRDefault="00E25AE7" w:rsidP="00693648">
            <w:pPr>
              <w:spacing w:after="0" w:line="240" w:lineRule="auto"/>
              <w:jc w:val="center"/>
              <w:rPr>
                <w:rFonts w:ascii="David" w:eastAsia="Times New Roman" w:hAnsi="David" w:cs="David"/>
                <w:b/>
                <w:bCs/>
                <w:color w:val="000000"/>
                <w:sz w:val="26"/>
                <w:szCs w:val="26"/>
                <w:rtl/>
              </w:rPr>
            </w:pPr>
            <w:r w:rsidRPr="00F25744">
              <w:rPr>
                <w:rFonts w:ascii="David" w:eastAsia="Times New Roman" w:hAnsi="David" w:cs="David" w:hint="cs"/>
                <w:b/>
                <w:bCs/>
                <w:color w:val="000000"/>
                <w:sz w:val="26"/>
                <w:szCs w:val="26"/>
                <w:rtl/>
              </w:rPr>
              <w:t>פלילי</w:t>
            </w:r>
          </w:p>
        </w:tc>
      </w:tr>
      <w:tr w:rsidR="00E0162E" w:rsidRPr="00F25744" w14:paraId="197F191B" w14:textId="77777777" w:rsidTr="0065668A">
        <w:trPr>
          <w:trHeight w:val="770"/>
        </w:trPr>
        <w:tc>
          <w:tcPr>
            <w:tcW w:w="857" w:type="dxa"/>
            <w:vMerge/>
            <w:tcBorders>
              <w:top w:val="single" w:sz="4" w:space="0" w:color="auto"/>
              <w:left w:val="single" w:sz="4" w:space="0" w:color="auto"/>
              <w:bottom w:val="single" w:sz="4" w:space="0" w:color="auto"/>
              <w:right w:val="single" w:sz="4" w:space="0" w:color="auto"/>
            </w:tcBorders>
            <w:shd w:val="clear" w:color="auto" w:fill="F2F2F2"/>
            <w:vAlign w:val="bottom"/>
          </w:tcPr>
          <w:p w14:paraId="69255A5A" w14:textId="77777777" w:rsidR="00693648" w:rsidRPr="00F25744" w:rsidRDefault="00693648" w:rsidP="00693648">
            <w:pPr>
              <w:bidi w:val="0"/>
              <w:spacing w:after="0" w:line="240" w:lineRule="auto"/>
              <w:rPr>
                <w:rFonts w:ascii="David" w:eastAsia="Times New Roman" w:hAnsi="David" w:cs="David"/>
                <w:b/>
                <w:bCs/>
                <w:color w:val="000000"/>
                <w:sz w:val="24"/>
                <w:szCs w:val="24"/>
              </w:rPr>
            </w:pPr>
          </w:p>
        </w:tc>
        <w:tc>
          <w:tcPr>
            <w:tcW w:w="1069" w:type="dxa"/>
            <w:tcBorders>
              <w:top w:val="single" w:sz="4" w:space="0" w:color="auto"/>
              <w:left w:val="single" w:sz="4" w:space="0" w:color="auto"/>
              <w:bottom w:val="single" w:sz="4" w:space="0" w:color="auto"/>
              <w:right w:val="single" w:sz="4" w:space="0" w:color="auto"/>
            </w:tcBorders>
            <w:shd w:val="clear" w:color="auto" w:fill="FBE4D5"/>
            <w:vAlign w:val="bottom"/>
          </w:tcPr>
          <w:p w14:paraId="59081D97" w14:textId="77777777" w:rsidR="00693648" w:rsidRPr="00F25744" w:rsidRDefault="00E25AE7" w:rsidP="00693648">
            <w:pPr>
              <w:spacing w:after="0" w:line="240" w:lineRule="auto"/>
              <w:rPr>
                <w:rFonts w:ascii="David" w:eastAsia="Times New Roman" w:hAnsi="David" w:cs="David"/>
                <w:color w:val="000000"/>
                <w:sz w:val="24"/>
                <w:szCs w:val="24"/>
              </w:rPr>
            </w:pPr>
            <w:r w:rsidRPr="00F25744">
              <w:rPr>
                <w:rFonts w:ascii="David" w:eastAsia="Times New Roman" w:hAnsi="David" w:cs="David"/>
                <w:color w:val="000000"/>
                <w:sz w:val="24"/>
                <w:szCs w:val="24"/>
                <w:rtl/>
              </w:rPr>
              <w:t>סך דקות עבודה</w:t>
            </w:r>
          </w:p>
        </w:tc>
        <w:tc>
          <w:tcPr>
            <w:tcW w:w="1069" w:type="dxa"/>
            <w:tcBorders>
              <w:top w:val="single" w:sz="4" w:space="0" w:color="auto"/>
              <w:left w:val="single" w:sz="4" w:space="0" w:color="auto"/>
              <w:bottom w:val="single" w:sz="4" w:space="0" w:color="auto"/>
              <w:right w:val="single" w:sz="4" w:space="0" w:color="auto"/>
            </w:tcBorders>
            <w:shd w:val="clear" w:color="auto" w:fill="FBE4D5"/>
            <w:vAlign w:val="bottom"/>
          </w:tcPr>
          <w:p w14:paraId="2763FD1A" w14:textId="77777777" w:rsidR="00693648" w:rsidRPr="00F25744" w:rsidRDefault="00E25AE7" w:rsidP="00693648">
            <w:pPr>
              <w:spacing w:after="0" w:line="240" w:lineRule="auto"/>
              <w:rPr>
                <w:rFonts w:ascii="David" w:eastAsia="Times New Roman" w:hAnsi="David" w:cs="David"/>
                <w:color w:val="000000"/>
                <w:sz w:val="24"/>
                <w:szCs w:val="24"/>
                <w:rtl/>
              </w:rPr>
            </w:pPr>
            <w:r w:rsidRPr="00F25744">
              <w:rPr>
                <w:rFonts w:ascii="David" w:eastAsia="Times New Roman" w:hAnsi="David" w:cs="David"/>
                <w:color w:val="000000"/>
                <w:sz w:val="24"/>
                <w:szCs w:val="24"/>
                <w:rtl/>
              </w:rPr>
              <w:t>סך דיווחים</w:t>
            </w:r>
          </w:p>
        </w:tc>
        <w:tc>
          <w:tcPr>
            <w:tcW w:w="1069" w:type="dxa"/>
            <w:tcBorders>
              <w:top w:val="single" w:sz="4" w:space="0" w:color="auto"/>
              <w:left w:val="single" w:sz="4" w:space="0" w:color="auto"/>
              <w:bottom w:val="single" w:sz="4" w:space="0" w:color="auto"/>
              <w:right w:val="single" w:sz="4" w:space="0" w:color="auto"/>
            </w:tcBorders>
            <w:shd w:val="clear" w:color="auto" w:fill="FBE4D5"/>
            <w:vAlign w:val="bottom"/>
          </w:tcPr>
          <w:p w14:paraId="41F1A0B7" w14:textId="77777777" w:rsidR="00693648" w:rsidRPr="00F25744" w:rsidRDefault="00E25AE7" w:rsidP="00693648">
            <w:pPr>
              <w:spacing w:after="0" w:line="240" w:lineRule="auto"/>
              <w:rPr>
                <w:rFonts w:ascii="David" w:eastAsia="Times New Roman" w:hAnsi="David" w:cs="David"/>
                <w:b/>
                <w:bCs/>
                <w:color w:val="000000"/>
                <w:sz w:val="24"/>
                <w:szCs w:val="24"/>
                <w:rtl/>
              </w:rPr>
            </w:pPr>
            <w:r w:rsidRPr="00F25744">
              <w:rPr>
                <w:rFonts w:ascii="David" w:eastAsia="Times New Roman" w:hAnsi="David" w:cs="David"/>
                <w:b/>
                <w:bCs/>
                <w:color w:val="000000"/>
                <w:sz w:val="24"/>
                <w:szCs w:val="24"/>
                <w:rtl/>
              </w:rPr>
              <w:t>ממוצע בשעות</w:t>
            </w:r>
          </w:p>
        </w:tc>
        <w:tc>
          <w:tcPr>
            <w:tcW w:w="1039" w:type="dxa"/>
            <w:tcBorders>
              <w:top w:val="single" w:sz="4" w:space="0" w:color="auto"/>
              <w:left w:val="single" w:sz="4" w:space="0" w:color="auto"/>
              <w:bottom w:val="single" w:sz="4" w:space="0" w:color="auto"/>
              <w:right w:val="single" w:sz="4" w:space="0" w:color="auto"/>
            </w:tcBorders>
            <w:shd w:val="clear" w:color="000000" w:fill="BDD7EE"/>
            <w:vAlign w:val="bottom"/>
          </w:tcPr>
          <w:p w14:paraId="6DAF7740" w14:textId="77777777" w:rsidR="00693648" w:rsidRPr="00F25744" w:rsidRDefault="00E25AE7" w:rsidP="00693648">
            <w:pPr>
              <w:spacing w:after="0" w:line="240" w:lineRule="auto"/>
              <w:rPr>
                <w:rFonts w:ascii="David" w:eastAsia="Times New Roman" w:hAnsi="David" w:cs="David"/>
                <w:color w:val="000000"/>
                <w:sz w:val="24"/>
                <w:szCs w:val="24"/>
              </w:rPr>
            </w:pPr>
            <w:r w:rsidRPr="00F25744">
              <w:rPr>
                <w:rFonts w:ascii="David" w:eastAsia="Times New Roman" w:hAnsi="David" w:cs="David"/>
                <w:color w:val="000000"/>
                <w:sz w:val="24"/>
                <w:szCs w:val="24"/>
                <w:rtl/>
              </w:rPr>
              <w:t>סך דקות עבודה</w:t>
            </w:r>
          </w:p>
        </w:tc>
        <w:tc>
          <w:tcPr>
            <w:tcW w:w="1144" w:type="dxa"/>
            <w:tcBorders>
              <w:top w:val="single" w:sz="4" w:space="0" w:color="auto"/>
              <w:left w:val="single" w:sz="4" w:space="0" w:color="auto"/>
              <w:bottom w:val="single" w:sz="4" w:space="0" w:color="auto"/>
              <w:right w:val="single" w:sz="4" w:space="0" w:color="auto"/>
            </w:tcBorders>
            <w:shd w:val="clear" w:color="000000" w:fill="BDD7EE"/>
            <w:vAlign w:val="bottom"/>
          </w:tcPr>
          <w:p w14:paraId="7F7ECC3B" w14:textId="77777777" w:rsidR="00693648" w:rsidRPr="00F25744" w:rsidRDefault="00E25AE7" w:rsidP="00693648">
            <w:pPr>
              <w:spacing w:after="0" w:line="240" w:lineRule="auto"/>
              <w:rPr>
                <w:rFonts w:ascii="David" w:eastAsia="Times New Roman" w:hAnsi="David" w:cs="David"/>
                <w:color w:val="000000"/>
                <w:sz w:val="24"/>
                <w:szCs w:val="24"/>
                <w:rtl/>
              </w:rPr>
            </w:pPr>
            <w:r w:rsidRPr="00F25744">
              <w:rPr>
                <w:rFonts w:ascii="David" w:eastAsia="Times New Roman" w:hAnsi="David" w:cs="David"/>
                <w:color w:val="000000"/>
                <w:sz w:val="24"/>
                <w:szCs w:val="24"/>
                <w:rtl/>
              </w:rPr>
              <w:t>סך דיווחים</w:t>
            </w:r>
          </w:p>
        </w:tc>
        <w:tc>
          <w:tcPr>
            <w:tcW w:w="1276" w:type="dxa"/>
            <w:tcBorders>
              <w:top w:val="single" w:sz="4" w:space="0" w:color="auto"/>
              <w:left w:val="single" w:sz="4" w:space="0" w:color="auto"/>
              <w:bottom w:val="single" w:sz="4" w:space="0" w:color="auto"/>
              <w:right w:val="single" w:sz="4" w:space="0" w:color="auto"/>
            </w:tcBorders>
            <w:shd w:val="clear" w:color="000000" w:fill="BDD7EE"/>
            <w:vAlign w:val="bottom"/>
          </w:tcPr>
          <w:p w14:paraId="3E6DE88C" w14:textId="77777777" w:rsidR="00693648" w:rsidRPr="00F25744" w:rsidRDefault="00E25AE7" w:rsidP="00693648">
            <w:pPr>
              <w:spacing w:after="0" w:line="240" w:lineRule="auto"/>
              <w:rPr>
                <w:rFonts w:ascii="David" w:eastAsia="Times New Roman" w:hAnsi="David" w:cs="David"/>
                <w:b/>
                <w:bCs/>
                <w:color w:val="000000"/>
                <w:sz w:val="24"/>
                <w:szCs w:val="24"/>
                <w:rtl/>
              </w:rPr>
            </w:pPr>
            <w:r w:rsidRPr="00F25744">
              <w:rPr>
                <w:rFonts w:ascii="David" w:eastAsia="Times New Roman" w:hAnsi="David" w:cs="David"/>
                <w:b/>
                <w:bCs/>
                <w:color w:val="000000"/>
                <w:sz w:val="24"/>
                <w:szCs w:val="24"/>
                <w:rtl/>
              </w:rPr>
              <w:t>ממוצע בשעות</w:t>
            </w:r>
          </w:p>
        </w:tc>
      </w:tr>
      <w:tr w:rsidR="00E0162E" w:rsidRPr="00F25744" w14:paraId="4D02C2B4" w14:textId="77777777" w:rsidTr="0065668A">
        <w:trPr>
          <w:trHeight w:val="300"/>
        </w:trPr>
        <w:tc>
          <w:tcPr>
            <w:tcW w:w="857" w:type="dxa"/>
            <w:tcBorders>
              <w:top w:val="nil"/>
              <w:left w:val="single" w:sz="4" w:space="0" w:color="auto"/>
              <w:bottom w:val="single" w:sz="4" w:space="0" w:color="auto"/>
              <w:right w:val="single" w:sz="4" w:space="0" w:color="auto"/>
            </w:tcBorders>
            <w:shd w:val="clear" w:color="auto" w:fill="F2F2F2"/>
            <w:vAlign w:val="bottom"/>
            <w:hideMark/>
          </w:tcPr>
          <w:p w14:paraId="3BF2D6E8" w14:textId="77777777" w:rsidR="00693648" w:rsidRPr="00F25744" w:rsidRDefault="00E25AE7" w:rsidP="00693648">
            <w:pPr>
              <w:spacing w:after="0" w:line="240" w:lineRule="auto"/>
              <w:rPr>
                <w:rFonts w:ascii="David" w:eastAsia="Times New Roman" w:hAnsi="David" w:cs="David"/>
                <w:b/>
                <w:bCs/>
                <w:color w:val="000000"/>
                <w:sz w:val="24"/>
                <w:szCs w:val="24"/>
                <w:rtl/>
              </w:rPr>
            </w:pPr>
            <w:r w:rsidRPr="00F25744">
              <w:rPr>
                <w:rFonts w:ascii="David" w:eastAsia="Times New Roman" w:hAnsi="David" w:cs="David"/>
                <w:b/>
                <w:bCs/>
                <w:color w:val="000000"/>
                <w:sz w:val="24"/>
                <w:szCs w:val="24"/>
                <w:rtl/>
              </w:rPr>
              <w:t>מחוזי</w:t>
            </w:r>
          </w:p>
        </w:tc>
        <w:tc>
          <w:tcPr>
            <w:tcW w:w="1069" w:type="dxa"/>
            <w:tcBorders>
              <w:top w:val="nil"/>
              <w:left w:val="single" w:sz="4" w:space="0" w:color="auto"/>
              <w:bottom w:val="single" w:sz="4" w:space="0" w:color="auto"/>
              <w:right w:val="single" w:sz="4" w:space="0" w:color="auto"/>
            </w:tcBorders>
            <w:shd w:val="clear" w:color="auto" w:fill="FBE4D5"/>
            <w:noWrap/>
            <w:vAlign w:val="bottom"/>
            <w:hideMark/>
          </w:tcPr>
          <w:p w14:paraId="6E2B61AA" w14:textId="77777777" w:rsidR="00693648" w:rsidRPr="00F25744" w:rsidRDefault="00E25AE7" w:rsidP="00693648">
            <w:pPr>
              <w:bidi w:val="0"/>
              <w:spacing w:after="0" w:line="240" w:lineRule="auto"/>
              <w:jc w:val="right"/>
              <w:rPr>
                <w:rFonts w:ascii="David" w:eastAsia="Times New Roman" w:hAnsi="David" w:cs="David"/>
                <w:color w:val="000000"/>
                <w:sz w:val="24"/>
                <w:szCs w:val="24"/>
                <w:rtl/>
              </w:rPr>
            </w:pPr>
            <w:r w:rsidRPr="00F25744">
              <w:rPr>
                <w:rFonts w:ascii="David" w:eastAsia="Times New Roman" w:hAnsi="David" w:cs="David"/>
                <w:color w:val="000000"/>
                <w:sz w:val="24"/>
                <w:szCs w:val="24"/>
              </w:rPr>
              <w:t>1</w:t>
            </w:r>
            <w:r w:rsidR="00DC2544" w:rsidRPr="00F25744">
              <w:rPr>
                <w:rFonts w:ascii="David" w:eastAsia="Times New Roman" w:hAnsi="David" w:cs="David" w:hint="cs"/>
                <w:color w:val="000000"/>
                <w:sz w:val="24"/>
                <w:szCs w:val="24"/>
                <w:rtl/>
              </w:rPr>
              <w:t>,</w:t>
            </w:r>
            <w:r w:rsidRPr="00F25744">
              <w:rPr>
                <w:rFonts w:ascii="David" w:eastAsia="Times New Roman" w:hAnsi="David" w:cs="David"/>
                <w:color w:val="000000"/>
                <w:sz w:val="24"/>
                <w:szCs w:val="24"/>
              </w:rPr>
              <w:t>210</w:t>
            </w:r>
            <w:r w:rsidR="00DC2544" w:rsidRPr="00F25744">
              <w:rPr>
                <w:rFonts w:ascii="David" w:eastAsia="Times New Roman" w:hAnsi="David" w:cs="David" w:hint="cs"/>
                <w:color w:val="000000"/>
                <w:sz w:val="24"/>
                <w:szCs w:val="24"/>
                <w:rtl/>
              </w:rPr>
              <w:t>,</w:t>
            </w:r>
            <w:r w:rsidRPr="00F25744">
              <w:rPr>
                <w:rFonts w:ascii="David" w:eastAsia="Times New Roman" w:hAnsi="David" w:cs="David"/>
                <w:color w:val="000000"/>
                <w:sz w:val="24"/>
                <w:szCs w:val="24"/>
              </w:rPr>
              <w:t>142</w:t>
            </w:r>
          </w:p>
        </w:tc>
        <w:tc>
          <w:tcPr>
            <w:tcW w:w="1069" w:type="dxa"/>
            <w:tcBorders>
              <w:top w:val="nil"/>
              <w:left w:val="single" w:sz="4" w:space="0" w:color="auto"/>
              <w:bottom w:val="single" w:sz="4" w:space="0" w:color="auto"/>
              <w:right w:val="single" w:sz="4" w:space="0" w:color="auto"/>
            </w:tcBorders>
            <w:shd w:val="clear" w:color="auto" w:fill="FBE4D5"/>
            <w:noWrap/>
            <w:vAlign w:val="bottom"/>
            <w:hideMark/>
          </w:tcPr>
          <w:p w14:paraId="114E995E" w14:textId="77777777" w:rsidR="00693648" w:rsidRPr="00F25744" w:rsidRDefault="00E25AE7" w:rsidP="00693648">
            <w:pPr>
              <w:bidi w:val="0"/>
              <w:spacing w:after="0" w:line="240" w:lineRule="auto"/>
              <w:jc w:val="right"/>
              <w:rPr>
                <w:rFonts w:ascii="David" w:eastAsia="Times New Roman" w:hAnsi="David" w:cs="David"/>
                <w:color w:val="000000"/>
                <w:sz w:val="24"/>
                <w:szCs w:val="24"/>
              </w:rPr>
            </w:pPr>
            <w:r w:rsidRPr="00F25744">
              <w:rPr>
                <w:rFonts w:ascii="David" w:eastAsia="Times New Roman" w:hAnsi="David" w:cs="David"/>
                <w:color w:val="000000"/>
                <w:sz w:val="24"/>
                <w:szCs w:val="24"/>
              </w:rPr>
              <w:t>2</w:t>
            </w:r>
            <w:r w:rsidR="00DC2544" w:rsidRPr="00F25744">
              <w:rPr>
                <w:rFonts w:ascii="David" w:eastAsia="Times New Roman" w:hAnsi="David" w:cs="David" w:hint="cs"/>
                <w:color w:val="000000"/>
                <w:sz w:val="24"/>
                <w:szCs w:val="24"/>
                <w:rtl/>
              </w:rPr>
              <w:t>,</w:t>
            </w:r>
            <w:r w:rsidRPr="00F25744">
              <w:rPr>
                <w:rFonts w:ascii="David" w:eastAsia="Times New Roman" w:hAnsi="David" w:cs="David"/>
                <w:color w:val="000000"/>
                <w:sz w:val="24"/>
                <w:szCs w:val="24"/>
              </w:rPr>
              <w:t>129</w:t>
            </w:r>
          </w:p>
        </w:tc>
        <w:tc>
          <w:tcPr>
            <w:tcW w:w="1069" w:type="dxa"/>
            <w:tcBorders>
              <w:top w:val="nil"/>
              <w:left w:val="single" w:sz="4" w:space="0" w:color="auto"/>
              <w:bottom w:val="single" w:sz="4" w:space="0" w:color="auto"/>
              <w:right w:val="single" w:sz="4" w:space="0" w:color="auto"/>
            </w:tcBorders>
            <w:shd w:val="clear" w:color="auto" w:fill="FBE4D5"/>
            <w:noWrap/>
            <w:vAlign w:val="bottom"/>
            <w:hideMark/>
          </w:tcPr>
          <w:p w14:paraId="0F5E6020" w14:textId="77777777" w:rsidR="00693648" w:rsidRPr="00F25744" w:rsidRDefault="00E25AE7" w:rsidP="00693648">
            <w:pPr>
              <w:bidi w:val="0"/>
              <w:spacing w:after="0" w:line="240" w:lineRule="auto"/>
              <w:jc w:val="right"/>
              <w:rPr>
                <w:rFonts w:ascii="David" w:eastAsia="Times New Roman" w:hAnsi="David" w:cs="David"/>
                <w:b/>
                <w:bCs/>
                <w:color w:val="000000"/>
                <w:sz w:val="24"/>
                <w:szCs w:val="24"/>
              </w:rPr>
            </w:pPr>
            <w:r w:rsidRPr="00F25744">
              <w:rPr>
                <w:rFonts w:ascii="David" w:eastAsia="Times New Roman" w:hAnsi="David" w:cs="David"/>
                <w:b/>
                <w:bCs/>
                <w:color w:val="000000"/>
                <w:sz w:val="24"/>
                <w:szCs w:val="24"/>
              </w:rPr>
              <w:t>9.47</w:t>
            </w:r>
          </w:p>
        </w:tc>
        <w:tc>
          <w:tcPr>
            <w:tcW w:w="1039" w:type="dxa"/>
            <w:tcBorders>
              <w:top w:val="nil"/>
              <w:left w:val="single" w:sz="4" w:space="0" w:color="auto"/>
              <w:bottom w:val="single" w:sz="4" w:space="0" w:color="auto"/>
              <w:right w:val="single" w:sz="4" w:space="0" w:color="auto"/>
            </w:tcBorders>
            <w:shd w:val="clear" w:color="000000" w:fill="BDD7EE"/>
            <w:vAlign w:val="bottom"/>
          </w:tcPr>
          <w:p w14:paraId="329A6F36" w14:textId="77777777" w:rsidR="00693648" w:rsidRPr="00F25744" w:rsidRDefault="00E25AE7" w:rsidP="00693648">
            <w:pPr>
              <w:bidi w:val="0"/>
              <w:spacing w:after="0" w:line="240" w:lineRule="auto"/>
              <w:jc w:val="right"/>
              <w:rPr>
                <w:rFonts w:ascii="David" w:eastAsia="Times New Roman" w:hAnsi="David" w:cs="David"/>
                <w:color w:val="000000"/>
                <w:sz w:val="24"/>
                <w:szCs w:val="24"/>
                <w:rtl/>
              </w:rPr>
            </w:pPr>
            <w:r w:rsidRPr="00F25744">
              <w:rPr>
                <w:rFonts w:ascii="David" w:eastAsia="Times New Roman" w:hAnsi="David" w:cs="David"/>
                <w:color w:val="000000"/>
                <w:sz w:val="24"/>
                <w:szCs w:val="24"/>
              </w:rPr>
              <w:t>473</w:t>
            </w:r>
            <w:r w:rsidR="00DC2544" w:rsidRPr="00F25744">
              <w:rPr>
                <w:rFonts w:ascii="David" w:eastAsia="Times New Roman" w:hAnsi="David" w:cs="David" w:hint="cs"/>
                <w:color w:val="000000"/>
                <w:sz w:val="24"/>
                <w:szCs w:val="24"/>
                <w:rtl/>
              </w:rPr>
              <w:t>,</w:t>
            </w:r>
            <w:r w:rsidRPr="00F25744">
              <w:rPr>
                <w:rFonts w:ascii="David" w:eastAsia="Times New Roman" w:hAnsi="David" w:cs="David"/>
                <w:color w:val="000000"/>
                <w:sz w:val="24"/>
                <w:szCs w:val="24"/>
              </w:rPr>
              <w:t>517</w:t>
            </w:r>
          </w:p>
        </w:tc>
        <w:tc>
          <w:tcPr>
            <w:tcW w:w="1144" w:type="dxa"/>
            <w:tcBorders>
              <w:top w:val="nil"/>
              <w:left w:val="single" w:sz="4" w:space="0" w:color="auto"/>
              <w:bottom w:val="single" w:sz="4" w:space="0" w:color="auto"/>
              <w:right w:val="single" w:sz="4" w:space="0" w:color="auto"/>
            </w:tcBorders>
            <w:shd w:val="clear" w:color="000000" w:fill="BDD7EE"/>
            <w:vAlign w:val="bottom"/>
          </w:tcPr>
          <w:p w14:paraId="69A93E4F" w14:textId="77777777" w:rsidR="00693648" w:rsidRPr="00F25744" w:rsidRDefault="00E25AE7" w:rsidP="00693648">
            <w:pPr>
              <w:bidi w:val="0"/>
              <w:spacing w:after="0" w:line="240" w:lineRule="auto"/>
              <w:jc w:val="right"/>
              <w:rPr>
                <w:rFonts w:ascii="David" w:eastAsia="Times New Roman" w:hAnsi="David" w:cs="David"/>
                <w:color w:val="000000"/>
                <w:sz w:val="24"/>
                <w:szCs w:val="24"/>
              </w:rPr>
            </w:pPr>
            <w:r w:rsidRPr="00F25744">
              <w:rPr>
                <w:rFonts w:ascii="David" w:eastAsia="Times New Roman" w:hAnsi="David" w:cs="David"/>
                <w:color w:val="000000"/>
                <w:sz w:val="24"/>
                <w:szCs w:val="24"/>
              </w:rPr>
              <w:t>935</w:t>
            </w:r>
          </w:p>
        </w:tc>
        <w:tc>
          <w:tcPr>
            <w:tcW w:w="1276" w:type="dxa"/>
            <w:tcBorders>
              <w:top w:val="nil"/>
              <w:left w:val="single" w:sz="4" w:space="0" w:color="auto"/>
              <w:bottom w:val="single" w:sz="4" w:space="0" w:color="auto"/>
              <w:right w:val="single" w:sz="4" w:space="0" w:color="auto"/>
            </w:tcBorders>
            <w:shd w:val="clear" w:color="000000" w:fill="BDD7EE"/>
            <w:vAlign w:val="bottom"/>
          </w:tcPr>
          <w:p w14:paraId="1CC858C8" w14:textId="77777777" w:rsidR="00693648" w:rsidRPr="00F25744" w:rsidRDefault="00E25AE7" w:rsidP="00693648">
            <w:pPr>
              <w:bidi w:val="0"/>
              <w:spacing w:after="0" w:line="240" w:lineRule="auto"/>
              <w:jc w:val="right"/>
              <w:rPr>
                <w:rFonts w:ascii="David" w:eastAsia="Times New Roman" w:hAnsi="David" w:cs="David"/>
                <w:b/>
                <w:bCs/>
                <w:color w:val="000000"/>
                <w:sz w:val="24"/>
                <w:szCs w:val="24"/>
              </w:rPr>
            </w:pPr>
            <w:r w:rsidRPr="00F25744">
              <w:rPr>
                <w:rFonts w:ascii="David" w:eastAsia="Times New Roman" w:hAnsi="David" w:cs="David"/>
                <w:b/>
                <w:bCs/>
                <w:color w:val="000000"/>
                <w:sz w:val="24"/>
                <w:szCs w:val="24"/>
              </w:rPr>
              <w:t>8.44</w:t>
            </w:r>
          </w:p>
        </w:tc>
      </w:tr>
      <w:tr w:rsidR="00E0162E" w:rsidRPr="00F25744" w14:paraId="61772E3A" w14:textId="77777777" w:rsidTr="0065668A">
        <w:trPr>
          <w:trHeight w:val="300"/>
        </w:trPr>
        <w:tc>
          <w:tcPr>
            <w:tcW w:w="857" w:type="dxa"/>
            <w:tcBorders>
              <w:top w:val="nil"/>
              <w:left w:val="single" w:sz="4" w:space="0" w:color="auto"/>
              <w:bottom w:val="single" w:sz="4" w:space="0" w:color="auto"/>
              <w:right w:val="single" w:sz="4" w:space="0" w:color="auto"/>
            </w:tcBorders>
            <w:shd w:val="clear" w:color="auto" w:fill="F2F2F2"/>
            <w:vAlign w:val="bottom"/>
            <w:hideMark/>
          </w:tcPr>
          <w:p w14:paraId="7DF44941" w14:textId="77777777" w:rsidR="00693648" w:rsidRPr="00F25744" w:rsidRDefault="00E25AE7" w:rsidP="00693648">
            <w:pPr>
              <w:spacing w:after="0" w:line="240" w:lineRule="auto"/>
              <w:rPr>
                <w:rFonts w:ascii="David" w:eastAsia="Times New Roman" w:hAnsi="David" w:cs="David"/>
                <w:b/>
                <w:bCs/>
                <w:color w:val="000000"/>
                <w:sz w:val="24"/>
                <w:szCs w:val="24"/>
              </w:rPr>
            </w:pPr>
            <w:r w:rsidRPr="00F25744">
              <w:rPr>
                <w:rFonts w:ascii="David" w:eastAsia="Times New Roman" w:hAnsi="David" w:cs="David"/>
                <w:b/>
                <w:bCs/>
                <w:color w:val="000000"/>
                <w:sz w:val="24"/>
                <w:szCs w:val="24"/>
                <w:rtl/>
              </w:rPr>
              <w:t>שלום</w:t>
            </w:r>
          </w:p>
        </w:tc>
        <w:tc>
          <w:tcPr>
            <w:tcW w:w="1069" w:type="dxa"/>
            <w:tcBorders>
              <w:top w:val="nil"/>
              <w:left w:val="single" w:sz="4" w:space="0" w:color="auto"/>
              <w:bottom w:val="single" w:sz="4" w:space="0" w:color="auto"/>
              <w:right w:val="single" w:sz="4" w:space="0" w:color="auto"/>
            </w:tcBorders>
            <w:shd w:val="clear" w:color="auto" w:fill="FBE4D5"/>
            <w:noWrap/>
            <w:vAlign w:val="bottom"/>
            <w:hideMark/>
          </w:tcPr>
          <w:p w14:paraId="1FAB48F6" w14:textId="77777777" w:rsidR="00693648" w:rsidRPr="00F25744" w:rsidRDefault="00E25AE7" w:rsidP="00693648">
            <w:pPr>
              <w:bidi w:val="0"/>
              <w:spacing w:after="0" w:line="240" w:lineRule="auto"/>
              <w:jc w:val="right"/>
              <w:rPr>
                <w:rFonts w:ascii="David" w:eastAsia="Times New Roman" w:hAnsi="David" w:cs="David"/>
                <w:color w:val="000000"/>
                <w:sz w:val="24"/>
                <w:szCs w:val="24"/>
                <w:rtl/>
              </w:rPr>
            </w:pPr>
            <w:r w:rsidRPr="00F25744">
              <w:rPr>
                <w:rFonts w:ascii="David" w:eastAsia="Times New Roman" w:hAnsi="David" w:cs="David"/>
                <w:color w:val="000000"/>
                <w:sz w:val="24"/>
                <w:szCs w:val="24"/>
              </w:rPr>
              <w:t>2</w:t>
            </w:r>
            <w:r w:rsidR="00DC2544" w:rsidRPr="00F25744">
              <w:rPr>
                <w:rFonts w:ascii="David" w:eastAsia="Times New Roman" w:hAnsi="David" w:cs="David" w:hint="cs"/>
                <w:color w:val="000000"/>
                <w:sz w:val="24"/>
                <w:szCs w:val="24"/>
                <w:rtl/>
              </w:rPr>
              <w:t>,</w:t>
            </w:r>
            <w:r w:rsidRPr="00F25744">
              <w:rPr>
                <w:rFonts w:ascii="David" w:eastAsia="Times New Roman" w:hAnsi="David" w:cs="David"/>
                <w:color w:val="000000"/>
                <w:sz w:val="24"/>
                <w:szCs w:val="24"/>
              </w:rPr>
              <w:t>332</w:t>
            </w:r>
            <w:r w:rsidR="00DC2544" w:rsidRPr="00F25744">
              <w:rPr>
                <w:rFonts w:ascii="David" w:eastAsia="Times New Roman" w:hAnsi="David" w:cs="David" w:hint="cs"/>
                <w:color w:val="000000"/>
                <w:sz w:val="24"/>
                <w:szCs w:val="24"/>
                <w:rtl/>
              </w:rPr>
              <w:t>,</w:t>
            </w:r>
            <w:r w:rsidRPr="00F25744">
              <w:rPr>
                <w:rFonts w:ascii="David" w:eastAsia="Times New Roman" w:hAnsi="David" w:cs="David"/>
                <w:color w:val="000000"/>
                <w:sz w:val="24"/>
                <w:szCs w:val="24"/>
              </w:rPr>
              <w:t>354</w:t>
            </w:r>
          </w:p>
        </w:tc>
        <w:tc>
          <w:tcPr>
            <w:tcW w:w="1069" w:type="dxa"/>
            <w:tcBorders>
              <w:top w:val="nil"/>
              <w:left w:val="single" w:sz="4" w:space="0" w:color="auto"/>
              <w:bottom w:val="single" w:sz="4" w:space="0" w:color="auto"/>
              <w:right w:val="single" w:sz="4" w:space="0" w:color="auto"/>
            </w:tcBorders>
            <w:shd w:val="clear" w:color="auto" w:fill="FBE4D5"/>
            <w:noWrap/>
            <w:vAlign w:val="bottom"/>
            <w:hideMark/>
          </w:tcPr>
          <w:p w14:paraId="091AD312" w14:textId="77777777" w:rsidR="00693648" w:rsidRPr="00F25744" w:rsidRDefault="00E25AE7" w:rsidP="00693648">
            <w:pPr>
              <w:bidi w:val="0"/>
              <w:spacing w:after="0" w:line="240" w:lineRule="auto"/>
              <w:jc w:val="right"/>
              <w:rPr>
                <w:rFonts w:ascii="David" w:eastAsia="Times New Roman" w:hAnsi="David" w:cs="David"/>
                <w:color w:val="000000"/>
                <w:sz w:val="24"/>
                <w:szCs w:val="24"/>
              </w:rPr>
            </w:pPr>
            <w:r w:rsidRPr="00F25744">
              <w:rPr>
                <w:rFonts w:ascii="David" w:eastAsia="Times New Roman" w:hAnsi="David" w:cs="David"/>
                <w:color w:val="000000"/>
                <w:sz w:val="24"/>
                <w:szCs w:val="24"/>
              </w:rPr>
              <w:t>4</w:t>
            </w:r>
            <w:r w:rsidR="00DC2544" w:rsidRPr="00F25744">
              <w:rPr>
                <w:rFonts w:ascii="David" w:eastAsia="Times New Roman" w:hAnsi="David" w:cs="David" w:hint="cs"/>
                <w:color w:val="000000"/>
                <w:sz w:val="24"/>
                <w:szCs w:val="24"/>
                <w:rtl/>
              </w:rPr>
              <w:t>,</w:t>
            </w:r>
            <w:r w:rsidRPr="00F25744">
              <w:rPr>
                <w:rFonts w:ascii="David" w:eastAsia="Times New Roman" w:hAnsi="David" w:cs="David"/>
                <w:color w:val="000000"/>
                <w:sz w:val="24"/>
                <w:szCs w:val="24"/>
              </w:rPr>
              <w:t>462</w:t>
            </w:r>
          </w:p>
        </w:tc>
        <w:tc>
          <w:tcPr>
            <w:tcW w:w="1069" w:type="dxa"/>
            <w:tcBorders>
              <w:top w:val="nil"/>
              <w:left w:val="single" w:sz="4" w:space="0" w:color="auto"/>
              <w:bottom w:val="single" w:sz="4" w:space="0" w:color="auto"/>
              <w:right w:val="single" w:sz="4" w:space="0" w:color="auto"/>
            </w:tcBorders>
            <w:shd w:val="clear" w:color="auto" w:fill="FBE4D5"/>
            <w:noWrap/>
            <w:vAlign w:val="bottom"/>
            <w:hideMark/>
          </w:tcPr>
          <w:p w14:paraId="65201AE0" w14:textId="77777777" w:rsidR="00693648" w:rsidRPr="00F25744" w:rsidRDefault="00E25AE7" w:rsidP="00693648">
            <w:pPr>
              <w:bidi w:val="0"/>
              <w:spacing w:after="0" w:line="240" w:lineRule="auto"/>
              <w:jc w:val="right"/>
              <w:rPr>
                <w:rFonts w:ascii="David" w:eastAsia="Times New Roman" w:hAnsi="David" w:cs="David"/>
                <w:b/>
                <w:bCs/>
                <w:color w:val="000000"/>
                <w:sz w:val="24"/>
                <w:szCs w:val="24"/>
              </w:rPr>
            </w:pPr>
            <w:r w:rsidRPr="00F25744">
              <w:rPr>
                <w:rFonts w:ascii="David" w:eastAsia="Times New Roman" w:hAnsi="David" w:cs="David"/>
                <w:b/>
                <w:bCs/>
                <w:color w:val="000000"/>
                <w:sz w:val="24"/>
                <w:szCs w:val="24"/>
              </w:rPr>
              <w:t>8.71</w:t>
            </w:r>
          </w:p>
        </w:tc>
        <w:tc>
          <w:tcPr>
            <w:tcW w:w="1039" w:type="dxa"/>
            <w:tcBorders>
              <w:top w:val="nil"/>
              <w:left w:val="single" w:sz="4" w:space="0" w:color="auto"/>
              <w:bottom w:val="single" w:sz="4" w:space="0" w:color="auto"/>
              <w:right w:val="single" w:sz="4" w:space="0" w:color="auto"/>
            </w:tcBorders>
            <w:shd w:val="clear" w:color="000000" w:fill="BDD7EE"/>
            <w:vAlign w:val="bottom"/>
          </w:tcPr>
          <w:p w14:paraId="1BB3EC34" w14:textId="77777777" w:rsidR="00693648" w:rsidRPr="00F25744" w:rsidRDefault="00E25AE7" w:rsidP="00693648">
            <w:pPr>
              <w:bidi w:val="0"/>
              <w:spacing w:after="0" w:line="240" w:lineRule="auto"/>
              <w:jc w:val="right"/>
              <w:rPr>
                <w:rFonts w:ascii="David" w:eastAsia="Times New Roman" w:hAnsi="David" w:cs="David"/>
                <w:color w:val="000000"/>
                <w:sz w:val="24"/>
                <w:szCs w:val="24"/>
                <w:rtl/>
              </w:rPr>
            </w:pPr>
            <w:r w:rsidRPr="00F25744">
              <w:rPr>
                <w:rFonts w:ascii="David" w:eastAsia="Times New Roman" w:hAnsi="David" w:cs="David"/>
                <w:color w:val="000000"/>
                <w:sz w:val="24"/>
                <w:szCs w:val="24"/>
              </w:rPr>
              <w:t>917</w:t>
            </w:r>
            <w:r w:rsidR="00DC2544" w:rsidRPr="00F25744">
              <w:rPr>
                <w:rFonts w:ascii="David" w:eastAsia="Times New Roman" w:hAnsi="David" w:cs="David" w:hint="cs"/>
                <w:color w:val="000000"/>
                <w:sz w:val="24"/>
                <w:szCs w:val="24"/>
                <w:rtl/>
              </w:rPr>
              <w:t>,</w:t>
            </w:r>
            <w:r w:rsidRPr="00F25744">
              <w:rPr>
                <w:rFonts w:ascii="David" w:eastAsia="Times New Roman" w:hAnsi="David" w:cs="David"/>
                <w:color w:val="000000"/>
                <w:sz w:val="24"/>
                <w:szCs w:val="24"/>
              </w:rPr>
              <w:t>343</w:t>
            </w:r>
          </w:p>
        </w:tc>
        <w:tc>
          <w:tcPr>
            <w:tcW w:w="1144" w:type="dxa"/>
            <w:tcBorders>
              <w:top w:val="nil"/>
              <w:left w:val="single" w:sz="4" w:space="0" w:color="auto"/>
              <w:bottom w:val="single" w:sz="4" w:space="0" w:color="auto"/>
              <w:right w:val="single" w:sz="4" w:space="0" w:color="auto"/>
            </w:tcBorders>
            <w:shd w:val="clear" w:color="000000" w:fill="BDD7EE"/>
            <w:vAlign w:val="bottom"/>
          </w:tcPr>
          <w:p w14:paraId="60793EC9" w14:textId="77777777" w:rsidR="00693648" w:rsidRPr="00F25744" w:rsidRDefault="00E25AE7" w:rsidP="00693648">
            <w:pPr>
              <w:bidi w:val="0"/>
              <w:spacing w:after="0" w:line="240" w:lineRule="auto"/>
              <w:jc w:val="right"/>
              <w:rPr>
                <w:rFonts w:ascii="David" w:eastAsia="Times New Roman" w:hAnsi="David" w:cs="David"/>
                <w:color w:val="000000"/>
                <w:sz w:val="24"/>
                <w:szCs w:val="24"/>
              </w:rPr>
            </w:pPr>
            <w:r w:rsidRPr="00F25744">
              <w:rPr>
                <w:rFonts w:ascii="David" w:eastAsia="Times New Roman" w:hAnsi="David" w:cs="David"/>
                <w:color w:val="000000"/>
                <w:sz w:val="24"/>
                <w:szCs w:val="24"/>
              </w:rPr>
              <w:t>1</w:t>
            </w:r>
            <w:r w:rsidR="00DC2544" w:rsidRPr="00F25744">
              <w:rPr>
                <w:rFonts w:ascii="David" w:eastAsia="Times New Roman" w:hAnsi="David" w:cs="David" w:hint="cs"/>
                <w:color w:val="000000"/>
                <w:sz w:val="24"/>
                <w:szCs w:val="24"/>
                <w:rtl/>
              </w:rPr>
              <w:t>,</w:t>
            </w:r>
            <w:r w:rsidRPr="00F25744">
              <w:rPr>
                <w:rFonts w:ascii="David" w:eastAsia="Times New Roman" w:hAnsi="David" w:cs="David"/>
                <w:color w:val="000000"/>
                <w:sz w:val="24"/>
                <w:szCs w:val="24"/>
              </w:rPr>
              <w:t>791</w:t>
            </w:r>
          </w:p>
        </w:tc>
        <w:tc>
          <w:tcPr>
            <w:tcW w:w="1276" w:type="dxa"/>
            <w:tcBorders>
              <w:top w:val="nil"/>
              <w:left w:val="single" w:sz="4" w:space="0" w:color="auto"/>
              <w:bottom w:val="single" w:sz="4" w:space="0" w:color="auto"/>
              <w:right w:val="single" w:sz="4" w:space="0" w:color="auto"/>
            </w:tcBorders>
            <w:shd w:val="clear" w:color="000000" w:fill="BDD7EE"/>
            <w:vAlign w:val="bottom"/>
          </w:tcPr>
          <w:p w14:paraId="266A9231" w14:textId="77777777" w:rsidR="00693648" w:rsidRPr="00F25744" w:rsidRDefault="00E25AE7" w:rsidP="00693648">
            <w:pPr>
              <w:bidi w:val="0"/>
              <w:spacing w:after="0" w:line="240" w:lineRule="auto"/>
              <w:jc w:val="right"/>
              <w:rPr>
                <w:rFonts w:ascii="David" w:eastAsia="Times New Roman" w:hAnsi="David" w:cs="David"/>
                <w:b/>
                <w:bCs/>
                <w:color w:val="000000"/>
                <w:sz w:val="24"/>
                <w:szCs w:val="24"/>
              </w:rPr>
            </w:pPr>
            <w:r w:rsidRPr="00F25744">
              <w:rPr>
                <w:rFonts w:ascii="David" w:eastAsia="Times New Roman" w:hAnsi="David" w:cs="David"/>
                <w:b/>
                <w:bCs/>
                <w:color w:val="000000"/>
                <w:sz w:val="24"/>
                <w:szCs w:val="24"/>
              </w:rPr>
              <w:t>8.54</w:t>
            </w:r>
          </w:p>
        </w:tc>
      </w:tr>
    </w:tbl>
    <w:p w14:paraId="34354B66" w14:textId="77777777" w:rsidR="00B81146" w:rsidRPr="00F25744" w:rsidRDefault="00B81146" w:rsidP="00DC2544">
      <w:pPr>
        <w:pStyle w:val="a3"/>
        <w:widowControl w:val="0"/>
        <w:autoSpaceDE w:val="0"/>
        <w:autoSpaceDN w:val="0"/>
        <w:bidi/>
        <w:adjustRightInd w:val="0"/>
        <w:spacing w:before="60" w:after="60" w:line="240" w:lineRule="auto"/>
        <w:ind w:left="-58"/>
        <w:rPr>
          <w:rFonts w:ascii="David" w:hAnsi="David" w:cs="David"/>
          <w:sz w:val="24"/>
          <w:szCs w:val="24"/>
          <w:u w:val="single"/>
          <w:rtl/>
        </w:rPr>
      </w:pPr>
    </w:p>
    <w:p w14:paraId="7B9A6A35" w14:textId="77777777" w:rsidR="00C07E6C" w:rsidRPr="00F25744" w:rsidRDefault="00E25AE7" w:rsidP="00B81146">
      <w:pPr>
        <w:pStyle w:val="a3"/>
        <w:widowControl w:val="0"/>
        <w:autoSpaceDE w:val="0"/>
        <w:autoSpaceDN w:val="0"/>
        <w:bidi/>
        <w:adjustRightInd w:val="0"/>
        <w:spacing w:before="60" w:after="60" w:line="240" w:lineRule="auto"/>
        <w:ind w:left="-58"/>
        <w:rPr>
          <w:rFonts w:ascii="David" w:hAnsi="David" w:cs="David"/>
          <w:sz w:val="24"/>
          <w:szCs w:val="24"/>
          <w:u w:val="single"/>
          <w:rtl/>
        </w:rPr>
      </w:pPr>
      <w:r w:rsidRPr="00F25744">
        <w:rPr>
          <w:rFonts w:ascii="David" w:hAnsi="David" w:cs="David" w:hint="cs"/>
          <w:sz w:val="24"/>
          <w:szCs w:val="24"/>
          <w:u w:val="single"/>
          <w:rtl/>
        </w:rPr>
        <w:t>יום עבודה מקוצר (ימי שישי)</w:t>
      </w:r>
    </w:p>
    <w:p w14:paraId="6DE97181" w14:textId="77777777" w:rsidR="00DC2544" w:rsidRPr="00F25744" w:rsidRDefault="00DC2544" w:rsidP="00DC2544">
      <w:pPr>
        <w:pStyle w:val="a3"/>
        <w:widowControl w:val="0"/>
        <w:autoSpaceDE w:val="0"/>
        <w:autoSpaceDN w:val="0"/>
        <w:bidi/>
        <w:adjustRightInd w:val="0"/>
        <w:spacing w:before="60" w:after="60" w:line="240" w:lineRule="auto"/>
        <w:ind w:left="-58"/>
        <w:rPr>
          <w:rFonts w:ascii="David" w:hAnsi="David" w:cs="David"/>
          <w:sz w:val="24"/>
          <w:szCs w:val="24"/>
          <w:u w:val="single"/>
          <w:rtl/>
        </w:rPr>
      </w:pPr>
    </w:p>
    <w:p w14:paraId="2FB4649D" w14:textId="05E940E9" w:rsidR="00DC2544" w:rsidRDefault="00E25AE7" w:rsidP="00341018">
      <w:pPr>
        <w:pStyle w:val="a3"/>
        <w:widowControl w:val="0"/>
        <w:autoSpaceDE w:val="0"/>
        <w:autoSpaceDN w:val="0"/>
        <w:bidi/>
        <w:adjustRightInd w:val="0"/>
        <w:spacing w:before="60" w:after="60" w:line="360" w:lineRule="auto"/>
        <w:ind w:left="-58"/>
        <w:rPr>
          <w:rFonts w:ascii="David" w:hAnsi="David" w:cs="David"/>
          <w:sz w:val="24"/>
          <w:szCs w:val="24"/>
          <w:rtl/>
        </w:rPr>
      </w:pPr>
      <w:r w:rsidRPr="00F25744">
        <w:rPr>
          <w:rFonts w:ascii="David" w:hAnsi="David" w:cs="David" w:hint="cs"/>
          <w:sz w:val="24"/>
          <w:szCs w:val="24"/>
          <w:rtl/>
        </w:rPr>
        <w:t>יום שישי, כפי שפורט לעיל, נחשב חלק מימי העבודה המוגדרים במשרה שיפוטית, אך הוא יום עבודה מקוצר</w:t>
      </w:r>
      <w:r w:rsidR="00341018" w:rsidRPr="00F25744">
        <w:rPr>
          <w:rFonts w:ascii="David" w:hAnsi="David" w:cs="David" w:hint="cs"/>
          <w:sz w:val="24"/>
          <w:szCs w:val="24"/>
          <w:rtl/>
        </w:rPr>
        <w:t>.</w:t>
      </w:r>
      <w:r w:rsidRPr="00F25744">
        <w:rPr>
          <w:rFonts w:ascii="David" w:hAnsi="David" w:cs="David" w:hint="cs"/>
          <w:sz w:val="24"/>
          <w:szCs w:val="24"/>
          <w:rtl/>
        </w:rPr>
        <w:t xml:space="preserve"> נציין, כי ידוע לנו שלא כל השופטים שהשתתפו במחקר ועבדו בימים שישי ושבת במהלך תקופת המחקר, דיווחו לנו על שעות אלו, מסיבות השמורות עימם. על כן הנתונים שנציג כאן ובתת הפרק העוסק בעבודה ביום המנוחה השבועי, </w:t>
      </w:r>
      <w:r w:rsidR="00341018" w:rsidRPr="00F25744">
        <w:rPr>
          <w:rFonts w:ascii="David" w:hAnsi="David" w:cs="David" w:hint="cs"/>
          <w:sz w:val="24"/>
          <w:szCs w:val="24"/>
          <w:rtl/>
        </w:rPr>
        <w:t xml:space="preserve">מבוססים על </w:t>
      </w:r>
      <w:r w:rsidRPr="00F25744">
        <w:rPr>
          <w:rFonts w:ascii="David" w:hAnsi="David" w:cs="David" w:hint="cs"/>
          <w:sz w:val="24"/>
          <w:szCs w:val="24"/>
          <w:rtl/>
        </w:rPr>
        <w:t>הנתונים שהיו בידינו</w:t>
      </w:r>
      <w:r w:rsidR="00341018" w:rsidRPr="00F25744">
        <w:rPr>
          <w:rFonts w:ascii="David" w:hAnsi="David" w:cs="David" w:hint="cs"/>
          <w:sz w:val="24"/>
          <w:szCs w:val="24"/>
          <w:rtl/>
        </w:rPr>
        <w:t>, ובהינתן הערה כללית זו</w:t>
      </w:r>
      <w:r w:rsidRPr="00F25744">
        <w:rPr>
          <w:rFonts w:ascii="David" w:hAnsi="David" w:cs="David" w:hint="cs"/>
          <w:sz w:val="24"/>
          <w:szCs w:val="24"/>
          <w:rtl/>
        </w:rPr>
        <w:t xml:space="preserve">. מתוך השופטים שדיווחו לנו על עבודה ביום שישי, שעות העבודה הממוצעות ביום שישי, בכל המערכת, עומדות על 4.81 שעות, ונעות בין 2.4 שעות ל-5 שעות בממוצע ביום בערכאות השונות. לפי הנתונים על אחוזי הדיווח היומיים, בין 29% ל-39% </w:t>
      </w:r>
      <w:r w:rsidR="007F3A52" w:rsidRPr="00F25744">
        <w:rPr>
          <w:rFonts w:ascii="David" w:hAnsi="David" w:cs="David" w:hint="cs"/>
          <w:sz w:val="24"/>
          <w:szCs w:val="24"/>
          <w:rtl/>
        </w:rPr>
        <w:t xml:space="preserve">מן השופטים מילאו </w:t>
      </w:r>
      <w:r w:rsidRPr="00F25744">
        <w:rPr>
          <w:rFonts w:ascii="David" w:hAnsi="David" w:cs="David" w:hint="cs"/>
          <w:sz w:val="24"/>
          <w:szCs w:val="24"/>
          <w:rtl/>
        </w:rPr>
        <w:t>יומנים במהלך ימי השישי בתקופת המחקר. השופטים עבדו בממוצע 2.9 ימי שישי מתוך 5 במהלך תקופת המחקר = 58%, כאשר מספר ימי השישי שבהם עבדו בתקופת המחקר נע בין 2.6 ל-3.</w:t>
      </w:r>
      <w:r w:rsidR="007F3A52" w:rsidRPr="00F25744">
        <w:rPr>
          <w:rFonts w:ascii="David" w:hAnsi="David" w:cs="David" w:hint="cs"/>
          <w:sz w:val="24"/>
          <w:szCs w:val="24"/>
          <w:rtl/>
        </w:rPr>
        <w:t>כעת נציג את הנתונים על שעות העבודה הממוצעות בימי שישי בחלוקה בין "שופטים אזרחיים" ל"שופטים פליליים" (גם כאן הורדנו מן החישוב את שעות העבודה שעליהם דיווחו השופטים שהם "גם וגם"):</w:t>
      </w:r>
    </w:p>
    <w:p w14:paraId="606BE948" w14:textId="77777777" w:rsidR="00C55C22" w:rsidRDefault="00C55C22" w:rsidP="00C55C22">
      <w:pPr>
        <w:pStyle w:val="a3"/>
        <w:widowControl w:val="0"/>
        <w:autoSpaceDE w:val="0"/>
        <w:autoSpaceDN w:val="0"/>
        <w:bidi/>
        <w:adjustRightInd w:val="0"/>
        <w:spacing w:before="60" w:after="60" w:line="360" w:lineRule="auto"/>
        <w:ind w:left="-58"/>
        <w:rPr>
          <w:rFonts w:ascii="David" w:hAnsi="David" w:cs="David"/>
          <w:sz w:val="24"/>
          <w:szCs w:val="24"/>
          <w:rtl/>
        </w:rPr>
      </w:pPr>
    </w:p>
    <w:p w14:paraId="1BE80961" w14:textId="0FA457F0" w:rsidR="00324984" w:rsidRPr="00F25744" w:rsidRDefault="008534FC" w:rsidP="008534FC">
      <w:pPr>
        <w:pStyle w:val="af6"/>
        <w:rPr>
          <w:rtl/>
        </w:rPr>
      </w:pPr>
      <w:bookmarkStart w:id="770" w:name="_Toc76988916"/>
      <w:r w:rsidRPr="00F25744">
        <w:rPr>
          <w:rtl/>
        </w:rPr>
        <w:t xml:space="preserve">טבלה </w:t>
      </w:r>
      <w:r w:rsidRPr="00F25744">
        <w:rPr>
          <w:rtl/>
        </w:rPr>
        <w:fldChar w:fldCharType="begin"/>
      </w:r>
      <w:r w:rsidRPr="00F25744">
        <w:rPr>
          <w:rtl/>
        </w:rPr>
        <w:instrText xml:space="preserve"> </w:instrText>
      </w:r>
      <w:r w:rsidRPr="00F25744">
        <w:instrText>SEQ</w:instrText>
      </w:r>
      <w:r w:rsidRPr="00F25744">
        <w:rPr>
          <w:rtl/>
        </w:rPr>
        <w:instrText xml:space="preserve"> טבלה \* </w:instrText>
      </w:r>
      <w:r w:rsidRPr="00F25744">
        <w:instrText>ARABIC</w:instrText>
      </w:r>
      <w:r w:rsidRPr="00F25744">
        <w:rPr>
          <w:rtl/>
        </w:rPr>
        <w:instrText xml:space="preserve"> </w:instrText>
      </w:r>
      <w:r w:rsidRPr="00F25744">
        <w:rPr>
          <w:rtl/>
        </w:rPr>
        <w:fldChar w:fldCharType="separate"/>
      </w:r>
      <w:r w:rsidR="008F1BC3">
        <w:rPr>
          <w:noProof/>
          <w:rtl/>
        </w:rPr>
        <w:t>21</w:t>
      </w:r>
      <w:r w:rsidRPr="00F25744">
        <w:rPr>
          <w:rtl/>
        </w:rPr>
        <w:fldChar w:fldCharType="end"/>
      </w:r>
      <w:r w:rsidR="007F3A52" w:rsidRPr="00F25744">
        <w:rPr>
          <w:rFonts w:hint="cs"/>
          <w:rtl/>
        </w:rPr>
        <w:t>: שעות עבודה ממוצעות ביום שישי לשופט אזרחי או פלילי</w:t>
      </w:r>
      <w:bookmarkEnd w:id="770"/>
    </w:p>
    <w:tbl>
      <w:tblPr>
        <w:bidiVisual/>
        <w:tblW w:w="7664" w:type="dxa"/>
        <w:tblInd w:w="680" w:type="dxa"/>
        <w:tblLook w:val="04A0" w:firstRow="1" w:lastRow="0" w:firstColumn="1" w:lastColumn="0" w:noHBand="0" w:noVBand="1"/>
      </w:tblPr>
      <w:tblGrid>
        <w:gridCol w:w="1026"/>
        <w:gridCol w:w="1080"/>
        <w:gridCol w:w="1080"/>
        <w:gridCol w:w="1080"/>
        <w:gridCol w:w="1080"/>
        <w:gridCol w:w="1080"/>
        <w:gridCol w:w="1238"/>
      </w:tblGrid>
      <w:tr w:rsidR="00E0162E" w:rsidRPr="00F25744" w14:paraId="041B3425" w14:textId="77777777" w:rsidTr="003068A1">
        <w:trPr>
          <w:trHeight w:val="181"/>
        </w:trPr>
        <w:tc>
          <w:tcPr>
            <w:tcW w:w="1026" w:type="dxa"/>
            <w:vMerge w:val="restart"/>
            <w:tcBorders>
              <w:top w:val="single" w:sz="4" w:space="0" w:color="auto"/>
              <w:left w:val="single" w:sz="4" w:space="0" w:color="auto"/>
              <w:right w:val="single" w:sz="4" w:space="0" w:color="auto"/>
            </w:tcBorders>
            <w:shd w:val="clear" w:color="auto" w:fill="F2F2F2"/>
            <w:vAlign w:val="bottom"/>
          </w:tcPr>
          <w:p w14:paraId="2FBC7EB8" w14:textId="77777777" w:rsidR="00DC2544" w:rsidRPr="00F25744" w:rsidRDefault="00E25AE7" w:rsidP="00DC2544">
            <w:pPr>
              <w:bidi w:val="0"/>
              <w:spacing w:after="0" w:line="240" w:lineRule="auto"/>
              <w:jc w:val="right"/>
              <w:rPr>
                <w:rFonts w:ascii="David" w:eastAsia="Times New Roman" w:hAnsi="David" w:cs="David"/>
                <w:b/>
                <w:bCs/>
                <w:color w:val="000000"/>
                <w:sz w:val="24"/>
                <w:szCs w:val="24"/>
              </w:rPr>
            </w:pPr>
            <w:r w:rsidRPr="00F25744">
              <w:rPr>
                <w:rFonts w:ascii="David" w:eastAsia="Times New Roman" w:hAnsi="David" w:cs="David" w:hint="cs"/>
                <w:b/>
                <w:bCs/>
                <w:color w:val="000000"/>
                <w:sz w:val="24"/>
                <w:szCs w:val="24"/>
                <w:rtl/>
              </w:rPr>
              <w:t>ערכאה</w:t>
            </w:r>
          </w:p>
        </w:tc>
        <w:tc>
          <w:tcPr>
            <w:tcW w:w="3240" w:type="dxa"/>
            <w:gridSpan w:val="3"/>
            <w:tcBorders>
              <w:top w:val="single" w:sz="4" w:space="0" w:color="auto"/>
              <w:left w:val="single" w:sz="4" w:space="0" w:color="auto"/>
              <w:bottom w:val="single" w:sz="4" w:space="0" w:color="auto"/>
              <w:right w:val="single" w:sz="4" w:space="0" w:color="auto"/>
            </w:tcBorders>
            <w:shd w:val="clear" w:color="auto" w:fill="FBE4D5"/>
            <w:vAlign w:val="center"/>
          </w:tcPr>
          <w:p w14:paraId="6D562053" w14:textId="77777777" w:rsidR="00DC2544" w:rsidRPr="00F25744" w:rsidRDefault="00E25AE7" w:rsidP="00DC2544">
            <w:pPr>
              <w:spacing w:after="0" w:line="240" w:lineRule="auto"/>
              <w:jc w:val="center"/>
              <w:rPr>
                <w:rFonts w:ascii="David" w:eastAsia="Times New Roman" w:hAnsi="David" w:cs="David"/>
                <w:b/>
                <w:bCs/>
                <w:color w:val="000000"/>
                <w:sz w:val="28"/>
                <w:szCs w:val="28"/>
                <w:rtl/>
              </w:rPr>
            </w:pPr>
            <w:r w:rsidRPr="00F25744">
              <w:rPr>
                <w:rFonts w:ascii="David" w:eastAsia="Times New Roman" w:hAnsi="David" w:cs="David"/>
                <w:b/>
                <w:bCs/>
                <w:color w:val="000000"/>
                <w:sz w:val="28"/>
                <w:szCs w:val="28"/>
                <w:rtl/>
              </w:rPr>
              <w:t>אזרחי</w:t>
            </w:r>
          </w:p>
        </w:tc>
        <w:tc>
          <w:tcPr>
            <w:tcW w:w="3398" w:type="dxa"/>
            <w:gridSpan w:val="3"/>
            <w:tcBorders>
              <w:top w:val="single" w:sz="4" w:space="0" w:color="auto"/>
              <w:left w:val="single" w:sz="4" w:space="0" w:color="auto"/>
              <w:bottom w:val="single" w:sz="4" w:space="0" w:color="auto"/>
              <w:right w:val="single" w:sz="4" w:space="0" w:color="auto"/>
            </w:tcBorders>
            <w:shd w:val="clear" w:color="000000" w:fill="BDD7EE"/>
            <w:vAlign w:val="center"/>
          </w:tcPr>
          <w:p w14:paraId="1C22F4EF" w14:textId="77777777" w:rsidR="00DC2544" w:rsidRPr="00F25744" w:rsidRDefault="00E25AE7" w:rsidP="00DC2544">
            <w:pPr>
              <w:spacing w:after="0" w:line="240" w:lineRule="auto"/>
              <w:jc w:val="center"/>
              <w:rPr>
                <w:rFonts w:ascii="David" w:eastAsia="Times New Roman" w:hAnsi="David" w:cs="David"/>
                <w:b/>
                <w:bCs/>
                <w:color w:val="000000"/>
                <w:sz w:val="28"/>
                <w:szCs w:val="28"/>
                <w:rtl/>
              </w:rPr>
            </w:pPr>
            <w:r w:rsidRPr="00F25744">
              <w:rPr>
                <w:rFonts w:ascii="David" w:eastAsia="Times New Roman" w:hAnsi="David" w:cs="David"/>
                <w:b/>
                <w:bCs/>
                <w:color w:val="000000"/>
                <w:sz w:val="28"/>
                <w:szCs w:val="28"/>
                <w:rtl/>
              </w:rPr>
              <w:t>פלילי</w:t>
            </w:r>
          </w:p>
        </w:tc>
      </w:tr>
      <w:tr w:rsidR="00E0162E" w:rsidRPr="00F25744" w14:paraId="4F87391C" w14:textId="77777777" w:rsidTr="0065668A">
        <w:trPr>
          <w:trHeight w:val="820"/>
        </w:trPr>
        <w:tc>
          <w:tcPr>
            <w:tcW w:w="1026" w:type="dxa"/>
            <w:vMerge/>
            <w:tcBorders>
              <w:left w:val="single" w:sz="4" w:space="0" w:color="auto"/>
              <w:bottom w:val="single" w:sz="4" w:space="0" w:color="auto"/>
              <w:right w:val="single" w:sz="4" w:space="0" w:color="auto"/>
            </w:tcBorders>
            <w:shd w:val="clear" w:color="auto" w:fill="F2F2F2"/>
            <w:vAlign w:val="bottom"/>
            <w:hideMark/>
          </w:tcPr>
          <w:p w14:paraId="22AC0F37" w14:textId="77777777" w:rsidR="00DC2544" w:rsidRPr="00F25744" w:rsidRDefault="00DC2544" w:rsidP="00DC2544">
            <w:pPr>
              <w:bidi w:val="0"/>
              <w:spacing w:after="0" w:line="240" w:lineRule="auto"/>
              <w:rPr>
                <w:rFonts w:ascii="David" w:eastAsia="Times New Roman" w:hAnsi="David" w:cs="David"/>
                <w:b/>
                <w:bCs/>
                <w:color w:val="000000"/>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BE4D5"/>
            <w:vAlign w:val="bottom"/>
            <w:hideMark/>
          </w:tcPr>
          <w:p w14:paraId="3DD0650E" w14:textId="77777777" w:rsidR="00DC2544" w:rsidRPr="00F25744" w:rsidRDefault="00E25AE7" w:rsidP="00DC2544">
            <w:pPr>
              <w:spacing w:after="0" w:line="240" w:lineRule="auto"/>
              <w:rPr>
                <w:rFonts w:ascii="David" w:eastAsia="Times New Roman" w:hAnsi="David" w:cs="David"/>
                <w:color w:val="000000"/>
                <w:sz w:val="24"/>
                <w:szCs w:val="24"/>
              </w:rPr>
            </w:pPr>
            <w:r w:rsidRPr="00F25744">
              <w:rPr>
                <w:rFonts w:ascii="David" w:eastAsia="Times New Roman" w:hAnsi="David" w:cs="David"/>
                <w:color w:val="000000"/>
                <w:sz w:val="24"/>
                <w:szCs w:val="24"/>
                <w:rtl/>
              </w:rPr>
              <w:t>סך דקות עבודה</w:t>
            </w:r>
          </w:p>
        </w:tc>
        <w:tc>
          <w:tcPr>
            <w:tcW w:w="1080" w:type="dxa"/>
            <w:tcBorders>
              <w:top w:val="single" w:sz="4" w:space="0" w:color="auto"/>
              <w:left w:val="single" w:sz="4" w:space="0" w:color="auto"/>
              <w:bottom w:val="single" w:sz="4" w:space="0" w:color="auto"/>
              <w:right w:val="single" w:sz="4" w:space="0" w:color="auto"/>
            </w:tcBorders>
            <w:shd w:val="clear" w:color="auto" w:fill="FBE4D5"/>
            <w:vAlign w:val="bottom"/>
            <w:hideMark/>
          </w:tcPr>
          <w:p w14:paraId="7EC1AD23" w14:textId="77777777" w:rsidR="00DC2544" w:rsidRPr="00F25744" w:rsidRDefault="00E25AE7" w:rsidP="00DC2544">
            <w:pPr>
              <w:spacing w:after="0" w:line="240" w:lineRule="auto"/>
              <w:rPr>
                <w:rFonts w:ascii="David" w:eastAsia="Times New Roman" w:hAnsi="David" w:cs="David"/>
                <w:color w:val="000000"/>
                <w:sz w:val="24"/>
                <w:szCs w:val="24"/>
                <w:rtl/>
              </w:rPr>
            </w:pPr>
            <w:r w:rsidRPr="00F25744">
              <w:rPr>
                <w:rFonts w:ascii="David" w:eastAsia="Times New Roman" w:hAnsi="David" w:cs="David"/>
                <w:color w:val="000000"/>
                <w:sz w:val="24"/>
                <w:szCs w:val="24"/>
                <w:rtl/>
              </w:rPr>
              <w:t>סך דיווחים</w:t>
            </w:r>
          </w:p>
        </w:tc>
        <w:tc>
          <w:tcPr>
            <w:tcW w:w="1080" w:type="dxa"/>
            <w:tcBorders>
              <w:top w:val="single" w:sz="4" w:space="0" w:color="auto"/>
              <w:left w:val="single" w:sz="4" w:space="0" w:color="auto"/>
              <w:bottom w:val="single" w:sz="4" w:space="0" w:color="auto"/>
              <w:right w:val="single" w:sz="4" w:space="0" w:color="auto"/>
            </w:tcBorders>
            <w:shd w:val="clear" w:color="auto" w:fill="FBE4D5"/>
            <w:vAlign w:val="bottom"/>
            <w:hideMark/>
          </w:tcPr>
          <w:p w14:paraId="671C1CDC" w14:textId="77777777" w:rsidR="00DC2544" w:rsidRPr="00F25744" w:rsidRDefault="00E25AE7" w:rsidP="00DC2544">
            <w:pPr>
              <w:spacing w:after="0" w:line="240" w:lineRule="auto"/>
              <w:rPr>
                <w:rFonts w:ascii="David" w:eastAsia="Times New Roman" w:hAnsi="David" w:cs="David"/>
                <w:b/>
                <w:bCs/>
                <w:color w:val="000000"/>
                <w:sz w:val="24"/>
                <w:szCs w:val="24"/>
                <w:rtl/>
              </w:rPr>
            </w:pPr>
            <w:r w:rsidRPr="00F25744">
              <w:rPr>
                <w:rFonts w:ascii="David" w:eastAsia="Times New Roman" w:hAnsi="David" w:cs="David"/>
                <w:b/>
                <w:bCs/>
                <w:color w:val="000000"/>
                <w:sz w:val="24"/>
                <w:szCs w:val="24"/>
                <w:rtl/>
              </w:rPr>
              <w:t>ממוצע בשעות</w:t>
            </w:r>
          </w:p>
        </w:tc>
        <w:tc>
          <w:tcPr>
            <w:tcW w:w="1080" w:type="dxa"/>
            <w:tcBorders>
              <w:top w:val="single" w:sz="4" w:space="0" w:color="auto"/>
              <w:left w:val="single" w:sz="4" w:space="0" w:color="auto"/>
              <w:bottom w:val="single" w:sz="4" w:space="0" w:color="auto"/>
              <w:right w:val="single" w:sz="4" w:space="0" w:color="auto"/>
            </w:tcBorders>
            <w:shd w:val="clear" w:color="000000" w:fill="BDD7EE"/>
            <w:vAlign w:val="bottom"/>
          </w:tcPr>
          <w:p w14:paraId="3C8C1B95" w14:textId="77777777" w:rsidR="00DC2544" w:rsidRPr="00F25744" w:rsidRDefault="00E25AE7" w:rsidP="00DC2544">
            <w:pPr>
              <w:spacing w:after="0" w:line="240" w:lineRule="auto"/>
              <w:rPr>
                <w:rFonts w:ascii="David" w:eastAsia="Times New Roman" w:hAnsi="David" w:cs="David"/>
                <w:color w:val="000000"/>
                <w:sz w:val="24"/>
                <w:szCs w:val="24"/>
              </w:rPr>
            </w:pPr>
            <w:r w:rsidRPr="00F25744">
              <w:rPr>
                <w:rFonts w:ascii="David" w:eastAsia="Times New Roman" w:hAnsi="David" w:cs="David"/>
                <w:color w:val="000000"/>
                <w:sz w:val="24"/>
                <w:szCs w:val="24"/>
                <w:rtl/>
              </w:rPr>
              <w:t>סך דקות עבודה</w:t>
            </w:r>
          </w:p>
        </w:tc>
        <w:tc>
          <w:tcPr>
            <w:tcW w:w="1080" w:type="dxa"/>
            <w:tcBorders>
              <w:top w:val="single" w:sz="4" w:space="0" w:color="auto"/>
              <w:left w:val="single" w:sz="4" w:space="0" w:color="auto"/>
              <w:bottom w:val="single" w:sz="4" w:space="0" w:color="auto"/>
              <w:right w:val="single" w:sz="4" w:space="0" w:color="auto"/>
            </w:tcBorders>
            <w:shd w:val="clear" w:color="000000" w:fill="BDD7EE"/>
            <w:vAlign w:val="bottom"/>
          </w:tcPr>
          <w:p w14:paraId="660B000A" w14:textId="77777777" w:rsidR="00DC2544" w:rsidRPr="00F25744" w:rsidRDefault="00E25AE7" w:rsidP="00DC2544">
            <w:pPr>
              <w:spacing w:after="0" w:line="240" w:lineRule="auto"/>
              <w:rPr>
                <w:rFonts w:ascii="David" w:eastAsia="Times New Roman" w:hAnsi="David" w:cs="David"/>
                <w:color w:val="000000"/>
                <w:sz w:val="24"/>
                <w:szCs w:val="24"/>
                <w:rtl/>
              </w:rPr>
            </w:pPr>
            <w:r w:rsidRPr="00F25744">
              <w:rPr>
                <w:rFonts w:ascii="David" w:eastAsia="Times New Roman" w:hAnsi="David" w:cs="David"/>
                <w:color w:val="000000"/>
                <w:sz w:val="24"/>
                <w:szCs w:val="24"/>
                <w:rtl/>
              </w:rPr>
              <w:t>סך דיווחים</w:t>
            </w:r>
          </w:p>
        </w:tc>
        <w:tc>
          <w:tcPr>
            <w:tcW w:w="1238" w:type="dxa"/>
            <w:tcBorders>
              <w:top w:val="single" w:sz="4" w:space="0" w:color="auto"/>
              <w:left w:val="single" w:sz="4" w:space="0" w:color="auto"/>
              <w:bottom w:val="single" w:sz="4" w:space="0" w:color="auto"/>
              <w:right w:val="single" w:sz="4" w:space="0" w:color="auto"/>
            </w:tcBorders>
            <w:shd w:val="clear" w:color="000000" w:fill="BDD7EE"/>
            <w:vAlign w:val="bottom"/>
          </w:tcPr>
          <w:p w14:paraId="4F0D6276" w14:textId="77777777" w:rsidR="00DC2544" w:rsidRPr="00F25744" w:rsidRDefault="00E25AE7" w:rsidP="00DC2544">
            <w:pPr>
              <w:spacing w:after="0" w:line="240" w:lineRule="auto"/>
              <w:rPr>
                <w:rFonts w:ascii="David" w:eastAsia="Times New Roman" w:hAnsi="David" w:cs="David"/>
                <w:b/>
                <w:bCs/>
                <w:color w:val="000000"/>
                <w:sz w:val="24"/>
                <w:szCs w:val="24"/>
                <w:rtl/>
              </w:rPr>
            </w:pPr>
            <w:r w:rsidRPr="00F25744">
              <w:rPr>
                <w:rFonts w:ascii="David" w:eastAsia="Times New Roman" w:hAnsi="David" w:cs="David"/>
                <w:b/>
                <w:bCs/>
                <w:color w:val="000000"/>
                <w:sz w:val="24"/>
                <w:szCs w:val="24"/>
                <w:rtl/>
              </w:rPr>
              <w:t>ממוצע בשעות</w:t>
            </w:r>
          </w:p>
        </w:tc>
      </w:tr>
      <w:tr w:rsidR="00E0162E" w:rsidRPr="00F25744" w14:paraId="67BDB5CE" w14:textId="77777777" w:rsidTr="0065668A">
        <w:trPr>
          <w:trHeight w:val="300"/>
        </w:trPr>
        <w:tc>
          <w:tcPr>
            <w:tcW w:w="1026" w:type="dxa"/>
            <w:tcBorders>
              <w:top w:val="nil"/>
              <w:left w:val="single" w:sz="4" w:space="0" w:color="auto"/>
              <w:bottom w:val="single" w:sz="4" w:space="0" w:color="auto"/>
              <w:right w:val="single" w:sz="4" w:space="0" w:color="auto"/>
            </w:tcBorders>
            <w:shd w:val="clear" w:color="auto" w:fill="F2F2F2"/>
            <w:vAlign w:val="bottom"/>
            <w:hideMark/>
          </w:tcPr>
          <w:p w14:paraId="11A6C4C3" w14:textId="77777777" w:rsidR="00DC2544" w:rsidRPr="00F25744" w:rsidRDefault="00E25AE7" w:rsidP="00DC2544">
            <w:pPr>
              <w:spacing w:after="0" w:line="240" w:lineRule="auto"/>
              <w:rPr>
                <w:rFonts w:ascii="David" w:eastAsia="Times New Roman" w:hAnsi="David" w:cs="David"/>
                <w:b/>
                <w:bCs/>
                <w:color w:val="000000"/>
                <w:sz w:val="24"/>
                <w:szCs w:val="24"/>
                <w:rtl/>
              </w:rPr>
            </w:pPr>
            <w:r w:rsidRPr="00F25744">
              <w:rPr>
                <w:rFonts w:ascii="David" w:eastAsia="Times New Roman" w:hAnsi="David" w:cs="David"/>
                <w:b/>
                <w:bCs/>
                <w:color w:val="000000"/>
                <w:sz w:val="24"/>
                <w:szCs w:val="24"/>
                <w:rtl/>
              </w:rPr>
              <w:t>מחוזי</w:t>
            </w:r>
          </w:p>
        </w:tc>
        <w:tc>
          <w:tcPr>
            <w:tcW w:w="1080" w:type="dxa"/>
            <w:tcBorders>
              <w:top w:val="nil"/>
              <w:left w:val="single" w:sz="4" w:space="0" w:color="auto"/>
              <w:bottom w:val="single" w:sz="4" w:space="0" w:color="auto"/>
              <w:right w:val="single" w:sz="4" w:space="0" w:color="auto"/>
            </w:tcBorders>
            <w:shd w:val="clear" w:color="auto" w:fill="FBE4D5"/>
            <w:noWrap/>
            <w:vAlign w:val="bottom"/>
            <w:hideMark/>
          </w:tcPr>
          <w:p w14:paraId="45D71B4C" w14:textId="77777777" w:rsidR="00DC2544" w:rsidRPr="00F25744" w:rsidRDefault="00E25AE7" w:rsidP="00DC2544">
            <w:pPr>
              <w:bidi w:val="0"/>
              <w:spacing w:after="0" w:line="240" w:lineRule="auto"/>
              <w:jc w:val="right"/>
              <w:rPr>
                <w:rFonts w:ascii="David" w:eastAsia="Times New Roman" w:hAnsi="David" w:cs="David"/>
                <w:color w:val="000000"/>
                <w:sz w:val="24"/>
                <w:szCs w:val="24"/>
                <w:rtl/>
              </w:rPr>
            </w:pPr>
            <w:r w:rsidRPr="00F25744">
              <w:rPr>
                <w:rFonts w:ascii="David" w:eastAsia="Times New Roman" w:hAnsi="David" w:cs="David"/>
                <w:color w:val="000000"/>
                <w:sz w:val="24"/>
                <w:szCs w:val="24"/>
              </w:rPr>
              <w:t>62</w:t>
            </w:r>
            <w:r w:rsidRPr="00F25744">
              <w:rPr>
                <w:rFonts w:ascii="David" w:eastAsia="Times New Roman" w:hAnsi="David" w:cs="David" w:hint="cs"/>
                <w:color w:val="000000"/>
                <w:sz w:val="24"/>
                <w:szCs w:val="24"/>
                <w:rtl/>
              </w:rPr>
              <w:t>,</w:t>
            </w:r>
            <w:r w:rsidRPr="00F25744">
              <w:rPr>
                <w:rFonts w:ascii="David" w:eastAsia="Times New Roman" w:hAnsi="David" w:cs="David"/>
                <w:color w:val="000000"/>
                <w:sz w:val="24"/>
                <w:szCs w:val="24"/>
              </w:rPr>
              <w:t>689</w:t>
            </w:r>
          </w:p>
        </w:tc>
        <w:tc>
          <w:tcPr>
            <w:tcW w:w="1080" w:type="dxa"/>
            <w:tcBorders>
              <w:top w:val="nil"/>
              <w:left w:val="single" w:sz="4" w:space="0" w:color="auto"/>
              <w:bottom w:val="single" w:sz="4" w:space="0" w:color="auto"/>
              <w:right w:val="single" w:sz="4" w:space="0" w:color="auto"/>
            </w:tcBorders>
            <w:shd w:val="clear" w:color="auto" w:fill="FBE4D5"/>
            <w:noWrap/>
            <w:vAlign w:val="bottom"/>
            <w:hideMark/>
          </w:tcPr>
          <w:p w14:paraId="683EFDC3" w14:textId="77777777" w:rsidR="00DC2544" w:rsidRPr="00F25744" w:rsidRDefault="00E25AE7" w:rsidP="00DC2544">
            <w:pPr>
              <w:bidi w:val="0"/>
              <w:spacing w:after="0" w:line="240" w:lineRule="auto"/>
              <w:jc w:val="right"/>
              <w:rPr>
                <w:rFonts w:ascii="David" w:eastAsia="Times New Roman" w:hAnsi="David" w:cs="David"/>
                <w:color w:val="000000"/>
                <w:sz w:val="24"/>
                <w:szCs w:val="24"/>
              </w:rPr>
            </w:pPr>
            <w:r w:rsidRPr="00F25744">
              <w:rPr>
                <w:rFonts w:ascii="David" w:eastAsia="Times New Roman" w:hAnsi="David" w:cs="David"/>
                <w:color w:val="000000"/>
                <w:sz w:val="24"/>
                <w:szCs w:val="24"/>
              </w:rPr>
              <w:t>268</w:t>
            </w:r>
          </w:p>
        </w:tc>
        <w:tc>
          <w:tcPr>
            <w:tcW w:w="1080" w:type="dxa"/>
            <w:tcBorders>
              <w:top w:val="nil"/>
              <w:left w:val="single" w:sz="4" w:space="0" w:color="auto"/>
              <w:bottom w:val="single" w:sz="4" w:space="0" w:color="auto"/>
              <w:right w:val="single" w:sz="4" w:space="0" w:color="auto"/>
            </w:tcBorders>
            <w:shd w:val="clear" w:color="auto" w:fill="FBE4D5"/>
            <w:noWrap/>
            <w:vAlign w:val="bottom"/>
            <w:hideMark/>
          </w:tcPr>
          <w:p w14:paraId="539A02CC" w14:textId="77777777" w:rsidR="00DC2544" w:rsidRPr="00F25744" w:rsidRDefault="00E25AE7" w:rsidP="00DC2544">
            <w:pPr>
              <w:bidi w:val="0"/>
              <w:spacing w:after="0" w:line="240" w:lineRule="auto"/>
              <w:jc w:val="right"/>
              <w:rPr>
                <w:rFonts w:ascii="David" w:eastAsia="Times New Roman" w:hAnsi="David" w:cs="David"/>
                <w:b/>
                <w:bCs/>
                <w:color w:val="000000"/>
                <w:sz w:val="24"/>
                <w:szCs w:val="24"/>
              </w:rPr>
            </w:pPr>
            <w:r w:rsidRPr="00F25744">
              <w:rPr>
                <w:rFonts w:ascii="David" w:eastAsia="Times New Roman" w:hAnsi="David" w:cs="David"/>
                <w:b/>
                <w:bCs/>
                <w:color w:val="000000"/>
                <w:sz w:val="24"/>
                <w:szCs w:val="24"/>
              </w:rPr>
              <w:t>3.90</w:t>
            </w:r>
          </w:p>
        </w:tc>
        <w:tc>
          <w:tcPr>
            <w:tcW w:w="1080" w:type="dxa"/>
            <w:tcBorders>
              <w:top w:val="nil"/>
              <w:left w:val="single" w:sz="4" w:space="0" w:color="auto"/>
              <w:bottom w:val="single" w:sz="4" w:space="0" w:color="auto"/>
              <w:right w:val="single" w:sz="4" w:space="0" w:color="auto"/>
            </w:tcBorders>
            <w:shd w:val="clear" w:color="000000" w:fill="BDD7EE"/>
            <w:vAlign w:val="bottom"/>
          </w:tcPr>
          <w:p w14:paraId="566A2799" w14:textId="77777777" w:rsidR="00DC2544" w:rsidRPr="00F25744" w:rsidRDefault="00E25AE7" w:rsidP="00DC2544">
            <w:pPr>
              <w:bidi w:val="0"/>
              <w:spacing w:after="0" w:line="240" w:lineRule="auto"/>
              <w:jc w:val="right"/>
              <w:rPr>
                <w:rFonts w:ascii="David" w:eastAsia="Times New Roman" w:hAnsi="David" w:cs="David"/>
                <w:color w:val="000000"/>
                <w:sz w:val="24"/>
                <w:szCs w:val="24"/>
                <w:rtl/>
              </w:rPr>
            </w:pPr>
            <w:r w:rsidRPr="00F25744">
              <w:rPr>
                <w:rFonts w:ascii="David" w:eastAsia="Times New Roman" w:hAnsi="David" w:cs="David"/>
                <w:color w:val="000000"/>
                <w:sz w:val="24"/>
                <w:szCs w:val="24"/>
              </w:rPr>
              <w:t>16</w:t>
            </w:r>
            <w:r w:rsidRPr="00F25744">
              <w:rPr>
                <w:rFonts w:ascii="David" w:eastAsia="Times New Roman" w:hAnsi="David" w:cs="David" w:hint="cs"/>
                <w:color w:val="000000"/>
                <w:sz w:val="24"/>
                <w:szCs w:val="24"/>
                <w:rtl/>
              </w:rPr>
              <w:t>,</w:t>
            </w:r>
            <w:r w:rsidRPr="00F25744">
              <w:rPr>
                <w:rFonts w:ascii="David" w:eastAsia="Times New Roman" w:hAnsi="David" w:cs="David"/>
                <w:color w:val="000000"/>
                <w:sz w:val="24"/>
                <w:szCs w:val="24"/>
              </w:rPr>
              <w:t>965</w:t>
            </w:r>
          </w:p>
        </w:tc>
        <w:tc>
          <w:tcPr>
            <w:tcW w:w="1080" w:type="dxa"/>
            <w:tcBorders>
              <w:top w:val="nil"/>
              <w:left w:val="single" w:sz="4" w:space="0" w:color="auto"/>
              <w:bottom w:val="single" w:sz="4" w:space="0" w:color="auto"/>
              <w:right w:val="single" w:sz="4" w:space="0" w:color="auto"/>
            </w:tcBorders>
            <w:shd w:val="clear" w:color="000000" w:fill="BDD7EE"/>
            <w:vAlign w:val="bottom"/>
          </w:tcPr>
          <w:p w14:paraId="417DEA1B" w14:textId="77777777" w:rsidR="00DC2544" w:rsidRPr="00F25744" w:rsidRDefault="00E25AE7" w:rsidP="00DC2544">
            <w:pPr>
              <w:bidi w:val="0"/>
              <w:spacing w:after="0" w:line="240" w:lineRule="auto"/>
              <w:jc w:val="right"/>
              <w:rPr>
                <w:rFonts w:ascii="David" w:eastAsia="Times New Roman" w:hAnsi="David" w:cs="David"/>
                <w:color w:val="000000"/>
                <w:sz w:val="24"/>
                <w:szCs w:val="24"/>
              </w:rPr>
            </w:pPr>
            <w:r w:rsidRPr="00F25744">
              <w:rPr>
                <w:rFonts w:ascii="David" w:eastAsia="Times New Roman" w:hAnsi="David" w:cs="David"/>
                <w:color w:val="000000"/>
                <w:sz w:val="24"/>
                <w:szCs w:val="24"/>
              </w:rPr>
              <w:t>72</w:t>
            </w:r>
          </w:p>
        </w:tc>
        <w:tc>
          <w:tcPr>
            <w:tcW w:w="1238" w:type="dxa"/>
            <w:tcBorders>
              <w:top w:val="nil"/>
              <w:left w:val="single" w:sz="4" w:space="0" w:color="auto"/>
              <w:bottom w:val="single" w:sz="4" w:space="0" w:color="auto"/>
              <w:right w:val="single" w:sz="4" w:space="0" w:color="auto"/>
            </w:tcBorders>
            <w:shd w:val="clear" w:color="000000" w:fill="BDD7EE"/>
            <w:vAlign w:val="bottom"/>
          </w:tcPr>
          <w:p w14:paraId="168AD944" w14:textId="77777777" w:rsidR="00DC2544" w:rsidRPr="00F25744" w:rsidRDefault="00E25AE7" w:rsidP="00DC2544">
            <w:pPr>
              <w:bidi w:val="0"/>
              <w:spacing w:after="0" w:line="240" w:lineRule="auto"/>
              <w:jc w:val="right"/>
              <w:rPr>
                <w:rFonts w:ascii="David" w:eastAsia="Times New Roman" w:hAnsi="David" w:cs="David"/>
                <w:b/>
                <w:bCs/>
                <w:color w:val="000000"/>
                <w:sz w:val="24"/>
                <w:szCs w:val="24"/>
              </w:rPr>
            </w:pPr>
            <w:r w:rsidRPr="00F25744">
              <w:rPr>
                <w:rFonts w:ascii="David" w:eastAsia="Times New Roman" w:hAnsi="David" w:cs="David"/>
                <w:b/>
                <w:bCs/>
                <w:color w:val="000000"/>
                <w:sz w:val="24"/>
                <w:szCs w:val="24"/>
              </w:rPr>
              <w:t>3.93</w:t>
            </w:r>
          </w:p>
        </w:tc>
      </w:tr>
      <w:tr w:rsidR="00E0162E" w:rsidRPr="00F25744" w14:paraId="6B44A573" w14:textId="77777777" w:rsidTr="0065668A">
        <w:trPr>
          <w:trHeight w:val="300"/>
        </w:trPr>
        <w:tc>
          <w:tcPr>
            <w:tcW w:w="1026" w:type="dxa"/>
            <w:tcBorders>
              <w:top w:val="nil"/>
              <w:left w:val="single" w:sz="4" w:space="0" w:color="auto"/>
              <w:bottom w:val="single" w:sz="4" w:space="0" w:color="auto"/>
              <w:right w:val="single" w:sz="4" w:space="0" w:color="auto"/>
            </w:tcBorders>
            <w:shd w:val="clear" w:color="auto" w:fill="F2F2F2"/>
            <w:vAlign w:val="bottom"/>
            <w:hideMark/>
          </w:tcPr>
          <w:p w14:paraId="73F49133" w14:textId="77777777" w:rsidR="00DC2544" w:rsidRPr="00F25744" w:rsidRDefault="00E25AE7" w:rsidP="00DC2544">
            <w:pPr>
              <w:spacing w:after="0" w:line="240" w:lineRule="auto"/>
              <w:rPr>
                <w:rFonts w:ascii="David" w:eastAsia="Times New Roman" w:hAnsi="David" w:cs="David"/>
                <w:b/>
                <w:bCs/>
                <w:color w:val="000000"/>
                <w:sz w:val="24"/>
                <w:szCs w:val="24"/>
              </w:rPr>
            </w:pPr>
            <w:r w:rsidRPr="00F25744">
              <w:rPr>
                <w:rFonts w:ascii="David" w:eastAsia="Times New Roman" w:hAnsi="David" w:cs="David"/>
                <w:b/>
                <w:bCs/>
                <w:color w:val="000000"/>
                <w:sz w:val="24"/>
                <w:szCs w:val="24"/>
                <w:rtl/>
              </w:rPr>
              <w:t>שלום</w:t>
            </w:r>
          </w:p>
        </w:tc>
        <w:tc>
          <w:tcPr>
            <w:tcW w:w="1080" w:type="dxa"/>
            <w:tcBorders>
              <w:top w:val="nil"/>
              <w:left w:val="single" w:sz="4" w:space="0" w:color="auto"/>
              <w:bottom w:val="single" w:sz="4" w:space="0" w:color="auto"/>
              <w:right w:val="single" w:sz="4" w:space="0" w:color="auto"/>
            </w:tcBorders>
            <w:shd w:val="clear" w:color="auto" w:fill="FBE4D5"/>
            <w:noWrap/>
            <w:vAlign w:val="bottom"/>
            <w:hideMark/>
          </w:tcPr>
          <w:p w14:paraId="08734AEA" w14:textId="77777777" w:rsidR="00DC2544" w:rsidRPr="00F25744" w:rsidRDefault="00E25AE7" w:rsidP="00DC2544">
            <w:pPr>
              <w:bidi w:val="0"/>
              <w:spacing w:after="0" w:line="240" w:lineRule="auto"/>
              <w:jc w:val="right"/>
              <w:rPr>
                <w:rFonts w:ascii="David" w:eastAsia="Times New Roman" w:hAnsi="David" w:cs="David"/>
                <w:color w:val="000000"/>
                <w:sz w:val="24"/>
                <w:szCs w:val="24"/>
                <w:rtl/>
              </w:rPr>
            </w:pPr>
            <w:r w:rsidRPr="00F25744">
              <w:rPr>
                <w:rFonts w:ascii="David" w:eastAsia="Times New Roman" w:hAnsi="David" w:cs="David"/>
                <w:color w:val="000000"/>
                <w:sz w:val="24"/>
                <w:szCs w:val="24"/>
              </w:rPr>
              <w:t>110</w:t>
            </w:r>
            <w:r w:rsidRPr="00F25744">
              <w:rPr>
                <w:rFonts w:ascii="David" w:eastAsia="Times New Roman" w:hAnsi="David" w:cs="David" w:hint="cs"/>
                <w:color w:val="000000"/>
                <w:sz w:val="24"/>
                <w:szCs w:val="24"/>
                <w:rtl/>
              </w:rPr>
              <w:t>,</w:t>
            </w:r>
            <w:r w:rsidRPr="00F25744">
              <w:rPr>
                <w:rFonts w:ascii="David" w:eastAsia="Times New Roman" w:hAnsi="David" w:cs="David"/>
                <w:color w:val="000000"/>
                <w:sz w:val="24"/>
                <w:szCs w:val="24"/>
              </w:rPr>
              <w:t>419</w:t>
            </w:r>
          </w:p>
        </w:tc>
        <w:tc>
          <w:tcPr>
            <w:tcW w:w="1080" w:type="dxa"/>
            <w:tcBorders>
              <w:top w:val="nil"/>
              <w:left w:val="single" w:sz="4" w:space="0" w:color="auto"/>
              <w:bottom w:val="single" w:sz="4" w:space="0" w:color="auto"/>
              <w:right w:val="single" w:sz="4" w:space="0" w:color="auto"/>
            </w:tcBorders>
            <w:shd w:val="clear" w:color="auto" w:fill="FBE4D5"/>
            <w:noWrap/>
            <w:vAlign w:val="bottom"/>
            <w:hideMark/>
          </w:tcPr>
          <w:p w14:paraId="4A0DB060" w14:textId="77777777" w:rsidR="00DC2544" w:rsidRPr="00F25744" w:rsidRDefault="00E25AE7" w:rsidP="00DC2544">
            <w:pPr>
              <w:bidi w:val="0"/>
              <w:spacing w:after="0" w:line="240" w:lineRule="auto"/>
              <w:jc w:val="right"/>
              <w:rPr>
                <w:rFonts w:ascii="David" w:eastAsia="Times New Roman" w:hAnsi="David" w:cs="David"/>
                <w:color w:val="000000"/>
                <w:sz w:val="24"/>
                <w:szCs w:val="24"/>
              </w:rPr>
            </w:pPr>
            <w:r w:rsidRPr="00F25744">
              <w:rPr>
                <w:rFonts w:ascii="David" w:eastAsia="Times New Roman" w:hAnsi="David" w:cs="David"/>
                <w:color w:val="000000"/>
                <w:sz w:val="24"/>
                <w:szCs w:val="24"/>
              </w:rPr>
              <w:t>477</w:t>
            </w:r>
          </w:p>
        </w:tc>
        <w:tc>
          <w:tcPr>
            <w:tcW w:w="1080" w:type="dxa"/>
            <w:tcBorders>
              <w:top w:val="nil"/>
              <w:left w:val="single" w:sz="4" w:space="0" w:color="auto"/>
              <w:bottom w:val="single" w:sz="4" w:space="0" w:color="auto"/>
              <w:right w:val="single" w:sz="4" w:space="0" w:color="auto"/>
            </w:tcBorders>
            <w:shd w:val="clear" w:color="auto" w:fill="FBE4D5"/>
            <w:noWrap/>
            <w:vAlign w:val="bottom"/>
            <w:hideMark/>
          </w:tcPr>
          <w:p w14:paraId="0A3423A7" w14:textId="77777777" w:rsidR="00DC2544" w:rsidRPr="00F25744" w:rsidRDefault="00E25AE7" w:rsidP="00DC2544">
            <w:pPr>
              <w:bidi w:val="0"/>
              <w:spacing w:after="0" w:line="240" w:lineRule="auto"/>
              <w:jc w:val="right"/>
              <w:rPr>
                <w:rFonts w:ascii="David" w:eastAsia="Times New Roman" w:hAnsi="David" w:cs="David"/>
                <w:b/>
                <w:bCs/>
                <w:color w:val="000000"/>
                <w:sz w:val="24"/>
                <w:szCs w:val="24"/>
              </w:rPr>
            </w:pPr>
            <w:r w:rsidRPr="00F25744">
              <w:rPr>
                <w:rFonts w:ascii="David" w:eastAsia="Times New Roman" w:hAnsi="David" w:cs="David"/>
                <w:b/>
                <w:bCs/>
                <w:color w:val="000000"/>
                <w:sz w:val="24"/>
                <w:szCs w:val="24"/>
              </w:rPr>
              <w:t>3.86</w:t>
            </w:r>
          </w:p>
        </w:tc>
        <w:tc>
          <w:tcPr>
            <w:tcW w:w="1080" w:type="dxa"/>
            <w:tcBorders>
              <w:top w:val="nil"/>
              <w:left w:val="single" w:sz="4" w:space="0" w:color="auto"/>
              <w:bottom w:val="single" w:sz="4" w:space="0" w:color="auto"/>
              <w:right w:val="single" w:sz="4" w:space="0" w:color="auto"/>
            </w:tcBorders>
            <w:shd w:val="clear" w:color="000000" w:fill="BDD7EE"/>
            <w:vAlign w:val="bottom"/>
          </w:tcPr>
          <w:p w14:paraId="0D4869CE" w14:textId="77777777" w:rsidR="00DC2544" w:rsidRPr="00F25744" w:rsidRDefault="00E25AE7" w:rsidP="00DC2544">
            <w:pPr>
              <w:bidi w:val="0"/>
              <w:spacing w:after="0" w:line="240" w:lineRule="auto"/>
              <w:jc w:val="right"/>
              <w:rPr>
                <w:rFonts w:ascii="David" w:eastAsia="Times New Roman" w:hAnsi="David" w:cs="David"/>
                <w:color w:val="000000"/>
                <w:sz w:val="24"/>
                <w:szCs w:val="24"/>
                <w:rtl/>
              </w:rPr>
            </w:pPr>
            <w:r w:rsidRPr="00F25744">
              <w:rPr>
                <w:rFonts w:ascii="David" w:eastAsia="Times New Roman" w:hAnsi="David" w:cs="David"/>
                <w:color w:val="000000"/>
                <w:sz w:val="24"/>
                <w:szCs w:val="24"/>
              </w:rPr>
              <w:t>27</w:t>
            </w:r>
            <w:r w:rsidRPr="00F25744">
              <w:rPr>
                <w:rFonts w:ascii="David" w:eastAsia="Times New Roman" w:hAnsi="David" w:cs="David" w:hint="cs"/>
                <w:color w:val="000000"/>
                <w:sz w:val="24"/>
                <w:szCs w:val="24"/>
                <w:rtl/>
              </w:rPr>
              <w:t>,</w:t>
            </w:r>
            <w:r w:rsidRPr="00F25744">
              <w:rPr>
                <w:rFonts w:ascii="David" w:eastAsia="Times New Roman" w:hAnsi="David" w:cs="David"/>
                <w:color w:val="000000"/>
                <w:sz w:val="24"/>
                <w:szCs w:val="24"/>
              </w:rPr>
              <w:t>247</w:t>
            </w:r>
          </w:p>
        </w:tc>
        <w:tc>
          <w:tcPr>
            <w:tcW w:w="1080" w:type="dxa"/>
            <w:tcBorders>
              <w:top w:val="nil"/>
              <w:left w:val="single" w:sz="4" w:space="0" w:color="auto"/>
              <w:bottom w:val="single" w:sz="4" w:space="0" w:color="auto"/>
              <w:right w:val="single" w:sz="4" w:space="0" w:color="auto"/>
            </w:tcBorders>
            <w:shd w:val="clear" w:color="000000" w:fill="BDD7EE"/>
            <w:vAlign w:val="bottom"/>
          </w:tcPr>
          <w:p w14:paraId="2E0FB6CA" w14:textId="77777777" w:rsidR="00DC2544" w:rsidRPr="00F25744" w:rsidRDefault="00E25AE7" w:rsidP="00DC2544">
            <w:pPr>
              <w:bidi w:val="0"/>
              <w:spacing w:after="0" w:line="240" w:lineRule="auto"/>
              <w:jc w:val="right"/>
              <w:rPr>
                <w:rFonts w:ascii="David" w:eastAsia="Times New Roman" w:hAnsi="David" w:cs="David"/>
                <w:color w:val="000000"/>
                <w:sz w:val="24"/>
                <w:szCs w:val="24"/>
              </w:rPr>
            </w:pPr>
            <w:r w:rsidRPr="00F25744">
              <w:rPr>
                <w:rFonts w:ascii="David" w:eastAsia="Times New Roman" w:hAnsi="David" w:cs="David"/>
                <w:color w:val="000000"/>
                <w:sz w:val="24"/>
                <w:szCs w:val="24"/>
              </w:rPr>
              <w:t>113</w:t>
            </w:r>
          </w:p>
        </w:tc>
        <w:tc>
          <w:tcPr>
            <w:tcW w:w="1238" w:type="dxa"/>
            <w:tcBorders>
              <w:top w:val="nil"/>
              <w:left w:val="single" w:sz="4" w:space="0" w:color="auto"/>
              <w:bottom w:val="single" w:sz="4" w:space="0" w:color="auto"/>
              <w:right w:val="single" w:sz="4" w:space="0" w:color="auto"/>
            </w:tcBorders>
            <w:shd w:val="clear" w:color="000000" w:fill="BDD7EE"/>
            <w:vAlign w:val="bottom"/>
          </w:tcPr>
          <w:p w14:paraId="2BE42AA4" w14:textId="77777777" w:rsidR="00DC2544" w:rsidRPr="00F25744" w:rsidRDefault="00E25AE7" w:rsidP="00DC2544">
            <w:pPr>
              <w:bidi w:val="0"/>
              <w:spacing w:after="0" w:line="240" w:lineRule="auto"/>
              <w:jc w:val="right"/>
              <w:rPr>
                <w:rFonts w:ascii="David" w:eastAsia="Times New Roman" w:hAnsi="David" w:cs="David"/>
                <w:b/>
                <w:bCs/>
                <w:color w:val="000000"/>
                <w:sz w:val="24"/>
                <w:szCs w:val="24"/>
              </w:rPr>
            </w:pPr>
            <w:r w:rsidRPr="00F25744">
              <w:rPr>
                <w:rFonts w:ascii="David" w:eastAsia="Times New Roman" w:hAnsi="David" w:cs="David"/>
                <w:b/>
                <w:bCs/>
                <w:color w:val="000000"/>
                <w:sz w:val="24"/>
                <w:szCs w:val="24"/>
              </w:rPr>
              <w:t>4.02</w:t>
            </w:r>
          </w:p>
        </w:tc>
      </w:tr>
    </w:tbl>
    <w:p w14:paraId="3079920D" w14:textId="77777777" w:rsidR="00BF3027" w:rsidRDefault="00BF3027" w:rsidP="009F79A3">
      <w:pPr>
        <w:pStyle w:val="a3"/>
        <w:widowControl w:val="0"/>
        <w:autoSpaceDE w:val="0"/>
        <w:autoSpaceDN w:val="0"/>
        <w:bidi/>
        <w:adjustRightInd w:val="0"/>
        <w:spacing w:before="60" w:after="60" w:line="360" w:lineRule="auto"/>
        <w:ind w:left="0"/>
        <w:rPr>
          <w:rFonts w:ascii="David" w:hAnsi="David" w:cs="David"/>
          <w:sz w:val="24"/>
          <w:szCs w:val="24"/>
          <w:rtl/>
        </w:rPr>
      </w:pPr>
    </w:p>
    <w:p w14:paraId="71844380" w14:textId="3CB7D857" w:rsidR="00F3463F" w:rsidRDefault="00E25AE7" w:rsidP="00BF3027">
      <w:pPr>
        <w:pStyle w:val="a3"/>
        <w:widowControl w:val="0"/>
        <w:autoSpaceDE w:val="0"/>
        <w:autoSpaceDN w:val="0"/>
        <w:bidi/>
        <w:adjustRightInd w:val="0"/>
        <w:spacing w:before="60" w:after="60" w:line="360" w:lineRule="auto"/>
        <w:ind w:left="0"/>
        <w:rPr>
          <w:rFonts w:ascii="David" w:hAnsi="David" w:cs="David"/>
          <w:sz w:val="24"/>
          <w:szCs w:val="24"/>
          <w:rtl/>
        </w:rPr>
      </w:pPr>
      <w:r w:rsidRPr="00F25744">
        <w:rPr>
          <w:rFonts w:ascii="David" w:hAnsi="David" w:cs="David" w:hint="cs"/>
          <w:sz w:val="24"/>
          <w:szCs w:val="24"/>
          <w:rtl/>
        </w:rPr>
        <w:t>ניתן לראות כי בימי שישי, השופטים הפליליים עובדים בממוצע מספר שעות רב יותר</w:t>
      </w:r>
      <w:r w:rsidR="006147BD" w:rsidRPr="00F25744">
        <w:rPr>
          <w:rFonts w:ascii="David" w:hAnsi="David" w:cs="David" w:hint="cs"/>
          <w:sz w:val="24"/>
          <w:szCs w:val="24"/>
          <w:rtl/>
        </w:rPr>
        <w:t xml:space="preserve"> לעומת השופטים האזרחיים. </w:t>
      </w:r>
    </w:p>
    <w:p w14:paraId="11DB7F80" w14:textId="77777777" w:rsidR="00BF3027" w:rsidRDefault="00BF3027" w:rsidP="00BF3027">
      <w:pPr>
        <w:pStyle w:val="a3"/>
        <w:widowControl w:val="0"/>
        <w:autoSpaceDE w:val="0"/>
        <w:autoSpaceDN w:val="0"/>
        <w:bidi/>
        <w:adjustRightInd w:val="0"/>
        <w:spacing w:before="60" w:after="60" w:line="360" w:lineRule="auto"/>
        <w:ind w:left="0"/>
        <w:rPr>
          <w:rFonts w:ascii="David" w:hAnsi="David" w:cs="David"/>
          <w:sz w:val="24"/>
          <w:szCs w:val="24"/>
          <w:rtl/>
        </w:rPr>
      </w:pPr>
    </w:p>
    <w:p w14:paraId="7A1E7597" w14:textId="19D1BD1F" w:rsidR="00840519" w:rsidRPr="00F25744" w:rsidRDefault="000C1408" w:rsidP="000C1408">
      <w:pPr>
        <w:pStyle w:val="4"/>
        <w:ind w:left="994"/>
        <w:rPr>
          <w:rtl/>
        </w:rPr>
      </w:pPr>
      <w:bookmarkStart w:id="771" w:name="_Toc46226097"/>
      <w:bookmarkStart w:id="772" w:name="_Toc46226241"/>
      <w:bookmarkStart w:id="773" w:name="_Toc46228408"/>
      <w:bookmarkStart w:id="774" w:name="_Toc46228506"/>
      <w:bookmarkStart w:id="775" w:name="_Toc46230433"/>
      <w:bookmarkStart w:id="776" w:name="_Toc46230531"/>
      <w:bookmarkStart w:id="777" w:name="_Toc46310421"/>
      <w:bookmarkStart w:id="778" w:name="_Toc46414064"/>
      <w:r>
        <w:rPr>
          <w:rFonts w:hint="cs"/>
          <w:rtl/>
        </w:rPr>
        <w:lastRenderedPageBreak/>
        <w:t xml:space="preserve"> </w:t>
      </w:r>
      <w:bookmarkStart w:id="779" w:name="_Toc74751023"/>
      <w:r w:rsidR="00E25AE7" w:rsidRPr="00F25744">
        <w:rPr>
          <w:rFonts w:hint="cs"/>
          <w:rtl/>
        </w:rPr>
        <w:t>משך יום העבודה השיפוטי בימי עבודה "מיוחדים"</w:t>
      </w:r>
      <w:bookmarkEnd w:id="771"/>
      <w:bookmarkEnd w:id="772"/>
      <w:bookmarkEnd w:id="773"/>
      <w:bookmarkEnd w:id="774"/>
      <w:bookmarkEnd w:id="775"/>
      <w:bookmarkEnd w:id="776"/>
      <w:bookmarkEnd w:id="777"/>
      <w:bookmarkEnd w:id="778"/>
      <w:bookmarkEnd w:id="779"/>
    </w:p>
    <w:p w14:paraId="7D9217DD" w14:textId="77777777" w:rsidR="00840519" w:rsidRPr="00F25744" w:rsidRDefault="00E25AE7" w:rsidP="008336F3">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 xml:space="preserve">משיחות עם שופטים ורשמים עולה, כי העבודה השיפוטית אינה מתבצעת רק </w:t>
      </w:r>
      <w:r w:rsidR="00F50C7B" w:rsidRPr="00F25744">
        <w:rPr>
          <w:rFonts w:ascii="David" w:hAnsi="David" w:cs="David" w:hint="cs"/>
          <w:sz w:val="24"/>
          <w:szCs w:val="24"/>
          <w:rtl/>
        </w:rPr>
        <w:t>ב</w:t>
      </w:r>
      <w:r w:rsidR="00493ABB" w:rsidRPr="00F25744">
        <w:rPr>
          <w:rFonts w:ascii="David" w:hAnsi="David" w:cs="David" w:hint="cs"/>
          <w:sz w:val="24"/>
          <w:szCs w:val="24"/>
          <w:rtl/>
        </w:rPr>
        <w:t>שבוע העבודה המוגדר</w:t>
      </w:r>
      <w:r w:rsidRPr="00F25744">
        <w:rPr>
          <w:rFonts w:ascii="David" w:hAnsi="David" w:cs="David" w:hint="cs"/>
          <w:sz w:val="24"/>
          <w:szCs w:val="24"/>
          <w:rtl/>
        </w:rPr>
        <w:t xml:space="preserve">, אלא גם במהלך </w:t>
      </w:r>
      <w:r w:rsidR="00493ABB" w:rsidRPr="00F25744">
        <w:rPr>
          <w:rFonts w:ascii="David" w:hAnsi="David" w:cs="David" w:hint="cs"/>
          <w:sz w:val="24"/>
          <w:szCs w:val="24"/>
          <w:rtl/>
        </w:rPr>
        <w:t>י</w:t>
      </w:r>
      <w:r w:rsidR="00791B4A" w:rsidRPr="00F25744">
        <w:rPr>
          <w:rFonts w:ascii="David" w:hAnsi="David" w:cs="David" w:hint="cs"/>
          <w:sz w:val="24"/>
          <w:szCs w:val="24"/>
          <w:rtl/>
        </w:rPr>
        <w:t>ום</w:t>
      </w:r>
      <w:r w:rsidR="00493ABB" w:rsidRPr="00F25744">
        <w:rPr>
          <w:rFonts w:ascii="David" w:hAnsi="David" w:cs="David" w:hint="cs"/>
          <w:sz w:val="24"/>
          <w:szCs w:val="24"/>
          <w:rtl/>
        </w:rPr>
        <w:t xml:space="preserve"> </w:t>
      </w:r>
      <w:r w:rsidRPr="00F25744">
        <w:rPr>
          <w:rFonts w:ascii="David" w:hAnsi="David" w:cs="David" w:hint="cs"/>
          <w:sz w:val="24"/>
          <w:szCs w:val="24"/>
          <w:rtl/>
        </w:rPr>
        <w:t xml:space="preserve">המנוחה השבועי, כמו גם בחופשות, בשבתונים, בימי מחלה ועוד. שעות העבודה שהוקדשו בימים אלה </w:t>
      </w:r>
      <w:r w:rsidR="00E6459F" w:rsidRPr="00F25744">
        <w:rPr>
          <w:rFonts w:ascii="David" w:hAnsi="David" w:cs="David" w:hint="cs"/>
          <w:sz w:val="24"/>
          <w:szCs w:val="24"/>
          <w:rtl/>
        </w:rPr>
        <w:t xml:space="preserve">קצרות </w:t>
      </w:r>
      <w:r w:rsidRPr="00F25744">
        <w:rPr>
          <w:rFonts w:ascii="David" w:hAnsi="David" w:cs="David" w:hint="cs"/>
          <w:sz w:val="24"/>
          <w:szCs w:val="24"/>
          <w:rtl/>
        </w:rPr>
        <w:t>לרוב מיו</w:t>
      </w:r>
      <w:r w:rsidR="00791B4A" w:rsidRPr="00F25744">
        <w:rPr>
          <w:rFonts w:ascii="David" w:hAnsi="David" w:cs="David" w:hint="cs"/>
          <w:sz w:val="24"/>
          <w:szCs w:val="24"/>
          <w:rtl/>
        </w:rPr>
        <w:t>ם עבודה "רגיל" ולכן יוצגו בנפרד</w:t>
      </w:r>
      <w:r w:rsidRPr="00F25744">
        <w:rPr>
          <w:rFonts w:ascii="David" w:hAnsi="David" w:cs="David" w:hint="cs"/>
          <w:sz w:val="24"/>
          <w:szCs w:val="24"/>
          <w:rtl/>
        </w:rPr>
        <w:t xml:space="preserve">. </w:t>
      </w:r>
    </w:p>
    <w:p w14:paraId="68AA7CC8" w14:textId="77777777" w:rsidR="00840519" w:rsidRPr="00F25744" w:rsidRDefault="00E25AE7" w:rsidP="008336F3">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מדי יום מימי המחקר, בממוצע, 8% מהשופטים דיווחו ביומנים על יום עבודה מיוחד,</w:t>
      </w:r>
      <w:r w:rsidRPr="00F25744">
        <w:rPr>
          <w:rFonts w:ascii="David" w:hAnsi="David" w:cs="David"/>
          <w:sz w:val="24"/>
          <w:szCs w:val="24"/>
          <w:rtl/>
        </w:rPr>
        <w:br/>
      </w:r>
      <w:r w:rsidRPr="00F25744">
        <w:rPr>
          <w:rFonts w:ascii="David" w:hAnsi="David" w:cs="David" w:hint="cs"/>
          <w:sz w:val="24"/>
          <w:szCs w:val="24"/>
          <w:rtl/>
        </w:rPr>
        <w:t>(שבתון, ימי ארעי, מחלה, חופשה וכו') בין הימים א-ה.</w:t>
      </w:r>
      <w:r w:rsidR="0028129E" w:rsidRPr="00F25744">
        <w:rPr>
          <w:rFonts w:ascii="David" w:hAnsi="David" w:cs="David" w:hint="cs"/>
          <w:sz w:val="24"/>
          <w:szCs w:val="24"/>
          <w:rtl/>
        </w:rPr>
        <w:t xml:space="preserve"> </w:t>
      </w:r>
      <w:r w:rsidR="007F3A52" w:rsidRPr="00F25744">
        <w:rPr>
          <w:rFonts w:ascii="David" w:hAnsi="David" w:cs="David" w:hint="cs"/>
          <w:sz w:val="24"/>
          <w:szCs w:val="24"/>
          <w:rtl/>
        </w:rPr>
        <w:t xml:space="preserve">מספר שעות העבודה השיפוטית </w:t>
      </w:r>
      <w:r w:rsidR="007F3A52" w:rsidRPr="00F25744">
        <w:rPr>
          <w:rFonts w:ascii="David" w:hAnsi="David" w:cs="David" w:hint="cs"/>
          <w:b/>
          <w:bCs/>
          <w:sz w:val="24"/>
          <w:szCs w:val="24"/>
          <w:rtl/>
        </w:rPr>
        <w:t>הממוצע</w:t>
      </w:r>
      <w:r w:rsidR="007F3A52" w:rsidRPr="00F25744">
        <w:rPr>
          <w:rFonts w:ascii="David" w:hAnsi="David" w:cs="David" w:hint="cs"/>
          <w:sz w:val="24"/>
          <w:szCs w:val="24"/>
          <w:rtl/>
        </w:rPr>
        <w:t xml:space="preserve"> לשופט בישראל (לרבות שופטי מערכת בתי הדין לעבודה) בימים "מיוחדים" נמצא כמתקרב ל-</w:t>
      </w:r>
      <w:r w:rsidR="007F3A52" w:rsidRPr="00F25744">
        <w:rPr>
          <w:rFonts w:ascii="David" w:hAnsi="David" w:cs="David" w:hint="cs"/>
          <w:b/>
          <w:bCs/>
          <w:sz w:val="24"/>
          <w:szCs w:val="24"/>
          <w:rtl/>
        </w:rPr>
        <w:t>4</w:t>
      </w:r>
      <w:r w:rsidRPr="00F25744">
        <w:rPr>
          <w:rFonts w:ascii="David" w:hAnsi="David" w:cs="David" w:hint="cs"/>
          <w:b/>
          <w:bCs/>
          <w:sz w:val="24"/>
          <w:szCs w:val="24"/>
          <w:rtl/>
        </w:rPr>
        <w:t>.5</w:t>
      </w:r>
      <w:r w:rsidR="00096B80" w:rsidRPr="00F25744">
        <w:rPr>
          <w:rFonts w:ascii="David" w:hAnsi="David" w:cs="David" w:hint="cs"/>
          <w:b/>
          <w:bCs/>
          <w:sz w:val="24"/>
          <w:szCs w:val="24"/>
          <w:rtl/>
        </w:rPr>
        <w:t xml:space="preserve"> שעות עבודה ליום</w:t>
      </w:r>
      <w:r w:rsidR="007F3A52" w:rsidRPr="00F25744">
        <w:rPr>
          <w:rFonts w:ascii="David" w:hAnsi="David" w:cs="David" w:hint="cs"/>
          <w:sz w:val="24"/>
          <w:szCs w:val="24"/>
          <w:rtl/>
        </w:rPr>
        <w:t xml:space="preserve">. </w:t>
      </w:r>
      <w:r w:rsidR="007F3A52" w:rsidRPr="00F25744">
        <w:rPr>
          <w:rFonts w:ascii="David" w:hAnsi="David" w:cs="David" w:hint="cs"/>
          <w:b/>
          <w:bCs/>
          <w:sz w:val="24"/>
          <w:szCs w:val="24"/>
          <w:rtl/>
        </w:rPr>
        <w:t>טבלה</w:t>
      </w:r>
      <w:r w:rsidR="007F3A52" w:rsidRPr="00F25744">
        <w:rPr>
          <w:rFonts w:ascii="David" w:hAnsi="David" w:cs="David" w:hint="cs"/>
          <w:sz w:val="24"/>
          <w:szCs w:val="24"/>
          <w:rtl/>
        </w:rPr>
        <w:t xml:space="preserve"> </w:t>
      </w:r>
      <w:r w:rsidR="00096B80" w:rsidRPr="00F25744">
        <w:rPr>
          <w:rFonts w:ascii="David" w:hAnsi="David" w:cs="David" w:hint="cs"/>
          <w:b/>
          <w:bCs/>
          <w:sz w:val="24"/>
          <w:szCs w:val="24"/>
          <w:rtl/>
        </w:rPr>
        <w:t>2</w:t>
      </w:r>
      <w:r w:rsidR="00785D7C" w:rsidRPr="00F25744">
        <w:rPr>
          <w:rFonts w:ascii="David" w:hAnsi="David" w:cs="David" w:hint="cs"/>
          <w:b/>
          <w:bCs/>
          <w:sz w:val="24"/>
          <w:szCs w:val="24"/>
          <w:rtl/>
        </w:rPr>
        <w:t>3</w:t>
      </w:r>
      <w:r w:rsidR="00324984" w:rsidRPr="00F25744">
        <w:rPr>
          <w:rFonts w:ascii="David" w:hAnsi="David" w:cs="David" w:hint="cs"/>
          <w:sz w:val="24"/>
          <w:szCs w:val="24"/>
          <w:rtl/>
        </w:rPr>
        <w:t xml:space="preserve"> </w:t>
      </w:r>
      <w:r w:rsidR="007F3A52" w:rsidRPr="00F25744">
        <w:rPr>
          <w:rFonts w:ascii="David" w:hAnsi="David" w:cs="David" w:hint="cs"/>
          <w:sz w:val="24"/>
          <w:szCs w:val="24"/>
          <w:rtl/>
        </w:rPr>
        <w:t>מציגה את ממוצע שעות העבודה נטו ליום "מיוחד" בחלוקה לערכאות השונות:</w:t>
      </w:r>
    </w:p>
    <w:p w14:paraId="6F81FC77" w14:textId="77777777" w:rsidR="006D1629" w:rsidRPr="00F25744" w:rsidRDefault="006D1629" w:rsidP="008336F3">
      <w:pPr>
        <w:pStyle w:val="af6"/>
        <w:spacing w:after="0" w:line="240" w:lineRule="auto"/>
        <w:rPr>
          <w:rtl/>
        </w:rPr>
      </w:pPr>
    </w:p>
    <w:p w14:paraId="68BF4C13" w14:textId="60AA60AD" w:rsidR="00840519" w:rsidRPr="00F25744" w:rsidRDefault="008534FC" w:rsidP="008336F3">
      <w:pPr>
        <w:pStyle w:val="af6"/>
        <w:spacing w:after="0"/>
        <w:rPr>
          <w:rFonts w:ascii="David" w:hAnsi="David"/>
          <w:sz w:val="24"/>
          <w:rtl/>
        </w:rPr>
      </w:pPr>
      <w:bookmarkStart w:id="780" w:name="_Toc76988917"/>
      <w:r w:rsidRPr="00F25744">
        <w:rPr>
          <w:rtl/>
        </w:rPr>
        <w:t xml:space="preserve">טבלה </w:t>
      </w:r>
      <w:r w:rsidRPr="00F25744">
        <w:rPr>
          <w:rtl/>
        </w:rPr>
        <w:fldChar w:fldCharType="begin"/>
      </w:r>
      <w:r w:rsidRPr="00F25744">
        <w:rPr>
          <w:rtl/>
        </w:rPr>
        <w:instrText xml:space="preserve"> </w:instrText>
      </w:r>
      <w:r w:rsidRPr="00F25744">
        <w:instrText>SEQ</w:instrText>
      </w:r>
      <w:r w:rsidRPr="00F25744">
        <w:rPr>
          <w:rtl/>
        </w:rPr>
        <w:instrText xml:space="preserve"> טבלה \* </w:instrText>
      </w:r>
      <w:r w:rsidRPr="00F25744">
        <w:instrText>ARABIC</w:instrText>
      </w:r>
      <w:r w:rsidRPr="00F25744">
        <w:rPr>
          <w:rtl/>
        </w:rPr>
        <w:instrText xml:space="preserve"> </w:instrText>
      </w:r>
      <w:r w:rsidRPr="00F25744">
        <w:rPr>
          <w:rtl/>
        </w:rPr>
        <w:fldChar w:fldCharType="separate"/>
      </w:r>
      <w:r w:rsidR="008F1BC3">
        <w:rPr>
          <w:noProof/>
          <w:rtl/>
        </w:rPr>
        <w:t>22</w:t>
      </w:r>
      <w:r w:rsidRPr="00F25744">
        <w:rPr>
          <w:rtl/>
        </w:rPr>
        <w:fldChar w:fldCharType="end"/>
      </w:r>
      <w:r w:rsidR="007F3A52" w:rsidRPr="00F25744">
        <w:rPr>
          <w:rFonts w:ascii="David" w:hAnsi="David" w:hint="cs"/>
          <w:sz w:val="24"/>
          <w:rtl/>
        </w:rPr>
        <w:t>: נתונים על ממוצע שעות העבודה נטו ביום "מיוחד" בחלוקה לערכאות</w:t>
      </w:r>
      <w:bookmarkEnd w:id="780"/>
    </w:p>
    <w:tbl>
      <w:tblPr>
        <w:tblpPr w:rightFromText="85" w:vertAnchor="text" w:tblpX="-606" w:tblpY="1"/>
        <w:bidiVisual/>
        <w:tblW w:w="9266" w:type="dxa"/>
        <w:tblLook w:val="04A0" w:firstRow="1" w:lastRow="0" w:firstColumn="1" w:lastColumn="0" w:noHBand="0" w:noVBand="1"/>
      </w:tblPr>
      <w:tblGrid>
        <w:gridCol w:w="1601"/>
        <w:gridCol w:w="11"/>
        <w:gridCol w:w="901"/>
        <w:gridCol w:w="1265"/>
        <w:gridCol w:w="1662"/>
        <w:gridCol w:w="2410"/>
        <w:gridCol w:w="1416"/>
      </w:tblGrid>
      <w:tr w:rsidR="00E0162E" w:rsidRPr="00F25744" w14:paraId="6836B9F0" w14:textId="77777777" w:rsidTr="003068A1">
        <w:trPr>
          <w:trHeight w:val="600"/>
        </w:trPr>
        <w:tc>
          <w:tcPr>
            <w:tcW w:w="1612" w:type="dxa"/>
            <w:gridSpan w:val="2"/>
            <w:tcBorders>
              <w:bottom w:val="single" w:sz="4" w:space="0" w:color="auto"/>
            </w:tcBorders>
            <w:shd w:val="clear" w:color="auto" w:fill="auto"/>
            <w:vAlign w:val="bottom"/>
            <w:hideMark/>
          </w:tcPr>
          <w:p w14:paraId="0DD67602" w14:textId="77777777" w:rsidR="00840519" w:rsidRPr="003068A1" w:rsidRDefault="00E25AE7" w:rsidP="003068A1">
            <w:pPr>
              <w:spacing w:after="0" w:line="240" w:lineRule="auto"/>
              <w:rPr>
                <w:rFonts w:ascii="David" w:eastAsia="Times New Roman" w:hAnsi="David" w:cs="David"/>
                <w:b/>
                <w:bCs/>
                <w:color w:val="000000"/>
                <w:sz w:val="24"/>
                <w:szCs w:val="24"/>
                <w:rtl/>
              </w:rPr>
            </w:pPr>
            <w:r w:rsidRPr="003068A1">
              <w:rPr>
                <w:rFonts w:ascii="David" w:eastAsia="Times New Roman" w:hAnsi="David" w:cs="David"/>
                <w:b/>
                <w:bCs/>
                <w:color w:val="000000"/>
                <w:sz w:val="24"/>
                <w:szCs w:val="24"/>
                <w:rtl/>
              </w:rPr>
              <w:t>ערכאה</w:t>
            </w:r>
          </w:p>
        </w:tc>
        <w:tc>
          <w:tcPr>
            <w:tcW w:w="900" w:type="dxa"/>
            <w:tcBorders>
              <w:bottom w:val="single" w:sz="4" w:space="0" w:color="auto"/>
            </w:tcBorders>
            <w:shd w:val="clear" w:color="auto" w:fill="auto"/>
            <w:vAlign w:val="bottom"/>
            <w:hideMark/>
          </w:tcPr>
          <w:p w14:paraId="7779DCED" w14:textId="77777777" w:rsidR="00840519" w:rsidRPr="003068A1" w:rsidRDefault="00E25AE7" w:rsidP="003068A1">
            <w:pPr>
              <w:spacing w:after="0" w:line="240" w:lineRule="auto"/>
              <w:jc w:val="center"/>
              <w:rPr>
                <w:rFonts w:ascii="David" w:eastAsia="Times New Roman" w:hAnsi="David" w:cs="David"/>
                <w:b/>
                <w:bCs/>
                <w:color w:val="000000"/>
                <w:sz w:val="24"/>
                <w:szCs w:val="24"/>
                <w:rtl/>
              </w:rPr>
            </w:pPr>
            <w:r w:rsidRPr="003068A1">
              <w:rPr>
                <w:rFonts w:ascii="David" w:eastAsia="Times New Roman" w:hAnsi="David" w:cs="David"/>
                <w:b/>
                <w:bCs/>
                <w:color w:val="000000"/>
                <w:sz w:val="24"/>
                <w:szCs w:val="24"/>
                <w:rtl/>
              </w:rPr>
              <w:t xml:space="preserve">כמות </w:t>
            </w:r>
            <w:r w:rsidRPr="003068A1">
              <w:rPr>
                <w:rFonts w:ascii="David" w:eastAsia="Times New Roman" w:hAnsi="David" w:cs="David" w:hint="cs"/>
                <w:b/>
                <w:bCs/>
                <w:color w:val="000000"/>
                <w:sz w:val="24"/>
                <w:szCs w:val="24"/>
                <w:rtl/>
              </w:rPr>
              <w:t>דיווחים</w:t>
            </w:r>
          </w:p>
        </w:tc>
        <w:tc>
          <w:tcPr>
            <w:tcW w:w="1265" w:type="dxa"/>
            <w:tcBorders>
              <w:bottom w:val="single" w:sz="4" w:space="0" w:color="auto"/>
            </w:tcBorders>
            <w:shd w:val="clear" w:color="auto" w:fill="auto"/>
            <w:vAlign w:val="bottom"/>
            <w:hideMark/>
          </w:tcPr>
          <w:p w14:paraId="191D64C4" w14:textId="77777777" w:rsidR="00840519" w:rsidRPr="003068A1" w:rsidRDefault="00E25AE7" w:rsidP="003068A1">
            <w:pPr>
              <w:spacing w:after="0" w:line="240" w:lineRule="auto"/>
              <w:jc w:val="center"/>
              <w:rPr>
                <w:rFonts w:ascii="David" w:eastAsia="Times New Roman" w:hAnsi="David" w:cs="David"/>
                <w:b/>
                <w:bCs/>
                <w:color w:val="000000"/>
                <w:sz w:val="24"/>
                <w:szCs w:val="24"/>
                <w:rtl/>
              </w:rPr>
            </w:pPr>
            <w:r w:rsidRPr="003068A1">
              <w:rPr>
                <w:rFonts w:ascii="David" w:eastAsia="Times New Roman" w:hAnsi="David" w:cs="David"/>
                <w:b/>
                <w:bCs/>
                <w:color w:val="000000"/>
                <w:sz w:val="24"/>
                <w:szCs w:val="24"/>
                <w:rtl/>
              </w:rPr>
              <w:t>כמות שופטים</w:t>
            </w:r>
            <w:r w:rsidRPr="003068A1">
              <w:rPr>
                <w:rFonts w:ascii="David" w:eastAsia="Times New Roman" w:hAnsi="David" w:cs="David" w:hint="cs"/>
                <w:b/>
                <w:bCs/>
                <w:color w:val="000000"/>
                <w:sz w:val="24"/>
                <w:szCs w:val="24"/>
                <w:rtl/>
              </w:rPr>
              <w:t xml:space="preserve"> מדווחים</w:t>
            </w:r>
          </w:p>
        </w:tc>
        <w:tc>
          <w:tcPr>
            <w:tcW w:w="1662" w:type="dxa"/>
            <w:tcBorders>
              <w:bottom w:val="single" w:sz="4" w:space="0" w:color="auto"/>
            </w:tcBorders>
            <w:shd w:val="clear" w:color="auto" w:fill="auto"/>
            <w:vAlign w:val="bottom"/>
            <w:hideMark/>
          </w:tcPr>
          <w:p w14:paraId="17AF5FA3" w14:textId="77777777" w:rsidR="00840519" w:rsidRPr="003068A1" w:rsidRDefault="00E25AE7" w:rsidP="003068A1">
            <w:pPr>
              <w:spacing w:after="0" w:line="240" w:lineRule="auto"/>
              <w:jc w:val="center"/>
              <w:rPr>
                <w:rFonts w:ascii="David" w:eastAsia="Times New Roman" w:hAnsi="David" w:cs="David"/>
                <w:b/>
                <w:bCs/>
                <w:color w:val="000000"/>
                <w:sz w:val="24"/>
                <w:szCs w:val="24"/>
              </w:rPr>
            </w:pPr>
            <w:r w:rsidRPr="003068A1">
              <w:rPr>
                <w:rFonts w:ascii="David" w:eastAsia="Times New Roman" w:hAnsi="David" w:cs="David"/>
                <w:b/>
                <w:bCs/>
                <w:color w:val="000000"/>
                <w:sz w:val="24"/>
                <w:szCs w:val="24"/>
                <w:rtl/>
              </w:rPr>
              <w:t xml:space="preserve">סך שופטים </w:t>
            </w:r>
            <w:r w:rsidR="006C4E04" w:rsidRPr="003068A1">
              <w:rPr>
                <w:rFonts w:ascii="David" w:eastAsia="Times New Roman" w:hAnsi="David" w:cs="David" w:hint="cs"/>
                <w:b/>
                <w:bCs/>
                <w:color w:val="000000"/>
                <w:sz w:val="24"/>
                <w:szCs w:val="24"/>
                <w:rtl/>
              </w:rPr>
              <w:t>שמילאו יומנים בתקופת המחקר</w:t>
            </w:r>
          </w:p>
        </w:tc>
        <w:tc>
          <w:tcPr>
            <w:tcW w:w="2410" w:type="dxa"/>
            <w:tcBorders>
              <w:bottom w:val="single" w:sz="4" w:space="0" w:color="auto"/>
            </w:tcBorders>
            <w:shd w:val="clear" w:color="auto" w:fill="auto"/>
            <w:vAlign w:val="bottom"/>
            <w:hideMark/>
          </w:tcPr>
          <w:p w14:paraId="3DF4BF0A" w14:textId="77777777" w:rsidR="00840519" w:rsidRPr="003068A1" w:rsidRDefault="00E25AE7" w:rsidP="003068A1">
            <w:pPr>
              <w:spacing w:after="0" w:line="240" w:lineRule="auto"/>
              <w:jc w:val="center"/>
              <w:rPr>
                <w:rFonts w:ascii="David" w:eastAsia="Times New Roman" w:hAnsi="David" w:cs="David"/>
                <w:b/>
                <w:bCs/>
                <w:color w:val="000000"/>
                <w:sz w:val="24"/>
                <w:szCs w:val="24"/>
                <w:rtl/>
              </w:rPr>
            </w:pPr>
            <w:r w:rsidRPr="003068A1">
              <w:rPr>
                <w:rFonts w:ascii="David" w:eastAsia="Times New Roman" w:hAnsi="David" w:cs="David"/>
                <w:b/>
                <w:bCs/>
                <w:color w:val="000000"/>
                <w:sz w:val="24"/>
                <w:szCs w:val="24"/>
                <w:rtl/>
              </w:rPr>
              <w:t>אחוז שופטים בערכאה שמילאו</w:t>
            </w:r>
            <w:r w:rsidRPr="003068A1">
              <w:rPr>
                <w:rFonts w:ascii="David" w:eastAsia="Times New Roman" w:hAnsi="David" w:cs="David" w:hint="cs"/>
                <w:b/>
                <w:bCs/>
                <w:color w:val="000000"/>
                <w:sz w:val="24"/>
                <w:szCs w:val="24"/>
                <w:rtl/>
              </w:rPr>
              <w:t xml:space="preserve"> יומנים</w:t>
            </w:r>
            <w:r w:rsidR="00A03F85" w:rsidRPr="003068A1">
              <w:rPr>
                <w:rFonts w:ascii="David" w:eastAsia="Times New Roman" w:hAnsi="David" w:cs="David" w:hint="cs"/>
                <w:b/>
                <w:bCs/>
                <w:color w:val="000000"/>
                <w:sz w:val="24"/>
                <w:szCs w:val="24"/>
                <w:rtl/>
              </w:rPr>
              <w:t xml:space="preserve"> בימים "מיוחדים"</w:t>
            </w:r>
          </w:p>
        </w:tc>
        <w:tc>
          <w:tcPr>
            <w:tcW w:w="1417" w:type="dxa"/>
            <w:tcBorders>
              <w:bottom w:val="single" w:sz="4" w:space="0" w:color="auto"/>
            </w:tcBorders>
            <w:shd w:val="clear" w:color="auto" w:fill="auto"/>
            <w:vAlign w:val="bottom"/>
            <w:hideMark/>
          </w:tcPr>
          <w:p w14:paraId="7151BFC4" w14:textId="77777777" w:rsidR="00840519" w:rsidRPr="003068A1" w:rsidRDefault="00E25AE7" w:rsidP="003068A1">
            <w:pPr>
              <w:bidi w:val="0"/>
              <w:spacing w:after="0" w:line="240" w:lineRule="auto"/>
              <w:jc w:val="center"/>
              <w:rPr>
                <w:rFonts w:ascii="David" w:eastAsia="Times New Roman" w:hAnsi="David" w:cs="David"/>
                <w:b/>
                <w:bCs/>
                <w:color w:val="000000"/>
                <w:sz w:val="24"/>
                <w:szCs w:val="24"/>
                <w:rtl/>
              </w:rPr>
            </w:pPr>
            <w:r w:rsidRPr="003068A1">
              <w:rPr>
                <w:rFonts w:ascii="David" w:eastAsia="Times New Roman" w:hAnsi="David" w:cs="David"/>
                <w:b/>
                <w:bCs/>
                <w:color w:val="000000"/>
                <w:sz w:val="24"/>
                <w:szCs w:val="24"/>
                <w:rtl/>
              </w:rPr>
              <w:t>ממוצע שעות עבודה ביום</w:t>
            </w:r>
          </w:p>
        </w:tc>
      </w:tr>
      <w:tr w:rsidR="00E0162E" w:rsidRPr="00F25744" w14:paraId="7FF6B422" w14:textId="77777777" w:rsidTr="003068A1">
        <w:trPr>
          <w:trHeight w:val="300"/>
        </w:trPr>
        <w:tc>
          <w:tcPr>
            <w:tcW w:w="1601" w:type="dxa"/>
            <w:tcBorders>
              <w:top w:val="single" w:sz="4" w:space="0" w:color="auto"/>
            </w:tcBorders>
            <w:shd w:val="clear" w:color="auto" w:fill="auto"/>
            <w:noWrap/>
            <w:vAlign w:val="center"/>
            <w:hideMark/>
          </w:tcPr>
          <w:p w14:paraId="16881038" w14:textId="77777777" w:rsidR="00840519" w:rsidRPr="00F25744" w:rsidRDefault="00E25AE7" w:rsidP="003068A1">
            <w:pPr>
              <w:bidi w:val="0"/>
              <w:spacing w:after="0" w:line="240" w:lineRule="auto"/>
              <w:jc w:val="right"/>
              <w:rPr>
                <w:rFonts w:eastAsia="Times New Roman" w:cs="David"/>
                <w:b/>
                <w:bCs/>
                <w:color w:val="000000"/>
                <w:sz w:val="24"/>
                <w:szCs w:val="24"/>
              </w:rPr>
            </w:pPr>
            <w:r w:rsidRPr="00F25744">
              <w:rPr>
                <w:rFonts w:ascii="David" w:eastAsia="Times New Roman" w:hAnsi="David" w:cs="David"/>
                <w:b/>
                <w:bCs/>
                <w:color w:val="000000"/>
                <w:sz w:val="24"/>
                <w:szCs w:val="24"/>
                <w:rtl/>
              </w:rPr>
              <w:t>מחוזי</w:t>
            </w:r>
          </w:p>
        </w:tc>
        <w:tc>
          <w:tcPr>
            <w:tcW w:w="911" w:type="dxa"/>
            <w:gridSpan w:val="2"/>
            <w:tcBorders>
              <w:top w:val="single" w:sz="4" w:space="0" w:color="auto"/>
            </w:tcBorders>
            <w:shd w:val="clear" w:color="auto" w:fill="auto"/>
            <w:noWrap/>
            <w:vAlign w:val="center"/>
          </w:tcPr>
          <w:p w14:paraId="7CE2FAA0" w14:textId="77777777" w:rsidR="00840519" w:rsidRPr="00F25744" w:rsidRDefault="00E25AE7" w:rsidP="003068A1">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701</w:t>
            </w:r>
          </w:p>
        </w:tc>
        <w:tc>
          <w:tcPr>
            <w:tcW w:w="1265" w:type="dxa"/>
            <w:tcBorders>
              <w:top w:val="single" w:sz="4" w:space="0" w:color="auto"/>
            </w:tcBorders>
            <w:shd w:val="clear" w:color="auto" w:fill="auto"/>
            <w:noWrap/>
            <w:vAlign w:val="center"/>
          </w:tcPr>
          <w:p w14:paraId="2AB5B480" w14:textId="77777777" w:rsidR="00840519" w:rsidRPr="00F25744" w:rsidRDefault="00E25AE7" w:rsidP="003068A1">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149</w:t>
            </w:r>
          </w:p>
        </w:tc>
        <w:tc>
          <w:tcPr>
            <w:tcW w:w="1662" w:type="dxa"/>
            <w:tcBorders>
              <w:top w:val="single" w:sz="4" w:space="0" w:color="auto"/>
            </w:tcBorders>
            <w:shd w:val="clear" w:color="auto" w:fill="auto"/>
            <w:noWrap/>
            <w:vAlign w:val="center"/>
            <w:hideMark/>
          </w:tcPr>
          <w:p w14:paraId="17DA6D64" w14:textId="77777777" w:rsidR="00840519" w:rsidRPr="00F25744" w:rsidRDefault="00E25AE7" w:rsidP="003068A1">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174</w:t>
            </w:r>
          </w:p>
        </w:tc>
        <w:tc>
          <w:tcPr>
            <w:tcW w:w="2410" w:type="dxa"/>
            <w:tcBorders>
              <w:top w:val="single" w:sz="4" w:space="0" w:color="auto"/>
            </w:tcBorders>
            <w:shd w:val="clear" w:color="auto" w:fill="auto"/>
            <w:noWrap/>
            <w:vAlign w:val="center"/>
          </w:tcPr>
          <w:p w14:paraId="31A35578" w14:textId="77777777" w:rsidR="00840519" w:rsidRPr="00F25744" w:rsidRDefault="00E25AE7" w:rsidP="003068A1">
            <w:pPr>
              <w:bidi w:val="0"/>
              <w:spacing w:after="0" w:line="240" w:lineRule="auto"/>
              <w:jc w:val="center"/>
              <w:rPr>
                <w:color w:val="000000"/>
                <w:sz w:val="24"/>
              </w:rPr>
            </w:pPr>
            <w:r w:rsidRPr="00F25744">
              <w:rPr>
                <w:rFonts w:ascii="David" w:eastAsia="Times New Roman" w:hAnsi="David" w:cs="David"/>
                <w:color w:val="000000"/>
                <w:sz w:val="24"/>
                <w:szCs w:val="24"/>
              </w:rPr>
              <w:t>86</w:t>
            </w:r>
            <w:r w:rsidR="007F3A52" w:rsidRPr="00F25744">
              <w:rPr>
                <w:rFonts w:ascii="David" w:eastAsia="Times New Roman" w:hAnsi="David" w:cs="David"/>
                <w:color w:val="000000"/>
                <w:sz w:val="24"/>
                <w:szCs w:val="24"/>
              </w:rPr>
              <w:t>%</w:t>
            </w:r>
          </w:p>
        </w:tc>
        <w:tc>
          <w:tcPr>
            <w:tcW w:w="1417" w:type="dxa"/>
            <w:tcBorders>
              <w:top w:val="single" w:sz="4" w:space="0" w:color="auto"/>
            </w:tcBorders>
            <w:shd w:val="clear" w:color="auto" w:fill="auto"/>
            <w:vAlign w:val="center"/>
          </w:tcPr>
          <w:p w14:paraId="6212A2A6" w14:textId="77777777" w:rsidR="00840519" w:rsidRPr="00F25744" w:rsidRDefault="00E25AE7" w:rsidP="003068A1">
            <w:pPr>
              <w:bidi w:val="0"/>
              <w:spacing w:after="0" w:line="240" w:lineRule="auto"/>
              <w:jc w:val="center"/>
              <w:rPr>
                <w:rFonts w:ascii="David" w:eastAsia="Times New Roman" w:hAnsi="David" w:cs="David"/>
                <w:b/>
                <w:bCs/>
                <w:color w:val="000000"/>
                <w:sz w:val="24"/>
                <w:szCs w:val="24"/>
              </w:rPr>
            </w:pPr>
            <w:r w:rsidRPr="00F25744">
              <w:rPr>
                <w:rFonts w:ascii="David" w:eastAsia="Times New Roman" w:hAnsi="David" w:cs="David"/>
                <w:b/>
                <w:bCs/>
                <w:color w:val="000000"/>
                <w:sz w:val="24"/>
                <w:szCs w:val="24"/>
              </w:rPr>
              <w:t>4.</w:t>
            </w:r>
            <w:r w:rsidR="00324984" w:rsidRPr="00F25744">
              <w:rPr>
                <w:rFonts w:ascii="David" w:eastAsia="Times New Roman" w:hAnsi="David" w:cs="David"/>
                <w:b/>
                <w:bCs/>
                <w:color w:val="000000"/>
                <w:sz w:val="24"/>
                <w:szCs w:val="24"/>
              </w:rPr>
              <w:t>76</w:t>
            </w:r>
          </w:p>
        </w:tc>
      </w:tr>
      <w:tr w:rsidR="00E0162E" w:rsidRPr="00F25744" w14:paraId="6BED7083" w14:textId="77777777" w:rsidTr="003068A1">
        <w:trPr>
          <w:trHeight w:val="300"/>
        </w:trPr>
        <w:tc>
          <w:tcPr>
            <w:tcW w:w="1601" w:type="dxa"/>
            <w:shd w:val="clear" w:color="auto" w:fill="auto"/>
            <w:noWrap/>
            <w:vAlign w:val="center"/>
          </w:tcPr>
          <w:p w14:paraId="366989E4" w14:textId="77777777" w:rsidR="00840519" w:rsidRPr="00F25744" w:rsidRDefault="00E25AE7" w:rsidP="003068A1">
            <w:pPr>
              <w:spacing w:after="0" w:line="240" w:lineRule="auto"/>
              <w:rPr>
                <w:rFonts w:ascii="David" w:eastAsia="Times New Roman" w:hAnsi="David" w:cs="David"/>
                <w:b/>
                <w:bCs/>
                <w:color w:val="000000"/>
                <w:sz w:val="24"/>
                <w:szCs w:val="24"/>
                <w:rtl/>
              </w:rPr>
            </w:pPr>
            <w:r w:rsidRPr="00F25744">
              <w:rPr>
                <w:rFonts w:ascii="David" w:eastAsia="Times New Roman" w:hAnsi="David" w:cs="David"/>
                <w:b/>
                <w:bCs/>
                <w:color w:val="000000"/>
                <w:sz w:val="24"/>
                <w:szCs w:val="24"/>
                <w:rtl/>
              </w:rPr>
              <w:t>שלום</w:t>
            </w:r>
          </w:p>
        </w:tc>
        <w:tc>
          <w:tcPr>
            <w:tcW w:w="911" w:type="dxa"/>
            <w:gridSpan w:val="2"/>
            <w:shd w:val="clear" w:color="auto" w:fill="auto"/>
            <w:noWrap/>
            <w:vAlign w:val="center"/>
          </w:tcPr>
          <w:p w14:paraId="09DBCE51" w14:textId="77777777" w:rsidR="00840519" w:rsidRPr="00F25744" w:rsidRDefault="00E25AE7" w:rsidP="003068A1">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1</w:t>
            </w:r>
            <w:r w:rsidRPr="00F25744">
              <w:rPr>
                <w:rFonts w:ascii="David" w:eastAsia="Times New Roman" w:hAnsi="David" w:cs="David" w:hint="cs"/>
                <w:color w:val="000000"/>
                <w:sz w:val="24"/>
                <w:szCs w:val="24"/>
                <w:rtl/>
              </w:rPr>
              <w:t>,</w:t>
            </w:r>
            <w:r w:rsidRPr="00F25744">
              <w:rPr>
                <w:rFonts w:ascii="David" w:eastAsia="Times New Roman" w:hAnsi="David" w:cs="David"/>
                <w:color w:val="000000"/>
                <w:sz w:val="24"/>
                <w:szCs w:val="24"/>
              </w:rPr>
              <w:t>115</w:t>
            </w:r>
          </w:p>
        </w:tc>
        <w:tc>
          <w:tcPr>
            <w:tcW w:w="1265" w:type="dxa"/>
            <w:shd w:val="clear" w:color="auto" w:fill="auto"/>
            <w:noWrap/>
            <w:vAlign w:val="center"/>
          </w:tcPr>
          <w:p w14:paraId="5086AEC6" w14:textId="77777777" w:rsidR="00840519" w:rsidRPr="00F25744" w:rsidRDefault="00E25AE7" w:rsidP="003068A1">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260</w:t>
            </w:r>
          </w:p>
        </w:tc>
        <w:tc>
          <w:tcPr>
            <w:tcW w:w="1662" w:type="dxa"/>
            <w:shd w:val="clear" w:color="auto" w:fill="auto"/>
            <w:noWrap/>
            <w:vAlign w:val="center"/>
          </w:tcPr>
          <w:p w14:paraId="59EBC85B" w14:textId="77777777" w:rsidR="00840519" w:rsidRPr="00F25744" w:rsidRDefault="00E25AE7" w:rsidP="003068A1">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328</w:t>
            </w:r>
          </w:p>
        </w:tc>
        <w:tc>
          <w:tcPr>
            <w:tcW w:w="2410" w:type="dxa"/>
            <w:shd w:val="clear" w:color="auto" w:fill="auto"/>
            <w:noWrap/>
            <w:vAlign w:val="center"/>
          </w:tcPr>
          <w:p w14:paraId="45723083" w14:textId="77777777" w:rsidR="00840519" w:rsidRPr="00F25744" w:rsidRDefault="00E25AE7" w:rsidP="003068A1">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78</w:t>
            </w:r>
            <w:r w:rsidR="007F3A52" w:rsidRPr="00F25744">
              <w:rPr>
                <w:rFonts w:ascii="David" w:eastAsia="Times New Roman" w:hAnsi="David" w:cs="David"/>
                <w:color w:val="000000"/>
                <w:sz w:val="24"/>
                <w:szCs w:val="24"/>
              </w:rPr>
              <w:t>%</w:t>
            </w:r>
          </w:p>
        </w:tc>
        <w:tc>
          <w:tcPr>
            <w:tcW w:w="1417" w:type="dxa"/>
            <w:shd w:val="clear" w:color="auto" w:fill="auto"/>
            <w:vAlign w:val="center"/>
          </w:tcPr>
          <w:p w14:paraId="48BBE92E" w14:textId="77777777" w:rsidR="00840519" w:rsidRPr="00F25744" w:rsidRDefault="00E25AE7" w:rsidP="003068A1">
            <w:pPr>
              <w:bidi w:val="0"/>
              <w:spacing w:after="0" w:line="240" w:lineRule="auto"/>
              <w:jc w:val="center"/>
              <w:rPr>
                <w:rFonts w:ascii="David" w:eastAsia="Times New Roman" w:hAnsi="David" w:cs="David"/>
                <w:b/>
                <w:bCs/>
                <w:color w:val="000000"/>
                <w:sz w:val="24"/>
                <w:szCs w:val="24"/>
              </w:rPr>
            </w:pPr>
            <w:r w:rsidRPr="00F25744">
              <w:rPr>
                <w:rFonts w:ascii="David" w:eastAsia="Times New Roman" w:hAnsi="David" w:cs="David"/>
                <w:b/>
                <w:bCs/>
                <w:color w:val="000000"/>
                <w:sz w:val="24"/>
                <w:szCs w:val="24"/>
              </w:rPr>
              <w:t>4.</w:t>
            </w:r>
            <w:r w:rsidR="00324984" w:rsidRPr="00F25744">
              <w:rPr>
                <w:rFonts w:ascii="David" w:eastAsia="Times New Roman" w:hAnsi="David" w:cs="David"/>
                <w:b/>
                <w:bCs/>
                <w:color w:val="000000"/>
                <w:sz w:val="24"/>
                <w:szCs w:val="24"/>
              </w:rPr>
              <w:t>30</w:t>
            </w:r>
          </w:p>
        </w:tc>
      </w:tr>
      <w:tr w:rsidR="00E0162E" w:rsidRPr="00F25744" w14:paraId="539FF993" w14:textId="77777777" w:rsidTr="003068A1">
        <w:trPr>
          <w:trHeight w:val="300"/>
        </w:trPr>
        <w:tc>
          <w:tcPr>
            <w:tcW w:w="1601" w:type="dxa"/>
            <w:shd w:val="clear" w:color="auto" w:fill="auto"/>
            <w:noWrap/>
            <w:vAlign w:val="center"/>
            <w:hideMark/>
          </w:tcPr>
          <w:p w14:paraId="0F023386" w14:textId="77777777" w:rsidR="00840519" w:rsidRPr="00F25744" w:rsidRDefault="00E25AE7" w:rsidP="003068A1">
            <w:pPr>
              <w:bidi w:val="0"/>
              <w:spacing w:after="0" w:line="240" w:lineRule="auto"/>
              <w:jc w:val="right"/>
              <w:rPr>
                <w:rFonts w:cs="David"/>
                <w:b/>
                <w:bCs/>
                <w:color w:val="000000"/>
                <w:sz w:val="24"/>
                <w:szCs w:val="24"/>
              </w:rPr>
            </w:pPr>
            <w:r w:rsidRPr="00F25744">
              <w:rPr>
                <w:rFonts w:ascii="David" w:eastAsia="Times New Roman" w:hAnsi="David" w:cs="David"/>
                <w:b/>
                <w:bCs/>
                <w:color w:val="000000"/>
                <w:sz w:val="24"/>
                <w:szCs w:val="24"/>
                <w:rtl/>
              </w:rPr>
              <w:t>משפחה</w:t>
            </w:r>
          </w:p>
        </w:tc>
        <w:tc>
          <w:tcPr>
            <w:tcW w:w="911" w:type="dxa"/>
            <w:gridSpan w:val="2"/>
            <w:shd w:val="clear" w:color="auto" w:fill="auto"/>
            <w:noWrap/>
            <w:vAlign w:val="center"/>
          </w:tcPr>
          <w:p w14:paraId="627F5EBD" w14:textId="77777777" w:rsidR="00840519" w:rsidRPr="00F25744" w:rsidRDefault="00E25AE7" w:rsidP="003068A1">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289</w:t>
            </w:r>
          </w:p>
        </w:tc>
        <w:tc>
          <w:tcPr>
            <w:tcW w:w="1265" w:type="dxa"/>
            <w:shd w:val="clear" w:color="auto" w:fill="auto"/>
            <w:noWrap/>
            <w:vAlign w:val="center"/>
          </w:tcPr>
          <w:p w14:paraId="4B62684E" w14:textId="77777777" w:rsidR="00840519" w:rsidRPr="00F25744" w:rsidRDefault="00E25AE7" w:rsidP="003068A1">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59</w:t>
            </w:r>
          </w:p>
        </w:tc>
        <w:tc>
          <w:tcPr>
            <w:tcW w:w="1662" w:type="dxa"/>
            <w:shd w:val="clear" w:color="auto" w:fill="auto"/>
            <w:noWrap/>
            <w:vAlign w:val="center"/>
            <w:hideMark/>
          </w:tcPr>
          <w:p w14:paraId="1948448A" w14:textId="77777777" w:rsidR="00840519" w:rsidRPr="00F25744" w:rsidRDefault="00E25AE7" w:rsidP="003068A1">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61</w:t>
            </w:r>
          </w:p>
        </w:tc>
        <w:tc>
          <w:tcPr>
            <w:tcW w:w="2410" w:type="dxa"/>
            <w:shd w:val="clear" w:color="auto" w:fill="auto"/>
            <w:noWrap/>
            <w:vAlign w:val="center"/>
          </w:tcPr>
          <w:p w14:paraId="047A3190" w14:textId="77777777" w:rsidR="00840519" w:rsidRPr="00F25744" w:rsidRDefault="00E25AE7" w:rsidP="003068A1">
            <w:pPr>
              <w:bidi w:val="0"/>
              <w:spacing w:after="0" w:line="240" w:lineRule="auto"/>
              <w:jc w:val="center"/>
              <w:rPr>
                <w:rFonts w:eastAsia="Times New Roman" w:cs="David"/>
                <w:color w:val="000000"/>
                <w:sz w:val="24"/>
                <w:szCs w:val="24"/>
              </w:rPr>
            </w:pPr>
            <w:r w:rsidRPr="00F25744">
              <w:rPr>
                <w:rFonts w:ascii="David" w:eastAsia="Times New Roman" w:hAnsi="David" w:cs="David"/>
                <w:color w:val="000000"/>
                <w:sz w:val="24"/>
                <w:szCs w:val="24"/>
              </w:rPr>
              <w:t>97</w:t>
            </w:r>
            <w:r w:rsidR="007F3A52" w:rsidRPr="00F25744">
              <w:rPr>
                <w:rFonts w:ascii="David" w:eastAsia="Times New Roman" w:hAnsi="David" w:cs="David"/>
                <w:color w:val="000000"/>
                <w:sz w:val="24"/>
                <w:szCs w:val="24"/>
              </w:rPr>
              <w:t>%</w:t>
            </w:r>
          </w:p>
        </w:tc>
        <w:tc>
          <w:tcPr>
            <w:tcW w:w="1417" w:type="dxa"/>
            <w:shd w:val="clear" w:color="auto" w:fill="auto"/>
            <w:vAlign w:val="center"/>
          </w:tcPr>
          <w:p w14:paraId="5ECC031B" w14:textId="77777777" w:rsidR="00840519" w:rsidRPr="00F25744" w:rsidRDefault="00E25AE7" w:rsidP="003068A1">
            <w:pPr>
              <w:bidi w:val="0"/>
              <w:spacing w:after="0" w:line="240" w:lineRule="auto"/>
              <w:jc w:val="center"/>
              <w:rPr>
                <w:rFonts w:ascii="David" w:eastAsia="Times New Roman" w:hAnsi="David" w:cs="David"/>
                <w:b/>
                <w:bCs/>
                <w:color w:val="000000"/>
                <w:sz w:val="24"/>
                <w:szCs w:val="24"/>
              </w:rPr>
            </w:pPr>
            <w:r w:rsidRPr="00F25744">
              <w:rPr>
                <w:rFonts w:ascii="David" w:eastAsia="Times New Roman" w:hAnsi="David" w:cs="David"/>
                <w:b/>
                <w:bCs/>
                <w:color w:val="000000"/>
                <w:sz w:val="24"/>
                <w:szCs w:val="24"/>
              </w:rPr>
              <w:t>5</w:t>
            </w:r>
            <w:r w:rsidR="007F3A52" w:rsidRPr="00F25744">
              <w:rPr>
                <w:rFonts w:ascii="David" w:eastAsia="Times New Roman" w:hAnsi="David" w:cs="David"/>
                <w:b/>
                <w:bCs/>
                <w:color w:val="000000"/>
                <w:sz w:val="24"/>
                <w:szCs w:val="24"/>
              </w:rPr>
              <w:t>.</w:t>
            </w:r>
            <w:r w:rsidRPr="00F25744">
              <w:rPr>
                <w:rFonts w:ascii="David" w:eastAsia="Times New Roman" w:hAnsi="David" w:cs="David"/>
                <w:b/>
                <w:bCs/>
                <w:color w:val="000000"/>
                <w:sz w:val="24"/>
                <w:szCs w:val="24"/>
              </w:rPr>
              <w:t>13</w:t>
            </w:r>
          </w:p>
        </w:tc>
      </w:tr>
      <w:tr w:rsidR="00E0162E" w:rsidRPr="00F25744" w14:paraId="551142F5" w14:textId="77777777" w:rsidTr="003068A1">
        <w:trPr>
          <w:trHeight w:val="300"/>
        </w:trPr>
        <w:tc>
          <w:tcPr>
            <w:tcW w:w="1601" w:type="dxa"/>
            <w:shd w:val="clear" w:color="auto" w:fill="auto"/>
            <w:noWrap/>
            <w:vAlign w:val="center"/>
            <w:hideMark/>
          </w:tcPr>
          <w:p w14:paraId="3B366348" w14:textId="77777777" w:rsidR="00840519" w:rsidRPr="00F25744" w:rsidRDefault="00E25AE7" w:rsidP="003068A1">
            <w:pPr>
              <w:spacing w:after="0" w:line="240" w:lineRule="auto"/>
              <w:rPr>
                <w:rFonts w:ascii="David" w:eastAsia="Times New Roman" w:hAnsi="David" w:cs="David"/>
                <w:b/>
                <w:bCs/>
                <w:color w:val="000000"/>
                <w:sz w:val="24"/>
                <w:szCs w:val="24"/>
                <w:rtl/>
              </w:rPr>
            </w:pPr>
            <w:r w:rsidRPr="00F25744">
              <w:rPr>
                <w:rFonts w:ascii="David" w:eastAsia="Times New Roman" w:hAnsi="David" w:cs="David"/>
                <w:b/>
                <w:bCs/>
                <w:color w:val="000000"/>
                <w:sz w:val="24"/>
                <w:szCs w:val="24"/>
                <w:rtl/>
              </w:rPr>
              <w:t>תעבורה</w:t>
            </w:r>
          </w:p>
        </w:tc>
        <w:tc>
          <w:tcPr>
            <w:tcW w:w="911" w:type="dxa"/>
            <w:gridSpan w:val="2"/>
            <w:shd w:val="clear" w:color="auto" w:fill="auto"/>
            <w:noWrap/>
            <w:vAlign w:val="center"/>
          </w:tcPr>
          <w:p w14:paraId="308B83B2" w14:textId="77777777" w:rsidR="00840519" w:rsidRPr="00F25744" w:rsidRDefault="00E25AE7" w:rsidP="003068A1">
            <w:pPr>
              <w:bidi w:val="0"/>
              <w:spacing w:after="0" w:line="240" w:lineRule="auto"/>
              <w:jc w:val="center"/>
              <w:rPr>
                <w:color w:val="000000"/>
                <w:sz w:val="24"/>
              </w:rPr>
            </w:pPr>
            <w:r w:rsidRPr="00F25744">
              <w:rPr>
                <w:rFonts w:ascii="David" w:eastAsia="Times New Roman" w:hAnsi="David" w:cs="David"/>
                <w:color w:val="000000"/>
                <w:sz w:val="24"/>
                <w:szCs w:val="24"/>
              </w:rPr>
              <w:t>85</w:t>
            </w:r>
          </w:p>
        </w:tc>
        <w:tc>
          <w:tcPr>
            <w:tcW w:w="1265" w:type="dxa"/>
            <w:shd w:val="clear" w:color="auto" w:fill="auto"/>
            <w:noWrap/>
            <w:vAlign w:val="center"/>
          </w:tcPr>
          <w:p w14:paraId="73480287" w14:textId="77777777" w:rsidR="00840519" w:rsidRPr="00F25744" w:rsidRDefault="00E25AE7" w:rsidP="003068A1">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24</w:t>
            </w:r>
          </w:p>
        </w:tc>
        <w:tc>
          <w:tcPr>
            <w:tcW w:w="1662" w:type="dxa"/>
            <w:shd w:val="clear" w:color="auto" w:fill="auto"/>
            <w:noWrap/>
            <w:vAlign w:val="center"/>
            <w:hideMark/>
          </w:tcPr>
          <w:p w14:paraId="2C95DE18" w14:textId="77777777" w:rsidR="00840519" w:rsidRPr="00F25744" w:rsidRDefault="00E25AE7" w:rsidP="003068A1">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36</w:t>
            </w:r>
          </w:p>
        </w:tc>
        <w:tc>
          <w:tcPr>
            <w:tcW w:w="2410" w:type="dxa"/>
            <w:shd w:val="clear" w:color="auto" w:fill="auto"/>
            <w:noWrap/>
            <w:vAlign w:val="center"/>
          </w:tcPr>
          <w:p w14:paraId="0C760BAC" w14:textId="77777777" w:rsidR="00840519" w:rsidRPr="00F25744" w:rsidRDefault="00E25AE7" w:rsidP="003068A1">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67</w:t>
            </w:r>
            <w:r w:rsidR="007F3A52" w:rsidRPr="00F25744">
              <w:rPr>
                <w:rFonts w:ascii="David" w:eastAsia="Times New Roman" w:hAnsi="David" w:cs="David"/>
                <w:color w:val="000000"/>
                <w:sz w:val="24"/>
                <w:szCs w:val="24"/>
              </w:rPr>
              <w:t>%</w:t>
            </w:r>
          </w:p>
        </w:tc>
        <w:tc>
          <w:tcPr>
            <w:tcW w:w="1417" w:type="dxa"/>
            <w:shd w:val="clear" w:color="auto" w:fill="auto"/>
            <w:vAlign w:val="center"/>
          </w:tcPr>
          <w:p w14:paraId="27AA8DDE" w14:textId="77777777" w:rsidR="00840519" w:rsidRPr="00F25744" w:rsidRDefault="00E25AE7" w:rsidP="003068A1">
            <w:pPr>
              <w:bidi w:val="0"/>
              <w:spacing w:after="0" w:line="240" w:lineRule="auto"/>
              <w:jc w:val="center"/>
              <w:rPr>
                <w:rFonts w:ascii="David" w:eastAsia="Times New Roman" w:hAnsi="David" w:cs="David"/>
                <w:b/>
                <w:bCs/>
                <w:color w:val="000000"/>
                <w:sz w:val="24"/>
                <w:szCs w:val="24"/>
              </w:rPr>
            </w:pPr>
            <w:r w:rsidRPr="00F25744">
              <w:rPr>
                <w:rFonts w:ascii="David" w:eastAsia="Times New Roman" w:hAnsi="David" w:cs="David"/>
                <w:b/>
                <w:bCs/>
                <w:color w:val="000000"/>
                <w:sz w:val="24"/>
                <w:szCs w:val="24"/>
              </w:rPr>
              <w:t>3.</w:t>
            </w:r>
            <w:r w:rsidR="00324984" w:rsidRPr="00F25744">
              <w:rPr>
                <w:rFonts w:ascii="David" w:eastAsia="Times New Roman" w:hAnsi="David" w:cs="David"/>
                <w:b/>
                <w:bCs/>
                <w:color w:val="000000"/>
                <w:sz w:val="24"/>
                <w:szCs w:val="24"/>
              </w:rPr>
              <w:t>80</w:t>
            </w:r>
          </w:p>
        </w:tc>
      </w:tr>
      <w:tr w:rsidR="00E0162E" w:rsidRPr="00F25744" w14:paraId="095B42A0" w14:textId="77777777" w:rsidTr="003068A1">
        <w:trPr>
          <w:trHeight w:val="300"/>
        </w:trPr>
        <w:tc>
          <w:tcPr>
            <w:tcW w:w="1601" w:type="dxa"/>
            <w:shd w:val="clear" w:color="auto" w:fill="auto"/>
            <w:noWrap/>
            <w:vAlign w:val="center"/>
            <w:hideMark/>
          </w:tcPr>
          <w:p w14:paraId="12428B85" w14:textId="77777777" w:rsidR="00840519" w:rsidRPr="00F25744" w:rsidRDefault="00E25AE7" w:rsidP="003068A1">
            <w:pPr>
              <w:spacing w:after="0" w:line="240" w:lineRule="auto"/>
              <w:rPr>
                <w:rFonts w:ascii="David" w:eastAsia="Times New Roman" w:hAnsi="David" w:cs="David"/>
                <w:b/>
                <w:bCs/>
                <w:color w:val="000000"/>
                <w:sz w:val="24"/>
                <w:szCs w:val="24"/>
                <w:rtl/>
              </w:rPr>
            </w:pPr>
            <w:r w:rsidRPr="00F25744">
              <w:rPr>
                <w:rFonts w:ascii="David" w:eastAsia="Times New Roman" w:hAnsi="David" w:cs="David"/>
                <w:b/>
                <w:bCs/>
                <w:color w:val="000000"/>
                <w:sz w:val="24"/>
                <w:szCs w:val="24"/>
                <w:rtl/>
              </w:rPr>
              <w:t>נוער</w:t>
            </w:r>
          </w:p>
        </w:tc>
        <w:tc>
          <w:tcPr>
            <w:tcW w:w="911" w:type="dxa"/>
            <w:gridSpan w:val="2"/>
            <w:shd w:val="clear" w:color="auto" w:fill="auto"/>
            <w:noWrap/>
            <w:vAlign w:val="center"/>
          </w:tcPr>
          <w:p w14:paraId="1DEF30FB" w14:textId="77777777" w:rsidR="00840519" w:rsidRPr="00F25744" w:rsidRDefault="00E25AE7" w:rsidP="003068A1">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40</w:t>
            </w:r>
          </w:p>
        </w:tc>
        <w:tc>
          <w:tcPr>
            <w:tcW w:w="1265" w:type="dxa"/>
            <w:shd w:val="clear" w:color="auto" w:fill="auto"/>
            <w:noWrap/>
            <w:vAlign w:val="center"/>
          </w:tcPr>
          <w:p w14:paraId="7C36C17B" w14:textId="77777777" w:rsidR="00840519" w:rsidRPr="00F25744" w:rsidRDefault="00E25AE7" w:rsidP="003068A1">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9</w:t>
            </w:r>
          </w:p>
        </w:tc>
        <w:tc>
          <w:tcPr>
            <w:tcW w:w="1662" w:type="dxa"/>
            <w:shd w:val="clear" w:color="auto" w:fill="auto"/>
            <w:noWrap/>
            <w:vAlign w:val="center"/>
            <w:hideMark/>
          </w:tcPr>
          <w:p w14:paraId="5BA983A4" w14:textId="77777777" w:rsidR="00840519" w:rsidRPr="00F25744" w:rsidRDefault="00E25AE7" w:rsidP="003068A1">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16</w:t>
            </w:r>
          </w:p>
        </w:tc>
        <w:tc>
          <w:tcPr>
            <w:tcW w:w="2410" w:type="dxa"/>
            <w:shd w:val="clear" w:color="auto" w:fill="auto"/>
            <w:noWrap/>
            <w:vAlign w:val="center"/>
          </w:tcPr>
          <w:p w14:paraId="112C2371" w14:textId="77777777" w:rsidR="00840519" w:rsidRPr="00F25744" w:rsidRDefault="00E25AE7" w:rsidP="003068A1">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56</w:t>
            </w:r>
            <w:r w:rsidR="007F3A52" w:rsidRPr="00F25744">
              <w:rPr>
                <w:rFonts w:ascii="David" w:eastAsia="Times New Roman" w:hAnsi="David" w:cs="David"/>
                <w:color w:val="000000"/>
                <w:sz w:val="24"/>
                <w:szCs w:val="24"/>
              </w:rPr>
              <w:t>%</w:t>
            </w:r>
          </w:p>
        </w:tc>
        <w:tc>
          <w:tcPr>
            <w:tcW w:w="1417" w:type="dxa"/>
            <w:shd w:val="clear" w:color="auto" w:fill="auto"/>
            <w:vAlign w:val="center"/>
          </w:tcPr>
          <w:p w14:paraId="65585900" w14:textId="77777777" w:rsidR="00840519" w:rsidRPr="00F25744" w:rsidRDefault="00E25AE7" w:rsidP="003068A1">
            <w:pPr>
              <w:bidi w:val="0"/>
              <w:spacing w:after="0" w:line="240" w:lineRule="auto"/>
              <w:jc w:val="center"/>
              <w:rPr>
                <w:rFonts w:ascii="David" w:eastAsia="Times New Roman" w:hAnsi="David" w:cs="David"/>
                <w:b/>
                <w:bCs/>
                <w:color w:val="000000"/>
                <w:sz w:val="24"/>
                <w:szCs w:val="24"/>
              </w:rPr>
            </w:pPr>
            <w:r w:rsidRPr="00F25744">
              <w:rPr>
                <w:rFonts w:ascii="David" w:eastAsia="Times New Roman" w:hAnsi="David" w:cs="David"/>
                <w:b/>
                <w:bCs/>
                <w:color w:val="000000"/>
                <w:sz w:val="24"/>
                <w:szCs w:val="24"/>
              </w:rPr>
              <w:t>2.</w:t>
            </w:r>
            <w:r w:rsidR="00324984" w:rsidRPr="00F25744">
              <w:rPr>
                <w:rFonts w:ascii="David" w:eastAsia="Times New Roman" w:hAnsi="David" w:cs="David"/>
                <w:b/>
                <w:bCs/>
                <w:color w:val="000000"/>
                <w:sz w:val="24"/>
                <w:szCs w:val="24"/>
              </w:rPr>
              <w:t>75</w:t>
            </w:r>
          </w:p>
        </w:tc>
      </w:tr>
      <w:tr w:rsidR="00E0162E" w:rsidRPr="00F25744" w14:paraId="0489B1BF" w14:textId="77777777" w:rsidTr="003068A1">
        <w:trPr>
          <w:trHeight w:val="300"/>
        </w:trPr>
        <w:tc>
          <w:tcPr>
            <w:tcW w:w="1601" w:type="dxa"/>
            <w:tcBorders>
              <w:bottom w:val="single" w:sz="4" w:space="0" w:color="auto"/>
            </w:tcBorders>
            <w:shd w:val="clear" w:color="auto" w:fill="auto"/>
            <w:noWrap/>
            <w:vAlign w:val="center"/>
          </w:tcPr>
          <w:p w14:paraId="0D179DA4" w14:textId="77777777" w:rsidR="00840519" w:rsidRPr="00F25744" w:rsidRDefault="00E25AE7" w:rsidP="003068A1">
            <w:pPr>
              <w:spacing w:after="0" w:line="240" w:lineRule="auto"/>
              <w:rPr>
                <w:rFonts w:ascii="David" w:eastAsia="Times New Roman" w:hAnsi="David" w:cs="David"/>
                <w:b/>
                <w:bCs/>
                <w:color w:val="000000"/>
                <w:sz w:val="24"/>
                <w:szCs w:val="24"/>
                <w:rtl/>
              </w:rPr>
            </w:pPr>
            <w:r w:rsidRPr="00F25744">
              <w:rPr>
                <w:rFonts w:ascii="David" w:eastAsia="Times New Roman" w:hAnsi="David" w:cs="David" w:hint="cs"/>
                <w:b/>
                <w:bCs/>
                <w:color w:val="000000"/>
                <w:sz w:val="24"/>
                <w:szCs w:val="24"/>
                <w:rtl/>
              </w:rPr>
              <w:t>עבודה</w:t>
            </w:r>
          </w:p>
        </w:tc>
        <w:tc>
          <w:tcPr>
            <w:tcW w:w="911" w:type="dxa"/>
            <w:gridSpan w:val="2"/>
            <w:tcBorders>
              <w:bottom w:val="single" w:sz="4" w:space="0" w:color="auto"/>
            </w:tcBorders>
            <w:shd w:val="clear" w:color="auto" w:fill="auto"/>
            <w:noWrap/>
            <w:vAlign w:val="center"/>
          </w:tcPr>
          <w:p w14:paraId="5E0741D1" w14:textId="77777777" w:rsidR="00840519" w:rsidRPr="00F25744" w:rsidRDefault="00E25AE7" w:rsidP="003068A1">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269</w:t>
            </w:r>
          </w:p>
        </w:tc>
        <w:tc>
          <w:tcPr>
            <w:tcW w:w="1265" w:type="dxa"/>
            <w:tcBorders>
              <w:bottom w:val="single" w:sz="4" w:space="0" w:color="auto"/>
            </w:tcBorders>
            <w:shd w:val="clear" w:color="auto" w:fill="auto"/>
            <w:noWrap/>
            <w:vAlign w:val="center"/>
          </w:tcPr>
          <w:p w14:paraId="5774D354" w14:textId="77777777" w:rsidR="00840519" w:rsidRPr="00F25744" w:rsidRDefault="00E25AE7" w:rsidP="003068A1">
            <w:pPr>
              <w:bidi w:val="0"/>
              <w:spacing w:after="0" w:line="240" w:lineRule="auto"/>
              <w:jc w:val="center"/>
              <w:rPr>
                <w:rFonts w:eastAsia="Times New Roman" w:cs="David"/>
                <w:color w:val="000000"/>
                <w:sz w:val="24"/>
                <w:szCs w:val="24"/>
                <w:rtl/>
              </w:rPr>
            </w:pPr>
            <w:r w:rsidRPr="00F25744">
              <w:rPr>
                <w:rFonts w:eastAsia="Times New Roman" w:cs="David" w:hint="cs"/>
                <w:color w:val="000000"/>
                <w:sz w:val="24"/>
                <w:szCs w:val="24"/>
                <w:rtl/>
              </w:rPr>
              <w:t>57</w:t>
            </w:r>
          </w:p>
        </w:tc>
        <w:tc>
          <w:tcPr>
            <w:tcW w:w="1662" w:type="dxa"/>
            <w:tcBorders>
              <w:bottom w:val="single" w:sz="4" w:space="0" w:color="auto"/>
            </w:tcBorders>
            <w:shd w:val="clear" w:color="auto" w:fill="auto"/>
            <w:noWrap/>
            <w:vAlign w:val="center"/>
          </w:tcPr>
          <w:p w14:paraId="37DC26A4" w14:textId="77777777" w:rsidR="00840519" w:rsidRPr="00F25744" w:rsidRDefault="00E25AE7" w:rsidP="003068A1">
            <w:pPr>
              <w:bidi w:val="0"/>
              <w:spacing w:after="0" w:line="240" w:lineRule="auto"/>
              <w:jc w:val="center"/>
              <w:rPr>
                <w:rFonts w:ascii="David" w:eastAsia="Times New Roman" w:hAnsi="David" w:cs="David"/>
                <w:color w:val="000000"/>
                <w:sz w:val="24"/>
                <w:szCs w:val="24"/>
              </w:rPr>
            </w:pPr>
            <w:r w:rsidRPr="00F25744">
              <w:rPr>
                <w:rFonts w:ascii="David" w:eastAsia="Times New Roman" w:hAnsi="David" w:cs="David"/>
                <w:color w:val="000000"/>
                <w:sz w:val="24"/>
                <w:szCs w:val="24"/>
              </w:rPr>
              <w:t>61</w:t>
            </w:r>
          </w:p>
        </w:tc>
        <w:tc>
          <w:tcPr>
            <w:tcW w:w="2410" w:type="dxa"/>
            <w:tcBorders>
              <w:bottom w:val="single" w:sz="4" w:space="0" w:color="auto"/>
            </w:tcBorders>
            <w:shd w:val="clear" w:color="auto" w:fill="auto"/>
            <w:noWrap/>
            <w:vAlign w:val="center"/>
          </w:tcPr>
          <w:p w14:paraId="13C3355A" w14:textId="77777777" w:rsidR="00840519" w:rsidRPr="00F25744" w:rsidRDefault="00E25AE7" w:rsidP="003068A1">
            <w:pPr>
              <w:bidi w:val="0"/>
              <w:spacing w:after="0" w:line="240" w:lineRule="auto"/>
              <w:jc w:val="center"/>
              <w:rPr>
                <w:rFonts w:eastAsia="Times New Roman" w:cs="David"/>
                <w:color w:val="000000"/>
                <w:sz w:val="24"/>
                <w:szCs w:val="24"/>
                <w:rtl/>
              </w:rPr>
            </w:pPr>
            <w:r w:rsidRPr="00F25744">
              <w:rPr>
                <w:rFonts w:eastAsia="Times New Roman" w:cs="David" w:hint="cs"/>
                <w:color w:val="000000"/>
                <w:sz w:val="24"/>
                <w:szCs w:val="24"/>
                <w:rtl/>
              </w:rPr>
              <w:t>93</w:t>
            </w:r>
            <w:r w:rsidR="00EF7289" w:rsidRPr="00F25744">
              <w:rPr>
                <w:rFonts w:eastAsia="Times New Roman" w:cs="David" w:hint="cs"/>
                <w:color w:val="000000"/>
                <w:sz w:val="24"/>
                <w:szCs w:val="24"/>
                <w:rtl/>
              </w:rPr>
              <w:t>%</w:t>
            </w:r>
          </w:p>
        </w:tc>
        <w:tc>
          <w:tcPr>
            <w:tcW w:w="1417" w:type="dxa"/>
            <w:tcBorders>
              <w:bottom w:val="single" w:sz="4" w:space="0" w:color="auto"/>
            </w:tcBorders>
            <w:shd w:val="clear" w:color="auto" w:fill="auto"/>
            <w:vAlign w:val="center"/>
          </w:tcPr>
          <w:p w14:paraId="42E27405" w14:textId="77777777" w:rsidR="00840519" w:rsidRPr="00F25744" w:rsidRDefault="00E25AE7" w:rsidP="003068A1">
            <w:pPr>
              <w:bidi w:val="0"/>
              <w:spacing w:after="0" w:line="240" w:lineRule="auto"/>
              <w:jc w:val="center"/>
              <w:rPr>
                <w:rFonts w:eastAsia="Times New Roman" w:cs="David"/>
                <w:b/>
                <w:bCs/>
                <w:color w:val="000000"/>
                <w:sz w:val="24"/>
                <w:szCs w:val="24"/>
              </w:rPr>
            </w:pPr>
            <w:r w:rsidRPr="00F25744">
              <w:rPr>
                <w:rFonts w:ascii="David" w:eastAsia="Times New Roman" w:hAnsi="David" w:cs="David"/>
                <w:b/>
                <w:bCs/>
                <w:color w:val="000000"/>
                <w:sz w:val="24"/>
                <w:szCs w:val="24"/>
              </w:rPr>
              <w:t>5</w:t>
            </w:r>
            <w:r w:rsidR="007F3A52" w:rsidRPr="00F25744">
              <w:rPr>
                <w:rFonts w:ascii="David" w:eastAsia="Times New Roman" w:hAnsi="David" w:cs="David"/>
                <w:b/>
                <w:bCs/>
                <w:color w:val="000000"/>
                <w:sz w:val="24"/>
                <w:szCs w:val="24"/>
              </w:rPr>
              <w:t>.</w:t>
            </w:r>
            <w:r w:rsidRPr="00F25744">
              <w:rPr>
                <w:rFonts w:ascii="David" w:eastAsia="Times New Roman" w:hAnsi="David" w:cs="David"/>
                <w:b/>
                <w:bCs/>
                <w:color w:val="000000"/>
                <w:sz w:val="24"/>
                <w:szCs w:val="24"/>
              </w:rPr>
              <w:t>17</w:t>
            </w:r>
          </w:p>
        </w:tc>
      </w:tr>
      <w:tr w:rsidR="00E0162E" w:rsidRPr="00F25744" w14:paraId="580A0D48" w14:textId="77777777" w:rsidTr="003068A1">
        <w:trPr>
          <w:trHeight w:val="475"/>
        </w:trPr>
        <w:tc>
          <w:tcPr>
            <w:tcW w:w="1601" w:type="dxa"/>
            <w:tcBorders>
              <w:top w:val="single" w:sz="4" w:space="0" w:color="auto"/>
              <w:bottom w:val="single" w:sz="4" w:space="0" w:color="auto"/>
            </w:tcBorders>
            <w:shd w:val="clear" w:color="auto" w:fill="auto"/>
            <w:noWrap/>
            <w:vAlign w:val="center"/>
          </w:tcPr>
          <w:p w14:paraId="31749C44" w14:textId="77777777" w:rsidR="00840519" w:rsidRPr="00F25744" w:rsidRDefault="00E25AE7" w:rsidP="003068A1">
            <w:pPr>
              <w:spacing w:after="0" w:line="240" w:lineRule="auto"/>
              <w:rPr>
                <w:rFonts w:ascii="David" w:eastAsia="Times New Roman" w:hAnsi="David" w:cs="David"/>
                <w:b/>
                <w:bCs/>
                <w:color w:val="000000"/>
                <w:sz w:val="24"/>
                <w:szCs w:val="24"/>
                <w:rtl/>
              </w:rPr>
            </w:pPr>
            <w:r w:rsidRPr="00F25744">
              <w:rPr>
                <w:rFonts w:ascii="David" w:eastAsia="Times New Roman" w:hAnsi="David" w:cs="David" w:hint="cs"/>
                <w:b/>
                <w:bCs/>
                <w:color w:val="000000"/>
                <w:sz w:val="24"/>
                <w:szCs w:val="24"/>
                <w:rtl/>
              </w:rPr>
              <w:t xml:space="preserve">ממוצע </w:t>
            </w:r>
            <w:r w:rsidR="00324984" w:rsidRPr="00F25744">
              <w:rPr>
                <w:rFonts w:ascii="David" w:eastAsia="Times New Roman" w:hAnsi="David" w:cs="David" w:hint="cs"/>
                <w:b/>
                <w:bCs/>
                <w:color w:val="000000"/>
                <w:sz w:val="24"/>
                <w:szCs w:val="24"/>
                <w:rtl/>
              </w:rPr>
              <w:t>מערכתי</w:t>
            </w:r>
          </w:p>
        </w:tc>
        <w:tc>
          <w:tcPr>
            <w:tcW w:w="911" w:type="dxa"/>
            <w:gridSpan w:val="2"/>
            <w:tcBorders>
              <w:top w:val="single" w:sz="4" w:space="0" w:color="auto"/>
              <w:bottom w:val="single" w:sz="4" w:space="0" w:color="auto"/>
            </w:tcBorders>
            <w:shd w:val="clear" w:color="auto" w:fill="auto"/>
            <w:noWrap/>
            <w:vAlign w:val="center"/>
          </w:tcPr>
          <w:p w14:paraId="619BB92A" w14:textId="77777777" w:rsidR="00840519" w:rsidRPr="00F25744" w:rsidRDefault="00840519" w:rsidP="003068A1">
            <w:pPr>
              <w:bidi w:val="0"/>
              <w:spacing w:after="0" w:line="240" w:lineRule="auto"/>
              <w:jc w:val="center"/>
              <w:rPr>
                <w:rFonts w:ascii="David" w:eastAsia="Times New Roman" w:hAnsi="David" w:cs="David"/>
                <w:color w:val="000000"/>
                <w:sz w:val="24"/>
                <w:szCs w:val="24"/>
              </w:rPr>
            </w:pPr>
          </w:p>
        </w:tc>
        <w:tc>
          <w:tcPr>
            <w:tcW w:w="1265" w:type="dxa"/>
            <w:tcBorders>
              <w:top w:val="single" w:sz="4" w:space="0" w:color="auto"/>
              <w:bottom w:val="single" w:sz="4" w:space="0" w:color="auto"/>
            </w:tcBorders>
            <w:shd w:val="clear" w:color="auto" w:fill="auto"/>
            <w:noWrap/>
            <w:vAlign w:val="center"/>
          </w:tcPr>
          <w:p w14:paraId="2E1B5FA5" w14:textId="77777777" w:rsidR="00840519" w:rsidRPr="00F25744" w:rsidRDefault="00840519" w:rsidP="003068A1">
            <w:pPr>
              <w:bidi w:val="0"/>
              <w:spacing w:after="0" w:line="240" w:lineRule="auto"/>
              <w:jc w:val="center"/>
              <w:rPr>
                <w:rFonts w:ascii="David" w:eastAsia="Times New Roman" w:hAnsi="David" w:cs="David"/>
                <w:color w:val="000000"/>
                <w:sz w:val="24"/>
                <w:szCs w:val="24"/>
              </w:rPr>
            </w:pPr>
          </w:p>
        </w:tc>
        <w:tc>
          <w:tcPr>
            <w:tcW w:w="1662" w:type="dxa"/>
            <w:tcBorders>
              <w:top w:val="single" w:sz="4" w:space="0" w:color="auto"/>
              <w:bottom w:val="single" w:sz="4" w:space="0" w:color="auto"/>
            </w:tcBorders>
            <w:shd w:val="clear" w:color="auto" w:fill="auto"/>
            <w:noWrap/>
            <w:vAlign w:val="center"/>
          </w:tcPr>
          <w:p w14:paraId="6B30F92E" w14:textId="77777777" w:rsidR="00840519" w:rsidRPr="00F25744" w:rsidRDefault="00840519" w:rsidP="003068A1">
            <w:pPr>
              <w:bidi w:val="0"/>
              <w:spacing w:after="0" w:line="240" w:lineRule="auto"/>
              <w:jc w:val="center"/>
              <w:rPr>
                <w:rFonts w:ascii="David" w:eastAsia="Times New Roman" w:hAnsi="David" w:cs="David"/>
                <w:color w:val="000000"/>
                <w:sz w:val="24"/>
                <w:szCs w:val="24"/>
              </w:rPr>
            </w:pPr>
          </w:p>
        </w:tc>
        <w:tc>
          <w:tcPr>
            <w:tcW w:w="2410" w:type="dxa"/>
            <w:tcBorders>
              <w:top w:val="single" w:sz="4" w:space="0" w:color="auto"/>
              <w:bottom w:val="single" w:sz="4" w:space="0" w:color="auto"/>
            </w:tcBorders>
            <w:shd w:val="clear" w:color="auto" w:fill="auto"/>
            <w:noWrap/>
            <w:vAlign w:val="center"/>
          </w:tcPr>
          <w:p w14:paraId="50D45B69" w14:textId="77777777" w:rsidR="00840519" w:rsidRPr="00F25744" w:rsidRDefault="00840519" w:rsidP="003068A1">
            <w:pPr>
              <w:bidi w:val="0"/>
              <w:spacing w:after="0" w:line="240" w:lineRule="auto"/>
              <w:jc w:val="center"/>
              <w:rPr>
                <w:rFonts w:eastAsia="Times New Roman" w:cs="David"/>
                <w:color w:val="000000"/>
                <w:sz w:val="24"/>
                <w:szCs w:val="24"/>
              </w:rPr>
            </w:pPr>
          </w:p>
        </w:tc>
        <w:tc>
          <w:tcPr>
            <w:tcW w:w="1417" w:type="dxa"/>
            <w:tcBorders>
              <w:top w:val="single" w:sz="4" w:space="0" w:color="auto"/>
              <w:bottom w:val="single" w:sz="4" w:space="0" w:color="auto"/>
            </w:tcBorders>
            <w:shd w:val="clear" w:color="auto" w:fill="auto"/>
            <w:vAlign w:val="center"/>
          </w:tcPr>
          <w:p w14:paraId="7DC3B52A" w14:textId="77777777" w:rsidR="00840519" w:rsidRPr="00F25744" w:rsidRDefault="00E25AE7" w:rsidP="003068A1">
            <w:pPr>
              <w:bidi w:val="0"/>
              <w:spacing w:after="0" w:line="240" w:lineRule="auto"/>
              <w:jc w:val="center"/>
              <w:rPr>
                <w:rFonts w:ascii="David" w:eastAsia="Times New Roman" w:hAnsi="David" w:cs="David"/>
                <w:b/>
                <w:bCs/>
                <w:color w:val="000000"/>
                <w:sz w:val="24"/>
                <w:szCs w:val="24"/>
                <w:rtl/>
              </w:rPr>
            </w:pPr>
            <w:r w:rsidRPr="00F25744">
              <w:rPr>
                <w:rFonts w:ascii="David" w:eastAsia="Times New Roman" w:hAnsi="David" w:cs="David"/>
                <w:b/>
                <w:bCs/>
                <w:color w:val="000000"/>
                <w:sz w:val="24"/>
                <w:szCs w:val="24"/>
              </w:rPr>
              <w:t>4</w:t>
            </w:r>
            <w:r w:rsidR="007F3A52" w:rsidRPr="00F25744">
              <w:rPr>
                <w:rFonts w:ascii="David" w:eastAsia="Times New Roman" w:hAnsi="David" w:cs="David"/>
                <w:b/>
                <w:bCs/>
                <w:color w:val="000000"/>
                <w:sz w:val="24"/>
                <w:szCs w:val="24"/>
              </w:rPr>
              <w:t>.</w:t>
            </w:r>
            <w:r w:rsidRPr="00F25744">
              <w:rPr>
                <w:rFonts w:ascii="David" w:eastAsia="Times New Roman" w:hAnsi="David" w:cs="David"/>
                <w:b/>
                <w:bCs/>
                <w:color w:val="000000"/>
                <w:sz w:val="24"/>
                <w:szCs w:val="24"/>
              </w:rPr>
              <w:t>58</w:t>
            </w:r>
          </w:p>
        </w:tc>
      </w:tr>
    </w:tbl>
    <w:p w14:paraId="14AC7B45" w14:textId="77777777" w:rsidR="0038627F" w:rsidRPr="00F25744" w:rsidRDefault="0038627F" w:rsidP="0088205C">
      <w:pPr>
        <w:pStyle w:val="a3"/>
        <w:widowControl w:val="0"/>
        <w:autoSpaceDE w:val="0"/>
        <w:autoSpaceDN w:val="0"/>
        <w:bidi/>
        <w:adjustRightInd w:val="0"/>
        <w:spacing w:before="60" w:after="60" w:line="360" w:lineRule="auto"/>
        <w:ind w:left="0"/>
        <w:rPr>
          <w:rFonts w:ascii="David" w:hAnsi="David" w:cs="David"/>
          <w:sz w:val="24"/>
          <w:szCs w:val="24"/>
          <w:rtl/>
        </w:rPr>
      </w:pPr>
    </w:p>
    <w:p w14:paraId="3801C010" w14:textId="77777777" w:rsidR="0088205C" w:rsidRPr="00F25744" w:rsidRDefault="00E25AE7" w:rsidP="0038627F">
      <w:pPr>
        <w:pStyle w:val="a3"/>
        <w:widowControl w:val="0"/>
        <w:autoSpaceDE w:val="0"/>
        <w:autoSpaceDN w:val="0"/>
        <w:bidi/>
        <w:adjustRightInd w:val="0"/>
        <w:spacing w:before="60" w:after="60" w:line="360" w:lineRule="auto"/>
        <w:ind w:left="0"/>
        <w:rPr>
          <w:rFonts w:ascii="David" w:hAnsi="David" w:cs="David"/>
          <w:sz w:val="24"/>
          <w:szCs w:val="24"/>
          <w:rtl/>
        </w:rPr>
      </w:pPr>
      <w:r w:rsidRPr="00F25744">
        <w:rPr>
          <w:rFonts w:ascii="David" w:hAnsi="David" w:cs="David" w:hint="cs"/>
          <w:sz w:val="24"/>
          <w:szCs w:val="24"/>
          <w:rtl/>
        </w:rPr>
        <w:t xml:space="preserve">כעת נציג את שעות העבודה הממוצעות ב"יום מיוחד" בחלוקה בין "שופט אזרחי" ל"שופט פלילי" בערכאות המחוזי והשלום: </w:t>
      </w:r>
    </w:p>
    <w:p w14:paraId="3631EFEB" w14:textId="77777777" w:rsidR="009C2B8E" w:rsidRPr="00F25744" w:rsidRDefault="009C2B8E" w:rsidP="008336F3">
      <w:pPr>
        <w:pStyle w:val="a3"/>
        <w:widowControl w:val="0"/>
        <w:autoSpaceDE w:val="0"/>
        <w:autoSpaceDN w:val="0"/>
        <w:bidi/>
        <w:adjustRightInd w:val="0"/>
        <w:spacing w:before="60" w:after="60" w:line="240" w:lineRule="auto"/>
        <w:ind w:left="0"/>
        <w:rPr>
          <w:rFonts w:ascii="David" w:hAnsi="David" w:cs="David"/>
          <w:sz w:val="24"/>
          <w:szCs w:val="24"/>
          <w:rtl/>
        </w:rPr>
      </w:pPr>
    </w:p>
    <w:p w14:paraId="34CDD680" w14:textId="56AA36E3" w:rsidR="00324984" w:rsidRPr="00F25744" w:rsidRDefault="008534FC" w:rsidP="008534FC">
      <w:pPr>
        <w:pStyle w:val="af6"/>
        <w:rPr>
          <w:rtl/>
        </w:rPr>
      </w:pPr>
      <w:bookmarkStart w:id="781" w:name="_Toc76988918"/>
      <w:r w:rsidRPr="00F25744">
        <w:rPr>
          <w:rtl/>
        </w:rPr>
        <w:t xml:space="preserve">טבלה </w:t>
      </w:r>
      <w:r w:rsidRPr="00F25744">
        <w:rPr>
          <w:rtl/>
        </w:rPr>
        <w:fldChar w:fldCharType="begin"/>
      </w:r>
      <w:r w:rsidRPr="00F25744">
        <w:rPr>
          <w:rtl/>
        </w:rPr>
        <w:instrText xml:space="preserve"> </w:instrText>
      </w:r>
      <w:r w:rsidRPr="00F25744">
        <w:instrText>SEQ</w:instrText>
      </w:r>
      <w:r w:rsidRPr="00F25744">
        <w:rPr>
          <w:rtl/>
        </w:rPr>
        <w:instrText xml:space="preserve"> טבלה \* </w:instrText>
      </w:r>
      <w:r w:rsidRPr="00F25744">
        <w:instrText>ARABIC</w:instrText>
      </w:r>
      <w:r w:rsidRPr="00F25744">
        <w:rPr>
          <w:rtl/>
        </w:rPr>
        <w:instrText xml:space="preserve"> </w:instrText>
      </w:r>
      <w:r w:rsidRPr="00F25744">
        <w:rPr>
          <w:rtl/>
        </w:rPr>
        <w:fldChar w:fldCharType="separate"/>
      </w:r>
      <w:r w:rsidR="008F1BC3">
        <w:rPr>
          <w:noProof/>
          <w:rtl/>
        </w:rPr>
        <w:t>23</w:t>
      </w:r>
      <w:r w:rsidRPr="00F25744">
        <w:rPr>
          <w:rtl/>
        </w:rPr>
        <w:fldChar w:fldCharType="end"/>
      </w:r>
      <w:r w:rsidR="007F3A52" w:rsidRPr="00F25744">
        <w:rPr>
          <w:rFonts w:hint="cs"/>
          <w:rtl/>
        </w:rPr>
        <w:t>: שעות עבודה ממוצעות ביום מיוחד לשופט אזרחי או פלילי</w:t>
      </w:r>
      <w:bookmarkEnd w:id="781"/>
    </w:p>
    <w:tbl>
      <w:tblPr>
        <w:bidiVisual/>
        <w:tblW w:w="7654" w:type="dxa"/>
        <w:tblInd w:w="538" w:type="dxa"/>
        <w:tblLook w:val="04A0" w:firstRow="1" w:lastRow="0" w:firstColumn="1" w:lastColumn="0" w:noHBand="0" w:noVBand="1"/>
      </w:tblPr>
      <w:tblGrid>
        <w:gridCol w:w="1026"/>
        <w:gridCol w:w="1080"/>
        <w:gridCol w:w="1080"/>
        <w:gridCol w:w="1080"/>
        <w:gridCol w:w="1080"/>
        <w:gridCol w:w="1080"/>
        <w:gridCol w:w="1228"/>
      </w:tblGrid>
      <w:tr w:rsidR="00E0162E" w:rsidRPr="00F25744" w14:paraId="08036443" w14:textId="77777777" w:rsidTr="005B6976">
        <w:trPr>
          <w:trHeight w:val="312"/>
        </w:trPr>
        <w:tc>
          <w:tcPr>
            <w:tcW w:w="1026" w:type="dxa"/>
            <w:vMerge w:val="restart"/>
            <w:tcBorders>
              <w:top w:val="single" w:sz="4" w:space="0" w:color="auto"/>
              <w:left w:val="single" w:sz="4" w:space="0" w:color="auto"/>
              <w:right w:val="single" w:sz="4" w:space="0" w:color="auto"/>
            </w:tcBorders>
            <w:shd w:val="clear" w:color="auto" w:fill="F2F2F2"/>
            <w:vAlign w:val="bottom"/>
          </w:tcPr>
          <w:p w14:paraId="57AAB4F4" w14:textId="77777777" w:rsidR="00D400CC" w:rsidRPr="00F25744" w:rsidRDefault="00E25AE7" w:rsidP="00D400CC">
            <w:pPr>
              <w:bidi w:val="0"/>
              <w:spacing w:after="0" w:line="240" w:lineRule="auto"/>
              <w:jc w:val="right"/>
              <w:rPr>
                <w:rFonts w:ascii="David" w:eastAsia="Times New Roman" w:hAnsi="David" w:cs="David"/>
                <w:b/>
                <w:bCs/>
                <w:color w:val="000000"/>
                <w:sz w:val="24"/>
                <w:szCs w:val="24"/>
              </w:rPr>
            </w:pPr>
            <w:r w:rsidRPr="00F25744">
              <w:rPr>
                <w:rFonts w:ascii="David" w:eastAsia="Times New Roman" w:hAnsi="David" w:cs="David"/>
                <w:b/>
                <w:bCs/>
                <w:color w:val="000000"/>
                <w:sz w:val="24"/>
                <w:szCs w:val="24"/>
                <w:rtl/>
              </w:rPr>
              <w:t>ערכאה</w:t>
            </w:r>
          </w:p>
        </w:tc>
        <w:tc>
          <w:tcPr>
            <w:tcW w:w="3240" w:type="dxa"/>
            <w:gridSpan w:val="3"/>
            <w:tcBorders>
              <w:top w:val="single" w:sz="4" w:space="0" w:color="auto"/>
              <w:left w:val="single" w:sz="4" w:space="0" w:color="auto"/>
              <w:bottom w:val="single" w:sz="4" w:space="0" w:color="auto"/>
              <w:right w:val="single" w:sz="4" w:space="0" w:color="auto"/>
            </w:tcBorders>
            <w:shd w:val="clear" w:color="auto" w:fill="FBE4D5"/>
            <w:vAlign w:val="center"/>
          </w:tcPr>
          <w:p w14:paraId="4AECE748" w14:textId="77777777" w:rsidR="00D400CC" w:rsidRPr="00F25744" w:rsidRDefault="00E25AE7" w:rsidP="00D400CC">
            <w:pPr>
              <w:spacing w:after="0" w:line="240" w:lineRule="auto"/>
              <w:jc w:val="center"/>
              <w:rPr>
                <w:rFonts w:ascii="David" w:eastAsia="Times New Roman" w:hAnsi="David" w:cs="David"/>
                <w:b/>
                <w:bCs/>
                <w:color w:val="000000"/>
                <w:sz w:val="26"/>
                <w:szCs w:val="26"/>
                <w:rtl/>
              </w:rPr>
            </w:pPr>
            <w:r w:rsidRPr="00F25744">
              <w:rPr>
                <w:rFonts w:ascii="David" w:eastAsia="Times New Roman" w:hAnsi="David" w:cs="David"/>
                <w:b/>
                <w:bCs/>
                <w:color w:val="000000"/>
                <w:sz w:val="26"/>
                <w:szCs w:val="26"/>
                <w:rtl/>
              </w:rPr>
              <w:t>אזרחי</w:t>
            </w:r>
          </w:p>
        </w:tc>
        <w:tc>
          <w:tcPr>
            <w:tcW w:w="3388" w:type="dxa"/>
            <w:gridSpan w:val="3"/>
            <w:tcBorders>
              <w:top w:val="single" w:sz="4" w:space="0" w:color="auto"/>
              <w:left w:val="single" w:sz="4" w:space="0" w:color="auto"/>
              <w:bottom w:val="single" w:sz="4" w:space="0" w:color="auto"/>
              <w:right w:val="single" w:sz="4" w:space="0" w:color="auto"/>
            </w:tcBorders>
            <w:shd w:val="clear" w:color="000000" w:fill="BDD7EE"/>
            <w:vAlign w:val="center"/>
          </w:tcPr>
          <w:p w14:paraId="7D718B8C" w14:textId="77777777" w:rsidR="00D400CC" w:rsidRPr="00F25744" w:rsidRDefault="00E25AE7" w:rsidP="00D400CC">
            <w:pPr>
              <w:spacing w:after="0" w:line="240" w:lineRule="auto"/>
              <w:jc w:val="center"/>
              <w:rPr>
                <w:rFonts w:ascii="David" w:eastAsia="Times New Roman" w:hAnsi="David" w:cs="David"/>
                <w:b/>
                <w:bCs/>
                <w:color w:val="000000"/>
                <w:sz w:val="26"/>
                <w:szCs w:val="26"/>
                <w:rtl/>
              </w:rPr>
            </w:pPr>
            <w:r w:rsidRPr="00F25744">
              <w:rPr>
                <w:rFonts w:ascii="David" w:eastAsia="Times New Roman" w:hAnsi="David" w:cs="David"/>
                <w:b/>
                <w:bCs/>
                <w:color w:val="000000"/>
                <w:sz w:val="26"/>
                <w:szCs w:val="26"/>
                <w:rtl/>
              </w:rPr>
              <w:t>פלילי</w:t>
            </w:r>
          </w:p>
        </w:tc>
      </w:tr>
      <w:tr w:rsidR="00E0162E" w:rsidRPr="00F25744" w14:paraId="152ED152" w14:textId="77777777" w:rsidTr="0065668A">
        <w:trPr>
          <w:trHeight w:val="846"/>
        </w:trPr>
        <w:tc>
          <w:tcPr>
            <w:tcW w:w="1026" w:type="dxa"/>
            <w:vMerge/>
            <w:tcBorders>
              <w:left w:val="single" w:sz="4" w:space="0" w:color="auto"/>
              <w:bottom w:val="single" w:sz="4" w:space="0" w:color="auto"/>
              <w:right w:val="single" w:sz="4" w:space="0" w:color="auto"/>
            </w:tcBorders>
            <w:shd w:val="clear" w:color="auto" w:fill="F2F2F2"/>
            <w:vAlign w:val="bottom"/>
            <w:hideMark/>
          </w:tcPr>
          <w:p w14:paraId="052A0F1F" w14:textId="77777777" w:rsidR="00D400CC" w:rsidRPr="00F25744" w:rsidRDefault="00D400CC" w:rsidP="00D400CC">
            <w:pPr>
              <w:bidi w:val="0"/>
              <w:spacing w:after="0" w:line="240" w:lineRule="auto"/>
              <w:rPr>
                <w:rFonts w:ascii="David" w:eastAsia="Times New Roman" w:hAnsi="David" w:cs="David"/>
                <w:b/>
                <w:bCs/>
                <w:color w:val="000000"/>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BE4D5"/>
            <w:vAlign w:val="bottom"/>
            <w:hideMark/>
          </w:tcPr>
          <w:p w14:paraId="3992D541" w14:textId="77777777" w:rsidR="00D400CC" w:rsidRPr="00F25744" w:rsidRDefault="00E25AE7" w:rsidP="00D400CC">
            <w:pPr>
              <w:spacing w:after="0" w:line="240" w:lineRule="auto"/>
              <w:rPr>
                <w:rFonts w:ascii="David" w:eastAsia="Times New Roman" w:hAnsi="David" w:cs="David"/>
                <w:color w:val="000000"/>
                <w:sz w:val="24"/>
                <w:szCs w:val="24"/>
              </w:rPr>
            </w:pPr>
            <w:r w:rsidRPr="00F25744">
              <w:rPr>
                <w:rFonts w:ascii="David" w:eastAsia="Times New Roman" w:hAnsi="David" w:cs="David"/>
                <w:color w:val="000000"/>
                <w:sz w:val="24"/>
                <w:szCs w:val="24"/>
                <w:rtl/>
              </w:rPr>
              <w:t>סך דקות עבודה</w:t>
            </w:r>
          </w:p>
        </w:tc>
        <w:tc>
          <w:tcPr>
            <w:tcW w:w="1080" w:type="dxa"/>
            <w:tcBorders>
              <w:top w:val="single" w:sz="4" w:space="0" w:color="auto"/>
              <w:left w:val="single" w:sz="4" w:space="0" w:color="auto"/>
              <w:bottom w:val="single" w:sz="4" w:space="0" w:color="auto"/>
              <w:right w:val="single" w:sz="4" w:space="0" w:color="auto"/>
            </w:tcBorders>
            <w:shd w:val="clear" w:color="auto" w:fill="FBE4D5"/>
            <w:vAlign w:val="bottom"/>
            <w:hideMark/>
          </w:tcPr>
          <w:p w14:paraId="510BF2E8" w14:textId="77777777" w:rsidR="00D400CC" w:rsidRPr="00F25744" w:rsidRDefault="00E25AE7" w:rsidP="00D400CC">
            <w:pPr>
              <w:spacing w:after="0" w:line="240" w:lineRule="auto"/>
              <w:rPr>
                <w:rFonts w:ascii="David" w:eastAsia="Times New Roman" w:hAnsi="David" w:cs="David"/>
                <w:color w:val="000000"/>
                <w:sz w:val="24"/>
                <w:szCs w:val="24"/>
                <w:rtl/>
              </w:rPr>
            </w:pPr>
            <w:r w:rsidRPr="00F25744">
              <w:rPr>
                <w:rFonts w:ascii="David" w:eastAsia="Times New Roman" w:hAnsi="David" w:cs="David"/>
                <w:color w:val="000000"/>
                <w:sz w:val="24"/>
                <w:szCs w:val="24"/>
                <w:rtl/>
              </w:rPr>
              <w:t>סך דיווחים</w:t>
            </w:r>
          </w:p>
        </w:tc>
        <w:tc>
          <w:tcPr>
            <w:tcW w:w="1080" w:type="dxa"/>
            <w:tcBorders>
              <w:top w:val="single" w:sz="4" w:space="0" w:color="auto"/>
              <w:left w:val="single" w:sz="4" w:space="0" w:color="auto"/>
              <w:bottom w:val="single" w:sz="4" w:space="0" w:color="auto"/>
              <w:right w:val="single" w:sz="4" w:space="0" w:color="auto"/>
            </w:tcBorders>
            <w:shd w:val="clear" w:color="auto" w:fill="FBE4D5"/>
            <w:vAlign w:val="bottom"/>
            <w:hideMark/>
          </w:tcPr>
          <w:p w14:paraId="52729562" w14:textId="77777777" w:rsidR="00D400CC" w:rsidRPr="00F25744" w:rsidRDefault="00E25AE7" w:rsidP="00D400CC">
            <w:pPr>
              <w:spacing w:after="0" w:line="240" w:lineRule="auto"/>
              <w:rPr>
                <w:rFonts w:ascii="David" w:eastAsia="Times New Roman" w:hAnsi="David" w:cs="David"/>
                <w:b/>
                <w:bCs/>
                <w:color w:val="000000"/>
                <w:sz w:val="24"/>
                <w:szCs w:val="24"/>
                <w:rtl/>
              </w:rPr>
            </w:pPr>
            <w:r w:rsidRPr="00F25744">
              <w:rPr>
                <w:rFonts w:ascii="David" w:eastAsia="Times New Roman" w:hAnsi="David" w:cs="David"/>
                <w:b/>
                <w:bCs/>
                <w:color w:val="000000"/>
                <w:sz w:val="24"/>
                <w:szCs w:val="24"/>
                <w:rtl/>
              </w:rPr>
              <w:t>ממוצע בשעות</w:t>
            </w:r>
          </w:p>
        </w:tc>
        <w:tc>
          <w:tcPr>
            <w:tcW w:w="1080" w:type="dxa"/>
            <w:tcBorders>
              <w:top w:val="single" w:sz="4" w:space="0" w:color="auto"/>
              <w:left w:val="single" w:sz="4" w:space="0" w:color="auto"/>
              <w:bottom w:val="single" w:sz="4" w:space="0" w:color="auto"/>
              <w:right w:val="single" w:sz="4" w:space="0" w:color="auto"/>
            </w:tcBorders>
            <w:shd w:val="clear" w:color="000000" w:fill="BDD7EE"/>
            <w:vAlign w:val="bottom"/>
          </w:tcPr>
          <w:p w14:paraId="10D9A80C" w14:textId="77777777" w:rsidR="00D400CC" w:rsidRPr="00F25744" w:rsidRDefault="00E25AE7" w:rsidP="00D400CC">
            <w:pPr>
              <w:spacing w:after="0" w:line="240" w:lineRule="auto"/>
              <w:rPr>
                <w:rFonts w:ascii="David" w:eastAsia="Times New Roman" w:hAnsi="David" w:cs="David"/>
                <w:color w:val="000000"/>
                <w:sz w:val="24"/>
                <w:szCs w:val="24"/>
              </w:rPr>
            </w:pPr>
            <w:r w:rsidRPr="00F25744">
              <w:rPr>
                <w:rFonts w:ascii="David" w:eastAsia="Times New Roman" w:hAnsi="David" w:cs="David"/>
                <w:color w:val="000000"/>
                <w:sz w:val="24"/>
                <w:szCs w:val="24"/>
                <w:rtl/>
              </w:rPr>
              <w:t>סך דקות עבודה</w:t>
            </w:r>
          </w:p>
        </w:tc>
        <w:tc>
          <w:tcPr>
            <w:tcW w:w="1080" w:type="dxa"/>
            <w:tcBorders>
              <w:top w:val="single" w:sz="4" w:space="0" w:color="auto"/>
              <w:left w:val="single" w:sz="4" w:space="0" w:color="auto"/>
              <w:bottom w:val="single" w:sz="4" w:space="0" w:color="auto"/>
              <w:right w:val="single" w:sz="4" w:space="0" w:color="auto"/>
            </w:tcBorders>
            <w:shd w:val="clear" w:color="000000" w:fill="BDD7EE"/>
            <w:vAlign w:val="bottom"/>
          </w:tcPr>
          <w:p w14:paraId="091086DD" w14:textId="77777777" w:rsidR="00D400CC" w:rsidRPr="00F25744" w:rsidRDefault="00E25AE7" w:rsidP="00D400CC">
            <w:pPr>
              <w:spacing w:after="0" w:line="240" w:lineRule="auto"/>
              <w:rPr>
                <w:rFonts w:ascii="David" w:eastAsia="Times New Roman" w:hAnsi="David" w:cs="David"/>
                <w:color w:val="000000"/>
                <w:sz w:val="24"/>
                <w:szCs w:val="24"/>
                <w:rtl/>
              </w:rPr>
            </w:pPr>
            <w:r w:rsidRPr="00F25744">
              <w:rPr>
                <w:rFonts w:ascii="David" w:eastAsia="Times New Roman" w:hAnsi="David" w:cs="David"/>
                <w:color w:val="000000"/>
                <w:sz w:val="24"/>
                <w:szCs w:val="24"/>
                <w:rtl/>
              </w:rPr>
              <w:t>סך דיווחים</w:t>
            </w:r>
          </w:p>
        </w:tc>
        <w:tc>
          <w:tcPr>
            <w:tcW w:w="1228" w:type="dxa"/>
            <w:tcBorders>
              <w:top w:val="single" w:sz="4" w:space="0" w:color="auto"/>
              <w:left w:val="single" w:sz="4" w:space="0" w:color="auto"/>
              <w:bottom w:val="single" w:sz="4" w:space="0" w:color="auto"/>
              <w:right w:val="single" w:sz="4" w:space="0" w:color="auto"/>
            </w:tcBorders>
            <w:shd w:val="clear" w:color="000000" w:fill="BDD7EE"/>
            <w:vAlign w:val="bottom"/>
          </w:tcPr>
          <w:p w14:paraId="5A129018" w14:textId="77777777" w:rsidR="00D400CC" w:rsidRPr="00F25744" w:rsidRDefault="00E25AE7" w:rsidP="00D400CC">
            <w:pPr>
              <w:spacing w:after="0" w:line="240" w:lineRule="auto"/>
              <w:rPr>
                <w:rFonts w:ascii="David" w:eastAsia="Times New Roman" w:hAnsi="David" w:cs="David"/>
                <w:b/>
                <w:bCs/>
                <w:color w:val="000000"/>
                <w:sz w:val="24"/>
                <w:szCs w:val="24"/>
                <w:rtl/>
              </w:rPr>
            </w:pPr>
            <w:r w:rsidRPr="00F25744">
              <w:rPr>
                <w:rFonts w:ascii="David" w:eastAsia="Times New Roman" w:hAnsi="David" w:cs="David"/>
                <w:b/>
                <w:bCs/>
                <w:color w:val="000000"/>
                <w:sz w:val="24"/>
                <w:szCs w:val="24"/>
                <w:rtl/>
              </w:rPr>
              <w:t>ממוצע בשעות</w:t>
            </w:r>
          </w:p>
        </w:tc>
      </w:tr>
      <w:tr w:rsidR="00E0162E" w:rsidRPr="00F25744" w14:paraId="68CF9E9A" w14:textId="77777777" w:rsidTr="0065668A">
        <w:trPr>
          <w:trHeight w:val="300"/>
        </w:trPr>
        <w:tc>
          <w:tcPr>
            <w:tcW w:w="1026" w:type="dxa"/>
            <w:tcBorders>
              <w:top w:val="nil"/>
              <w:left w:val="single" w:sz="4" w:space="0" w:color="auto"/>
              <w:bottom w:val="single" w:sz="4" w:space="0" w:color="auto"/>
              <w:right w:val="single" w:sz="4" w:space="0" w:color="auto"/>
            </w:tcBorders>
            <w:shd w:val="clear" w:color="auto" w:fill="F2F2F2"/>
            <w:vAlign w:val="bottom"/>
            <w:hideMark/>
          </w:tcPr>
          <w:p w14:paraId="40210025" w14:textId="77777777" w:rsidR="00D400CC" w:rsidRPr="00F25744" w:rsidRDefault="00E25AE7" w:rsidP="00D400CC">
            <w:pPr>
              <w:spacing w:after="0" w:line="240" w:lineRule="auto"/>
              <w:rPr>
                <w:rFonts w:ascii="David" w:eastAsia="Times New Roman" w:hAnsi="David" w:cs="David"/>
                <w:b/>
                <w:bCs/>
                <w:color w:val="000000"/>
                <w:sz w:val="24"/>
                <w:szCs w:val="24"/>
                <w:rtl/>
              </w:rPr>
            </w:pPr>
            <w:r w:rsidRPr="00F25744">
              <w:rPr>
                <w:rFonts w:ascii="David" w:eastAsia="Times New Roman" w:hAnsi="David" w:cs="David"/>
                <w:b/>
                <w:bCs/>
                <w:color w:val="000000"/>
                <w:sz w:val="24"/>
                <w:szCs w:val="24"/>
                <w:rtl/>
              </w:rPr>
              <w:t>מחוזי</w:t>
            </w:r>
          </w:p>
        </w:tc>
        <w:tc>
          <w:tcPr>
            <w:tcW w:w="1080" w:type="dxa"/>
            <w:tcBorders>
              <w:top w:val="nil"/>
              <w:left w:val="single" w:sz="4" w:space="0" w:color="auto"/>
              <w:bottom w:val="single" w:sz="4" w:space="0" w:color="auto"/>
              <w:right w:val="single" w:sz="4" w:space="0" w:color="auto"/>
            </w:tcBorders>
            <w:shd w:val="clear" w:color="auto" w:fill="FBE4D5"/>
            <w:noWrap/>
            <w:vAlign w:val="bottom"/>
            <w:hideMark/>
          </w:tcPr>
          <w:p w14:paraId="4D0F5E9D" w14:textId="77777777" w:rsidR="00D400CC" w:rsidRPr="00F25744" w:rsidRDefault="00E25AE7" w:rsidP="00D400CC">
            <w:pPr>
              <w:bidi w:val="0"/>
              <w:spacing w:after="0" w:line="240" w:lineRule="auto"/>
              <w:jc w:val="right"/>
              <w:rPr>
                <w:rFonts w:ascii="David" w:eastAsia="Times New Roman" w:hAnsi="David" w:cs="David"/>
                <w:color w:val="000000"/>
                <w:sz w:val="24"/>
                <w:szCs w:val="24"/>
                <w:rtl/>
              </w:rPr>
            </w:pPr>
            <w:r w:rsidRPr="00F25744">
              <w:rPr>
                <w:rFonts w:ascii="David" w:eastAsia="Times New Roman" w:hAnsi="David" w:cs="David"/>
                <w:color w:val="000000"/>
                <w:sz w:val="24"/>
                <w:szCs w:val="24"/>
              </w:rPr>
              <w:t>142198</w:t>
            </w:r>
          </w:p>
        </w:tc>
        <w:tc>
          <w:tcPr>
            <w:tcW w:w="1080" w:type="dxa"/>
            <w:tcBorders>
              <w:top w:val="nil"/>
              <w:left w:val="single" w:sz="4" w:space="0" w:color="auto"/>
              <w:bottom w:val="single" w:sz="4" w:space="0" w:color="auto"/>
              <w:right w:val="single" w:sz="4" w:space="0" w:color="auto"/>
            </w:tcBorders>
            <w:shd w:val="clear" w:color="auto" w:fill="FBE4D5"/>
            <w:noWrap/>
            <w:vAlign w:val="bottom"/>
            <w:hideMark/>
          </w:tcPr>
          <w:p w14:paraId="61AD7856" w14:textId="77777777" w:rsidR="00D400CC" w:rsidRPr="00F25744" w:rsidRDefault="00E25AE7" w:rsidP="00D400CC">
            <w:pPr>
              <w:bidi w:val="0"/>
              <w:spacing w:after="0" w:line="240" w:lineRule="auto"/>
              <w:jc w:val="right"/>
              <w:rPr>
                <w:rFonts w:ascii="David" w:eastAsia="Times New Roman" w:hAnsi="David" w:cs="David"/>
                <w:color w:val="000000"/>
                <w:sz w:val="24"/>
                <w:szCs w:val="24"/>
              </w:rPr>
            </w:pPr>
            <w:r w:rsidRPr="00F25744">
              <w:rPr>
                <w:rFonts w:ascii="David" w:eastAsia="Times New Roman" w:hAnsi="David" w:cs="David"/>
                <w:color w:val="000000"/>
                <w:sz w:val="24"/>
                <w:szCs w:val="24"/>
              </w:rPr>
              <w:t>504</w:t>
            </w:r>
          </w:p>
        </w:tc>
        <w:tc>
          <w:tcPr>
            <w:tcW w:w="1080" w:type="dxa"/>
            <w:tcBorders>
              <w:top w:val="nil"/>
              <w:left w:val="single" w:sz="4" w:space="0" w:color="auto"/>
              <w:bottom w:val="single" w:sz="4" w:space="0" w:color="auto"/>
              <w:right w:val="single" w:sz="4" w:space="0" w:color="auto"/>
            </w:tcBorders>
            <w:shd w:val="clear" w:color="auto" w:fill="FBE4D5"/>
            <w:noWrap/>
            <w:vAlign w:val="bottom"/>
            <w:hideMark/>
          </w:tcPr>
          <w:p w14:paraId="56EE6A23" w14:textId="77777777" w:rsidR="00D400CC" w:rsidRPr="00F25744" w:rsidRDefault="00E25AE7" w:rsidP="00D400CC">
            <w:pPr>
              <w:bidi w:val="0"/>
              <w:spacing w:after="0" w:line="240" w:lineRule="auto"/>
              <w:jc w:val="right"/>
              <w:rPr>
                <w:rFonts w:ascii="David" w:eastAsia="Times New Roman" w:hAnsi="David" w:cs="David"/>
                <w:b/>
                <w:bCs/>
                <w:color w:val="000000"/>
                <w:sz w:val="24"/>
                <w:szCs w:val="24"/>
              </w:rPr>
            </w:pPr>
            <w:r w:rsidRPr="00F25744">
              <w:rPr>
                <w:rFonts w:ascii="David" w:eastAsia="Times New Roman" w:hAnsi="David" w:cs="David"/>
                <w:b/>
                <w:bCs/>
                <w:color w:val="000000"/>
                <w:sz w:val="24"/>
                <w:szCs w:val="24"/>
              </w:rPr>
              <w:t>4.70</w:t>
            </w:r>
          </w:p>
        </w:tc>
        <w:tc>
          <w:tcPr>
            <w:tcW w:w="1080" w:type="dxa"/>
            <w:tcBorders>
              <w:top w:val="nil"/>
              <w:left w:val="single" w:sz="4" w:space="0" w:color="auto"/>
              <w:bottom w:val="single" w:sz="4" w:space="0" w:color="auto"/>
              <w:right w:val="single" w:sz="4" w:space="0" w:color="auto"/>
            </w:tcBorders>
            <w:shd w:val="clear" w:color="000000" w:fill="BDD7EE"/>
            <w:vAlign w:val="bottom"/>
          </w:tcPr>
          <w:p w14:paraId="136A93F7" w14:textId="77777777" w:rsidR="00D400CC" w:rsidRPr="00F25744" w:rsidRDefault="00E25AE7" w:rsidP="00D400CC">
            <w:pPr>
              <w:bidi w:val="0"/>
              <w:spacing w:after="0" w:line="240" w:lineRule="auto"/>
              <w:jc w:val="right"/>
              <w:rPr>
                <w:rFonts w:ascii="David" w:eastAsia="Times New Roman" w:hAnsi="David" w:cs="David"/>
                <w:color w:val="000000"/>
                <w:sz w:val="24"/>
                <w:szCs w:val="24"/>
                <w:rtl/>
              </w:rPr>
            </w:pPr>
            <w:r w:rsidRPr="00F25744">
              <w:rPr>
                <w:rFonts w:ascii="David" w:eastAsia="Times New Roman" w:hAnsi="David" w:cs="David"/>
                <w:color w:val="000000"/>
                <w:sz w:val="24"/>
                <w:szCs w:val="24"/>
              </w:rPr>
              <w:t>30686</w:t>
            </w:r>
          </w:p>
        </w:tc>
        <w:tc>
          <w:tcPr>
            <w:tcW w:w="1080" w:type="dxa"/>
            <w:tcBorders>
              <w:top w:val="nil"/>
              <w:left w:val="single" w:sz="4" w:space="0" w:color="auto"/>
              <w:bottom w:val="single" w:sz="4" w:space="0" w:color="auto"/>
              <w:right w:val="single" w:sz="4" w:space="0" w:color="auto"/>
            </w:tcBorders>
            <w:shd w:val="clear" w:color="000000" w:fill="BDD7EE"/>
            <w:vAlign w:val="bottom"/>
          </w:tcPr>
          <w:p w14:paraId="7ABB16A3" w14:textId="77777777" w:rsidR="00D400CC" w:rsidRPr="00F25744" w:rsidRDefault="00E25AE7" w:rsidP="00D400CC">
            <w:pPr>
              <w:bidi w:val="0"/>
              <w:spacing w:after="0" w:line="240" w:lineRule="auto"/>
              <w:jc w:val="right"/>
              <w:rPr>
                <w:rFonts w:ascii="David" w:eastAsia="Times New Roman" w:hAnsi="David" w:cs="David"/>
                <w:color w:val="000000"/>
                <w:sz w:val="24"/>
                <w:szCs w:val="24"/>
              </w:rPr>
            </w:pPr>
            <w:r w:rsidRPr="00F25744">
              <w:rPr>
                <w:rFonts w:ascii="David" w:eastAsia="Times New Roman" w:hAnsi="David" w:cs="David"/>
                <w:color w:val="000000"/>
                <w:sz w:val="24"/>
                <w:szCs w:val="24"/>
              </w:rPr>
              <w:t>112</w:t>
            </w:r>
          </w:p>
        </w:tc>
        <w:tc>
          <w:tcPr>
            <w:tcW w:w="1228" w:type="dxa"/>
            <w:tcBorders>
              <w:top w:val="nil"/>
              <w:left w:val="single" w:sz="4" w:space="0" w:color="auto"/>
              <w:bottom w:val="single" w:sz="4" w:space="0" w:color="auto"/>
              <w:right w:val="single" w:sz="4" w:space="0" w:color="auto"/>
            </w:tcBorders>
            <w:shd w:val="clear" w:color="000000" w:fill="BDD7EE"/>
            <w:vAlign w:val="bottom"/>
          </w:tcPr>
          <w:p w14:paraId="766055FC" w14:textId="77777777" w:rsidR="00D400CC" w:rsidRPr="00F25744" w:rsidRDefault="00E25AE7" w:rsidP="00D400CC">
            <w:pPr>
              <w:bidi w:val="0"/>
              <w:spacing w:after="0" w:line="240" w:lineRule="auto"/>
              <w:jc w:val="right"/>
              <w:rPr>
                <w:rFonts w:ascii="David" w:eastAsia="Times New Roman" w:hAnsi="David" w:cs="David"/>
                <w:b/>
                <w:bCs/>
                <w:color w:val="000000"/>
                <w:sz w:val="24"/>
                <w:szCs w:val="24"/>
              </w:rPr>
            </w:pPr>
            <w:r w:rsidRPr="00F25744">
              <w:rPr>
                <w:rFonts w:ascii="David" w:eastAsia="Times New Roman" w:hAnsi="David" w:cs="David"/>
                <w:b/>
                <w:bCs/>
                <w:color w:val="000000"/>
                <w:sz w:val="24"/>
                <w:szCs w:val="24"/>
              </w:rPr>
              <w:t>4.57</w:t>
            </w:r>
          </w:p>
        </w:tc>
      </w:tr>
      <w:tr w:rsidR="00E0162E" w:rsidRPr="00F25744" w14:paraId="59EFF5CF" w14:textId="77777777" w:rsidTr="0065668A">
        <w:trPr>
          <w:trHeight w:val="300"/>
        </w:trPr>
        <w:tc>
          <w:tcPr>
            <w:tcW w:w="1026" w:type="dxa"/>
            <w:tcBorders>
              <w:top w:val="nil"/>
              <w:left w:val="single" w:sz="4" w:space="0" w:color="auto"/>
              <w:bottom w:val="single" w:sz="4" w:space="0" w:color="auto"/>
              <w:right w:val="single" w:sz="4" w:space="0" w:color="auto"/>
            </w:tcBorders>
            <w:shd w:val="clear" w:color="auto" w:fill="F2F2F2"/>
            <w:vAlign w:val="bottom"/>
            <w:hideMark/>
          </w:tcPr>
          <w:p w14:paraId="0004761B" w14:textId="77777777" w:rsidR="00D400CC" w:rsidRPr="00F25744" w:rsidRDefault="00E25AE7" w:rsidP="00D400CC">
            <w:pPr>
              <w:spacing w:after="0" w:line="240" w:lineRule="auto"/>
              <w:rPr>
                <w:rFonts w:ascii="David" w:eastAsia="Times New Roman" w:hAnsi="David" w:cs="David"/>
                <w:b/>
                <w:bCs/>
                <w:color w:val="000000"/>
                <w:sz w:val="24"/>
                <w:szCs w:val="24"/>
              </w:rPr>
            </w:pPr>
            <w:r w:rsidRPr="00F25744">
              <w:rPr>
                <w:rFonts w:ascii="David" w:eastAsia="Times New Roman" w:hAnsi="David" w:cs="David"/>
                <w:b/>
                <w:bCs/>
                <w:color w:val="000000"/>
                <w:sz w:val="24"/>
                <w:szCs w:val="24"/>
                <w:rtl/>
              </w:rPr>
              <w:t>שלום</w:t>
            </w:r>
          </w:p>
        </w:tc>
        <w:tc>
          <w:tcPr>
            <w:tcW w:w="1080" w:type="dxa"/>
            <w:tcBorders>
              <w:top w:val="nil"/>
              <w:left w:val="single" w:sz="4" w:space="0" w:color="auto"/>
              <w:bottom w:val="single" w:sz="4" w:space="0" w:color="auto"/>
              <w:right w:val="single" w:sz="4" w:space="0" w:color="auto"/>
            </w:tcBorders>
            <w:shd w:val="clear" w:color="auto" w:fill="FBE4D5"/>
            <w:noWrap/>
            <w:vAlign w:val="bottom"/>
            <w:hideMark/>
          </w:tcPr>
          <w:p w14:paraId="46339C76" w14:textId="77777777" w:rsidR="00D400CC" w:rsidRPr="00F25744" w:rsidRDefault="00E25AE7" w:rsidP="00D400CC">
            <w:pPr>
              <w:bidi w:val="0"/>
              <w:spacing w:after="0" w:line="240" w:lineRule="auto"/>
              <w:jc w:val="right"/>
              <w:rPr>
                <w:rFonts w:ascii="David" w:eastAsia="Times New Roman" w:hAnsi="David" w:cs="David"/>
                <w:color w:val="000000"/>
                <w:sz w:val="24"/>
                <w:szCs w:val="24"/>
                <w:rtl/>
              </w:rPr>
            </w:pPr>
            <w:r w:rsidRPr="00F25744">
              <w:rPr>
                <w:rFonts w:ascii="David" w:eastAsia="Times New Roman" w:hAnsi="David" w:cs="David"/>
                <w:color w:val="000000"/>
                <w:sz w:val="24"/>
                <w:szCs w:val="24"/>
              </w:rPr>
              <w:t>214459</w:t>
            </w:r>
          </w:p>
        </w:tc>
        <w:tc>
          <w:tcPr>
            <w:tcW w:w="1080" w:type="dxa"/>
            <w:tcBorders>
              <w:top w:val="nil"/>
              <w:left w:val="single" w:sz="4" w:space="0" w:color="auto"/>
              <w:bottom w:val="single" w:sz="4" w:space="0" w:color="auto"/>
              <w:right w:val="single" w:sz="4" w:space="0" w:color="auto"/>
            </w:tcBorders>
            <w:shd w:val="clear" w:color="auto" w:fill="FBE4D5"/>
            <w:noWrap/>
            <w:vAlign w:val="bottom"/>
            <w:hideMark/>
          </w:tcPr>
          <w:p w14:paraId="45062C9E" w14:textId="77777777" w:rsidR="00D400CC" w:rsidRPr="00F25744" w:rsidRDefault="00E25AE7" w:rsidP="00D400CC">
            <w:pPr>
              <w:bidi w:val="0"/>
              <w:spacing w:after="0" w:line="240" w:lineRule="auto"/>
              <w:jc w:val="right"/>
              <w:rPr>
                <w:rFonts w:ascii="David" w:eastAsia="Times New Roman" w:hAnsi="David" w:cs="David"/>
                <w:color w:val="000000"/>
                <w:sz w:val="24"/>
                <w:szCs w:val="24"/>
              </w:rPr>
            </w:pPr>
            <w:r w:rsidRPr="00F25744">
              <w:rPr>
                <w:rFonts w:ascii="David" w:eastAsia="Times New Roman" w:hAnsi="David" w:cs="David"/>
                <w:color w:val="000000"/>
                <w:sz w:val="24"/>
                <w:szCs w:val="24"/>
              </w:rPr>
              <w:t>816</w:t>
            </w:r>
          </w:p>
        </w:tc>
        <w:tc>
          <w:tcPr>
            <w:tcW w:w="1080" w:type="dxa"/>
            <w:tcBorders>
              <w:top w:val="nil"/>
              <w:left w:val="single" w:sz="4" w:space="0" w:color="auto"/>
              <w:bottom w:val="single" w:sz="4" w:space="0" w:color="auto"/>
              <w:right w:val="single" w:sz="4" w:space="0" w:color="auto"/>
            </w:tcBorders>
            <w:shd w:val="clear" w:color="auto" w:fill="FBE4D5"/>
            <w:noWrap/>
            <w:vAlign w:val="bottom"/>
            <w:hideMark/>
          </w:tcPr>
          <w:p w14:paraId="18EA7142" w14:textId="77777777" w:rsidR="00D400CC" w:rsidRPr="00F25744" w:rsidRDefault="00E25AE7" w:rsidP="00D400CC">
            <w:pPr>
              <w:bidi w:val="0"/>
              <w:spacing w:after="0" w:line="240" w:lineRule="auto"/>
              <w:jc w:val="right"/>
              <w:rPr>
                <w:rFonts w:ascii="David" w:eastAsia="Times New Roman" w:hAnsi="David" w:cs="David"/>
                <w:b/>
                <w:bCs/>
                <w:color w:val="000000"/>
                <w:sz w:val="24"/>
                <w:szCs w:val="24"/>
              </w:rPr>
            </w:pPr>
            <w:r w:rsidRPr="00F25744">
              <w:rPr>
                <w:rFonts w:ascii="David" w:eastAsia="Times New Roman" w:hAnsi="David" w:cs="David"/>
                <w:b/>
                <w:bCs/>
                <w:color w:val="000000"/>
                <w:sz w:val="24"/>
                <w:szCs w:val="24"/>
              </w:rPr>
              <w:t>4.38</w:t>
            </w:r>
          </w:p>
        </w:tc>
        <w:tc>
          <w:tcPr>
            <w:tcW w:w="1080" w:type="dxa"/>
            <w:tcBorders>
              <w:top w:val="nil"/>
              <w:left w:val="single" w:sz="4" w:space="0" w:color="auto"/>
              <w:bottom w:val="single" w:sz="4" w:space="0" w:color="auto"/>
              <w:right w:val="single" w:sz="4" w:space="0" w:color="auto"/>
            </w:tcBorders>
            <w:shd w:val="clear" w:color="000000" w:fill="BDD7EE"/>
            <w:vAlign w:val="bottom"/>
          </w:tcPr>
          <w:p w14:paraId="7507ABDE" w14:textId="77777777" w:rsidR="00D400CC" w:rsidRPr="00F25744" w:rsidRDefault="00E25AE7" w:rsidP="00D400CC">
            <w:pPr>
              <w:bidi w:val="0"/>
              <w:spacing w:after="0" w:line="240" w:lineRule="auto"/>
              <w:jc w:val="right"/>
              <w:rPr>
                <w:rFonts w:ascii="David" w:eastAsia="Times New Roman" w:hAnsi="David" w:cs="David"/>
                <w:color w:val="000000"/>
                <w:sz w:val="24"/>
                <w:szCs w:val="24"/>
                <w:rtl/>
              </w:rPr>
            </w:pPr>
            <w:r w:rsidRPr="00F25744">
              <w:rPr>
                <w:rFonts w:ascii="David" w:eastAsia="Times New Roman" w:hAnsi="David" w:cs="David"/>
                <w:color w:val="000000"/>
                <w:sz w:val="24"/>
                <w:szCs w:val="24"/>
              </w:rPr>
              <w:t>61934</w:t>
            </w:r>
          </w:p>
        </w:tc>
        <w:tc>
          <w:tcPr>
            <w:tcW w:w="1080" w:type="dxa"/>
            <w:tcBorders>
              <w:top w:val="nil"/>
              <w:left w:val="single" w:sz="4" w:space="0" w:color="auto"/>
              <w:bottom w:val="single" w:sz="4" w:space="0" w:color="auto"/>
              <w:right w:val="single" w:sz="4" w:space="0" w:color="auto"/>
            </w:tcBorders>
            <w:shd w:val="clear" w:color="000000" w:fill="BDD7EE"/>
            <w:vAlign w:val="bottom"/>
          </w:tcPr>
          <w:p w14:paraId="42595B02" w14:textId="77777777" w:rsidR="00D400CC" w:rsidRPr="00F25744" w:rsidRDefault="00E25AE7" w:rsidP="00D400CC">
            <w:pPr>
              <w:bidi w:val="0"/>
              <w:spacing w:after="0" w:line="240" w:lineRule="auto"/>
              <w:jc w:val="right"/>
              <w:rPr>
                <w:rFonts w:ascii="David" w:eastAsia="Times New Roman" w:hAnsi="David" w:cs="David"/>
                <w:color w:val="000000"/>
                <w:sz w:val="24"/>
                <w:szCs w:val="24"/>
              </w:rPr>
            </w:pPr>
            <w:r w:rsidRPr="00F25744">
              <w:rPr>
                <w:rFonts w:ascii="David" w:eastAsia="Times New Roman" w:hAnsi="David" w:cs="David"/>
                <w:color w:val="000000"/>
                <w:sz w:val="24"/>
                <w:szCs w:val="24"/>
              </w:rPr>
              <w:t>256</w:t>
            </w:r>
          </w:p>
        </w:tc>
        <w:tc>
          <w:tcPr>
            <w:tcW w:w="1228" w:type="dxa"/>
            <w:tcBorders>
              <w:top w:val="nil"/>
              <w:left w:val="single" w:sz="4" w:space="0" w:color="auto"/>
              <w:bottom w:val="single" w:sz="4" w:space="0" w:color="auto"/>
              <w:right w:val="single" w:sz="4" w:space="0" w:color="auto"/>
            </w:tcBorders>
            <w:shd w:val="clear" w:color="000000" w:fill="BDD7EE"/>
            <w:vAlign w:val="bottom"/>
          </w:tcPr>
          <w:p w14:paraId="79054333" w14:textId="77777777" w:rsidR="00D400CC" w:rsidRPr="00F25744" w:rsidRDefault="00E25AE7" w:rsidP="00D400CC">
            <w:pPr>
              <w:bidi w:val="0"/>
              <w:spacing w:after="0" w:line="240" w:lineRule="auto"/>
              <w:jc w:val="right"/>
              <w:rPr>
                <w:rFonts w:ascii="David" w:eastAsia="Times New Roman" w:hAnsi="David" w:cs="David"/>
                <w:b/>
                <w:bCs/>
                <w:color w:val="000000"/>
                <w:sz w:val="24"/>
                <w:szCs w:val="24"/>
              </w:rPr>
            </w:pPr>
            <w:r w:rsidRPr="00F25744">
              <w:rPr>
                <w:rFonts w:ascii="David" w:eastAsia="Times New Roman" w:hAnsi="David" w:cs="David"/>
                <w:b/>
                <w:bCs/>
                <w:color w:val="000000"/>
                <w:sz w:val="24"/>
                <w:szCs w:val="24"/>
              </w:rPr>
              <w:t>4.03</w:t>
            </w:r>
          </w:p>
        </w:tc>
      </w:tr>
    </w:tbl>
    <w:p w14:paraId="65B5F0D2" w14:textId="0E88C169" w:rsidR="00AE3240" w:rsidRPr="00F25744" w:rsidRDefault="00AE3240" w:rsidP="00AE3240">
      <w:pPr>
        <w:pStyle w:val="a3"/>
        <w:widowControl w:val="0"/>
        <w:autoSpaceDE w:val="0"/>
        <w:autoSpaceDN w:val="0"/>
        <w:bidi/>
        <w:adjustRightInd w:val="0"/>
        <w:spacing w:before="60" w:after="60" w:line="360" w:lineRule="auto"/>
        <w:ind w:left="0"/>
        <w:rPr>
          <w:rFonts w:ascii="David" w:hAnsi="David" w:cs="David"/>
          <w:sz w:val="24"/>
          <w:szCs w:val="24"/>
          <w:rtl/>
        </w:rPr>
      </w:pPr>
    </w:p>
    <w:p w14:paraId="0FE49457" w14:textId="77777777" w:rsidR="001C7B41" w:rsidRPr="00F25744" w:rsidRDefault="00E25AE7" w:rsidP="000C1408">
      <w:pPr>
        <w:pStyle w:val="5"/>
        <w:numPr>
          <w:ilvl w:val="4"/>
          <w:numId w:val="24"/>
        </w:numPr>
        <w:ind w:left="1561"/>
      </w:pPr>
      <w:bookmarkStart w:id="782" w:name="_Toc74751024"/>
      <w:bookmarkStart w:id="783" w:name="_Toc46226098"/>
      <w:bookmarkStart w:id="784" w:name="_Toc46226242"/>
      <w:bookmarkStart w:id="785" w:name="_Toc46228409"/>
      <w:bookmarkStart w:id="786" w:name="_Toc46228507"/>
      <w:bookmarkStart w:id="787" w:name="_Toc46230434"/>
      <w:bookmarkStart w:id="788" w:name="_Toc46230532"/>
      <w:bookmarkStart w:id="789" w:name="_Toc46310422"/>
      <w:bookmarkStart w:id="790" w:name="_Toc46414065"/>
      <w:r w:rsidRPr="00F25744">
        <w:rPr>
          <w:rFonts w:hint="cs"/>
          <w:rtl/>
        </w:rPr>
        <w:t>עבודה ביום המנוחה השבועי</w:t>
      </w:r>
      <w:bookmarkEnd w:id="782"/>
      <w:r w:rsidRPr="00F25744">
        <w:rPr>
          <w:rFonts w:hint="cs"/>
          <w:rtl/>
        </w:rPr>
        <w:t xml:space="preserve"> </w:t>
      </w:r>
    </w:p>
    <w:p w14:paraId="4F1B7E3C" w14:textId="77777777" w:rsidR="001C7B41" w:rsidRPr="00F25744" w:rsidRDefault="00E25AE7" w:rsidP="008336F3">
      <w:pPr>
        <w:pStyle w:val="a3"/>
        <w:widowControl w:val="0"/>
        <w:autoSpaceDE w:val="0"/>
        <w:autoSpaceDN w:val="0"/>
        <w:bidi/>
        <w:adjustRightInd w:val="0"/>
        <w:spacing w:before="120" w:after="0" w:line="360" w:lineRule="auto"/>
        <w:ind w:left="0"/>
        <w:contextualSpacing w:val="0"/>
        <w:rPr>
          <w:rFonts w:ascii="David" w:hAnsi="David" w:cs="David"/>
          <w:sz w:val="24"/>
          <w:szCs w:val="24"/>
          <w:rtl/>
        </w:rPr>
      </w:pPr>
      <w:r w:rsidRPr="00F25744">
        <w:rPr>
          <w:rFonts w:ascii="David" w:hAnsi="David" w:cs="David" w:hint="cs"/>
          <w:sz w:val="24"/>
          <w:szCs w:val="24"/>
          <w:rtl/>
        </w:rPr>
        <w:t xml:space="preserve">ימי עבודה "מיוחדים" כוללים תמהיל מגוון של ימים שבהם השופטים עבדו במתכונת שונה מיום עבודה "רגיל". בחלק מאותם ימים מיוחדים השופטים אמורים לעבוד, </w:t>
      </w:r>
      <w:r w:rsidR="001D779F" w:rsidRPr="00F25744">
        <w:rPr>
          <w:rFonts w:ascii="David" w:hAnsi="David" w:cs="David" w:hint="cs"/>
          <w:sz w:val="24"/>
          <w:szCs w:val="24"/>
          <w:rtl/>
        </w:rPr>
        <w:t xml:space="preserve">כמו </w:t>
      </w:r>
      <w:r w:rsidRPr="00F25744">
        <w:rPr>
          <w:rFonts w:ascii="David" w:hAnsi="David" w:cs="David" w:hint="cs"/>
          <w:sz w:val="24"/>
          <w:szCs w:val="24"/>
          <w:rtl/>
        </w:rPr>
        <w:t>שבתוני כתיבה, ובחלקם השופטים לא אמורים לעבוד ועובדים בכל זאת, כמו בזמן חופשות, ימי מחלה וביום המנוחה השבועי.</w:t>
      </w:r>
    </w:p>
    <w:p w14:paraId="6CC69936" w14:textId="77777777" w:rsidR="00F543D2" w:rsidRPr="00F25744" w:rsidRDefault="00E25AE7" w:rsidP="008336F3">
      <w:pPr>
        <w:pStyle w:val="a3"/>
        <w:widowControl w:val="0"/>
        <w:autoSpaceDE w:val="0"/>
        <w:autoSpaceDN w:val="0"/>
        <w:bidi/>
        <w:adjustRightInd w:val="0"/>
        <w:spacing w:before="120" w:after="0" w:line="360" w:lineRule="auto"/>
        <w:ind w:left="0"/>
        <w:contextualSpacing w:val="0"/>
        <w:rPr>
          <w:rFonts w:ascii="David" w:hAnsi="David" w:cs="David"/>
          <w:sz w:val="24"/>
          <w:szCs w:val="24"/>
          <w:rtl/>
        </w:rPr>
      </w:pPr>
      <w:r w:rsidRPr="00F25744">
        <w:rPr>
          <w:rFonts w:ascii="David" w:hAnsi="David" w:cs="David" w:hint="cs"/>
          <w:sz w:val="24"/>
          <w:szCs w:val="24"/>
          <w:rtl/>
        </w:rPr>
        <w:t xml:space="preserve">בתת-פרק זה בחרנו לייחד את שעות העבודה שמקדישים השופטים והרשמים ביום המנוחה השבועי שלהם. </w:t>
      </w:r>
      <w:r w:rsidR="001D779F" w:rsidRPr="00F25744">
        <w:rPr>
          <w:rFonts w:ascii="David" w:hAnsi="David" w:cs="David" w:hint="cs"/>
          <w:sz w:val="24"/>
          <w:szCs w:val="24"/>
          <w:rtl/>
        </w:rPr>
        <w:t xml:space="preserve">חשוב לציין, כי אמנם שופטים בני דתות שונות מגדירים את יום המנוחה השבועי בימים שונים. </w:t>
      </w:r>
      <w:r w:rsidR="001D779F" w:rsidRPr="00F25744">
        <w:rPr>
          <w:rFonts w:ascii="David" w:hAnsi="David" w:cs="David" w:hint="cs"/>
          <w:sz w:val="24"/>
          <w:szCs w:val="24"/>
          <w:rtl/>
        </w:rPr>
        <w:lastRenderedPageBreak/>
        <w:t>עם זאת לא יכולנו לייחד לנושא זה התייחסות נפרדת ביומנים, בין היתר על מנת לשמור על אנונימיות השופטים, ועל כן נציג בתת פרק זה נתונים המתייחסים ליום שבת כיום המנוחה השבועי של רוב השופטים בישראל. כמו כן נח</w:t>
      </w:r>
      <w:r w:rsidR="005923AD" w:rsidRPr="00F25744">
        <w:rPr>
          <w:rFonts w:ascii="David" w:hAnsi="David" w:cs="David" w:hint="cs"/>
          <w:sz w:val="24"/>
          <w:szCs w:val="24"/>
          <w:rtl/>
        </w:rPr>
        <w:t>זור ונציין, כי לא כל השופטים דיווחו לנו במהלך תקופת המחקר על העבודה שלהם ביום המנוחה השבועי.</w:t>
      </w:r>
      <w:r w:rsidR="00ED039B" w:rsidRPr="00F25744">
        <w:rPr>
          <w:rFonts w:ascii="David" w:hAnsi="David" w:cs="David" w:hint="cs"/>
          <w:sz w:val="24"/>
          <w:szCs w:val="24"/>
          <w:rtl/>
        </w:rPr>
        <w:t xml:space="preserve"> </w:t>
      </w:r>
      <w:r w:rsidR="00E91088" w:rsidRPr="00F25744">
        <w:rPr>
          <w:rFonts w:ascii="David" w:hAnsi="David" w:cs="David" w:hint="cs"/>
          <w:sz w:val="24"/>
          <w:szCs w:val="24"/>
          <w:rtl/>
        </w:rPr>
        <w:t xml:space="preserve">עוד חשוב לציין, כי הנתונים שמוצגים כאן כוללים גם עבודה במוצאי שבת, בתורנויות מעצרים וכדומה. </w:t>
      </w:r>
    </w:p>
    <w:p w14:paraId="19F0AF85" w14:textId="77777777" w:rsidR="001C7B41" w:rsidRPr="00F25744" w:rsidRDefault="00E25AE7" w:rsidP="008336F3">
      <w:pPr>
        <w:pStyle w:val="a3"/>
        <w:widowControl w:val="0"/>
        <w:autoSpaceDE w:val="0"/>
        <w:autoSpaceDN w:val="0"/>
        <w:bidi/>
        <w:adjustRightInd w:val="0"/>
        <w:spacing w:before="120" w:after="0" w:line="360" w:lineRule="auto"/>
        <w:ind w:left="0"/>
        <w:contextualSpacing w:val="0"/>
        <w:rPr>
          <w:rFonts w:ascii="David" w:hAnsi="David" w:cs="David"/>
          <w:sz w:val="24"/>
          <w:szCs w:val="24"/>
          <w:rtl/>
        </w:rPr>
      </w:pPr>
      <w:r w:rsidRPr="00F25744">
        <w:rPr>
          <w:rFonts w:ascii="David" w:hAnsi="David" w:cs="David" w:hint="cs"/>
          <w:sz w:val="24"/>
          <w:szCs w:val="24"/>
          <w:rtl/>
        </w:rPr>
        <w:t xml:space="preserve">מהבדיקה </w:t>
      </w:r>
      <w:r w:rsidR="00ED039B" w:rsidRPr="00F25744">
        <w:rPr>
          <w:rFonts w:ascii="David" w:hAnsi="David" w:cs="David" w:hint="cs"/>
          <w:sz w:val="24"/>
          <w:szCs w:val="24"/>
          <w:rtl/>
        </w:rPr>
        <w:t>שנערכה על הנתונים ש</w:t>
      </w:r>
      <w:r w:rsidR="009F4BBC" w:rsidRPr="00F25744">
        <w:rPr>
          <w:rFonts w:ascii="David" w:hAnsi="David" w:cs="David" w:hint="cs"/>
          <w:sz w:val="24"/>
          <w:szCs w:val="24"/>
          <w:rtl/>
        </w:rPr>
        <w:t>ב</w:t>
      </w:r>
      <w:r w:rsidR="00ED039B" w:rsidRPr="00F25744">
        <w:rPr>
          <w:rFonts w:ascii="David" w:hAnsi="David" w:cs="David" w:hint="cs"/>
          <w:sz w:val="24"/>
          <w:szCs w:val="24"/>
          <w:rtl/>
        </w:rPr>
        <w:t xml:space="preserve">ידינו, </w:t>
      </w:r>
      <w:r w:rsidRPr="00F25744">
        <w:rPr>
          <w:rFonts w:ascii="David" w:hAnsi="David" w:cs="David" w:hint="cs"/>
          <w:sz w:val="24"/>
          <w:szCs w:val="24"/>
          <w:rtl/>
        </w:rPr>
        <w:t xml:space="preserve">עולה כי שעות העבודה הממוצעות ביום המנוחה השבועי עומדות על 4.75 בכלל המערכת, ונעות בין 2.8 שעות ל-4.9 שעות עבודה נטו בערכאות השונות. </w:t>
      </w:r>
    </w:p>
    <w:p w14:paraId="418A4161" w14:textId="77777777" w:rsidR="001C7B41" w:rsidRPr="00F25744" w:rsidRDefault="00E25AE7" w:rsidP="008336F3">
      <w:pPr>
        <w:pStyle w:val="a3"/>
        <w:widowControl w:val="0"/>
        <w:autoSpaceDE w:val="0"/>
        <w:autoSpaceDN w:val="0"/>
        <w:bidi/>
        <w:adjustRightInd w:val="0"/>
        <w:spacing w:before="120" w:after="0" w:line="360" w:lineRule="auto"/>
        <w:ind w:left="0"/>
        <w:contextualSpacing w:val="0"/>
        <w:rPr>
          <w:rFonts w:ascii="David" w:hAnsi="David" w:cs="David"/>
          <w:sz w:val="24"/>
          <w:szCs w:val="24"/>
          <w:rtl/>
        </w:rPr>
      </w:pPr>
      <w:r w:rsidRPr="00F25744">
        <w:rPr>
          <w:rFonts w:ascii="David" w:hAnsi="David" w:cs="David" w:hint="cs"/>
          <w:sz w:val="24"/>
          <w:szCs w:val="24"/>
          <w:rtl/>
        </w:rPr>
        <w:t>לפי אחוזי הדיווח היומיים של השופטים (טבלה 3) שהוצגו, בין 31% ל-42% מן השופטים והרשמים מילאו יומנים במהלך ימי המנוחה השבועיים שלהם בתקופת המחקר. משמע, כשליש מהשופטים והרשמים נאלצים לעבוד בימי המנוחה השבועית.</w:t>
      </w:r>
    </w:p>
    <w:p w14:paraId="6FFB0BB0" w14:textId="77777777" w:rsidR="001C7B41" w:rsidRPr="00F25744" w:rsidRDefault="00E25AE7" w:rsidP="008336F3">
      <w:pPr>
        <w:pStyle w:val="a3"/>
        <w:widowControl w:val="0"/>
        <w:autoSpaceDE w:val="0"/>
        <w:autoSpaceDN w:val="0"/>
        <w:bidi/>
        <w:adjustRightInd w:val="0"/>
        <w:spacing w:before="120" w:after="0" w:line="360" w:lineRule="auto"/>
        <w:ind w:left="0"/>
        <w:contextualSpacing w:val="0"/>
        <w:rPr>
          <w:rFonts w:ascii="David" w:hAnsi="David" w:cs="David"/>
          <w:sz w:val="24"/>
          <w:szCs w:val="24"/>
          <w:rtl/>
        </w:rPr>
      </w:pPr>
      <w:r w:rsidRPr="00F25744">
        <w:rPr>
          <w:rFonts w:ascii="David" w:hAnsi="David" w:cs="David" w:hint="cs"/>
          <w:sz w:val="24"/>
          <w:szCs w:val="24"/>
          <w:rtl/>
        </w:rPr>
        <w:t>מדיווחי השופטים עולה, כי</w:t>
      </w:r>
      <w:r w:rsidR="007F3A52" w:rsidRPr="00F25744">
        <w:rPr>
          <w:rFonts w:ascii="David" w:hAnsi="David" w:cs="David" w:hint="cs"/>
          <w:sz w:val="24"/>
          <w:szCs w:val="24"/>
          <w:rtl/>
        </w:rPr>
        <w:t xml:space="preserve"> השופטים עבדו בממוצע 2.9 שבתות מתוך 5 </w:t>
      </w:r>
      <w:r w:rsidRPr="00F25744">
        <w:rPr>
          <w:rFonts w:ascii="David" w:hAnsi="David" w:cs="David" w:hint="cs"/>
          <w:sz w:val="24"/>
          <w:szCs w:val="24"/>
          <w:rtl/>
        </w:rPr>
        <w:t>השבתות ב</w:t>
      </w:r>
      <w:r w:rsidR="007F3A52" w:rsidRPr="00F25744">
        <w:rPr>
          <w:rFonts w:ascii="David" w:hAnsi="David" w:cs="David" w:hint="cs"/>
          <w:sz w:val="24"/>
          <w:szCs w:val="24"/>
          <w:rtl/>
        </w:rPr>
        <w:t>מהלך תקופת המחקר</w:t>
      </w:r>
      <w:r w:rsidR="009C2B8E" w:rsidRPr="00F25744">
        <w:rPr>
          <w:rFonts w:ascii="David" w:hAnsi="David" w:cs="David" w:hint="cs"/>
          <w:sz w:val="24"/>
          <w:szCs w:val="24"/>
          <w:rtl/>
        </w:rPr>
        <w:t xml:space="preserve"> (</w:t>
      </w:r>
      <w:r w:rsidR="007F3A52" w:rsidRPr="00F25744">
        <w:rPr>
          <w:rFonts w:ascii="David" w:hAnsi="David" w:cs="David" w:hint="cs"/>
          <w:sz w:val="24"/>
          <w:szCs w:val="24"/>
          <w:rtl/>
        </w:rPr>
        <w:t>58%</w:t>
      </w:r>
      <w:r w:rsidR="009C2B8E" w:rsidRPr="00F25744">
        <w:rPr>
          <w:rFonts w:ascii="David" w:hAnsi="David" w:cs="David" w:hint="cs"/>
          <w:sz w:val="24"/>
          <w:szCs w:val="24"/>
          <w:rtl/>
        </w:rPr>
        <w:t>)</w:t>
      </w:r>
      <w:r w:rsidR="00C51FB9" w:rsidRPr="00F25744">
        <w:rPr>
          <w:rFonts w:ascii="David" w:hAnsi="David" w:cs="David" w:hint="cs"/>
          <w:sz w:val="24"/>
          <w:szCs w:val="24"/>
          <w:rtl/>
        </w:rPr>
        <w:t xml:space="preserve">. עוד עולה כי מבין השופטים שעבדו בשבת, שעות העבודה נעו בין </w:t>
      </w:r>
      <w:r w:rsidR="007F3A52" w:rsidRPr="00F25744">
        <w:rPr>
          <w:rFonts w:ascii="David" w:hAnsi="David" w:cs="David" w:hint="cs"/>
          <w:sz w:val="24"/>
          <w:szCs w:val="24"/>
          <w:rtl/>
        </w:rPr>
        <w:t>2.5 ל-3</w:t>
      </w:r>
      <w:r w:rsidR="00E42780" w:rsidRPr="00F25744">
        <w:rPr>
          <w:rFonts w:ascii="David" w:hAnsi="David" w:cs="David" w:hint="cs"/>
          <w:sz w:val="24"/>
          <w:szCs w:val="24"/>
          <w:rtl/>
        </w:rPr>
        <w:t xml:space="preserve"> שעות</w:t>
      </w:r>
      <w:r w:rsidR="007F3A52" w:rsidRPr="00F25744">
        <w:rPr>
          <w:rFonts w:ascii="David" w:hAnsi="David" w:cs="David" w:hint="cs"/>
          <w:sz w:val="24"/>
          <w:szCs w:val="24"/>
          <w:rtl/>
        </w:rPr>
        <w:t xml:space="preserve"> </w:t>
      </w:r>
      <w:r w:rsidR="00740F13" w:rsidRPr="00F25744">
        <w:rPr>
          <w:rFonts w:ascii="David" w:hAnsi="David" w:cs="David" w:hint="cs"/>
          <w:sz w:val="24"/>
          <w:szCs w:val="24"/>
          <w:rtl/>
        </w:rPr>
        <w:t>בערכאות השונות</w:t>
      </w:r>
      <w:r w:rsidR="007F3A52" w:rsidRPr="00F25744">
        <w:rPr>
          <w:rFonts w:ascii="David" w:hAnsi="David" w:cs="David" w:hint="cs"/>
          <w:sz w:val="24"/>
          <w:szCs w:val="24"/>
          <w:rtl/>
        </w:rPr>
        <w:t>.</w:t>
      </w:r>
    </w:p>
    <w:p w14:paraId="0CFC5CE5" w14:textId="77777777" w:rsidR="0035323D" w:rsidRPr="00F25744" w:rsidRDefault="0035323D" w:rsidP="008336F3">
      <w:pPr>
        <w:pStyle w:val="3"/>
        <w:numPr>
          <w:ilvl w:val="0"/>
          <w:numId w:val="0"/>
        </w:numPr>
        <w:spacing w:line="240" w:lineRule="auto"/>
        <w:ind w:left="720"/>
      </w:pPr>
      <w:bookmarkStart w:id="791" w:name="_Toc49352778"/>
      <w:bookmarkStart w:id="792" w:name="_Toc49668470"/>
    </w:p>
    <w:p w14:paraId="48847DB4" w14:textId="77777777" w:rsidR="001C7B41" w:rsidRPr="00F25744" w:rsidRDefault="00E25AE7" w:rsidP="000C1408">
      <w:pPr>
        <w:pStyle w:val="3"/>
        <w:numPr>
          <w:ilvl w:val="2"/>
          <w:numId w:val="24"/>
        </w:numPr>
        <w:ind w:left="852"/>
        <w:rPr>
          <w:rtl/>
        </w:rPr>
      </w:pPr>
      <w:bookmarkStart w:id="793" w:name="_Toc74751025"/>
      <w:r w:rsidRPr="00F25744">
        <w:rPr>
          <w:rFonts w:hint="cs"/>
          <w:rtl/>
        </w:rPr>
        <w:t>שעות עבודה שבועיות</w:t>
      </w:r>
      <w:bookmarkEnd w:id="791"/>
      <w:r w:rsidRPr="00F25744">
        <w:rPr>
          <w:rFonts w:hint="cs"/>
          <w:rtl/>
        </w:rPr>
        <w:t xml:space="preserve"> לשופט</w:t>
      </w:r>
      <w:bookmarkEnd w:id="792"/>
      <w:bookmarkEnd w:id="793"/>
    </w:p>
    <w:p w14:paraId="1DD74B4B" w14:textId="77777777" w:rsidR="001C7B41" w:rsidRPr="00F25744" w:rsidRDefault="00E25AE7" w:rsidP="008336F3">
      <w:pPr>
        <w:pStyle w:val="a3"/>
        <w:widowControl w:val="0"/>
        <w:autoSpaceDE w:val="0"/>
        <w:autoSpaceDN w:val="0"/>
        <w:bidi/>
        <w:adjustRightInd w:val="0"/>
        <w:spacing w:before="120" w:after="0" w:line="360" w:lineRule="auto"/>
        <w:ind w:left="2"/>
        <w:contextualSpacing w:val="0"/>
        <w:rPr>
          <w:rFonts w:ascii="David" w:hAnsi="David" w:cs="David"/>
          <w:sz w:val="24"/>
          <w:szCs w:val="24"/>
          <w:rtl/>
        </w:rPr>
      </w:pPr>
      <w:r w:rsidRPr="00F25744">
        <w:rPr>
          <w:rFonts w:ascii="David" w:hAnsi="David" w:cs="David" w:hint="cs"/>
          <w:sz w:val="24"/>
          <w:szCs w:val="24"/>
          <w:rtl/>
        </w:rPr>
        <w:t xml:space="preserve">שעות העבודה השבועיות הממוצעות לשופט במערכת כוללות את שעות העבודה בימים </w:t>
      </w:r>
      <w:r w:rsidR="00C733D7" w:rsidRPr="00F25744">
        <w:rPr>
          <w:rFonts w:ascii="David" w:hAnsi="David" w:cs="David" w:hint="cs"/>
          <w:sz w:val="24"/>
          <w:szCs w:val="24"/>
          <w:rtl/>
        </w:rPr>
        <w:t>המוגדרים</w:t>
      </w:r>
      <w:r w:rsidRPr="00F25744">
        <w:rPr>
          <w:rFonts w:ascii="David" w:hAnsi="David" w:cs="David" w:hint="cs"/>
          <w:sz w:val="24"/>
          <w:szCs w:val="24"/>
          <w:rtl/>
        </w:rPr>
        <w:t xml:space="preserve"> </w:t>
      </w:r>
      <w:r w:rsidRPr="00F25744">
        <w:rPr>
          <w:rFonts w:ascii="David" w:hAnsi="David" w:cs="David"/>
          <w:sz w:val="24"/>
          <w:szCs w:val="24"/>
          <w:rtl/>
        </w:rPr>
        <w:t>–</w:t>
      </w:r>
      <w:r w:rsidRPr="00F25744">
        <w:rPr>
          <w:rFonts w:ascii="David" w:hAnsi="David" w:cs="David" w:hint="cs"/>
          <w:sz w:val="24"/>
          <w:szCs w:val="24"/>
          <w:rtl/>
        </w:rPr>
        <w:t xml:space="preserve"> א'-</w:t>
      </w:r>
      <w:r w:rsidR="00C733D7" w:rsidRPr="00F25744">
        <w:rPr>
          <w:rFonts w:ascii="David" w:hAnsi="David" w:cs="David" w:hint="cs"/>
          <w:sz w:val="24"/>
          <w:szCs w:val="24"/>
          <w:rtl/>
        </w:rPr>
        <w:t>ו</w:t>
      </w:r>
      <w:r w:rsidR="002808D6" w:rsidRPr="00F25744">
        <w:rPr>
          <w:rFonts w:ascii="David" w:hAnsi="David" w:cs="David" w:hint="cs"/>
          <w:sz w:val="24"/>
          <w:szCs w:val="24"/>
          <w:rtl/>
        </w:rPr>
        <w:t>'</w:t>
      </w:r>
      <w:r w:rsidRPr="00F25744">
        <w:rPr>
          <w:rFonts w:ascii="David" w:hAnsi="David" w:cs="David" w:hint="cs"/>
          <w:sz w:val="24"/>
          <w:szCs w:val="24"/>
          <w:rtl/>
        </w:rPr>
        <w:t xml:space="preserve"> </w:t>
      </w:r>
      <w:r w:rsidR="002808D6" w:rsidRPr="00F25744">
        <w:rPr>
          <w:rFonts w:ascii="David" w:hAnsi="David" w:cs="David" w:hint="cs"/>
          <w:sz w:val="24"/>
          <w:szCs w:val="24"/>
          <w:rtl/>
        </w:rPr>
        <w:t>(</w:t>
      </w:r>
      <w:r w:rsidR="00E91088" w:rsidRPr="00F25744">
        <w:rPr>
          <w:rFonts w:ascii="David" w:hAnsi="David" w:cs="David" w:hint="cs"/>
          <w:sz w:val="24"/>
          <w:szCs w:val="24"/>
          <w:rtl/>
        </w:rPr>
        <w:t>לרבות שעות העבודה הממוצעות בימים המיוחדים</w:t>
      </w:r>
      <w:r w:rsidR="002808D6" w:rsidRPr="00F25744">
        <w:rPr>
          <w:rFonts w:ascii="David" w:hAnsi="David" w:cs="David" w:hint="cs"/>
          <w:sz w:val="24"/>
          <w:szCs w:val="24"/>
          <w:rtl/>
        </w:rPr>
        <w:t xml:space="preserve"> - </w:t>
      </w:r>
      <w:r w:rsidR="00E91088" w:rsidRPr="00F25744">
        <w:rPr>
          <w:rFonts w:ascii="David" w:hAnsi="David" w:cs="David" w:hint="cs"/>
          <w:sz w:val="24"/>
          <w:szCs w:val="24"/>
          <w:rtl/>
        </w:rPr>
        <w:t xml:space="preserve">השתלמויות, ימי ארעי, ימי מחלה ועוד) </w:t>
      </w:r>
      <w:r w:rsidRPr="00F25744">
        <w:rPr>
          <w:rFonts w:ascii="David" w:hAnsi="David" w:cs="David" w:hint="cs"/>
          <w:sz w:val="24"/>
          <w:szCs w:val="24"/>
          <w:rtl/>
        </w:rPr>
        <w:t>ואת שעות העבודה הממוצעות שנמדדו לי</w:t>
      </w:r>
      <w:r w:rsidR="008C22D0" w:rsidRPr="00F25744">
        <w:rPr>
          <w:rFonts w:ascii="David" w:hAnsi="David" w:cs="David" w:hint="cs"/>
          <w:sz w:val="24"/>
          <w:szCs w:val="24"/>
          <w:rtl/>
        </w:rPr>
        <w:t xml:space="preserve">ום </w:t>
      </w:r>
      <w:r w:rsidRPr="00F25744">
        <w:rPr>
          <w:rFonts w:ascii="David" w:hAnsi="David" w:cs="David" w:hint="cs"/>
          <w:sz w:val="24"/>
          <w:szCs w:val="24"/>
          <w:rtl/>
        </w:rPr>
        <w:t>שבת</w:t>
      </w:r>
      <w:r w:rsidR="00F543D2" w:rsidRPr="00F25744">
        <w:rPr>
          <w:rFonts w:ascii="David" w:hAnsi="David" w:cs="David" w:hint="cs"/>
          <w:sz w:val="24"/>
          <w:szCs w:val="24"/>
          <w:rtl/>
        </w:rPr>
        <w:t>, לגבי אותם שופטים שעבדו ביום זה</w:t>
      </w:r>
      <w:r w:rsidRPr="00F25744">
        <w:rPr>
          <w:rFonts w:ascii="David" w:hAnsi="David" w:cs="David" w:hint="cs"/>
          <w:sz w:val="24"/>
          <w:szCs w:val="24"/>
          <w:rtl/>
        </w:rPr>
        <w:t xml:space="preserve">. </w:t>
      </w:r>
      <w:r w:rsidR="00F543D2" w:rsidRPr="00F25744">
        <w:rPr>
          <w:rFonts w:ascii="David" w:hAnsi="David" w:cs="David" w:hint="cs"/>
          <w:sz w:val="24"/>
          <w:szCs w:val="24"/>
          <w:rtl/>
        </w:rPr>
        <w:t>סך הכ</w:t>
      </w:r>
      <w:r w:rsidR="002808D6" w:rsidRPr="00F25744">
        <w:rPr>
          <w:rFonts w:ascii="David" w:hAnsi="David" w:cs="David" w:hint="cs"/>
          <w:sz w:val="24"/>
          <w:szCs w:val="24"/>
          <w:rtl/>
        </w:rPr>
        <w:t>ו</w:t>
      </w:r>
      <w:r w:rsidR="00F543D2" w:rsidRPr="00F25744">
        <w:rPr>
          <w:rFonts w:ascii="David" w:hAnsi="David" w:cs="David" w:hint="cs"/>
          <w:sz w:val="24"/>
          <w:szCs w:val="24"/>
          <w:rtl/>
        </w:rPr>
        <w:t xml:space="preserve">ל שעות העבודה השבועיות שנמדדו, </w:t>
      </w:r>
      <w:r w:rsidR="00F7688C" w:rsidRPr="00F25744">
        <w:rPr>
          <w:rFonts w:ascii="David" w:hAnsi="David" w:cs="David" w:hint="cs"/>
          <w:sz w:val="24"/>
          <w:szCs w:val="24"/>
          <w:rtl/>
        </w:rPr>
        <w:t>עומדות על</w:t>
      </w:r>
      <w:r w:rsidR="00F7688C" w:rsidRPr="00F25744">
        <w:rPr>
          <w:rFonts w:ascii="David" w:hAnsi="David" w:cs="David" w:hint="cs"/>
          <w:b/>
          <w:bCs/>
          <w:sz w:val="24"/>
          <w:szCs w:val="24"/>
          <w:rtl/>
        </w:rPr>
        <w:t xml:space="preserve"> 45.61 שעות</w:t>
      </w:r>
      <w:r w:rsidR="00F7688C" w:rsidRPr="00F25744">
        <w:rPr>
          <w:rFonts w:ascii="David" w:hAnsi="David" w:cs="David" w:hint="cs"/>
          <w:sz w:val="24"/>
          <w:szCs w:val="24"/>
          <w:rtl/>
        </w:rPr>
        <w:t xml:space="preserve"> בממוצע. </w:t>
      </w:r>
      <w:r w:rsidR="00341018" w:rsidRPr="00F25744">
        <w:rPr>
          <w:rFonts w:ascii="David" w:hAnsi="David" w:cs="David" w:hint="cs"/>
          <w:sz w:val="24"/>
          <w:szCs w:val="24"/>
          <w:rtl/>
        </w:rPr>
        <w:t xml:space="preserve">כפי שהובהר לעיל, </w:t>
      </w:r>
      <w:r w:rsidR="00905E95" w:rsidRPr="00F25744">
        <w:rPr>
          <w:rFonts w:ascii="David" w:hAnsi="David" w:cs="David" w:hint="cs"/>
          <w:sz w:val="24"/>
          <w:szCs w:val="24"/>
          <w:rtl/>
        </w:rPr>
        <w:t xml:space="preserve">מדובר </w:t>
      </w:r>
      <w:r w:rsidR="00341018" w:rsidRPr="00F25744">
        <w:rPr>
          <w:rFonts w:ascii="David" w:hAnsi="David" w:cs="David" w:hint="cs"/>
          <w:sz w:val="24"/>
          <w:szCs w:val="24"/>
          <w:rtl/>
        </w:rPr>
        <w:t xml:space="preserve">בשעות עבודה שיפוטיות נטו, לא כולל הפסקות, נסיעות וכו'. </w:t>
      </w:r>
      <w:r w:rsidR="00F7688C" w:rsidRPr="00F25744">
        <w:rPr>
          <w:rFonts w:ascii="David" w:hAnsi="David" w:cs="David" w:hint="cs"/>
          <w:sz w:val="24"/>
          <w:szCs w:val="24"/>
          <w:rtl/>
        </w:rPr>
        <w:t xml:space="preserve">אם נוסיף שעת הפסקה לכל יום בימים א'-ה' נגיע לממוצע שעות שבועיות של </w:t>
      </w:r>
      <w:r w:rsidR="00C91A14" w:rsidRPr="00F25744">
        <w:rPr>
          <w:rFonts w:ascii="David" w:hAnsi="David" w:cs="David" w:hint="cs"/>
          <w:sz w:val="24"/>
          <w:szCs w:val="24"/>
          <w:rtl/>
        </w:rPr>
        <w:t xml:space="preserve">50.61 שעות. </w:t>
      </w:r>
      <w:r w:rsidR="00CA2871" w:rsidRPr="00F25744">
        <w:rPr>
          <w:rFonts w:ascii="David" w:hAnsi="David" w:cs="David" w:hint="cs"/>
          <w:sz w:val="24"/>
          <w:szCs w:val="24"/>
          <w:rtl/>
        </w:rPr>
        <w:t xml:space="preserve">יוזכר, כי </w:t>
      </w:r>
      <w:r w:rsidR="00A8195E" w:rsidRPr="00F25744">
        <w:rPr>
          <w:rFonts w:ascii="David" w:hAnsi="David" w:cs="David" w:hint="cs"/>
          <w:sz w:val="24"/>
          <w:szCs w:val="24"/>
          <w:rtl/>
        </w:rPr>
        <w:t xml:space="preserve">החל מחודש אפריל 2018, </w:t>
      </w:r>
      <w:r w:rsidR="00F7688C" w:rsidRPr="00F25744">
        <w:rPr>
          <w:rFonts w:ascii="David" w:hAnsi="David" w:cs="David" w:hint="cs"/>
          <w:sz w:val="24"/>
          <w:szCs w:val="24"/>
          <w:rtl/>
        </w:rPr>
        <w:t xml:space="preserve">קוצר שבוע העבודה במשק </w:t>
      </w:r>
      <w:r w:rsidR="00AC45BC" w:rsidRPr="00F25744">
        <w:rPr>
          <w:rFonts w:ascii="David" w:hAnsi="David" w:cs="David" w:hint="cs"/>
          <w:sz w:val="24"/>
          <w:szCs w:val="24"/>
          <w:rtl/>
        </w:rPr>
        <w:t>ל</w:t>
      </w:r>
      <w:r w:rsidR="00F7688C" w:rsidRPr="00F25744">
        <w:rPr>
          <w:rFonts w:ascii="David" w:hAnsi="David" w:cs="David" w:hint="cs"/>
          <w:sz w:val="24"/>
          <w:szCs w:val="24"/>
          <w:rtl/>
        </w:rPr>
        <w:t>-</w:t>
      </w:r>
      <w:r w:rsidR="00AC45BC" w:rsidRPr="00F25744">
        <w:rPr>
          <w:rFonts w:ascii="David" w:hAnsi="David" w:cs="David" w:hint="cs"/>
          <w:sz w:val="24"/>
          <w:szCs w:val="24"/>
          <w:rtl/>
        </w:rPr>
        <w:t xml:space="preserve"> 42 ש</w:t>
      </w:r>
      <w:r w:rsidR="00CA2871" w:rsidRPr="00F25744">
        <w:rPr>
          <w:rFonts w:ascii="David" w:hAnsi="David" w:cs="David" w:hint="cs"/>
          <w:sz w:val="24"/>
          <w:szCs w:val="24"/>
          <w:rtl/>
        </w:rPr>
        <w:t>עות שבועיות</w:t>
      </w:r>
      <w:r w:rsidR="00F7688C" w:rsidRPr="00F25744">
        <w:rPr>
          <w:rFonts w:ascii="David" w:hAnsi="David" w:cs="David" w:hint="cs"/>
          <w:sz w:val="24"/>
          <w:szCs w:val="24"/>
          <w:rtl/>
        </w:rPr>
        <w:t>, לא כולל הפסקות</w:t>
      </w:r>
      <w:r w:rsidR="00CA2871" w:rsidRPr="00F25744">
        <w:rPr>
          <w:rFonts w:ascii="David" w:hAnsi="David" w:cs="David" w:hint="cs"/>
          <w:sz w:val="24"/>
          <w:szCs w:val="24"/>
          <w:rtl/>
        </w:rPr>
        <w:t>.</w:t>
      </w:r>
      <w:r w:rsidRPr="00F25744">
        <w:rPr>
          <w:rStyle w:val="a6"/>
          <w:rFonts w:ascii="David" w:hAnsi="David" w:cs="David"/>
          <w:sz w:val="24"/>
          <w:szCs w:val="24"/>
          <w:rtl/>
        </w:rPr>
        <w:footnoteReference w:id="38"/>
      </w:r>
    </w:p>
    <w:p w14:paraId="67703B1C" w14:textId="77777777" w:rsidR="009C2B8E" w:rsidRPr="00F25744" w:rsidRDefault="009C2B8E" w:rsidP="008336F3">
      <w:pPr>
        <w:pStyle w:val="a3"/>
        <w:widowControl w:val="0"/>
        <w:autoSpaceDE w:val="0"/>
        <w:autoSpaceDN w:val="0"/>
        <w:bidi/>
        <w:adjustRightInd w:val="0"/>
        <w:spacing w:before="120" w:after="0" w:line="360" w:lineRule="auto"/>
        <w:ind w:left="2"/>
        <w:contextualSpacing w:val="0"/>
        <w:rPr>
          <w:rFonts w:ascii="David" w:hAnsi="David" w:cs="David"/>
          <w:sz w:val="24"/>
          <w:szCs w:val="24"/>
          <w:rtl/>
        </w:rPr>
      </w:pPr>
      <w:r w:rsidRPr="00F25744">
        <w:rPr>
          <w:rFonts w:ascii="David" w:hAnsi="David" w:cs="David" w:hint="cs"/>
          <w:sz w:val="24"/>
          <w:szCs w:val="24"/>
          <w:rtl/>
        </w:rPr>
        <w:t xml:space="preserve">בהינתן שמרבית </w:t>
      </w:r>
      <w:r w:rsidR="00740F13" w:rsidRPr="00F25744">
        <w:rPr>
          <w:rFonts w:ascii="David" w:hAnsi="David" w:cs="David" w:hint="cs"/>
          <w:sz w:val="24"/>
          <w:szCs w:val="24"/>
          <w:rtl/>
        </w:rPr>
        <w:t>יום העבודה השיפוטי מוקדש לטיפול בתיקים (88% בממוצע) ושמדובר ב</w:t>
      </w:r>
      <w:r w:rsidRPr="00F25744">
        <w:rPr>
          <w:rFonts w:ascii="David" w:hAnsi="David" w:cs="David" w:hint="cs"/>
          <w:sz w:val="24"/>
          <w:szCs w:val="24"/>
          <w:rtl/>
        </w:rPr>
        <w:t>עבודה מאומצת, בסביבת מחלוקת מתמדת הדורשת מיקוד וריכוז תמידי</w:t>
      </w:r>
      <w:r w:rsidR="00740F13" w:rsidRPr="00F25744">
        <w:rPr>
          <w:rFonts w:ascii="David" w:hAnsi="David" w:cs="David" w:hint="cs"/>
          <w:sz w:val="24"/>
          <w:szCs w:val="24"/>
          <w:rtl/>
        </w:rPr>
        <w:t>;</w:t>
      </w:r>
      <w:r w:rsidRPr="00F25744">
        <w:rPr>
          <w:rFonts w:ascii="David" w:hAnsi="David" w:cs="David" w:hint="cs"/>
          <w:sz w:val="24"/>
          <w:szCs w:val="24"/>
          <w:rtl/>
        </w:rPr>
        <w:t xml:space="preserve"> </w:t>
      </w:r>
      <w:r w:rsidR="009F04E9" w:rsidRPr="00F25744">
        <w:rPr>
          <w:rFonts w:ascii="David" w:hAnsi="David" w:cs="David" w:hint="cs"/>
          <w:sz w:val="24"/>
          <w:szCs w:val="24"/>
          <w:rtl/>
        </w:rPr>
        <w:t xml:space="preserve">ממוצע </w:t>
      </w:r>
      <w:r w:rsidRPr="00F25744">
        <w:rPr>
          <w:rFonts w:ascii="David" w:hAnsi="David" w:cs="David" w:hint="cs"/>
          <w:sz w:val="24"/>
          <w:szCs w:val="24"/>
          <w:rtl/>
        </w:rPr>
        <w:t>שעות</w:t>
      </w:r>
      <w:r w:rsidR="00740F13" w:rsidRPr="00F25744">
        <w:rPr>
          <w:rFonts w:ascii="David" w:hAnsi="David" w:cs="David" w:hint="cs"/>
          <w:sz w:val="24"/>
          <w:szCs w:val="24"/>
          <w:rtl/>
        </w:rPr>
        <w:t xml:space="preserve"> העבודה</w:t>
      </w:r>
      <w:r w:rsidR="009F04E9" w:rsidRPr="00F25744">
        <w:rPr>
          <w:rFonts w:ascii="David" w:hAnsi="David" w:cs="David" w:hint="cs"/>
          <w:sz w:val="24"/>
          <w:szCs w:val="24"/>
          <w:rtl/>
        </w:rPr>
        <w:t xml:space="preserve"> השבועיות לשופט</w:t>
      </w:r>
      <w:r w:rsidR="00740F13" w:rsidRPr="00F25744">
        <w:rPr>
          <w:rFonts w:ascii="David" w:hAnsi="David" w:cs="David" w:hint="cs"/>
          <w:sz w:val="24"/>
          <w:szCs w:val="24"/>
          <w:rtl/>
        </w:rPr>
        <w:t xml:space="preserve"> ביחס למקובל</w:t>
      </w:r>
      <w:r w:rsidRPr="00F25744">
        <w:rPr>
          <w:rFonts w:ascii="David" w:hAnsi="David" w:cs="David" w:hint="cs"/>
          <w:sz w:val="24"/>
          <w:szCs w:val="24"/>
          <w:rtl/>
        </w:rPr>
        <w:t xml:space="preserve"> </w:t>
      </w:r>
      <w:r w:rsidR="00740F13" w:rsidRPr="00F25744">
        <w:rPr>
          <w:rFonts w:ascii="David" w:hAnsi="David" w:cs="David" w:hint="cs"/>
          <w:sz w:val="24"/>
          <w:szCs w:val="24"/>
          <w:rtl/>
        </w:rPr>
        <w:t>ב</w:t>
      </w:r>
      <w:r w:rsidRPr="00F25744">
        <w:rPr>
          <w:rFonts w:ascii="David" w:hAnsi="David" w:cs="David" w:hint="cs"/>
          <w:sz w:val="24"/>
          <w:szCs w:val="24"/>
          <w:rtl/>
        </w:rPr>
        <w:t xml:space="preserve">משק </w:t>
      </w:r>
      <w:r w:rsidR="00740F13" w:rsidRPr="00F25744">
        <w:rPr>
          <w:rFonts w:ascii="David" w:hAnsi="David" w:cs="David" w:hint="cs"/>
          <w:sz w:val="24"/>
          <w:szCs w:val="24"/>
          <w:rtl/>
        </w:rPr>
        <w:t>הישראלי</w:t>
      </w:r>
      <w:r w:rsidRPr="00F25744">
        <w:rPr>
          <w:rFonts w:ascii="David" w:hAnsi="David" w:cs="David" w:hint="cs"/>
          <w:sz w:val="24"/>
          <w:szCs w:val="24"/>
          <w:rtl/>
        </w:rPr>
        <w:t xml:space="preserve"> רק מחזק את תמונת העומס שמחקר זה מצייר.</w:t>
      </w:r>
    </w:p>
    <w:p w14:paraId="57988A38" w14:textId="6DB4EB75" w:rsidR="00B81146" w:rsidRDefault="00E25AE7" w:rsidP="008336F3">
      <w:pPr>
        <w:pStyle w:val="a3"/>
        <w:widowControl w:val="0"/>
        <w:autoSpaceDE w:val="0"/>
        <w:autoSpaceDN w:val="0"/>
        <w:bidi/>
        <w:adjustRightInd w:val="0"/>
        <w:spacing w:before="120" w:after="0" w:line="360" w:lineRule="auto"/>
        <w:ind w:left="0"/>
        <w:contextualSpacing w:val="0"/>
        <w:rPr>
          <w:rFonts w:ascii="David" w:hAnsi="David" w:cs="David"/>
          <w:sz w:val="24"/>
          <w:szCs w:val="24"/>
          <w:rtl/>
        </w:rPr>
      </w:pPr>
      <w:bookmarkStart w:id="794" w:name="_Toc49668471"/>
      <w:r w:rsidRPr="00F25744">
        <w:rPr>
          <w:rFonts w:ascii="David" w:hAnsi="David" w:cs="David" w:hint="cs"/>
          <w:sz w:val="24"/>
          <w:szCs w:val="24"/>
          <w:rtl/>
        </w:rPr>
        <w:t>יש לציין, כי ממחקרים דומים שנעשו במדינות ארצות הברית השונות עולה, כי שבוע העבודה המוגדר של השופטים האמריקאים</w:t>
      </w:r>
      <w:r w:rsidR="00905E95" w:rsidRPr="00F25744">
        <w:rPr>
          <w:rFonts w:ascii="David" w:hAnsi="David" w:cs="David" w:hint="cs"/>
          <w:sz w:val="24"/>
          <w:szCs w:val="24"/>
          <w:rtl/>
        </w:rPr>
        <w:t xml:space="preserve"> עומד על חמישה ימים, ושעות העבודה השבועיות שלהם נעות סביב 40 שעות בממוצע בלבד (ניתן לראות את המחקרים ב</w:t>
      </w:r>
      <w:r w:rsidR="00905E95" w:rsidRPr="00F25744">
        <w:rPr>
          <w:rFonts w:ascii="David" w:hAnsi="David" w:cs="David" w:hint="cs"/>
          <w:b/>
          <w:bCs/>
          <w:sz w:val="24"/>
          <w:szCs w:val="24"/>
          <w:rtl/>
        </w:rPr>
        <w:t>נספח א</w:t>
      </w:r>
      <w:r w:rsidR="00905E95" w:rsidRPr="00F25744">
        <w:rPr>
          <w:rFonts w:ascii="David" w:hAnsi="David" w:cs="David" w:hint="cs"/>
          <w:sz w:val="24"/>
          <w:szCs w:val="24"/>
          <w:rtl/>
        </w:rPr>
        <w:t>'.</w:t>
      </w:r>
      <w:r w:rsidR="00905E95" w:rsidRPr="00F25744">
        <w:rPr>
          <w:rFonts w:ascii="David" w:hAnsi="David" w:cs="David" w:hint="cs"/>
          <w:b/>
          <w:bCs/>
          <w:sz w:val="24"/>
          <w:szCs w:val="24"/>
          <w:rtl/>
        </w:rPr>
        <w:t xml:space="preserve"> </w:t>
      </w:r>
      <w:r w:rsidR="00905E95" w:rsidRPr="00F25744">
        <w:rPr>
          <w:rFonts w:ascii="David" w:hAnsi="David" w:cs="David" w:hint="cs"/>
          <w:sz w:val="24"/>
          <w:szCs w:val="24"/>
          <w:rtl/>
        </w:rPr>
        <w:t>באריזונה ובאורגון למשל, שעות העבודה השבועיות עומדות על 37.5 שעות בממוצע).</w:t>
      </w:r>
      <w:r w:rsidR="00341018" w:rsidRPr="00F25744">
        <w:rPr>
          <w:rFonts w:ascii="David" w:hAnsi="David" w:cs="David" w:hint="cs"/>
          <w:sz w:val="24"/>
          <w:szCs w:val="24"/>
          <w:rtl/>
        </w:rPr>
        <w:t xml:space="preserve"> </w:t>
      </w:r>
    </w:p>
    <w:p w14:paraId="50B9D3C6" w14:textId="05406F63" w:rsidR="00C55C22" w:rsidRDefault="00C55C22" w:rsidP="00C55C22">
      <w:pPr>
        <w:pStyle w:val="a3"/>
        <w:widowControl w:val="0"/>
        <w:autoSpaceDE w:val="0"/>
        <w:autoSpaceDN w:val="0"/>
        <w:bidi/>
        <w:adjustRightInd w:val="0"/>
        <w:spacing w:before="120" w:after="0" w:line="360" w:lineRule="auto"/>
        <w:ind w:left="0"/>
        <w:contextualSpacing w:val="0"/>
        <w:rPr>
          <w:rFonts w:ascii="David" w:hAnsi="David" w:cs="David"/>
          <w:sz w:val="24"/>
          <w:szCs w:val="24"/>
          <w:rtl/>
        </w:rPr>
      </w:pPr>
    </w:p>
    <w:p w14:paraId="13FDDADF" w14:textId="77777777" w:rsidR="00C55C22" w:rsidRPr="00F25744" w:rsidRDefault="00C55C22" w:rsidP="00C55C22">
      <w:pPr>
        <w:pStyle w:val="a3"/>
        <w:widowControl w:val="0"/>
        <w:autoSpaceDE w:val="0"/>
        <w:autoSpaceDN w:val="0"/>
        <w:bidi/>
        <w:adjustRightInd w:val="0"/>
        <w:spacing w:before="120" w:after="0" w:line="360" w:lineRule="auto"/>
        <w:ind w:left="0"/>
        <w:contextualSpacing w:val="0"/>
        <w:rPr>
          <w:rFonts w:ascii="David" w:hAnsi="David" w:cs="David"/>
          <w:sz w:val="24"/>
          <w:szCs w:val="24"/>
          <w:rtl/>
        </w:rPr>
      </w:pPr>
    </w:p>
    <w:p w14:paraId="11FB7983" w14:textId="058C8C88" w:rsidR="00F021CA" w:rsidRDefault="00F021CA" w:rsidP="008336F3">
      <w:pPr>
        <w:pStyle w:val="a3"/>
        <w:widowControl w:val="0"/>
        <w:autoSpaceDE w:val="0"/>
        <w:autoSpaceDN w:val="0"/>
        <w:bidi/>
        <w:adjustRightInd w:val="0"/>
        <w:spacing w:before="60" w:after="60" w:line="240" w:lineRule="auto"/>
        <w:ind w:left="0"/>
        <w:rPr>
          <w:rFonts w:ascii="David" w:hAnsi="David" w:cs="David"/>
          <w:sz w:val="24"/>
          <w:szCs w:val="24"/>
          <w:rtl/>
        </w:rPr>
      </w:pPr>
    </w:p>
    <w:p w14:paraId="77715108" w14:textId="77777777" w:rsidR="001C7B41" w:rsidRPr="00F25744" w:rsidRDefault="00E25AE7" w:rsidP="000C1408">
      <w:pPr>
        <w:pStyle w:val="3"/>
        <w:numPr>
          <w:ilvl w:val="2"/>
          <w:numId w:val="24"/>
        </w:numPr>
        <w:ind w:left="852"/>
      </w:pPr>
      <w:bookmarkStart w:id="795" w:name="_Toc74751026"/>
      <w:r w:rsidRPr="00F25744">
        <w:rPr>
          <w:rFonts w:hint="cs"/>
          <w:rtl/>
        </w:rPr>
        <w:lastRenderedPageBreak/>
        <w:t>תמהיל יום העבודה השיפוטי הממוצע הכלל מערכתי</w:t>
      </w:r>
      <w:bookmarkEnd w:id="794"/>
      <w:bookmarkEnd w:id="795"/>
    </w:p>
    <w:p w14:paraId="513E93D2" w14:textId="77777777" w:rsidR="001C7B41" w:rsidRPr="00F25744" w:rsidRDefault="00E25AE7" w:rsidP="008336F3">
      <w:pPr>
        <w:spacing w:before="120" w:after="0" w:line="360" w:lineRule="auto"/>
        <w:jc w:val="both"/>
        <w:rPr>
          <w:rFonts w:cs="David"/>
          <w:sz w:val="24"/>
          <w:szCs w:val="24"/>
          <w:rtl/>
        </w:rPr>
      </w:pPr>
      <w:r w:rsidRPr="00F25744">
        <w:rPr>
          <w:rFonts w:cs="David" w:hint="cs"/>
          <w:sz w:val="24"/>
          <w:szCs w:val="24"/>
          <w:rtl/>
        </w:rPr>
        <w:t xml:space="preserve">את יום העבודה השיפוטי ניתן לחלק לשתי קטגוריות מרכזיות: עבודה שיפוטית הקשורה בתיקים, לרבות הכנה לדיונים, שמיעת דיונים, פעולות כתיבה ואדמיניסטרציה, ועבודה שיפוטית שאינה קשורה בתיקים, הכוללת השתלמויות, התעדכנות בפסיקה וישיבות צוות למיניהן. </w:t>
      </w:r>
    </w:p>
    <w:p w14:paraId="68B9B920" w14:textId="64342A48" w:rsidR="001C7B41" w:rsidRDefault="00E25AE7" w:rsidP="005B6976">
      <w:pPr>
        <w:spacing w:before="120" w:after="0" w:line="360" w:lineRule="auto"/>
        <w:jc w:val="both"/>
        <w:rPr>
          <w:rFonts w:cs="David"/>
          <w:sz w:val="24"/>
          <w:szCs w:val="24"/>
          <w:rtl/>
        </w:rPr>
      </w:pPr>
      <w:r w:rsidRPr="00F25744">
        <w:rPr>
          <w:rFonts w:cs="David" w:hint="cs"/>
          <w:b/>
          <w:bCs/>
          <w:sz w:val="24"/>
          <w:szCs w:val="24"/>
          <w:rtl/>
        </w:rPr>
        <w:t>תרשים</w:t>
      </w:r>
      <w:r w:rsidR="00341018" w:rsidRPr="00F25744">
        <w:rPr>
          <w:rFonts w:cs="David" w:hint="cs"/>
          <w:b/>
          <w:bCs/>
          <w:sz w:val="24"/>
          <w:szCs w:val="24"/>
          <w:rtl/>
        </w:rPr>
        <w:t xml:space="preserve"> 1</w:t>
      </w:r>
      <w:r w:rsidR="005B6976">
        <w:rPr>
          <w:rFonts w:cs="David" w:hint="cs"/>
          <w:b/>
          <w:bCs/>
          <w:sz w:val="24"/>
          <w:szCs w:val="24"/>
          <w:rtl/>
        </w:rPr>
        <w:t>6</w:t>
      </w:r>
      <w:r w:rsidRPr="00F25744">
        <w:rPr>
          <w:rFonts w:cs="David" w:hint="cs"/>
          <w:sz w:val="24"/>
          <w:szCs w:val="24"/>
          <w:rtl/>
        </w:rPr>
        <w:t xml:space="preserve"> להלן מציג את תמהיל יום העבודה השיפוטי הממוצע של כלל שופטי ערכאות המחוזי והשלום, לרבות שופטי משפחה, נוער ותעבורה. מהתרשים עולה כי 88% מיום העבודה השיפוטי מוקדש לעבודה שיפוטית שקשורה בתיקים. אחוז זה ניתן לחלוקה בין פעולות של הכנה לדיונים (15%), שמיעת דיונים (31%), כתיבה (40%) ואדמיניסטרציה הקשורה בתיקים (2%).</w:t>
      </w:r>
    </w:p>
    <w:p w14:paraId="37FFF8A9" w14:textId="77777777" w:rsidR="002500B8" w:rsidRPr="00F25744" w:rsidRDefault="002500B8" w:rsidP="008336F3">
      <w:pPr>
        <w:spacing w:after="0" w:line="240" w:lineRule="auto"/>
        <w:jc w:val="both"/>
        <w:rPr>
          <w:rFonts w:cs="David"/>
          <w:sz w:val="24"/>
          <w:szCs w:val="24"/>
          <w:rtl/>
        </w:rPr>
      </w:pPr>
    </w:p>
    <w:p w14:paraId="71F344C8" w14:textId="6F9B7C34" w:rsidR="001C7B41" w:rsidRPr="00F25744" w:rsidRDefault="008534FC" w:rsidP="008336F3">
      <w:pPr>
        <w:pStyle w:val="af6"/>
        <w:spacing w:line="240" w:lineRule="auto"/>
        <w:rPr>
          <w:sz w:val="24"/>
        </w:rPr>
      </w:pPr>
      <w:bookmarkStart w:id="796" w:name="_Toc46742114"/>
      <w:bookmarkStart w:id="797" w:name="_Toc76988537"/>
      <w:r w:rsidRPr="00F25744">
        <w:rPr>
          <w:rtl/>
        </w:rPr>
        <w:t xml:space="preserve">תרשים </w:t>
      </w:r>
      <w:r w:rsidRPr="00F25744">
        <w:rPr>
          <w:rtl/>
        </w:rPr>
        <w:fldChar w:fldCharType="begin"/>
      </w:r>
      <w:r w:rsidRPr="00F25744">
        <w:rPr>
          <w:rtl/>
        </w:rPr>
        <w:instrText xml:space="preserve"> </w:instrText>
      </w:r>
      <w:r w:rsidRPr="00F25744">
        <w:instrText>SEQ</w:instrText>
      </w:r>
      <w:r w:rsidRPr="00F25744">
        <w:rPr>
          <w:rtl/>
        </w:rPr>
        <w:instrText xml:space="preserve"> תרשים \* </w:instrText>
      </w:r>
      <w:r w:rsidRPr="00F25744">
        <w:instrText>ARABIC</w:instrText>
      </w:r>
      <w:r w:rsidRPr="00F25744">
        <w:rPr>
          <w:rtl/>
        </w:rPr>
        <w:instrText xml:space="preserve"> </w:instrText>
      </w:r>
      <w:r w:rsidRPr="00F25744">
        <w:rPr>
          <w:rtl/>
        </w:rPr>
        <w:fldChar w:fldCharType="separate"/>
      </w:r>
      <w:r w:rsidR="008F1BC3">
        <w:rPr>
          <w:noProof/>
          <w:rtl/>
        </w:rPr>
        <w:t>16</w:t>
      </w:r>
      <w:r w:rsidRPr="00F25744">
        <w:rPr>
          <w:rtl/>
        </w:rPr>
        <w:fldChar w:fldCharType="end"/>
      </w:r>
      <w:r w:rsidR="007F3A52" w:rsidRPr="00F25744">
        <w:rPr>
          <w:rFonts w:hint="cs"/>
          <w:sz w:val="24"/>
          <w:rtl/>
        </w:rPr>
        <w:t>: תמהיל יום העבודה השיפוטי הממוצע של כלל שופטי ערכאות השלום והמחוזי</w:t>
      </w:r>
      <w:bookmarkEnd w:id="796"/>
      <w:bookmarkEnd w:id="797"/>
    </w:p>
    <w:p w14:paraId="1CA2A13F" w14:textId="77777777" w:rsidR="001C7B41" w:rsidRPr="00F25744" w:rsidRDefault="00E25AE7" w:rsidP="00A0151E">
      <w:pPr>
        <w:spacing w:after="0" w:line="360" w:lineRule="auto"/>
        <w:ind w:left="2"/>
        <w:jc w:val="both"/>
        <w:rPr>
          <w:rFonts w:cs="David"/>
          <w:sz w:val="24"/>
          <w:szCs w:val="24"/>
          <w:rtl/>
        </w:rPr>
      </w:pPr>
      <w:r w:rsidRPr="00F25744">
        <w:rPr>
          <w:noProof/>
        </w:rPr>
        <w:drawing>
          <wp:inline distT="0" distB="0" distL="0" distR="0" wp14:anchorId="7344D82C" wp14:editId="3325F297">
            <wp:extent cx="5527040" cy="2371725"/>
            <wp:effectExtent l="0" t="0" r="0" b="9525"/>
            <wp:docPr id="17" name="תמונה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390211" name="תמונה 46"/>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5543713" cy="2378880"/>
                    </a:xfrm>
                    <a:prstGeom prst="rect">
                      <a:avLst/>
                    </a:prstGeom>
                    <a:noFill/>
                    <a:ln>
                      <a:noFill/>
                    </a:ln>
                  </pic:spPr>
                </pic:pic>
              </a:graphicData>
            </a:graphic>
          </wp:inline>
        </w:drawing>
      </w:r>
    </w:p>
    <w:p w14:paraId="2610B9A4" w14:textId="77777777" w:rsidR="001C7B41" w:rsidRPr="00F25744" w:rsidRDefault="001C7B41" w:rsidP="008336F3">
      <w:pPr>
        <w:spacing w:after="0" w:line="240" w:lineRule="auto"/>
        <w:ind w:left="-1"/>
        <w:jc w:val="both"/>
        <w:rPr>
          <w:rFonts w:cs="David"/>
          <w:sz w:val="24"/>
          <w:szCs w:val="24"/>
          <w:rtl/>
        </w:rPr>
      </w:pPr>
    </w:p>
    <w:p w14:paraId="6AAE948E" w14:textId="0A88B43B" w:rsidR="001C7B41" w:rsidRDefault="00E25AE7" w:rsidP="004D6335">
      <w:pPr>
        <w:spacing w:after="0" w:line="360" w:lineRule="auto"/>
        <w:ind w:left="-1"/>
        <w:jc w:val="both"/>
        <w:rPr>
          <w:rFonts w:cs="David"/>
          <w:sz w:val="24"/>
          <w:szCs w:val="24"/>
          <w:rtl/>
        </w:rPr>
      </w:pPr>
      <w:r w:rsidRPr="00F25744">
        <w:rPr>
          <w:rFonts w:cs="David" w:hint="cs"/>
          <w:sz w:val="24"/>
          <w:szCs w:val="24"/>
          <w:rtl/>
        </w:rPr>
        <w:t xml:space="preserve">בעוד שחשוב לקבל תמונה כללית של תמהיל יום העבודה השיפוטי של שופט ממוצע בישראל, ההבדלים באופי התיקים ושיטות העבודה בערכאות השונות מצריכים פילוח השוואתי ממוקד יותר ברמה הערכאתית, כפי שניתן לראות גם בפרקים הקודמים המתמקדים בכל ערכאה בנפרד. </w:t>
      </w:r>
      <w:r w:rsidRPr="00F25744">
        <w:rPr>
          <w:rFonts w:cs="David" w:hint="cs"/>
          <w:b/>
          <w:bCs/>
          <w:sz w:val="24"/>
          <w:szCs w:val="24"/>
          <w:rtl/>
        </w:rPr>
        <w:t xml:space="preserve">תרשים </w:t>
      </w:r>
      <w:r w:rsidR="004D6335" w:rsidRPr="00F25744">
        <w:rPr>
          <w:rFonts w:cs="David" w:hint="cs"/>
          <w:b/>
          <w:bCs/>
          <w:sz w:val="24"/>
          <w:szCs w:val="24"/>
          <w:rtl/>
        </w:rPr>
        <w:t>17</w:t>
      </w:r>
      <w:r w:rsidRPr="00F25744">
        <w:rPr>
          <w:rFonts w:cs="David" w:hint="cs"/>
          <w:b/>
          <w:bCs/>
          <w:sz w:val="24"/>
          <w:szCs w:val="24"/>
          <w:rtl/>
        </w:rPr>
        <w:t xml:space="preserve"> </w:t>
      </w:r>
      <w:r w:rsidRPr="00F25744">
        <w:rPr>
          <w:rFonts w:cs="David" w:hint="cs"/>
          <w:sz w:val="24"/>
          <w:szCs w:val="24"/>
          <w:rtl/>
        </w:rPr>
        <w:t>להלן מציג פילוח זה</w:t>
      </w:r>
      <w:r w:rsidR="00FD211F" w:rsidRPr="00F25744">
        <w:rPr>
          <w:rFonts w:cs="David" w:hint="cs"/>
          <w:sz w:val="24"/>
          <w:szCs w:val="24"/>
          <w:rtl/>
        </w:rPr>
        <w:t>,</w:t>
      </w:r>
      <w:r w:rsidRPr="00F25744">
        <w:rPr>
          <w:rFonts w:cs="David" w:hint="cs"/>
          <w:sz w:val="24"/>
          <w:szCs w:val="24"/>
          <w:rtl/>
        </w:rPr>
        <w:t xml:space="preserve"> ועל פיו עולה כי קיימת שונות בתמהיל יום העבודה השיפוטי של שופטי הערכאות השונות. כך למשל, ניתן לראות כי שופטי תעבורה מקדישים מעל למחצית מיום העבודה שלהם לשמיעת תיקים, לעומת רבע מיום העבודה אצל שופטי מחוזי; זאת, בעוד ששופטי מחוזי משקיעים 20% מיום העבודה שלהם בהכנה לדיונים לעומת כ-12% בערכאות השלום, הנוער והמשפחה. פערים אלו הם תוצר של אופי העבודה והתיקים בערכאות השונות.</w:t>
      </w:r>
    </w:p>
    <w:p w14:paraId="3976EA1D" w14:textId="46007271" w:rsidR="00C55C22" w:rsidRDefault="00C55C22" w:rsidP="004D6335">
      <w:pPr>
        <w:spacing w:after="0" w:line="360" w:lineRule="auto"/>
        <w:ind w:left="-1"/>
        <w:jc w:val="both"/>
        <w:rPr>
          <w:rFonts w:cs="David"/>
          <w:sz w:val="24"/>
          <w:szCs w:val="24"/>
          <w:rtl/>
        </w:rPr>
      </w:pPr>
    </w:p>
    <w:p w14:paraId="1A3329E7" w14:textId="01C5113B" w:rsidR="00C55C22" w:rsidRDefault="00C55C22" w:rsidP="004D6335">
      <w:pPr>
        <w:spacing w:after="0" w:line="360" w:lineRule="auto"/>
        <w:ind w:left="-1"/>
        <w:jc w:val="both"/>
        <w:rPr>
          <w:rFonts w:cs="David"/>
          <w:sz w:val="24"/>
          <w:szCs w:val="24"/>
          <w:rtl/>
        </w:rPr>
      </w:pPr>
    </w:p>
    <w:p w14:paraId="0032BE48" w14:textId="292B8544" w:rsidR="00C55C22" w:rsidRDefault="00C55C22" w:rsidP="004D6335">
      <w:pPr>
        <w:spacing w:after="0" w:line="360" w:lineRule="auto"/>
        <w:ind w:left="-1"/>
        <w:jc w:val="both"/>
        <w:rPr>
          <w:rFonts w:cs="David"/>
          <w:sz w:val="24"/>
          <w:szCs w:val="24"/>
          <w:rtl/>
        </w:rPr>
      </w:pPr>
    </w:p>
    <w:p w14:paraId="05A43B67" w14:textId="0480A300" w:rsidR="00C55C22" w:rsidRDefault="00C55C22" w:rsidP="004D6335">
      <w:pPr>
        <w:spacing w:after="0" w:line="360" w:lineRule="auto"/>
        <w:ind w:left="-1"/>
        <w:jc w:val="both"/>
        <w:rPr>
          <w:rFonts w:cs="David"/>
          <w:sz w:val="24"/>
          <w:szCs w:val="24"/>
          <w:rtl/>
        </w:rPr>
      </w:pPr>
    </w:p>
    <w:p w14:paraId="55F9F4D1" w14:textId="66463E90" w:rsidR="00C55C22" w:rsidRDefault="00C55C22" w:rsidP="004D6335">
      <w:pPr>
        <w:spacing w:after="0" w:line="360" w:lineRule="auto"/>
        <w:ind w:left="-1"/>
        <w:jc w:val="both"/>
        <w:rPr>
          <w:rFonts w:cs="David"/>
          <w:sz w:val="24"/>
          <w:szCs w:val="24"/>
          <w:rtl/>
        </w:rPr>
      </w:pPr>
    </w:p>
    <w:p w14:paraId="2FDAF86C" w14:textId="77777777" w:rsidR="00C55C22" w:rsidRDefault="00C55C22" w:rsidP="004D6335">
      <w:pPr>
        <w:spacing w:after="0" w:line="360" w:lineRule="auto"/>
        <w:ind w:left="-1"/>
        <w:jc w:val="both"/>
        <w:rPr>
          <w:rFonts w:cs="David"/>
          <w:sz w:val="24"/>
          <w:szCs w:val="24"/>
          <w:rtl/>
        </w:rPr>
      </w:pPr>
    </w:p>
    <w:p w14:paraId="6B98B3F4" w14:textId="77777777" w:rsidR="000C1408" w:rsidRPr="00F25744" w:rsidRDefault="000C1408" w:rsidP="004D6335">
      <w:pPr>
        <w:spacing w:after="0" w:line="360" w:lineRule="auto"/>
        <w:ind w:left="-1"/>
        <w:jc w:val="both"/>
        <w:rPr>
          <w:rFonts w:cs="David"/>
          <w:sz w:val="24"/>
          <w:szCs w:val="24"/>
          <w:rtl/>
        </w:rPr>
      </w:pPr>
    </w:p>
    <w:p w14:paraId="1E228C60" w14:textId="529CFD57" w:rsidR="001C7B41" w:rsidRPr="00F25744" w:rsidRDefault="008534FC" w:rsidP="008534FC">
      <w:pPr>
        <w:pStyle w:val="af6"/>
        <w:rPr>
          <w:rFonts w:ascii="David" w:hAnsi="David"/>
          <w:sz w:val="24"/>
          <w:rtl/>
        </w:rPr>
      </w:pPr>
      <w:bookmarkStart w:id="798" w:name="_Toc46742115"/>
      <w:bookmarkStart w:id="799" w:name="_Toc76988538"/>
      <w:r w:rsidRPr="00F25744">
        <w:rPr>
          <w:rtl/>
        </w:rPr>
        <w:lastRenderedPageBreak/>
        <w:t xml:space="preserve">תרשים </w:t>
      </w:r>
      <w:r w:rsidRPr="00F25744">
        <w:rPr>
          <w:rtl/>
        </w:rPr>
        <w:fldChar w:fldCharType="begin"/>
      </w:r>
      <w:r w:rsidRPr="00F25744">
        <w:rPr>
          <w:rtl/>
        </w:rPr>
        <w:instrText xml:space="preserve"> </w:instrText>
      </w:r>
      <w:r w:rsidRPr="00F25744">
        <w:instrText>SEQ</w:instrText>
      </w:r>
      <w:r w:rsidRPr="00F25744">
        <w:rPr>
          <w:rtl/>
        </w:rPr>
        <w:instrText xml:space="preserve"> תרשים \* </w:instrText>
      </w:r>
      <w:r w:rsidRPr="00F25744">
        <w:instrText>ARABIC</w:instrText>
      </w:r>
      <w:r w:rsidRPr="00F25744">
        <w:rPr>
          <w:rtl/>
        </w:rPr>
        <w:instrText xml:space="preserve"> </w:instrText>
      </w:r>
      <w:r w:rsidRPr="00F25744">
        <w:rPr>
          <w:rtl/>
        </w:rPr>
        <w:fldChar w:fldCharType="separate"/>
      </w:r>
      <w:r w:rsidR="008F1BC3">
        <w:rPr>
          <w:noProof/>
          <w:rtl/>
        </w:rPr>
        <w:t>17</w:t>
      </w:r>
      <w:r w:rsidRPr="00F25744">
        <w:rPr>
          <w:rtl/>
        </w:rPr>
        <w:fldChar w:fldCharType="end"/>
      </w:r>
      <w:r w:rsidR="007F3A52" w:rsidRPr="00F25744">
        <w:rPr>
          <w:rFonts w:ascii="David" w:hAnsi="David" w:hint="cs"/>
          <w:sz w:val="24"/>
          <w:rtl/>
        </w:rPr>
        <w:t>: פילוח תמהיל יום העבודה השיפוטי בחלוקה לערכאות השיפוט השונות</w:t>
      </w:r>
      <w:bookmarkEnd w:id="798"/>
      <w:bookmarkEnd w:id="799"/>
    </w:p>
    <w:p w14:paraId="2E6FF81F" w14:textId="77777777" w:rsidR="001C7B41" w:rsidRPr="00F25744" w:rsidRDefault="00E25AE7" w:rsidP="001C7B41">
      <w:pPr>
        <w:rPr>
          <w:rtl/>
        </w:rPr>
      </w:pPr>
      <w:r w:rsidRPr="00F25744">
        <w:rPr>
          <w:noProof/>
        </w:rPr>
        <w:drawing>
          <wp:inline distT="0" distB="0" distL="0" distR="0" wp14:anchorId="51D86631" wp14:editId="75D54FBF">
            <wp:extent cx="5507355" cy="2597150"/>
            <wp:effectExtent l="0" t="0" r="0" b="0"/>
            <wp:docPr id="18" name="תמונה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657650" name="Picture 18"/>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5510583" cy="2598672"/>
                    </a:xfrm>
                    <a:prstGeom prst="rect">
                      <a:avLst/>
                    </a:prstGeom>
                    <a:noFill/>
                    <a:ln>
                      <a:noFill/>
                    </a:ln>
                  </pic:spPr>
                </pic:pic>
              </a:graphicData>
            </a:graphic>
          </wp:inline>
        </w:drawing>
      </w:r>
    </w:p>
    <w:p w14:paraId="188E8E69" w14:textId="77777777" w:rsidR="001C7B41" w:rsidRPr="00F25744" w:rsidRDefault="001C7B41" w:rsidP="008336F3">
      <w:pPr>
        <w:widowControl w:val="0"/>
        <w:autoSpaceDE w:val="0"/>
        <w:autoSpaceDN w:val="0"/>
        <w:adjustRightInd w:val="0"/>
        <w:spacing w:after="0" w:line="240" w:lineRule="auto"/>
        <w:ind w:left="792"/>
        <w:jc w:val="both"/>
        <w:rPr>
          <w:rFonts w:ascii="David" w:hAnsi="David" w:cs="David"/>
          <w:b/>
          <w:bCs/>
          <w:sz w:val="24"/>
          <w:szCs w:val="24"/>
          <w:rtl/>
        </w:rPr>
      </w:pPr>
    </w:p>
    <w:p w14:paraId="2FFA211F" w14:textId="77777777" w:rsidR="001C7B41" w:rsidRPr="00F25744" w:rsidRDefault="00E25AE7" w:rsidP="00785D7C">
      <w:pPr>
        <w:widowControl w:val="0"/>
        <w:autoSpaceDE w:val="0"/>
        <w:autoSpaceDN w:val="0"/>
        <w:adjustRightInd w:val="0"/>
        <w:spacing w:after="0" w:line="360" w:lineRule="auto"/>
        <w:jc w:val="both"/>
        <w:rPr>
          <w:rFonts w:ascii="David" w:hAnsi="David" w:cs="David"/>
          <w:sz w:val="24"/>
          <w:szCs w:val="24"/>
          <w:rtl/>
        </w:rPr>
      </w:pPr>
      <w:r w:rsidRPr="00F25744">
        <w:rPr>
          <w:rFonts w:ascii="David" w:hAnsi="David" w:cs="David" w:hint="cs"/>
          <w:sz w:val="24"/>
          <w:szCs w:val="24"/>
          <w:rtl/>
        </w:rPr>
        <w:t xml:space="preserve">מהנתונים לעיל ניתן אף לחשב את שעות העבודה הממוצעות המושקעות בעבודה שיפוטית הקשורה בתיקים. </w:t>
      </w:r>
      <w:r w:rsidRPr="00F25744">
        <w:rPr>
          <w:rFonts w:ascii="David" w:hAnsi="David" w:cs="David" w:hint="cs"/>
          <w:b/>
          <w:bCs/>
          <w:sz w:val="24"/>
          <w:szCs w:val="24"/>
          <w:rtl/>
        </w:rPr>
        <w:t>טבלה 2</w:t>
      </w:r>
      <w:r w:rsidR="00785D7C" w:rsidRPr="00F25744">
        <w:rPr>
          <w:rFonts w:ascii="David" w:hAnsi="David" w:cs="David" w:hint="cs"/>
          <w:b/>
          <w:bCs/>
          <w:sz w:val="24"/>
          <w:szCs w:val="24"/>
          <w:rtl/>
        </w:rPr>
        <w:t>5</w:t>
      </w:r>
      <w:r w:rsidRPr="00F25744">
        <w:rPr>
          <w:rFonts w:ascii="David" w:hAnsi="David" w:cs="David" w:hint="cs"/>
          <w:b/>
          <w:bCs/>
          <w:sz w:val="24"/>
          <w:szCs w:val="24"/>
          <w:rtl/>
        </w:rPr>
        <w:t xml:space="preserve"> </w:t>
      </w:r>
      <w:r w:rsidRPr="00F25744">
        <w:rPr>
          <w:rFonts w:ascii="David" w:hAnsi="David" w:cs="David" w:hint="cs"/>
          <w:sz w:val="24"/>
          <w:szCs w:val="24"/>
          <w:rtl/>
        </w:rPr>
        <w:t xml:space="preserve">להלן מציגה את פירוט שעות העבודה הממוצעות, </w:t>
      </w:r>
      <w:r w:rsidR="00D00773" w:rsidRPr="00F25744">
        <w:rPr>
          <w:rFonts w:ascii="David" w:hAnsi="David" w:cs="David" w:hint="cs"/>
          <w:sz w:val="24"/>
          <w:szCs w:val="24"/>
          <w:rtl/>
        </w:rPr>
        <w:t>הן שעות העבודה הכוללות עבודה שיפוטית שאינה קשורה בתיקים (לא כולל הפסקות ונסיעות), והן</w:t>
      </w:r>
      <w:r w:rsidR="00BF6D70" w:rsidRPr="00F25744">
        <w:rPr>
          <w:rFonts w:ascii="David" w:hAnsi="David" w:cs="David" w:hint="cs"/>
          <w:sz w:val="24"/>
          <w:szCs w:val="24"/>
          <w:rtl/>
        </w:rPr>
        <w:t xml:space="preserve"> שעות העבודה השיפוטית על תיקים בלבד, של שופטי הערכאות השונות:</w:t>
      </w:r>
    </w:p>
    <w:p w14:paraId="29D566F9" w14:textId="77777777" w:rsidR="001C7B41" w:rsidRPr="00F25744" w:rsidRDefault="001C7B41" w:rsidP="008336F3">
      <w:pPr>
        <w:widowControl w:val="0"/>
        <w:autoSpaceDE w:val="0"/>
        <w:autoSpaceDN w:val="0"/>
        <w:adjustRightInd w:val="0"/>
        <w:spacing w:after="0" w:line="240" w:lineRule="auto"/>
        <w:ind w:left="792"/>
        <w:jc w:val="both"/>
        <w:rPr>
          <w:rFonts w:ascii="David" w:hAnsi="David" w:cs="David"/>
          <w:sz w:val="24"/>
          <w:szCs w:val="24"/>
          <w:rtl/>
        </w:rPr>
      </w:pPr>
    </w:p>
    <w:p w14:paraId="7ADC2795" w14:textId="5647BC5F" w:rsidR="001C7B41" w:rsidRPr="00F25744" w:rsidRDefault="008534FC" w:rsidP="008534FC">
      <w:pPr>
        <w:pStyle w:val="af6"/>
        <w:rPr>
          <w:rFonts w:ascii="David" w:hAnsi="David"/>
          <w:sz w:val="24"/>
          <w:rtl/>
        </w:rPr>
      </w:pPr>
      <w:bookmarkStart w:id="800" w:name="_Toc76988919"/>
      <w:r w:rsidRPr="00F25744">
        <w:rPr>
          <w:rtl/>
        </w:rPr>
        <w:t xml:space="preserve">טבלה </w:t>
      </w:r>
      <w:r w:rsidRPr="00F25744">
        <w:rPr>
          <w:rtl/>
        </w:rPr>
        <w:fldChar w:fldCharType="begin"/>
      </w:r>
      <w:r w:rsidRPr="00F25744">
        <w:rPr>
          <w:rtl/>
        </w:rPr>
        <w:instrText xml:space="preserve"> </w:instrText>
      </w:r>
      <w:r w:rsidRPr="00F25744">
        <w:instrText>SEQ</w:instrText>
      </w:r>
      <w:r w:rsidRPr="00F25744">
        <w:rPr>
          <w:rtl/>
        </w:rPr>
        <w:instrText xml:space="preserve"> טבלה \* </w:instrText>
      </w:r>
      <w:r w:rsidRPr="00F25744">
        <w:instrText>ARABIC</w:instrText>
      </w:r>
      <w:r w:rsidRPr="00F25744">
        <w:rPr>
          <w:rtl/>
        </w:rPr>
        <w:instrText xml:space="preserve"> </w:instrText>
      </w:r>
      <w:r w:rsidRPr="00F25744">
        <w:rPr>
          <w:rtl/>
        </w:rPr>
        <w:fldChar w:fldCharType="separate"/>
      </w:r>
      <w:r w:rsidR="008F1BC3">
        <w:rPr>
          <w:noProof/>
          <w:rtl/>
        </w:rPr>
        <w:t>24</w:t>
      </w:r>
      <w:r w:rsidRPr="00F25744">
        <w:rPr>
          <w:rtl/>
        </w:rPr>
        <w:fldChar w:fldCharType="end"/>
      </w:r>
      <w:r w:rsidR="007F3A52" w:rsidRPr="00F25744">
        <w:rPr>
          <w:rFonts w:ascii="David" w:hAnsi="David" w:hint="cs"/>
          <w:sz w:val="24"/>
          <w:rtl/>
        </w:rPr>
        <w:t>: משך יום העבודה השיפוטי ושעות העבודה המוקדשות לעבודה שיפוטית הקשורה בתיקים בחלוקה לערכאות</w:t>
      </w:r>
      <w:bookmarkEnd w:id="800"/>
      <w:r w:rsidR="007F3A52" w:rsidRPr="00F25744">
        <w:rPr>
          <w:rFonts w:ascii="David" w:hAnsi="David" w:hint="cs"/>
          <w:sz w:val="24"/>
          <w:rtl/>
        </w:rPr>
        <w:t xml:space="preserve"> </w:t>
      </w:r>
    </w:p>
    <w:p w14:paraId="6AE78A1E" w14:textId="77777777" w:rsidR="001C7B41" w:rsidRPr="00F25744" w:rsidRDefault="001C7B41" w:rsidP="000C1408">
      <w:pPr>
        <w:widowControl w:val="0"/>
        <w:autoSpaceDE w:val="0"/>
        <w:autoSpaceDN w:val="0"/>
        <w:adjustRightInd w:val="0"/>
        <w:spacing w:after="0" w:line="240" w:lineRule="auto"/>
        <w:ind w:left="792"/>
        <w:jc w:val="center"/>
        <w:rPr>
          <w:rFonts w:ascii="David" w:hAnsi="David" w:cs="David"/>
          <w:b/>
          <w:bCs/>
          <w:sz w:val="24"/>
          <w:szCs w:val="24"/>
          <w:u w:val="single"/>
          <w:rtl/>
        </w:rPr>
      </w:pPr>
    </w:p>
    <w:tbl>
      <w:tblPr>
        <w:bidiVisual/>
        <w:tblW w:w="8568" w:type="dxa"/>
        <w:tblInd w:w="802" w:type="dxa"/>
        <w:tblCellMar>
          <w:left w:w="0" w:type="dxa"/>
          <w:right w:w="0" w:type="dxa"/>
        </w:tblCellMar>
        <w:tblLook w:val="04A0" w:firstRow="1" w:lastRow="0" w:firstColumn="1" w:lastColumn="0" w:noHBand="0" w:noVBand="1"/>
      </w:tblPr>
      <w:tblGrid>
        <w:gridCol w:w="1623"/>
        <w:gridCol w:w="1768"/>
        <w:gridCol w:w="2484"/>
        <w:gridCol w:w="2693"/>
      </w:tblGrid>
      <w:tr w:rsidR="00E0162E" w:rsidRPr="00F25744" w14:paraId="3B680CCC" w14:textId="77777777" w:rsidTr="00A0151E">
        <w:tc>
          <w:tcPr>
            <w:tcW w:w="1623" w:type="dxa"/>
            <w:tcBorders>
              <w:top w:val="nil"/>
              <w:left w:val="nil"/>
              <w:bottom w:val="single" w:sz="8" w:space="0" w:color="000000"/>
              <w:right w:val="nil"/>
            </w:tcBorders>
            <w:tcMar>
              <w:top w:w="0" w:type="dxa"/>
              <w:left w:w="108" w:type="dxa"/>
              <w:bottom w:w="0" w:type="dxa"/>
              <w:right w:w="108" w:type="dxa"/>
            </w:tcMar>
            <w:vAlign w:val="bottom"/>
            <w:hideMark/>
          </w:tcPr>
          <w:p w14:paraId="4FAA9F01" w14:textId="77777777" w:rsidR="00536A00" w:rsidRPr="00F25744" w:rsidRDefault="00E25AE7" w:rsidP="00F021CA">
            <w:pPr>
              <w:spacing w:after="0" w:line="240" w:lineRule="auto"/>
              <w:rPr>
                <w:rFonts w:eastAsia="Times New Roman" w:cs="Calibri"/>
              </w:rPr>
            </w:pPr>
            <w:r w:rsidRPr="00F25744">
              <w:rPr>
                <w:rFonts w:ascii="David" w:eastAsia="Times New Roman" w:hAnsi="David" w:cs="David"/>
                <w:b/>
                <w:bCs/>
                <w:color w:val="000000"/>
                <w:sz w:val="24"/>
                <w:szCs w:val="24"/>
                <w:rtl/>
              </w:rPr>
              <w:t>ערכאה</w:t>
            </w:r>
          </w:p>
        </w:tc>
        <w:tc>
          <w:tcPr>
            <w:tcW w:w="1768" w:type="dxa"/>
            <w:tcBorders>
              <w:top w:val="nil"/>
              <w:left w:val="nil"/>
              <w:bottom w:val="single" w:sz="8" w:space="0" w:color="000000"/>
              <w:right w:val="nil"/>
            </w:tcBorders>
            <w:tcMar>
              <w:top w:w="0" w:type="dxa"/>
              <w:left w:w="108" w:type="dxa"/>
              <w:bottom w:w="0" w:type="dxa"/>
              <w:right w:w="108" w:type="dxa"/>
            </w:tcMar>
            <w:vAlign w:val="center"/>
            <w:hideMark/>
          </w:tcPr>
          <w:p w14:paraId="5FA2B7D0" w14:textId="77777777" w:rsidR="00536A00" w:rsidRPr="00F25744" w:rsidRDefault="00E25AE7" w:rsidP="00BD012D">
            <w:pPr>
              <w:bidi w:val="0"/>
              <w:spacing w:after="0" w:line="240" w:lineRule="auto"/>
              <w:jc w:val="center"/>
              <w:rPr>
                <w:rFonts w:eastAsia="Times New Roman" w:cs="Calibri"/>
                <w:rtl/>
              </w:rPr>
            </w:pPr>
            <w:r w:rsidRPr="00F25744">
              <w:rPr>
                <w:rFonts w:ascii="David" w:eastAsia="Times New Roman" w:hAnsi="David" w:cs="David"/>
                <w:b/>
                <w:bCs/>
                <w:color w:val="000000"/>
                <w:sz w:val="24"/>
                <w:szCs w:val="24"/>
                <w:rtl/>
              </w:rPr>
              <w:t>ממוצע שעות עבודה ביום</w:t>
            </w:r>
          </w:p>
        </w:tc>
        <w:tc>
          <w:tcPr>
            <w:tcW w:w="2484" w:type="dxa"/>
            <w:tcBorders>
              <w:top w:val="nil"/>
              <w:left w:val="nil"/>
              <w:bottom w:val="single" w:sz="8" w:space="0" w:color="000000"/>
              <w:right w:val="nil"/>
            </w:tcBorders>
            <w:tcMar>
              <w:top w:w="0" w:type="dxa"/>
              <w:left w:w="108" w:type="dxa"/>
              <w:bottom w:w="0" w:type="dxa"/>
              <w:right w:w="108" w:type="dxa"/>
            </w:tcMar>
            <w:vAlign w:val="center"/>
            <w:hideMark/>
          </w:tcPr>
          <w:p w14:paraId="00728739" w14:textId="77777777" w:rsidR="00536A00" w:rsidRPr="00F25744" w:rsidRDefault="00E25AE7" w:rsidP="00BD012D">
            <w:pPr>
              <w:spacing w:after="0" w:line="240" w:lineRule="auto"/>
              <w:jc w:val="center"/>
              <w:rPr>
                <w:rFonts w:eastAsia="Times New Roman" w:cs="Calibri"/>
              </w:rPr>
            </w:pPr>
            <w:r w:rsidRPr="00F25744">
              <w:rPr>
                <w:rFonts w:ascii="David" w:eastAsia="Times New Roman" w:hAnsi="David" w:cs="David"/>
                <w:b/>
                <w:bCs/>
                <w:sz w:val="24"/>
                <w:szCs w:val="24"/>
                <w:rtl/>
              </w:rPr>
              <w:t>אחוז היום המוקדש לעבודה שיפוטית הקשורה בתיקים</w:t>
            </w:r>
          </w:p>
        </w:tc>
        <w:tc>
          <w:tcPr>
            <w:tcW w:w="2693" w:type="dxa"/>
            <w:tcBorders>
              <w:top w:val="nil"/>
              <w:left w:val="nil"/>
              <w:bottom w:val="single" w:sz="8" w:space="0" w:color="000000"/>
              <w:right w:val="nil"/>
            </w:tcBorders>
            <w:tcMar>
              <w:top w:w="0" w:type="dxa"/>
              <w:left w:w="108" w:type="dxa"/>
              <w:bottom w:w="0" w:type="dxa"/>
              <w:right w:w="108" w:type="dxa"/>
            </w:tcMar>
            <w:vAlign w:val="center"/>
            <w:hideMark/>
          </w:tcPr>
          <w:p w14:paraId="44BA5552" w14:textId="77777777" w:rsidR="00536A00" w:rsidRPr="00F25744" w:rsidRDefault="00E25AE7" w:rsidP="00BD012D">
            <w:pPr>
              <w:spacing w:after="0" w:line="240" w:lineRule="auto"/>
              <w:jc w:val="center"/>
              <w:rPr>
                <w:rFonts w:eastAsia="Times New Roman" w:cs="Calibri"/>
                <w:rtl/>
              </w:rPr>
            </w:pPr>
            <w:r w:rsidRPr="00F25744">
              <w:rPr>
                <w:rFonts w:ascii="David" w:eastAsia="Times New Roman" w:hAnsi="David" w:cs="David"/>
                <w:b/>
                <w:bCs/>
                <w:sz w:val="24"/>
                <w:szCs w:val="24"/>
                <w:rtl/>
              </w:rPr>
              <w:t>ממוצע שעות עבודה המוקדשות לעבודה שיפוטית הקשורה בתיקים</w:t>
            </w:r>
          </w:p>
        </w:tc>
      </w:tr>
      <w:tr w:rsidR="00E0162E" w:rsidRPr="00F25744" w14:paraId="1027AE64" w14:textId="77777777" w:rsidTr="00A0151E">
        <w:tc>
          <w:tcPr>
            <w:tcW w:w="1623" w:type="dxa"/>
            <w:tcBorders>
              <w:top w:val="nil"/>
              <w:left w:val="nil"/>
              <w:bottom w:val="nil"/>
              <w:right w:val="nil"/>
            </w:tcBorders>
            <w:tcMar>
              <w:top w:w="0" w:type="dxa"/>
              <w:left w:w="108" w:type="dxa"/>
              <w:bottom w:w="0" w:type="dxa"/>
              <w:right w:w="108" w:type="dxa"/>
            </w:tcMar>
            <w:vAlign w:val="center"/>
            <w:hideMark/>
          </w:tcPr>
          <w:p w14:paraId="21BFC388" w14:textId="77777777" w:rsidR="00536A00" w:rsidRPr="00F25744" w:rsidRDefault="00E25AE7" w:rsidP="00BD012D">
            <w:pPr>
              <w:bidi w:val="0"/>
              <w:spacing w:after="0" w:line="240" w:lineRule="auto"/>
              <w:jc w:val="right"/>
              <w:rPr>
                <w:rFonts w:eastAsia="Times New Roman" w:cs="Calibri"/>
                <w:rtl/>
              </w:rPr>
            </w:pPr>
            <w:r w:rsidRPr="00F25744">
              <w:rPr>
                <w:rFonts w:ascii="David" w:eastAsia="Times New Roman" w:hAnsi="David" w:cs="David"/>
                <w:b/>
                <w:bCs/>
                <w:color w:val="000000"/>
                <w:sz w:val="24"/>
                <w:szCs w:val="24"/>
                <w:rtl/>
              </w:rPr>
              <w:t>מחוזי</w:t>
            </w:r>
          </w:p>
        </w:tc>
        <w:tc>
          <w:tcPr>
            <w:tcW w:w="1768" w:type="dxa"/>
            <w:tcBorders>
              <w:top w:val="nil"/>
              <w:left w:val="nil"/>
              <w:bottom w:val="nil"/>
              <w:right w:val="nil"/>
            </w:tcBorders>
            <w:tcMar>
              <w:top w:w="0" w:type="dxa"/>
              <w:left w:w="108" w:type="dxa"/>
              <w:bottom w:w="0" w:type="dxa"/>
              <w:right w:w="108" w:type="dxa"/>
            </w:tcMar>
            <w:vAlign w:val="center"/>
            <w:hideMark/>
          </w:tcPr>
          <w:p w14:paraId="54BCEE94" w14:textId="77777777" w:rsidR="00536A00" w:rsidRPr="00F25744" w:rsidRDefault="00E25AE7" w:rsidP="00BD012D">
            <w:pPr>
              <w:bidi w:val="0"/>
              <w:spacing w:after="0" w:line="240" w:lineRule="auto"/>
              <w:jc w:val="center"/>
              <w:rPr>
                <w:rFonts w:eastAsia="Times New Roman" w:cs="Calibri"/>
              </w:rPr>
            </w:pPr>
            <w:r w:rsidRPr="00F25744">
              <w:rPr>
                <w:rFonts w:ascii="David" w:eastAsia="Times New Roman" w:hAnsi="David" w:cs="David"/>
                <w:color w:val="000000"/>
                <w:sz w:val="24"/>
                <w:szCs w:val="24"/>
              </w:rPr>
              <w:t>9.02</w:t>
            </w:r>
          </w:p>
        </w:tc>
        <w:tc>
          <w:tcPr>
            <w:tcW w:w="2484" w:type="dxa"/>
            <w:tcBorders>
              <w:top w:val="nil"/>
              <w:left w:val="nil"/>
              <w:bottom w:val="nil"/>
              <w:right w:val="nil"/>
            </w:tcBorders>
            <w:tcMar>
              <w:top w:w="0" w:type="dxa"/>
              <w:left w:w="108" w:type="dxa"/>
              <w:bottom w:w="0" w:type="dxa"/>
              <w:right w:w="108" w:type="dxa"/>
            </w:tcMar>
            <w:vAlign w:val="center"/>
            <w:hideMark/>
          </w:tcPr>
          <w:p w14:paraId="6F198A1D" w14:textId="77777777" w:rsidR="00536A00" w:rsidRPr="00F25744" w:rsidRDefault="00E25AE7" w:rsidP="00BD012D">
            <w:pPr>
              <w:spacing w:after="0" w:line="340" w:lineRule="atLeast"/>
              <w:jc w:val="center"/>
              <w:rPr>
                <w:rFonts w:eastAsia="Times New Roman" w:cs="Calibri"/>
              </w:rPr>
            </w:pPr>
            <w:r w:rsidRPr="00F25744">
              <w:rPr>
                <w:rFonts w:ascii="David" w:eastAsia="Times New Roman" w:hAnsi="David" w:cs="David"/>
                <w:sz w:val="24"/>
                <w:szCs w:val="24"/>
                <w:rtl/>
              </w:rPr>
              <w:t>86%</w:t>
            </w:r>
          </w:p>
        </w:tc>
        <w:tc>
          <w:tcPr>
            <w:tcW w:w="2693" w:type="dxa"/>
            <w:tcBorders>
              <w:top w:val="nil"/>
              <w:left w:val="nil"/>
              <w:bottom w:val="nil"/>
              <w:right w:val="nil"/>
            </w:tcBorders>
            <w:tcMar>
              <w:top w:w="0" w:type="dxa"/>
              <w:left w:w="108" w:type="dxa"/>
              <w:bottom w:w="0" w:type="dxa"/>
              <w:right w:w="108" w:type="dxa"/>
            </w:tcMar>
            <w:vAlign w:val="center"/>
            <w:hideMark/>
          </w:tcPr>
          <w:p w14:paraId="41D47F62" w14:textId="77777777" w:rsidR="00536A00" w:rsidRPr="00F25744" w:rsidRDefault="00E25AE7" w:rsidP="00BD012D">
            <w:pPr>
              <w:spacing w:after="0" w:line="340" w:lineRule="atLeast"/>
              <w:jc w:val="center"/>
              <w:rPr>
                <w:rFonts w:eastAsia="Times New Roman" w:cs="Calibri"/>
                <w:rtl/>
              </w:rPr>
            </w:pPr>
            <w:r w:rsidRPr="00F25744">
              <w:rPr>
                <w:rFonts w:ascii="David" w:eastAsia="Times New Roman" w:hAnsi="David" w:cs="David"/>
                <w:sz w:val="24"/>
                <w:szCs w:val="24"/>
                <w:rtl/>
              </w:rPr>
              <w:t>7.75</w:t>
            </w:r>
          </w:p>
        </w:tc>
      </w:tr>
      <w:tr w:rsidR="00E0162E" w:rsidRPr="00F25744" w14:paraId="34EA6130" w14:textId="77777777" w:rsidTr="00A0151E">
        <w:tc>
          <w:tcPr>
            <w:tcW w:w="1623" w:type="dxa"/>
            <w:tcMar>
              <w:top w:w="0" w:type="dxa"/>
              <w:left w:w="108" w:type="dxa"/>
              <w:bottom w:w="0" w:type="dxa"/>
              <w:right w:w="108" w:type="dxa"/>
            </w:tcMar>
            <w:vAlign w:val="center"/>
            <w:hideMark/>
          </w:tcPr>
          <w:p w14:paraId="5D59F95C" w14:textId="77777777" w:rsidR="00536A00" w:rsidRPr="00F25744" w:rsidRDefault="00E25AE7" w:rsidP="00BD012D">
            <w:pPr>
              <w:spacing w:after="0" w:line="240" w:lineRule="auto"/>
              <w:rPr>
                <w:rFonts w:eastAsia="Times New Roman" w:cs="Calibri"/>
                <w:rtl/>
              </w:rPr>
            </w:pPr>
            <w:r w:rsidRPr="00F25744">
              <w:rPr>
                <w:rFonts w:ascii="David" w:eastAsia="Times New Roman" w:hAnsi="David" w:cs="David"/>
                <w:b/>
                <w:bCs/>
                <w:color w:val="000000"/>
                <w:sz w:val="24"/>
                <w:szCs w:val="24"/>
                <w:rtl/>
              </w:rPr>
              <w:t>שלום</w:t>
            </w:r>
          </w:p>
        </w:tc>
        <w:tc>
          <w:tcPr>
            <w:tcW w:w="1768" w:type="dxa"/>
            <w:tcMar>
              <w:top w:w="0" w:type="dxa"/>
              <w:left w:w="108" w:type="dxa"/>
              <w:bottom w:w="0" w:type="dxa"/>
              <w:right w:w="108" w:type="dxa"/>
            </w:tcMar>
            <w:vAlign w:val="center"/>
            <w:hideMark/>
          </w:tcPr>
          <w:p w14:paraId="5FC01FC1" w14:textId="77777777" w:rsidR="00536A00" w:rsidRPr="00F25744" w:rsidRDefault="00E25AE7" w:rsidP="00BD012D">
            <w:pPr>
              <w:bidi w:val="0"/>
              <w:spacing w:after="0" w:line="240" w:lineRule="auto"/>
              <w:jc w:val="center"/>
              <w:rPr>
                <w:rFonts w:eastAsia="Times New Roman" w:cs="Calibri"/>
                <w:rtl/>
              </w:rPr>
            </w:pPr>
            <w:r w:rsidRPr="00F25744">
              <w:rPr>
                <w:rFonts w:ascii="David" w:eastAsia="Times New Roman" w:hAnsi="David" w:cs="David"/>
                <w:color w:val="000000"/>
                <w:sz w:val="24"/>
                <w:szCs w:val="24"/>
              </w:rPr>
              <w:t>8.57</w:t>
            </w:r>
          </w:p>
        </w:tc>
        <w:tc>
          <w:tcPr>
            <w:tcW w:w="2484" w:type="dxa"/>
            <w:tcMar>
              <w:top w:w="0" w:type="dxa"/>
              <w:left w:w="108" w:type="dxa"/>
              <w:bottom w:w="0" w:type="dxa"/>
              <w:right w:w="108" w:type="dxa"/>
            </w:tcMar>
            <w:vAlign w:val="center"/>
            <w:hideMark/>
          </w:tcPr>
          <w:p w14:paraId="688F0714" w14:textId="77777777" w:rsidR="00536A00" w:rsidRPr="00F25744" w:rsidRDefault="00E25AE7" w:rsidP="00BD012D">
            <w:pPr>
              <w:spacing w:after="0" w:line="340" w:lineRule="atLeast"/>
              <w:jc w:val="center"/>
              <w:rPr>
                <w:rFonts w:eastAsia="Times New Roman" w:cs="Calibri"/>
              </w:rPr>
            </w:pPr>
            <w:r w:rsidRPr="00F25744">
              <w:rPr>
                <w:rFonts w:ascii="David" w:eastAsia="Times New Roman" w:hAnsi="David" w:cs="David"/>
                <w:sz w:val="24"/>
                <w:szCs w:val="24"/>
                <w:rtl/>
              </w:rPr>
              <w:t>88%</w:t>
            </w:r>
          </w:p>
        </w:tc>
        <w:tc>
          <w:tcPr>
            <w:tcW w:w="2693" w:type="dxa"/>
            <w:tcMar>
              <w:top w:w="0" w:type="dxa"/>
              <w:left w:w="108" w:type="dxa"/>
              <w:bottom w:w="0" w:type="dxa"/>
              <w:right w:w="108" w:type="dxa"/>
            </w:tcMar>
            <w:vAlign w:val="center"/>
            <w:hideMark/>
          </w:tcPr>
          <w:p w14:paraId="520F6D8B" w14:textId="77777777" w:rsidR="00536A00" w:rsidRPr="00F25744" w:rsidRDefault="00E25AE7" w:rsidP="00BD012D">
            <w:pPr>
              <w:spacing w:after="0" w:line="340" w:lineRule="atLeast"/>
              <w:jc w:val="center"/>
              <w:rPr>
                <w:rFonts w:eastAsia="Times New Roman" w:cs="Calibri"/>
                <w:rtl/>
              </w:rPr>
            </w:pPr>
            <w:r w:rsidRPr="00F25744">
              <w:rPr>
                <w:rFonts w:ascii="David" w:eastAsia="Times New Roman" w:hAnsi="David" w:cs="David"/>
                <w:sz w:val="24"/>
                <w:szCs w:val="24"/>
                <w:rtl/>
              </w:rPr>
              <w:t>7.54</w:t>
            </w:r>
          </w:p>
        </w:tc>
      </w:tr>
      <w:tr w:rsidR="00E0162E" w:rsidRPr="00F25744" w14:paraId="4AE75258" w14:textId="77777777" w:rsidTr="00A0151E">
        <w:tc>
          <w:tcPr>
            <w:tcW w:w="1623" w:type="dxa"/>
            <w:tcMar>
              <w:top w:w="0" w:type="dxa"/>
              <w:left w:w="108" w:type="dxa"/>
              <w:bottom w:w="0" w:type="dxa"/>
              <w:right w:w="108" w:type="dxa"/>
            </w:tcMar>
            <w:vAlign w:val="center"/>
            <w:hideMark/>
          </w:tcPr>
          <w:p w14:paraId="1E9F334D" w14:textId="77777777" w:rsidR="00536A00" w:rsidRPr="00F25744" w:rsidRDefault="00E25AE7" w:rsidP="00BD012D">
            <w:pPr>
              <w:bidi w:val="0"/>
              <w:spacing w:after="0" w:line="240" w:lineRule="auto"/>
              <w:jc w:val="right"/>
              <w:rPr>
                <w:rFonts w:eastAsia="Times New Roman" w:cs="Calibri"/>
                <w:rtl/>
              </w:rPr>
            </w:pPr>
            <w:r w:rsidRPr="00F25744">
              <w:rPr>
                <w:rFonts w:ascii="David" w:eastAsia="Times New Roman" w:hAnsi="David" w:cs="David"/>
                <w:b/>
                <w:bCs/>
                <w:color w:val="000000"/>
                <w:sz w:val="24"/>
                <w:szCs w:val="24"/>
                <w:rtl/>
              </w:rPr>
              <w:t>משפחה</w:t>
            </w:r>
          </w:p>
        </w:tc>
        <w:tc>
          <w:tcPr>
            <w:tcW w:w="1768" w:type="dxa"/>
            <w:tcMar>
              <w:top w:w="0" w:type="dxa"/>
              <w:left w:w="108" w:type="dxa"/>
              <w:bottom w:w="0" w:type="dxa"/>
              <w:right w:w="108" w:type="dxa"/>
            </w:tcMar>
            <w:vAlign w:val="center"/>
            <w:hideMark/>
          </w:tcPr>
          <w:p w14:paraId="5C7FC1AD" w14:textId="77777777" w:rsidR="00536A00" w:rsidRPr="00F25744" w:rsidRDefault="00E25AE7" w:rsidP="00BD012D">
            <w:pPr>
              <w:bidi w:val="0"/>
              <w:spacing w:after="0" w:line="240" w:lineRule="auto"/>
              <w:jc w:val="center"/>
              <w:rPr>
                <w:rFonts w:eastAsia="Times New Roman" w:cs="Calibri"/>
              </w:rPr>
            </w:pPr>
            <w:r w:rsidRPr="00F25744">
              <w:rPr>
                <w:rFonts w:ascii="David" w:eastAsia="Times New Roman" w:hAnsi="David" w:cs="David"/>
                <w:color w:val="000000"/>
                <w:sz w:val="24"/>
                <w:szCs w:val="24"/>
              </w:rPr>
              <w:t>9.33</w:t>
            </w:r>
          </w:p>
        </w:tc>
        <w:tc>
          <w:tcPr>
            <w:tcW w:w="2484" w:type="dxa"/>
            <w:tcMar>
              <w:top w:w="0" w:type="dxa"/>
              <w:left w:w="108" w:type="dxa"/>
              <w:bottom w:w="0" w:type="dxa"/>
              <w:right w:w="108" w:type="dxa"/>
            </w:tcMar>
            <w:vAlign w:val="center"/>
            <w:hideMark/>
          </w:tcPr>
          <w:p w14:paraId="2C35E63C" w14:textId="77777777" w:rsidR="00536A00" w:rsidRPr="00F25744" w:rsidRDefault="00E25AE7" w:rsidP="00BD012D">
            <w:pPr>
              <w:spacing w:after="0" w:line="340" w:lineRule="atLeast"/>
              <w:jc w:val="center"/>
              <w:rPr>
                <w:rFonts w:eastAsia="Times New Roman" w:cs="Calibri"/>
              </w:rPr>
            </w:pPr>
            <w:r w:rsidRPr="00F25744">
              <w:rPr>
                <w:rFonts w:ascii="David" w:eastAsia="Times New Roman" w:hAnsi="David" w:cs="David"/>
                <w:sz w:val="24"/>
                <w:szCs w:val="24"/>
                <w:rtl/>
              </w:rPr>
              <w:t>91%</w:t>
            </w:r>
          </w:p>
        </w:tc>
        <w:tc>
          <w:tcPr>
            <w:tcW w:w="2693" w:type="dxa"/>
            <w:tcMar>
              <w:top w:w="0" w:type="dxa"/>
              <w:left w:w="108" w:type="dxa"/>
              <w:bottom w:w="0" w:type="dxa"/>
              <w:right w:w="108" w:type="dxa"/>
            </w:tcMar>
            <w:vAlign w:val="center"/>
            <w:hideMark/>
          </w:tcPr>
          <w:p w14:paraId="2ACE6437" w14:textId="77777777" w:rsidR="00536A00" w:rsidRPr="00F25744" w:rsidRDefault="00E25AE7" w:rsidP="00BD012D">
            <w:pPr>
              <w:spacing w:after="0" w:line="340" w:lineRule="atLeast"/>
              <w:jc w:val="center"/>
              <w:rPr>
                <w:rFonts w:eastAsia="Times New Roman" w:cs="Calibri"/>
                <w:rtl/>
              </w:rPr>
            </w:pPr>
            <w:r w:rsidRPr="00F25744">
              <w:rPr>
                <w:rFonts w:ascii="David" w:eastAsia="Times New Roman" w:hAnsi="David" w:cs="David"/>
                <w:sz w:val="24"/>
                <w:szCs w:val="24"/>
                <w:rtl/>
              </w:rPr>
              <w:t>8.49</w:t>
            </w:r>
          </w:p>
        </w:tc>
      </w:tr>
      <w:tr w:rsidR="00E0162E" w:rsidRPr="00F25744" w14:paraId="1BB4224E" w14:textId="77777777" w:rsidTr="00A0151E">
        <w:tc>
          <w:tcPr>
            <w:tcW w:w="1623" w:type="dxa"/>
            <w:tcMar>
              <w:top w:w="0" w:type="dxa"/>
              <w:left w:w="108" w:type="dxa"/>
              <w:bottom w:w="0" w:type="dxa"/>
              <w:right w:w="108" w:type="dxa"/>
            </w:tcMar>
            <w:vAlign w:val="center"/>
            <w:hideMark/>
          </w:tcPr>
          <w:p w14:paraId="274ED4EF" w14:textId="77777777" w:rsidR="00536A00" w:rsidRPr="00F25744" w:rsidRDefault="00E25AE7" w:rsidP="00BD012D">
            <w:pPr>
              <w:spacing w:after="0" w:line="240" w:lineRule="auto"/>
              <w:rPr>
                <w:rFonts w:eastAsia="Times New Roman" w:cs="Calibri"/>
                <w:rtl/>
              </w:rPr>
            </w:pPr>
            <w:r w:rsidRPr="00F25744">
              <w:rPr>
                <w:rFonts w:ascii="David" w:eastAsia="Times New Roman" w:hAnsi="David" w:cs="David"/>
                <w:b/>
                <w:bCs/>
                <w:color w:val="000000"/>
                <w:sz w:val="24"/>
                <w:szCs w:val="24"/>
                <w:rtl/>
              </w:rPr>
              <w:t>תעבורה</w:t>
            </w:r>
          </w:p>
        </w:tc>
        <w:tc>
          <w:tcPr>
            <w:tcW w:w="1768" w:type="dxa"/>
            <w:tcMar>
              <w:top w:w="0" w:type="dxa"/>
              <w:left w:w="108" w:type="dxa"/>
              <w:bottom w:w="0" w:type="dxa"/>
              <w:right w:w="108" w:type="dxa"/>
            </w:tcMar>
            <w:vAlign w:val="center"/>
            <w:hideMark/>
          </w:tcPr>
          <w:p w14:paraId="164B9BEF" w14:textId="77777777" w:rsidR="00536A00" w:rsidRPr="00F25744" w:rsidRDefault="00E25AE7" w:rsidP="00BD012D">
            <w:pPr>
              <w:bidi w:val="0"/>
              <w:spacing w:after="0" w:line="240" w:lineRule="auto"/>
              <w:jc w:val="center"/>
              <w:rPr>
                <w:rFonts w:eastAsia="Times New Roman" w:cs="Calibri"/>
                <w:rtl/>
              </w:rPr>
            </w:pPr>
            <w:r w:rsidRPr="00F25744">
              <w:rPr>
                <w:rFonts w:ascii="David" w:eastAsia="Times New Roman" w:hAnsi="David" w:cs="David"/>
                <w:color w:val="000000"/>
                <w:sz w:val="24"/>
                <w:szCs w:val="24"/>
              </w:rPr>
              <w:t>7.53</w:t>
            </w:r>
          </w:p>
        </w:tc>
        <w:tc>
          <w:tcPr>
            <w:tcW w:w="2484" w:type="dxa"/>
            <w:tcMar>
              <w:top w:w="0" w:type="dxa"/>
              <w:left w:w="108" w:type="dxa"/>
              <w:bottom w:w="0" w:type="dxa"/>
              <w:right w:w="108" w:type="dxa"/>
            </w:tcMar>
            <w:vAlign w:val="center"/>
            <w:hideMark/>
          </w:tcPr>
          <w:p w14:paraId="6DA9E1C2" w14:textId="77777777" w:rsidR="00536A00" w:rsidRPr="00F25744" w:rsidRDefault="00E25AE7" w:rsidP="00BD012D">
            <w:pPr>
              <w:spacing w:after="0" w:line="340" w:lineRule="atLeast"/>
              <w:jc w:val="center"/>
              <w:rPr>
                <w:rFonts w:eastAsia="Times New Roman" w:cs="Calibri"/>
              </w:rPr>
            </w:pPr>
            <w:r w:rsidRPr="00F25744">
              <w:rPr>
                <w:rFonts w:ascii="David" w:eastAsia="Times New Roman" w:hAnsi="David" w:cs="David"/>
                <w:sz w:val="24"/>
                <w:szCs w:val="24"/>
                <w:rtl/>
              </w:rPr>
              <w:t>87%</w:t>
            </w:r>
          </w:p>
        </w:tc>
        <w:tc>
          <w:tcPr>
            <w:tcW w:w="2693" w:type="dxa"/>
            <w:tcMar>
              <w:top w:w="0" w:type="dxa"/>
              <w:left w:w="108" w:type="dxa"/>
              <w:bottom w:w="0" w:type="dxa"/>
              <w:right w:w="108" w:type="dxa"/>
            </w:tcMar>
            <w:vAlign w:val="center"/>
            <w:hideMark/>
          </w:tcPr>
          <w:p w14:paraId="2946C9B0" w14:textId="77777777" w:rsidR="00536A00" w:rsidRPr="00F25744" w:rsidRDefault="00E25AE7" w:rsidP="00BD012D">
            <w:pPr>
              <w:spacing w:after="0" w:line="340" w:lineRule="atLeast"/>
              <w:jc w:val="center"/>
              <w:rPr>
                <w:rFonts w:eastAsia="Times New Roman" w:cs="Calibri"/>
                <w:rtl/>
              </w:rPr>
            </w:pPr>
            <w:r w:rsidRPr="00F25744">
              <w:rPr>
                <w:rFonts w:ascii="David" w:eastAsia="Times New Roman" w:hAnsi="David" w:cs="David"/>
                <w:sz w:val="24"/>
                <w:szCs w:val="24"/>
                <w:rtl/>
              </w:rPr>
              <w:t>6.55</w:t>
            </w:r>
          </w:p>
        </w:tc>
      </w:tr>
      <w:tr w:rsidR="00E0162E" w:rsidRPr="00F25744" w14:paraId="1BCAE6CA" w14:textId="77777777" w:rsidTr="00A0151E">
        <w:tc>
          <w:tcPr>
            <w:tcW w:w="1623" w:type="dxa"/>
            <w:tcMar>
              <w:top w:w="0" w:type="dxa"/>
              <w:left w:w="108" w:type="dxa"/>
              <w:bottom w:w="0" w:type="dxa"/>
              <w:right w:w="108" w:type="dxa"/>
            </w:tcMar>
            <w:vAlign w:val="center"/>
            <w:hideMark/>
          </w:tcPr>
          <w:p w14:paraId="6894DB1B" w14:textId="77777777" w:rsidR="00536A00" w:rsidRPr="00F25744" w:rsidRDefault="00E25AE7" w:rsidP="00BD012D">
            <w:pPr>
              <w:spacing w:after="0" w:line="240" w:lineRule="auto"/>
              <w:rPr>
                <w:rFonts w:eastAsia="Times New Roman" w:cs="Calibri"/>
                <w:rtl/>
              </w:rPr>
            </w:pPr>
            <w:r w:rsidRPr="00F25744">
              <w:rPr>
                <w:rFonts w:ascii="David" w:eastAsia="Times New Roman" w:hAnsi="David" w:cs="David"/>
                <w:b/>
                <w:bCs/>
                <w:color w:val="000000"/>
                <w:sz w:val="24"/>
                <w:szCs w:val="24"/>
                <w:rtl/>
              </w:rPr>
              <w:t>נוער</w:t>
            </w:r>
          </w:p>
        </w:tc>
        <w:tc>
          <w:tcPr>
            <w:tcW w:w="1768" w:type="dxa"/>
            <w:tcMar>
              <w:top w:w="0" w:type="dxa"/>
              <w:left w:w="108" w:type="dxa"/>
              <w:bottom w:w="0" w:type="dxa"/>
              <w:right w:w="108" w:type="dxa"/>
            </w:tcMar>
            <w:vAlign w:val="center"/>
            <w:hideMark/>
          </w:tcPr>
          <w:p w14:paraId="31A693AB" w14:textId="77777777" w:rsidR="00536A00" w:rsidRPr="00F25744" w:rsidRDefault="00E25AE7" w:rsidP="00BD012D">
            <w:pPr>
              <w:bidi w:val="0"/>
              <w:spacing w:after="0" w:line="240" w:lineRule="auto"/>
              <w:jc w:val="center"/>
              <w:rPr>
                <w:rFonts w:eastAsia="Times New Roman" w:cs="Calibri"/>
                <w:rtl/>
              </w:rPr>
            </w:pPr>
            <w:r w:rsidRPr="00F25744">
              <w:rPr>
                <w:rFonts w:ascii="David" w:eastAsia="Times New Roman" w:hAnsi="David" w:cs="David"/>
                <w:color w:val="000000"/>
                <w:sz w:val="24"/>
                <w:szCs w:val="24"/>
              </w:rPr>
              <w:t>8.85</w:t>
            </w:r>
          </w:p>
        </w:tc>
        <w:tc>
          <w:tcPr>
            <w:tcW w:w="2484" w:type="dxa"/>
            <w:tcMar>
              <w:top w:w="0" w:type="dxa"/>
              <w:left w:w="108" w:type="dxa"/>
              <w:bottom w:w="0" w:type="dxa"/>
              <w:right w:w="108" w:type="dxa"/>
            </w:tcMar>
            <w:vAlign w:val="center"/>
            <w:hideMark/>
          </w:tcPr>
          <w:p w14:paraId="5E7BE06F" w14:textId="77777777" w:rsidR="00536A00" w:rsidRPr="00F25744" w:rsidRDefault="00E25AE7" w:rsidP="00BD012D">
            <w:pPr>
              <w:spacing w:after="0" w:line="340" w:lineRule="atLeast"/>
              <w:jc w:val="center"/>
              <w:rPr>
                <w:rFonts w:eastAsia="Times New Roman" w:cs="Calibri"/>
              </w:rPr>
            </w:pPr>
            <w:r w:rsidRPr="00F25744">
              <w:rPr>
                <w:rFonts w:ascii="David" w:eastAsia="Times New Roman" w:hAnsi="David" w:cs="David"/>
                <w:sz w:val="24"/>
                <w:szCs w:val="24"/>
                <w:rtl/>
              </w:rPr>
              <w:t>78%</w:t>
            </w:r>
          </w:p>
        </w:tc>
        <w:tc>
          <w:tcPr>
            <w:tcW w:w="2693" w:type="dxa"/>
            <w:tcMar>
              <w:top w:w="0" w:type="dxa"/>
              <w:left w:w="108" w:type="dxa"/>
              <w:bottom w:w="0" w:type="dxa"/>
              <w:right w:w="108" w:type="dxa"/>
            </w:tcMar>
            <w:vAlign w:val="center"/>
            <w:hideMark/>
          </w:tcPr>
          <w:p w14:paraId="515DEFF2" w14:textId="77777777" w:rsidR="00536A00" w:rsidRPr="00F25744" w:rsidRDefault="00E25AE7" w:rsidP="00BD012D">
            <w:pPr>
              <w:spacing w:after="0" w:line="340" w:lineRule="atLeast"/>
              <w:jc w:val="center"/>
              <w:rPr>
                <w:rFonts w:eastAsia="Times New Roman" w:cs="Calibri"/>
                <w:rtl/>
              </w:rPr>
            </w:pPr>
            <w:r w:rsidRPr="00F25744">
              <w:rPr>
                <w:rFonts w:ascii="David" w:eastAsia="Times New Roman" w:hAnsi="David" w:cs="David"/>
                <w:sz w:val="24"/>
                <w:szCs w:val="24"/>
                <w:rtl/>
              </w:rPr>
              <w:t>6.90</w:t>
            </w:r>
          </w:p>
        </w:tc>
      </w:tr>
      <w:tr w:rsidR="00E0162E" w:rsidRPr="00F25744" w14:paraId="2817D120" w14:textId="77777777" w:rsidTr="00A0151E">
        <w:tc>
          <w:tcPr>
            <w:tcW w:w="1623" w:type="dxa"/>
            <w:tcBorders>
              <w:top w:val="nil"/>
              <w:left w:val="nil"/>
              <w:bottom w:val="single" w:sz="8" w:space="0" w:color="000000"/>
              <w:right w:val="nil"/>
            </w:tcBorders>
            <w:tcMar>
              <w:top w:w="0" w:type="dxa"/>
              <w:left w:w="108" w:type="dxa"/>
              <w:bottom w:w="0" w:type="dxa"/>
              <w:right w:w="108" w:type="dxa"/>
            </w:tcMar>
            <w:vAlign w:val="center"/>
            <w:hideMark/>
          </w:tcPr>
          <w:p w14:paraId="52049EFC" w14:textId="77777777" w:rsidR="00536A00" w:rsidRPr="00F25744" w:rsidRDefault="00E25AE7" w:rsidP="00BD012D">
            <w:pPr>
              <w:spacing w:after="0" w:line="240" w:lineRule="auto"/>
              <w:rPr>
                <w:rFonts w:eastAsia="Times New Roman" w:cs="Calibri"/>
                <w:rtl/>
              </w:rPr>
            </w:pPr>
            <w:r w:rsidRPr="00F25744">
              <w:rPr>
                <w:rFonts w:ascii="David" w:eastAsia="Times New Roman" w:hAnsi="David" w:cs="David"/>
                <w:b/>
                <w:bCs/>
                <w:color w:val="000000"/>
                <w:sz w:val="24"/>
                <w:szCs w:val="24"/>
                <w:rtl/>
              </w:rPr>
              <w:t>עבודה</w:t>
            </w:r>
          </w:p>
        </w:tc>
        <w:tc>
          <w:tcPr>
            <w:tcW w:w="1768" w:type="dxa"/>
            <w:tcBorders>
              <w:top w:val="nil"/>
              <w:left w:val="nil"/>
              <w:bottom w:val="single" w:sz="8" w:space="0" w:color="000000"/>
              <w:right w:val="nil"/>
            </w:tcBorders>
            <w:tcMar>
              <w:top w:w="0" w:type="dxa"/>
              <w:left w:w="108" w:type="dxa"/>
              <w:bottom w:w="0" w:type="dxa"/>
              <w:right w:w="108" w:type="dxa"/>
            </w:tcMar>
            <w:vAlign w:val="center"/>
            <w:hideMark/>
          </w:tcPr>
          <w:p w14:paraId="16540DF4" w14:textId="77777777" w:rsidR="00536A00" w:rsidRPr="00F25744" w:rsidRDefault="00E25AE7" w:rsidP="003F1511">
            <w:pPr>
              <w:bidi w:val="0"/>
              <w:spacing w:after="0" w:line="240" w:lineRule="auto"/>
              <w:jc w:val="center"/>
              <w:rPr>
                <w:rFonts w:eastAsia="Times New Roman" w:cs="Calibri"/>
                <w:rtl/>
              </w:rPr>
            </w:pPr>
            <w:r w:rsidRPr="00F25744">
              <w:rPr>
                <w:rFonts w:ascii="David" w:eastAsia="Times New Roman" w:hAnsi="David" w:cs="David"/>
                <w:color w:val="000000"/>
                <w:sz w:val="24"/>
                <w:szCs w:val="24"/>
              </w:rPr>
              <w:t>9.</w:t>
            </w:r>
            <w:r w:rsidR="003F1511" w:rsidRPr="00F25744">
              <w:rPr>
                <w:rFonts w:ascii="David" w:eastAsia="Times New Roman" w:hAnsi="David" w:cs="David"/>
                <w:color w:val="000000"/>
                <w:sz w:val="24"/>
                <w:szCs w:val="24"/>
              </w:rPr>
              <w:t>55</w:t>
            </w:r>
          </w:p>
        </w:tc>
        <w:tc>
          <w:tcPr>
            <w:tcW w:w="2484" w:type="dxa"/>
            <w:tcBorders>
              <w:top w:val="nil"/>
              <w:left w:val="nil"/>
              <w:bottom w:val="single" w:sz="8" w:space="0" w:color="000000"/>
              <w:right w:val="nil"/>
            </w:tcBorders>
            <w:tcMar>
              <w:top w:w="0" w:type="dxa"/>
              <w:left w:w="108" w:type="dxa"/>
              <w:bottom w:w="0" w:type="dxa"/>
              <w:right w:w="108" w:type="dxa"/>
            </w:tcMar>
            <w:vAlign w:val="center"/>
            <w:hideMark/>
          </w:tcPr>
          <w:p w14:paraId="31A80C67" w14:textId="77777777" w:rsidR="00536A00" w:rsidRPr="00F25744" w:rsidRDefault="00E25AE7" w:rsidP="00BD012D">
            <w:pPr>
              <w:spacing w:after="0" w:line="340" w:lineRule="atLeast"/>
              <w:jc w:val="center"/>
              <w:rPr>
                <w:rFonts w:eastAsia="Times New Roman" w:cs="Calibri"/>
              </w:rPr>
            </w:pPr>
            <w:r w:rsidRPr="00F25744">
              <w:rPr>
                <w:rFonts w:ascii="David" w:eastAsia="Times New Roman" w:hAnsi="David" w:cs="David"/>
                <w:sz w:val="24"/>
                <w:szCs w:val="24"/>
                <w:rtl/>
              </w:rPr>
              <w:t>88%</w:t>
            </w:r>
          </w:p>
        </w:tc>
        <w:tc>
          <w:tcPr>
            <w:tcW w:w="2693" w:type="dxa"/>
            <w:tcBorders>
              <w:top w:val="nil"/>
              <w:left w:val="nil"/>
              <w:bottom w:val="single" w:sz="8" w:space="0" w:color="000000"/>
              <w:right w:val="nil"/>
            </w:tcBorders>
            <w:tcMar>
              <w:top w:w="0" w:type="dxa"/>
              <w:left w:w="108" w:type="dxa"/>
              <w:bottom w:w="0" w:type="dxa"/>
              <w:right w:w="108" w:type="dxa"/>
            </w:tcMar>
            <w:vAlign w:val="center"/>
            <w:hideMark/>
          </w:tcPr>
          <w:p w14:paraId="16F09F31" w14:textId="77777777" w:rsidR="00536A00" w:rsidRPr="00F25744" w:rsidRDefault="00E25AE7" w:rsidP="003F1511">
            <w:pPr>
              <w:spacing w:after="0" w:line="340" w:lineRule="atLeast"/>
              <w:jc w:val="center"/>
              <w:rPr>
                <w:rFonts w:eastAsia="Times New Roman" w:cs="Calibri"/>
                <w:rtl/>
              </w:rPr>
            </w:pPr>
            <w:r w:rsidRPr="00F25744">
              <w:rPr>
                <w:rFonts w:ascii="David" w:eastAsia="Times New Roman" w:hAnsi="David" w:cs="David"/>
                <w:sz w:val="24"/>
                <w:szCs w:val="24"/>
                <w:rtl/>
              </w:rPr>
              <w:t>8.</w:t>
            </w:r>
            <w:r w:rsidR="003F1511" w:rsidRPr="00F25744">
              <w:rPr>
                <w:rFonts w:ascii="David" w:eastAsia="Times New Roman" w:hAnsi="David" w:cs="David" w:hint="cs"/>
                <w:sz w:val="24"/>
                <w:szCs w:val="24"/>
                <w:rtl/>
              </w:rPr>
              <w:t>40</w:t>
            </w:r>
          </w:p>
        </w:tc>
      </w:tr>
      <w:tr w:rsidR="00E0162E" w:rsidRPr="00F25744" w14:paraId="7151FF2D" w14:textId="77777777" w:rsidTr="00A0151E">
        <w:tc>
          <w:tcPr>
            <w:tcW w:w="1623" w:type="dxa"/>
            <w:tcBorders>
              <w:top w:val="nil"/>
              <w:left w:val="nil"/>
              <w:bottom w:val="single" w:sz="8" w:space="0" w:color="000000"/>
              <w:right w:val="nil"/>
            </w:tcBorders>
            <w:tcMar>
              <w:top w:w="0" w:type="dxa"/>
              <w:left w:w="108" w:type="dxa"/>
              <w:bottom w:w="0" w:type="dxa"/>
              <w:right w:w="108" w:type="dxa"/>
            </w:tcMar>
            <w:vAlign w:val="center"/>
            <w:hideMark/>
          </w:tcPr>
          <w:p w14:paraId="34BE868D" w14:textId="77777777" w:rsidR="00536A00" w:rsidRPr="00F25744" w:rsidRDefault="00E25AE7" w:rsidP="00BD012D">
            <w:pPr>
              <w:spacing w:after="0" w:line="240" w:lineRule="auto"/>
              <w:rPr>
                <w:rFonts w:eastAsia="Times New Roman" w:cs="Calibri"/>
                <w:rtl/>
              </w:rPr>
            </w:pPr>
            <w:r w:rsidRPr="00F25744">
              <w:rPr>
                <w:rFonts w:ascii="David" w:eastAsia="Times New Roman" w:hAnsi="David" w:cs="David"/>
                <w:b/>
                <w:bCs/>
                <w:color w:val="000000"/>
                <w:sz w:val="24"/>
                <w:szCs w:val="24"/>
                <w:rtl/>
              </w:rPr>
              <w:t>ממוצע מערכתי</w:t>
            </w:r>
          </w:p>
        </w:tc>
        <w:tc>
          <w:tcPr>
            <w:tcW w:w="1768" w:type="dxa"/>
            <w:tcBorders>
              <w:top w:val="nil"/>
              <w:left w:val="nil"/>
              <w:bottom w:val="single" w:sz="8" w:space="0" w:color="000000"/>
              <w:right w:val="nil"/>
            </w:tcBorders>
            <w:tcMar>
              <w:top w:w="0" w:type="dxa"/>
              <w:left w:w="108" w:type="dxa"/>
              <w:bottom w:w="0" w:type="dxa"/>
              <w:right w:w="108" w:type="dxa"/>
            </w:tcMar>
            <w:vAlign w:val="center"/>
            <w:hideMark/>
          </w:tcPr>
          <w:p w14:paraId="0C3CA578" w14:textId="77777777" w:rsidR="00536A00" w:rsidRPr="00F25744" w:rsidRDefault="00E25AE7" w:rsidP="00F021CA">
            <w:pPr>
              <w:bidi w:val="0"/>
              <w:spacing w:after="0" w:line="240" w:lineRule="auto"/>
              <w:jc w:val="center"/>
              <w:rPr>
                <w:rFonts w:eastAsia="Times New Roman" w:cs="Calibri"/>
                <w:rtl/>
              </w:rPr>
            </w:pPr>
            <w:r w:rsidRPr="00F25744">
              <w:rPr>
                <w:rFonts w:ascii="David" w:eastAsia="Times New Roman" w:hAnsi="David" w:cs="David"/>
                <w:color w:val="000000"/>
                <w:sz w:val="24"/>
                <w:szCs w:val="24"/>
              </w:rPr>
              <w:t>8.</w:t>
            </w:r>
            <w:r w:rsidR="00F021CA" w:rsidRPr="00F25744">
              <w:rPr>
                <w:rFonts w:ascii="David" w:eastAsia="Times New Roman" w:hAnsi="David" w:cs="David"/>
                <w:color w:val="000000"/>
                <w:sz w:val="24"/>
                <w:szCs w:val="24"/>
              </w:rPr>
              <w:t>80</w:t>
            </w:r>
          </w:p>
        </w:tc>
        <w:tc>
          <w:tcPr>
            <w:tcW w:w="2484" w:type="dxa"/>
            <w:tcBorders>
              <w:top w:val="nil"/>
              <w:left w:val="nil"/>
              <w:bottom w:val="single" w:sz="8" w:space="0" w:color="000000"/>
              <w:right w:val="nil"/>
            </w:tcBorders>
            <w:tcMar>
              <w:top w:w="0" w:type="dxa"/>
              <w:left w:w="108" w:type="dxa"/>
              <w:bottom w:w="0" w:type="dxa"/>
              <w:right w:w="108" w:type="dxa"/>
            </w:tcMar>
            <w:vAlign w:val="center"/>
            <w:hideMark/>
          </w:tcPr>
          <w:p w14:paraId="0DA4A2B2" w14:textId="77777777" w:rsidR="00536A00" w:rsidRPr="00F25744" w:rsidRDefault="00E25AE7" w:rsidP="00BD012D">
            <w:pPr>
              <w:spacing w:after="0" w:line="340" w:lineRule="atLeast"/>
              <w:jc w:val="center"/>
              <w:rPr>
                <w:rFonts w:eastAsia="Times New Roman" w:cs="Calibri"/>
              </w:rPr>
            </w:pPr>
            <w:r w:rsidRPr="00F25744">
              <w:rPr>
                <w:rFonts w:ascii="David" w:eastAsia="Times New Roman" w:hAnsi="David" w:cs="David"/>
                <w:sz w:val="24"/>
                <w:szCs w:val="24"/>
                <w:rtl/>
              </w:rPr>
              <w:t>88%</w:t>
            </w:r>
          </w:p>
        </w:tc>
        <w:tc>
          <w:tcPr>
            <w:tcW w:w="2693" w:type="dxa"/>
            <w:tcBorders>
              <w:top w:val="nil"/>
              <w:left w:val="nil"/>
              <w:bottom w:val="single" w:sz="8" w:space="0" w:color="000000"/>
              <w:right w:val="nil"/>
            </w:tcBorders>
            <w:tcMar>
              <w:top w:w="0" w:type="dxa"/>
              <w:left w:w="108" w:type="dxa"/>
              <w:bottom w:w="0" w:type="dxa"/>
              <w:right w:w="108" w:type="dxa"/>
            </w:tcMar>
            <w:vAlign w:val="center"/>
            <w:hideMark/>
          </w:tcPr>
          <w:p w14:paraId="00023FB0" w14:textId="77777777" w:rsidR="00536A00" w:rsidRPr="00F25744" w:rsidRDefault="00E25AE7" w:rsidP="00BD012D">
            <w:pPr>
              <w:spacing w:after="0" w:line="340" w:lineRule="atLeast"/>
              <w:jc w:val="center"/>
              <w:rPr>
                <w:rFonts w:eastAsia="Times New Roman" w:cs="Calibri"/>
                <w:rtl/>
              </w:rPr>
            </w:pPr>
            <w:r w:rsidRPr="00F25744">
              <w:rPr>
                <w:rFonts w:ascii="David" w:eastAsia="Times New Roman" w:hAnsi="David" w:cs="David"/>
                <w:sz w:val="24"/>
                <w:szCs w:val="24"/>
                <w:rtl/>
              </w:rPr>
              <w:t>7.60</w:t>
            </w:r>
          </w:p>
        </w:tc>
      </w:tr>
    </w:tbl>
    <w:p w14:paraId="71B7630C" w14:textId="77777777" w:rsidR="001C7B41" w:rsidRPr="00F25744" w:rsidRDefault="001C7B41" w:rsidP="001C7B41">
      <w:pPr>
        <w:widowControl w:val="0"/>
        <w:autoSpaceDE w:val="0"/>
        <w:autoSpaceDN w:val="0"/>
        <w:adjustRightInd w:val="0"/>
        <w:spacing w:after="0" w:line="360" w:lineRule="auto"/>
        <w:jc w:val="both"/>
        <w:rPr>
          <w:rFonts w:ascii="David" w:hAnsi="David" w:cs="David"/>
          <w:sz w:val="24"/>
          <w:szCs w:val="24"/>
          <w:rtl/>
        </w:rPr>
      </w:pPr>
    </w:p>
    <w:p w14:paraId="235FBB2C" w14:textId="6E0657CE" w:rsidR="001C7B41" w:rsidRDefault="00E25AE7" w:rsidP="00785D7C">
      <w:pPr>
        <w:widowControl w:val="0"/>
        <w:autoSpaceDE w:val="0"/>
        <w:autoSpaceDN w:val="0"/>
        <w:adjustRightInd w:val="0"/>
        <w:spacing w:after="0" w:line="360" w:lineRule="auto"/>
        <w:jc w:val="both"/>
        <w:rPr>
          <w:rFonts w:ascii="David" w:hAnsi="David" w:cs="David"/>
          <w:sz w:val="24"/>
          <w:szCs w:val="24"/>
          <w:rtl/>
        </w:rPr>
      </w:pPr>
      <w:r w:rsidRPr="00F25744">
        <w:rPr>
          <w:rFonts w:ascii="David" w:hAnsi="David" w:cs="David" w:hint="cs"/>
          <w:sz w:val="24"/>
          <w:szCs w:val="24"/>
          <w:rtl/>
        </w:rPr>
        <w:t xml:space="preserve">על פי נתוני הטבלה, שופטי הערכאות השונות עובדים בין 6.55 ל- 8.49 שעות עבודה שקשורה בתיקים. בהשוואה למחקרים דומים שנעשו במדינות ארה"ב השונות (ראו </w:t>
      </w:r>
      <w:r w:rsidRPr="00F25744">
        <w:rPr>
          <w:rFonts w:ascii="David" w:hAnsi="David" w:cs="David" w:hint="cs"/>
          <w:b/>
          <w:bCs/>
          <w:sz w:val="24"/>
          <w:szCs w:val="24"/>
          <w:rtl/>
        </w:rPr>
        <w:t xml:space="preserve">טבלה </w:t>
      </w:r>
      <w:r w:rsidR="00785D7C" w:rsidRPr="00F25744">
        <w:rPr>
          <w:rFonts w:ascii="David" w:hAnsi="David" w:cs="David"/>
          <w:b/>
          <w:bCs/>
          <w:sz w:val="24"/>
          <w:szCs w:val="24"/>
        </w:rPr>
        <w:t>26</w:t>
      </w:r>
      <w:r w:rsidRPr="00F25744">
        <w:rPr>
          <w:rFonts w:ascii="David" w:hAnsi="David" w:cs="David" w:hint="cs"/>
          <w:sz w:val="24"/>
          <w:szCs w:val="24"/>
          <w:rtl/>
        </w:rPr>
        <w:t xml:space="preserve"> שלהלן), ניתן לראות שישראל נמצאת ברף הגבוה, ומעל משך הזמן ששופטים במדינות אחרות מקדישים לעבודה שיפוטית הקשורה בתיקים בלבד, אשר נע בין 5 </w:t>
      </w:r>
      <w:r w:rsidRPr="00F25744">
        <w:rPr>
          <w:rFonts w:ascii="David" w:hAnsi="David" w:cs="David"/>
          <w:sz w:val="24"/>
          <w:szCs w:val="24"/>
          <w:rtl/>
        </w:rPr>
        <w:t>–</w:t>
      </w:r>
      <w:r w:rsidRPr="00F25744">
        <w:rPr>
          <w:rFonts w:ascii="David" w:hAnsi="David" w:cs="David" w:hint="cs"/>
          <w:sz w:val="24"/>
          <w:szCs w:val="24"/>
          <w:rtl/>
        </w:rPr>
        <w:t xml:space="preserve"> 7 שעות בלבד. </w:t>
      </w:r>
    </w:p>
    <w:p w14:paraId="0463704D" w14:textId="77777777" w:rsidR="00C55C22" w:rsidRDefault="00C55C22" w:rsidP="00785D7C">
      <w:pPr>
        <w:widowControl w:val="0"/>
        <w:autoSpaceDE w:val="0"/>
        <w:autoSpaceDN w:val="0"/>
        <w:adjustRightInd w:val="0"/>
        <w:spacing w:after="0" w:line="360" w:lineRule="auto"/>
        <w:jc w:val="both"/>
        <w:rPr>
          <w:rFonts w:ascii="David" w:hAnsi="David" w:cs="David"/>
          <w:sz w:val="24"/>
          <w:szCs w:val="24"/>
          <w:rtl/>
        </w:rPr>
      </w:pPr>
    </w:p>
    <w:p w14:paraId="4DDF1AA1" w14:textId="77777777" w:rsidR="005B6976" w:rsidRPr="00F25744" w:rsidRDefault="005B6976" w:rsidP="00785D7C">
      <w:pPr>
        <w:widowControl w:val="0"/>
        <w:autoSpaceDE w:val="0"/>
        <w:autoSpaceDN w:val="0"/>
        <w:adjustRightInd w:val="0"/>
        <w:spacing w:after="0" w:line="360" w:lineRule="auto"/>
        <w:jc w:val="both"/>
        <w:rPr>
          <w:rFonts w:ascii="David" w:hAnsi="David" w:cs="David"/>
          <w:sz w:val="24"/>
          <w:szCs w:val="24"/>
          <w:rtl/>
        </w:rPr>
      </w:pPr>
    </w:p>
    <w:p w14:paraId="2A9C4B8C" w14:textId="5651E597" w:rsidR="001C7B41" w:rsidRPr="00F25744" w:rsidRDefault="008534FC" w:rsidP="008534FC">
      <w:pPr>
        <w:pStyle w:val="af6"/>
        <w:rPr>
          <w:rFonts w:ascii="David" w:hAnsi="David"/>
          <w:sz w:val="24"/>
          <w:rtl/>
        </w:rPr>
      </w:pPr>
      <w:bookmarkStart w:id="801" w:name="_Toc76988920"/>
      <w:r w:rsidRPr="00F25744">
        <w:rPr>
          <w:rtl/>
        </w:rPr>
        <w:lastRenderedPageBreak/>
        <w:t xml:space="preserve">טבלה </w:t>
      </w:r>
      <w:r w:rsidRPr="00F25744">
        <w:rPr>
          <w:rtl/>
        </w:rPr>
        <w:fldChar w:fldCharType="begin"/>
      </w:r>
      <w:r w:rsidRPr="00F25744">
        <w:rPr>
          <w:rtl/>
        </w:rPr>
        <w:instrText xml:space="preserve"> </w:instrText>
      </w:r>
      <w:r w:rsidRPr="00F25744">
        <w:instrText>SEQ</w:instrText>
      </w:r>
      <w:r w:rsidRPr="00F25744">
        <w:rPr>
          <w:rtl/>
        </w:rPr>
        <w:instrText xml:space="preserve"> טבלה \* </w:instrText>
      </w:r>
      <w:r w:rsidRPr="00F25744">
        <w:instrText>ARABIC</w:instrText>
      </w:r>
      <w:r w:rsidRPr="00F25744">
        <w:rPr>
          <w:rtl/>
        </w:rPr>
        <w:instrText xml:space="preserve"> </w:instrText>
      </w:r>
      <w:r w:rsidRPr="00F25744">
        <w:rPr>
          <w:rtl/>
        </w:rPr>
        <w:fldChar w:fldCharType="separate"/>
      </w:r>
      <w:r w:rsidR="008F1BC3">
        <w:rPr>
          <w:noProof/>
          <w:rtl/>
        </w:rPr>
        <w:t>25</w:t>
      </w:r>
      <w:r w:rsidRPr="00F25744">
        <w:rPr>
          <w:rtl/>
        </w:rPr>
        <w:fldChar w:fldCharType="end"/>
      </w:r>
      <w:r w:rsidR="007F3A52" w:rsidRPr="00F25744">
        <w:rPr>
          <w:rFonts w:ascii="David" w:hAnsi="David" w:hint="cs"/>
          <w:sz w:val="24"/>
          <w:rtl/>
        </w:rPr>
        <w:t>: משך השעות המוקדשות לעבודה שיפוטית הקשורה בתיקים במדינות שונות</w:t>
      </w:r>
      <w:bookmarkEnd w:id="801"/>
    </w:p>
    <w:tbl>
      <w:tblPr>
        <w:tblW w:w="7315" w:type="dxa"/>
        <w:jc w:val="center"/>
        <w:tblLayout w:type="fixed"/>
        <w:tblCellMar>
          <w:left w:w="0" w:type="dxa"/>
          <w:right w:w="0" w:type="dxa"/>
        </w:tblCellMar>
        <w:tblLook w:val="01E0" w:firstRow="1" w:lastRow="1" w:firstColumn="1" w:lastColumn="1" w:noHBand="0" w:noVBand="0"/>
      </w:tblPr>
      <w:tblGrid>
        <w:gridCol w:w="4225"/>
        <w:gridCol w:w="3090"/>
      </w:tblGrid>
      <w:tr w:rsidR="00E0162E" w:rsidRPr="00F25744" w14:paraId="4665532A" w14:textId="77777777" w:rsidTr="00324151">
        <w:trPr>
          <w:trHeight w:val="488"/>
          <w:jc w:val="center"/>
        </w:trPr>
        <w:tc>
          <w:tcPr>
            <w:tcW w:w="4225" w:type="dxa"/>
            <w:tcBorders>
              <w:bottom w:val="single" w:sz="4" w:space="0" w:color="auto"/>
            </w:tcBorders>
          </w:tcPr>
          <w:p w14:paraId="490AF50D" w14:textId="77777777" w:rsidR="001C7B41" w:rsidRPr="00F25744" w:rsidRDefault="00E25AE7" w:rsidP="00324151">
            <w:pPr>
              <w:pStyle w:val="TableParagraph"/>
              <w:bidi/>
              <w:spacing w:line="226" w:lineRule="exact"/>
              <w:ind w:left="96"/>
              <w:rPr>
                <w:rFonts w:ascii="David" w:hAnsi="David" w:cs="David"/>
                <w:b/>
                <w:bCs/>
                <w:sz w:val="24"/>
                <w:szCs w:val="24"/>
              </w:rPr>
            </w:pPr>
            <w:r w:rsidRPr="00F25744">
              <w:rPr>
                <w:rFonts w:ascii="David" w:hAnsi="David" w:cs="David" w:hint="cs"/>
                <w:b/>
                <w:bCs/>
                <w:sz w:val="24"/>
                <w:szCs w:val="24"/>
                <w:rtl/>
              </w:rPr>
              <w:t xml:space="preserve">שעות </w:t>
            </w:r>
            <w:r w:rsidRPr="00F25744">
              <w:rPr>
                <w:rFonts w:ascii="David" w:hAnsi="David" w:cs="David" w:hint="cs"/>
                <w:b/>
                <w:bCs/>
                <w:w w:val="95"/>
                <w:sz w:val="24"/>
                <w:szCs w:val="24"/>
                <w:rtl/>
              </w:rPr>
              <w:t xml:space="preserve">המוקדשות </w:t>
            </w:r>
            <w:r w:rsidRPr="00F25744">
              <w:rPr>
                <w:rFonts w:ascii="David" w:hAnsi="David" w:cs="David"/>
                <w:b/>
                <w:bCs/>
                <w:spacing w:val="-32"/>
                <w:w w:val="95"/>
                <w:sz w:val="24"/>
                <w:szCs w:val="24"/>
                <w:rtl/>
              </w:rPr>
              <w:t xml:space="preserve"> </w:t>
            </w:r>
            <w:r w:rsidRPr="00F25744">
              <w:rPr>
                <w:rFonts w:ascii="David" w:hAnsi="David" w:cs="David"/>
                <w:b/>
                <w:bCs/>
                <w:w w:val="95"/>
                <w:sz w:val="24"/>
                <w:szCs w:val="24"/>
                <w:rtl/>
              </w:rPr>
              <w:t>לעבודה</w:t>
            </w:r>
            <w:r w:rsidRPr="00F25744">
              <w:rPr>
                <w:rFonts w:ascii="David" w:hAnsi="David" w:cs="David"/>
                <w:b/>
                <w:bCs/>
                <w:spacing w:val="-33"/>
                <w:w w:val="95"/>
                <w:sz w:val="24"/>
                <w:szCs w:val="24"/>
                <w:rtl/>
              </w:rPr>
              <w:t xml:space="preserve"> </w:t>
            </w:r>
            <w:r w:rsidRPr="00F25744">
              <w:rPr>
                <w:rFonts w:ascii="David" w:hAnsi="David" w:cs="David" w:hint="cs"/>
                <w:b/>
                <w:bCs/>
                <w:w w:val="95"/>
                <w:sz w:val="24"/>
                <w:szCs w:val="24"/>
                <w:rtl/>
              </w:rPr>
              <w:t xml:space="preserve">שיפוטית </w:t>
            </w:r>
            <w:r w:rsidRPr="00F25744">
              <w:rPr>
                <w:rFonts w:ascii="David" w:hAnsi="David" w:cs="David"/>
                <w:b/>
                <w:bCs/>
                <w:w w:val="95"/>
                <w:sz w:val="24"/>
                <w:szCs w:val="24"/>
                <w:rtl/>
              </w:rPr>
              <w:t>הקשורה</w:t>
            </w:r>
          </w:p>
          <w:p w14:paraId="4467E098" w14:textId="77777777" w:rsidR="001C7B41" w:rsidRPr="00F25744" w:rsidRDefault="00E25AE7" w:rsidP="00324151">
            <w:pPr>
              <w:pStyle w:val="TableParagraph"/>
              <w:bidi/>
              <w:spacing w:line="274" w:lineRule="exact"/>
              <w:ind w:left="96"/>
              <w:rPr>
                <w:rFonts w:ascii="David" w:hAnsi="David" w:cs="David"/>
                <w:b/>
                <w:bCs/>
                <w:sz w:val="24"/>
                <w:szCs w:val="24"/>
              </w:rPr>
            </w:pPr>
            <w:r w:rsidRPr="00F25744">
              <w:rPr>
                <w:rFonts w:ascii="David" w:hAnsi="David" w:cs="David"/>
                <w:b/>
                <w:bCs/>
                <w:spacing w:val="-1"/>
                <w:w w:val="95"/>
                <w:sz w:val="24"/>
                <w:szCs w:val="24"/>
                <w:rtl/>
              </w:rPr>
              <w:t>בתיקים</w:t>
            </w:r>
            <w:r w:rsidRPr="00F25744">
              <w:rPr>
                <w:rFonts w:ascii="David" w:hAnsi="David" w:cs="David" w:hint="cs"/>
                <w:b/>
                <w:bCs/>
                <w:sz w:val="24"/>
                <w:szCs w:val="24"/>
                <w:rtl/>
              </w:rPr>
              <w:t xml:space="preserve"> בלבד</w:t>
            </w:r>
          </w:p>
        </w:tc>
        <w:tc>
          <w:tcPr>
            <w:tcW w:w="3090" w:type="dxa"/>
            <w:tcBorders>
              <w:bottom w:val="single" w:sz="4" w:space="0" w:color="auto"/>
            </w:tcBorders>
            <w:shd w:val="clear" w:color="auto" w:fill="auto"/>
            <w:vAlign w:val="center"/>
          </w:tcPr>
          <w:p w14:paraId="601FFE22" w14:textId="77777777" w:rsidR="001C7B41" w:rsidRPr="00F25744" w:rsidRDefault="00E25AE7" w:rsidP="00324151">
            <w:pPr>
              <w:pStyle w:val="TableParagraph"/>
              <w:bidi/>
              <w:spacing w:line="276" w:lineRule="auto"/>
              <w:ind w:left="91"/>
              <w:jc w:val="left"/>
              <w:rPr>
                <w:rFonts w:ascii="David" w:hAnsi="David" w:cs="David"/>
                <w:b/>
                <w:bCs/>
                <w:sz w:val="24"/>
                <w:szCs w:val="24"/>
                <w:rtl/>
              </w:rPr>
            </w:pPr>
            <w:r w:rsidRPr="00F25744">
              <w:rPr>
                <w:rFonts w:ascii="David" w:hAnsi="David" w:cs="David"/>
                <w:b/>
                <w:bCs/>
                <w:w w:val="90"/>
                <w:sz w:val="24"/>
                <w:szCs w:val="24"/>
                <w:rtl/>
              </w:rPr>
              <w:t>מ</w:t>
            </w:r>
            <w:r w:rsidRPr="00F25744">
              <w:rPr>
                <w:rFonts w:ascii="David" w:hAnsi="David" w:cs="David" w:hint="cs"/>
                <w:b/>
                <w:bCs/>
                <w:w w:val="90"/>
                <w:sz w:val="24"/>
                <w:szCs w:val="24"/>
                <w:rtl/>
              </w:rPr>
              <w:t>ד</w:t>
            </w:r>
            <w:r w:rsidRPr="00F25744">
              <w:rPr>
                <w:rFonts w:ascii="David" w:hAnsi="David" w:cs="David"/>
                <w:b/>
                <w:bCs/>
                <w:w w:val="90"/>
                <w:sz w:val="24"/>
                <w:szCs w:val="24"/>
                <w:rtl/>
              </w:rPr>
              <w:t>ינה</w:t>
            </w:r>
          </w:p>
        </w:tc>
      </w:tr>
      <w:tr w:rsidR="00E0162E" w:rsidRPr="00F25744" w14:paraId="09C1658F" w14:textId="77777777" w:rsidTr="00E025F4">
        <w:trPr>
          <w:trHeight w:val="340"/>
          <w:jc w:val="center"/>
        </w:trPr>
        <w:tc>
          <w:tcPr>
            <w:tcW w:w="4225" w:type="dxa"/>
            <w:tcBorders>
              <w:top w:val="single" w:sz="4" w:space="0" w:color="auto"/>
            </w:tcBorders>
            <w:vAlign w:val="bottom"/>
          </w:tcPr>
          <w:p w14:paraId="383452EB" w14:textId="77777777" w:rsidR="001C7B41" w:rsidRPr="00F25744" w:rsidRDefault="00E25AE7" w:rsidP="00E025F4">
            <w:pPr>
              <w:pStyle w:val="TableParagraph"/>
              <w:bidi/>
              <w:spacing w:line="276" w:lineRule="auto"/>
              <w:rPr>
                <w:rFonts w:ascii="David" w:hAnsi="David" w:cs="David"/>
                <w:sz w:val="24"/>
                <w:szCs w:val="24"/>
              </w:rPr>
            </w:pPr>
            <w:r w:rsidRPr="00F25744">
              <w:rPr>
                <w:rFonts w:ascii="David" w:hAnsi="David" w:cs="David"/>
                <w:sz w:val="24"/>
                <w:szCs w:val="24"/>
                <w:rtl/>
              </w:rPr>
              <w:t>כ</w:t>
            </w:r>
            <w:r w:rsidRPr="00F25744">
              <w:rPr>
                <w:rFonts w:ascii="David" w:hAnsi="David" w:cs="David"/>
                <w:sz w:val="24"/>
                <w:szCs w:val="24"/>
              </w:rPr>
              <w:t>-</w:t>
            </w:r>
            <w:r w:rsidRPr="00F25744">
              <w:rPr>
                <w:rFonts w:ascii="David" w:hAnsi="David" w:cs="David"/>
                <w:sz w:val="24"/>
                <w:szCs w:val="24"/>
                <w:rtl/>
              </w:rPr>
              <w:t xml:space="preserve"> </w:t>
            </w:r>
            <w:r w:rsidRPr="00F25744">
              <w:rPr>
                <w:rFonts w:ascii="David" w:hAnsi="David" w:cs="David"/>
                <w:sz w:val="24"/>
                <w:szCs w:val="24"/>
              </w:rPr>
              <w:t>5.8</w:t>
            </w:r>
            <w:r w:rsidRPr="00F25744">
              <w:rPr>
                <w:rFonts w:ascii="David" w:hAnsi="David" w:cs="David"/>
                <w:sz w:val="24"/>
                <w:szCs w:val="24"/>
                <w:rtl/>
              </w:rPr>
              <w:t xml:space="preserve"> שעות</w:t>
            </w:r>
          </w:p>
        </w:tc>
        <w:tc>
          <w:tcPr>
            <w:tcW w:w="3090" w:type="dxa"/>
            <w:tcBorders>
              <w:top w:val="single" w:sz="4" w:space="0" w:color="auto"/>
            </w:tcBorders>
            <w:shd w:val="clear" w:color="auto" w:fill="auto"/>
            <w:vAlign w:val="bottom"/>
          </w:tcPr>
          <w:p w14:paraId="4A5DC0FC" w14:textId="77777777" w:rsidR="001C7B41" w:rsidRPr="00F25744" w:rsidRDefault="00E25AE7" w:rsidP="00E025F4">
            <w:pPr>
              <w:pStyle w:val="TableParagraph"/>
              <w:bidi/>
              <w:spacing w:line="276" w:lineRule="auto"/>
              <w:jc w:val="left"/>
              <w:rPr>
                <w:rFonts w:ascii="David" w:hAnsi="David" w:cs="David"/>
                <w:sz w:val="24"/>
                <w:szCs w:val="24"/>
              </w:rPr>
            </w:pPr>
            <w:r w:rsidRPr="00F25744">
              <w:rPr>
                <w:rFonts w:ascii="David" w:hAnsi="David" w:cs="David"/>
                <w:sz w:val="24"/>
                <w:szCs w:val="24"/>
                <w:rtl/>
              </w:rPr>
              <w:t>אריזונה</w:t>
            </w:r>
            <w:r w:rsidRPr="00F25744">
              <w:rPr>
                <w:rFonts w:ascii="David" w:hAnsi="David" w:cs="David" w:hint="cs"/>
                <w:sz w:val="24"/>
                <w:szCs w:val="24"/>
                <w:rtl/>
              </w:rPr>
              <w:t xml:space="preserve"> (2012)</w:t>
            </w:r>
          </w:p>
        </w:tc>
      </w:tr>
      <w:tr w:rsidR="00E0162E" w:rsidRPr="00F25744" w14:paraId="1C008CA3" w14:textId="77777777" w:rsidTr="00E025F4">
        <w:trPr>
          <w:trHeight w:val="216"/>
          <w:jc w:val="center"/>
        </w:trPr>
        <w:tc>
          <w:tcPr>
            <w:tcW w:w="4225" w:type="dxa"/>
            <w:vAlign w:val="bottom"/>
          </w:tcPr>
          <w:p w14:paraId="5B61C28A" w14:textId="77777777" w:rsidR="001C7B41" w:rsidRPr="00F25744" w:rsidRDefault="00E25AE7" w:rsidP="00E025F4">
            <w:pPr>
              <w:pStyle w:val="TableParagraph"/>
              <w:bidi/>
              <w:spacing w:line="276" w:lineRule="auto"/>
              <w:rPr>
                <w:rFonts w:ascii="David" w:hAnsi="David" w:cs="David"/>
                <w:sz w:val="24"/>
                <w:szCs w:val="24"/>
                <w:rtl/>
              </w:rPr>
            </w:pPr>
            <w:r w:rsidRPr="00F25744">
              <w:rPr>
                <w:rFonts w:ascii="David" w:hAnsi="David" w:cs="David"/>
                <w:sz w:val="24"/>
                <w:szCs w:val="24"/>
              </w:rPr>
              <w:t>6.27</w:t>
            </w:r>
            <w:r w:rsidRPr="00F25744">
              <w:rPr>
                <w:rFonts w:ascii="David" w:hAnsi="David" w:cs="David"/>
                <w:sz w:val="24"/>
                <w:szCs w:val="24"/>
                <w:rtl/>
              </w:rPr>
              <w:t xml:space="preserve"> שעות</w:t>
            </w:r>
          </w:p>
        </w:tc>
        <w:tc>
          <w:tcPr>
            <w:tcW w:w="3090" w:type="dxa"/>
            <w:shd w:val="clear" w:color="auto" w:fill="auto"/>
            <w:vAlign w:val="bottom"/>
          </w:tcPr>
          <w:p w14:paraId="50710CB0" w14:textId="77777777" w:rsidR="001C7B41" w:rsidRPr="00F25744" w:rsidRDefault="00E25AE7" w:rsidP="00E025F4">
            <w:pPr>
              <w:pStyle w:val="TableParagraph"/>
              <w:bidi/>
              <w:spacing w:line="276" w:lineRule="auto"/>
              <w:ind w:right="91"/>
              <w:jc w:val="left"/>
              <w:rPr>
                <w:rFonts w:ascii="David" w:hAnsi="David" w:cs="David"/>
                <w:sz w:val="24"/>
                <w:szCs w:val="24"/>
                <w:rtl/>
              </w:rPr>
            </w:pPr>
            <w:r w:rsidRPr="00F25744">
              <w:rPr>
                <w:rFonts w:ascii="David" w:hAnsi="David" w:cs="David"/>
                <w:sz w:val="24"/>
                <w:szCs w:val="24"/>
                <w:rtl/>
              </w:rPr>
              <w:t>טנסי</w:t>
            </w:r>
            <w:r w:rsidRPr="00F25744">
              <w:rPr>
                <w:rFonts w:ascii="David" w:hAnsi="David" w:cs="David" w:hint="cs"/>
                <w:sz w:val="24"/>
                <w:szCs w:val="24"/>
                <w:rtl/>
              </w:rPr>
              <w:t xml:space="preserve"> (2013)</w:t>
            </w:r>
          </w:p>
        </w:tc>
      </w:tr>
      <w:tr w:rsidR="00E0162E" w:rsidRPr="00F25744" w14:paraId="0BDA67C1" w14:textId="77777777" w:rsidTr="00E025F4">
        <w:trPr>
          <w:trHeight w:val="238"/>
          <w:jc w:val="center"/>
        </w:trPr>
        <w:tc>
          <w:tcPr>
            <w:tcW w:w="4225" w:type="dxa"/>
            <w:vAlign w:val="bottom"/>
          </w:tcPr>
          <w:p w14:paraId="5C2014BE" w14:textId="77777777" w:rsidR="001C7B41" w:rsidRPr="00F25744" w:rsidRDefault="00E25AE7" w:rsidP="00E025F4">
            <w:pPr>
              <w:pStyle w:val="TableParagraph"/>
              <w:bidi/>
              <w:spacing w:line="276" w:lineRule="auto"/>
              <w:rPr>
                <w:rFonts w:ascii="David" w:hAnsi="David" w:cs="David"/>
                <w:sz w:val="24"/>
                <w:szCs w:val="24"/>
              </w:rPr>
            </w:pPr>
            <w:r w:rsidRPr="00F25744">
              <w:rPr>
                <w:rFonts w:ascii="David" w:hAnsi="David" w:cs="David"/>
                <w:sz w:val="24"/>
                <w:szCs w:val="24"/>
              </w:rPr>
              <w:t>7.1</w:t>
            </w:r>
            <w:r w:rsidRPr="00F25744">
              <w:rPr>
                <w:rFonts w:ascii="David" w:hAnsi="David" w:cs="David"/>
                <w:sz w:val="24"/>
                <w:szCs w:val="24"/>
                <w:rtl/>
              </w:rPr>
              <w:t xml:space="preserve"> שעות</w:t>
            </w:r>
          </w:p>
        </w:tc>
        <w:tc>
          <w:tcPr>
            <w:tcW w:w="3090" w:type="dxa"/>
            <w:shd w:val="clear" w:color="auto" w:fill="auto"/>
            <w:vAlign w:val="bottom"/>
          </w:tcPr>
          <w:p w14:paraId="55C89A75" w14:textId="77777777" w:rsidR="001C7B41" w:rsidRPr="00F25744" w:rsidRDefault="00E25AE7" w:rsidP="00E025F4">
            <w:pPr>
              <w:pStyle w:val="TableParagraph"/>
              <w:bidi/>
              <w:spacing w:line="276" w:lineRule="auto"/>
              <w:jc w:val="left"/>
              <w:rPr>
                <w:rFonts w:ascii="David" w:hAnsi="David" w:cs="David"/>
                <w:sz w:val="24"/>
                <w:szCs w:val="24"/>
              </w:rPr>
            </w:pPr>
            <w:r w:rsidRPr="00F25744">
              <w:rPr>
                <w:rFonts w:ascii="David" w:hAnsi="David" w:cs="David"/>
                <w:sz w:val="24"/>
                <w:szCs w:val="24"/>
                <w:rtl/>
              </w:rPr>
              <w:t>וירג</w:t>
            </w:r>
            <w:r w:rsidRPr="00F25744">
              <w:rPr>
                <w:rFonts w:ascii="David" w:hAnsi="David" w:cs="David"/>
                <w:sz w:val="24"/>
                <w:szCs w:val="24"/>
              </w:rPr>
              <w:t>'</w:t>
            </w:r>
            <w:r w:rsidRPr="00F25744">
              <w:rPr>
                <w:rFonts w:ascii="David" w:hAnsi="David" w:cs="David"/>
                <w:sz w:val="24"/>
                <w:szCs w:val="24"/>
                <w:rtl/>
              </w:rPr>
              <w:t>יניה המערבית</w:t>
            </w:r>
            <w:r w:rsidRPr="00F25744">
              <w:rPr>
                <w:rFonts w:ascii="David" w:hAnsi="David" w:cs="David" w:hint="cs"/>
                <w:sz w:val="24"/>
                <w:szCs w:val="24"/>
                <w:rtl/>
              </w:rPr>
              <w:t xml:space="preserve"> (2014)</w:t>
            </w:r>
          </w:p>
        </w:tc>
      </w:tr>
      <w:tr w:rsidR="00E0162E" w:rsidRPr="00F25744" w14:paraId="1E12C5D6" w14:textId="77777777" w:rsidTr="00E025F4">
        <w:trPr>
          <w:trHeight w:val="246"/>
          <w:jc w:val="center"/>
        </w:trPr>
        <w:tc>
          <w:tcPr>
            <w:tcW w:w="4225" w:type="dxa"/>
            <w:vAlign w:val="bottom"/>
          </w:tcPr>
          <w:p w14:paraId="54CB0425" w14:textId="77777777" w:rsidR="001C7B41" w:rsidRPr="00F25744" w:rsidRDefault="00E25AE7" w:rsidP="00E025F4">
            <w:pPr>
              <w:pStyle w:val="TableParagraph"/>
              <w:bidi/>
              <w:spacing w:line="276" w:lineRule="auto"/>
              <w:rPr>
                <w:rFonts w:ascii="David" w:hAnsi="David" w:cs="David"/>
                <w:sz w:val="24"/>
                <w:szCs w:val="24"/>
              </w:rPr>
            </w:pPr>
            <w:r w:rsidRPr="00F25744">
              <w:rPr>
                <w:rFonts w:ascii="David" w:hAnsi="David" w:cs="David"/>
                <w:sz w:val="24"/>
                <w:szCs w:val="24"/>
              </w:rPr>
              <w:t>5.9</w:t>
            </w:r>
            <w:r w:rsidRPr="00F25744">
              <w:rPr>
                <w:rFonts w:ascii="David" w:hAnsi="David" w:cs="David"/>
                <w:sz w:val="24"/>
                <w:szCs w:val="24"/>
                <w:rtl/>
              </w:rPr>
              <w:t xml:space="preserve"> שעות</w:t>
            </w:r>
          </w:p>
        </w:tc>
        <w:tc>
          <w:tcPr>
            <w:tcW w:w="3090" w:type="dxa"/>
            <w:shd w:val="clear" w:color="auto" w:fill="auto"/>
            <w:vAlign w:val="bottom"/>
          </w:tcPr>
          <w:p w14:paraId="0B6ADFA7" w14:textId="77777777" w:rsidR="001C7B41" w:rsidRPr="00F25744" w:rsidRDefault="00E25AE7" w:rsidP="00E025F4">
            <w:pPr>
              <w:pStyle w:val="TableParagraph"/>
              <w:bidi/>
              <w:spacing w:line="276" w:lineRule="auto"/>
              <w:jc w:val="left"/>
              <w:rPr>
                <w:rFonts w:ascii="David" w:hAnsi="David" w:cs="David"/>
                <w:sz w:val="24"/>
                <w:szCs w:val="24"/>
              </w:rPr>
            </w:pPr>
            <w:r w:rsidRPr="00F25744">
              <w:rPr>
                <w:rFonts w:ascii="David" w:hAnsi="David" w:cs="David"/>
                <w:sz w:val="24"/>
                <w:szCs w:val="24"/>
                <w:rtl/>
              </w:rPr>
              <w:t>מונטנה</w:t>
            </w:r>
            <w:r w:rsidRPr="00F25744">
              <w:rPr>
                <w:rFonts w:ascii="David" w:hAnsi="David" w:cs="David" w:hint="cs"/>
                <w:sz w:val="24"/>
                <w:szCs w:val="24"/>
                <w:rtl/>
              </w:rPr>
              <w:t xml:space="preserve"> (2014)</w:t>
            </w:r>
          </w:p>
        </w:tc>
      </w:tr>
      <w:tr w:rsidR="00E0162E" w:rsidRPr="00F25744" w14:paraId="30632CD8" w14:textId="77777777" w:rsidTr="00E025F4">
        <w:trPr>
          <w:trHeight w:val="126"/>
          <w:jc w:val="center"/>
        </w:trPr>
        <w:tc>
          <w:tcPr>
            <w:tcW w:w="4225" w:type="dxa"/>
            <w:vAlign w:val="bottom"/>
          </w:tcPr>
          <w:p w14:paraId="513C771C" w14:textId="77777777" w:rsidR="001C7B41" w:rsidRPr="00F25744" w:rsidRDefault="00E25AE7" w:rsidP="00E025F4">
            <w:pPr>
              <w:pStyle w:val="TableParagraph"/>
              <w:bidi/>
              <w:spacing w:line="276" w:lineRule="auto"/>
              <w:rPr>
                <w:rFonts w:ascii="David" w:hAnsi="David" w:cs="David"/>
                <w:sz w:val="24"/>
                <w:szCs w:val="24"/>
              </w:rPr>
            </w:pPr>
            <w:r w:rsidRPr="00F25744">
              <w:rPr>
                <w:rFonts w:ascii="David" w:hAnsi="David" w:cs="David"/>
                <w:sz w:val="24"/>
                <w:szCs w:val="24"/>
              </w:rPr>
              <w:t>6.3</w:t>
            </w:r>
            <w:r w:rsidRPr="00F25744">
              <w:rPr>
                <w:rFonts w:ascii="David" w:hAnsi="David" w:cs="David"/>
                <w:sz w:val="24"/>
                <w:szCs w:val="24"/>
                <w:rtl/>
              </w:rPr>
              <w:t xml:space="preserve"> שעות</w:t>
            </w:r>
          </w:p>
        </w:tc>
        <w:tc>
          <w:tcPr>
            <w:tcW w:w="3090" w:type="dxa"/>
            <w:shd w:val="clear" w:color="auto" w:fill="auto"/>
            <w:vAlign w:val="bottom"/>
          </w:tcPr>
          <w:p w14:paraId="17B25B3F" w14:textId="77777777" w:rsidR="001C7B41" w:rsidRPr="00F25744" w:rsidRDefault="00E25AE7" w:rsidP="00E025F4">
            <w:pPr>
              <w:pStyle w:val="TableParagraph"/>
              <w:bidi/>
              <w:spacing w:line="276" w:lineRule="auto"/>
              <w:jc w:val="left"/>
              <w:rPr>
                <w:rFonts w:ascii="David" w:hAnsi="David" w:cs="David"/>
                <w:sz w:val="24"/>
                <w:szCs w:val="24"/>
              </w:rPr>
            </w:pPr>
            <w:r w:rsidRPr="00F25744">
              <w:rPr>
                <w:rFonts w:ascii="David" w:hAnsi="David" w:cs="David"/>
                <w:sz w:val="24"/>
                <w:szCs w:val="24"/>
                <w:rtl/>
              </w:rPr>
              <w:t>ורמונט</w:t>
            </w:r>
            <w:r w:rsidRPr="00F25744">
              <w:rPr>
                <w:rFonts w:ascii="David" w:hAnsi="David" w:cs="David" w:hint="cs"/>
                <w:sz w:val="24"/>
                <w:szCs w:val="24"/>
                <w:rtl/>
              </w:rPr>
              <w:t xml:space="preserve"> (2015)</w:t>
            </w:r>
          </w:p>
        </w:tc>
      </w:tr>
      <w:tr w:rsidR="00E0162E" w:rsidRPr="00F25744" w14:paraId="5AF5A2C6" w14:textId="77777777" w:rsidTr="00E025F4">
        <w:trPr>
          <w:trHeight w:val="276"/>
          <w:jc w:val="center"/>
        </w:trPr>
        <w:tc>
          <w:tcPr>
            <w:tcW w:w="4225" w:type="dxa"/>
            <w:vAlign w:val="bottom"/>
          </w:tcPr>
          <w:p w14:paraId="67BC33B5" w14:textId="77777777" w:rsidR="001C7B41" w:rsidRPr="00F25744" w:rsidRDefault="00E25AE7" w:rsidP="00E025F4">
            <w:pPr>
              <w:pStyle w:val="TableParagraph"/>
              <w:bidi/>
              <w:spacing w:line="276" w:lineRule="auto"/>
              <w:rPr>
                <w:rFonts w:ascii="David" w:hAnsi="David" w:cs="David"/>
                <w:sz w:val="24"/>
                <w:szCs w:val="24"/>
                <w:rtl/>
              </w:rPr>
            </w:pPr>
            <w:r w:rsidRPr="00F25744">
              <w:rPr>
                <w:rFonts w:ascii="David" w:hAnsi="David" w:cs="David"/>
                <w:sz w:val="24"/>
                <w:szCs w:val="24"/>
              </w:rPr>
              <w:t>5.7</w:t>
            </w:r>
            <w:r w:rsidRPr="00F25744">
              <w:rPr>
                <w:rFonts w:ascii="David" w:hAnsi="David" w:cs="David"/>
                <w:sz w:val="24"/>
                <w:szCs w:val="24"/>
                <w:rtl/>
              </w:rPr>
              <w:t xml:space="preserve"> שעות עד </w:t>
            </w:r>
            <w:r w:rsidRPr="00F25744">
              <w:rPr>
                <w:rFonts w:ascii="David" w:hAnsi="David" w:cs="David"/>
                <w:sz w:val="24"/>
                <w:szCs w:val="24"/>
              </w:rPr>
              <w:t>6</w:t>
            </w:r>
            <w:r w:rsidRPr="00F25744">
              <w:rPr>
                <w:rFonts w:ascii="David" w:hAnsi="David" w:cs="David"/>
                <w:sz w:val="24"/>
                <w:szCs w:val="24"/>
                <w:rtl/>
              </w:rPr>
              <w:t xml:space="preserve"> שעות</w:t>
            </w:r>
          </w:p>
        </w:tc>
        <w:tc>
          <w:tcPr>
            <w:tcW w:w="3090" w:type="dxa"/>
            <w:shd w:val="clear" w:color="auto" w:fill="auto"/>
            <w:vAlign w:val="bottom"/>
          </w:tcPr>
          <w:p w14:paraId="3A188D68" w14:textId="041F83F5" w:rsidR="001C7B41" w:rsidRPr="00F25744" w:rsidRDefault="005D2078" w:rsidP="00E025F4">
            <w:pPr>
              <w:pStyle w:val="TableParagraph"/>
              <w:bidi/>
              <w:spacing w:line="276" w:lineRule="auto"/>
              <w:jc w:val="left"/>
              <w:rPr>
                <w:rFonts w:ascii="David" w:hAnsi="David" w:cs="David"/>
                <w:sz w:val="24"/>
                <w:szCs w:val="24"/>
              </w:rPr>
            </w:pPr>
            <w:r>
              <w:rPr>
                <w:rFonts w:ascii="David" w:hAnsi="David" w:cs="David"/>
                <w:sz w:val="24"/>
                <w:szCs w:val="24"/>
                <w:rtl/>
              </w:rPr>
              <w:t>קנט</w:t>
            </w:r>
            <w:r w:rsidR="00E25AE7" w:rsidRPr="00F25744">
              <w:rPr>
                <w:rFonts w:ascii="David" w:hAnsi="David" w:cs="David"/>
                <w:sz w:val="24"/>
                <w:szCs w:val="24"/>
                <w:rtl/>
              </w:rPr>
              <w:t>קי</w:t>
            </w:r>
            <w:r w:rsidR="00E25AE7" w:rsidRPr="00F25744">
              <w:rPr>
                <w:rFonts w:ascii="David" w:hAnsi="David" w:cs="David" w:hint="cs"/>
                <w:sz w:val="24"/>
                <w:szCs w:val="24"/>
                <w:rtl/>
              </w:rPr>
              <w:t xml:space="preserve"> (2016)</w:t>
            </w:r>
          </w:p>
        </w:tc>
      </w:tr>
      <w:tr w:rsidR="00E0162E" w:rsidRPr="00F25744" w14:paraId="76824EE3" w14:textId="77777777" w:rsidTr="00E025F4">
        <w:trPr>
          <w:trHeight w:val="156"/>
          <w:jc w:val="center"/>
        </w:trPr>
        <w:tc>
          <w:tcPr>
            <w:tcW w:w="4225" w:type="dxa"/>
            <w:vAlign w:val="bottom"/>
          </w:tcPr>
          <w:p w14:paraId="1C727786" w14:textId="77777777" w:rsidR="001C7B41" w:rsidRPr="00F25744" w:rsidRDefault="00E25AE7" w:rsidP="00E025F4">
            <w:pPr>
              <w:pStyle w:val="TableParagraph"/>
              <w:bidi/>
              <w:spacing w:line="276" w:lineRule="auto"/>
              <w:rPr>
                <w:rFonts w:ascii="David" w:hAnsi="David" w:cs="David"/>
                <w:sz w:val="24"/>
                <w:szCs w:val="24"/>
                <w:rtl/>
              </w:rPr>
            </w:pPr>
            <w:r w:rsidRPr="00F25744">
              <w:rPr>
                <w:rFonts w:ascii="David" w:hAnsi="David" w:cs="David"/>
                <w:sz w:val="24"/>
                <w:szCs w:val="24"/>
              </w:rPr>
              <w:t xml:space="preserve">5.9 </w:t>
            </w:r>
            <w:r w:rsidRPr="00F25744">
              <w:rPr>
                <w:rFonts w:ascii="David" w:hAnsi="David" w:cs="David" w:hint="cs"/>
                <w:sz w:val="24"/>
                <w:szCs w:val="24"/>
                <w:rtl/>
              </w:rPr>
              <w:t xml:space="preserve"> עד</w:t>
            </w:r>
            <w:r w:rsidRPr="00F25744">
              <w:rPr>
                <w:rFonts w:ascii="David" w:hAnsi="David" w:cs="David"/>
                <w:sz w:val="24"/>
                <w:szCs w:val="24"/>
              </w:rPr>
              <w:t>6.1</w:t>
            </w:r>
            <w:r w:rsidRPr="00F25744">
              <w:rPr>
                <w:rFonts w:ascii="David" w:hAnsi="David" w:cs="David" w:hint="cs"/>
                <w:sz w:val="24"/>
                <w:szCs w:val="24"/>
                <w:rtl/>
              </w:rPr>
              <w:t xml:space="preserve"> שעות</w:t>
            </w:r>
          </w:p>
        </w:tc>
        <w:tc>
          <w:tcPr>
            <w:tcW w:w="3090" w:type="dxa"/>
            <w:shd w:val="clear" w:color="auto" w:fill="auto"/>
            <w:vAlign w:val="bottom"/>
          </w:tcPr>
          <w:p w14:paraId="6E60113D" w14:textId="77777777" w:rsidR="001C7B41" w:rsidRPr="00F25744" w:rsidRDefault="00E25AE7" w:rsidP="00E025F4">
            <w:pPr>
              <w:pStyle w:val="TableParagraph"/>
              <w:bidi/>
              <w:spacing w:line="276" w:lineRule="auto"/>
              <w:jc w:val="left"/>
              <w:rPr>
                <w:rFonts w:ascii="David" w:hAnsi="David" w:cs="David"/>
                <w:sz w:val="24"/>
                <w:szCs w:val="24"/>
              </w:rPr>
            </w:pPr>
            <w:r w:rsidRPr="00F25744">
              <w:rPr>
                <w:rFonts w:ascii="David" w:hAnsi="David" w:cs="David"/>
                <w:sz w:val="24"/>
                <w:szCs w:val="24"/>
                <w:rtl/>
              </w:rPr>
              <w:t>אורגון</w:t>
            </w:r>
            <w:r w:rsidRPr="00F25744">
              <w:rPr>
                <w:rFonts w:ascii="David" w:hAnsi="David" w:cs="David" w:hint="cs"/>
                <w:sz w:val="24"/>
                <w:szCs w:val="24"/>
                <w:rtl/>
              </w:rPr>
              <w:t xml:space="preserve"> (2016)</w:t>
            </w:r>
          </w:p>
        </w:tc>
      </w:tr>
      <w:tr w:rsidR="00E0162E" w:rsidRPr="00F25744" w14:paraId="51A9D761" w14:textId="77777777" w:rsidTr="00E025F4">
        <w:trPr>
          <w:trHeight w:val="306"/>
          <w:jc w:val="center"/>
        </w:trPr>
        <w:tc>
          <w:tcPr>
            <w:tcW w:w="4225" w:type="dxa"/>
            <w:vAlign w:val="bottom"/>
          </w:tcPr>
          <w:p w14:paraId="001952E1" w14:textId="77777777" w:rsidR="001C7B41" w:rsidRPr="00F25744" w:rsidRDefault="00E25AE7" w:rsidP="00E025F4">
            <w:pPr>
              <w:pStyle w:val="TableParagraph"/>
              <w:bidi/>
              <w:spacing w:line="276" w:lineRule="auto"/>
              <w:rPr>
                <w:rFonts w:ascii="David" w:hAnsi="David" w:cs="David"/>
                <w:sz w:val="24"/>
                <w:szCs w:val="24"/>
              </w:rPr>
            </w:pPr>
            <w:r w:rsidRPr="00F25744">
              <w:rPr>
                <w:rFonts w:ascii="David" w:hAnsi="David" w:cs="David" w:hint="cs"/>
                <w:sz w:val="24"/>
                <w:szCs w:val="24"/>
                <w:rtl/>
              </w:rPr>
              <w:t>5 עד 6</w:t>
            </w:r>
            <w:r w:rsidRPr="00F25744">
              <w:rPr>
                <w:rFonts w:ascii="David" w:hAnsi="David" w:cs="David"/>
                <w:sz w:val="24"/>
                <w:szCs w:val="24"/>
                <w:rtl/>
              </w:rPr>
              <w:t xml:space="preserve"> שעות</w:t>
            </w:r>
          </w:p>
        </w:tc>
        <w:tc>
          <w:tcPr>
            <w:tcW w:w="3090" w:type="dxa"/>
            <w:shd w:val="clear" w:color="auto" w:fill="auto"/>
            <w:vAlign w:val="bottom"/>
          </w:tcPr>
          <w:p w14:paraId="668D3151" w14:textId="77777777" w:rsidR="001C7B41" w:rsidRPr="00F25744" w:rsidRDefault="00E25AE7" w:rsidP="00E025F4">
            <w:pPr>
              <w:pStyle w:val="TableParagraph"/>
              <w:bidi/>
              <w:spacing w:line="276" w:lineRule="auto"/>
              <w:jc w:val="left"/>
              <w:rPr>
                <w:rFonts w:ascii="David" w:hAnsi="David" w:cs="David"/>
                <w:sz w:val="24"/>
                <w:szCs w:val="24"/>
                <w:rtl/>
              </w:rPr>
            </w:pPr>
            <w:r w:rsidRPr="00F25744">
              <w:rPr>
                <w:rFonts w:ascii="David" w:hAnsi="David" w:cs="David"/>
                <w:sz w:val="24"/>
                <w:szCs w:val="24"/>
                <w:rtl/>
              </w:rPr>
              <w:t>פלורידה</w:t>
            </w:r>
            <w:r w:rsidRPr="00F25744">
              <w:rPr>
                <w:rFonts w:ascii="David" w:hAnsi="David" w:cs="David" w:hint="cs"/>
                <w:sz w:val="24"/>
                <w:szCs w:val="24"/>
                <w:rtl/>
              </w:rPr>
              <w:t xml:space="preserve"> (2016)</w:t>
            </w:r>
          </w:p>
        </w:tc>
      </w:tr>
      <w:tr w:rsidR="00E0162E" w:rsidRPr="00F25744" w14:paraId="21C96AAA" w14:textId="77777777" w:rsidTr="00E025F4">
        <w:trPr>
          <w:trHeight w:val="328"/>
          <w:jc w:val="center"/>
        </w:trPr>
        <w:tc>
          <w:tcPr>
            <w:tcW w:w="4225" w:type="dxa"/>
            <w:tcBorders>
              <w:bottom w:val="single" w:sz="4" w:space="0" w:color="auto"/>
            </w:tcBorders>
            <w:vAlign w:val="bottom"/>
          </w:tcPr>
          <w:p w14:paraId="7BB87B60" w14:textId="77777777" w:rsidR="001C7B41" w:rsidRPr="00F25744" w:rsidRDefault="00E25AE7" w:rsidP="00E025F4">
            <w:pPr>
              <w:pStyle w:val="TableParagraph"/>
              <w:bidi/>
              <w:spacing w:line="276" w:lineRule="auto"/>
              <w:rPr>
                <w:rFonts w:ascii="David" w:hAnsi="David" w:cs="David"/>
                <w:sz w:val="24"/>
                <w:szCs w:val="24"/>
              </w:rPr>
            </w:pPr>
            <w:r w:rsidRPr="00F25744">
              <w:rPr>
                <w:rFonts w:ascii="David" w:hAnsi="David" w:cs="David"/>
                <w:sz w:val="24"/>
                <w:szCs w:val="24"/>
              </w:rPr>
              <w:t>6.08</w:t>
            </w:r>
            <w:r w:rsidRPr="00F25744">
              <w:rPr>
                <w:rFonts w:ascii="David" w:hAnsi="David" w:cs="David"/>
                <w:sz w:val="24"/>
                <w:szCs w:val="24"/>
                <w:rtl/>
              </w:rPr>
              <w:t xml:space="preserve"> שעות</w:t>
            </w:r>
          </w:p>
        </w:tc>
        <w:tc>
          <w:tcPr>
            <w:tcW w:w="3090" w:type="dxa"/>
            <w:tcBorders>
              <w:bottom w:val="single" w:sz="4" w:space="0" w:color="auto"/>
            </w:tcBorders>
            <w:shd w:val="clear" w:color="auto" w:fill="auto"/>
            <w:vAlign w:val="bottom"/>
          </w:tcPr>
          <w:p w14:paraId="6F621B97" w14:textId="77777777" w:rsidR="001C7B41" w:rsidRPr="00F25744" w:rsidRDefault="00E25AE7" w:rsidP="00E025F4">
            <w:pPr>
              <w:pStyle w:val="TableParagraph"/>
              <w:bidi/>
              <w:spacing w:line="276" w:lineRule="auto"/>
              <w:jc w:val="left"/>
              <w:rPr>
                <w:rFonts w:ascii="David" w:hAnsi="David" w:cs="David"/>
                <w:sz w:val="24"/>
                <w:szCs w:val="24"/>
              </w:rPr>
            </w:pPr>
            <w:r w:rsidRPr="00F25744">
              <w:rPr>
                <w:rFonts w:ascii="David" w:hAnsi="David" w:cs="David"/>
                <w:sz w:val="24"/>
                <w:szCs w:val="24"/>
                <w:rtl/>
              </w:rPr>
              <w:t>אינדיאנה</w:t>
            </w:r>
            <w:r w:rsidRPr="00F25744">
              <w:rPr>
                <w:rFonts w:ascii="David" w:hAnsi="David" w:cs="David" w:hint="cs"/>
                <w:sz w:val="24"/>
                <w:szCs w:val="24"/>
                <w:rtl/>
              </w:rPr>
              <w:t xml:space="preserve"> (2016)</w:t>
            </w:r>
          </w:p>
        </w:tc>
      </w:tr>
    </w:tbl>
    <w:p w14:paraId="76A80562" w14:textId="77777777" w:rsidR="005B6976" w:rsidRPr="00F25744" w:rsidRDefault="005B6976" w:rsidP="001C7B41">
      <w:pPr>
        <w:widowControl w:val="0"/>
        <w:autoSpaceDE w:val="0"/>
        <w:autoSpaceDN w:val="0"/>
        <w:adjustRightInd w:val="0"/>
        <w:spacing w:after="0" w:line="360" w:lineRule="auto"/>
        <w:jc w:val="both"/>
        <w:rPr>
          <w:rFonts w:ascii="David" w:hAnsi="David" w:cs="David"/>
          <w:b/>
          <w:bCs/>
          <w:sz w:val="24"/>
          <w:szCs w:val="24"/>
          <w:rtl/>
        </w:rPr>
      </w:pPr>
    </w:p>
    <w:p w14:paraId="771EB364" w14:textId="77777777" w:rsidR="001C7B41" w:rsidRPr="00F25744" w:rsidRDefault="00E25AE7" w:rsidP="000C1408">
      <w:pPr>
        <w:pStyle w:val="3"/>
        <w:numPr>
          <w:ilvl w:val="2"/>
          <w:numId w:val="24"/>
        </w:numPr>
        <w:ind w:left="852"/>
        <w:rPr>
          <w:rtl/>
        </w:rPr>
      </w:pPr>
      <w:bookmarkStart w:id="802" w:name="_Toc49668472"/>
      <w:bookmarkStart w:id="803" w:name="_Toc74751027"/>
      <w:r w:rsidRPr="00F25744">
        <w:rPr>
          <w:rFonts w:hint="cs"/>
          <w:rtl/>
        </w:rPr>
        <w:t>פילוח יום העבודה השיפוטי עם ובלי מערך תמיכה</w:t>
      </w:r>
      <w:bookmarkEnd w:id="802"/>
      <w:bookmarkEnd w:id="803"/>
    </w:p>
    <w:p w14:paraId="6FD4FF2F" w14:textId="77777777" w:rsidR="001C7B41" w:rsidRPr="00F25744" w:rsidRDefault="00E25AE7" w:rsidP="008336F3">
      <w:pPr>
        <w:widowControl w:val="0"/>
        <w:autoSpaceDE w:val="0"/>
        <w:autoSpaceDN w:val="0"/>
        <w:adjustRightInd w:val="0"/>
        <w:spacing w:before="120" w:after="0" w:line="360" w:lineRule="auto"/>
        <w:jc w:val="both"/>
        <w:rPr>
          <w:rtl/>
        </w:rPr>
      </w:pPr>
      <w:r w:rsidRPr="00F25744">
        <w:rPr>
          <w:rFonts w:ascii="David" w:hAnsi="David" w:cs="David" w:hint="cs"/>
          <w:sz w:val="24"/>
          <w:szCs w:val="24"/>
          <w:rtl/>
        </w:rPr>
        <w:t xml:space="preserve">את תמהיל יום העבודה השיפוטי הממוצע שהוצג לעיל, נציג בחלוקה לפרמטרים נוספים שעשויים להשפיע על תמהיל זה: בתת פרק זה נבחן את השפעת קיומו של מערך תמיכה לשופט </w:t>
      </w:r>
      <w:r w:rsidRPr="00F25744">
        <w:rPr>
          <w:rFonts w:ascii="David" w:hAnsi="David" w:cs="David"/>
          <w:sz w:val="24"/>
          <w:szCs w:val="24"/>
          <w:rtl/>
        </w:rPr>
        <w:t>–</w:t>
      </w:r>
      <w:r w:rsidRPr="00F25744">
        <w:rPr>
          <w:rFonts w:ascii="David" w:hAnsi="David" w:cs="David" w:hint="cs"/>
          <w:sz w:val="24"/>
          <w:szCs w:val="24"/>
          <w:rtl/>
        </w:rPr>
        <w:t xml:space="preserve"> עוזר משפטי</w:t>
      </w:r>
      <w:r w:rsidR="00E42780" w:rsidRPr="00F25744">
        <w:rPr>
          <w:rFonts w:ascii="David" w:hAnsi="David" w:cs="David" w:hint="cs"/>
          <w:sz w:val="24"/>
          <w:szCs w:val="24"/>
          <w:rtl/>
        </w:rPr>
        <w:t>,</w:t>
      </w:r>
      <w:r w:rsidRPr="00F25744">
        <w:rPr>
          <w:rFonts w:ascii="David" w:hAnsi="David" w:cs="David" w:hint="cs"/>
          <w:sz w:val="24"/>
          <w:szCs w:val="24"/>
          <w:rtl/>
        </w:rPr>
        <w:t xml:space="preserve"> מתמחה או סטודנט </w:t>
      </w:r>
      <w:r w:rsidRPr="00F25744">
        <w:rPr>
          <w:rFonts w:ascii="David" w:hAnsi="David" w:cs="David"/>
          <w:sz w:val="24"/>
          <w:szCs w:val="24"/>
          <w:rtl/>
        </w:rPr>
        <w:t>–</w:t>
      </w:r>
      <w:r w:rsidRPr="00F25744">
        <w:rPr>
          <w:rFonts w:ascii="David" w:hAnsi="David" w:cs="David" w:hint="cs"/>
          <w:sz w:val="24"/>
          <w:szCs w:val="24"/>
          <w:rtl/>
        </w:rPr>
        <w:t xml:space="preserve"> על תמהיל יום העבודה השיפוטי, ובתת הפרק הבא נבחן את השפעת קיומו של תפקיד נוסף לשופט, כמו נשיא או סגן נשיא, על תמהיל יום העבודה השיפוטי. בפילוחים נוספים אלו יש כדי לתרום להבנת אופי העבודה של השופטים והרשמים, והפעולות שהם מבצעים במהלך יום העבודה שלהם.</w:t>
      </w:r>
    </w:p>
    <w:p w14:paraId="594E91A7" w14:textId="77777777" w:rsidR="001C7B41" w:rsidRPr="00F25744" w:rsidRDefault="00E25AE7" w:rsidP="008336F3">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sz w:val="24"/>
          <w:szCs w:val="24"/>
          <w:rtl/>
        </w:rPr>
        <w:t>על פי הנתונים שקיבלנו משאלוני הרקע של השופטים, ל-81.6%</w:t>
      </w:r>
      <w:r w:rsidRPr="00F25744">
        <w:rPr>
          <w:rFonts w:ascii="David" w:hAnsi="David" w:cs="David" w:hint="cs"/>
          <w:sz w:val="24"/>
          <w:szCs w:val="24"/>
          <w:rtl/>
        </w:rPr>
        <w:t xml:space="preserve"> משופטי ורשמי המערכת שהשתתפו במחקר הנוכחי יש עוזר משפטי. עוד נמצא, כי ל-31.6% מן השופטים והרשמים שלהם עוזר משפטי יש גם מתמחה או סטודנט. ב</w:t>
      </w:r>
      <w:r w:rsidRPr="00F25744">
        <w:rPr>
          <w:rFonts w:ascii="David" w:hAnsi="David" w:cs="David" w:hint="cs"/>
          <w:b/>
          <w:bCs/>
          <w:sz w:val="24"/>
          <w:szCs w:val="24"/>
          <w:rtl/>
        </w:rPr>
        <w:t>טבלה 2</w:t>
      </w:r>
      <w:r w:rsidR="00D22BD3" w:rsidRPr="00F25744">
        <w:rPr>
          <w:rFonts w:ascii="David" w:hAnsi="David" w:cs="David" w:hint="cs"/>
          <w:b/>
          <w:bCs/>
          <w:sz w:val="24"/>
          <w:szCs w:val="24"/>
          <w:rtl/>
        </w:rPr>
        <w:t>7</w:t>
      </w:r>
      <w:r w:rsidRPr="00F25744">
        <w:rPr>
          <w:rFonts w:ascii="David" w:hAnsi="David" w:cs="David" w:hint="cs"/>
          <w:sz w:val="24"/>
          <w:szCs w:val="24"/>
          <w:rtl/>
        </w:rPr>
        <w:t xml:space="preserve"> שלהלן נציג פילוח באחוזים של כוח העזר השיפוטי בחלוקה לערכאות ובתי המשפט.</w:t>
      </w:r>
    </w:p>
    <w:p w14:paraId="36369CF1" w14:textId="77777777" w:rsidR="001C7B41" w:rsidRPr="00F25744" w:rsidRDefault="001C7B41" w:rsidP="008336F3">
      <w:pPr>
        <w:widowControl w:val="0"/>
        <w:autoSpaceDE w:val="0"/>
        <w:autoSpaceDN w:val="0"/>
        <w:adjustRightInd w:val="0"/>
        <w:spacing w:after="0" w:line="240" w:lineRule="auto"/>
        <w:jc w:val="both"/>
        <w:rPr>
          <w:rFonts w:ascii="David" w:hAnsi="David" w:cs="David"/>
          <w:sz w:val="24"/>
          <w:szCs w:val="24"/>
          <w:rtl/>
        </w:rPr>
      </w:pPr>
    </w:p>
    <w:p w14:paraId="682FAB41" w14:textId="65096AEC" w:rsidR="001C7B41" w:rsidRPr="00F25744" w:rsidRDefault="008534FC" w:rsidP="008534FC">
      <w:pPr>
        <w:pStyle w:val="af6"/>
        <w:rPr>
          <w:rtl/>
        </w:rPr>
      </w:pPr>
      <w:bookmarkStart w:id="804" w:name="_Toc76988921"/>
      <w:r w:rsidRPr="00F25744">
        <w:rPr>
          <w:rtl/>
        </w:rPr>
        <w:t xml:space="preserve">טבלה </w:t>
      </w:r>
      <w:r w:rsidRPr="00F25744">
        <w:rPr>
          <w:rtl/>
        </w:rPr>
        <w:fldChar w:fldCharType="begin"/>
      </w:r>
      <w:r w:rsidRPr="00F25744">
        <w:rPr>
          <w:rtl/>
        </w:rPr>
        <w:instrText xml:space="preserve"> </w:instrText>
      </w:r>
      <w:r w:rsidRPr="00F25744">
        <w:instrText>SEQ</w:instrText>
      </w:r>
      <w:r w:rsidRPr="00F25744">
        <w:rPr>
          <w:rtl/>
        </w:rPr>
        <w:instrText xml:space="preserve"> טבלה \* </w:instrText>
      </w:r>
      <w:r w:rsidRPr="00F25744">
        <w:instrText>ARABIC</w:instrText>
      </w:r>
      <w:r w:rsidRPr="00F25744">
        <w:rPr>
          <w:rtl/>
        </w:rPr>
        <w:instrText xml:space="preserve"> </w:instrText>
      </w:r>
      <w:r w:rsidRPr="00F25744">
        <w:rPr>
          <w:rtl/>
        </w:rPr>
        <w:fldChar w:fldCharType="separate"/>
      </w:r>
      <w:r w:rsidR="008F1BC3">
        <w:rPr>
          <w:noProof/>
          <w:rtl/>
        </w:rPr>
        <w:t>26</w:t>
      </w:r>
      <w:r w:rsidRPr="00F25744">
        <w:rPr>
          <w:rtl/>
        </w:rPr>
        <w:fldChar w:fldCharType="end"/>
      </w:r>
      <w:r w:rsidR="007F3A52" w:rsidRPr="00F25744">
        <w:rPr>
          <w:rFonts w:hint="cs"/>
          <w:rtl/>
        </w:rPr>
        <w:t>: סוגי כוח העזר השיפוטי בחלוקה לערכאות ובתי המשפט</w:t>
      </w:r>
      <w:bookmarkEnd w:id="804"/>
    </w:p>
    <w:tbl>
      <w:tblPr>
        <w:tblpPr w:rightFromText="85" w:vertAnchor="text" w:tblpX="-288" w:tblpY="1"/>
        <w:bidiVisual/>
        <w:tblW w:w="8935" w:type="dxa"/>
        <w:tblBorders>
          <w:insideH w:val="single" w:sz="4" w:space="0" w:color="auto"/>
        </w:tblBorders>
        <w:tblLook w:val="04A0" w:firstRow="1" w:lastRow="0" w:firstColumn="1" w:lastColumn="0" w:noHBand="0" w:noVBand="1"/>
      </w:tblPr>
      <w:tblGrid>
        <w:gridCol w:w="1423"/>
        <w:gridCol w:w="1400"/>
        <w:gridCol w:w="1412"/>
        <w:gridCol w:w="1833"/>
        <w:gridCol w:w="1973"/>
        <w:gridCol w:w="894"/>
      </w:tblGrid>
      <w:tr w:rsidR="00E0162E" w:rsidRPr="00F25744" w14:paraId="0DC0E6D5" w14:textId="77777777" w:rsidTr="005B6976">
        <w:trPr>
          <w:trHeight w:val="635"/>
        </w:trPr>
        <w:tc>
          <w:tcPr>
            <w:tcW w:w="1423" w:type="dxa"/>
            <w:tcBorders>
              <w:bottom w:val="single" w:sz="4" w:space="0" w:color="auto"/>
            </w:tcBorders>
            <w:shd w:val="clear" w:color="auto" w:fill="auto"/>
            <w:vAlign w:val="bottom"/>
          </w:tcPr>
          <w:p w14:paraId="07C9D76D" w14:textId="77777777" w:rsidR="001A7128" w:rsidRPr="00F25744" w:rsidRDefault="00E25AE7" w:rsidP="005B6976">
            <w:pPr>
              <w:widowControl w:val="0"/>
              <w:autoSpaceDE w:val="0"/>
              <w:autoSpaceDN w:val="0"/>
              <w:adjustRightInd w:val="0"/>
              <w:spacing w:after="0" w:line="240" w:lineRule="auto"/>
              <w:jc w:val="both"/>
              <w:rPr>
                <w:rFonts w:ascii="David" w:hAnsi="David" w:cs="David"/>
                <w:b/>
                <w:bCs/>
                <w:sz w:val="24"/>
                <w:szCs w:val="24"/>
                <w:rtl/>
              </w:rPr>
            </w:pPr>
            <w:r w:rsidRPr="00F25744">
              <w:rPr>
                <w:rFonts w:ascii="David" w:hAnsi="David" w:cs="David" w:hint="cs"/>
                <w:b/>
                <w:bCs/>
                <w:sz w:val="24"/>
                <w:szCs w:val="24"/>
                <w:rtl/>
              </w:rPr>
              <w:t>ערכאה/</w:t>
            </w:r>
          </w:p>
          <w:p w14:paraId="655A18E8" w14:textId="77777777" w:rsidR="001C7B41" w:rsidRPr="00F25744" w:rsidRDefault="00E25AE7" w:rsidP="005B6976">
            <w:pPr>
              <w:widowControl w:val="0"/>
              <w:autoSpaceDE w:val="0"/>
              <w:autoSpaceDN w:val="0"/>
              <w:adjustRightInd w:val="0"/>
              <w:spacing w:after="0" w:line="240" w:lineRule="auto"/>
              <w:jc w:val="both"/>
              <w:rPr>
                <w:rFonts w:ascii="David" w:hAnsi="David" w:cs="David"/>
                <w:b/>
                <w:bCs/>
                <w:sz w:val="24"/>
                <w:szCs w:val="24"/>
                <w:rtl/>
              </w:rPr>
            </w:pPr>
            <w:r w:rsidRPr="00F25744">
              <w:rPr>
                <w:rFonts w:ascii="David" w:hAnsi="David" w:cs="David" w:hint="cs"/>
                <w:b/>
                <w:bCs/>
                <w:sz w:val="24"/>
                <w:szCs w:val="24"/>
                <w:rtl/>
              </w:rPr>
              <w:t>בית משפט</w:t>
            </w:r>
          </w:p>
        </w:tc>
        <w:tc>
          <w:tcPr>
            <w:tcW w:w="1400" w:type="dxa"/>
            <w:tcBorders>
              <w:bottom w:val="single" w:sz="4" w:space="0" w:color="auto"/>
            </w:tcBorders>
            <w:shd w:val="clear" w:color="auto" w:fill="auto"/>
            <w:vAlign w:val="bottom"/>
          </w:tcPr>
          <w:p w14:paraId="4C7A71D8" w14:textId="77777777" w:rsidR="001C7B41" w:rsidRPr="00F25744" w:rsidRDefault="00E25AE7" w:rsidP="005B6976">
            <w:pPr>
              <w:widowControl w:val="0"/>
              <w:autoSpaceDE w:val="0"/>
              <w:autoSpaceDN w:val="0"/>
              <w:adjustRightInd w:val="0"/>
              <w:spacing w:after="0" w:line="240" w:lineRule="auto"/>
              <w:jc w:val="center"/>
              <w:rPr>
                <w:rFonts w:ascii="David" w:hAnsi="David" w:cs="David"/>
                <w:b/>
                <w:bCs/>
                <w:sz w:val="24"/>
                <w:szCs w:val="24"/>
                <w:rtl/>
              </w:rPr>
            </w:pPr>
            <w:r w:rsidRPr="00F25744">
              <w:rPr>
                <w:rFonts w:ascii="David" w:hAnsi="David" w:cs="David" w:hint="cs"/>
                <w:b/>
                <w:bCs/>
                <w:sz w:val="24"/>
                <w:szCs w:val="24"/>
                <w:rtl/>
              </w:rPr>
              <w:t>עוזר משפטי בלבד</w:t>
            </w:r>
          </w:p>
        </w:tc>
        <w:tc>
          <w:tcPr>
            <w:tcW w:w="1412" w:type="dxa"/>
            <w:tcBorders>
              <w:bottom w:val="single" w:sz="4" w:space="0" w:color="auto"/>
            </w:tcBorders>
            <w:shd w:val="clear" w:color="auto" w:fill="auto"/>
            <w:vAlign w:val="bottom"/>
          </w:tcPr>
          <w:p w14:paraId="106E4516" w14:textId="77777777" w:rsidR="001C7B41" w:rsidRPr="00F25744" w:rsidRDefault="00E25AE7" w:rsidP="005B6976">
            <w:pPr>
              <w:widowControl w:val="0"/>
              <w:autoSpaceDE w:val="0"/>
              <w:autoSpaceDN w:val="0"/>
              <w:adjustRightInd w:val="0"/>
              <w:spacing w:after="0" w:line="240" w:lineRule="auto"/>
              <w:jc w:val="center"/>
              <w:rPr>
                <w:rFonts w:ascii="David" w:hAnsi="David" w:cs="David"/>
                <w:b/>
                <w:bCs/>
                <w:sz w:val="24"/>
                <w:szCs w:val="24"/>
                <w:rtl/>
              </w:rPr>
            </w:pPr>
            <w:r w:rsidRPr="00F25744">
              <w:rPr>
                <w:rFonts w:ascii="David" w:hAnsi="David" w:cs="David" w:hint="cs"/>
                <w:b/>
                <w:bCs/>
                <w:sz w:val="24"/>
                <w:szCs w:val="24"/>
                <w:rtl/>
              </w:rPr>
              <w:t>מתמחה/ סטודנט בלבד</w:t>
            </w:r>
          </w:p>
        </w:tc>
        <w:tc>
          <w:tcPr>
            <w:tcW w:w="1833" w:type="dxa"/>
            <w:tcBorders>
              <w:bottom w:val="single" w:sz="4" w:space="0" w:color="auto"/>
            </w:tcBorders>
            <w:shd w:val="clear" w:color="auto" w:fill="auto"/>
            <w:vAlign w:val="bottom"/>
          </w:tcPr>
          <w:p w14:paraId="715D19C2" w14:textId="77777777" w:rsidR="001C7B41" w:rsidRPr="00F25744" w:rsidRDefault="00E25AE7" w:rsidP="005B6976">
            <w:pPr>
              <w:widowControl w:val="0"/>
              <w:autoSpaceDE w:val="0"/>
              <w:autoSpaceDN w:val="0"/>
              <w:adjustRightInd w:val="0"/>
              <w:spacing w:after="0" w:line="240" w:lineRule="auto"/>
              <w:jc w:val="center"/>
              <w:rPr>
                <w:rFonts w:ascii="David" w:hAnsi="David" w:cs="David"/>
                <w:b/>
                <w:bCs/>
                <w:sz w:val="24"/>
                <w:szCs w:val="24"/>
                <w:rtl/>
              </w:rPr>
            </w:pPr>
            <w:r w:rsidRPr="00F25744">
              <w:rPr>
                <w:rFonts w:ascii="David" w:hAnsi="David" w:cs="David" w:hint="cs"/>
                <w:b/>
                <w:bCs/>
                <w:sz w:val="24"/>
                <w:szCs w:val="24"/>
                <w:rtl/>
              </w:rPr>
              <w:t>עוזר משפטי ומתמחה/ סטודנט</w:t>
            </w:r>
          </w:p>
        </w:tc>
        <w:tc>
          <w:tcPr>
            <w:tcW w:w="1973" w:type="dxa"/>
            <w:tcBorders>
              <w:bottom w:val="single" w:sz="4" w:space="0" w:color="auto"/>
            </w:tcBorders>
            <w:shd w:val="clear" w:color="auto" w:fill="auto"/>
            <w:vAlign w:val="bottom"/>
          </w:tcPr>
          <w:p w14:paraId="1BB20D3B" w14:textId="77777777" w:rsidR="001C7B41" w:rsidRPr="00F25744" w:rsidRDefault="00E25AE7" w:rsidP="005B6976">
            <w:pPr>
              <w:widowControl w:val="0"/>
              <w:autoSpaceDE w:val="0"/>
              <w:autoSpaceDN w:val="0"/>
              <w:adjustRightInd w:val="0"/>
              <w:spacing w:after="0" w:line="240" w:lineRule="auto"/>
              <w:jc w:val="center"/>
              <w:rPr>
                <w:rFonts w:ascii="David" w:hAnsi="David" w:cs="David"/>
                <w:b/>
                <w:bCs/>
                <w:sz w:val="24"/>
                <w:szCs w:val="24"/>
                <w:rtl/>
              </w:rPr>
            </w:pPr>
            <w:r w:rsidRPr="00F25744">
              <w:rPr>
                <w:rFonts w:ascii="David" w:hAnsi="David" w:cs="David" w:hint="cs"/>
                <w:b/>
                <w:bCs/>
                <w:sz w:val="24"/>
                <w:szCs w:val="24"/>
                <w:rtl/>
              </w:rPr>
              <w:t>ללא עוזר משפטי או מתמחה/ סטודנט</w:t>
            </w:r>
          </w:p>
        </w:tc>
        <w:tc>
          <w:tcPr>
            <w:tcW w:w="894" w:type="dxa"/>
            <w:tcBorders>
              <w:bottom w:val="single" w:sz="4" w:space="0" w:color="auto"/>
            </w:tcBorders>
            <w:shd w:val="clear" w:color="auto" w:fill="auto"/>
            <w:vAlign w:val="bottom"/>
          </w:tcPr>
          <w:p w14:paraId="18B25DB0" w14:textId="77777777" w:rsidR="001C7B41" w:rsidRPr="00F25744" w:rsidRDefault="00E25AE7" w:rsidP="005B6976">
            <w:pPr>
              <w:widowControl w:val="0"/>
              <w:autoSpaceDE w:val="0"/>
              <w:autoSpaceDN w:val="0"/>
              <w:adjustRightInd w:val="0"/>
              <w:spacing w:after="0" w:line="240" w:lineRule="auto"/>
              <w:jc w:val="center"/>
              <w:rPr>
                <w:rFonts w:ascii="David" w:hAnsi="David" w:cs="David"/>
                <w:b/>
                <w:bCs/>
                <w:sz w:val="24"/>
                <w:szCs w:val="24"/>
                <w:rtl/>
              </w:rPr>
            </w:pPr>
            <w:r w:rsidRPr="00F25744">
              <w:rPr>
                <w:rFonts w:ascii="David" w:hAnsi="David" w:cs="David" w:hint="cs"/>
                <w:b/>
                <w:bCs/>
                <w:sz w:val="24"/>
                <w:szCs w:val="24"/>
                <w:rtl/>
              </w:rPr>
              <w:t>סה"כ</w:t>
            </w:r>
          </w:p>
        </w:tc>
      </w:tr>
      <w:tr w:rsidR="00E0162E" w:rsidRPr="00F25744" w14:paraId="6F49DC69" w14:textId="77777777" w:rsidTr="005B6976">
        <w:tc>
          <w:tcPr>
            <w:tcW w:w="1423" w:type="dxa"/>
            <w:tcBorders>
              <w:top w:val="single" w:sz="4" w:space="0" w:color="auto"/>
              <w:bottom w:val="nil"/>
            </w:tcBorders>
            <w:shd w:val="clear" w:color="auto" w:fill="auto"/>
            <w:vAlign w:val="center"/>
          </w:tcPr>
          <w:p w14:paraId="3C642E34" w14:textId="77777777" w:rsidR="001C7B41" w:rsidRPr="00F25744" w:rsidRDefault="00E25AE7" w:rsidP="005B6976">
            <w:pPr>
              <w:widowControl w:val="0"/>
              <w:autoSpaceDE w:val="0"/>
              <w:autoSpaceDN w:val="0"/>
              <w:adjustRightInd w:val="0"/>
              <w:spacing w:after="0" w:line="276" w:lineRule="auto"/>
              <w:rPr>
                <w:rFonts w:ascii="David" w:hAnsi="David" w:cs="David"/>
                <w:sz w:val="24"/>
                <w:szCs w:val="24"/>
                <w:rtl/>
              </w:rPr>
            </w:pPr>
            <w:r w:rsidRPr="00F25744">
              <w:rPr>
                <w:rFonts w:ascii="David" w:hAnsi="David" w:cs="David" w:hint="cs"/>
                <w:sz w:val="24"/>
                <w:szCs w:val="24"/>
                <w:rtl/>
              </w:rPr>
              <w:t>מחוזי</w:t>
            </w:r>
          </w:p>
        </w:tc>
        <w:tc>
          <w:tcPr>
            <w:tcW w:w="1400" w:type="dxa"/>
            <w:tcBorders>
              <w:top w:val="single" w:sz="4" w:space="0" w:color="auto"/>
              <w:bottom w:val="nil"/>
            </w:tcBorders>
            <w:shd w:val="clear" w:color="auto" w:fill="auto"/>
            <w:vAlign w:val="center"/>
          </w:tcPr>
          <w:p w14:paraId="6A4D5CE6" w14:textId="77777777" w:rsidR="001C7B41" w:rsidRPr="00F25744" w:rsidRDefault="00E25AE7" w:rsidP="005B6976">
            <w:pPr>
              <w:widowControl w:val="0"/>
              <w:autoSpaceDE w:val="0"/>
              <w:autoSpaceDN w:val="0"/>
              <w:adjustRightInd w:val="0"/>
              <w:spacing w:after="0" w:line="276" w:lineRule="auto"/>
              <w:jc w:val="center"/>
              <w:rPr>
                <w:rFonts w:asciiTheme="minorHAnsi" w:hAnsiTheme="minorHAnsi" w:cs="David"/>
                <w:sz w:val="24"/>
                <w:szCs w:val="24"/>
              </w:rPr>
            </w:pPr>
            <w:r w:rsidRPr="00F25744">
              <w:rPr>
                <w:rFonts w:ascii="David" w:hAnsi="David" w:cs="David"/>
                <w:color w:val="000000"/>
                <w:sz w:val="24"/>
                <w:szCs w:val="24"/>
              </w:rPr>
              <w:t>61.5%</w:t>
            </w:r>
          </w:p>
        </w:tc>
        <w:tc>
          <w:tcPr>
            <w:tcW w:w="1412" w:type="dxa"/>
            <w:tcBorders>
              <w:top w:val="single" w:sz="4" w:space="0" w:color="auto"/>
              <w:bottom w:val="nil"/>
            </w:tcBorders>
            <w:shd w:val="clear" w:color="auto" w:fill="auto"/>
            <w:vAlign w:val="center"/>
          </w:tcPr>
          <w:p w14:paraId="34F1E5DB" w14:textId="77777777" w:rsidR="001C7B41" w:rsidRPr="005B6976" w:rsidRDefault="00E25AE7" w:rsidP="005B6976">
            <w:pPr>
              <w:widowControl w:val="0"/>
              <w:autoSpaceDE w:val="0"/>
              <w:autoSpaceDN w:val="0"/>
              <w:adjustRightInd w:val="0"/>
              <w:spacing w:after="0" w:line="276" w:lineRule="auto"/>
              <w:jc w:val="center"/>
              <w:rPr>
                <w:rFonts w:asciiTheme="minorHAnsi" w:hAnsiTheme="minorHAnsi" w:cs="David"/>
                <w:color w:val="000000"/>
                <w:sz w:val="24"/>
                <w:szCs w:val="24"/>
                <w:rtl/>
              </w:rPr>
            </w:pPr>
            <w:r w:rsidRPr="00F25744">
              <w:rPr>
                <w:rFonts w:ascii="David" w:hAnsi="David" w:cs="David"/>
                <w:color w:val="000000"/>
                <w:sz w:val="24"/>
                <w:szCs w:val="24"/>
              </w:rPr>
              <w:t>0.5%</w:t>
            </w:r>
          </w:p>
        </w:tc>
        <w:tc>
          <w:tcPr>
            <w:tcW w:w="1833" w:type="dxa"/>
            <w:tcBorders>
              <w:top w:val="single" w:sz="4" w:space="0" w:color="auto"/>
              <w:bottom w:val="nil"/>
            </w:tcBorders>
            <w:shd w:val="clear" w:color="auto" w:fill="auto"/>
            <w:vAlign w:val="center"/>
          </w:tcPr>
          <w:p w14:paraId="3F0BD787" w14:textId="77777777" w:rsidR="001C7B41" w:rsidRPr="00F25744" w:rsidRDefault="00E25AE7" w:rsidP="005B6976">
            <w:pPr>
              <w:widowControl w:val="0"/>
              <w:autoSpaceDE w:val="0"/>
              <w:autoSpaceDN w:val="0"/>
              <w:adjustRightInd w:val="0"/>
              <w:spacing w:after="0" w:line="276" w:lineRule="auto"/>
              <w:jc w:val="center"/>
              <w:rPr>
                <w:rFonts w:ascii="David" w:hAnsi="David" w:cs="David"/>
                <w:color w:val="000000"/>
                <w:sz w:val="24"/>
                <w:szCs w:val="24"/>
                <w:rtl/>
              </w:rPr>
            </w:pPr>
            <w:r w:rsidRPr="00F25744">
              <w:rPr>
                <w:rFonts w:ascii="David" w:hAnsi="David" w:cs="David"/>
                <w:color w:val="000000"/>
                <w:sz w:val="24"/>
                <w:szCs w:val="24"/>
              </w:rPr>
              <w:t>35.2%</w:t>
            </w:r>
          </w:p>
        </w:tc>
        <w:tc>
          <w:tcPr>
            <w:tcW w:w="1973" w:type="dxa"/>
            <w:tcBorders>
              <w:top w:val="single" w:sz="4" w:space="0" w:color="auto"/>
              <w:bottom w:val="nil"/>
            </w:tcBorders>
            <w:shd w:val="clear" w:color="auto" w:fill="auto"/>
            <w:vAlign w:val="center"/>
          </w:tcPr>
          <w:p w14:paraId="44582F22" w14:textId="77777777" w:rsidR="001C7B41" w:rsidRPr="00F25744" w:rsidRDefault="00E25AE7" w:rsidP="005B6976">
            <w:pPr>
              <w:widowControl w:val="0"/>
              <w:autoSpaceDE w:val="0"/>
              <w:autoSpaceDN w:val="0"/>
              <w:adjustRightInd w:val="0"/>
              <w:spacing w:after="0" w:line="276" w:lineRule="auto"/>
              <w:jc w:val="center"/>
              <w:rPr>
                <w:rFonts w:ascii="David" w:hAnsi="David" w:cs="David"/>
                <w:color w:val="000000"/>
                <w:sz w:val="24"/>
                <w:szCs w:val="24"/>
                <w:rtl/>
              </w:rPr>
            </w:pPr>
            <w:r w:rsidRPr="00F25744">
              <w:rPr>
                <w:rFonts w:ascii="David" w:hAnsi="David" w:cs="David"/>
                <w:color w:val="000000"/>
                <w:sz w:val="24"/>
                <w:szCs w:val="24"/>
              </w:rPr>
              <w:t>2.7%</w:t>
            </w:r>
          </w:p>
        </w:tc>
        <w:tc>
          <w:tcPr>
            <w:tcW w:w="894" w:type="dxa"/>
            <w:tcBorders>
              <w:top w:val="single" w:sz="4" w:space="0" w:color="auto"/>
              <w:bottom w:val="nil"/>
            </w:tcBorders>
            <w:shd w:val="clear" w:color="auto" w:fill="auto"/>
            <w:vAlign w:val="center"/>
          </w:tcPr>
          <w:p w14:paraId="06150412" w14:textId="77777777" w:rsidR="001C7B41" w:rsidRPr="00F25744" w:rsidRDefault="00E25AE7" w:rsidP="005B6976">
            <w:pPr>
              <w:widowControl w:val="0"/>
              <w:autoSpaceDE w:val="0"/>
              <w:autoSpaceDN w:val="0"/>
              <w:adjustRightInd w:val="0"/>
              <w:spacing w:after="0" w:line="276" w:lineRule="auto"/>
              <w:rPr>
                <w:rFonts w:ascii="David" w:hAnsi="David" w:cs="David"/>
                <w:sz w:val="24"/>
                <w:szCs w:val="24"/>
                <w:rtl/>
              </w:rPr>
            </w:pPr>
            <w:r w:rsidRPr="00F25744">
              <w:rPr>
                <w:rFonts w:ascii="David" w:hAnsi="David" w:cs="David"/>
                <w:color w:val="000000"/>
                <w:sz w:val="24"/>
                <w:szCs w:val="24"/>
              </w:rPr>
              <w:t>100.0%</w:t>
            </w:r>
          </w:p>
        </w:tc>
      </w:tr>
      <w:tr w:rsidR="00E0162E" w:rsidRPr="00F25744" w14:paraId="41361A3D" w14:textId="77777777" w:rsidTr="005B6976">
        <w:tc>
          <w:tcPr>
            <w:tcW w:w="1423" w:type="dxa"/>
            <w:tcBorders>
              <w:top w:val="nil"/>
              <w:bottom w:val="nil"/>
            </w:tcBorders>
            <w:shd w:val="clear" w:color="auto" w:fill="auto"/>
            <w:vAlign w:val="center"/>
          </w:tcPr>
          <w:p w14:paraId="7F9998FC" w14:textId="77777777" w:rsidR="001C7B41" w:rsidRPr="00F25744" w:rsidRDefault="00E25AE7" w:rsidP="005B6976">
            <w:pPr>
              <w:widowControl w:val="0"/>
              <w:autoSpaceDE w:val="0"/>
              <w:autoSpaceDN w:val="0"/>
              <w:adjustRightInd w:val="0"/>
              <w:spacing w:after="0" w:line="276" w:lineRule="auto"/>
              <w:rPr>
                <w:rFonts w:ascii="David" w:hAnsi="David" w:cs="David"/>
                <w:sz w:val="24"/>
                <w:szCs w:val="24"/>
                <w:rtl/>
              </w:rPr>
            </w:pPr>
            <w:r w:rsidRPr="00F25744">
              <w:rPr>
                <w:rFonts w:ascii="David" w:hAnsi="David" w:cs="David" w:hint="cs"/>
                <w:sz w:val="24"/>
                <w:szCs w:val="24"/>
                <w:rtl/>
              </w:rPr>
              <w:t>שלום - שופטים</w:t>
            </w:r>
          </w:p>
        </w:tc>
        <w:tc>
          <w:tcPr>
            <w:tcW w:w="1400" w:type="dxa"/>
            <w:tcBorders>
              <w:top w:val="nil"/>
              <w:bottom w:val="nil"/>
            </w:tcBorders>
            <w:shd w:val="clear" w:color="auto" w:fill="auto"/>
            <w:vAlign w:val="center"/>
          </w:tcPr>
          <w:p w14:paraId="428EEAAA" w14:textId="77777777" w:rsidR="001C7B41" w:rsidRPr="00F25744" w:rsidRDefault="00E25AE7" w:rsidP="005B6976">
            <w:pPr>
              <w:widowControl w:val="0"/>
              <w:autoSpaceDE w:val="0"/>
              <w:autoSpaceDN w:val="0"/>
              <w:adjustRightInd w:val="0"/>
              <w:spacing w:after="0" w:line="276" w:lineRule="auto"/>
              <w:jc w:val="center"/>
              <w:rPr>
                <w:rFonts w:ascii="David" w:hAnsi="David" w:cs="David"/>
                <w:color w:val="000000"/>
                <w:sz w:val="24"/>
                <w:szCs w:val="24"/>
              </w:rPr>
            </w:pPr>
            <w:r w:rsidRPr="00F25744">
              <w:rPr>
                <w:rFonts w:ascii="David" w:hAnsi="David" w:cs="David"/>
                <w:color w:val="000000"/>
                <w:sz w:val="24"/>
                <w:szCs w:val="24"/>
              </w:rPr>
              <w:t>59.4%</w:t>
            </w:r>
          </w:p>
        </w:tc>
        <w:tc>
          <w:tcPr>
            <w:tcW w:w="1412" w:type="dxa"/>
            <w:tcBorders>
              <w:top w:val="nil"/>
              <w:bottom w:val="nil"/>
            </w:tcBorders>
            <w:shd w:val="clear" w:color="auto" w:fill="auto"/>
            <w:vAlign w:val="center"/>
          </w:tcPr>
          <w:p w14:paraId="7FCD63FB" w14:textId="77777777" w:rsidR="001C7B41" w:rsidRPr="00F25744" w:rsidRDefault="00E25AE7" w:rsidP="005B6976">
            <w:pPr>
              <w:widowControl w:val="0"/>
              <w:autoSpaceDE w:val="0"/>
              <w:autoSpaceDN w:val="0"/>
              <w:adjustRightInd w:val="0"/>
              <w:spacing w:after="0" w:line="276" w:lineRule="auto"/>
              <w:jc w:val="center"/>
              <w:rPr>
                <w:rFonts w:ascii="David" w:hAnsi="David" w:cs="David"/>
                <w:color w:val="000000"/>
                <w:sz w:val="24"/>
                <w:szCs w:val="24"/>
              </w:rPr>
            </w:pPr>
            <w:r w:rsidRPr="00F25744">
              <w:rPr>
                <w:rFonts w:ascii="David" w:hAnsi="David" w:cs="David"/>
                <w:color w:val="000000"/>
                <w:sz w:val="24"/>
                <w:szCs w:val="24"/>
              </w:rPr>
              <w:t>9.3%</w:t>
            </w:r>
          </w:p>
        </w:tc>
        <w:tc>
          <w:tcPr>
            <w:tcW w:w="1833" w:type="dxa"/>
            <w:tcBorders>
              <w:top w:val="nil"/>
              <w:bottom w:val="nil"/>
            </w:tcBorders>
            <w:shd w:val="clear" w:color="auto" w:fill="auto"/>
            <w:vAlign w:val="center"/>
          </w:tcPr>
          <w:p w14:paraId="0581876D" w14:textId="77777777" w:rsidR="001C7B41" w:rsidRPr="00F25744" w:rsidRDefault="00E25AE7" w:rsidP="005B6976">
            <w:pPr>
              <w:widowControl w:val="0"/>
              <w:autoSpaceDE w:val="0"/>
              <w:autoSpaceDN w:val="0"/>
              <w:adjustRightInd w:val="0"/>
              <w:spacing w:after="0" w:line="276" w:lineRule="auto"/>
              <w:jc w:val="center"/>
              <w:rPr>
                <w:rFonts w:ascii="David" w:hAnsi="David" w:cs="David"/>
                <w:color w:val="000000"/>
                <w:sz w:val="24"/>
                <w:szCs w:val="24"/>
              </w:rPr>
            </w:pPr>
            <w:r w:rsidRPr="00F25744">
              <w:rPr>
                <w:rFonts w:ascii="David" w:hAnsi="David" w:cs="David"/>
                <w:color w:val="000000"/>
                <w:sz w:val="24"/>
                <w:szCs w:val="24"/>
              </w:rPr>
              <w:t>27.0%</w:t>
            </w:r>
          </w:p>
        </w:tc>
        <w:tc>
          <w:tcPr>
            <w:tcW w:w="1973" w:type="dxa"/>
            <w:tcBorders>
              <w:top w:val="nil"/>
              <w:bottom w:val="nil"/>
            </w:tcBorders>
            <w:shd w:val="clear" w:color="auto" w:fill="auto"/>
            <w:vAlign w:val="center"/>
          </w:tcPr>
          <w:p w14:paraId="55352229" w14:textId="77777777" w:rsidR="001C7B41" w:rsidRPr="00F25744" w:rsidRDefault="00E25AE7" w:rsidP="005B6976">
            <w:pPr>
              <w:widowControl w:val="0"/>
              <w:autoSpaceDE w:val="0"/>
              <w:autoSpaceDN w:val="0"/>
              <w:adjustRightInd w:val="0"/>
              <w:spacing w:after="0" w:line="276" w:lineRule="auto"/>
              <w:jc w:val="center"/>
              <w:rPr>
                <w:rFonts w:ascii="David" w:hAnsi="David" w:cs="David"/>
                <w:color w:val="000000"/>
                <w:sz w:val="24"/>
                <w:szCs w:val="24"/>
                <w:rtl/>
              </w:rPr>
            </w:pPr>
            <w:r w:rsidRPr="00F25744">
              <w:rPr>
                <w:rFonts w:ascii="David" w:hAnsi="David" w:cs="David"/>
                <w:color w:val="000000"/>
                <w:sz w:val="24"/>
                <w:szCs w:val="24"/>
              </w:rPr>
              <w:t>4.3%</w:t>
            </w:r>
          </w:p>
        </w:tc>
        <w:tc>
          <w:tcPr>
            <w:tcW w:w="894" w:type="dxa"/>
            <w:tcBorders>
              <w:top w:val="nil"/>
              <w:bottom w:val="nil"/>
            </w:tcBorders>
            <w:shd w:val="clear" w:color="auto" w:fill="auto"/>
            <w:vAlign w:val="center"/>
          </w:tcPr>
          <w:p w14:paraId="726C5642" w14:textId="77777777" w:rsidR="001C7B41" w:rsidRPr="00F25744" w:rsidRDefault="00E25AE7" w:rsidP="005B6976">
            <w:pPr>
              <w:widowControl w:val="0"/>
              <w:autoSpaceDE w:val="0"/>
              <w:autoSpaceDN w:val="0"/>
              <w:adjustRightInd w:val="0"/>
              <w:spacing w:after="0" w:line="276" w:lineRule="auto"/>
              <w:rPr>
                <w:rFonts w:ascii="David" w:hAnsi="David" w:cs="David"/>
                <w:color w:val="000000"/>
                <w:sz w:val="24"/>
                <w:szCs w:val="24"/>
                <w:rtl/>
              </w:rPr>
            </w:pPr>
            <w:r w:rsidRPr="00F25744">
              <w:rPr>
                <w:rFonts w:ascii="David" w:hAnsi="David" w:cs="David"/>
                <w:color w:val="000000"/>
                <w:sz w:val="24"/>
                <w:szCs w:val="24"/>
              </w:rPr>
              <w:t>100.0%</w:t>
            </w:r>
          </w:p>
        </w:tc>
      </w:tr>
      <w:tr w:rsidR="00E0162E" w:rsidRPr="00F25744" w14:paraId="4384537C" w14:textId="77777777" w:rsidTr="005B6976">
        <w:tc>
          <w:tcPr>
            <w:tcW w:w="1423" w:type="dxa"/>
            <w:tcBorders>
              <w:top w:val="nil"/>
              <w:bottom w:val="nil"/>
            </w:tcBorders>
            <w:shd w:val="clear" w:color="auto" w:fill="auto"/>
            <w:vAlign w:val="center"/>
          </w:tcPr>
          <w:p w14:paraId="53995E2A" w14:textId="77777777" w:rsidR="001C7B41" w:rsidRPr="00F25744" w:rsidRDefault="00E25AE7" w:rsidP="005B6976">
            <w:pPr>
              <w:widowControl w:val="0"/>
              <w:autoSpaceDE w:val="0"/>
              <w:autoSpaceDN w:val="0"/>
              <w:adjustRightInd w:val="0"/>
              <w:spacing w:after="0" w:line="276" w:lineRule="auto"/>
              <w:rPr>
                <w:rFonts w:ascii="David" w:hAnsi="David" w:cs="David"/>
                <w:sz w:val="24"/>
                <w:szCs w:val="24"/>
                <w:rtl/>
              </w:rPr>
            </w:pPr>
            <w:r w:rsidRPr="00F25744">
              <w:rPr>
                <w:rFonts w:ascii="David" w:hAnsi="David" w:cs="David" w:hint="cs"/>
                <w:sz w:val="24"/>
                <w:szCs w:val="24"/>
                <w:rtl/>
              </w:rPr>
              <w:t>שלום - רשמים</w:t>
            </w:r>
          </w:p>
        </w:tc>
        <w:tc>
          <w:tcPr>
            <w:tcW w:w="1400" w:type="dxa"/>
            <w:tcBorders>
              <w:top w:val="nil"/>
              <w:bottom w:val="nil"/>
            </w:tcBorders>
            <w:shd w:val="clear" w:color="auto" w:fill="auto"/>
            <w:vAlign w:val="center"/>
          </w:tcPr>
          <w:p w14:paraId="3DBE6074" w14:textId="77777777" w:rsidR="001C7B41" w:rsidRPr="00F25744" w:rsidRDefault="00E25AE7" w:rsidP="005B6976">
            <w:pPr>
              <w:widowControl w:val="0"/>
              <w:autoSpaceDE w:val="0"/>
              <w:autoSpaceDN w:val="0"/>
              <w:adjustRightInd w:val="0"/>
              <w:spacing w:after="0" w:line="276" w:lineRule="auto"/>
              <w:jc w:val="center"/>
              <w:rPr>
                <w:rFonts w:ascii="David" w:hAnsi="David" w:cs="David"/>
                <w:color w:val="000000"/>
                <w:sz w:val="24"/>
                <w:szCs w:val="24"/>
                <w:rtl/>
              </w:rPr>
            </w:pPr>
            <w:r w:rsidRPr="00F25744">
              <w:rPr>
                <w:rFonts w:ascii="David" w:hAnsi="David" w:cs="David"/>
                <w:color w:val="000000"/>
                <w:sz w:val="24"/>
                <w:szCs w:val="24"/>
              </w:rPr>
              <w:t>7.3%</w:t>
            </w:r>
          </w:p>
        </w:tc>
        <w:tc>
          <w:tcPr>
            <w:tcW w:w="1412" w:type="dxa"/>
            <w:tcBorders>
              <w:top w:val="nil"/>
              <w:bottom w:val="nil"/>
            </w:tcBorders>
            <w:shd w:val="clear" w:color="auto" w:fill="auto"/>
            <w:vAlign w:val="center"/>
          </w:tcPr>
          <w:p w14:paraId="4B870AE5" w14:textId="77777777" w:rsidR="001C7B41" w:rsidRPr="00F25744" w:rsidRDefault="00E25AE7" w:rsidP="005B6976">
            <w:pPr>
              <w:widowControl w:val="0"/>
              <w:autoSpaceDE w:val="0"/>
              <w:autoSpaceDN w:val="0"/>
              <w:adjustRightInd w:val="0"/>
              <w:spacing w:after="0" w:line="276" w:lineRule="auto"/>
              <w:jc w:val="center"/>
              <w:rPr>
                <w:rFonts w:ascii="David" w:hAnsi="David" w:cs="David"/>
                <w:color w:val="000000"/>
                <w:sz w:val="24"/>
                <w:szCs w:val="24"/>
              </w:rPr>
            </w:pPr>
            <w:r w:rsidRPr="00F25744">
              <w:rPr>
                <w:rFonts w:ascii="David" w:hAnsi="David" w:cs="David"/>
                <w:color w:val="000000"/>
                <w:sz w:val="24"/>
                <w:szCs w:val="24"/>
              </w:rPr>
              <w:t>83.6%</w:t>
            </w:r>
          </w:p>
        </w:tc>
        <w:tc>
          <w:tcPr>
            <w:tcW w:w="1833" w:type="dxa"/>
            <w:tcBorders>
              <w:top w:val="nil"/>
              <w:bottom w:val="nil"/>
            </w:tcBorders>
            <w:shd w:val="clear" w:color="auto" w:fill="auto"/>
            <w:vAlign w:val="center"/>
          </w:tcPr>
          <w:p w14:paraId="16B9DB58" w14:textId="77777777" w:rsidR="001C7B41" w:rsidRPr="00F25744" w:rsidRDefault="00E25AE7" w:rsidP="005B6976">
            <w:pPr>
              <w:widowControl w:val="0"/>
              <w:autoSpaceDE w:val="0"/>
              <w:autoSpaceDN w:val="0"/>
              <w:adjustRightInd w:val="0"/>
              <w:spacing w:after="0" w:line="276" w:lineRule="auto"/>
              <w:jc w:val="center"/>
              <w:rPr>
                <w:rFonts w:ascii="David" w:hAnsi="David" w:cs="David"/>
                <w:color w:val="000000"/>
                <w:sz w:val="24"/>
                <w:szCs w:val="24"/>
              </w:rPr>
            </w:pPr>
            <w:r w:rsidRPr="00F25744">
              <w:rPr>
                <w:rFonts w:ascii="David" w:hAnsi="David" w:cs="David"/>
                <w:color w:val="000000"/>
                <w:sz w:val="24"/>
                <w:szCs w:val="24"/>
              </w:rPr>
              <w:t>5.5%</w:t>
            </w:r>
          </w:p>
        </w:tc>
        <w:tc>
          <w:tcPr>
            <w:tcW w:w="1973" w:type="dxa"/>
            <w:tcBorders>
              <w:top w:val="nil"/>
              <w:bottom w:val="nil"/>
            </w:tcBorders>
            <w:shd w:val="clear" w:color="auto" w:fill="auto"/>
            <w:vAlign w:val="center"/>
          </w:tcPr>
          <w:p w14:paraId="732084E0" w14:textId="77777777" w:rsidR="001C7B41" w:rsidRPr="00F25744" w:rsidRDefault="00E25AE7" w:rsidP="005B6976">
            <w:pPr>
              <w:widowControl w:val="0"/>
              <w:autoSpaceDE w:val="0"/>
              <w:autoSpaceDN w:val="0"/>
              <w:adjustRightInd w:val="0"/>
              <w:spacing w:after="0" w:line="276" w:lineRule="auto"/>
              <w:jc w:val="center"/>
              <w:rPr>
                <w:rFonts w:ascii="David" w:hAnsi="David" w:cs="David"/>
                <w:color w:val="000000"/>
                <w:sz w:val="24"/>
                <w:szCs w:val="24"/>
              </w:rPr>
            </w:pPr>
            <w:r w:rsidRPr="00F25744">
              <w:rPr>
                <w:rFonts w:ascii="David" w:hAnsi="David" w:cs="David"/>
                <w:color w:val="000000"/>
                <w:sz w:val="24"/>
                <w:szCs w:val="24"/>
              </w:rPr>
              <w:t>3.6%</w:t>
            </w:r>
          </w:p>
        </w:tc>
        <w:tc>
          <w:tcPr>
            <w:tcW w:w="894" w:type="dxa"/>
            <w:tcBorders>
              <w:top w:val="nil"/>
              <w:bottom w:val="nil"/>
            </w:tcBorders>
            <w:shd w:val="clear" w:color="auto" w:fill="auto"/>
            <w:vAlign w:val="center"/>
          </w:tcPr>
          <w:p w14:paraId="41967146" w14:textId="77777777" w:rsidR="001C7B41" w:rsidRPr="00F25744" w:rsidRDefault="00E25AE7" w:rsidP="005B6976">
            <w:pPr>
              <w:widowControl w:val="0"/>
              <w:autoSpaceDE w:val="0"/>
              <w:autoSpaceDN w:val="0"/>
              <w:adjustRightInd w:val="0"/>
              <w:spacing w:after="0" w:line="276" w:lineRule="auto"/>
              <w:rPr>
                <w:rFonts w:ascii="David" w:hAnsi="David" w:cs="David"/>
                <w:color w:val="000000"/>
                <w:sz w:val="24"/>
                <w:szCs w:val="24"/>
                <w:rtl/>
              </w:rPr>
            </w:pPr>
            <w:r w:rsidRPr="00F25744">
              <w:rPr>
                <w:rFonts w:ascii="David" w:hAnsi="David" w:cs="David"/>
                <w:color w:val="000000"/>
                <w:sz w:val="24"/>
                <w:szCs w:val="24"/>
              </w:rPr>
              <w:t>100.0%</w:t>
            </w:r>
          </w:p>
        </w:tc>
      </w:tr>
      <w:tr w:rsidR="00E0162E" w:rsidRPr="00F25744" w14:paraId="4086635E" w14:textId="77777777" w:rsidTr="005B6976">
        <w:tc>
          <w:tcPr>
            <w:tcW w:w="1423" w:type="dxa"/>
            <w:tcBorders>
              <w:top w:val="nil"/>
              <w:bottom w:val="nil"/>
            </w:tcBorders>
            <w:shd w:val="clear" w:color="auto" w:fill="auto"/>
            <w:vAlign w:val="center"/>
          </w:tcPr>
          <w:p w14:paraId="468399B5" w14:textId="77777777" w:rsidR="001C7B41" w:rsidRPr="00F25744" w:rsidRDefault="00E25AE7" w:rsidP="005B6976">
            <w:pPr>
              <w:widowControl w:val="0"/>
              <w:autoSpaceDE w:val="0"/>
              <w:autoSpaceDN w:val="0"/>
              <w:adjustRightInd w:val="0"/>
              <w:spacing w:after="0" w:line="276" w:lineRule="auto"/>
              <w:rPr>
                <w:rFonts w:ascii="David" w:hAnsi="David" w:cs="David"/>
                <w:sz w:val="24"/>
                <w:szCs w:val="24"/>
                <w:rtl/>
              </w:rPr>
            </w:pPr>
            <w:r w:rsidRPr="00F25744">
              <w:rPr>
                <w:rFonts w:ascii="David" w:hAnsi="David" w:cs="David" w:hint="cs"/>
                <w:sz w:val="24"/>
                <w:szCs w:val="24"/>
                <w:rtl/>
              </w:rPr>
              <w:t>משפחה</w:t>
            </w:r>
          </w:p>
        </w:tc>
        <w:tc>
          <w:tcPr>
            <w:tcW w:w="1400" w:type="dxa"/>
            <w:tcBorders>
              <w:top w:val="nil"/>
              <w:bottom w:val="nil"/>
            </w:tcBorders>
            <w:shd w:val="clear" w:color="auto" w:fill="auto"/>
            <w:vAlign w:val="center"/>
          </w:tcPr>
          <w:p w14:paraId="41AC908B" w14:textId="77777777" w:rsidR="001C7B41" w:rsidRPr="003E67B5" w:rsidRDefault="00E25AE7" w:rsidP="005B6976">
            <w:pPr>
              <w:widowControl w:val="0"/>
              <w:autoSpaceDE w:val="0"/>
              <w:autoSpaceDN w:val="0"/>
              <w:adjustRightInd w:val="0"/>
              <w:spacing w:after="0" w:line="276" w:lineRule="auto"/>
              <w:jc w:val="center"/>
              <w:rPr>
                <w:rFonts w:asciiTheme="minorHAnsi" w:hAnsiTheme="minorHAnsi" w:cs="David"/>
                <w:color w:val="000000"/>
                <w:sz w:val="24"/>
                <w:szCs w:val="24"/>
              </w:rPr>
            </w:pPr>
            <w:r w:rsidRPr="00F25744">
              <w:rPr>
                <w:rFonts w:ascii="David" w:hAnsi="David" w:cs="David"/>
                <w:color w:val="000000"/>
                <w:sz w:val="24"/>
                <w:szCs w:val="24"/>
              </w:rPr>
              <w:t>74.3%</w:t>
            </w:r>
          </w:p>
        </w:tc>
        <w:tc>
          <w:tcPr>
            <w:tcW w:w="1412" w:type="dxa"/>
            <w:tcBorders>
              <w:top w:val="nil"/>
              <w:bottom w:val="nil"/>
            </w:tcBorders>
            <w:shd w:val="clear" w:color="auto" w:fill="auto"/>
            <w:vAlign w:val="center"/>
          </w:tcPr>
          <w:p w14:paraId="1431EB88" w14:textId="77777777" w:rsidR="001C7B41" w:rsidRPr="00F25744" w:rsidRDefault="00E25AE7" w:rsidP="005B6976">
            <w:pPr>
              <w:widowControl w:val="0"/>
              <w:autoSpaceDE w:val="0"/>
              <w:autoSpaceDN w:val="0"/>
              <w:adjustRightInd w:val="0"/>
              <w:spacing w:after="0" w:line="276" w:lineRule="auto"/>
              <w:jc w:val="center"/>
              <w:rPr>
                <w:rFonts w:ascii="David" w:hAnsi="David" w:cs="David"/>
                <w:color w:val="000000"/>
                <w:sz w:val="24"/>
                <w:szCs w:val="24"/>
              </w:rPr>
            </w:pPr>
            <w:r w:rsidRPr="00F25744">
              <w:rPr>
                <w:rFonts w:ascii="David" w:hAnsi="David" w:cs="David"/>
                <w:color w:val="000000"/>
                <w:sz w:val="24"/>
                <w:szCs w:val="24"/>
              </w:rPr>
              <w:t>1.4%</w:t>
            </w:r>
          </w:p>
        </w:tc>
        <w:tc>
          <w:tcPr>
            <w:tcW w:w="1833" w:type="dxa"/>
            <w:tcBorders>
              <w:top w:val="nil"/>
              <w:bottom w:val="nil"/>
            </w:tcBorders>
            <w:shd w:val="clear" w:color="auto" w:fill="auto"/>
            <w:vAlign w:val="center"/>
          </w:tcPr>
          <w:p w14:paraId="5A257B60" w14:textId="77777777" w:rsidR="001C7B41" w:rsidRPr="00F25744" w:rsidRDefault="00E25AE7" w:rsidP="005B6976">
            <w:pPr>
              <w:widowControl w:val="0"/>
              <w:autoSpaceDE w:val="0"/>
              <w:autoSpaceDN w:val="0"/>
              <w:adjustRightInd w:val="0"/>
              <w:spacing w:after="0" w:line="276" w:lineRule="auto"/>
              <w:jc w:val="center"/>
              <w:rPr>
                <w:rFonts w:ascii="David" w:hAnsi="David" w:cs="David"/>
                <w:color w:val="000000"/>
                <w:sz w:val="24"/>
                <w:szCs w:val="24"/>
              </w:rPr>
            </w:pPr>
            <w:r w:rsidRPr="00F25744">
              <w:rPr>
                <w:rFonts w:ascii="David" w:hAnsi="David" w:cs="David"/>
                <w:color w:val="000000"/>
                <w:sz w:val="24"/>
                <w:szCs w:val="24"/>
              </w:rPr>
              <w:t>22.9%</w:t>
            </w:r>
          </w:p>
        </w:tc>
        <w:tc>
          <w:tcPr>
            <w:tcW w:w="1973" w:type="dxa"/>
            <w:tcBorders>
              <w:top w:val="nil"/>
              <w:bottom w:val="nil"/>
            </w:tcBorders>
            <w:shd w:val="clear" w:color="auto" w:fill="auto"/>
            <w:vAlign w:val="center"/>
          </w:tcPr>
          <w:p w14:paraId="6AFAE9D7" w14:textId="77777777" w:rsidR="001C7B41" w:rsidRPr="00F25744" w:rsidRDefault="00E25AE7" w:rsidP="005B6976">
            <w:pPr>
              <w:widowControl w:val="0"/>
              <w:autoSpaceDE w:val="0"/>
              <w:autoSpaceDN w:val="0"/>
              <w:adjustRightInd w:val="0"/>
              <w:spacing w:after="0" w:line="276" w:lineRule="auto"/>
              <w:jc w:val="center"/>
              <w:rPr>
                <w:rFonts w:ascii="David" w:hAnsi="David" w:cs="David"/>
                <w:color w:val="000000"/>
                <w:sz w:val="24"/>
                <w:szCs w:val="24"/>
              </w:rPr>
            </w:pPr>
            <w:r w:rsidRPr="00F25744">
              <w:rPr>
                <w:rFonts w:ascii="David" w:hAnsi="David" w:cs="David"/>
                <w:color w:val="000000"/>
                <w:sz w:val="24"/>
                <w:szCs w:val="24"/>
              </w:rPr>
              <w:t>1.4%</w:t>
            </w:r>
          </w:p>
        </w:tc>
        <w:tc>
          <w:tcPr>
            <w:tcW w:w="894" w:type="dxa"/>
            <w:tcBorders>
              <w:top w:val="nil"/>
              <w:bottom w:val="nil"/>
            </w:tcBorders>
            <w:shd w:val="clear" w:color="auto" w:fill="auto"/>
            <w:vAlign w:val="center"/>
          </w:tcPr>
          <w:p w14:paraId="36E9C063" w14:textId="77777777" w:rsidR="001C7B41" w:rsidRPr="00F25744" w:rsidRDefault="00E25AE7" w:rsidP="005B6976">
            <w:pPr>
              <w:widowControl w:val="0"/>
              <w:autoSpaceDE w:val="0"/>
              <w:autoSpaceDN w:val="0"/>
              <w:adjustRightInd w:val="0"/>
              <w:spacing w:after="0" w:line="276" w:lineRule="auto"/>
              <w:rPr>
                <w:rFonts w:ascii="David" w:hAnsi="David" w:cs="David"/>
                <w:color w:val="000000"/>
                <w:sz w:val="24"/>
                <w:szCs w:val="24"/>
                <w:rtl/>
              </w:rPr>
            </w:pPr>
            <w:r w:rsidRPr="00F25744">
              <w:rPr>
                <w:rFonts w:ascii="David" w:hAnsi="David" w:cs="David"/>
                <w:color w:val="000000"/>
                <w:sz w:val="24"/>
                <w:szCs w:val="24"/>
              </w:rPr>
              <w:t>100.0%</w:t>
            </w:r>
          </w:p>
        </w:tc>
      </w:tr>
      <w:tr w:rsidR="00E0162E" w:rsidRPr="00F25744" w14:paraId="60EEA170" w14:textId="77777777" w:rsidTr="005B6976">
        <w:tc>
          <w:tcPr>
            <w:tcW w:w="1423" w:type="dxa"/>
            <w:tcBorders>
              <w:top w:val="nil"/>
              <w:bottom w:val="nil"/>
            </w:tcBorders>
            <w:shd w:val="clear" w:color="auto" w:fill="auto"/>
            <w:vAlign w:val="center"/>
          </w:tcPr>
          <w:p w14:paraId="7E9ED8F9" w14:textId="77777777" w:rsidR="001C7B41" w:rsidRPr="00F25744" w:rsidRDefault="00E25AE7" w:rsidP="005B6976">
            <w:pPr>
              <w:widowControl w:val="0"/>
              <w:autoSpaceDE w:val="0"/>
              <w:autoSpaceDN w:val="0"/>
              <w:adjustRightInd w:val="0"/>
              <w:spacing w:after="0" w:line="276" w:lineRule="auto"/>
              <w:rPr>
                <w:rFonts w:ascii="David" w:hAnsi="David" w:cs="David"/>
                <w:sz w:val="24"/>
                <w:szCs w:val="24"/>
                <w:rtl/>
              </w:rPr>
            </w:pPr>
            <w:r w:rsidRPr="00F25744">
              <w:rPr>
                <w:rFonts w:ascii="David" w:hAnsi="David" w:cs="David" w:hint="cs"/>
                <w:sz w:val="24"/>
                <w:szCs w:val="24"/>
                <w:rtl/>
              </w:rPr>
              <w:t>תעבורה</w:t>
            </w:r>
          </w:p>
        </w:tc>
        <w:tc>
          <w:tcPr>
            <w:tcW w:w="1400" w:type="dxa"/>
            <w:tcBorders>
              <w:top w:val="nil"/>
              <w:bottom w:val="nil"/>
            </w:tcBorders>
            <w:shd w:val="clear" w:color="auto" w:fill="auto"/>
            <w:vAlign w:val="center"/>
          </w:tcPr>
          <w:p w14:paraId="2EF6C1C4" w14:textId="77777777" w:rsidR="001C7B41" w:rsidRPr="00F25744" w:rsidRDefault="00E25AE7" w:rsidP="005B6976">
            <w:pPr>
              <w:widowControl w:val="0"/>
              <w:autoSpaceDE w:val="0"/>
              <w:autoSpaceDN w:val="0"/>
              <w:adjustRightInd w:val="0"/>
              <w:spacing w:after="0" w:line="276" w:lineRule="auto"/>
              <w:jc w:val="center"/>
              <w:rPr>
                <w:rFonts w:ascii="David" w:hAnsi="David" w:cs="David"/>
                <w:color w:val="000000"/>
                <w:sz w:val="24"/>
                <w:szCs w:val="24"/>
              </w:rPr>
            </w:pPr>
            <w:r w:rsidRPr="00F25744">
              <w:rPr>
                <w:rFonts w:ascii="David" w:hAnsi="David" w:cs="David"/>
                <w:color w:val="000000"/>
                <w:sz w:val="24"/>
                <w:szCs w:val="24"/>
              </w:rPr>
              <w:t>30.8%</w:t>
            </w:r>
          </w:p>
        </w:tc>
        <w:tc>
          <w:tcPr>
            <w:tcW w:w="1412" w:type="dxa"/>
            <w:tcBorders>
              <w:top w:val="nil"/>
              <w:bottom w:val="nil"/>
            </w:tcBorders>
            <w:shd w:val="clear" w:color="auto" w:fill="auto"/>
            <w:vAlign w:val="center"/>
          </w:tcPr>
          <w:p w14:paraId="4B74590A" w14:textId="77777777" w:rsidR="001C7B41" w:rsidRPr="00F25744" w:rsidRDefault="00E25AE7" w:rsidP="005B6976">
            <w:pPr>
              <w:widowControl w:val="0"/>
              <w:autoSpaceDE w:val="0"/>
              <w:autoSpaceDN w:val="0"/>
              <w:adjustRightInd w:val="0"/>
              <w:spacing w:after="0" w:line="276" w:lineRule="auto"/>
              <w:jc w:val="center"/>
              <w:rPr>
                <w:rFonts w:ascii="David" w:hAnsi="David" w:cs="David"/>
                <w:color w:val="000000"/>
                <w:sz w:val="24"/>
                <w:szCs w:val="24"/>
              </w:rPr>
            </w:pPr>
            <w:r w:rsidRPr="00F25744">
              <w:rPr>
                <w:rFonts w:ascii="David" w:hAnsi="David" w:cs="David"/>
                <w:color w:val="000000"/>
                <w:sz w:val="24"/>
                <w:szCs w:val="24"/>
              </w:rPr>
              <w:t>28.2%</w:t>
            </w:r>
          </w:p>
        </w:tc>
        <w:tc>
          <w:tcPr>
            <w:tcW w:w="1833" w:type="dxa"/>
            <w:tcBorders>
              <w:top w:val="nil"/>
              <w:bottom w:val="nil"/>
            </w:tcBorders>
            <w:shd w:val="clear" w:color="auto" w:fill="auto"/>
            <w:vAlign w:val="center"/>
          </w:tcPr>
          <w:p w14:paraId="4988B07F" w14:textId="77777777" w:rsidR="001C7B41" w:rsidRPr="00F25744" w:rsidRDefault="00E25AE7" w:rsidP="005B6976">
            <w:pPr>
              <w:widowControl w:val="0"/>
              <w:autoSpaceDE w:val="0"/>
              <w:autoSpaceDN w:val="0"/>
              <w:adjustRightInd w:val="0"/>
              <w:spacing w:after="0" w:line="276" w:lineRule="auto"/>
              <w:jc w:val="center"/>
              <w:rPr>
                <w:rFonts w:ascii="David" w:hAnsi="David" w:cs="David"/>
                <w:color w:val="000000"/>
                <w:sz w:val="24"/>
                <w:szCs w:val="24"/>
              </w:rPr>
            </w:pPr>
            <w:r w:rsidRPr="00F25744">
              <w:rPr>
                <w:rFonts w:ascii="David" w:hAnsi="David" w:cs="David"/>
                <w:color w:val="000000"/>
                <w:sz w:val="24"/>
                <w:szCs w:val="24"/>
              </w:rPr>
              <w:t>12.8%</w:t>
            </w:r>
          </w:p>
        </w:tc>
        <w:tc>
          <w:tcPr>
            <w:tcW w:w="1973" w:type="dxa"/>
            <w:tcBorders>
              <w:top w:val="nil"/>
              <w:bottom w:val="nil"/>
            </w:tcBorders>
            <w:shd w:val="clear" w:color="auto" w:fill="auto"/>
            <w:vAlign w:val="center"/>
          </w:tcPr>
          <w:p w14:paraId="1BE7C624" w14:textId="77777777" w:rsidR="001C7B41" w:rsidRPr="00F25744" w:rsidRDefault="00E25AE7" w:rsidP="005B6976">
            <w:pPr>
              <w:widowControl w:val="0"/>
              <w:autoSpaceDE w:val="0"/>
              <w:autoSpaceDN w:val="0"/>
              <w:adjustRightInd w:val="0"/>
              <w:spacing w:after="0" w:line="276" w:lineRule="auto"/>
              <w:jc w:val="center"/>
              <w:rPr>
                <w:rFonts w:ascii="David" w:hAnsi="David" w:cs="David"/>
                <w:color w:val="000000"/>
                <w:sz w:val="24"/>
                <w:szCs w:val="24"/>
              </w:rPr>
            </w:pPr>
            <w:r w:rsidRPr="00F25744">
              <w:rPr>
                <w:rFonts w:ascii="David" w:hAnsi="David" w:cs="David"/>
                <w:color w:val="000000"/>
                <w:sz w:val="24"/>
                <w:szCs w:val="24"/>
              </w:rPr>
              <w:t>28.2%</w:t>
            </w:r>
          </w:p>
        </w:tc>
        <w:tc>
          <w:tcPr>
            <w:tcW w:w="894" w:type="dxa"/>
            <w:tcBorders>
              <w:top w:val="nil"/>
              <w:bottom w:val="nil"/>
            </w:tcBorders>
            <w:shd w:val="clear" w:color="auto" w:fill="auto"/>
            <w:vAlign w:val="center"/>
          </w:tcPr>
          <w:p w14:paraId="25A909ED" w14:textId="77777777" w:rsidR="001C7B41" w:rsidRPr="00F25744" w:rsidRDefault="00E25AE7" w:rsidP="005B6976">
            <w:pPr>
              <w:widowControl w:val="0"/>
              <w:autoSpaceDE w:val="0"/>
              <w:autoSpaceDN w:val="0"/>
              <w:adjustRightInd w:val="0"/>
              <w:spacing w:after="0" w:line="276" w:lineRule="auto"/>
              <w:rPr>
                <w:rFonts w:ascii="David" w:hAnsi="David" w:cs="David"/>
                <w:color w:val="000000"/>
                <w:sz w:val="24"/>
                <w:szCs w:val="24"/>
                <w:rtl/>
              </w:rPr>
            </w:pPr>
            <w:r w:rsidRPr="00F25744">
              <w:rPr>
                <w:rFonts w:ascii="David" w:hAnsi="David" w:cs="David"/>
                <w:color w:val="000000"/>
                <w:sz w:val="24"/>
                <w:szCs w:val="24"/>
              </w:rPr>
              <w:t>100.0%</w:t>
            </w:r>
          </w:p>
        </w:tc>
      </w:tr>
      <w:tr w:rsidR="00E0162E" w:rsidRPr="00F25744" w14:paraId="6AD88285" w14:textId="77777777" w:rsidTr="005B6976">
        <w:tc>
          <w:tcPr>
            <w:tcW w:w="1423" w:type="dxa"/>
            <w:tcBorders>
              <w:top w:val="nil"/>
              <w:bottom w:val="single" w:sz="4" w:space="0" w:color="auto"/>
            </w:tcBorders>
            <w:shd w:val="clear" w:color="auto" w:fill="auto"/>
            <w:vAlign w:val="center"/>
          </w:tcPr>
          <w:p w14:paraId="3DB42572" w14:textId="77777777" w:rsidR="001C7B41" w:rsidRPr="00F25744" w:rsidRDefault="00E25AE7" w:rsidP="005B6976">
            <w:pPr>
              <w:widowControl w:val="0"/>
              <w:autoSpaceDE w:val="0"/>
              <w:autoSpaceDN w:val="0"/>
              <w:adjustRightInd w:val="0"/>
              <w:spacing w:after="0" w:line="276" w:lineRule="auto"/>
              <w:rPr>
                <w:rFonts w:ascii="David" w:hAnsi="David" w:cs="David"/>
                <w:sz w:val="24"/>
                <w:szCs w:val="24"/>
                <w:rtl/>
              </w:rPr>
            </w:pPr>
            <w:r w:rsidRPr="00F25744">
              <w:rPr>
                <w:rFonts w:ascii="David" w:hAnsi="David" w:cs="David" w:hint="cs"/>
                <w:sz w:val="24"/>
                <w:szCs w:val="24"/>
                <w:rtl/>
              </w:rPr>
              <w:t>נוער</w:t>
            </w:r>
          </w:p>
        </w:tc>
        <w:tc>
          <w:tcPr>
            <w:tcW w:w="1400" w:type="dxa"/>
            <w:tcBorders>
              <w:top w:val="nil"/>
              <w:bottom w:val="single" w:sz="4" w:space="0" w:color="auto"/>
            </w:tcBorders>
            <w:shd w:val="clear" w:color="auto" w:fill="auto"/>
            <w:vAlign w:val="center"/>
          </w:tcPr>
          <w:p w14:paraId="430D6580" w14:textId="77777777" w:rsidR="001C7B41" w:rsidRPr="00F25744" w:rsidRDefault="00E25AE7" w:rsidP="005B6976">
            <w:pPr>
              <w:widowControl w:val="0"/>
              <w:autoSpaceDE w:val="0"/>
              <w:autoSpaceDN w:val="0"/>
              <w:adjustRightInd w:val="0"/>
              <w:spacing w:after="0" w:line="276" w:lineRule="auto"/>
              <w:jc w:val="center"/>
              <w:rPr>
                <w:rFonts w:ascii="David" w:hAnsi="David" w:cs="David"/>
                <w:color w:val="000000"/>
                <w:sz w:val="24"/>
                <w:szCs w:val="24"/>
                <w:rtl/>
              </w:rPr>
            </w:pPr>
            <w:r w:rsidRPr="00F25744">
              <w:rPr>
                <w:rFonts w:ascii="David" w:hAnsi="David" w:cs="David"/>
                <w:color w:val="000000"/>
                <w:sz w:val="24"/>
                <w:szCs w:val="24"/>
              </w:rPr>
              <w:t>75.0%</w:t>
            </w:r>
          </w:p>
        </w:tc>
        <w:tc>
          <w:tcPr>
            <w:tcW w:w="1412" w:type="dxa"/>
            <w:tcBorders>
              <w:top w:val="nil"/>
              <w:bottom w:val="single" w:sz="4" w:space="0" w:color="auto"/>
            </w:tcBorders>
            <w:shd w:val="clear" w:color="auto" w:fill="auto"/>
            <w:vAlign w:val="center"/>
          </w:tcPr>
          <w:p w14:paraId="73FBA63B" w14:textId="77777777" w:rsidR="001C7B41" w:rsidRPr="00F25744" w:rsidRDefault="00E25AE7" w:rsidP="005B6976">
            <w:pPr>
              <w:widowControl w:val="0"/>
              <w:autoSpaceDE w:val="0"/>
              <w:autoSpaceDN w:val="0"/>
              <w:adjustRightInd w:val="0"/>
              <w:spacing w:after="0" w:line="276" w:lineRule="auto"/>
              <w:jc w:val="center"/>
              <w:rPr>
                <w:rFonts w:ascii="David" w:hAnsi="David" w:cs="David"/>
                <w:color w:val="000000"/>
                <w:sz w:val="24"/>
                <w:szCs w:val="24"/>
                <w:rtl/>
              </w:rPr>
            </w:pPr>
            <w:r w:rsidRPr="00F25744">
              <w:rPr>
                <w:rFonts w:ascii="David" w:hAnsi="David" w:cs="David"/>
                <w:color w:val="000000"/>
                <w:sz w:val="24"/>
                <w:szCs w:val="24"/>
              </w:rPr>
              <w:t>12.5%</w:t>
            </w:r>
          </w:p>
        </w:tc>
        <w:tc>
          <w:tcPr>
            <w:tcW w:w="1833" w:type="dxa"/>
            <w:tcBorders>
              <w:top w:val="nil"/>
              <w:bottom w:val="single" w:sz="4" w:space="0" w:color="auto"/>
            </w:tcBorders>
            <w:shd w:val="clear" w:color="auto" w:fill="auto"/>
            <w:vAlign w:val="center"/>
          </w:tcPr>
          <w:p w14:paraId="18251142" w14:textId="77777777" w:rsidR="001C7B41" w:rsidRPr="00F25744" w:rsidRDefault="00E25AE7" w:rsidP="005B6976">
            <w:pPr>
              <w:widowControl w:val="0"/>
              <w:autoSpaceDE w:val="0"/>
              <w:autoSpaceDN w:val="0"/>
              <w:adjustRightInd w:val="0"/>
              <w:spacing w:after="0" w:line="276" w:lineRule="auto"/>
              <w:jc w:val="center"/>
              <w:rPr>
                <w:rFonts w:ascii="David" w:hAnsi="David" w:cs="David"/>
                <w:color w:val="000000"/>
                <w:sz w:val="24"/>
                <w:szCs w:val="24"/>
                <w:rtl/>
              </w:rPr>
            </w:pPr>
            <w:r w:rsidRPr="00F25744">
              <w:rPr>
                <w:rFonts w:ascii="David" w:hAnsi="David" w:cs="David"/>
                <w:color w:val="000000"/>
                <w:sz w:val="24"/>
                <w:szCs w:val="24"/>
              </w:rPr>
              <w:t>12.5%</w:t>
            </w:r>
          </w:p>
        </w:tc>
        <w:tc>
          <w:tcPr>
            <w:tcW w:w="1973" w:type="dxa"/>
            <w:tcBorders>
              <w:top w:val="nil"/>
              <w:bottom w:val="single" w:sz="4" w:space="0" w:color="auto"/>
            </w:tcBorders>
            <w:shd w:val="clear" w:color="auto" w:fill="auto"/>
            <w:vAlign w:val="center"/>
          </w:tcPr>
          <w:p w14:paraId="6113D323" w14:textId="77777777" w:rsidR="001C7B41" w:rsidRPr="00F25744" w:rsidRDefault="00E25AE7" w:rsidP="005B6976">
            <w:pPr>
              <w:widowControl w:val="0"/>
              <w:autoSpaceDE w:val="0"/>
              <w:autoSpaceDN w:val="0"/>
              <w:adjustRightInd w:val="0"/>
              <w:spacing w:after="0" w:line="276" w:lineRule="auto"/>
              <w:jc w:val="center"/>
              <w:rPr>
                <w:rFonts w:ascii="David" w:hAnsi="David" w:cs="David"/>
                <w:color w:val="000000"/>
                <w:sz w:val="24"/>
                <w:szCs w:val="24"/>
                <w:rtl/>
              </w:rPr>
            </w:pPr>
            <w:r w:rsidRPr="00F25744">
              <w:rPr>
                <w:rFonts w:ascii="David" w:hAnsi="David" w:cs="David"/>
                <w:color w:val="000000"/>
                <w:sz w:val="24"/>
                <w:szCs w:val="24"/>
              </w:rPr>
              <w:t>0.0%</w:t>
            </w:r>
          </w:p>
        </w:tc>
        <w:tc>
          <w:tcPr>
            <w:tcW w:w="894" w:type="dxa"/>
            <w:tcBorders>
              <w:top w:val="nil"/>
              <w:bottom w:val="single" w:sz="4" w:space="0" w:color="auto"/>
            </w:tcBorders>
            <w:shd w:val="clear" w:color="auto" w:fill="auto"/>
            <w:vAlign w:val="center"/>
          </w:tcPr>
          <w:p w14:paraId="5097CE77" w14:textId="77777777" w:rsidR="001C7B41" w:rsidRPr="00F25744" w:rsidRDefault="00E25AE7" w:rsidP="005B6976">
            <w:pPr>
              <w:widowControl w:val="0"/>
              <w:autoSpaceDE w:val="0"/>
              <w:autoSpaceDN w:val="0"/>
              <w:adjustRightInd w:val="0"/>
              <w:spacing w:after="0" w:line="276" w:lineRule="auto"/>
              <w:rPr>
                <w:rFonts w:ascii="David" w:hAnsi="David" w:cs="David"/>
                <w:color w:val="000000"/>
                <w:sz w:val="24"/>
                <w:szCs w:val="24"/>
                <w:rtl/>
              </w:rPr>
            </w:pPr>
            <w:r w:rsidRPr="00F25744">
              <w:rPr>
                <w:rFonts w:ascii="David" w:hAnsi="David" w:cs="David"/>
                <w:color w:val="000000"/>
                <w:sz w:val="24"/>
                <w:szCs w:val="24"/>
              </w:rPr>
              <w:t>100.0%</w:t>
            </w:r>
          </w:p>
        </w:tc>
      </w:tr>
      <w:tr w:rsidR="00E0162E" w:rsidRPr="00F25744" w14:paraId="61AEAE7F" w14:textId="77777777" w:rsidTr="005B6976">
        <w:tc>
          <w:tcPr>
            <w:tcW w:w="1423" w:type="dxa"/>
            <w:tcBorders>
              <w:top w:val="single" w:sz="4" w:space="0" w:color="auto"/>
              <w:bottom w:val="single" w:sz="4" w:space="0" w:color="auto"/>
            </w:tcBorders>
            <w:shd w:val="clear" w:color="auto" w:fill="auto"/>
          </w:tcPr>
          <w:p w14:paraId="0F14199C" w14:textId="77777777" w:rsidR="001C7B41" w:rsidRPr="00F25744" w:rsidRDefault="00E25AE7" w:rsidP="005B6976">
            <w:pPr>
              <w:widowControl w:val="0"/>
              <w:autoSpaceDE w:val="0"/>
              <w:autoSpaceDN w:val="0"/>
              <w:adjustRightInd w:val="0"/>
              <w:spacing w:after="0" w:line="276" w:lineRule="auto"/>
              <w:jc w:val="both"/>
              <w:rPr>
                <w:rFonts w:ascii="David" w:hAnsi="David" w:cs="David"/>
                <w:b/>
                <w:bCs/>
                <w:sz w:val="24"/>
                <w:szCs w:val="24"/>
                <w:rtl/>
              </w:rPr>
            </w:pPr>
            <w:r w:rsidRPr="00F25744">
              <w:rPr>
                <w:rFonts w:ascii="David" w:hAnsi="David" w:cs="David" w:hint="cs"/>
                <w:b/>
                <w:bCs/>
                <w:sz w:val="24"/>
                <w:szCs w:val="24"/>
                <w:rtl/>
              </w:rPr>
              <w:t>סה"כ</w:t>
            </w:r>
          </w:p>
        </w:tc>
        <w:tc>
          <w:tcPr>
            <w:tcW w:w="1400" w:type="dxa"/>
            <w:tcBorders>
              <w:top w:val="single" w:sz="4" w:space="0" w:color="auto"/>
              <w:bottom w:val="single" w:sz="4" w:space="0" w:color="auto"/>
            </w:tcBorders>
            <w:shd w:val="clear" w:color="auto" w:fill="auto"/>
            <w:vAlign w:val="center"/>
          </w:tcPr>
          <w:p w14:paraId="112741BA" w14:textId="77777777" w:rsidR="001C7B41" w:rsidRPr="00F25744" w:rsidRDefault="00E25AE7" w:rsidP="005B6976">
            <w:pPr>
              <w:widowControl w:val="0"/>
              <w:autoSpaceDE w:val="0"/>
              <w:autoSpaceDN w:val="0"/>
              <w:adjustRightInd w:val="0"/>
              <w:spacing w:after="0" w:line="276" w:lineRule="auto"/>
              <w:jc w:val="center"/>
              <w:rPr>
                <w:rFonts w:ascii="David" w:hAnsi="David" w:cs="David"/>
                <w:b/>
                <w:bCs/>
                <w:color w:val="000000"/>
                <w:sz w:val="24"/>
                <w:szCs w:val="24"/>
                <w:rtl/>
              </w:rPr>
            </w:pPr>
            <w:r w:rsidRPr="00F25744">
              <w:rPr>
                <w:rFonts w:ascii="David" w:hAnsi="David" w:cs="David"/>
                <w:b/>
                <w:bCs/>
                <w:color w:val="000000"/>
                <w:sz w:val="24"/>
                <w:szCs w:val="24"/>
              </w:rPr>
              <w:t>55.8%</w:t>
            </w:r>
          </w:p>
        </w:tc>
        <w:tc>
          <w:tcPr>
            <w:tcW w:w="1412" w:type="dxa"/>
            <w:tcBorders>
              <w:top w:val="single" w:sz="4" w:space="0" w:color="auto"/>
              <w:bottom w:val="single" w:sz="4" w:space="0" w:color="auto"/>
            </w:tcBorders>
            <w:shd w:val="clear" w:color="auto" w:fill="auto"/>
            <w:vAlign w:val="center"/>
          </w:tcPr>
          <w:p w14:paraId="2A113E0F" w14:textId="77777777" w:rsidR="001C7B41" w:rsidRPr="00F25744" w:rsidRDefault="00E25AE7" w:rsidP="005B6976">
            <w:pPr>
              <w:widowControl w:val="0"/>
              <w:autoSpaceDE w:val="0"/>
              <w:autoSpaceDN w:val="0"/>
              <w:adjustRightInd w:val="0"/>
              <w:spacing w:after="0" w:line="276" w:lineRule="auto"/>
              <w:jc w:val="center"/>
              <w:rPr>
                <w:rFonts w:ascii="David" w:hAnsi="David" w:cs="David"/>
                <w:b/>
                <w:bCs/>
                <w:color w:val="000000"/>
                <w:sz w:val="24"/>
                <w:szCs w:val="24"/>
                <w:rtl/>
              </w:rPr>
            </w:pPr>
            <w:r w:rsidRPr="00F25744">
              <w:rPr>
                <w:rFonts w:ascii="David" w:hAnsi="David" w:cs="David"/>
                <w:b/>
                <w:bCs/>
                <w:color w:val="000000"/>
                <w:sz w:val="24"/>
                <w:szCs w:val="24"/>
              </w:rPr>
              <w:t>13.5%</w:t>
            </w:r>
          </w:p>
        </w:tc>
        <w:tc>
          <w:tcPr>
            <w:tcW w:w="1833" w:type="dxa"/>
            <w:tcBorders>
              <w:top w:val="single" w:sz="4" w:space="0" w:color="auto"/>
              <w:bottom w:val="single" w:sz="4" w:space="0" w:color="auto"/>
            </w:tcBorders>
            <w:shd w:val="clear" w:color="auto" w:fill="auto"/>
            <w:vAlign w:val="center"/>
          </w:tcPr>
          <w:p w14:paraId="728695D8" w14:textId="77777777" w:rsidR="001C7B41" w:rsidRPr="00F25744" w:rsidRDefault="00E25AE7" w:rsidP="005B6976">
            <w:pPr>
              <w:widowControl w:val="0"/>
              <w:autoSpaceDE w:val="0"/>
              <w:autoSpaceDN w:val="0"/>
              <w:adjustRightInd w:val="0"/>
              <w:spacing w:after="0" w:line="276" w:lineRule="auto"/>
              <w:jc w:val="center"/>
              <w:rPr>
                <w:rFonts w:ascii="David" w:hAnsi="David" w:cs="David"/>
                <w:b/>
                <w:bCs/>
                <w:color w:val="000000"/>
                <w:sz w:val="24"/>
                <w:szCs w:val="24"/>
                <w:rtl/>
              </w:rPr>
            </w:pPr>
            <w:r w:rsidRPr="00F25744">
              <w:rPr>
                <w:rFonts w:ascii="David" w:hAnsi="David" w:cs="David"/>
                <w:b/>
                <w:bCs/>
                <w:color w:val="000000"/>
                <w:sz w:val="24"/>
                <w:szCs w:val="24"/>
              </w:rPr>
              <w:t>25.8%</w:t>
            </w:r>
          </w:p>
        </w:tc>
        <w:tc>
          <w:tcPr>
            <w:tcW w:w="1973" w:type="dxa"/>
            <w:tcBorders>
              <w:top w:val="single" w:sz="4" w:space="0" w:color="auto"/>
              <w:bottom w:val="single" w:sz="4" w:space="0" w:color="auto"/>
            </w:tcBorders>
            <w:shd w:val="clear" w:color="auto" w:fill="auto"/>
            <w:vAlign w:val="center"/>
          </w:tcPr>
          <w:p w14:paraId="302F7BDA" w14:textId="77777777" w:rsidR="001C7B41" w:rsidRPr="00F25744" w:rsidRDefault="00E25AE7" w:rsidP="005B6976">
            <w:pPr>
              <w:widowControl w:val="0"/>
              <w:autoSpaceDE w:val="0"/>
              <w:autoSpaceDN w:val="0"/>
              <w:adjustRightInd w:val="0"/>
              <w:spacing w:after="0" w:line="276" w:lineRule="auto"/>
              <w:jc w:val="center"/>
              <w:rPr>
                <w:rFonts w:ascii="David" w:hAnsi="David" w:cs="David"/>
                <w:b/>
                <w:bCs/>
                <w:color w:val="000000"/>
                <w:sz w:val="24"/>
                <w:szCs w:val="24"/>
                <w:rtl/>
              </w:rPr>
            </w:pPr>
            <w:r w:rsidRPr="00F25744">
              <w:rPr>
                <w:rFonts w:ascii="David" w:hAnsi="David" w:cs="David"/>
                <w:b/>
                <w:bCs/>
                <w:color w:val="000000"/>
                <w:sz w:val="24"/>
                <w:szCs w:val="24"/>
              </w:rPr>
              <w:t>4.8%</w:t>
            </w:r>
          </w:p>
        </w:tc>
        <w:tc>
          <w:tcPr>
            <w:tcW w:w="894" w:type="dxa"/>
            <w:tcBorders>
              <w:top w:val="single" w:sz="4" w:space="0" w:color="auto"/>
              <w:bottom w:val="single" w:sz="4" w:space="0" w:color="auto"/>
            </w:tcBorders>
            <w:shd w:val="clear" w:color="auto" w:fill="auto"/>
            <w:vAlign w:val="center"/>
          </w:tcPr>
          <w:p w14:paraId="28AF21C1" w14:textId="77777777" w:rsidR="001C7B41" w:rsidRPr="00F25744" w:rsidRDefault="00E25AE7" w:rsidP="005B6976">
            <w:pPr>
              <w:widowControl w:val="0"/>
              <w:autoSpaceDE w:val="0"/>
              <w:autoSpaceDN w:val="0"/>
              <w:adjustRightInd w:val="0"/>
              <w:spacing w:after="0" w:line="276" w:lineRule="auto"/>
              <w:jc w:val="center"/>
              <w:rPr>
                <w:rFonts w:ascii="David" w:hAnsi="David" w:cs="David"/>
                <w:b/>
                <w:bCs/>
                <w:color w:val="000000"/>
                <w:sz w:val="24"/>
                <w:szCs w:val="24"/>
                <w:rtl/>
              </w:rPr>
            </w:pPr>
            <w:r w:rsidRPr="00F25744">
              <w:rPr>
                <w:rFonts w:ascii="David" w:hAnsi="David" w:cs="David"/>
                <w:b/>
                <w:bCs/>
                <w:color w:val="000000"/>
                <w:sz w:val="24"/>
                <w:szCs w:val="24"/>
              </w:rPr>
              <w:t>100.0%</w:t>
            </w:r>
          </w:p>
        </w:tc>
      </w:tr>
    </w:tbl>
    <w:p w14:paraId="05691F9F" w14:textId="77777777" w:rsidR="001C7B41" w:rsidRPr="00F25744" w:rsidRDefault="001C7B41" w:rsidP="008336F3">
      <w:pPr>
        <w:widowControl w:val="0"/>
        <w:autoSpaceDE w:val="0"/>
        <w:autoSpaceDN w:val="0"/>
        <w:adjustRightInd w:val="0"/>
        <w:spacing w:after="0" w:line="240" w:lineRule="auto"/>
        <w:jc w:val="both"/>
        <w:rPr>
          <w:rFonts w:ascii="David" w:hAnsi="David" w:cs="David"/>
          <w:sz w:val="24"/>
          <w:szCs w:val="24"/>
          <w:rtl/>
        </w:rPr>
      </w:pPr>
    </w:p>
    <w:p w14:paraId="2CEED64D" w14:textId="77777777" w:rsidR="001C7B41" w:rsidRPr="00F25744" w:rsidRDefault="00E25AE7" w:rsidP="008336F3">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 xml:space="preserve">כפי שעולה מן הטבלה, במרבית הערכאות ובתי המשפט למרבית השופטים יש עוזרים משפטיים. כך למשל בערכאת המחוזי ובבתי המשפט לענייני משפחה, למעל 95% מהשופטים שהשתתפו במחקר יש עוזר משפטי (96.7% ו-97.1% בהתאמה), ובערכאת השלום ל-74.5% מהשופטים והרשמים שהשתתפו </w:t>
      </w:r>
      <w:r w:rsidRPr="00F25744">
        <w:rPr>
          <w:rFonts w:ascii="David" w:hAnsi="David" w:cs="David" w:hint="cs"/>
          <w:sz w:val="24"/>
          <w:szCs w:val="24"/>
          <w:rtl/>
        </w:rPr>
        <w:lastRenderedPageBreak/>
        <w:t xml:space="preserve">במחקר יש עוזר משפטי. עם זאת, כאשר בודקים את מערך התמיכה בחלוקה בין שופטים ורשמים בערכאת השלום, רואים כי לכמעט 90% מן השופטים יש עוזר משפטי, בעוד שרק ל-10% מן הרשמים יש עוזר משפטי (86.5% ו-12.7% ליתר דיוק). מכאן עולה כי למרביתם המכרעת של </w:t>
      </w:r>
      <w:r w:rsidRPr="00F25744">
        <w:rPr>
          <w:rFonts w:ascii="David" w:hAnsi="David" w:cs="David" w:hint="cs"/>
          <w:b/>
          <w:bCs/>
          <w:sz w:val="24"/>
          <w:szCs w:val="24"/>
          <w:rtl/>
        </w:rPr>
        <w:t>רשמי</w:t>
      </w:r>
      <w:r w:rsidRPr="00F25744">
        <w:rPr>
          <w:rFonts w:ascii="David" w:hAnsi="David" w:cs="David" w:hint="cs"/>
          <w:sz w:val="24"/>
          <w:szCs w:val="24"/>
          <w:rtl/>
        </w:rPr>
        <w:t xml:space="preserve"> ערכאת השלום </w:t>
      </w:r>
      <w:r w:rsidRPr="00F25744">
        <w:rPr>
          <w:rFonts w:ascii="David" w:hAnsi="David" w:cs="David" w:hint="cs"/>
          <w:b/>
          <w:bCs/>
          <w:sz w:val="24"/>
          <w:szCs w:val="24"/>
          <w:rtl/>
        </w:rPr>
        <w:t>אין</w:t>
      </w:r>
      <w:r w:rsidRPr="00F25744">
        <w:rPr>
          <w:rFonts w:ascii="David" w:hAnsi="David" w:cs="David" w:hint="cs"/>
          <w:sz w:val="24"/>
          <w:szCs w:val="24"/>
          <w:rtl/>
        </w:rPr>
        <w:t xml:space="preserve"> עוזרים משפטיים, אולם חלף זאת, לרובם יש מתמחים</w:t>
      </w:r>
      <w:r w:rsidR="003035BB" w:rsidRPr="00F25744">
        <w:rPr>
          <w:rFonts w:ascii="David" w:hAnsi="David" w:cs="David" w:hint="cs"/>
          <w:sz w:val="24"/>
          <w:szCs w:val="24"/>
          <w:rtl/>
        </w:rPr>
        <w:t xml:space="preserve"> או סטודנטים</w:t>
      </w:r>
      <w:r w:rsidRPr="00F25744">
        <w:rPr>
          <w:rFonts w:ascii="David" w:hAnsi="David" w:cs="David" w:hint="cs"/>
          <w:sz w:val="24"/>
          <w:szCs w:val="24"/>
          <w:rtl/>
        </w:rPr>
        <w:t xml:space="preserve"> (כ-90% מן הרשמים לעומת 36.5% מן השופטים). </w:t>
      </w:r>
    </w:p>
    <w:p w14:paraId="61A02302" w14:textId="77777777" w:rsidR="001C7B41" w:rsidRPr="00F25744" w:rsidRDefault="00E25AE7" w:rsidP="008336F3">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 xml:space="preserve">מאחר שלמרביתם המכרעת של השופטים יש עוזר משפטי, ולאלו שאין עשוי להיות תמהיל עבודה השונה באופן מהותי משופטים אחרים, כגון, מטפלים בעיקר בתיקים מסוג מעצרים או מוקד תעבורה, שבהם מרבית העבודה נעשית באולם הדיונים, לא מצאנו טעם להציג את תמהיל יום העבודה השיפוטי בהבחנה בין שופטים עם וללא מערך תמיכה. </w:t>
      </w:r>
    </w:p>
    <w:p w14:paraId="576BF82A" w14:textId="77777777" w:rsidR="001C7B41" w:rsidRPr="00F25744" w:rsidRDefault="00E25AE7" w:rsidP="008336F3">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 xml:space="preserve">עוד עולה מן הנתונים, כי לא כל השופטים שלהם עוזר משפטי אכן נעזרים בו במשימות כתיבה מהותיות. בערכאת השלום, 71.4% מן השופטים נעזרים בעוזרים המשפטיים שלהם למשימות כתיבה מהותיות, </w:t>
      </w:r>
      <w:r w:rsidR="00341018" w:rsidRPr="00F25744">
        <w:rPr>
          <w:rFonts w:ascii="David" w:hAnsi="David" w:cs="David" w:hint="cs"/>
          <w:sz w:val="24"/>
          <w:szCs w:val="24"/>
          <w:rtl/>
        </w:rPr>
        <w:t>ו</w:t>
      </w:r>
      <w:r w:rsidRPr="00F25744">
        <w:rPr>
          <w:rFonts w:ascii="David" w:hAnsi="David" w:cs="David" w:hint="cs"/>
          <w:sz w:val="24"/>
          <w:szCs w:val="24"/>
          <w:rtl/>
        </w:rPr>
        <w:t>בערכאת המחוזי ובבתי המשפט לענייני משפחה, מעל ל-80% מן השופטים נעזרים בעוזרים המשפטיים שלהם במשימות כתיבה מהותיות (81.2% ו-85.3% בהתאמה). ממצא זה עקבי גם בבתי המשפט לתעבורה ולנוער, שם שיעור השופטים הנעזרים בעוזרים המשפטיים שלהם בכתיבה מהותית עומד על 82.3% ו-92.8% בהתאמה. לאור זאת, נראה בטבלה הבאה כיצד משפיעה נוכחותו של העוזר המשפטי, כזה שהשופט נעזר בו במשימות כתיבה מהותיות וכזה שלא, על תמהיל יום העבודה השיפוטי ועל חלוקת הזמן השיפוטי בין הפעולות השיפוטיות השונות:</w:t>
      </w:r>
    </w:p>
    <w:p w14:paraId="641C476F" w14:textId="77777777" w:rsidR="001C7B41" w:rsidRPr="00F25744" w:rsidRDefault="001C7B41" w:rsidP="00645866">
      <w:pPr>
        <w:widowControl w:val="0"/>
        <w:autoSpaceDE w:val="0"/>
        <w:autoSpaceDN w:val="0"/>
        <w:adjustRightInd w:val="0"/>
        <w:spacing w:after="0" w:line="240" w:lineRule="auto"/>
        <w:jc w:val="both"/>
        <w:rPr>
          <w:rFonts w:ascii="David" w:hAnsi="David" w:cs="David"/>
          <w:sz w:val="24"/>
          <w:szCs w:val="24"/>
          <w:rtl/>
        </w:rPr>
      </w:pPr>
    </w:p>
    <w:p w14:paraId="2BED67E9" w14:textId="41110A3D" w:rsidR="001C7B41" w:rsidRPr="00F25744" w:rsidRDefault="008534FC" w:rsidP="008534FC">
      <w:pPr>
        <w:pStyle w:val="af6"/>
        <w:rPr>
          <w:rFonts w:ascii="David" w:hAnsi="David"/>
          <w:sz w:val="24"/>
          <w:rtl/>
        </w:rPr>
      </w:pPr>
      <w:bookmarkStart w:id="805" w:name="_Toc76988922"/>
      <w:r w:rsidRPr="00F25744">
        <w:rPr>
          <w:rtl/>
        </w:rPr>
        <w:t xml:space="preserve">טבלה </w:t>
      </w:r>
      <w:r w:rsidRPr="00F25744">
        <w:rPr>
          <w:rtl/>
        </w:rPr>
        <w:fldChar w:fldCharType="begin"/>
      </w:r>
      <w:r w:rsidRPr="00F25744">
        <w:rPr>
          <w:rtl/>
        </w:rPr>
        <w:instrText xml:space="preserve"> </w:instrText>
      </w:r>
      <w:r w:rsidRPr="00F25744">
        <w:instrText>SEQ</w:instrText>
      </w:r>
      <w:r w:rsidRPr="00F25744">
        <w:rPr>
          <w:rtl/>
        </w:rPr>
        <w:instrText xml:space="preserve"> טבלה \* </w:instrText>
      </w:r>
      <w:r w:rsidRPr="00F25744">
        <w:instrText>ARABIC</w:instrText>
      </w:r>
      <w:r w:rsidRPr="00F25744">
        <w:rPr>
          <w:rtl/>
        </w:rPr>
        <w:instrText xml:space="preserve"> </w:instrText>
      </w:r>
      <w:r w:rsidRPr="00F25744">
        <w:rPr>
          <w:rtl/>
        </w:rPr>
        <w:fldChar w:fldCharType="separate"/>
      </w:r>
      <w:r w:rsidR="008F1BC3">
        <w:rPr>
          <w:noProof/>
          <w:rtl/>
        </w:rPr>
        <w:t>27</w:t>
      </w:r>
      <w:r w:rsidRPr="00F25744">
        <w:rPr>
          <w:rtl/>
        </w:rPr>
        <w:fldChar w:fldCharType="end"/>
      </w:r>
      <w:r w:rsidR="007F3A52" w:rsidRPr="00F25744">
        <w:rPr>
          <w:rFonts w:ascii="David" w:hAnsi="David" w:hint="cs"/>
          <w:sz w:val="24"/>
          <w:rtl/>
        </w:rPr>
        <w:t>: תמהיל יום העבודה של שופט עם עוזר משפטי שמסייע/ לא מסייע במשימות כתיבה מהותיות</w:t>
      </w:r>
      <w:bookmarkEnd w:id="805"/>
    </w:p>
    <w:tbl>
      <w:tblPr>
        <w:tblpPr w:rightFromText="85" w:vertAnchor="text" w:tblpX="-90" w:tblpY="1"/>
        <w:bidiVisual/>
        <w:tblW w:w="8736" w:type="dxa"/>
        <w:tblCellMar>
          <w:left w:w="0" w:type="dxa"/>
          <w:right w:w="0" w:type="dxa"/>
        </w:tblCellMar>
        <w:tblLook w:val="04A0" w:firstRow="1" w:lastRow="0" w:firstColumn="1" w:lastColumn="0" w:noHBand="0" w:noVBand="1"/>
      </w:tblPr>
      <w:tblGrid>
        <w:gridCol w:w="3979"/>
        <w:gridCol w:w="1212"/>
        <w:gridCol w:w="1843"/>
        <w:gridCol w:w="1702"/>
      </w:tblGrid>
      <w:tr w:rsidR="00E0162E" w:rsidRPr="00F25744" w14:paraId="6765E500" w14:textId="77777777" w:rsidTr="005B6976">
        <w:trPr>
          <w:trHeight w:val="630"/>
        </w:trPr>
        <w:tc>
          <w:tcPr>
            <w:tcW w:w="3979" w:type="dxa"/>
            <w:tcBorders>
              <w:top w:val="nil"/>
              <w:left w:val="nil"/>
              <w:bottom w:val="single" w:sz="8" w:space="0" w:color="auto"/>
              <w:right w:val="nil"/>
            </w:tcBorders>
            <w:tcMar>
              <w:top w:w="0" w:type="dxa"/>
              <w:left w:w="108" w:type="dxa"/>
              <w:bottom w:w="0" w:type="dxa"/>
              <w:right w:w="108" w:type="dxa"/>
            </w:tcMar>
            <w:vAlign w:val="center"/>
            <w:hideMark/>
          </w:tcPr>
          <w:p w14:paraId="4DB80F6A" w14:textId="77777777" w:rsidR="001C7B41" w:rsidRPr="00F25744" w:rsidRDefault="00E25AE7" w:rsidP="005B6976">
            <w:pPr>
              <w:spacing w:after="0" w:line="240" w:lineRule="auto"/>
              <w:rPr>
                <w:rFonts w:ascii="Arial" w:hAnsi="Arial"/>
                <w:b/>
                <w:bCs/>
                <w:color w:val="000000"/>
                <w:sz w:val="24"/>
                <w:szCs w:val="24"/>
              </w:rPr>
            </w:pPr>
            <w:r w:rsidRPr="00F25744">
              <w:rPr>
                <w:rFonts w:ascii="David" w:hAnsi="David" w:cs="David"/>
                <w:b/>
                <w:bCs/>
                <w:color w:val="000000"/>
                <w:sz w:val="24"/>
                <w:szCs w:val="24"/>
                <w:rtl/>
              </w:rPr>
              <w:t>סוג הפעילות</w:t>
            </w:r>
          </w:p>
        </w:tc>
        <w:tc>
          <w:tcPr>
            <w:tcW w:w="1212" w:type="dxa"/>
            <w:tcBorders>
              <w:top w:val="nil"/>
              <w:left w:val="nil"/>
              <w:bottom w:val="single" w:sz="8" w:space="0" w:color="auto"/>
              <w:right w:val="nil"/>
            </w:tcBorders>
            <w:noWrap/>
            <w:tcMar>
              <w:top w:w="0" w:type="dxa"/>
              <w:left w:w="108" w:type="dxa"/>
              <w:bottom w:w="0" w:type="dxa"/>
              <w:right w:w="108" w:type="dxa"/>
            </w:tcMar>
            <w:vAlign w:val="center"/>
            <w:hideMark/>
          </w:tcPr>
          <w:p w14:paraId="29343112" w14:textId="77777777" w:rsidR="001C7B41" w:rsidRPr="00F25744" w:rsidRDefault="00E25AE7" w:rsidP="005B6976">
            <w:pPr>
              <w:bidi w:val="0"/>
              <w:spacing w:after="0" w:line="240" w:lineRule="auto"/>
              <w:jc w:val="center"/>
              <w:rPr>
                <w:rFonts w:ascii="Arial" w:hAnsi="Arial"/>
                <w:b/>
                <w:bCs/>
                <w:color w:val="000000"/>
                <w:sz w:val="24"/>
                <w:szCs w:val="24"/>
              </w:rPr>
            </w:pPr>
            <w:r w:rsidRPr="00F25744">
              <w:rPr>
                <w:rFonts w:ascii="David" w:hAnsi="David" w:cs="David"/>
                <w:b/>
                <w:bCs/>
                <w:color w:val="000000"/>
                <w:sz w:val="24"/>
                <w:szCs w:val="24"/>
                <w:rtl/>
              </w:rPr>
              <w:t>עם עוזמ"ש</w:t>
            </w:r>
          </w:p>
        </w:tc>
        <w:tc>
          <w:tcPr>
            <w:tcW w:w="1843" w:type="dxa"/>
            <w:tcBorders>
              <w:top w:val="nil"/>
              <w:left w:val="nil"/>
              <w:bottom w:val="single" w:sz="8" w:space="0" w:color="auto"/>
              <w:right w:val="nil"/>
            </w:tcBorders>
            <w:tcMar>
              <w:top w:w="0" w:type="dxa"/>
              <w:left w:w="108" w:type="dxa"/>
              <w:bottom w:w="0" w:type="dxa"/>
              <w:right w:w="108" w:type="dxa"/>
            </w:tcMar>
            <w:vAlign w:val="center"/>
            <w:hideMark/>
          </w:tcPr>
          <w:p w14:paraId="524B5807" w14:textId="77777777" w:rsidR="001C7B41" w:rsidRPr="00F25744" w:rsidRDefault="00E25AE7" w:rsidP="005B6976">
            <w:pPr>
              <w:bidi w:val="0"/>
              <w:spacing w:after="0" w:line="240" w:lineRule="auto"/>
              <w:jc w:val="center"/>
              <w:rPr>
                <w:rFonts w:ascii="Arial" w:hAnsi="Arial"/>
                <w:b/>
                <w:bCs/>
                <w:color w:val="000000"/>
                <w:sz w:val="24"/>
                <w:szCs w:val="24"/>
              </w:rPr>
            </w:pPr>
            <w:r w:rsidRPr="00F25744">
              <w:rPr>
                <w:rFonts w:ascii="David" w:hAnsi="David" w:cs="David"/>
                <w:b/>
                <w:bCs/>
                <w:color w:val="000000"/>
                <w:sz w:val="24"/>
                <w:szCs w:val="24"/>
                <w:rtl/>
              </w:rPr>
              <w:t>עם עוזמ"ש שלא מסייע בכתיבה</w:t>
            </w:r>
          </w:p>
        </w:tc>
        <w:tc>
          <w:tcPr>
            <w:tcW w:w="1702" w:type="dxa"/>
            <w:tcBorders>
              <w:top w:val="nil"/>
              <w:left w:val="nil"/>
              <w:bottom w:val="single" w:sz="8" w:space="0" w:color="auto"/>
              <w:right w:val="nil"/>
            </w:tcBorders>
            <w:tcMar>
              <w:top w:w="0" w:type="dxa"/>
              <w:left w:w="108" w:type="dxa"/>
              <w:bottom w:w="0" w:type="dxa"/>
              <w:right w:w="108" w:type="dxa"/>
            </w:tcMar>
            <w:vAlign w:val="center"/>
            <w:hideMark/>
          </w:tcPr>
          <w:p w14:paraId="2F7CF23D" w14:textId="77777777" w:rsidR="001C7B41" w:rsidRPr="00F25744" w:rsidRDefault="00E25AE7" w:rsidP="005B6976">
            <w:pPr>
              <w:bidi w:val="0"/>
              <w:spacing w:after="0" w:line="240" w:lineRule="auto"/>
              <w:jc w:val="center"/>
              <w:rPr>
                <w:rFonts w:ascii="Arial" w:hAnsi="Arial"/>
                <w:b/>
                <w:bCs/>
                <w:color w:val="000000"/>
                <w:sz w:val="24"/>
                <w:szCs w:val="24"/>
              </w:rPr>
            </w:pPr>
            <w:r w:rsidRPr="00F25744">
              <w:rPr>
                <w:rFonts w:ascii="David" w:hAnsi="David" w:cs="David"/>
                <w:b/>
                <w:bCs/>
                <w:color w:val="000000"/>
                <w:sz w:val="24"/>
                <w:szCs w:val="24"/>
                <w:rtl/>
              </w:rPr>
              <w:t>עם עוזמ"ש שמסייע בכתיבה</w:t>
            </w:r>
          </w:p>
        </w:tc>
      </w:tr>
      <w:tr w:rsidR="00E0162E" w:rsidRPr="00F25744" w14:paraId="4D1948BF" w14:textId="77777777" w:rsidTr="005B6976">
        <w:trPr>
          <w:trHeight w:val="630"/>
        </w:trPr>
        <w:tc>
          <w:tcPr>
            <w:tcW w:w="3979" w:type="dxa"/>
            <w:tcMar>
              <w:top w:w="0" w:type="dxa"/>
              <w:left w:w="108" w:type="dxa"/>
              <w:bottom w:w="0" w:type="dxa"/>
              <w:right w:w="108" w:type="dxa"/>
            </w:tcMar>
            <w:vAlign w:val="center"/>
            <w:hideMark/>
          </w:tcPr>
          <w:p w14:paraId="4B0F1ED8" w14:textId="77777777" w:rsidR="001C7B41" w:rsidRPr="00F25744" w:rsidRDefault="00E25AE7" w:rsidP="005B6976">
            <w:pPr>
              <w:spacing w:after="0" w:line="240" w:lineRule="auto"/>
              <w:rPr>
                <w:rFonts w:ascii="David" w:hAnsi="David" w:cs="David"/>
                <w:b/>
                <w:bCs/>
                <w:color w:val="000000"/>
                <w:sz w:val="24"/>
                <w:szCs w:val="24"/>
              </w:rPr>
            </w:pPr>
            <w:r w:rsidRPr="00F25744">
              <w:rPr>
                <w:rFonts w:ascii="David" w:hAnsi="David" w:cs="David"/>
                <w:b/>
                <w:bCs/>
                <w:color w:val="000000"/>
                <w:sz w:val="24"/>
                <w:szCs w:val="24"/>
                <w:rtl/>
              </w:rPr>
              <w:t>אדמיניסטרציה קשורה בתיקים</w:t>
            </w:r>
          </w:p>
        </w:tc>
        <w:tc>
          <w:tcPr>
            <w:tcW w:w="1212" w:type="dxa"/>
            <w:noWrap/>
            <w:tcMar>
              <w:top w:w="0" w:type="dxa"/>
              <w:left w:w="108" w:type="dxa"/>
              <w:bottom w:w="0" w:type="dxa"/>
              <w:right w:w="108" w:type="dxa"/>
            </w:tcMar>
            <w:vAlign w:val="center"/>
            <w:hideMark/>
          </w:tcPr>
          <w:p w14:paraId="1E1F2940" w14:textId="77777777" w:rsidR="001C7B41" w:rsidRPr="00F25744" w:rsidRDefault="00E25AE7" w:rsidP="005B6976">
            <w:pPr>
              <w:bidi w:val="0"/>
              <w:spacing w:after="0" w:line="240" w:lineRule="auto"/>
              <w:jc w:val="center"/>
              <w:rPr>
                <w:rFonts w:ascii="David" w:hAnsi="David" w:cs="David"/>
                <w:color w:val="000000"/>
                <w:sz w:val="24"/>
                <w:szCs w:val="24"/>
              </w:rPr>
            </w:pPr>
            <w:r w:rsidRPr="00F25744">
              <w:rPr>
                <w:rFonts w:ascii="David" w:hAnsi="David" w:cs="David"/>
                <w:color w:val="000000"/>
                <w:sz w:val="24"/>
                <w:szCs w:val="24"/>
              </w:rPr>
              <w:t>2.1%</w:t>
            </w:r>
          </w:p>
        </w:tc>
        <w:tc>
          <w:tcPr>
            <w:tcW w:w="1843" w:type="dxa"/>
            <w:tcMar>
              <w:top w:w="0" w:type="dxa"/>
              <w:left w:w="108" w:type="dxa"/>
              <w:bottom w:w="0" w:type="dxa"/>
              <w:right w:w="108" w:type="dxa"/>
            </w:tcMar>
            <w:vAlign w:val="center"/>
            <w:hideMark/>
          </w:tcPr>
          <w:p w14:paraId="2C7E3B7E" w14:textId="77777777" w:rsidR="001C7B41" w:rsidRPr="00F25744" w:rsidRDefault="00E25AE7" w:rsidP="005B6976">
            <w:pPr>
              <w:bidi w:val="0"/>
              <w:spacing w:after="0" w:line="240" w:lineRule="auto"/>
              <w:jc w:val="center"/>
              <w:rPr>
                <w:rFonts w:ascii="David" w:hAnsi="David" w:cs="David"/>
                <w:color w:val="000000"/>
                <w:sz w:val="24"/>
                <w:szCs w:val="24"/>
                <w:rtl/>
              </w:rPr>
            </w:pPr>
            <w:r w:rsidRPr="00F25744">
              <w:rPr>
                <w:rFonts w:ascii="David" w:hAnsi="David" w:cs="David"/>
                <w:color w:val="000000"/>
                <w:sz w:val="24"/>
                <w:szCs w:val="24"/>
              </w:rPr>
              <w:t>2.1%</w:t>
            </w:r>
          </w:p>
        </w:tc>
        <w:tc>
          <w:tcPr>
            <w:tcW w:w="1702" w:type="dxa"/>
            <w:tcMar>
              <w:top w:w="0" w:type="dxa"/>
              <w:left w:w="108" w:type="dxa"/>
              <w:bottom w:w="0" w:type="dxa"/>
              <w:right w:w="108" w:type="dxa"/>
            </w:tcMar>
            <w:vAlign w:val="center"/>
            <w:hideMark/>
          </w:tcPr>
          <w:p w14:paraId="01BD0FF1" w14:textId="77777777" w:rsidR="001C7B41" w:rsidRPr="00F25744" w:rsidRDefault="00E25AE7" w:rsidP="005B6976">
            <w:pPr>
              <w:bidi w:val="0"/>
              <w:spacing w:after="0" w:line="240" w:lineRule="auto"/>
              <w:jc w:val="center"/>
              <w:rPr>
                <w:rFonts w:ascii="David" w:hAnsi="David" w:cs="David"/>
                <w:color w:val="000000"/>
                <w:sz w:val="24"/>
                <w:szCs w:val="24"/>
              </w:rPr>
            </w:pPr>
            <w:r w:rsidRPr="00F25744">
              <w:rPr>
                <w:rFonts w:ascii="David" w:hAnsi="David" w:cs="David"/>
                <w:color w:val="000000"/>
                <w:sz w:val="24"/>
                <w:szCs w:val="24"/>
              </w:rPr>
              <w:t>2.3%</w:t>
            </w:r>
          </w:p>
        </w:tc>
      </w:tr>
      <w:tr w:rsidR="00E0162E" w:rsidRPr="00F25744" w14:paraId="1525B8D8" w14:textId="77777777" w:rsidTr="005B6976">
        <w:trPr>
          <w:trHeight w:val="293"/>
        </w:trPr>
        <w:tc>
          <w:tcPr>
            <w:tcW w:w="3979" w:type="dxa"/>
            <w:tcMar>
              <w:top w:w="0" w:type="dxa"/>
              <w:left w:w="108" w:type="dxa"/>
              <w:bottom w:w="0" w:type="dxa"/>
              <w:right w:w="108" w:type="dxa"/>
            </w:tcMar>
            <w:vAlign w:val="center"/>
            <w:hideMark/>
          </w:tcPr>
          <w:p w14:paraId="5E08AA11" w14:textId="77777777" w:rsidR="001C7B41" w:rsidRPr="00F25744" w:rsidRDefault="00E25AE7" w:rsidP="005B6976">
            <w:pPr>
              <w:spacing w:after="0" w:line="240" w:lineRule="auto"/>
              <w:rPr>
                <w:rFonts w:ascii="Arial" w:hAnsi="Arial"/>
                <w:b/>
                <w:bCs/>
                <w:color w:val="000000"/>
                <w:sz w:val="24"/>
                <w:szCs w:val="24"/>
              </w:rPr>
            </w:pPr>
            <w:r w:rsidRPr="00F25744">
              <w:rPr>
                <w:rFonts w:ascii="David" w:hAnsi="David" w:cs="David"/>
                <w:b/>
                <w:bCs/>
                <w:color w:val="000000"/>
                <w:sz w:val="24"/>
                <w:szCs w:val="24"/>
                <w:rtl/>
              </w:rPr>
              <w:t>הכנה לדיונים</w:t>
            </w:r>
          </w:p>
        </w:tc>
        <w:tc>
          <w:tcPr>
            <w:tcW w:w="1212" w:type="dxa"/>
            <w:noWrap/>
            <w:tcMar>
              <w:top w:w="0" w:type="dxa"/>
              <w:left w:w="108" w:type="dxa"/>
              <w:bottom w:w="0" w:type="dxa"/>
              <w:right w:w="108" w:type="dxa"/>
            </w:tcMar>
            <w:vAlign w:val="center"/>
            <w:hideMark/>
          </w:tcPr>
          <w:p w14:paraId="0D71477D" w14:textId="77777777" w:rsidR="001C7B41" w:rsidRPr="00F25744" w:rsidRDefault="00E25AE7" w:rsidP="005B6976">
            <w:pPr>
              <w:bidi w:val="0"/>
              <w:spacing w:after="0" w:line="240" w:lineRule="auto"/>
              <w:jc w:val="center"/>
              <w:rPr>
                <w:rFonts w:ascii="David" w:hAnsi="David" w:cs="David"/>
                <w:color w:val="000000"/>
                <w:sz w:val="24"/>
                <w:szCs w:val="24"/>
                <w:rtl/>
              </w:rPr>
            </w:pPr>
            <w:r w:rsidRPr="00F25744">
              <w:rPr>
                <w:rFonts w:ascii="David" w:hAnsi="David" w:cs="David"/>
                <w:color w:val="000000"/>
                <w:sz w:val="24"/>
                <w:szCs w:val="24"/>
              </w:rPr>
              <w:t>15%</w:t>
            </w:r>
          </w:p>
        </w:tc>
        <w:tc>
          <w:tcPr>
            <w:tcW w:w="1843" w:type="dxa"/>
            <w:tcMar>
              <w:top w:w="0" w:type="dxa"/>
              <w:left w:w="108" w:type="dxa"/>
              <w:bottom w:w="0" w:type="dxa"/>
              <w:right w:w="108" w:type="dxa"/>
            </w:tcMar>
            <w:vAlign w:val="center"/>
            <w:hideMark/>
          </w:tcPr>
          <w:p w14:paraId="4DD03CCF" w14:textId="77777777" w:rsidR="001C7B41" w:rsidRPr="00F25744" w:rsidRDefault="00E25AE7" w:rsidP="005B6976">
            <w:pPr>
              <w:bidi w:val="0"/>
              <w:spacing w:after="0" w:line="240" w:lineRule="auto"/>
              <w:jc w:val="center"/>
              <w:rPr>
                <w:rFonts w:ascii="David" w:hAnsi="David" w:cs="David"/>
                <w:color w:val="000000"/>
                <w:sz w:val="24"/>
                <w:szCs w:val="24"/>
              </w:rPr>
            </w:pPr>
            <w:r w:rsidRPr="00F25744">
              <w:rPr>
                <w:rFonts w:ascii="David" w:hAnsi="David" w:cs="David"/>
                <w:color w:val="000000"/>
                <w:sz w:val="24"/>
                <w:szCs w:val="24"/>
              </w:rPr>
              <w:t>18%</w:t>
            </w:r>
          </w:p>
        </w:tc>
        <w:tc>
          <w:tcPr>
            <w:tcW w:w="1702" w:type="dxa"/>
            <w:tcMar>
              <w:top w:w="0" w:type="dxa"/>
              <w:left w:w="108" w:type="dxa"/>
              <w:bottom w:w="0" w:type="dxa"/>
              <w:right w:w="108" w:type="dxa"/>
            </w:tcMar>
            <w:vAlign w:val="center"/>
            <w:hideMark/>
          </w:tcPr>
          <w:p w14:paraId="48B9A618" w14:textId="77777777" w:rsidR="001C7B41" w:rsidRPr="00F25744" w:rsidRDefault="00E25AE7" w:rsidP="005B6976">
            <w:pPr>
              <w:bidi w:val="0"/>
              <w:spacing w:after="0" w:line="240" w:lineRule="auto"/>
              <w:jc w:val="center"/>
              <w:rPr>
                <w:rFonts w:ascii="David" w:hAnsi="David" w:cs="David"/>
                <w:color w:val="000000"/>
                <w:sz w:val="24"/>
                <w:szCs w:val="24"/>
              </w:rPr>
            </w:pPr>
            <w:r w:rsidRPr="00F25744">
              <w:rPr>
                <w:rFonts w:ascii="David" w:hAnsi="David" w:cs="David"/>
                <w:color w:val="000000"/>
                <w:sz w:val="24"/>
                <w:szCs w:val="24"/>
              </w:rPr>
              <w:t>14.4%</w:t>
            </w:r>
          </w:p>
        </w:tc>
      </w:tr>
      <w:tr w:rsidR="00E0162E" w:rsidRPr="00F25744" w14:paraId="39C55207" w14:textId="77777777" w:rsidTr="005B6976">
        <w:trPr>
          <w:trHeight w:val="410"/>
        </w:trPr>
        <w:tc>
          <w:tcPr>
            <w:tcW w:w="3979" w:type="dxa"/>
            <w:tcMar>
              <w:top w:w="0" w:type="dxa"/>
              <w:left w:w="108" w:type="dxa"/>
              <w:bottom w:w="0" w:type="dxa"/>
              <w:right w:w="108" w:type="dxa"/>
            </w:tcMar>
            <w:vAlign w:val="center"/>
            <w:hideMark/>
          </w:tcPr>
          <w:p w14:paraId="6330ECF1" w14:textId="77777777" w:rsidR="001C7B41" w:rsidRPr="00F25744" w:rsidRDefault="00E25AE7" w:rsidP="005B6976">
            <w:pPr>
              <w:spacing w:after="0" w:line="240" w:lineRule="auto"/>
              <w:rPr>
                <w:rFonts w:ascii="Arial" w:hAnsi="Arial"/>
                <w:b/>
                <w:bCs/>
                <w:color w:val="000000"/>
                <w:sz w:val="24"/>
                <w:szCs w:val="24"/>
              </w:rPr>
            </w:pPr>
            <w:r w:rsidRPr="00F25744">
              <w:rPr>
                <w:rFonts w:ascii="David" w:hAnsi="David" w:cs="David"/>
                <w:b/>
                <w:bCs/>
                <w:color w:val="000000"/>
                <w:sz w:val="24"/>
                <w:szCs w:val="24"/>
                <w:rtl/>
              </w:rPr>
              <w:t>כתיבה</w:t>
            </w:r>
          </w:p>
        </w:tc>
        <w:tc>
          <w:tcPr>
            <w:tcW w:w="1212" w:type="dxa"/>
            <w:noWrap/>
            <w:tcMar>
              <w:top w:w="0" w:type="dxa"/>
              <w:left w:w="108" w:type="dxa"/>
              <w:bottom w:w="0" w:type="dxa"/>
              <w:right w:w="108" w:type="dxa"/>
            </w:tcMar>
            <w:vAlign w:val="center"/>
            <w:hideMark/>
          </w:tcPr>
          <w:p w14:paraId="66FEB569" w14:textId="77777777" w:rsidR="001C7B41" w:rsidRPr="00F25744" w:rsidRDefault="00E25AE7" w:rsidP="005B6976">
            <w:pPr>
              <w:bidi w:val="0"/>
              <w:spacing w:after="0" w:line="240" w:lineRule="auto"/>
              <w:jc w:val="center"/>
              <w:rPr>
                <w:rFonts w:ascii="David" w:hAnsi="David" w:cs="David"/>
                <w:color w:val="000000"/>
                <w:sz w:val="24"/>
                <w:szCs w:val="24"/>
              </w:rPr>
            </w:pPr>
            <w:r w:rsidRPr="00F25744">
              <w:rPr>
                <w:rFonts w:ascii="David" w:hAnsi="David" w:cs="David"/>
                <w:color w:val="000000"/>
                <w:sz w:val="24"/>
                <w:szCs w:val="24"/>
              </w:rPr>
              <w:t>41.9%</w:t>
            </w:r>
          </w:p>
        </w:tc>
        <w:tc>
          <w:tcPr>
            <w:tcW w:w="1843" w:type="dxa"/>
            <w:tcMar>
              <w:top w:w="0" w:type="dxa"/>
              <w:left w:w="108" w:type="dxa"/>
              <w:bottom w:w="0" w:type="dxa"/>
              <w:right w:w="108" w:type="dxa"/>
            </w:tcMar>
            <w:vAlign w:val="center"/>
            <w:hideMark/>
          </w:tcPr>
          <w:p w14:paraId="54827182" w14:textId="77777777" w:rsidR="001C7B41" w:rsidRPr="00F25744" w:rsidRDefault="00E25AE7" w:rsidP="005B6976">
            <w:pPr>
              <w:bidi w:val="0"/>
              <w:spacing w:after="0" w:line="240" w:lineRule="auto"/>
              <w:jc w:val="center"/>
              <w:rPr>
                <w:rFonts w:ascii="David" w:hAnsi="David" w:cs="David"/>
                <w:color w:val="000000"/>
                <w:sz w:val="24"/>
                <w:szCs w:val="24"/>
              </w:rPr>
            </w:pPr>
            <w:r w:rsidRPr="00F25744">
              <w:rPr>
                <w:rFonts w:ascii="David" w:hAnsi="David" w:cs="David"/>
                <w:color w:val="000000"/>
                <w:sz w:val="24"/>
                <w:szCs w:val="24"/>
              </w:rPr>
              <w:t>40.4%</w:t>
            </w:r>
          </w:p>
        </w:tc>
        <w:tc>
          <w:tcPr>
            <w:tcW w:w="1702" w:type="dxa"/>
            <w:tcMar>
              <w:top w:w="0" w:type="dxa"/>
              <w:left w:w="108" w:type="dxa"/>
              <w:bottom w:w="0" w:type="dxa"/>
              <w:right w:w="108" w:type="dxa"/>
            </w:tcMar>
            <w:vAlign w:val="center"/>
            <w:hideMark/>
          </w:tcPr>
          <w:p w14:paraId="2B496570" w14:textId="77777777" w:rsidR="001C7B41" w:rsidRPr="00F25744" w:rsidRDefault="00E25AE7" w:rsidP="005B6976">
            <w:pPr>
              <w:bidi w:val="0"/>
              <w:spacing w:after="0" w:line="240" w:lineRule="auto"/>
              <w:jc w:val="center"/>
              <w:rPr>
                <w:rFonts w:ascii="David" w:hAnsi="David" w:cs="David"/>
                <w:color w:val="000000"/>
                <w:sz w:val="24"/>
                <w:szCs w:val="24"/>
                <w:rtl/>
              </w:rPr>
            </w:pPr>
            <w:r w:rsidRPr="00F25744">
              <w:rPr>
                <w:rFonts w:ascii="David" w:hAnsi="David" w:cs="David"/>
                <w:color w:val="000000"/>
                <w:sz w:val="24"/>
                <w:szCs w:val="24"/>
              </w:rPr>
              <w:t>40%</w:t>
            </w:r>
          </w:p>
        </w:tc>
      </w:tr>
      <w:tr w:rsidR="00E0162E" w:rsidRPr="00F25744" w14:paraId="272632DC" w14:textId="77777777" w:rsidTr="005B6976">
        <w:trPr>
          <w:trHeight w:val="369"/>
        </w:trPr>
        <w:tc>
          <w:tcPr>
            <w:tcW w:w="3979" w:type="dxa"/>
            <w:tcMar>
              <w:top w:w="0" w:type="dxa"/>
              <w:left w:w="108" w:type="dxa"/>
              <w:bottom w:w="0" w:type="dxa"/>
              <w:right w:w="108" w:type="dxa"/>
            </w:tcMar>
            <w:vAlign w:val="center"/>
            <w:hideMark/>
          </w:tcPr>
          <w:p w14:paraId="61E8B64D" w14:textId="77777777" w:rsidR="001C7B41" w:rsidRPr="00F25744" w:rsidRDefault="00E25AE7" w:rsidP="005B6976">
            <w:pPr>
              <w:spacing w:after="0" w:line="240" w:lineRule="auto"/>
              <w:rPr>
                <w:rFonts w:ascii="Arial" w:hAnsi="Arial"/>
                <w:color w:val="000000"/>
                <w:sz w:val="24"/>
                <w:szCs w:val="24"/>
              </w:rPr>
            </w:pPr>
            <w:r w:rsidRPr="00F25744">
              <w:rPr>
                <w:rFonts w:ascii="David" w:hAnsi="David" w:cs="David"/>
                <w:color w:val="000000"/>
                <w:sz w:val="24"/>
                <w:szCs w:val="24"/>
                <w:rtl/>
              </w:rPr>
              <w:t>     טיפול גורף בריבוי משימות בסל העבודה</w:t>
            </w:r>
          </w:p>
        </w:tc>
        <w:tc>
          <w:tcPr>
            <w:tcW w:w="1212" w:type="dxa"/>
            <w:noWrap/>
            <w:tcMar>
              <w:top w:w="0" w:type="dxa"/>
              <w:left w:w="108" w:type="dxa"/>
              <w:bottom w:w="0" w:type="dxa"/>
              <w:right w:w="108" w:type="dxa"/>
            </w:tcMar>
            <w:vAlign w:val="center"/>
            <w:hideMark/>
          </w:tcPr>
          <w:p w14:paraId="37A6870F" w14:textId="77777777" w:rsidR="001C7B41" w:rsidRPr="00F25744" w:rsidRDefault="00E25AE7" w:rsidP="005B6976">
            <w:pPr>
              <w:bidi w:val="0"/>
              <w:spacing w:after="0" w:line="240" w:lineRule="auto"/>
              <w:jc w:val="center"/>
              <w:rPr>
                <w:rFonts w:ascii="David" w:hAnsi="David" w:cs="David"/>
                <w:color w:val="000000"/>
                <w:sz w:val="24"/>
                <w:szCs w:val="24"/>
              </w:rPr>
            </w:pPr>
            <w:r w:rsidRPr="00F25744">
              <w:rPr>
                <w:rFonts w:ascii="David" w:hAnsi="David" w:cs="David"/>
                <w:color w:val="000000"/>
                <w:sz w:val="24"/>
                <w:szCs w:val="24"/>
              </w:rPr>
              <w:t>17.9%</w:t>
            </w:r>
          </w:p>
        </w:tc>
        <w:tc>
          <w:tcPr>
            <w:tcW w:w="1843" w:type="dxa"/>
            <w:tcMar>
              <w:top w:w="0" w:type="dxa"/>
              <w:left w:w="108" w:type="dxa"/>
              <w:bottom w:w="0" w:type="dxa"/>
              <w:right w:w="108" w:type="dxa"/>
            </w:tcMar>
            <w:vAlign w:val="center"/>
            <w:hideMark/>
          </w:tcPr>
          <w:p w14:paraId="0A98112F" w14:textId="77777777" w:rsidR="001C7B41" w:rsidRPr="00F25744" w:rsidRDefault="00E25AE7" w:rsidP="005B6976">
            <w:pPr>
              <w:bidi w:val="0"/>
              <w:spacing w:after="0" w:line="240" w:lineRule="auto"/>
              <w:jc w:val="center"/>
              <w:rPr>
                <w:rFonts w:asciiTheme="minorHAnsi" w:hAnsiTheme="minorHAnsi" w:cs="David"/>
                <w:color w:val="000000"/>
                <w:sz w:val="24"/>
                <w:szCs w:val="24"/>
              </w:rPr>
            </w:pPr>
            <w:r w:rsidRPr="00F25744">
              <w:rPr>
                <w:rFonts w:ascii="David" w:hAnsi="David" w:cs="David"/>
                <w:color w:val="000000"/>
                <w:sz w:val="24"/>
                <w:szCs w:val="24"/>
              </w:rPr>
              <w:t>20.7%</w:t>
            </w:r>
          </w:p>
        </w:tc>
        <w:tc>
          <w:tcPr>
            <w:tcW w:w="1702" w:type="dxa"/>
            <w:tcMar>
              <w:top w:w="0" w:type="dxa"/>
              <w:left w:w="108" w:type="dxa"/>
              <w:bottom w:w="0" w:type="dxa"/>
              <w:right w:w="108" w:type="dxa"/>
            </w:tcMar>
            <w:vAlign w:val="center"/>
            <w:hideMark/>
          </w:tcPr>
          <w:p w14:paraId="06D7FD89" w14:textId="77777777" w:rsidR="001C7B41" w:rsidRPr="00F25744" w:rsidRDefault="00E25AE7" w:rsidP="005B6976">
            <w:pPr>
              <w:bidi w:val="0"/>
              <w:spacing w:after="0" w:line="240" w:lineRule="auto"/>
              <w:jc w:val="center"/>
              <w:rPr>
                <w:rFonts w:ascii="David" w:hAnsi="David" w:cs="David"/>
                <w:color w:val="000000"/>
                <w:sz w:val="24"/>
                <w:szCs w:val="24"/>
              </w:rPr>
            </w:pPr>
            <w:r w:rsidRPr="00F25744">
              <w:rPr>
                <w:rFonts w:ascii="David" w:hAnsi="David" w:cs="David"/>
                <w:color w:val="000000"/>
                <w:sz w:val="24"/>
                <w:szCs w:val="24"/>
              </w:rPr>
              <w:t>17.2%</w:t>
            </w:r>
          </w:p>
        </w:tc>
      </w:tr>
      <w:tr w:rsidR="00E0162E" w:rsidRPr="00F25744" w14:paraId="6600C98C" w14:textId="77777777" w:rsidTr="005B6976">
        <w:trPr>
          <w:trHeight w:val="453"/>
        </w:trPr>
        <w:tc>
          <w:tcPr>
            <w:tcW w:w="3979" w:type="dxa"/>
            <w:tcMar>
              <w:top w:w="0" w:type="dxa"/>
              <w:left w:w="108" w:type="dxa"/>
              <w:bottom w:w="0" w:type="dxa"/>
              <w:right w:w="108" w:type="dxa"/>
            </w:tcMar>
            <w:vAlign w:val="center"/>
            <w:hideMark/>
          </w:tcPr>
          <w:p w14:paraId="7F79DD56" w14:textId="77777777" w:rsidR="001C7B41" w:rsidRPr="00F25744" w:rsidRDefault="00E25AE7" w:rsidP="005B6976">
            <w:pPr>
              <w:spacing w:after="0" w:line="240" w:lineRule="auto"/>
              <w:rPr>
                <w:rFonts w:ascii="Arial" w:hAnsi="Arial"/>
                <w:color w:val="000000"/>
                <w:sz w:val="24"/>
                <w:szCs w:val="24"/>
              </w:rPr>
            </w:pPr>
            <w:r w:rsidRPr="00F25744">
              <w:rPr>
                <w:rFonts w:ascii="David" w:hAnsi="David" w:cs="David"/>
                <w:color w:val="000000"/>
                <w:sz w:val="24"/>
                <w:szCs w:val="24"/>
                <w:rtl/>
              </w:rPr>
              <w:t>     כתיבת החלטות</w:t>
            </w:r>
          </w:p>
        </w:tc>
        <w:tc>
          <w:tcPr>
            <w:tcW w:w="1212" w:type="dxa"/>
            <w:noWrap/>
            <w:tcMar>
              <w:top w:w="0" w:type="dxa"/>
              <w:left w:w="108" w:type="dxa"/>
              <w:bottom w:w="0" w:type="dxa"/>
              <w:right w:w="108" w:type="dxa"/>
            </w:tcMar>
            <w:vAlign w:val="center"/>
            <w:hideMark/>
          </w:tcPr>
          <w:p w14:paraId="012D2E06" w14:textId="77777777" w:rsidR="001C7B41" w:rsidRPr="00F25744" w:rsidRDefault="00E25AE7" w:rsidP="005B6976">
            <w:pPr>
              <w:bidi w:val="0"/>
              <w:spacing w:after="0" w:line="240" w:lineRule="auto"/>
              <w:jc w:val="center"/>
              <w:rPr>
                <w:rFonts w:ascii="David" w:hAnsi="David" w:cs="David"/>
                <w:color w:val="000000"/>
                <w:sz w:val="24"/>
                <w:szCs w:val="24"/>
              </w:rPr>
            </w:pPr>
            <w:r w:rsidRPr="00F25744">
              <w:rPr>
                <w:rFonts w:ascii="David" w:hAnsi="David" w:cs="David"/>
                <w:color w:val="000000"/>
                <w:sz w:val="24"/>
                <w:szCs w:val="24"/>
              </w:rPr>
              <w:t>7.4%</w:t>
            </w:r>
          </w:p>
        </w:tc>
        <w:tc>
          <w:tcPr>
            <w:tcW w:w="1843" w:type="dxa"/>
            <w:tcMar>
              <w:top w:w="0" w:type="dxa"/>
              <w:left w:w="108" w:type="dxa"/>
              <w:bottom w:w="0" w:type="dxa"/>
              <w:right w:w="108" w:type="dxa"/>
            </w:tcMar>
            <w:vAlign w:val="center"/>
            <w:hideMark/>
          </w:tcPr>
          <w:p w14:paraId="3D4B405F" w14:textId="77777777" w:rsidR="001C7B41" w:rsidRPr="00F25744" w:rsidRDefault="00E25AE7" w:rsidP="005B6976">
            <w:pPr>
              <w:bidi w:val="0"/>
              <w:spacing w:after="0" w:line="240" w:lineRule="auto"/>
              <w:jc w:val="center"/>
              <w:rPr>
                <w:rFonts w:ascii="David" w:hAnsi="David" w:cs="David"/>
                <w:color w:val="000000"/>
                <w:sz w:val="24"/>
                <w:szCs w:val="24"/>
              </w:rPr>
            </w:pPr>
            <w:r w:rsidRPr="00F25744">
              <w:rPr>
                <w:rFonts w:ascii="David" w:hAnsi="David" w:cs="David"/>
                <w:color w:val="000000"/>
                <w:sz w:val="24"/>
                <w:szCs w:val="24"/>
              </w:rPr>
              <w:t>8.6%</w:t>
            </w:r>
          </w:p>
        </w:tc>
        <w:tc>
          <w:tcPr>
            <w:tcW w:w="1702" w:type="dxa"/>
            <w:tcMar>
              <w:top w:w="0" w:type="dxa"/>
              <w:left w:w="108" w:type="dxa"/>
              <w:bottom w:w="0" w:type="dxa"/>
              <w:right w:w="108" w:type="dxa"/>
            </w:tcMar>
            <w:vAlign w:val="center"/>
            <w:hideMark/>
          </w:tcPr>
          <w:p w14:paraId="0AF14C17" w14:textId="77777777" w:rsidR="001C7B41" w:rsidRPr="00F25744" w:rsidRDefault="00E25AE7" w:rsidP="005B6976">
            <w:pPr>
              <w:bidi w:val="0"/>
              <w:spacing w:after="0" w:line="240" w:lineRule="auto"/>
              <w:jc w:val="center"/>
              <w:rPr>
                <w:rFonts w:ascii="David" w:hAnsi="David" w:cs="David"/>
                <w:color w:val="000000"/>
                <w:sz w:val="24"/>
                <w:szCs w:val="24"/>
                <w:rtl/>
              </w:rPr>
            </w:pPr>
            <w:r w:rsidRPr="00F25744">
              <w:rPr>
                <w:rFonts w:ascii="David" w:hAnsi="David" w:cs="David"/>
                <w:color w:val="000000"/>
                <w:sz w:val="24"/>
                <w:szCs w:val="24"/>
              </w:rPr>
              <w:t>6.6%</w:t>
            </w:r>
          </w:p>
        </w:tc>
      </w:tr>
      <w:tr w:rsidR="00E0162E" w:rsidRPr="00F25744" w14:paraId="4F52BEB5" w14:textId="77777777" w:rsidTr="005B6976">
        <w:trPr>
          <w:trHeight w:val="388"/>
        </w:trPr>
        <w:tc>
          <w:tcPr>
            <w:tcW w:w="3979" w:type="dxa"/>
            <w:tcMar>
              <w:top w:w="0" w:type="dxa"/>
              <w:left w:w="108" w:type="dxa"/>
              <w:bottom w:w="0" w:type="dxa"/>
              <w:right w:w="108" w:type="dxa"/>
            </w:tcMar>
            <w:vAlign w:val="center"/>
            <w:hideMark/>
          </w:tcPr>
          <w:p w14:paraId="4740ECBB" w14:textId="77777777" w:rsidR="001C7B41" w:rsidRPr="00F25744" w:rsidRDefault="00E25AE7" w:rsidP="005B6976">
            <w:pPr>
              <w:spacing w:after="0" w:line="240" w:lineRule="auto"/>
              <w:rPr>
                <w:rFonts w:ascii="David" w:hAnsi="David" w:cs="David"/>
                <w:color w:val="000000"/>
                <w:sz w:val="24"/>
                <w:szCs w:val="24"/>
              </w:rPr>
            </w:pPr>
            <w:r w:rsidRPr="00F25744">
              <w:rPr>
                <w:rFonts w:ascii="David" w:hAnsi="David" w:cs="David"/>
                <w:color w:val="000000"/>
                <w:sz w:val="24"/>
                <w:szCs w:val="24"/>
                <w:rtl/>
              </w:rPr>
              <w:t>     כתיבת פסקי דין</w:t>
            </w:r>
          </w:p>
        </w:tc>
        <w:tc>
          <w:tcPr>
            <w:tcW w:w="1212" w:type="dxa"/>
            <w:noWrap/>
            <w:tcMar>
              <w:top w:w="0" w:type="dxa"/>
              <w:left w:w="108" w:type="dxa"/>
              <w:bottom w:w="0" w:type="dxa"/>
              <w:right w:w="108" w:type="dxa"/>
            </w:tcMar>
            <w:vAlign w:val="center"/>
            <w:hideMark/>
          </w:tcPr>
          <w:p w14:paraId="20C698DA" w14:textId="77777777" w:rsidR="001C7B41" w:rsidRPr="00F25744" w:rsidRDefault="00E25AE7" w:rsidP="005B6976">
            <w:pPr>
              <w:bidi w:val="0"/>
              <w:spacing w:after="0" w:line="240" w:lineRule="auto"/>
              <w:jc w:val="center"/>
              <w:rPr>
                <w:rFonts w:ascii="David" w:hAnsi="David" w:cs="David"/>
                <w:color w:val="000000"/>
                <w:sz w:val="24"/>
                <w:szCs w:val="24"/>
              </w:rPr>
            </w:pPr>
            <w:r w:rsidRPr="00F25744">
              <w:rPr>
                <w:rFonts w:ascii="David" w:hAnsi="David" w:cs="David"/>
                <w:color w:val="000000"/>
                <w:sz w:val="24"/>
                <w:szCs w:val="24"/>
              </w:rPr>
              <w:t>16.6%</w:t>
            </w:r>
          </w:p>
        </w:tc>
        <w:tc>
          <w:tcPr>
            <w:tcW w:w="1843" w:type="dxa"/>
            <w:tcMar>
              <w:top w:w="0" w:type="dxa"/>
              <w:left w:w="108" w:type="dxa"/>
              <w:bottom w:w="0" w:type="dxa"/>
              <w:right w:w="108" w:type="dxa"/>
            </w:tcMar>
            <w:vAlign w:val="center"/>
            <w:hideMark/>
          </w:tcPr>
          <w:p w14:paraId="7DE2B1A4" w14:textId="77777777" w:rsidR="001C7B41" w:rsidRPr="00F25744" w:rsidRDefault="00E25AE7" w:rsidP="005B6976">
            <w:pPr>
              <w:bidi w:val="0"/>
              <w:spacing w:after="0" w:line="240" w:lineRule="auto"/>
              <w:jc w:val="center"/>
              <w:rPr>
                <w:rFonts w:ascii="David" w:hAnsi="David" w:cs="David"/>
                <w:color w:val="000000"/>
                <w:sz w:val="24"/>
                <w:szCs w:val="24"/>
                <w:rtl/>
              </w:rPr>
            </w:pPr>
            <w:r w:rsidRPr="00F25744">
              <w:rPr>
                <w:rFonts w:ascii="David" w:hAnsi="David" w:cs="David"/>
                <w:color w:val="000000"/>
                <w:sz w:val="24"/>
                <w:szCs w:val="24"/>
              </w:rPr>
              <w:t>11.2%</w:t>
            </w:r>
          </w:p>
        </w:tc>
        <w:tc>
          <w:tcPr>
            <w:tcW w:w="1702" w:type="dxa"/>
            <w:tcMar>
              <w:top w:w="0" w:type="dxa"/>
              <w:left w:w="108" w:type="dxa"/>
              <w:bottom w:w="0" w:type="dxa"/>
              <w:right w:w="108" w:type="dxa"/>
            </w:tcMar>
            <w:vAlign w:val="center"/>
            <w:hideMark/>
          </w:tcPr>
          <w:p w14:paraId="7CC5E798" w14:textId="77777777" w:rsidR="001C7B41" w:rsidRPr="00F25744" w:rsidRDefault="00E25AE7" w:rsidP="005B6976">
            <w:pPr>
              <w:bidi w:val="0"/>
              <w:spacing w:after="0" w:line="240" w:lineRule="auto"/>
              <w:jc w:val="center"/>
              <w:rPr>
                <w:rFonts w:ascii="David" w:hAnsi="David" w:cs="David"/>
                <w:color w:val="000000"/>
                <w:sz w:val="24"/>
                <w:szCs w:val="24"/>
              </w:rPr>
            </w:pPr>
            <w:r w:rsidRPr="00F25744">
              <w:rPr>
                <w:rFonts w:ascii="David" w:hAnsi="David" w:cs="David"/>
                <w:color w:val="000000"/>
                <w:sz w:val="24"/>
                <w:szCs w:val="24"/>
              </w:rPr>
              <w:t>16.3%</w:t>
            </w:r>
          </w:p>
        </w:tc>
      </w:tr>
      <w:tr w:rsidR="00E0162E" w:rsidRPr="00F25744" w14:paraId="217E2704" w14:textId="77777777" w:rsidTr="005B6976">
        <w:trPr>
          <w:trHeight w:val="436"/>
        </w:trPr>
        <w:tc>
          <w:tcPr>
            <w:tcW w:w="3979" w:type="dxa"/>
            <w:tcMar>
              <w:top w:w="0" w:type="dxa"/>
              <w:left w:w="108" w:type="dxa"/>
              <w:bottom w:w="0" w:type="dxa"/>
              <w:right w:w="108" w:type="dxa"/>
            </w:tcMar>
            <w:vAlign w:val="center"/>
            <w:hideMark/>
          </w:tcPr>
          <w:p w14:paraId="346B15C6" w14:textId="77777777" w:rsidR="001C7B41" w:rsidRPr="00F25744" w:rsidRDefault="00E25AE7" w:rsidP="005B6976">
            <w:pPr>
              <w:spacing w:after="0" w:line="240" w:lineRule="auto"/>
              <w:rPr>
                <w:rFonts w:ascii="David" w:hAnsi="David" w:cs="David"/>
                <w:b/>
                <w:bCs/>
                <w:color w:val="000000"/>
                <w:sz w:val="24"/>
                <w:szCs w:val="24"/>
              </w:rPr>
            </w:pPr>
            <w:r w:rsidRPr="00F25744">
              <w:rPr>
                <w:rFonts w:ascii="David" w:hAnsi="David" w:cs="David"/>
                <w:b/>
                <w:bCs/>
                <w:color w:val="000000"/>
                <w:sz w:val="24"/>
                <w:szCs w:val="24"/>
                <w:rtl/>
              </w:rPr>
              <w:t>עבודה שיפוטית שאינה קשורה בתיקים</w:t>
            </w:r>
          </w:p>
        </w:tc>
        <w:tc>
          <w:tcPr>
            <w:tcW w:w="1212" w:type="dxa"/>
            <w:noWrap/>
            <w:tcMar>
              <w:top w:w="0" w:type="dxa"/>
              <w:left w:w="108" w:type="dxa"/>
              <w:bottom w:w="0" w:type="dxa"/>
              <w:right w:w="108" w:type="dxa"/>
            </w:tcMar>
            <w:vAlign w:val="center"/>
            <w:hideMark/>
          </w:tcPr>
          <w:p w14:paraId="0B2F159D" w14:textId="77777777" w:rsidR="001C7B41" w:rsidRPr="00F25744" w:rsidRDefault="00E25AE7" w:rsidP="005B6976">
            <w:pPr>
              <w:bidi w:val="0"/>
              <w:spacing w:after="0" w:line="240" w:lineRule="auto"/>
              <w:jc w:val="center"/>
              <w:rPr>
                <w:rFonts w:asciiTheme="minorHAnsi" w:hAnsiTheme="minorHAnsi" w:cs="David"/>
                <w:color w:val="000000"/>
                <w:sz w:val="24"/>
                <w:szCs w:val="24"/>
              </w:rPr>
            </w:pPr>
            <w:r w:rsidRPr="00F25744">
              <w:rPr>
                <w:rFonts w:ascii="David" w:hAnsi="David" w:cs="David"/>
                <w:color w:val="000000"/>
                <w:sz w:val="24"/>
                <w:szCs w:val="24"/>
              </w:rPr>
              <w:t>12.7%</w:t>
            </w:r>
          </w:p>
        </w:tc>
        <w:tc>
          <w:tcPr>
            <w:tcW w:w="1843" w:type="dxa"/>
            <w:tcMar>
              <w:top w:w="0" w:type="dxa"/>
              <w:left w:w="108" w:type="dxa"/>
              <w:bottom w:w="0" w:type="dxa"/>
              <w:right w:w="108" w:type="dxa"/>
            </w:tcMar>
            <w:vAlign w:val="center"/>
            <w:hideMark/>
          </w:tcPr>
          <w:p w14:paraId="285CE2DB" w14:textId="77777777" w:rsidR="001C7B41" w:rsidRPr="00F25744" w:rsidRDefault="00E25AE7" w:rsidP="005B6976">
            <w:pPr>
              <w:bidi w:val="0"/>
              <w:spacing w:after="0" w:line="240" w:lineRule="auto"/>
              <w:jc w:val="center"/>
              <w:rPr>
                <w:rFonts w:ascii="David" w:hAnsi="David" w:cs="David"/>
                <w:color w:val="000000"/>
                <w:sz w:val="24"/>
                <w:szCs w:val="24"/>
                <w:rtl/>
              </w:rPr>
            </w:pPr>
            <w:r w:rsidRPr="00F25744">
              <w:rPr>
                <w:rFonts w:ascii="David" w:hAnsi="David" w:cs="David"/>
                <w:color w:val="000000"/>
                <w:sz w:val="24"/>
                <w:szCs w:val="24"/>
              </w:rPr>
              <w:t>10.8%</w:t>
            </w:r>
          </w:p>
        </w:tc>
        <w:tc>
          <w:tcPr>
            <w:tcW w:w="1702" w:type="dxa"/>
            <w:tcMar>
              <w:top w:w="0" w:type="dxa"/>
              <w:left w:w="108" w:type="dxa"/>
              <w:bottom w:w="0" w:type="dxa"/>
              <w:right w:w="108" w:type="dxa"/>
            </w:tcMar>
            <w:vAlign w:val="center"/>
            <w:hideMark/>
          </w:tcPr>
          <w:p w14:paraId="0E77B597" w14:textId="77777777" w:rsidR="001C7B41" w:rsidRPr="00F25744" w:rsidRDefault="00E25AE7" w:rsidP="005B6976">
            <w:pPr>
              <w:bidi w:val="0"/>
              <w:spacing w:after="0" w:line="240" w:lineRule="auto"/>
              <w:jc w:val="center"/>
              <w:rPr>
                <w:rFonts w:ascii="David" w:hAnsi="David" w:cs="David"/>
                <w:color w:val="000000"/>
                <w:sz w:val="24"/>
                <w:szCs w:val="24"/>
              </w:rPr>
            </w:pPr>
            <w:r w:rsidRPr="00F25744">
              <w:rPr>
                <w:rFonts w:ascii="David" w:hAnsi="David" w:cs="David"/>
                <w:color w:val="000000"/>
                <w:sz w:val="24"/>
                <w:szCs w:val="24"/>
              </w:rPr>
              <w:t>13.4%</w:t>
            </w:r>
          </w:p>
        </w:tc>
      </w:tr>
      <w:tr w:rsidR="00E0162E" w:rsidRPr="00F25744" w14:paraId="38151861" w14:textId="77777777" w:rsidTr="005B6976">
        <w:trPr>
          <w:trHeight w:val="111"/>
        </w:trPr>
        <w:tc>
          <w:tcPr>
            <w:tcW w:w="3979" w:type="dxa"/>
            <w:tcBorders>
              <w:top w:val="nil"/>
              <w:left w:val="nil"/>
              <w:bottom w:val="single" w:sz="8" w:space="0" w:color="auto"/>
              <w:right w:val="nil"/>
            </w:tcBorders>
            <w:tcMar>
              <w:top w:w="0" w:type="dxa"/>
              <w:left w:w="108" w:type="dxa"/>
              <w:bottom w:w="0" w:type="dxa"/>
              <w:right w:w="108" w:type="dxa"/>
            </w:tcMar>
            <w:vAlign w:val="center"/>
            <w:hideMark/>
          </w:tcPr>
          <w:p w14:paraId="7FAB9107" w14:textId="77777777" w:rsidR="001C7B41" w:rsidRPr="00F25744" w:rsidRDefault="00E25AE7" w:rsidP="005B6976">
            <w:pPr>
              <w:spacing w:after="0" w:line="240" w:lineRule="auto"/>
              <w:rPr>
                <w:rFonts w:ascii="Arial" w:hAnsi="Arial"/>
                <w:b/>
                <w:bCs/>
                <w:color w:val="000000"/>
                <w:sz w:val="24"/>
                <w:szCs w:val="24"/>
              </w:rPr>
            </w:pPr>
            <w:r w:rsidRPr="00F25744">
              <w:rPr>
                <w:rFonts w:ascii="David" w:hAnsi="David" w:cs="David"/>
                <w:b/>
                <w:bCs/>
                <w:color w:val="000000"/>
                <w:sz w:val="24"/>
                <w:szCs w:val="24"/>
                <w:rtl/>
              </w:rPr>
              <w:t>שמיעת דיונים</w:t>
            </w:r>
          </w:p>
        </w:tc>
        <w:tc>
          <w:tcPr>
            <w:tcW w:w="1212" w:type="dxa"/>
            <w:tcBorders>
              <w:top w:val="nil"/>
              <w:left w:val="nil"/>
              <w:bottom w:val="single" w:sz="8" w:space="0" w:color="auto"/>
              <w:right w:val="nil"/>
            </w:tcBorders>
            <w:noWrap/>
            <w:tcMar>
              <w:top w:w="0" w:type="dxa"/>
              <w:left w:w="108" w:type="dxa"/>
              <w:bottom w:w="0" w:type="dxa"/>
              <w:right w:w="108" w:type="dxa"/>
            </w:tcMar>
            <w:vAlign w:val="center"/>
            <w:hideMark/>
          </w:tcPr>
          <w:p w14:paraId="73E7ABCE" w14:textId="77777777" w:rsidR="001C7B41" w:rsidRPr="00F25744" w:rsidRDefault="00E25AE7" w:rsidP="005B6976">
            <w:pPr>
              <w:bidi w:val="0"/>
              <w:spacing w:after="0" w:line="240" w:lineRule="auto"/>
              <w:jc w:val="center"/>
              <w:rPr>
                <w:rFonts w:ascii="David" w:hAnsi="David" w:cs="David"/>
                <w:color w:val="000000"/>
                <w:sz w:val="24"/>
                <w:szCs w:val="24"/>
              </w:rPr>
            </w:pPr>
            <w:r w:rsidRPr="00F25744">
              <w:rPr>
                <w:rFonts w:ascii="David" w:hAnsi="David" w:cs="David"/>
                <w:color w:val="000000"/>
                <w:sz w:val="24"/>
                <w:szCs w:val="24"/>
              </w:rPr>
              <w:t>28.2%</w:t>
            </w:r>
          </w:p>
        </w:tc>
        <w:tc>
          <w:tcPr>
            <w:tcW w:w="1843" w:type="dxa"/>
            <w:tcBorders>
              <w:top w:val="nil"/>
              <w:left w:val="nil"/>
              <w:bottom w:val="single" w:sz="8" w:space="0" w:color="auto"/>
              <w:right w:val="nil"/>
            </w:tcBorders>
            <w:tcMar>
              <w:top w:w="0" w:type="dxa"/>
              <w:left w:w="108" w:type="dxa"/>
              <w:bottom w:w="0" w:type="dxa"/>
              <w:right w:w="108" w:type="dxa"/>
            </w:tcMar>
            <w:vAlign w:val="center"/>
            <w:hideMark/>
          </w:tcPr>
          <w:p w14:paraId="19B6FE31" w14:textId="77777777" w:rsidR="001C7B41" w:rsidRPr="00F25744" w:rsidRDefault="00E25AE7" w:rsidP="005B6976">
            <w:pPr>
              <w:bidi w:val="0"/>
              <w:spacing w:after="0" w:line="240" w:lineRule="auto"/>
              <w:jc w:val="center"/>
              <w:rPr>
                <w:rFonts w:ascii="David" w:hAnsi="David" w:cs="David"/>
                <w:color w:val="000000"/>
                <w:sz w:val="24"/>
                <w:szCs w:val="24"/>
              </w:rPr>
            </w:pPr>
            <w:r w:rsidRPr="00F25744">
              <w:rPr>
                <w:rFonts w:ascii="David" w:hAnsi="David" w:cs="David"/>
                <w:color w:val="000000"/>
                <w:sz w:val="24"/>
                <w:szCs w:val="24"/>
              </w:rPr>
              <w:t>28.7%</w:t>
            </w:r>
          </w:p>
        </w:tc>
        <w:tc>
          <w:tcPr>
            <w:tcW w:w="1702" w:type="dxa"/>
            <w:tcBorders>
              <w:top w:val="nil"/>
              <w:left w:val="nil"/>
              <w:bottom w:val="single" w:sz="8" w:space="0" w:color="auto"/>
              <w:right w:val="nil"/>
            </w:tcBorders>
            <w:tcMar>
              <w:top w:w="0" w:type="dxa"/>
              <w:left w:w="108" w:type="dxa"/>
              <w:bottom w:w="0" w:type="dxa"/>
              <w:right w:w="108" w:type="dxa"/>
            </w:tcMar>
            <w:vAlign w:val="center"/>
            <w:hideMark/>
          </w:tcPr>
          <w:p w14:paraId="1C425720" w14:textId="77777777" w:rsidR="001C7B41" w:rsidRPr="00F25744" w:rsidRDefault="00E25AE7" w:rsidP="005B6976">
            <w:pPr>
              <w:bidi w:val="0"/>
              <w:spacing w:after="0" w:line="240" w:lineRule="auto"/>
              <w:jc w:val="center"/>
              <w:rPr>
                <w:rFonts w:ascii="David" w:hAnsi="David" w:cs="David"/>
                <w:color w:val="000000"/>
                <w:sz w:val="24"/>
                <w:szCs w:val="24"/>
                <w:rtl/>
              </w:rPr>
            </w:pPr>
            <w:r w:rsidRPr="00F25744">
              <w:rPr>
                <w:rFonts w:ascii="David" w:hAnsi="David" w:cs="David"/>
                <w:color w:val="000000"/>
                <w:sz w:val="24"/>
                <w:szCs w:val="24"/>
              </w:rPr>
              <w:t>29.9%</w:t>
            </w:r>
          </w:p>
        </w:tc>
      </w:tr>
    </w:tbl>
    <w:p w14:paraId="0A761EB1" w14:textId="77777777" w:rsidR="00645866" w:rsidRDefault="00645866" w:rsidP="00645866">
      <w:pPr>
        <w:widowControl w:val="0"/>
        <w:autoSpaceDE w:val="0"/>
        <w:autoSpaceDN w:val="0"/>
        <w:adjustRightInd w:val="0"/>
        <w:spacing w:after="0" w:line="240" w:lineRule="auto"/>
        <w:jc w:val="both"/>
        <w:rPr>
          <w:rFonts w:ascii="David" w:hAnsi="David" w:cs="David"/>
          <w:sz w:val="24"/>
          <w:szCs w:val="24"/>
          <w:rtl/>
        </w:rPr>
      </w:pPr>
    </w:p>
    <w:p w14:paraId="05BDB9CE" w14:textId="00CB1876" w:rsidR="001C7B41" w:rsidRPr="00F25744" w:rsidRDefault="00E25AE7" w:rsidP="008336F3">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 xml:space="preserve">בחינת הטבלה המוצגת לעיל מעלה, כי ההבדלים בפילוח יום העבודה השיפוטי של שופט אשר מסתייע בעוזר המשפטי שלו במשימות כתיבה מהותיות ובין שופט שלא, באים לידי ביטוי בעיקר בהכנה לדיונים ובתמהיל פעולות הכתיבה השונות. שופט שהעוזר המשפטי שלו </w:t>
      </w:r>
      <w:r w:rsidRPr="00F25744">
        <w:rPr>
          <w:rFonts w:ascii="David" w:hAnsi="David" w:cs="David" w:hint="cs"/>
          <w:b/>
          <w:bCs/>
          <w:sz w:val="24"/>
          <w:szCs w:val="24"/>
          <w:rtl/>
        </w:rPr>
        <w:t>לא</w:t>
      </w:r>
      <w:r w:rsidRPr="00F25744">
        <w:rPr>
          <w:rFonts w:ascii="David" w:hAnsi="David" w:cs="David" w:hint="cs"/>
          <w:sz w:val="24"/>
          <w:szCs w:val="24"/>
          <w:rtl/>
        </w:rPr>
        <w:t xml:space="preserve"> מסייע בכתיבה משקיע זמן רב יותר מתוך יום העבודה השיפוטי בהכנה לדיונים (18% בהשוואה ל-14.4% בהתאמה), בטיפול במשימות בסל העבודה (20.7% לעומת 17.2% בהתאמה) ובכתיבת החלטות ביניים (8.6% בהשוואה ל-6.6% בהתאמה). </w:t>
      </w:r>
      <w:r w:rsidRPr="00F25744">
        <w:rPr>
          <w:rFonts w:ascii="David" w:hAnsi="David" w:cs="David" w:hint="cs"/>
          <w:sz w:val="24"/>
          <w:szCs w:val="24"/>
          <w:rtl/>
        </w:rPr>
        <w:lastRenderedPageBreak/>
        <w:t>לעומת זאת, שופט ש</w:t>
      </w:r>
      <w:r w:rsidRPr="00F25744">
        <w:rPr>
          <w:rFonts w:ascii="David" w:hAnsi="David" w:cs="David" w:hint="cs"/>
          <w:b/>
          <w:bCs/>
          <w:sz w:val="24"/>
          <w:szCs w:val="24"/>
          <w:rtl/>
        </w:rPr>
        <w:t>כן</w:t>
      </w:r>
      <w:r w:rsidRPr="00F25744">
        <w:rPr>
          <w:rFonts w:ascii="David" w:hAnsi="David" w:cs="David" w:hint="cs"/>
          <w:sz w:val="24"/>
          <w:szCs w:val="24"/>
          <w:rtl/>
        </w:rPr>
        <w:t xml:space="preserve"> מסתייע בעוזר המשפטי שלו במשימות כתיבה מהותיות, משקיע זמן רב יותר בכתיבת פסקי דין (16.3% לעומת 11.2% בהתאמה), בעבודה שיפוטית שאינה קשורה בתיקים (13.4% לעומת 10.8% בהתאמה) ובשמיעת דיונים (29.9% לעומת 28.7% בהתאמה). </w:t>
      </w:r>
    </w:p>
    <w:p w14:paraId="5A8DD971" w14:textId="77777777" w:rsidR="001C7B41" w:rsidRPr="00F25744" w:rsidRDefault="00E25AE7" w:rsidP="008336F3">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 xml:space="preserve">ממצאים מעניינים אלו עשויים להיות מוסברים במספר אופנים. ראשית חשוב לעמוד על כך, שסך תמהיל הזמן השיפוטי מהווה 100%, ועל כן ככל שמתפנה לשופט זמן לעסוק בפעילות אחת, היא תבוא על חשבון פעילות אחרת, שהרי השופטים </w:t>
      </w:r>
      <w:r w:rsidR="00064B52" w:rsidRPr="00F25744">
        <w:rPr>
          <w:rFonts w:ascii="David" w:hAnsi="David" w:cs="David" w:hint="cs"/>
          <w:sz w:val="24"/>
          <w:szCs w:val="24"/>
          <w:rtl/>
        </w:rPr>
        <w:t>עוסקים</w:t>
      </w:r>
      <w:r w:rsidRPr="00F25744">
        <w:rPr>
          <w:rFonts w:ascii="David" w:hAnsi="David" w:cs="David" w:hint="cs"/>
          <w:sz w:val="24"/>
          <w:szCs w:val="24"/>
          <w:rtl/>
        </w:rPr>
        <w:t xml:space="preserve"> במהלך היום גם בהכנה לדיונים, גם בשמיעת דיונים וגם בכתיבה. על כן, למשל, אם העוזר המשפטי מסייע בטיפול במשימות בסל ובכתיבת החלטות, אזי לשופט יתפנה זמן רב יותר לעסוק בעבודה שיפוטית שאינה קשורה בתיקים או בכתיבת פסקי דין. עם זאת, לגבי כתיבת פסקי דין, גם אם העוזר המשפטי מסייע לשופט בפעילות זו, עדיין השופט צריך להקדיש זמן להגהה, עריכה והנחיית העוזר המשפטי. עוד חשוב לציין  בנקודה זו, כי במסגרת מחקר זה מדדנו את הזמן שהוקדש לפעילות הכתיבה, אך </w:t>
      </w:r>
      <w:r w:rsidRPr="00F25744">
        <w:rPr>
          <w:rFonts w:ascii="David" w:hAnsi="David" w:cs="David" w:hint="cs"/>
          <w:b/>
          <w:bCs/>
          <w:sz w:val="24"/>
          <w:szCs w:val="24"/>
          <w:rtl/>
        </w:rPr>
        <w:t>לא מדדנו את ההספק</w:t>
      </w:r>
      <w:r w:rsidRPr="00F25744">
        <w:rPr>
          <w:rFonts w:ascii="David" w:hAnsi="David" w:cs="David" w:hint="cs"/>
          <w:sz w:val="24"/>
          <w:szCs w:val="24"/>
          <w:rtl/>
        </w:rPr>
        <w:t xml:space="preserve"> במהלך הזמן הזה. כלומר, ייתכן שבזמן הכתיבה השופט הספיק לכתוב כמות גדולה יותר של פסקי דין בזכות העזרה שקיבל במשימה זו מהעוזר המשפטי שלו. ייתכן כי נקודה זו מצריכה בחינה נפרדת בהמשך, אשר תבחן למשל את השפעת העזרה של העוזר המשפטי בקיצור משך חיי התיק וכדומה. השערה נוספת שניתן להעלות בהקשר זה, היא כי שופטים אשר נעזרים בעוזרים המשפטיים במשימות כתיבה מהותיות הם מלכתחילה שופטים אשר התיקים שבטיפולם מצריכים זמן כתיבה ארוך יותר, וכן כי שופטים מסתייעים בעוזרים המשפטיים שלהם יותר בכתיבת החלטות לעומת כתיבת פסקי דין.</w:t>
      </w:r>
    </w:p>
    <w:p w14:paraId="0EDBBA71" w14:textId="77777777" w:rsidR="001C7B41" w:rsidRPr="00F25744" w:rsidRDefault="00E25AE7" w:rsidP="008336F3">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לגבי הממצאים שלפיהם שופטים שנעזרים בעוזרים המשפטיים במשימות כתיבה משקיעים זמן רב יותר באדמיניסטרציה הקשורה בתיקים ובעבודה שיפוטית שאינה קשורה בתיקים, ניתן להניח שאחד ההסברים לכך הוא זמני הישיבות של השופטים עם העוזרים המשפטיים שלהם, במטרה להנחות אותם במשימות הכתיבה השונות. ייתכן שחלק מן השופטים תיעדו זמנים אלו תחת עמודת "אדמיניסטרציה קשורה בתיקים" במקום "עבודה שיפוטית שאינה קשורה בתיקים" (כפי שהנחינו בתחילת המחקר), מה שהאריך את הזמנים שהוקדשו לפעילות זו בשתי הקטגוריות הללו לשופטים שיש להם עוזרים משפטיים, מתמחים או סטודנטים. עוד הסבר לכך עשוי להיות תפקיד נוסף שיש לאותם שופטים אשר מסתייעים בעוזרים המשפטיים שלהם במשימות כתיבה, ואשר האריך עבורם את זמני העבודה השיפוטית שאינה קשורה בתיקים.</w:t>
      </w:r>
    </w:p>
    <w:p w14:paraId="1E8C343B" w14:textId="212C14AE" w:rsidR="001C7B41" w:rsidRPr="00F25744" w:rsidRDefault="00E25AE7" w:rsidP="008336F3">
      <w:pPr>
        <w:widowControl w:val="0"/>
        <w:autoSpaceDE w:val="0"/>
        <w:autoSpaceDN w:val="0"/>
        <w:adjustRightInd w:val="0"/>
        <w:spacing w:before="120" w:after="0" w:line="360" w:lineRule="auto"/>
        <w:jc w:val="both"/>
        <w:rPr>
          <w:rFonts w:ascii="David" w:hAnsi="David" w:cs="David"/>
          <w:sz w:val="24"/>
          <w:szCs w:val="24"/>
          <w:rtl/>
        </w:rPr>
      </w:pPr>
      <w:r w:rsidRPr="002F4791">
        <w:rPr>
          <w:rFonts w:ascii="David" w:hAnsi="David" w:cs="David" w:hint="cs"/>
          <w:sz w:val="24"/>
          <w:szCs w:val="24"/>
          <w:rtl/>
        </w:rPr>
        <w:t>את פילוח יום העבודה השיפוטי בהבחנה בין שופט עם עוזר משפטי שמסייע/ לא מסייע במשימות כתיבה מהותיות בחלוקה לערכאות השונות, ניתן לראות ב</w:t>
      </w:r>
      <w:r w:rsidRPr="002F4791">
        <w:rPr>
          <w:rFonts w:ascii="David" w:hAnsi="David" w:cs="David" w:hint="cs"/>
          <w:b/>
          <w:bCs/>
          <w:sz w:val="24"/>
          <w:szCs w:val="24"/>
          <w:rtl/>
        </w:rPr>
        <w:t>נספח</w:t>
      </w:r>
      <w:r w:rsidR="00B63C35" w:rsidRPr="002F4791">
        <w:rPr>
          <w:rFonts w:ascii="David" w:hAnsi="David" w:cs="David" w:hint="cs"/>
          <w:b/>
          <w:bCs/>
          <w:sz w:val="24"/>
          <w:szCs w:val="24"/>
          <w:rtl/>
        </w:rPr>
        <w:t xml:space="preserve"> י</w:t>
      </w:r>
      <w:r w:rsidRPr="002F4791">
        <w:rPr>
          <w:rFonts w:ascii="David" w:hAnsi="David" w:cs="David" w:hint="cs"/>
          <w:b/>
          <w:bCs/>
          <w:sz w:val="24"/>
          <w:szCs w:val="24"/>
          <w:rtl/>
        </w:rPr>
        <w:t>'</w:t>
      </w:r>
      <w:r w:rsidRPr="002F4791">
        <w:rPr>
          <w:rFonts w:ascii="David" w:hAnsi="David" w:cs="David" w:hint="cs"/>
          <w:sz w:val="24"/>
          <w:szCs w:val="24"/>
          <w:rtl/>
        </w:rPr>
        <w:t>. בבתי המשפט לתעבורה הצגנו פילוח בין שופטים עם ובלי עוזר משפטי, מכיוון ש</w:t>
      </w:r>
      <w:r w:rsidR="00341018" w:rsidRPr="002F4791">
        <w:rPr>
          <w:rFonts w:ascii="David" w:hAnsi="David" w:cs="David" w:hint="cs"/>
          <w:sz w:val="24"/>
          <w:szCs w:val="24"/>
          <w:rtl/>
        </w:rPr>
        <w:t>כאמור</w:t>
      </w:r>
      <w:r w:rsidRPr="002F4791">
        <w:rPr>
          <w:rFonts w:ascii="David" w:hAnsi="David" w:cs="David" w:hint="cs"/>
          <w:sz w:val="24"/>
          <w:szCs w:val="24"/>
          <w:rtl/>
        </w:rPr>
        <w:t xml:space="preserve"> לחלק גדול מהשופטים</w:t>
      </w:r>
      <w:r w:rsidR="00341018" w:rsidRPr="002F4791">
        <w:rPr>
          <w:rFonts w:ascii="David" w:hAnsi="David" w:cs="David" w:hint="cs"/>
          <w:sz w:val="24"/>
          <w:szCs w:val="24"/>
          <w:rtl/>
        </w:rPr>
        <w:t xml:space="preserve"> בבתי המשפט לתעבורה</w:t>
      </w:r>
      <w:r w:rsidRPr="002F4791">
        <w:rPr>
          <w:rFonts w:ascii="David" w:hAnsi="David" w:cs="David" w:hint="cs"/>
          <w:sz w:val="24"/>
          <w:szCs w:val="24"/>
          <w:rtl/>
        </w:rPr>
        <w:t xml:space="preserve"> אין עוזר משפטי, אולם אלו שיש להם עוזר משפטי ברובם מסתייעים בו במשימות כתיבה. לא הצגנו כלל את הפילוח של שופטי הנוער, מכיוון שלכל שופטי הנוער יש עוזר משפטי, ומעל 90% מהם, כמפורט לעיל, מסתייעים בו במשימות כתיבה מהותיות.</w:t>
      </w:r>
      <w:r w:rsidRPr="00F25744">
        <w:rPr>
          <w:rFonts w:ascii="David" w:hAnsi="David" w:cs="David" w:hint="cs"/>
          <w:sz w:val="24"/>
          <w:szCs w:val="24"/>
          <w:rtl/>
        </w:rPr>
        <w:t xml:space="preserve"> </w:t>
      </w:r>
    </w:p>
    <w:p w14:paraId="03BC713C" w14:textId="77777777" w:rsidR="001C7B41" w:rsidRPr="00F25744" w:rsidRDefault="001C7B41" w:rsidP="008336F3">
      <w:pPr>
        <w:spacing w:before="120" w:after="0" w:line="240" w:lineRule="auto"/>
        <w:rPr>
          <w:rtl/>
        </w:rPr>
      </w:pPr>
    </w:p>
    <w:p w14:paraId="6F50CE4E" w14:textId="77777777" w:rsidR="001C7B41" w:rsidRPr="00F25744" w:rsidRDefault="00E25AE7" w:rsidP="000C1408">
      <w:pPr>
        <w:pStyle w:val="3"/>
        <w:numPr>
          <w:ilvl w:val="2"/>
          <w:numId w:val="24"/>
        </w:numPr>
        <w:ind w:left="852"/>
        <w:rPr>
          <w:rtl/>
        </w:rPr>
      </w:pPr>
      <w:bookmarkStart w:id="806" w:name="_Toc49668473"/>
      <w:bookmarkStart w:id="807" w:name="_Toc74751028"/>
      <w:r w:rsidRPr="00F25744">
        <w:rPr>
          <w:rFonts w:hint="cs"/>
          <w:rtl/>
        </w:rPr>
        <w:t>פילוח יום העבודה השיפוטי עם ובלי תפקיד נוסף</w:t>
      </w:r>
      <w:bookmarkEnd w:id="806"/>
      <w:bookmarkEnd w:id="807"/>
    </w:p>
    <w:p w14:paraId="0A07796E" w14:textId="77777777" w:rsidR="001C7B41" w:rsidRPr="00F25744" w:rsidRDefault="00E25AE7" w:rsidP="008336F3">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 xml:space="preserve">בתת פרק זה נראה את השפעת התפקיד הנוסף של השופטים והרשמים על חלוקת הזמן ביום העבודה השיפוטי. כתפקיד נוסף הגדרנו בשאלון הרקע נשיא, סגן נשיא, </w:t>
      </w:r>
      <w:r w:rsidRPr="00F25744">
        <w:rPr>
          <w:rFonts w:ascii="David" w:hAnsi="David" w:cs="David"/>
          <w:sz w:val="24"/>
          <w:szCs w:val="24"/>
          <w:rtl/>
        </w:rPr>
        <w:t>ממונה על עוזרים משפטיים</w:t>
      </w:r>
      <w:r w:rsidRPr="00F25744">
        <w:rPr>
          <w:rFonts w:ascii="David" w:hAnsi="David" w:cs="David" w:hint="cs"/>
          <w:sz w:val="24"/>
          <w:szCs w:val="24"/>
          <w:rtl/>
        </w:rPr>
        <w:t>,</w:t>
      </w:r>
      <w:r w:rsidRPr="00F25744">
        <w:rPr>
          <w:rFonts w:ascii="David" w:hAnsi="David" w:cs="David" w:hint="cs"/>
          <w:b/>
          <w:bCs/>
          <w:sz w:val="24"/>
          <w:szCs w:val="24"/>
          <w:rtl/>
        </w:rPr>
        <w:t xml:space="preserve"> </w:t>
      </w:r>
      <w:r w:rsidRPr="00F25744">
        <w:rPr>
          <w:rFonts w:ascii="David" w:hAnsi="David" w:cs="David" w:hint="cs"/>
          <w:sz w:val="24"/>
          <w:szCs w:val="24"/>
          <w:rtl/>
        </w:rPr>
        <w:t xml:space="preserve">ממונה על </w:t>
      </w:r>
      <w:r w:rsidRPr="00F25744">
        <w:rPr>
          <w:rFonts w:ascii="David" w:hAnsi="David" w:cs="David" w:hint="cs"/>
          <w:sz w:val="24"/>
          <w:szCs w:val="24"/>
          <w:rtl/>
        </w:rPr>
        <w:lastRenderedPageBreak/>
        <w:t xml:space="preserve">ועדה מקצועית (ועדת היגוי וכיו"ב), </w:t>
      </w:r>
      <w:r w:rsidRPr="00F25744">
        <w:rPr>
          <w:rFonts w:ascii="David" w:hAnsi="David" w:cs="David"/>
          <w:sz w:val="24"/>
          <w:szCs w:val="24"/>
          <w:rtl/>
        </w:rPr>
        <w:t>מרצה/</w:t>
      </w:r>
      <w:r w:rsidRPr="00F25744">
        <w:rPr>
          <w:rFonts w:ascii="David" w:hAnsi="David" w:cs="David" w:hint="cs"/>
          <w:sz w:val="24"/>
          <w:szCs w:val="24"/>
          <w:rtl/>
        </w:rPr>
        <w:t xml:space="preserve"> </w:t>
      </w:r>
      <w:r w:rsidRPr="00F25744">
        <w:rPr>
          <w:rFonts w:ascii="David" w:hAnsi="David" w:cs="David"/>
          <w:sz w:val="24"/>
          <w:szCs w:val="24"/>
          <w:rtl/>
        </w:rPr>
        <w:t>מנהל השתלמות מטעם מכון עוזמ"ת</w:t>
      </w:r>
      <w:r w:rsidRPr="00F25744">
        <w:rPr>
          <w:rFonts w:ascii="David" w:hAnsi="David" w:cs="David" w:hint="cs"/>
          <w:sz w:val="24"/>
          <w:szCs w:val="24"/>
          <w:rtl/>
        </w:rPr>
        <w:t xml:space="preserve"> ו</w:t>
      </w:r>
      <w:r w:rsidRPr="00F25744">
        <w:rPr>
          <w:rFonts w:ascii="David" w:hAnsi="David" w:cs="David"/>
          <w:sz w:val="24"/>
          <w:szCs w:val="24"/>
          <w:rtl/>
        </w:rPr>
        <w:t>מרצה/</w:t>
      </w:r>
      <w:r w:rsidRPr="00F25744">
        <w:rPr>
          <w:rFonts w:ascii="David" w:hAnsi="David" w:cs="David" w:hint="cs"/>
          <w:sz w:val="24"/>
          <w:szCs w:val="24"/>
          <w:rtl/>
        </w:rPr>
        <w:t xml:space="preserve"> </w:t>
      </w:r>
      <w:r w:rsidRPr="00F25744">
        <w:rPr>
          <w:rFonts w:ascii="David" w:hAnsi="David" w:cs="David"/>
          <w:sz w:val="24"/>
          <w:szCs w:val="24"/>
          <w:rtl/>
        </w:rPr>
        <w:t>מנהל השתלמות מטעם המרכז להכשרה ולהשתלמות שופטים</w:t>
      </w:r>
      <w:r w:rsidRPr="00F25744">
        <w:rPr>
          <w:rFonts w:ascii="David" w:hAnsi="David" w:cs="David" w:hint="cs"/>
          <w:sz w:val="24"/>
          <w:szCs w:val="24"/>
          <w:rtl/>
        </w:rPr>
        <w:t xml:space="preserve">. ניתן לראות כי מדובר במגוון רחב של תפקידים, אשר נעים על טווח רחב של תחומי סמכות, והשלכותיהם על משכי הפעילויות השיפוטיות השונות ועל תמהיל יום העבודה השיפוטי עשויים להיות שונים עד מאד. כך, למשל, לא דומה תפקיד נשיא בית משפט לתפקיד של ניהול השתלמויות, מבחינת ההשפעה של התפקיד הנוסף על תמהיל יום העבודה השיפוטי. עם זאת, כמפורט בהרחבה בפרק המתודולוגיה, במטרה לשמור על אנונימיות השופטים, לא שאלנו </w:t>
      </w:r>
      <w:r w:rsidRPr="00F25744">
        <w:rPr>
          <w:rFonts w:ascii="David" w:hAnsi="David" w:cs="David" w:hint="cs"/>
          <w:b/>
          <w:bCs/>
          <w:sz w:val="24"/>
          <w:szCs w:val="24"/>
          <w:rtl/>
        </w:rPr>
        <w:t>מהו</w:t>
      </w:r>
      <w:r w:rsidRPr="00F25744">
        <w:rPr>
          <w:rFonts w:ascii="David" w:hAnsi="David" w:cs="David" w:hint="cs"/>
          <w:sz w:val="24"/>
          <w:szCs w:val="24"/>
          <w:rtl/>
        </w:rPr>
        <w:t xml:space="preserve"> התפקיד הנוסף שאותו מבצעים השופטים (כפי שנעשה במחקר בתי הדין לעבודה), אלא רק </w:t>
      </w:r>
      <w:r w:rsidRPr="00F25744">
        <w:rPr>
          <w:rFonts w:ascii="David" w:hAnsi="David" w:cs="David" w:hint="cs"/>
          <w:b/>
          <w:bCs/>
          <w:sz w:val="24"/>
          <w:szCs w:val="24"/>
          <w:rtl/>
        </w:rPr>
        <w:t>האם</w:t>
      </w:r>
      <w:r w:rsidRPr="00F25744">
        <w:rPr>
          <w:rFonts w:ascii="David" w:hAnsi="David" w:cs="David" w:hint="cs"/>
          <w:sz w:val="24"/>
          <w:szCs w:val="24"/>
          <w:rtl/>
        </w:rPr>
        <w:t xml:space="preserve"> השופטים מבצעים תפקיד נוסף כלשהו. אמנם מבחינה ניהולית, הבחנה בין השפעת תפקיד נוסף מסוג נשיא או סגן נשיא על פילוח יום העבודה השיפוטי מעניינת יותר לעומת בחינתם של התפקידים האחרים, וייתכן שיש מקום להעמיק בנושא זה בהמשך הדרך, אולם במסגרת מחקר זה התחייבנו למנוע זיהוי של שופטים. על כן, בפילוח שיוצג להלן, תיבחן השפעתו של תפקיד נוסף כלשהו על תמהיל יום העבודה השיפוטי, ללא חלוקה לסוגי התפקידים השונים. כמו כן, לא נציג את פילוח יום העבודה השיפוטי ברזולוציה של הערכאות ובתי המשפט השונים, אלא באופן כלל מערכתי.  </w:t>
      </w:r>
    </w:p>
    <w:p w14:paraId="5BCA246F" w14:textId="77777777" w:rsidR="001C7B41" w:rsidRPr="00F25744" w:rsidRDefault="00E25AE7" w:rsidP="008336F3">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 xml:space="preserve">על פי שאלוני הרקע של השופטים, ל-28% מכלל שופטי המערכת שהשתתפו במחקר יש תפקיד נוסף כלשהו מבין התפקידים שצוינו לעיל. אחוז זה נע בין 19% בבתי המשפט לתעבורה, 24% בערכאת השלום, 26% בבתי המשפט לענייני משפחה, 39% בערכאת המחוזי ו-44% בבתי המשפט לנוער. </w:t>
      </w:r>
    </w:p>
    <w:p w14:paraId="74E4AE5B" w14:textId="77777777" w:rsidR="001C7B41" w:rsidRPr="00F25744" w:rsidRDefault="00E25AE7" w:rsidP="008336F3">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כפי שניתן להתרשם מהממצאים שלהלן, אכן מצאנו השפעות צפויות על תמהיל יום העבודה השיפוטי. נמצא, כי לפעילות של עבודה שיפוטית שאינה קשורה בתיקים הוקדש פרק זמן ארוך יותר באופן מובהק אצל שופטים שנושאים בתפקיד נוסף לעומת שופטים אחרים (21.1% לעומת 8.8% בהתאמה), ולעומת זאת לשאר הפעילויות השיפוטיות, כגון שמיעת דיונים, הכנה לדיונים וכתיבה, נותר לשופטים הנושאים בתפקיד נוסף פחות זמן בהשוואה לשופטים האחרים. יוער, כי להשערתנו, לו ניתן היה לבחון את תמהיל יום העבודה השיפוטי של נשיאים וסגני נשיאים, היינו רואים הבדלים מובהקים אף יותר.</w:t>
      </w:r>
    </w:p>
    <w:p w14:paraId="2B07FE02" w14:textId="77777777" w:rsidR="00223329" w:rsidRPr="00F25744" w:rsidRDefault="00223329" w:rsidP="00223329">
      <w:pPr>
        <w:rPr>
          <w:rtl/>
        </w:rPr>
      </w:pPr>
    </w:p>
    <w:p w14:paraId="11A7E764" w14:textId="754581A0" w:rsidR="001C7B41" w:rsidRPr="00F25744" w:rsidRDefault="008534FC" w:rsidP="008534FC">
      <w:pPr>
        <w:pStyle w:val="af6"/>
        <w:rPr>
          <w:rFonts w:ascii="David" w:hAnsi="David"/>
          <w:sz w:val="24"/>
          <w:rtl/>
        </w:rPr>
      </w:pPr>
      <w:bookmarkStart w:id="808" w:name="_Toc76988539"/>
      <w:r w:rsidRPr="00F25744">
        <w:rPr>
          <w:rtl/>
        </w:rPr>
        <w:t xml:space="preserve">תרשים </w:t>
      </w:r>
      <w:r w:rsidRPr="00F25744">
        <w:rPr>
          <w:rtl/>
        </w:rPr>
        <w:fldChar w:fldCharType="begin"/>
      </w:r>
      <w:r w:rsidRPr="00F25744">
        <w:rPr>
          <w:rtl/>
        </w:rPr>
        <w:instrText xml:space="preserve"> </w:instrText>
      </w:r>
      <w:r w:rsidRPr="00F25744">
        <w:instrText>SEQ</w:instrText>
      </w:r>
      <w:r w:rsidRPr="00F25744">
        <w:rPr>
          <w:rtl/>
        </w:rPr>
        <w:instrText xml:space="preserve"> תרשים \* </w:instrText>
      </w:r>
      <w:r w:rsidRPr="00F25744">
        <w:instrText>ARABIC</w:instrText>
      </w:r>
      <w:r w:rsidRPr="00F25744">
        <w:rPr>
          <w:rtl/>
        </w:rPr>
        <w:instrText xml:space="preserve"> </w:instrText>
      </w:r>
      <w:r w:rsidRPr="00F25744">
        <w:rPr>
          <w:rtl/>
        </w:rPr>
        <w:fldChar w:fldCharType="separate"/>
      </w:r>
      <w:r w:rsidR="008F1BC3">
        <w:rPr>
          <w:noProof/>
          <w:rtl/>
        </w:rPr>
        <w:t>18</w:t>
      </w:r>
      <w:r w:rsidRPr="00F25744">
        <w:rPr>
          <w:rtl/>
        </w:rPr>
        <w:fldChar w:fldCharType="end"/>
      </w:r>
      <w:r w:rsidR="007F3A52" w:rsidRPr="00F25744">
        <w:rPr>
          <w:rFonts w:ascii="David" w:hAnsi="David" w:hint="cs"/>
          <w:sz w:val="24"/>
          <w:rtl/>
        </w:rPr>
        <w:t>: פילוח תמהיל יום העבודה השיפוטי אצל שופט עם וללא תפקיד נוסף</w:t>
      </w:r>
      <w:bookmarkEnd w:id="808"/>
    </w:p>
    <w:p w14:paraId="7164921C" w14:textId="77777777" w:rsidR="001C7B41" w:rsidRPr="00F25744" w:rsidRDefault="00E25AE7" w:rsidP="001C7B41">
      <w:pPr>
        <w:rPr>
          <w:rtl/>
        </w:rPr>
      </w:pPr>
      <w:r w:rsidRPr="00F25744">
        <w:rPr>
          <w:noProof/>
        </w:rPr>
        <w:drawing>
          <wp:inline distT="0" distB="0" distL="0" distR="0" wp14:anchorId="13614C73" wp14:editId="25A54B35">
            <wp:extent cx="5356993" cy="2562225"/>
            <wp:effectExtent l="0" t="0" r="0" b="0"/>
            <wp:docPr id="19"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663369" name="Picture 19"/>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5383566" cy="2574935"/>
                    </a:xfrm>
                    <a:prstGeom prst="rect">
                      <a:avLst/>
                    </a:prstGeom>
                    <a:noFill/>
                    <a:ln>
                      <a:noFill/>
                    </a:ln>
                  </pic:spPr>
                </pic:pic>
              </a:graphicData>
            </a:graphic>
          </wp:inline>
        </w:drawing>
      </w:r>
    </w:p>
    <w:p w14:paraId="31E63373" w14:textId="77777777" w:rsidR="001C7B41" w:rsidRPr="00F25744" w:rsidRDefault="00E25AE7" w:rsidP="000C1408">
      <w:pPr>
        <w:pStyle w:val="3"/>
        <w:numPr>
          <w:ilvl w:val="2"/>
          <w:numId w:val="24"/>
        </w:numPr>
        <w:ind w:left="852"/>
      </w:pPr>
      <w:bookmarkStart w:id="809" w:name="_Toc49668474"/>
      <w:bookmarkStart w:id="810" w:name="_Toc74751029"/>
      <w:r w:rsidRPr="00F25744">
        <w:rPr>
          <w:rFonts w:hint="cs"/>
          <w:rtl/>
        </w:rPr>
        <w:lastRenderedPageBreak/>
        <w:t>פעילויות שיפוטיות שנעשות בימי כתיבה</w:t>
      </w:r>
      <w:bookmarkEnd w:id="809"/>
      <w:bookmarkEnd w:id="810"/>
    </w:p>
    <w:p w14:paraId="675099D8" w14:textId="77777777" w:rsidR="001C7B41" w:rsidRPr="00F25744" w:rsidRDefault="00E25AE7" w:rsidP="008336F3">
      <w:pPr>
        <w:spacing w:before="120" w:after="0" w:line="360" w:lineRule="auto"/>
        <w:jc w:val="both"/>
        <w:rPr>
          <w:rFonts w:cs="David"/>
          <w:sz w:val="24"/>
          <w:szCs w:val="24"/>
          <w:rtl/>
        </w:rPr>
      </w:pPr>
      <w:r w:rsidRPr="00F25744">
        <w:rPr>
          <w:rFonts w:ascii="David" w:hAnsi="David" w:cs="David" w:hint="cs"/>
          <w:sz w:val="24"/>
          <w:szCs w:val="24"/>
          <w:rtl/>
        </w:rPr>
        <w:t xml:space="preserve">ממצאים נוספים שבדקנו במסגרת מחקר זה, ואשר יש בהם כדי להשליך על מידת העומס המוטל על השופטים, נוגעים לשמיעת דיונים במהלך ימי הכתיבה המוגדרים של השופטים, אשר נועדו לפנות זמן מהדיונים לשם קידום כתיבת פסקי דין והחלטות מהותיות. במסגרת שאלון הרקע נשאלו השופטים והרשמים האם יש להם יום כתיבה מוגדר, ואם כן, מהו. </w:t>
      </w:r>
      <w:r w:rsidRPr="00F25744">
        <w:rPr>
          <w:rFonts w:cs="David" w:hint="cs"/>
          <w:sz w:val="24"/>
          <w:szCs w:val="24"/>
          <w:rtl/>
        </w:rPr>
        <w:t xml:space="preserve">377 </w:t>
      </w:r>
      <w:r w:rsidRPr="00F25744">
        <w:rPr>
          <w:rFonts w:cs="David"/>
          <w:sz w:val="24"/>
          <w:szCs w:val="24"/>
          <w:rtl/>
        </w:rPr>
        <w:t xml:space="preserve">שופטים </w:t>
      </w:r>
      <w:r w:rsidRPr="00F25744">
        <w:rPr>
          <w:rFonts w:cs="David" w:hint="cs"/>
          <w:sz w:val="24"/>
          <w:szCs w:val="24"/>
          <w:rtl/>
        </w:rPr>
        <w:t xml:space="preserve">השיבו כי יש להם </w:t>
      </w:r>
      <w:r w:rsidRPr="00F25744">
        <w:rPr>
          <w:rFonts w:cs="David"/>
          <w:sz w:val="24"/>
          <w:szCs w:val="24"/>
          <w:rtl/>
        </w:rPr>
        <w:t xml:space="preserve">יום כתיבה קבוע </w:t>
      </w:r>
      <w:r w:rsidRPr="00F25744">
        <w:rPr>
          <w:rFonts w:cs="David" w:hint="cs"/>
          <w:sz w:val="24"/>
          <w:szCs w:val="24"/>
          <w:rtl/>
        </w:rPr>
        <w:t xml:space="preserve">במהלך שבוע העבודה. </w:t>
      </w:r>
    </w:p>
    <w:p w14:paraId="1A2ACFDC" w14:textId="77777777" w:rsidR="001C7B41" w:rsidRPr="00F25744" w:rsidRDefault="00E25AE7" w:rsidP="008336F3">
      <w:pPr>
        <w:spacing w:before="120" w:after="0" w:line="360" w:lineRule="auto"/>
        <w:jc w:val="both"/>
        <w:rPr>
          <w:rFonts w:cs="David"/>
          <w:sz w:val="24"/>
          <w:szCs w:val="24"/>
          <w:rtl/>
        </w:rPr>
      </w:pPr>
      <w:r w:rsidRPr="00F25744">
        <w:rPr>
          <w:rFonts w:cs="David" w:hint="cs"/>
          <w:sz w:val="24"/>
          <w:szCs w:val="24"/>
          <w:rtl/>
        </w:rPr>
        <w:t>מבדיקה שערכנו, ב-</w:t>
      </w:r>
      <w:r w:rsidRPr="00F25744">
        <w:rPr>
          <w:rFonts w:cs="David"/>
          <w:sz w:val="24"/>
          <w:szCs w:val="24"/>
          <w:rtl/>
        </w:rPr>
        <w:t xml:space="preserve">28.9% מימי הכתיבה </w:t>
      </w:r>
      <w:r w:rsidRPr="00F25744">
        <w:rPr>
          <w:rFonts w:cs="David" w:hint="cs"/>
          <w:sz w:val="24"/>
          <w:szCs w:val="24"/>
          <w:rtl/>
        </w:rPr>
        <w:t xml:space="preserve">שהתקיימו במהלך </w:t>
      </w:r>
      <w:r w:rsidRPr="00F25744">
        <w:rPr>
          <w:rFonts w:cs="David"/>
          <w:sz w:val="24"/>
          <w:szCs w:val="24"/>
          <w:rtl/>
        </w:rPr>
        <w:t>תקופת המחקר</w:t>
      </w:r>
      <w:r w:rsidRPr="00F25744">
        <w:rPr>
          <w:rFonts w:cs="David" w:hint="cs"/>
          <w:sz w:val="24"/>
          <w:szCs w:val="24"/>
          <w:rtl/>
        </w:rPr>
        <w:t>,</w:t>
      </w:r>
      <w:r w:rsidRPr="00F25744">
        <w:rPr>
          <w:rFonts w:cs="David"/>
          <w:sz w:val="24"/>
          <w:szCs w:val="24"/>
          <w:rtl/>
        </w:rPr>
        <w:t xml:space="preserve"> נשמעו דיונים.</w:t>
      </w:r>
    </w:p>
    <w:p w14:paraId="7774DCF9" w14:textId="77777777" w:rsidR="001C7B41" w:rsidRPr="00F25744" w:rsidRDefault="00E25AE7" w:rsidP="008336F3">
      <w:pPr>
        <w:spacing w:before="120" w:after="0" w:line="360" w:lineRule="auto"/>
        <w:jc w:val="both"/>
        <w:rPr>
          <w:rFonts w:cs="David"/>
          <w:sz w:val="24"/>
          <w:szCs w:val="24"/>
          <w:rtl/>
        </w:rPr>
      </w:pPr>
      <w:r w:rsidRPr="00F25744">
        <w:rPr>
          <w:rFonts w:cs="David" w:hint="cs"/>
          <w:sz w:val="24"/>
          <w:szCs w:val="24"/>
          <w:rtl/>
        </w:rPr>
        <w:t>מתוך 377 השופטים שלהם יום כתיבה קבוע, 247 שופטים, שהם 65.5% מהשופטים שיש להם יום כתיבה קבוע, שמעו דיונים במהלך יום הכתיבה שלהם לפחות פעם אחת במהלך תקופת המחקר. זמני הדיונים שנשמעו במהלך יום הכתיבה עומדים על ממוצע של 140 דקות, שהם שעתיים ועשרים דקות. הזמן הקצר ביותר שהוקדש לשמיעת דיונים במהלך יום כתיבה עמד על 4 דקות, ואילו הזמן הארוך ביותר שהוקדש לשמיעת דיונים במהלך יום הכתיבה בתקופת המחקר עמד על 540 דקות, שהם 9 שעות.</w:t>
      </w:r>
    </w:p>
    <w:p w14:paraId="594E232F" w14:textId="77777777" w:rsidR="001C7B41" w:rsidRPr="00F25744" w:rsidRDefault="00E25AE7" w:rsidP="008336F3">
      <w:pPr>
        <w:spacing w:before="120" w:after="0" w:line="360" w:lineRule="auto"/>
        <w:jc w:val="both"/>
        <w:rPr>
          <w:rFonts w:cs="David"/>
          <w:sz w:val="24"/>
          <w:szCs w:val="24"/>
          <w:rtl/>
        </w:rPr>
      </w:pPr>
      <w:r w:rsidRPr="00F25744">
        <w:rPr>
          <w:rFonts w:cs="David" w:hint="cs"/>
          <w:sz w:val="24"/>
          <w:szCs w:val="24"/>
          <w:rtl/>
        </w:rPr>
        <w:t xml:space="preserve">כאן המקום לציין, כי מספר שופטים העירו שיש מקום להגדיר ימי כתיבה בהתאם לסוגי התיקים שבהם מטפל כל שופט, שכן זמן הכתיבה שנחוץ לתיקים אזרחיים למשל, רב יותר לעומת זמן הכתיבה הנחוץ בתיקים פליליים, וכן יש הבדלים בין סוגי תיקים אשר נסגרים ברובם בפשרות מסוגים שונים לעומת כאלו אשר ברובם נאלצים השופטים לכתוב פסקי דין מנומקים. נציין עוד כי נשמעה גם הערה הפוכה שלפיה גם לשופטים פליליים נדרשים ימי כתיבה, כהפוגה משטף הדיונים הרבים בתיקים הפליליים ועל מנת לקדם משימות שיפוטיות אחרות. נציין כי כאמור, במסגרת מחקר סיבות הסגירה אשר עליו הורחב בפרק המתודולוגיה, נדגמו האחוזים שבהם נסגר כל סוג תיק בחלוקה לסיבות הסגירה השונות. על כן, ידוע לנו מה אחוז התיקים אשר נסגרים למשל, במתן תוקף להסכמות הצדדים בתיק מסוג </w:t>
      </w:r>
      <w:r w:rsidRPr="00F25744">
        <w:rPr>
          <w:rFonts w:hint="cs"/>
          <w:sz w:val="24"/>
        </w:rPr>
        <w:t>X</w:t>
      </w:r>
      <w:r w:rsidRPr="00F25744">
        <w:rPr>
          <w:rFonts w:cs="David" w:hint="cs"/>
          <w:sz w:val="24"/>
          <w:szCs w:val="24"/>
          <w:rtl/>
        </w:rPr>
        <w:t xml:space="preserve">, ומה אחוז התיקים אשר נסגרים בפסק דין מנומק באותו סוג תיק (מתוך המדגם שנבדק במחקר סיבות הסגירה, כמובן). על כן, מחקר סיבות הסגירה עשוי לסייע בידי המערכת, ככל שתמצא לנכון לעשות שימוש בנתונים אלו, בין היתר, לצורך חלוקת ימי הכתיבה בעתיד.  </w:t>
      </w:r>
    </w:p>
    <w:p w14:paraId="25A89D1D" w14:textId="77777777" w:rsidR="001C7B41" w:rsidRPr="00F25744" w:rsidRDefault="001C7B41" w:rsidP="001C7B41">
      <w:pPr>
        <w:spacing w:after="0" w:line="360" w:lineRule="auto"/>
        <w:jc w:val="both"/>
        <w:rPr>
          <w:rFonts w:cs="David"/>
          <w:sz w:val="24"/>
          <w:szCs w:val="24"/>
          <w:rtl/>
        </w:rPr>
      </w:pPr>
    </w:p>
    <w:p w14:paraId="50A02F9C" w14:textId="77777777" w:rsidR="001C7B41" w:rsidRPr="00F25744" w:rsidRDefault="00E25AE7" w:rsidP="000C1408">
      <w:pPr>
        <w:pStyle w:val="3"/>
        <w:numPr>
          <w:ilvl w:val="2"/>
          <w:numId w:val="24"/>
        </w:numPr>
        <w:ind w:left="852"/>
        <w:rPr>
          <w:rtl/>
        </w:rPr>
      </w:pPr>
      <w:bookmarkStart w:id="811" w:name="_Toc74751030"/>
      <w:r w:rsidRPr="00F25744">
        <w:rPr>
          <w:rFonts w:hint="cs"/>
          <w:rtl/>
        </w:rPr>
        <w:t>יישומים של תוצרי המחקר ל</w:t>
      </w:r>
      <w:r w:rsidR="00743102" w:rsidRPr="00F25744">
        <w:rPr>
          <w:rFonts w:hint="cs"/>
          <w:rtl/>
        </w:rPr>
        <w:t>צורך</w:t>
      </w:r>
      <w:r w:rsidRPr="00F25744">
        <w:rPr>
          <w:rFonts w:hint="cs"/>
          <w:rtl/>
        </w:rPr>
        <w:t xml:space="preserve"> הקלת העומס השיפוטי</w:t>
      </w:r>
      <w:bookmarkEnd w:id="811"/>
    </w:p>
    <w:p w14:paraId="2C4F57DA" w14:textId="77777777" w:rsidR="00407543" w:rsidRPr="00F25744" w:rsidRDefault="00E25AE7" w:rsidP="008336F3">
      <w:pPr>
        <w:spacing w:before="120" w:after="0" w:line="360" w:lineRule="auto"/>
        <w:jc w:val="both"/>
        <w:rPr>
          <w:rFonts w:cs="David"/>
          <w:sz w:val="24"/>
          <w:szCs w:val="24"/>
          <w:rtl/>
        </w:rPr>
      </w:pPr>
      <w:bookmarkStart w:id="812" w:name="_Toc46226101"/>
      <w:bookmarkStart w:id="813" w:name="_Toc46226245"/>
      <w:bookmarkStart w:id="814" w:name="_Toc46228412"/>
      <w:bookmarkStart w:id="815" w:name="_Toc46228510"/>
      <w:bookmarkStart w:id="816" w:name="_Toc46230437"/>
      <w:bookmarkStart w:id="817" w:name="_Toc46230535"/>
      <w:bookmarkStart w:id="818" w:name="_Toc46310425"/>
      <w:bookmarkStart w:id="819" w:name="_Toc46414068"/>
      <w:bookmarkStart w:id="820" w:name="_Toc49352781"/>
      <w:bookmarkStart w:id="821" w:name="_Toc49429688"/>
      <w:bookmarkStart w:id="822" w:name="_Toc49435917"/>
      <w:bookmarkEnd w:id="783"/>
      <w:bookmarkEnd w:id="784"/>
      <w:bookmarkEnd w:id="785"/>
      <w:bookmarkEnd w:id="786"/>
      <w:bookmarkEnd w:id="787"/>
      <w:bookmarkEnd w:id="788"/>
      <w:bookmarkEnd w:id="789"/>
      <w:bookmarkEnd w:id="790"/>
      <w:r w:rsidRPr="00F25744">
        <w:rPr>
          <w:rFonts w:cs="David" w:hint="cs"/>
          <w:sz w:val="24"/>
          <w:szCs w:val="24"/>
          <w:rtl/>
        </w:rPr>
        <w:t xml:space="preserve">דוח מחקר עומס העבודה השיפוטית שלפניכם עסק עד כה בהסבר על אודות המערך המחקרי שהוקם לצרכי המחקר, מתודולוגיית המחקר, שלבי המחקר וממצאיו של המחקר, שכללו את הזמן השיפוטי שנמדד לסוגי התיקים השונים ואת פילוח יום העבודה השיפוטי. בתת פרק זה נסביר בקצרה כיצד ניתן </w:t>
      </w:r>
      <w:r w:rsidRPr="00F25744">
        <w:rPr>
          <w:rFonts w:cs="David" w:hint="cs"/>
          <w:b/>
          <w:bCs/>
          <w:sz w:val="24"/>
          <w:szCs w:val="24"/>
          <w:rtl/>
        </w:rPr>
        <w:t>להשתמש וליישם</w:t>
      </w:r>
      <w:r w:rsidRPr="00F25744">
        <w:rPr>
          <w:rFonts w:cs="David" w:hint="cs"/>
          <w:sz w:val="24"/>
          <w:szCs w:val="24"/>
          <w:rtl/>
        </w:rPr>
        <w:t xml:space="preserve"> את ממצאי המחקר שלפניכם במטרה לאזן ולהקל על העומס השיפוטי במערכת. </w:t>
      </w:r>
    </w:p>
    <w:p w14:paraId="7AEA1A69" w14:textId="77777777" w:rsidR="00407543" w:rsidRPr="00F25744" w:rsidRDefault="00E25AE7" w:rsidP="008336F3">
      <w:pPr>
        <w:spacing w:before="120" w:after="0" w:line="360" w:lineRule="auto"/>
        <w:jc w:val="both"/>
        <w:rPr>
          <w:rFonts w:cs="David"/>
          <w:sz w:val="24"/>
          <w:szCs w:val="24"/>
          <w:rtl/>
        </w:rPr>
      </w:pPr>
      <w:r w:rsidRPr="00F25744">
        <w:rPr>
          <w:rFonts w:cs="David" w:hint="cs"/>
          <w:sz w:val="24"/>
          <w:szCs w:val="24"/>
          <w:rtl/>
        </w:rPr>
        <w:t>בטרם נציג את אופני השימוש השונים בממצאי המחקר הנוכחי, נציג מספר מושגים/ הגדרות לצורך הבנת ההסבר על יישומי המחקר:</w:t>
      </w:r>
    </w:p>
    <w:p w14:paraId="020434A5" w14:textId="77777777" w:rsidR="00407543" w:rsidRPr="00F25744" w:rsidRDefault="00E25AE7" w:rsidP="008336F3">
      <w:pPr>
        <w:pStyle w:val="a3"/>
        <w:numPr>
          <w:ilvl w:val="0"/>
          <w:numId w:val="47"/>
        </w:numPr>
        <w:bidi/>
        <w:spacing w:before="120" w:after="0" w:line="360" w:lineRule="auto"/>
        <w:contextualSpacing w:val="0"/>
        <w:rPr>
          <w:rFonts w:ascii="David" w:hAnsi="David" w:cs="David"/>
          <w:sz w:val="24"/>
          <w:szCs w:val="24"/>
        </w:rPr>
      </w:pPr>
      <w:r w:rsidRPr="00F25744">
        <w:rPr>
          <w:rFonts w:ascii="David" w:hAnsi="David" w:cs="David"/>
          <w:b/>
          <w:bCs/>
          <w:sz w:val="24"/>
          <w:szCs w:val="24"/>
          <w:rtl/>
        </w:rPr>
        <w:t xml:space="preserve">עומס העבודה השיפוטית הכולל </w:t>
      </w:r>
      <w:r w:rsidRPr="00F25744">
        <w:rPr>
          <w:rFonts w:ascii="David" w:hAnsi="David" w:cs="David"/>
          <w:sz w:val="24"/>
          <w:szCs w:val="24"/>
          <w:rtl/>
        </w:rPr>
        <w:t>– העומס הכולל שמטילים סוגי התיקים</w:t>
      </w:r>
      <w:r w:rsidRPr="00F25744">
        <w:rPr>
          <w:rFonts w:ascii="David" w:hAnsi="David" w:cs="David" w:hint="cs"/>
          <w:sz w:val="24"/>
          <w:szCs w:val="24"/>
          <w:rtl/>
        </w:rPr>
        <w:t xml:space="preserve"> השונים</w:t>
      </w:r>
      <w:r w:rsidRPr="00F25744">
        <w:rPr>
          <w:rFonts w:ascii="David" w:hAnsi="David" w:cs="David"/>
          <w:sz w:val="24"/>
          <w:szCs w:val="24"/>
          <w:rtl/>
        </w:rPr>
        <w:t xml:space="preserve"> במערכת המשפט על השופטים והרשמים.</w:t>
      </w:r>
      <w:r w:rsidRPr="00F25744">
        <w:rPr>
          <w:rFonts w:ascii="David" w:hAnsi="David" w:cs="David"/>
          <w:b/>
          <w:bCs/>
          <w:sz w:val="24"/>
          <w:szCs w:val="24"/>
          <w:rtl/>
        </w:rPr>
        <w:t xml:space="preserve"> </w:t>
      </w:r>
      <w:r w:rsidRPr="00F25744">
        <w:rPr>
          <w:rFonts w:ascii="David" w:hAnsi="David" w:cs="David"/>
          <w:sz w:val="24"/>
          <w:szCs w:val="24"/>
          <w:rtl/>
        </w:rPr>
        <w:t>נוסחת החישוב, המניבה את "</w:t>
      </w:r>
      <w:r w:rsidRPr="00F25744">
        <w:rPr>
          <w:rFonts w:ascii="David" w:hAnsi="David" w:cs="David"/>
          <w:b/>
          <w:bCs/>
          <w:sz w:val="24"/>
          <w:szCs w:val="24"/>
          <w:rtl/>
        </w:rPr>
        <w:t>עומס העבודה הכולל"</w:t>
      </w:r>
      <w:r w:rsidRPr="00F25744">
        <w:rPr>
          <w:rFonts w:ascii="David" w:hAnsi="David" w:cs="David"/>
          <w:sz w:val="24"/>
          <w:szCs w:val="24"/>
          <w:rtl/>
        </w:rPr>
        <w:t xml:space="preserve">, מתקבלת באמצעות סכימת המכפלות של </w:t>
      </w:r>
      <w:r w:rsidRPr="00F25744">
        <w:rPr>
          <w:rFonts w:ascii="David" w:hAnsi="David" w:cs="David" w:hint="cs"/>
          <w:b/>
          <w:bCs/>
          <w:sz w:val="24"/>
          <w:szCs w:val="24"/>
          <w:rtl/>
        </w:rPr>
        <w:t>כמות</w:t>
      </w:r>
      <w:r w:rsidRPr="00F25744">
        <w:rPr>
          <w:rFonts w:ascii="David" w:hAnsi="David" w:cs="David"/>
          <w:b/>
          <w:bCs/>
          <w:sz w:val="24"/>
          <w:szCs w:val="24"/>
          <w:rtl/>
        </w:rPr>
        <w:t xml:space="preserve"> התיקים</w:t>
      </w:r>
      <w:r w:rsidRPr="00F25744">
        <w:rPr>
          <w:rFonts w:ascii="David" w:hAnsi="David" w:cs="David"/>
          <w:sz w:val="24"/>
          <w:szCs w:val="24"/>
          <w:rtl/>
        </w:rPr>
        <w:t xml:space="preserve"> בכל ערכאה/מחוז במשקל שניתן לכל סוג תיק (עבור כל אחד מסוגי התיקים הרלוונטיים הנשמעים באותו מחוז/ערכאה). </w:t>
      </w:r>
    </w:p>
    <w:p w14:paraId="76645336" w14:textId="77777777" w:rsidR="00407543" w:rsidRPr="00F25744" w:rsidRDefault="00E25AE7" w:rsidP="008336F3">
      <w:pPr>
        <w:spacing w:before="120" w:after="0" w:line="360" w:lineRule="auto"/>
        <w:ind w:firstLine="360"/>
        <w:rPr>
          <w:rFonts w:ascii="David" w:hAnsi="David" w:cs="David"/>
          <w:sz w:val="24"/>
          <w:szCs w:val="24"/>
          <w:rtl/>
        </w:rPr>
      </w:pPr>
      <w:r w:rsidRPr="00F25744">
        <w:rPr>
          <w:rFonts w:ascii="David" w:hAnsi="David" w:cs="David"/>
          <w:sz w:val="24"/>
          <w:szCs w:val="24"/>
          <w:rtl/>
        </w:rPr>
        <w:lastRenderedPageBreak/>
        <w:t>הייצוג המתמטי של חישוב זה</w:t>
      </w:r>
      <w:r w:rsidRPr="00F25744">
        <w:rPr>
          <w:rFonts w:ascii="David" w:hAnsi="David" w:cs="David" w:hint="cs"/>
          <w:sz w:val="24"/>
          <w:szCs w:val="24"/>
          <w:rtl/>
        </w:rPr>
        <w:t xml:space="preserve"> נראה כך</w:t>
      </w:r>
      <w:r w:rsidRPr="00F25744">
        <w:rPr>
          <w:rFonts w:ascii="David" w:hAnsi="David" w:cs="David"/>
          <w:sz w:val="24"/>
          <w:szCs w:val="24"/>
          <w:rtl/>
        </w:rPr>
        <w:t>:</w:t>
      </w:r>
    </w:p>
    <w:p w14:paraId="01D94472" w14:textId="77777777" w:rsidR="00407543" w:rsidRPr="00F25744" w:rsidRDefault="00E25AE7" w:rsidP="008336F3">
      <w:pPr>
        <w:pStyle w:val="a3"/>
        <w:bidi/>
        <w:spacing w:before="120" w:after="0" w:line="360" w:lineRule="auto"/>
        <w:contextualSpacing w:val="0"/>
        <w:rPr>
          <w:rFonts w:ascii="David" w:hAnsi="David" w:cs="David"/>
          <w:b/>
          <w:bCs/>
          <w:sz w:val="24"/>
          <w:szCs w:val="24"/>
          <w:rtl/>
        </w:rPr>
      </w:pPr>
      <w:r w:rsidRPr="00F25744">
        <w:rPr>
          <w:rFonts w:ascii="David" w:hAnsi="David" w:cs="David"/>
          <w:sz w:val="24"/>
          <w:szCs w:val="24"/>
          <w:rtl/>
        </w:rPr>
        <w:t xml:space="preserve"> </w:t>
      </w:r>
      <w:r w:rsidRPr="00F25744">
        <w:rPr>
          <w:rFonts w:ascii="David" w:hAnsi="David" w:cs="David"/>
          <w:sz w:val="24"/>
          <w:szCs w:val="24"/>
        </w:rPr>
        <w:t xml:space="preserve"> =</w:t>
      </w:r>
      <m:oMath>
        <m:nary>
          <m:naryPr>
            <m:chr m:val="∑"/>
            <m:grow m:val="1"/>
            <m:ctrlPr>
              <w:rPr>
                <w:rFonts w:ascii="Cambria Math" w:hAnsi="Cambria Math" w:cs="David"/>
                <w:sz w:val="24"/>
              </w:rPr>
            </m:ctrlPr>
          </m:naryPr>
          <m:sub>
            <m:r>
              <m:rPr>
                <m:sty m:val="b"/>
              </m:rPr>
              <w:rPr>
                <w:rFonts w:ascii="Cambria Math" w:hAnsi="Cambria Math" w:cs="David"/>
                <w:sz w:val="24"/>
                <w:szCs w:val="24"/>
              </w:rPr>
              <m:t>i</m:t>
            </m:r>
            <m:r>
              <m:rPr>
                <m:sty m:val="p"/>
              </m:rPr>
              <w:rPr>
                <w:rFonts w:ascii="Cambria Math" w:hAnsi="Cambria Math" w:cs="David"/>
                <w:sz w:val="24"/>
                <w:szCs w:val="24"/>
              </w:rPr>
              <m:t>=</m:t>
            </m:r>
            <m:r>
              <m:rPr>
                <m:sty m:val="b"/>
              </m:rPr>
              <w:rPr>
                <w:rFonts w:ascii="Cambria Math" w:hAnsi="Cambria Math" w:cs="David"/>
                <w:sz w:val="24"/>
                <w:szCs w:val="24"/>
              </w:rPr>
              <m:t>1</m:t>
            </m:r>
          </m:sub>
          <m:sup>
            <m:r>
              <m:rPr>
                <m:sty m:val="p"/>
              </m:rPr>
              <w:rPr>
                <w:rFonts w:ascii="Cambria Math" w:hAnsi="Cambria Math" w:cs="David"/>
                <w:sz w:val="24"/>
                <w:szCs w:val="24"/>
              </w:rPr>
              <m:t xml:space="preserve"> </m:t>
            </m:r>
            <m:r>
              <m:rPr>
                <m:sty m:val="b"/>
              </m:rPr>
              <w:rPr>
                <w:rFonts w:ascii="Cambria Math" w:hAnsi="Cambria Math" w:cs="David"/>
                <w:sz w:val="24"/>
                <w:szCs w:val="24"/>
              </w:rPr>
              <m:t>325</m:t>
            </m:r>
            <m:r>
              <m:rPr>
                <m:sty m:val="p"/>
              </m:rPr>
              <w:rPr>
                <w:rFonts w:ascii="Cambria Math" w:hAnsi="Cambria Math" w:cs="David"/>
                <w:sz w:val="24"/>
                <w:szCs w:val="24"/>
              </w:rPr>
              <m:t>(</m:t>
            </m:r>
            <m:r>
              <m:rPr>
                <m:sty m:val="p"/>
              </m:rPr>
              <w:rPr>
                <w:rFonts w:ascii="Cambria Math" w:hAnsi="Cambria Math" w:cs="David"/>
                <w:sz w:val="24"/>
                <w:szCs w:val="24"/>
                <w:rtl/>
              </w:rPr>
              <m:t>תיקים</m:t>
            </m:r>
            <m:r>
              <m:rPr>
                <m:sty m:val="p"/>
              </m:rPr>
              <w:rPr>
                <w:rFonts w:ascii="Cambria Math" w:hAnsi="Cambria Math" w:cs="David"/>
                <w:sz w:val="24"/>
                <w:szCs w:val="24"/>
              </w:rPr>
              <m:t xml:space="preserve"> </m:t>
            </m:r>
            <m:r>
              <m:rPr>
                <m:sty m:val="p"/>
              </m:rPr>
              <w:rPr>
                <w:rFonts w:ascii="Cambria Math" w:hAnsi="Cambria Math" w:cs="David"/>
                <w:sz w:val="24"/>
                <w:szCs w:val="24"/>
                <w:rtl/>
              </w:rPr>
              <m:t>סוגי</m:t>
            </m:r>
            <m:r>
              <m:rPr>
                <m:sty m:val="p"/>
              </m:rPr>
              <w:rPr>
                <w:rFonts w:ascii="Cambria Math" w:hAnsi="Cambria Math" w:cs="David"/>
                <w:sz w:val="24"/>
                <w:szCs w:val="24"/>
              </w:rPr>
              <m:t>)</m:t>
            </m:r>
          </m:sup>
          <m:e>
            <m:d>
              <m:dPr>
                <m:ctrlPr>
                  <w:rPr>
                    <w:rFonts w:ascii="Cambria Math" w:hAnsi="Cambria Math" w:cs="David"/>
                    <w:sz w:val="24"/>
                  </w:rPr>
                </m:ctrlPr>
              </m:dPr>
              <m:e>
                <m:r>
                  <m:rPr>
                    <m:sty m:val="p"/>
                  </m:rPr>
                  <w:rPr>
                    <w:rFonts w:ascii="Cambria Math" w:hAnsi="Cambria Math" w:cs="David"/>
                    <w:sz w:val="24"/>
                    <w:szCs w:val="24"/>
                  </w:rPr>
                  <m:t xml:space="preserve"> </m:t>
                </m:r>
                <m:r>
                  <m:rPr>
                    <m:sty m:val="p"/>
                  </m:rPr>
                  <w:rPr>
                    <w:rFonts w:ascii="Cambria Math" w:hAnsi="Cambria Math" w:cs="David"/>
                    <w:sz w:val="24"/>
                    <w:szCs w:val="24"/>
                    <w:rtl/>
                  </w:rPr>
                  <m:t xml:space="preserve">תיק  משקל </m:t>
                </m:r>
                <m:r>
                  <m:rPr>
                    <m:sty m:val="p"/>
                  </m:rPr>
                  <w:rPr>
                    <w:rFonts w:ascii="Cambria Math" w:hAnsi="Cambria Math" w:cs="David"/>
                    <w:sz w:val="24"/>
                    <w:szCs w:val="24"/>
                  </w:rPr>
                  <m:t xml:space="preserve">* </m:t>
                </m:r>
                <m:r>
                  <m:rPr>
                    <m:sty m:val="p"/>
                  </m:rPr>
                  <w:rPr>
                    <w:rFonts w:ascii="Cambria Math" w:hAnsi="Cambria Math" w:cs="David"/>
                    <w:sz w:val="24"/>
                    <w:szCs w:val="24"/>
                    <w:rtl/>
                  </w:rPr>
                  <m:t>מחוז/בערכאה תיקים</m:t>
                </m:r>
                <m:r>
                  <m:rPr>
                    <m:sty m:val="p"/>
                  </m:rPr>
                  <w:rPr>
                    <w:rFonts w:ascii="Cambria Math" w:hAnsi="Cambria Math" w:cs="David"/>
                    <w:sz w:val="24"/>
                    <w:szCs w:val="24"/>
                  </w:rPr>
                  <m:t xml:space="preserve"> </m:t>
                </m:r>
                <m:r>
                  <m:rPr>
                    <m:sty m:val="p"/>
                  </m:rPr>
                  <w:rPr>
                    <w:rFonts w:ascii="Cambria Math" w:hAnsi="Cambria Math" w:cs="David" w:hint="cs"/>
                    <w:sz w:val="24"/>
                    <w:szCs w:val="24"/>
                    <w:rtl/>
                  </w:rPr>
                  <m:t>כמות</m:t>
                </m:r>
                <m:ctrlPr>
                  <w:rPr>
                    <w:rFonts w:ascii="Cambria Math" w:hAnsi="Cambria Math" w:cs="David"/>
                    <w:sz w:val="24"/>
                    <w:rtl/>
                  </w:rPr>
                </m:ctrlPr>
              </m:e>
            </m:d>
            <m:ctrlPr>
              <w:rPr>
                <w:rFonts w:ascii="Cambria Math" w:hAnsi="Cambria Math" w:cs="David"/>
                <w:sz w:val="24"/>
                <w:rtl/>
              </w:rPr>
            </m:ctrlPr>
          </m:e>
        </m:nary>
      </m:oMath>
      <w:r w:rsidRPr="00F25744">
        <w:rPr>
          <w:rFonts w:ascii="David" w:hAnsi="David" w:cs="David"/>
          <w:b/>
          <w:bCs/>
          <w:sz w:val="24"/>
          <w:szCs w:val="24"/>
          <w:rtl/>
        </w:rPr>
        <w:t>עומס עבודה כולל</w:t>
      </w:r>
    </w:p>
    <w:p w14:paraId="07237D58" w14:textId="77777777" w:rsidR="00407543" w:rsidRPr="00F25744" w:rsidRDefault="00E25AE7" w:rsidP="008336F3">
      <w:pPr>
        <w:spacing w:before="120" w:after="0" w:line="360" w:lineRule="auto"/>
        <w:ind w:left="360"/>
        <w:jc w:val="both"/>
        <w:rPr>
          <w:rFonts w:ascii="David" w:hAnsi="David" w:cs="David"/>
          <w:sz w:val="24"/>
          <w:szCs w:val="24"/>
          <w:rtl/>
        </w:rPr>
      </w:pPr>
      <w:r w:rsidRPr="00F25744">
        <w:rPr>
          <w:rFonts w:ascii="David" w:hAnsi="David" w:cs="David"/>
          <w:sz w:val="24"/>
          <w:szCs w:val="24"/>
          <w:rtl/>
        </w:rPr>
        <w:t>נוסחה זו מביאה בחשבון שלושה היבטים שונים של "</w:t>
      </w:r>
      <w:r w:rsidRPr="00F25744">
        <w:rPr>
          <w:rFonts w:ascii="David" w:hAnsi="David" w:cs="David" w:hint="cs"/>
          <w:b/>
          <w:bCs/>
          <w:sz w:val="24"/>
          <w:szCs w:val="24"/>
          <w:rtl/>
        </w:rPr>
        <w:t>כמות</w:t>
      </w:r>
      <w:r w:rsidRPr="00F25744">
        <w:rPr>
          <w:rFonts w:ascii="David" w:hAnsi="David" w:cs="David"/>
          <w:b/>
          <w:bCs/>
          <w:sz w:val="24"/>
          <w:szCs w:val="24"/>
          <w:rtl/>
        </w:rPr>
        <w:t xml:space="preserve"> </w:t>
      </w:r>
      <w:r w:rsidRPr="00F25744">
        <w:rPr>
          <w:rFonts w:ascii="David" w:hAnsi="David" w:cs="David" w:hint="cs"/>
          <w:b/>
          <w:bCs/>
          <w:sz w:val="24"/>
          <w:szCs w:val="24"/>
          <w:rtl/>
        </w:rPr>
        <w:t>ה</w:t>
      </w:r>
      <w:r w:rsidRPr="00F25744">
        <w:rPr>
          <w:rFonts w:ascii="David" w:hAnsi="David" w:cs="David"/>
          <w:b/>
          <w:bCs/>
          <w:sz w:val="24"/>
          <w:szCs w:val="24"/>
          <w:rtl/>
        </w:rPr>
        <w:t>תיקים</w:t>
      </w:r>
      <w:r w:rsidRPr="00F25744">
        <w:rPr>
          <w:rFonts w:ascii="David" w:hAnsi="David" w:cs="David"/>
          <w:sz w:val="24"/>
          <w:szCs w:val="24"/>
          <w:rtl/>
        </w:rPr>
        <w:t xml:space="preserve">" בערכאה/מחוז הנבדקים: </w:t>
      </w:r>
      <w:r w:rsidRPr="00F25744">
        <w:rPr>
          <w:rFonts w:ascii="David" w:hAnsi="David" w:cs="David" w:hint="cs"/>
          <w:sz w:val="24"/>
          <w:szCs w:val="24"/>
          <w:rtl/>
        </w:rPr>
        <w:t>כמות</w:t>
      </w:r>
      <w:r w:rsidRPr="00F25744">
        <w:rPr>
          <w:rFonts w:ascii="David" w:hAnsi="David" w:cs="David"/>
          <w:sz w:val="24"/>
          <w:szCs w:val="24"/>
          <w:rtl/>
        </w:rPr>
        <w:t xml:space="preserve"> </w:t>
      </w:r>
      <w:r w:rsidRPr="00F25744">
        <w:rPr>
          <w:rFonts w:ascii="David" w:hAnsi="David" w:cs="David" w:hint="cs"/>
          <w:sz w:val="24"/>
          <w:szCs w:val="24"/>
          <w:rtl/>
        </w:rPr>
        <w:t>ה</w:t>
      </w:r>
      <w:r w:rsidRPr="00F25744">
        <w:rPr>
          <w:rFonts w:ascii="David" w:hAnsi="David" w:cs="David"/>
          <w:sz w:val="24"/>
          <w:szCs w:val="24"/>
          <w:rtl/>
        </w:rPr>
        <w:t xml:space="preserve">תיקים </w:t>
      </w:r>
      <w:r w:rsidRPr="00F25744">
        <w:rPr>
          <w:rFonts w:ascii="David" w:hAnsi="David" w:cs="David"/>
          <w:i/>
          <w:iCs/>
          <w:sz w:val="24"/>
          <w:szCs w:val="24"/>
          <w:rtl/>
        </w:rPr>
        <w:t>שנסגרו</w:t>
      </w:r>
      <w:r w:rsidRPr="00F25744">
        <w:rPr>
          <w:rFonts w:ascii="David" w:hAnsi="David" w:cs="David"/>
          <w:sz w:val="24"/>
          <w:szCs w:val="24"/>
          <w:rtl/>
        </w:rPr>
        <w:t xml:space="preserve">, </w:t>
      </w:r>
      <w:r w:rsidRPr="00F25744">
        <w:rPr>
          <w:rFonts w:ascii="David" w:hAnsi="David" w:cs="David" w:hint="cs"/>
          <w:sz w:val="24"/>
          <w:szCs w:val="24"/>
          <w:rtl/>
        </w:rPr>
        <w:t>כמות</w:t>
      </w:r>
      <w:r w:rsidRPr="00F25744">
        <w:rPr>
          <w:rFonts w:ascii="David" w:hAnsi="David" w:cs="David"/>
          <w:sz w:val="24"/>
          <w:szCs w:val="24"/>
          <w:rtl/>
        </w:rPr>
        <w:t xml:space="preserve"> </w:t>
      </w:r>
      <w:r w:rsidRPr="00F25744">
        <w:rPr>
          <w:rFonts w:ascii="David" w:hAnsi="David" w:cs="David" w:hint="cs"/>
          <w:sz w:val="24"/>
          <w:szCs w:val="24"/>
          <w:rtl/>
        </w:rPr>
        <w:t>ה</w:t>
      </w:r>
      <w:r w:rsidRPr="00F25744">
        <w:rPr>
          <w:rFonts w:ascii="David" w:hAnsi="David" w:cs="David"/>
          <w:sz w:val="24"/>
          <w:szCs w:val="24"/>
          <w:rtl/>
        </w:rPr>
        <w:t xml:space="preserve">תיקים </w:t>
      </w:r>
      <w:r w:rsidRPr="00F25744">
        <w:rPr>
          <w:rFonts w:ascii="David" w:hAnsi="David" w:cs="David"/>
          <w:i/>
          <w:iCs/>
          <w:sz w:val="24"/>
          <w:szCs w:val="24"/>
          <w:rtl/>
        </w:rPr>
        <w:t>שנפתחו</w:t>
      </w:r>
      <w:r w:rsidRPr="00F25744">
        <w:rPr>
          <w:rFonts w:ascii="David" w:hAnsi="David" w:cs="David"/>
          <w:sz w:val="24"/>
          <w:szCs w:val="24"/>
          <w:rtl/>
        </w:rPr>
        <w:t xml:space="preserve"> ו</w:t>
      </w:r>
      <w:r w:rsidRPr="00F25744">
        <w:rPr>
          <w:rFonts w:ascii="David" w:hAnsi="David" w:cs="David" w:hint="cs"/>
          <w:sz w:val="24"/>
          <w:szCs w:val="24"/>
          <w:rtl/>
        </w:rPr>
        <w:t>כמות</w:t>
      </w:r>
      <w:r w:rsidRPr="00F25744">
        <w:rPr>
          <w:rFonts w:ascii="David" w:hAnsi="David" w:cs="David"/>
          <w:sz w:val="24"/>
          <w:szCs w:val="24"/>
          <w:rtl/>
        </w:rPr>
        <w:t xml:space="preserve"> התיקים </w:t>
      </w:r>
      <w:r w:rsidRPr="00F25744">
        <w:rPr>
          <w:rFonts w:ascii="David" w:hAnsi="David" w:cs="David"/>
          <w:i/>
          <w:iCs/>
          <w:sz w:val="24"/>
          <w:szCs w:val="24"/>
          <w:rtl/>
        </w:rPr>
        <w:t>במלאי</w:t>
      </w:r>
      <w:r w:rsidRPr="00F25744">
        <w:rPr>
          <w:rFonts w:ascii="David" w:hAnsi="David" w:cs="David"/>
          <w:sz w:val="24"/>
          <w:szCs w:val="24"/>
          <w:rtl/>
        </w:rPr>
        <w:t xml:space="preserve">. נוסחת עומס העבודה הכולל </w:t>
      </w:r>
      <w:r w:rsidRPr="00F25744">
        <w:rPr>
          <w:rFonts w:ascii="David" w:hAnsi="David" w:cs="David"/>
          <w:sz w:val="24"/>
          <w:szCs w:val="24"/>
          <w:u w:val="single"/>
          <w:rtl/>
        </w:rPr>
        <w:t>מ</w:t>
      </w:r>
      <w:r w:rsidRPr="00F25744">
        <w:rPr>
          <w:rFonts w:ascii="David" w:hAnsi="David" w:cs="David" w:hint="cs"/>
          <w:sz w:val="24"/>
          <w:szCs w:val="24"/>
          <w:u w:val="single"/>
          <w:rtl/>
        </w:rPr>
        <w:t>מצעת</w:t>
      </w:r>
      <w:r w:rsidRPr="00F25744">
        <w:rPr>
          <w:rFonts w:ascii="David" w:hAnsi="David" w:cs="David" w:hint="cs"/>
          <w:sz w:val="24"/>
          <w:szCs w:val="24"/>
          <w:rtl/>
        </w:rPr>
        <w:t xml:space="preserve"> </w:t>
      </w:r>
      <w:r w:rsidRPr="00F25744">
        <w:rPr>
          <w:rFonts w:ascii="David" w:hAnsi="David" w:cs="David"/>
          <w:sz w:val="24"/>
          <w:szCs w:val="24"/>
          <w:rtl/>
        </w:rPr>
        <w:t xml:space="preserve">את שלושת ההיבטים הללו וכך מניבה את תמונת העומסים המלאה, המעניקה לכל אחד מהרכיבים (עומסי התיקים הנפתחים, הנסגרים והמלאי) חשיבות זהה. </w:t>
      </w:r>
      <w:r w:rsidRPr="00F25744">
        <w:rPr>
          <w:rFonts w:ascii="David" w:hAnsi="David" w:cs="David" w:hint="cs"/>
          <w:sz w:val="24"/>
          <w:szCs w:val="24"/>
          <w:rtl/>
        </w:rPr>
        <w:t>השילוב בין שלושת הרכיבים הללו נדרש לקבלת תמונת העומסים המלאה, מאחר שכל אחד מהם מבטא נורמה ארגונית שונה ואינטרס אחר לעניין חלוקת משאבים:</w:t>
      </w:r>
    </w:p>
    <w:p w14:paraId="778C47B9" w14:textId="77777777" w:rsidR="00407543" w:rsidRPr="00F25744" w:rsidRDefault="00E25AE7" w:rsidP="008336F3">
      <w:pPr>
        <w:pStyle w:val="a3"/>
        <w:numPr>
          <w:ilvl w:val="1"/>
          <w:numId w:val="47"/>
        </w:numPr>
        <w:bidi/>
        <w:spacing w:before="120" w:after="0" w:line="360" w:lineRule="auto"/>
        <w:contextualSpacing w:val="0"/>
        <w:rPr>
          <w:rFonts w:cs="David"/>
          <w:sz w:val="24"/>
          <w:szCs w:val="24"/>
        </w:rPr>
      </w:pPr>
      <w:r w:rsidRPr="00F25744">
        <w:rPr>
          <w:rFonts w:cs="David" w:hint="cs"/>
          <w:sz w:val="24"/>
          <w:szCs w:val="24"/>
          <w:rtl/>
        </w:rPr>
        <w:t xml:space="preserve">עומס תיקים </w:t>
      </w:r>
      <w:r w:rsidRPr="00F25744">
        <w:rPr>
          <w:rFonts w:cs="David" w:hint="cs"/>
          <w:b/>
          <w:bCs/>
          <w:sz w:val="24"/>
          <w:szCs w:val="24"/>
          <w:rtl/>
        </w:rPr>
        <w:t>נסגרים</w:t>
      </w:r>
      <w:r w:rsidRPr="00F25744">
        <w:rPr>
          <w:rFonts w:cs="David" w:hint="cs"/>
          <w:sz w:val="24"/>
          <w:szCs w:val="24"/>
          <w:rtl/>
        </w:rPr>
        <w:t xml:space="preserve"> לשופט </w:t>
      </w:r>
      <w:r w:rsidRPr="00F25744">
        <w:rPr>
          <w:rFonts w:cs="David"/>
          <w:sz w:val="24"/>
          <w:szCs w:val="24"/>
          <w:rtl/>
        </w:rPr>
        <w:t>–</w:t>
      </w:r>
      <w:r w:rsidRPr="00F25744">
        <w:rPr>
          <w:rFonts w:cs="David" w:hint="cs"/>
          <w:sz w:val="24"/>
          <w:szCs w:val="24"/>
          <w:rtl/>
        </w:rPr>
        <w:t xml:space="preserve"> הכוונה היא לחישוב העומס בהתאם לכמות ולמשקל התיקים שהטיפול השיפוטי בהם הסתיים בערכאה/ מחוז בתקופת הזמן שנבדקה. עומס התיקים שנסגרו מבטא לפיכך את עומס העבודה שהיה לשופט </w:t>
      </w:r>
      <w:r w:rsidRPr="00F25744">
        <w:rPr>
          <w:rFonts w:cs="David" w:hint="cs"/>
          <w:b/>
          <w:bCs/>
          <w:sz w:val="24"/>
          <w:szCs w:val="24"/>
          <w:rtl/>
        </w:rPr>
        <w:t>בפועל</w:t>
      </w:r>
      <w:r w:rsidRPr="00F25744">
        <w:rPr>
          <w:rFonts w:cs="David" w:hint="cs"/>
          <w:sz w:val="24"/>
          <w:szCs w:val="24"/>
          <w:rtl/>
        </w:rPr>
        <w:t>;</w:t>
      </w:r>
    </w:p>
    <w:p w14:paraId="5BA8823A" w14:textId="77777777" w:rsidR="00407543" w:rsidRPr="00F25744" w:rsidRDefault="00E25AE7" w:rsidP="008336F3">
      <w:pPr>
        <w:pStyle w:val="a3"/>
        <w:numPr>
          <w:ilvl w:val="1"/>
          <w:numId w:val="47"/>
        </w:numPr>
        <w:bidi/>
        <w:spacing w:before="120" w:after="0" w:line="360" w:lineRule="auto"/>
        <w:contextualSpacing w:val="0"/>
        <w:rPr>
          <w:rFonts w:cs="David"/>
          <w:sz w:val="24"/>
          <w:szCs w:val="24"/>
        </w:rPr>
      </w:pPr>
      <w:r w:rsidRPr="00F25744">
        <w:rPr>
          <w:rFonts w:cs="David" w:hint="cs"/>
          <w:sz w:val="24"/>
          <w:szCs w:val="24"/>
          <w:rtl/>
        </w:rPr>
        <w:t xml:space="preserve">עומס תיקים </w:t>
      </w:r>
      <w:r w:rsidRPr="00F25744">
        <w:rPr>
          <w:rFonts w:cs="David" w:hint="cs"/>
          <w:b/>
          <w:bCs/>
          <w:sz w:val="24"/>
          <w:szCs w:val="24"/>
          <w:rtl/>
        </w:rPr>
        <w:t>נפתחים</w:t>
      </w:r>
      <w:r w:rsidRPr="00F25744">
        <w:rPr>
          <w:rFonts w:cs="David" w:hint="cs"/>
          <w:sz w:val="24"/>
          <w:szCs w:val="24"/>
          <w:rtl/>
        </w:rPr>
        <w:t xml:space="preserve"> לשופט </w:t>
      </w:r>
      <w:r w:rsidRPr="00F25744">
        <w:rPr>
          <w:rFonts w:cs="David"/>
          <w:sz w:val="24"/>
          <w:szCs w:val="24"/>
          <w:rtl/>
        </w:rPr>
        <w:t>–</w:t>
      </w:r>
      <w:r w:rsidRPr="00F25744">
        <w:rPr>
          <w:rFonts w:cs="David" w:hint="cs"/>
          <w:sz w:val="24"/>
          <w:szCs w:val="24"/>
          <w:rtl/>
        </w:rPr>
        <w:t xml:space="preserve"> הכוונה היא לחישוב העומס לפי כמות ומשקל התיקים שנפתחו בערכאה/ מחוז בתקופת זמן מסוימת. התיקים שנפתחו מבטאים את עומס העבודה </w:t>
      </w:r>
      <w:r w:rsidRPr="00F25744">
        <w:rPr>
          <w:rFonts w:cs="David" w:hint="cs"/>
          <w:b/>
          <w:bCs/>
          <w:sz w:val="24"/>
          <w:szCs w:val="24"/>
          <w:rtl/>
        </w:rPr>
        <w:t>השוטף</w:t>
      </w:r>
      <w:r w:rsidRPr="00F25744">
        <w:rPr>
          <w:rFonts w:cs="David" w:hint="cs"/>
          <w:sz w:val="24"/>
          <w:szCs w:val="24"/>
          <w:rtl/>
        </w:rPr>
        <w:t xml:space="preserve"> שצפוי לשופטים בעתיד; </w:t>
      </w:r>
    </w:p>
    <w:p w14:paraId="6A98C9B4" w14:textId="5E9E0FC4" w:rsidR="00407543" w:rsidRPr="00F25744" w:rsidRDefault="00E25AE7" w:rsidP="00171B00">
      <w:pPr>
        <w:pStyle w:val="a3"/>
        <w:numPr>
          <w:ilvl w:val="1"/>
          <w:numId w:val="47"/>
        </w:numPr>
        <w:bidi/>
        <w:spacing w:before="120" w:after="0" w:line="360" w:lineRule="auto"/>
        <w:contextualSpacing w:val="0"/>
        <w:rPr>
          <w:rFonts w:cs="David"/>
          <w:sz w:val="24"/>
          <w:szCs w:val="24"/>
        </w:rPr>
      </w:pPr>
      <w:r w:rsidRPr="00F25744">
        <w:rPr>
          <w:rFonts w:cs="David" w:hint="cs"/>
          <w:sz w:val="24"/>
          <w:szCs w:val="24"/>
          <w:rtl/>
        </w:rPr>
        <w:t>עומס תיקי</w:t>
      </w:r>
      <w:r w:rsidR="00171B00">
        <w:rPr>
          <w:rFonts w:cs="David" w:hint="cs"/>
          <w:b/>
          <w:bCs/>
          <w:sz w:val="24"/>
          <w:szCs w:val="24"/>
          <w:rtl/>
        </w:rPr>
        <w:t xml:space="preserve"> </w:t>
      </w:r>
      <w:r w:rsidRPr="00F25744">
        <w:rPr>
          <w:rFonts w:cs="David" w:hint="cs"/>
          <w:b/>
          <w:bCs/>
          <w:sz w:val="24"/>
          <w:szCs w:val="24"/>
          <w:rtl/>
        </w:rPr>
        <w:t>מלאי</w:t>
      </w:r>
      <w:r w:rsidRPr="00F25744">
        <w:rPr>
          <w:rFonts w:cs="David" w:hint="cs"/>
          <w:sz w:val="24"/>
          <w:szCs w:val="24"/>
          <w:rtl/>
        </w:rPr>
        <w:t xml:space="preserve"> לשופט </w:t>
      </w:r>
      <w:r w:rsidRPr="00F25744">
        <w:rPr>
          <w:rFonts w:cs="David"/>
          <w:sz w:val="24"/>
          <w:szCs w:val="24"/>
          <w:rtl/>
        </w:rPr>
        <w:t>–</w:t>
      </w:r>
      <w:r w:rsidRPr="00F25744">
        <w:rPr>
          <w:rFonts w:cs="David" w:hint="cs"/>
          <w:sz w:val="24"/>
          <w:szCs w:val="24"/>
          <w:rtl/>
        </w:rPr>
        <w:t xml:space="preserve"> חישוב עומס העבודה לפי כמות ומשקל התיקים שבמלאי בתי המשפט מביא בחשבון את המלאי ההיסטורי (הוותיק) שהצטבר עד התקופה הנבדקת. </w:t>
      </w:r>
    </w:p>
    <w:p w14:paraId="027EE80B" w14:textId="77777777" w:rsidR="00407543" w:rsidRPr="00F25744" w:rsidRDefault="00E25AE7" w:rsidP="008336F3">
      <w:pPr>
        <w:pStyle w:val="a3"/>
        <w:numPr>
          <w:ilvl w:val="0"/>
          <w:numId w:val="47"/>
        </w:numPr>
        <w:bidi/>
        <w:spacing w:before="120" w:after="0" w:line="360" w:lineRule="auto"/>
        <w:contextualSpacing w:val="0"/>
        <w:rPr>
          <w:rFonts w:cs="David"/>
          <w:sz w:val="24"/>
          <w:szCs w:val="24"/>
        </w:rPr>
      </w:pPr>
      <w:r w:rsidRPr="00F25744">
        <w:rPr>
          <w:rFonts w:cs="David" w:hint="cs"/>
          <w:b/>
          <w:bCs/>
          <w:sz w:val="24"/>
          <w:szCs w:val="24"/>
          <w:rtl/>
        </w:rPr>
        <w:t>עומס העבודה הממוצע לשופט</w:t>
      </w:r>
      <w:r w:rsidRPr="00F25744">
        <w:rPr>
          <w:rFonts w:cs="David" w:hint="cs"/>
          <w:sz w:val="24"/>
          <w:szCs w:val="24"/>
          <w:rtl/>
        </w:rPr>
        <w:t xml:space="preserve"> - חלוקת עומס העבודה השיפוטי</w:t>
      </w:r>
      <w:r w:rsidR="00DC25D2" w:rsidRPr="00F25744">
        <w:rPr>
          <w:rFonts w:cs="David" w:hint="cs"/>
          <w:sz w:val="24"/>
          <w:szCs w:val="24"/>
          <w:rtl/>
        </w:rPr>
        <w:t>ת</w:t>
      </w:r>
      <w:r w:rsidRPr="00F25744">
        <w:rPr>
          <w:rFonts w:cs="David" w:hint="cs"/>
          <w:sz w:val="24"/>
          <w:szCs w:val="24"/>
          <w:rtl/>
        </w:rPr>
        <w:t xml:space="preserve"> הכולל בערכאה/ במחוז במספר השופטים והרשמים מביאה ל"</w:t>
      </w:r>
      <w:r w:rsidRPr="00F25744">
        <w:rPr>
          <w:rFonts w:cs="David" w:hint="cs"/>
          <w:b/>
          <w:bCs/>
          <w:sz w:val="24"/>
          <w:szCs w:val="24"/>
          <w:rtl/>
        </w:rPr>
        <w:t>עומס העבודה הממוצע לשופט</w:t>
      </w:r>
      <w:r w:rsidRPr="00F25744">
        <w:rPr>
          <w:rFonts w:cs="David" w:hint="cs"/>
          <w:sz w:val="24"/>
          <w:szCs w:val="24"/>
          <w:rtl/>
        </w:rPr>
        <w:t>". למעשה, החלוקה במספר השופטים והרשמים בכל מחוז מאפשרת ליצור סטנדרטיזציה של עומס העבודה הכולל, אשר באמצעותו ניתן להשוות את עומסי העבודה הממוצעים בין הערכאות ובין מחוזות השיפוט;</w:t>
      </w:r>
    </w:p>
    <w:p w14:paraId="5998A5D1" w14:textId="77777777" w:rsidR="00407543" w:rsidRPr="00F25744" w:rsidRDefault="00E25AE7" w:rsidP="008336F3">
      <w:pPr>
        <w:pStyle w:val="a3"/>
        <w:numPr>
          <w:ilvl w:val="0"/>
          <w:numId w:val="47"/>
        </w:numPr>
        <w:bidi/>
        <w:spacing w:before="120" w:after="0" w:line="360" w:lineRule="auto"/>
        <w:contextualSpacing w:val="0"/>
        <w:rPr>
          <w:rFonts w:cs="David"/>
          <w:sz w:val="24"/>
          <w:szCs w:val="24"/>
        </w:rPr>
      </w:pPr>
      <w:r w:rsidRPr="00F25744">
        <w:rPr>
          <w:rFonts w:cs="David" w:hint="cs"/>
          <w:b/>
          <w:bCs/>
          <w:sz w:val="24"/>
          <w:szCs w:val="24"/>
          <w:rtl/>
        </w:rPr>
        <w:t xml:space="preserve">"יום שופט" </w:t>
      </w:r>
      <w:r w:rsidRPr="00F25744">
        <w:rPr>
          <w:rFonts w:cs="David"/>
          <w:sz w:val="24"/>
          <w:szCs w:val="24"/>
          <w:rtl/>
        </w:rPr>
        <w:t>–</w:t>
      </w:r>
      <w:r w:rsidRPr="00F25744">
        <w:rPr>
          <w:rFonts w:cs="David" w:hint="cs"/>
          <w:sz w:val="24"/>
          <w:szCs w:val="24"/>
          <w:rtl/>
        </w:rPr>
        <w:t xml:space="preserve"> </w:t>
      </w:r>
      <w:r w:rsidRPr="00F25744">
        <w:rPr>
          <w:rFonts w:ascii="David" w:hAnsi="David" w:cs="David" w:hint="cs"/>
          <w:sz w:val="24"/>
          <w:szCs w:val="24"/>
          <w:rtl/>
        </w:rPr>
        <w:t xml:space="preserve">מספר </w:t>
      </w:r>
      <w:r w:rsidRPr="00F25744">
        <w:rPr>
          <w:rFonts w:ascii="David" w:hAnsi="David" w:cs="David" w:hint="cs"/>
          <w:b/>
          <w:bCs/>
          <w:sz w:val="24"/>
          <w:szCs w:val="24"/>
          <w:rtl/>
        </w:rPr>
        <w:t>שעות העבודה על תיקים</w:t>
      </w:r>
      <w:r w:rsidRPr="00F25744">
        <w:rPr>
          <w:rFonts w:ascii="David" w:hAnsi="David" w:cs="David" w:hint="cs"/>
          <w:sz w:val="24"/>
          <w:szCs w:val="24"/>
          <w:rtl/>
        </w:rPr>
        <w:t xml:space="preserve"> שעל שופט או רשם לעבוד בממוצע ביום</w:t>
      </w:r>
      <w:r w:rsidRPr="00F25744">
        <w:rPr>
          <w:rFonts w:cs="David" w:hint="cs"/>
          <w:sz w:val="24"/>
          <w:szCs w:val="24"/>
          <w:rtl/>
        </w:rPr>
        <w:t>;</w:t>
      </w:r>
    </w:p>
    <w:p w14:paraId="501E2921" w14:textId="77777777" w:rsidR="00407543" w:rsidRPr="00F25744" w:rsidRDefault="00E25AE7" w:rsidP="008336F3">
      <w:pPr>
        <w:pStyle w:val="a3"/>
        <w:numPr>
          <w:ilvl w:val="0"/>
          <w:numId w:val="47"/>
        </w:numPr>
        <w:bidi/>
        <w:spacing w:before="120" w:after="0" w:line="360" w:lineRule="auto"/>
        <w:contextualSpacing w:val="0"/>
        <w:rPr>
          <w:rFonts w:cs="David"/>
          <w:sz w:val="24"/>
          <w:szCs w:val="24"/>
        </w:rPr>
      </w:pPr>
      <w:r w:rsidRPr="00F25744">
        <w:rPr>
          <w:rFonts w:cs="David" w:hint="cs"/>
          <w:b/>
          <w:bCs/>
          <w:sz w:val="24"/>
          <w:szCs w:val="24"/>
          <w:rtl/>
        </w:rPr>
        <w:t xml:space="preserve">"שנת שופט" </w:t>
      </w:r>
      <w:r w:rsidRPr="00F25744">
        <w:rPr>
          <w:rFonts w:cs="David"/>
          <w:sz w:val="24"/>
          <w:szCs w:val="24"/>
          <w:rtl/>
        </w:rPr>
        <w:t>–</w:t>
      </w:r>
      <w:r w:rsidRPr="00F25744">
        <w:rPr>
          <w:rFonts w:cs="David" w:hint="cs"/>
          <w:sz w:val="24"/>
          <w:szCs w:val="24"/>
          <w:rtl/>
        </w:rPr>
        <w:t xml:space="preserve"> </w:t>
      </w:r>
      <w:r w:rsidRPr="00F25744">
        <w:rPr>
          <w:rFonts w:ascii="David" w:hAnsi="David" w:cs="David" w:hint="cs"/>
          <w:sz w:val="24"/>
          <w:szCs w:val="24"/>
          <w:rtl/>
        </w:rPr>
        <w:t xml:space="preserve">מספר </w:t>
      </w:r>
      <w:r w:rsidRPr="00F25744">
        <w:rPr>
          <w:rFonts w:ascii="David" w:hAnsi="David" w:cs="David" w:hint="cs"/>
          <w:b/>
          <w:bCs/>
          <w:sz w:val="24"/>
          <w:szCs w:val="24"/>
          <w:rtl/>
        </w:rPr>
        <w:t>ימי העבודה הפוטנציאליים</w:t>
      </w:r>
      <w:r w:rsidRPr="00F25744">
        <w:rPr>
          <w:rFonts w:ascii="David" w:hAnsi="David" w:cs="David" w:hint="cs"/>
          <w:sz w:val="24"/>
          <w:szCs w:val="24"/>
          <w:rtl/>
        </w:rPr>
        <w:t xml:space="preserve"> לעבודת שופט בשנה;</w:t>
      </w:r>
    </w:p>
    <w:p w14:paraId="301CBE8A" w14:textId="77777777" w:rsidR="00407543" w:rsidRPr="00F25744" w:rsidRDefault="00E25AE7" w:rsidP="008336F3">
      <w:pPr>
        <w:spacing w:before="120" w:after="0" w:line="360" w:lineRule="auto"/>
        <w:jc w:val="both"/>
        <w:rPr>
          <w:rFonts w:cs="David"/>
          <w:sz w:val="24"/>
          <w:szCs w:val="24"/>
          <w:rtl/>
        </w:rPr>
      </w:pPr>
      <w:r w:rsidRPr="00F25744">
        <w:rPr>
          <w:rFonts w:cs="David" w:hint="cs"/>
          <w:sz w:val="24"/>
          <w:szCs w:val="24"/>
          <w:rtl/>
        </w:rPr>
        <w:t xml:space="preserve">נתונים אלו מאפשרים לנו לחשב את כמות השופטים הדרושים במערכת כדי לטפל בתיקים - כמות התקנים הנוספים הנדרשת, את אופן חלוקת תקני השיפוט העומדים לרשות הרשות השופטת ואף הסטת תקני שיפוט קיימים, הכול על מנת לאזן ולהקל על העומס המוטל על כתפי שופטי ורשמי מערכת המשפט. </w:t>
      </w:r>
    </w:p>
    <w:p w14:paraId="59C68F05" w14:textId="77777777" w:rsidR="00E025F4" w:rsidRPr="00F25744" w:rsidRDefault="00E25AE7" w:rsidP="008336F3">
      <w:pPr>
        <w:spacing w:before="120" w:after="0" w:line="360" w:lineRule="auto"/>
        <w:jc w:val="both"/>
        <w:rPr>
          <w:rFonts w:cs="David"/>
          <w:sz w:val="24"/>
          <w:szCs w:val="24"/>
          <w:u w:val="single"/>
          <w:rtl/>
        </w:rPr>
      </w:pPr>
      <w:r w:rsidRPr="00F25744">
        <w:rPr>
          <w:rFonts w:cs="David" w:hint="cs"/>
          <w:sz w:val="24"/>
          <w:szCs w:val="24"/>
          <w:u w:val="single"/>
          <w:rtl/>
        </w:rPr>
        <w:t>חישוב כמות השופטים הדרושים במערכת כדי לטפל בתיקים</w:t>
      </w:r>
    </w:p>
    <w:p w14:paraId="31699952" w14:textId="77777777" w:rsidR="00E025F4" w:rsidRPr="00F25744" w:rsidRDefault="00E25AE7" w:rsidP="008336F3">
      <w:pPr>
        <w:spacing w:before="120" w:after="0" w:line="360" w:lineRule="auto"/>
        <w:jc w:val="both"/>
        <w:rPr>
          <w:rFonts w:cs="David"/>
          <w:sz w:val="24"/>
          <w:szCs w:val="24"/>
          <w:rtl/>
        </w:rPr>
      </w:pPr>
      <w:r w:rsidRPr="00F25744">
        <w:rPr>
          <w:rFonts w:cs="David" w:hint="cs"/>
          <w:sz w:val="24"/>
          <w:szCs w:val="24"/>
          <w:rtl/>
        </w:rPr>
        <w:t xml:space="preserve">את חישוב תוספת התקינה הנדרשת למערכת, ניתן לבצע לאחר חישוב הזמן השיפוטי </w:t>
      </w:r>
      <w:r w:rsidRPr="00F25744">
        <w:rPr>
          <w:rFonts w:cs="David" w:hint="cs"/>
          <w:b/>
          <w:bCs/>
          <w:sz w:val="24"/>
          <w:szCs w:val="24"/>
          <w:rtl/>
        </w:rPr>
        <w:t>הדרוש</w:t>
      </w:r>
      <w:r w:rsidRPr="00F25744">
        <w:rPr>
          <w:rFonts w:cs="David" w:hint="cs"/>
          <w:sz w:val="24"/>
          <w:szCs w:val="24"/>
          <w:rtl/>
        </w:rPr>
        <w:t xml:space="preserve"> לטיפול בתיקים של כל ערכאה ומחוז (</w:t>
      </w:r>
      <w:r w:rsidRPr="00F25744">
        <w:rPr>
          <w:rFonts w:ascii="David" w:hAnsi="David" w:cs="David"/>
          <w:b/>
          <w:bCs/>
          <w:sz w:val="24"/>
          <w:szCs w:val="24"/>
          <w:rtl/>
        </w:rPr>
        <w:t>עומס העבודה השיפוטית הכולל</w:t>
      </w:r>
      <w:r w:rsidRPr="00F25744">
        <w:rPr>
          <w:rFonts w:cs="David" w:hint="cs"/>
          <w:sz w:val="24"/>
          <w:szCs w:val="24"/>
          <w:rtl/>
        </w:rPr>
        <w:t xml:space="preserve">), וחישוב הזמן השיפוטי העומד לרשות המערכת על בסיס התקינה הקיימת </w:t>
      </w:r>
      <w:r w:rsidRPr="00F25744">
        <w:rPr>
          <w:rFonts w:cs="David"/>
          <w:sz w:val="24"/>
          <w:szCs w:val="24"/>
          <w:rtl/>
        </w:rPr>
        <w:t>–</w:t>
      </w:r>
      <w:r w:rsidRPr="00F25744">
        <w:rPr>
          <w:rFonts w:cs="David" w:hint="cs"/>
          <w:sz w:val="24"/>
          <w:szCs w:val="24"/>
          <w:rtl/>
        </w:rPr>
        <w:t xml:space="preserve"> הזמן השיפוטי </w:t>
      </w:r>
      <w:r w:rsidRPr="00F25744">
        <w:rPr>
          <w:rFonts w:cs="David" w:hint="cs"/>
          <w:b/>
          <w:bCs/>
          <w:sz w:val="24"/>
          <w:szCs w:val="24"/>
          <w:rtl/>
        </w:rPr>
        <w:t>הקיים</w:t>
      </w:r>
      <w:r w:rsidRPr="00F25744">
        <w:rPr>
          <w:rFonts w:cs="David" w:hint="cs"/>
          <w:sz w:val="24"/>
          <w:szCs w:val="24"/>
          <w:rtl/>
        </w:rPr>
        <w:t>. כאשר יש יותר זמן שיפוטי שנדרש לטיפול בתיקי המערכת מול זמן שיפוטי קיים</w:t>
      </w:r>
      <w:r w:rsidR="00341018" w:rsidRPr="00F25744">
        <w:rPr>
          <w:rFonts w:cs="David" w:hint="cs"/>
          <w:sz w:val="24"/>
          <w:szCs w:val="24"/>
          <w:rtl/>
        </w:rPr>
        <w:t>,</w:t>
      </w:r>
      <w:r w:rsidRPr="00F25744">
        <w:rPr>
          <w:rFonts w:cs="David" w:hint="cs"/>
          <w:sz w:val="24"/>
          <w:szCs w:val="24"/>
          <w:rtl/>
        </w:rPr>
        <w:t xml:space="preserve"> המשמעות היא כי קיים חסר תקינתי, וכעת יש לחשב את מספר התקנים הנדרשים כדי להשוות או לאזן את הזמנים </w:t>
      </w:r>
      <w:r w:rsidRPr="00F25744">
        <w:rPr>
          <w:rFonts w:cs="David"/>
          <w:sz w:val="24"/>
          <w:szCs w:val="24"/>
          <w:rtl/>
        </w:rPr>
        <w:t>–</w:t>
      </w:r>
      <w:r w:rsidRPr="00F25744">
        <w:rPr>
          <w:rFonts w:cs="David" w:hint="cs"/>
          <w:sz w:val="24"/>
          <w:szCs w:val="24"/>
          <w:rtl/>
        </w:rPr>
        <w:t xml:space="preserve"> </w:t>
      </w:r>
      <w:r w:rsidR="00341018" w:rsidRPr="00F25744">
        <w:rPr>
          <w:rFonts w:cs="David" w:hint="cs"/>
          <w:sz w:val="24"/>
          <w:szCs w:val="24"/>
          <w:rtl/>
        </w:rPr>
        <w:t xml:space="preserve">כלומר, </w:t>
      </w:r>
      <w:r w:rsidRPr="00F25744">
        <w:rPr>
          <w:rFonts w:cs="David" w:hint="cs"/>
          <w:sz w:val="24"/>
          <w:szCs w:val="24"/>
          <w:rtl/>
        </w:rPr>
        <w:t xml:space="preserve">היכן ניתן להפחית ולהיכן יש להוסיף. </w:t>
      </w:r>
    </w:p>
    <w:p w14:paraId="3B2BA4D9" w14:textId="77777777" w:rsidR="00E025F4" w:rsidRPr="00F25744" w:rsidRDefault="00E25AE7" w:rsidP="008336F3">
      <w:pPr>
        <w:spacing w:before="120" w:after="0" w:line="360" w:lineRule="auto"/>
        <w:jc w:val="both"/>
        <w:rPr>
          <w:rFonts w:cs="David"/>
          <w:sz w:val="24"/>
          <w:szCs w:val="24"/>
          <w:rtl/>
        </w:rPr>
      </w:pPr>
      <w:r w:rsidRPr="00F25744">
        <w:rPr>
          <w:rFonts w:cs="David" w:hint="cs"/>
          <w:sz w:val="24"/>
          <w:szCs w:val="24"/>
          <w:rtl/>
        </w:rPr>
        <w:lastRenderedPageBreak/>
        <w:t>חישוב הזמן השיפוטי השנתי הקיים מצריך קביעת מספר שעות העבודה היומיות שעל שופט לעבוד על תיקים בלבד (</w:t>
      </w:r>
      <w:r w:rsidRPr="00F25744">
        <w:rPr>
          <w:rFonts w:cs="David" w:hint="cs"/>
          <w:b/>
          <w:bCs/>
          <w:sz w:val="24"/>
          <w:szCs w:val="24"/>
          <w:rtl/>
        </w:rPr>
        <w:t>"יום שופט"</w:t>
      </w:r>
      <w:r w:rsidRPr="00F25744">
        <w:rPr>
          <w:rFonts w:cs="David" w:hint="cs"/>
          <w:sz w:val="24"/>
          <w:szCs w:val="24"/>
          <w:rtl/>
        </w:rPr>
        <w:t>) ואת מספר ימי העבודה השיפוטיים הפוטנציאליים לעבודה (</w:t>
      </w:r>
      <w:r w:rsidRPr="00F25744">
        <w:rPr>
          <w:rFonts w:cs="David" w:hint="cs"/>
          <w:b/>
          <w:bCs/>
          <w:sz w:val="24"/>
          <w:szCs w:val="24"/>
          <w:rtl/>
        </w:rPr>
        <w:t>"שנת שופט"</w:t>
      </w:r>
      <w:r w:rsidRPr="00F25744">
        <w:rPr>
          <w:rFonts w:cs="David" w:hint="cs"/>
          <w:sz w:val="24"/>
          <w:szCs w:val="24"/>
          <w:rtl/>
        </w:rPr>
        <w:t xml:space="preserve">). מכפלה של </w:t>
      </w:r>
      <w:r w:rsidR="00341018" w:rsidRPr="00F25744">
        <w:rPr>
          <w:rFonts w:cs="David" w:hint="cs"/>
          <w:sz w:val="24"/>
          <w:szCs w:val="24"/>
          <w:rtl/>
        </w:rPr>
        <w:t>נתון אחד בשני תניב</w:t>
      </w:r>
      <w:r w:rsidRPr="00F25744">
        <w:rPr>
          <w:rFonts w:cs="David" w:hint="cs"/>
          <w:sz w:val="24"/>
          <w:szCs w:val="24"/>
          <w:rtl/>
        </w:rPr>
        <w:t xml:space="preserve"> את סך השעות השנתיות הפוטנציאליות לעבודה על תיקים של שופט ממוצע. הכפלת זמן זה בכמות השופטים והרשמים הקיימים ברגע נתון ת</w:t>
      </w:r>
      <w:r w:rsidR="00341018" w:rsidRPr="00F25744">
        <w:rPr>
          <w:rFonts w:cs="David" w:hint="cs"/>
          <w:sz w:val="24"/>
          <w:szCs w:val="24"/>
          <w:rtl/>
        </w:rPr>
        <w:t>ניב</w:t>
      </w:r>
      <w:r w:rsidRPr="00F25744">
        <w:rPr>
          <w:rFonts w:cs="David" w:hint="cs"/>
          <w:sz w:val="24"/>
          <w:szCs w:val="24"/>
          <w:rtl/>
        </w:rPr>
        <w:t xml:space="preserve"> את סך השעות השיפוטיות הזמינות לטיפול בתיקים בשנת פעילות אחת.</w:t>
      </w:r>
    </w:p>
    <w:p w14:paraId="145FEC4E" w14:textId="77777777" w:rsidR="00E025F4" w:rsidRPr="00F25744" w:rsidRDefault="00E25AE7" w:rsidP="008336F3">
      <w:pPr>
        <w:spacing w:before="120" w:after="0" w:line="360" w:lineRule="auto"/>
        <w:jc w:val="both"/>
        <w:rPr>
          <w:rFonts w:cs="David"/>
          <w:sz w:val="24"/>
          <w:szCs w:val="24"/>
          <w:rtl/>
        </w:rPr>
      </w:pPr>
      <w:r w:rsidRPr="00F25744">
        <w:rPr>
          <w:rFonts w:cs="David" w:hint="cs"/>
          <w:sz w:val="24"/>
          <w:szCs w:val="24"/>
          <w:rtl/>
        </w:rPr>
        <w:t>כאמור, הפער בין הזמן השיפוטי הדרוש (עומס העבודה השיפוטית הכולל) לזמן השיפוטי הקיים מציג את החוסר הקיים על מנת להתמודד עם התיקים במערכת. חלוקת סכום זה בסך שעות העבודה השנתיות של שופט/ רשם תניב את התשובה לשאלה כמה שופטים נוספים נדרשים למערכת.</w:t>
      </w:r>
    </w:p>
    <w:p w14:paraId="3EF92D26" w14:textId="77777777" w:rsidR="00E025F4" w:rsidRPr="00F25744" w:rsidRDefault="00E25AE7" w:rsidP="008336F3">
      <w:pPr>
        <w:spacing w:before="120" w:after="0" w:line="360" w:lineRule="auto"/>
        <w:jc w:val="both"/>
        <w:rPr>
          <w:rFonts w:cs="David"/>
          <w:sz w:val="24"/>
          <w:szCs w:val="24"/>
          <w:rtl/>
        </w:rPr>
      </w:pPr>
      <w:r w:rsidRPr="00F25744">
        <w:rPr>
          <w:rFonts w:cs="David" w:hint="cs"/>
          <w:sz w:val="24"/>
          <w:szCs w:val="24"/>
          <w:rtl/>
        </w:rPr>
        <w:t xml:space="preserve">כאן המקום להעיר, כי קביעת שעות העבודה היומיות של השופטים ו"שנת שופט" עשויה לשקף מצב </w:t>
      </w:r>
      <w:r w:rsidRPr="00F25744">
        <w:rPr>
          <w:rFonts w:cs="David" w:hint="cs"/>
          <w:b/>
          <w:bCs/>
          <w:sz w:val="24"/>
          <w:szCs w:val="24"/>
          <w:rtl/>
        </w:rPr>
        <w:t>מצוי</w:t>
      </w:r>
      <w:r w:rsidRPr="00F25744">
        <w:rPr>
          <w:rFonts w:cs="David" w:hint="cs"/>
          <w:sz w:val="24"/>
          <w:szCs w:val="24"/>
          <w:rtl/>
        </w:rPr>
        <w:t xml:space="preserve"> או מצב </w:t>
      </w:r>
      <w:r w:rsidRPr="00F25744">
        <w:rPr>
          <w:rFonts w:cs="David" w:hint="cs"/>
          <w:b/>
          <w:bCs/>
          <w:sz w:val="24"/>
          <w:szCs w:val="24"/>
          <w:rtl/>
        </w:rPr>
        <w:t>רצוי</w:t>
      </w:r>
      <w:r w:rsidRPr="00F25744">
        <w:rPr>
          <w:rFonts w:cs="David" w:hint="cs"/>
          <w:sz w:val="24"/>
          <w:szCs w:val="24"/>
          <w:rtl/>
        </w:rPr>
        <w:t xml:space="preserve">. כלומר, ניתן לקבוע את כמות השעות והימים שבהם על שופט לעבוד בהתאם לממצאים שעלו במחקר זה, שלפיהם כפי שהראינו השופטים עובדים כמות שעות רבה ביום ובשבוע ממוצע, מעבר למקובל במדינות אחרות; עובדים מספר ימים רב יותר בשנה, לרבות בימים שאינם מוגדרים כימי עבודה; ומושפעים מהיבטים נוספים שלא קיבלו ביטוי כמותי אך התייחסנו אליהם במסגרת מחקר זה כמו עבודה תחת לחץ, עומס נפשי ורגשי. חישוב התקינה הנדרשת על בסיס קביעת "יום שופט" ו"שנת שופט" לפי המצב </w:t>
      </w:r>
      <w:r w:rsidRPr="00F25744">
        <w:rPr>
          <w:rFonts w:cs="David" w:hint="cs"/>
          <w:b/>
          <w:bCs/>
          <w:sz w:val="24"/>
          <w:szCs w:val="24"/>
          <w:rtl/>
        </w:rPr>
        <w:t>המצוי</w:t>
      </w:r>
      <w:r w:rsidRPr="00F25744">
        <w:rPr>
          <w:rFonts w:cs="David" w:hint="cs"/>
          <w:sz w:val="24"/>
          <w:szCs w:val="24"/>
          <w:rtl/>
        </w:rPr>
        <w:t xml:space="preserve">, יוביל לכמות תקנים נדרשת קטנה יותר, אך בכך ישתמר ויונצח למעשה המצב הקיים. לעומת זאת, קביעת "יום שופט" ו"שנת שופט" לצורך חישוב התקינה הנדרשת על פי המצב </w:t>
      </w:r>
      <w:r w:rsidRPr="00F25744">
        <w:rPr>
          <w:rFonts w:cs="David" w:hint="cs"/>
          <w:b/>
          <w:bCs/>
          <w:sz w:val="24"/>
          <w:szCs w:val="24"/>
          <w:rtl/>
        </w:rPr>
        <w:t>הרצוי</w:t>
      </w:r>
      <w:r w:rsidRPr="00F25744">
        <w:rPr>
          <w:rFonts w:cs="David" w:hint="cs"/>
          <w:sz w:val="24"/>
          <w:szCs w:val="24"/>
          <w:rtl/>
        </w:rPr>
        <w:t xml:space="preserve"> </w:t>
      </w:r>
      <w:r w:rsidRPr="00F25744">
        <w:rPr>
          <w:rFonts w:cs="David"/>
          <w:sz w:val="24"/>
          <w:szCs w:val="24"/>
          <w:rtl/>
        </w:rPr>
        <w:t>–</w:t>
      </w:r>
      <w:r w:rsidRPr="00F25744">
        <w:rPr>
          <w:rFonts w:cs="David" w:hint="cs"/>
          <w:sz w:val="24"/>
          <w:szCs w:val="24"/>
          <w:rtl/>
        </w:rPr>
        <w:t xml:space="preserve"> דהיינו, כמה ראוי ששופט יעבוד ביום ובשנה, תוביל להקלה אמתית בעומס הניכר המוטל על כתפי השופטים במערכת כיום. </w:t>
      </w:r>
    </w:p>
    <w:p w14:paraId="7845E936" w14:textId="77777777" w:rsidR="00096B80" w:rsidRPr="00F25744" w:rsidRDefault="00096B80" w:rsidP="008336F3">
      <w:pPr>
        <w:spacing w:after="0" w:line="240" w:lineRule="auto"/>
        <w:jc w:val="both"/>
        <w:rPr>
          <w:rFonts w:cs="David"/>
          <w:sz w:val="24"/>
          <w:szCs w:val="24"/>
          <w:u w:val="single"/>
          <w:rtl/>
        </w:rPr>
      </w:pPr>
    </w:p>
    <w:p w14:paraId="2D10B7BA" w14:textId="77777777" w:rsidR="00E025F4" w:rsidRPr="00F25744" w:rsidRDefault="00E25AE7" w:rsidP="008336F3">
      <w:pPr>
        <w:spacing w:before="120" w:after="0" w:line="360" w:lineRule="auto"/>
        <w:jc w:val="both"/>
        <w:rPr>
          <w:rFonts w:cs="David"/>
          <w:sz w:val="24"/>
          <w:szCs w:val="24"/>
          <w:u w:val="single"/>
          <w:rtl/>
        </w:rPr>
      </w:pPr>
      <w:r w:rsidRPr="00F25744">
        <w:rPr>
          <w:rFonts w:cs="David" w:hint="cs"/>
          <w:sz w:val="24"/>
          <w:szCs w:val="24"/>
          <w:u w:val="single"/>
          <w:rtl/>
        </w:rPr>
        <w:t>אופן חלוקת/ הסטת תקני השיפוט</w:t>
      </w:r>
    </w:p>
    <w:p w14:paraId="75651ED4" w14:textId="77777777" w:rsidR="00E025F4" w:rsidRPr="00F25744" w:rsidRDefault="00E25AE7" w:rsidP="008336F3">
      <w:pPr>
        <w:spacing w:before="120" w:after="0" w:line="360" w:lineRule="auto"/>
        <w:jc w:val="both"/>
        <w:rPr>
          <w:rFonts w:cs="David"/>
          <w:sz w:val="24"/>
          <w:szCs w:val="24"/>
          <w:rtl/>
        </w:rPr>
      </w:pPr>
      <w:r w:rsidRPr="00F25744">
        <w:rPr>
          <w:rFonts w:cs="David" w:hint="cs"/>
          <w:sz w:val="24"/>
          <w:szCs w:val="24"/>
          <w:rtl/>
        </w:rPr>
        <w:t xml:space="preserve">חישוב אופן חלוקת תקני השיפוט העומדים לרשות הרשות השופטת מבוסס על איזון העומסים בין ערכאות, מחוזות ובתי משפט ואפילו בין הליכים </w:t>
      </w:r>
      <w:r w:rsidRPr="00F25744">
        <w:rPr>
          <w:rFonts w:cs="David"/>
          <w:sz w:val="24"/>
          <w:szCs w:val="24"/>
          <w:rtl/>
        </w:rPr>
        <w:t>–</w:t>
      </w:r>
      <w:r w:rsidRPr="00F25744">
        <w:rPr>
          <w:rFonts w:cs="David" w:hint="cs"/>
          <w:sz w:val="24"/>
          <w:szCs w:val="24"/>
          <w:rtl/>
        </w:rPr>
        <w:t xml:space="preserve"> פלילי ואזרחי בערכאות המחוזי והשלום. על מנת לחשב את איזון העומסים הנדרש, עלינו להבין אילו ערכאות ובתי משפט הם העמוסים ביותר, ולהקצות להם את תקני השיפוט החדשים, או להעביר אליהם תקני שיפוט מהערכאות ובתי המשפט העמוסים פחות. </w:t>
      </w:r>
    </w:p>
    <w:p w14:paraId="435C9710" w14:textId="77777777" w:rsidR="00407543" w:rsidRPr="00F25744" w:rsidRDefault="00E25AE7" w:rsidP="008336F3">
      <w:pPr>
        <w:spacing w:before="120" w:after="0" w:line="360" w:lineRule="auto"/>
        <w:jc w:val="both"/>
        <w:rPr>
          <w:rtl/>
        </w:rPr>
      </w:pPr>
      <w:r w:rsidRPr="00F25744">
        <w:rPr>
          <w:rFonts w:cs="David" w:hint="cs"/>
          <w:sz w:val="24"/>
          <w:szCs w:val="24"/>
          <w:rtl/>
        </w:rPr>
        <w:t xml:space="preserve">לשם כך, צריך תחילה לחשב את עומס העבודה השיפוטית בכל ערכאה, מחוז או בית משפט ואת עומס העבודה המוטל על שופט בממוצע בכל ערכאה, מחוז או בית משפט, באותו האופן שחושב </w:t>
      </w:r>
      <w:r w:rsidRPr="00F25744">
        <w:rPr>
          <w:rFonts w:ascii="David" w:hAnsi="David" w:cs="David"/>
          <w:b/>
          <w:bCs/>
          <w:sz w:val="24"/>
          <w:szCs w:val="24"/>
          <w:rtl/>
        </w:rPr>
        <w:t>עומס העבודה השיפוטית הכולל</w:t>
      </w:r>
      <w:r w:rsidRPr="00F25744">
        <w:rPr>
          <w:rFonts w:ascii="David" w:hAnsi="David" w:cs="David" w:hint="cs"/>
          <w:b/>
          <w:bCs/>
          <w:sz w:val="24"/>
          <w:szCs w:val="24"/>
          <w:rtl/>
        </w:rPr>
        <w:t xml:space="preserve">, </w:t>
      </w:r>
      <w:r w:rsidRPr="00F25744">
        <w:rPr>
          <w:rFonts w:ascii="David" w:hAnsi="David" w:cs="David" w:hint="cs"/>
          <w:sz w:val="24"/>
          <w:szCs w:val="24"/>
          <w:rtl/>
        </w:rPr>
        <w:t>ב</w:t>
      </w:r>
      <w:r w:rsidRPr="00F25744">
        <w:rPr>
          <w:rFonts w:cs="David" w:hint="cs"/>
          <w:sz w:val="24"/>
          <w:szCs w:val="24"/>
          <w:rtl/>
        </w:rPr>
        <w:t xml:space="preserve">רזולוציה הרלוונטית. לאחר שחישבנו עבור כל ערכאה/ מחוז/ בית משפט/ הליך את עומס העבודה הממוצע לשופט, ניתן להשוות ביניהם ולקבוע מהיכן ניתן להסיט את התקנים על מנת להקל על העומס של השופטים העמוסים ביותר. </w:t>
      </w:r>
    </w:p>
    <w:p w14:paraId="521C17F4" w14:textId="77777777" w:rsidR="00CD00F1" w:rsidRPr="00F25744" w:rsidRDefault="00CD00F1" w:rsidP="000C2460">
      <w:pPr>
        <w:spacing w:before="120" w:after="0" w:line="360" w:lineRule="auto"/>
        <w:jc w:val="both"/>
        <w:rPr>
          <w:rFonts w:cs="David"/>
          <w:sz w:val="24"/>
          <w:szCs w:val="24"/>
          <w:rtl/>
        </w:rPr>
      </w:pPr>
      <w:r w:rsidRPr="00F25744">
        <w:rPr>
          <w:rFonts w:cs="David" w:hint="cs"/>
          <w:sz w:val="24"/>
          <w:szCs w:val="24"/>
          <w:rtl/>
        </w:rPr>
        <w:t xml:space="preserve">לא נוכל לסיים תת פרק זה מבלי להדגיש מפורשות כי חישוב התקינה הנדרשת על בסיס משקלות התיקים ופילוח יום העבודה השיפוטי, קרי </w:t>
      </w:r>
      <w:r w:rsidRPr="00F25744">
        <w:rPr>
          <w:rFonts w:cs="David"/>
          <w:sz w:val="24"/>
          <w:szCs w:val="24"/>
          <w:rtl/>
        </w:rPr>
        <w:t>–</w:t>
      </w:r>
      <w:r w:rsidRPr="00F25744">
        <w:rPr>
          <w:rFonts w:cs="David" w:hint="cs"/>
          <w:sz w:val="24"/>
          <w:szCs w:val="24"/>
          <w:rtl/>
        </w:rPr>
        <w:t xml:space="preserve"> על בסיס ממצאי מחקר זה, לא יכול </w:t>
      </w:r>
      <w:r w:rsidR="00A92F83" w:rsidRPr="00F25744">
        <w:rPr>
          <w:rFonts w:cs="David" w:hint="cs"/>
          <w:sz w:val="24"/>
          <w:szCs w:val="24"/>
          <w:rtl/>
        </w:rPr>
        <w:t xml:space="preserve">להוות אלא המצע או הבסיס שעליו יש להוסיף שיקולים אחרים שאותם על ראשי המערכת לקחת בחשבון </w:t>
      </w:r>
      <w:r w:rsidRPr="00F25744">
        <w:rPr>
          <w:rFonts w:cs="David" w:hint="cs"/>
          <w:sz w:val="24"/>
          <w:szCs w:val="24"/>
          <w:rtl/>
        </w:rPr>
        <w:t xml:space="preserve">בעת חלוקת תקינה בין הערכאות, המחוזות ובתי המשפט השונים. </w:t>
      </w:r>
      <w:r w:rsidR="00A92F83" w:rsidRPr="00F25744">
        <w:rPr>
          <w:rFonts w:cs="David" w:hint="cs"/>
          <w:sz w:val="24"/>
          <w:szCs w:val="24"/>
          <w:rtl/>
        </w:rPr>
        <w:t xml:space="preserve">בין השיקולים האחרים החשובים לעניין חלוקת תקינה ניתן למנות שיקולי מדיניות שונים בהתאם לסדרי העדיפויות שהמערכת מעוניינת לקדם, שיקולי </w:t>
      </w:r>
      <w:r w:rsidR="00A92F83" w:rsidRPr="00F25744">
        <w:rPr>
          <w:rFonts w:cs="David" w:hint="cs"/>
          <w:sz w:val="24"/>
          <w:szCs w:val="24"/>
          <w:rtl/>
        </w:rPr>
        <w:lastRenderedPageBreak/>
        <w:t>יעילות ניהולית בבתי המשפט השונים, ובכלל זאת שיקול הדעת המוקנה לנשיאי בתי המשפט בעניין, נסיבות אישיות או מקומיות של כוח האדם בבתי המשפט השונים, נסיבות חברתיות או ציבוריות שונות</w:t>
      </w:r>
      <w:r w:rsidR="00414248" w:rsidRPr="00F25744">
        <w:rPr>
          <w:rFonts w:cs="David" w:hint="cs"/>
          <w:sz w:val="24"/>
          <w:szCs w:val="24"/>
          <w:rtl/>
        </w:rPr>
        <w:t>, תיקים מיוחדים אשר דורשים התאמות מסוימות בכוח האדם</w:t>
      </w:r>
      <w:r w:rsidR="00A92F83" w:rsidRPr="00F25744">
        <w:rPr>
          <w:rFonts w:cs="David" w:hint="cs"/>
          <w:sz w:val="24"/>
          <w:szCs w:val="24"/>
          <w:rtl/>
        </w:rPr>
        <w:t xml:space="preserve"> ועוד.  </w:t>
      </w:r>
    </w:p>
    <w:p w14:paraId="1ACFCF00" w14:textId="77777777" w:rsidR="00840519" w:rsidRPr="00F25744" w:rsidRDefault="00E25AE7" w:rsidP="008336F3">
      <w:pPr>
        <w:pStyle w:val="1"/>
        <w:numPr>
          <w:ilvl w:val="0"/>
          <w:numId w:val="24"/>
        </w:numPr>
        <w:spacing w:before="120" w:line="240" w:lineRule="auto"/>
        <w:rPr>
          <w:rtl/>
        </w:rPr>
      </w:pPr>
      <w:r w:rsidRPr="00F25744">
        <w:rPr>
          <w:rtl/>
        </w:rPr>
        <w:br w:type="page"/>
      </w:r>
      <w:bookmarkStart w:id="823" w:name="_Toc74751031"/>
      <w:r w:rsidR="007F3A52" w:rsidRPr="00F25744">
        <w:rPr>
          <w:rFonts w:hint="cs"/>
          <w:rtl/>
        </w:rPr>
        <w:lastRenderedPageBreak/>
        <w:t xml:space="preserve">היבטים נוספים של עומס </w:t>
      </w:r>
      <w:r w:rsidR="007C41E5" w:rsidRPr="00F25744">
        <w:rPr>
          <w:rFonts w:hint="cs"/>
          <w:rtl/>
        </w:rPr>
        <w:t>ה</w:t>
      </w:r>
      <w:r w:rsidR="007F3A52" w:rsidRPr="00F25744">
        <w:rPr>
          <w:rFonts w:hint="cs"/>
          <w:rtl/>
        </w:rPr>
        <w:t xml:space="preserve">עבודה </w:t>
      </w:r>
      <w:r w:rsidR="007C41E5" w:rsidRPr="00F25744">
        <w:rPr>
          <w:rFonts w:hint="cs"/>
          <w:rtl/>
        </w:rPr>
        <w:t>ה</w:t>
      </w:r>
      <w:r w:rsidR="007F3A52" w:rsidRPr="00F25744">
        <w:rPr>
          <w:rFonts w:hint="cs"/>
          <w:rtl/>
        </w:rPr>
        <w:t>שיפוטי</w:t>
      </w:r>
      <w:bookmarkEnd w:id="812"/>
      <w:bookmarkEnd w:id="813"/>
      <w:bookmarkEnd w:id="814"/>
      <w:bookmarkEnd w:id="815"/>
      <w:bookmarkEnd w:id="816"/>
      <w:bookmarkEnd w:id="817"/>
      <w:bookmarkEnd w:id="818"/>
      <w:bookmarkEnd w:id="819"/>
      <w:bookmarkEnd w:id="820"/>
      <w:bookmarkEnd w:id="821"/>
      <w:bookmarkEnd w:id="822"/>
      <w:r w:rsidR="007C41E5" w:rsidRPr="00F25744">
        <w:rPr>
          <w:rFonts w:hint="cs"/>
          <w:rtl/>
        </w:rPr>
        <w:t>ת</w:t>
      </w:r>
      <w:bookmarkEnd w:id="823"/>
    </w:p>
    <w:p w14:paraId="3144E0EF" w14:textId="77777777" w:rsidR="00840519" w:rsidRPr="00F25744" w:rsidRDefault="00840519" w:rsidP="00840519">
      <w:pPr>
        <w:spacing w:after="0" w:line="240" w:lineRule="auto"/>
        <w:jc w:val="both"/>
        <w:rPr>
          <w:rFonts w:ascii="David" w:hAnsi="David" w:cs="David"/>
          <w:sz w:val="24"/>
          <w:szCs w:val="24"/>
          <w:rtl/>
        </w:rPr>
      </w:pPr>
    </w:p>
    <w:p w14:paraId="3A75F190" w14:textId="77777777" w:rsidR="000231C9" w:rsidRPr="00F25744" w:rsidRDefault="00E25AE7" w:rsidP="008336F3">
      <w:pPr>
        <w:spacing w:before="120" w:after="0" w:line="360" w:lineRule="auto"/>
        <w:jc w:val="both"/>
        <w:rPr>
          <w:rFonts w:ascii="David" w:hAnsi="David" w:cs="David"/>
          <w:sz w:val="24"/>
          <w:szCs w:val="24"/>
          <w:rtl/>
        </w:rPr>
      </w:pPr>
      <w:r w:rsidRPr="00F25744">
        <w:rPr>
          <w:rFonts w:ascii="David" w:hAnsi="David" w:cs="David" w:hint="cs"/>
          <w:sz w:val="24"/>
          <w:szCs w:val="24"/>
          <w:rtl/>
        </w:rPr>
        <w:t xml:space="preserve">מחקר עומס העבודה השיפוטית נועד כאמור לספק למקבלי ההחלטות כלים לחלוקה יעילה של כוח אדם שיפוטי, העברת תיקים בין מחוזות, איזון עומסים בין הערכאות השונות ובין המחוזות השונים, או כל פתרון אחר שעשוי לשמש להקלה על עומס העבודה הכבד המוטל על כתפי השופטים והרשמים בישראל. </w:t>
      </w:r>
    </w:p>
    <w:p w14:paraId="59C0F8C1" w14:textId="77777777" w:rsidR="000231C9" w:rsidRPr="00F25744" w:rsidRDefault="00E25AE7" w:rsidP="008336F3">
      <w:pPr>
        <w:spacing w:before="120" w:after="0" w:line="360" w:lineRule="auto"/>
        <w:jc w:val="both"/>
        <w:rPr>
          <w:rFonts w:ascii="David" w:hAnsi="David" w:cs="David"/>
          <w:sz w:val="24"/>
          <w:szCs w:val="24"/>
          <w:rtl/>
        </w:rPr>
      </w:pPr>
      <w:r w:rsidRPr="00F25744">
        <w:rPr>
          <w:rFonts w:ascii="David" w:hAnsi="David" w:cs="David" w:hint="cs"/>
          <w:sz w:val="24"/>
          <w:szCs w:val="24"/>
          <w:rtl/>
        </w:rPr>
        <w:t>מחקר זה, ככלי עבודה שמטרתו לסייע למקבלי ההחלטות, הוא מחקר זמנים</w:t>
      </w:r>
      <w:r w:rsidR="002E17FA" w:rsidRPr="00F25744">
        <w:rPr>
          <w:rFonts w:ascii="David" w:hAnsi="David" w:cs="David" w:hint="cs"/>
          <w:sz w:val="24"/>
          <w:szCs w:val="24"/>
          <w:rtl/>
        </w:rPr>
        <w:t>.</w:t>
      </w:r>
      <w:r w:rsidRPr="00F25744">
        <w:rPr>
          <w:rFonts w:ascii="David" w:hAnsi="David" w:cs="David" w:hint="cs"/>
          <w:sz w:val="24"/>
          <w:szCs w:val="24"/>
          <w:rtl/>
        </w:rPr>
        <w:t xml:space="preserve"> כלומר הוא מציג את עומס העבודה השיפוטית במונחים של זמני הטיפול בתיקים, אשר ניתנים למדידה כמותית. עם זאת, עומס עבודה </w:t>
      </w:r>
      <w:r w:rsidR="002E17FA" w:rsidRPr="00F25744">
        <w:rPr>
          <w:rFonts w:ascii="David" w:hAnsi="David" w:cs="David" w:hint="cs"/>
          <w:sz w:val="24"/>
          <w:szCs w:val="24"/>
          <w:rtl/>
        </w:rPr>
        <w:t>אינו תוצאה של זמני העבודה בלבד, כי אם של ממדי עומס נוספים כדוגמת העומס הרגשי או הנפשי של השופטים הנובעים מסביבת העבודה, האחריות, מתח, לחץ שחיקה ועוד. אלה היבטים שקשה למדוד אותם מבחינה כמותית. למרות זאת, גם להיבטים האמורים יש משקל ממשי בבחינת העומס הכללי המוטל על השופטים. על כן, חשוב לתת להם ביטוי, ל</w:t>
      </w:r>
      <w:r w:rsidR="00193116" w:rsidRPr="00F25744">
        <w:rPr>
          <w:rFonts w:ascii="David" w:hAnsi="David" w:cs="David" w:hint="cs"/>
          <w:sz w:val="24"/>
          <w:szCs w:val="24"/>
          <w:rtl/>
        </w:rPr>
        <w:t xml:space="preserve">א רק במטרה לתת מקום לתחושותיהם הסובייקטיביות של השופטים, מטרה חשובה כשלעצמה, אלא כגורמים שיש בהם כדי להשפיע על מידת היעילות של העבודה </w:t>
      </w:r>
      <w:r w:rsidR="005F421A" w:rsidRPr="00F25744">
        <w:rPr>
          <w:rFonts w:ascii="David" w:hAnsi="David" w:cs="David" w:hint="cs"/>
          <w:sz w:val="24"/>
          <w:szCs w:val="24"/>
          <w:rtl/>
        </w:rPr>
        <w:t>ב</w:t>
      </w:r>
      <w:r w:rsidR="00193116" w:rsidRPr="00F25744">
        <w:rPr>
          <w:rFonts w:ascii="David" w:hAnsi="David" w:cs="David" w:hint="cs"/>
          <w:sz w:val="24"/>
          <w:szCs w:val="24"/>
          <w:rtl/>
        </w:rPr>
        <w:t>מערכת, במיוחד לאורך זמן.</w:t>
      </w:r>
    </w:p>
    <w:p w14:paraId="5B13DCFA" w14:textId="77777777" w:rsidR="005B0B10" w:rsidRPr="00F25744" w:rsidRDefault="00E25AE7" w:rsidP="008336F3">
      <w:pPr>
        <w:spacing w:before="120" w:after="0" w:line="360" w:lineRule="auto"/>
        <w:jc w:val="both"/>
        <w:rPr>
          <w:rFonts w:ascii="David" w:hAnsi="David" w:cs="David"/>
          <w:sz w:val="24"/>
          <w:szCs w:val="24"/>
          <w:rtl/>
        </w:rPr>
      </w:pPr>
      <w:r w:rsidRPr="00F25744">
        <w:rPr>
          <w:rFonts w:ascii="David" w:hAnsi="David" w:cs="David" w:hint="cs"/>
          <w:sz w:val="24"/>
          <w:szCs w:val="24"/>
          <w:rtl/>
        </w:rPr>
        <w:t>משיחות עם השופטים ומטבעה של עבודת השיפוט, מצטיירת תמונה שמראה כי עבודתו של השופט כרוכה בתח</w:t>
      </w:r>
      <w:r w:rsidR="00C2642C" w:rsidRPr="00F25744">
        <w:rPr>
          <w:rFonts w:ascii="David" w:hAnsi="David" w:cs="David" w:hint="cs"/>
          <w:sz w:val="24"/>
          <w:szCs w:val="24"/>
          <w:rtl/>
        </w:rPr>
        <w:t>וש</w:t>
      </w:r>
      <w:r w:rsidRPr="00F25744">
        <w:rPr>
          <w:rFonts w:ascii="David" w:hAnsi="David" w:cs="David" w:hint="cs"/>
          <w:sz w:val="24"/>
          <w:szCs w:val="24"/>
          <w:rtl/>
        </w:rPr>
        <w:t>ת אחריות מרובה, מתח הנלו</w:t>
      </w:r>
      <w:r w:rsidR="00C2642C" w:rsidRPr="00F25744">
        <w:rPr>
          <w:rFonts w:ascii="David" w:hAnsi="David" w:cs="David" w:hint="cs"/>
          <w:sz w:val="24"/>
          <w:szCs w:val="24"/>
          <w:rtl/>
        </w:rPr>
        <w:t xml:space="preserve">וה לעבודה בסביבת מחלוקת מתמדת, הכרח </w:t>
      </w:r>
      <w:r w:rsidRPr="00F25744">
        <w:rPr>
          <w:rFonts w:ascii="David" w:hAnsi="David" w:cs="David" w:hint="cs"/>
          <w:sz w:val="24"/>
          <w:szCs w:val="24"/>
          <w:rtl/>
        </w:rPr>
        <w:t>תמידי להיות</w:t>
      </w:r>
      <w:r w:rsidR="00C2642C" w:rsidRPr="00F25744">
        <w:rPr>
          <w:rFonts w:ascii="David" w:hAnsi="David" w:cs="David" w:hint="cs"/>
          <w:sz w:val="24"/>
          <w:szCs w:val="24"/>
          <w:rtl/>
        </w:rPr>
        <w:t xml:space="preserve"> ממוקד ולנהל את העניינים</w:t>
      </w:r>
      <w:r w:rsidRPr="00F25744">
        <w:rPr>
          <w:rFonts w:ascii="David" w:hAnsi="David" w:cs="David" w:hint="cs"/>
          <w:sz w:val="24"/>
          <w:szCs w:val="24"/>
          <w:rtl/>
        </w:rPr>
        <w:t xml:space="preserve"> </w:t>
      </w:r>
      <w:r w:rsidR="00C2642C" w:rsidRPr="00F25744">
        <w:rPr>
          <w:rFonts w:ascii="David" w:hAnsi="David" w:cs="David" w:hint="cs"/>
          <w:sz w:val="24"/>
          <w:szCs w:val="24"/>
          <w:rtl/>
        </w:rPr>
        <w:t>(</w:t>
      </w:r>
      <w:r w:rsidRPr="00F25744">
        <w:rPr>
          <w:rFonts w:ascii="David" w:hAnsi="David" w:cs="David" w:hint="cs"/>
          <w:sz w:val="24"/>
          <w:szCs w:val="24"/>
          <w:rtl/>
        </w:rPr>
        <w:t>כפי שניתן לראות מפילוח יום העבודה השיפוטי שהוצג לעיל המראה כי 90% בממוצע מיומו של השופט מוקדש לעבודה על תיקים</w:t>
      </w:r>
      <w:r w:rsidR="00C2642C" w:rsidRPr="00F25744">
        <w:rPr>
          <w:rFonts w:ascii="David" w:hAnsi="David" w:cs="David" w:hint="cs"/>
          <w:sz w:val="24"/>
          <w:szCs w:val="24"/>
          <w:rtl/>
        </w:rPr>
        <w:t>)</w:t>
      </w:r>
      <w:r w:rsidRPr="00F25744">
        <w:rPr>
          <w:rFonts w:ascii="David" w:hAnsi="David" w:cs="David" w:hint="cs"/>
          <w:sz w:val="24"/>
          <w:szCs w:val="24"/>
          <w:rtl/>
        </w:rPr>
        <w:t xml:space="preserve">, ותחושות של בדידות, שהרי הנטל מוטל על כתפי השופט עצמו, והוא אינו יכול לחלוק בו בדרך כלל עם עמיתיו. קיומו של צוות עזר לשופט הוא </w:t>
      </w:r>
      <w:r w:rsidR="00156D06" w:rsidRPr="00F25744">
        <w:rPr>
          <w:rFonts w:ascii="David" w:hAnsi="David" w:cs="David" w:hint="cs"/>
          <w:sz w:val="24"/>
          <w:szCs w:val="24"/>
          <w:rtl/>
        </w:rPr>
        <w:t xml:space="preserve">אמנם </w:t>
      </w:r>
      <w:r w:rsidR="00D349DA" w:rsidRPr="00F25744">
        <w:rPr>
          <w:rFonts w:ascii="David" w:hAnsi="David" w:cs="David" w:hint="cs"/>
          <w:sz w:val="24"/>
          <w:szCs w:val="24"/>
          <w:rtl/>
        </w:rPr>
        <w:t xml:space="preserve">גורם </w:t>
      </w:r>
      <w:r w:rsidRPr="00F25744">
        <w:rPr>
          <w:rFonts w:ascii="David" w:hAnsi="David" w:cs="David" w:hint="cs"/>
          <w:sz w:val="24"/>
          <w:szCs w:val="24"/>
          <w:rtl/>
        </w:rPr>
        <w:t>חשוב</w:t>
      </w:r>
      <w:r w:rsidR="00D349DA" w:rsidRPr="00F25744">
        <w:rPr>
          <w:rFonts w:ascii="David" w:hAnsi="David" w:cs="David" w:hint="cs"/>
          <w:sz w:val="24"/>
          <w:szCs w:val="24"/>
          <w:rtl/>
        </w:rPr>
        <w:t xml:space="preserve"> מבחינת הסיוע לשופט </w:t>
      </w:r>
      <w:r w:rsidRPr="00F25744">
        <w:rPr>
          <w:rFonts w:ascii="David" w:hAnsi="David" w:cs="David" w:hint="cs"/>
          <w:sz w:val="24"/>
          <w:szCs w:val="24"/>
          <w:rtl/>
        </w:rPr>
        <w:t xml:space="preserve">במטלות השונות, אולם ניהול משפטי של התיקים הוא ודאי אחריות המוטלת על כתפי השופט לבדו. על האמור יש להוסיף תחושות של עומס עבודה גדול מדי, חוסר איזון בין החיים הפרטיים לעבודה, ועומס רגשי הנלווה לטיפול בתיקים מסוימים, כמו תיקי אלימות ועבירות מין, אשר עשוי לעלות עד כדי טראומה משנית. </w:t>
      </w:r>
    </w:p>
    <w:p w14:paraId="24114CFF" w14:textId="77777777" w:rsidR="000231C9" w:rsidRPr="00F25744" w:rsidRDefault="00E25AE7" w:rsidP="008336F3">
      <w:pPr>
        <w:spacing w:before="120" w:after="0" w:line="360" w:lineRule="auto"/>
        <w:jc w:val="both"/>
        <w:rPr>
          <w:rFonts w:ascii="David" w:hAnsi="David" w:cs="David"/>
          <w:sz w:val="24"/>
          <w:szCs w:val="24"/>
          <w:rtl/>
        </w:rPr>
      </w:pPr>
      <w:r w:rsidRPr="00F25744">
        <w:rPr>
          <w:rFonts w:ascii="David" w:hAnsi="David" w:cs="David" w:hint="cs"/>
          <w:sz w:val="24"/>
          <w:szCs w:val="24"/>
          <w:rtl/>
        </w:rPr>
        <w:t>ואכן, ב</w:t>
      </w:r>
      <w:r w:rsidR="007F3A52" w:rsidRPr="00F25744">
        <w:rPr>
          <w:rFonts w:ascii="David" w:hAnsi="David" w:cs="David" w:hint="cs"/>
          <w:sz w:val="24"/>
          <w:szCs w:val="24"/>
          <w:rtl/>
        </w:rPr>
        <w:t>מהלך ההכנות למחקר, במהלך המחקר עצמו ולאחריו, במסגרת השאלון המסכם, העלו שופטים רבים הערות ובקשות הנוגעות לאותם היבטים נוספים של עומס עבודה</w:t>
      </w:r>
      <w:r w:rsidR="00B82FF4" w:rsidRPr="00F25744">
        <w:rPr>
          <w:rFonts w:ascii="David" w:hAnsi="David" w:cs="David" w:hint="cs"/>
          <w:sz w:val="24"/>
          <w:szCs w:val="24"/>
          <w:rtl/>
        </w:rPr>
        <w:t>,</w:t>
      </w:r>
      <w:r w:rsidR="007F3A52" w:rsidRPr="00F25744">
        <w:rPr>
          <w:rFonts w:ascii="David" w:hAnsi="David" w:cs="David" w:hint="cs"/>
          <w:sz w:val="24"/>
          <w:szCs w:val="24"/>
          <w:rtl/>
        </w:rPr>
        <w:t xml:space="preserve"> וביקשו כי אלו יקבלו ביטוי מסוים במסגרת המחקר הנוכחי. </w:t>
      </w:r>
      <w:r w:rsidRPr="00F25744">
        <w:rPr>
          <w:rFonts w:ascii="David" w:hAnsi="David" w:cs="David" w:hint="cs"/>
          <w:sz w:val="24"/>
          <w:szCs w:val="24"/>
          <w:rtl/>
        </w:rPr>
        <w:t>חשוב להסביר, כי היבטים נוספים אלו של עומס העבודה השיפוטי</w:t>
      </w:r>
      <w:r w:rsidR="00DC25D2" w:rsidRPr="00F25744">
        <w:rPr>
          <w:rFonts w:ascii="David" w:hAnsi="David" w:cs="David" w:hint="cs"/>
          <w:sz w:val="24"/>
          <w:szCs w:val="24"/>
          <w:rtl/>
        </w:rPr>
        <w:t>ת</w:t>
      </w:r>
      <w:r w:rsidRPr="00F25744">
        <w:rPr>
          <w:rFonts w:ascii="David" w:hAnsi="David" w:cs="David" w:hint="cs"/>
          <w:sz w:val="24"/>
          <w:szCs w:val="24"/>
          <w:rtl/>
        </w:rPr>
        <w:t xml:space="preserve"> קשים מאד למדידה כמותית, ואנו, כמו חוקרים רבים ברחבי העולם, התחבטנו בשאלה כיצד ניתן להציג אותם בכל זאת, מתוך ההכרה כי </w:t>
      </w:r>
      <w:r w:rsidR="007F3A52" w:rsidRPr="00F25744">
        <w:rPr>
          <w:rFonts w:ascii="David" w:hAnsi="David" w:cs="David" w:hint="cs"/>
          <w:sz w:val="24"/>
          <w:szCs w:val="24"/>
          <w:rtl/>
        </w:rPr>
        <w:t>חשוב ל</w:t>
      </w:r>
      <w:r w:rsidRPr="00F25744">
        <w:rPr>
          <w:rFonts w:ascii="David" w:hAnsi="David" w:cs="David" w:hint="cs"/>
          <w:sz w:val="24"/>
          <w:szCs w:val="24"/>
          <w:rtl/>
        </w:rPr>
        <w:t>הציג ביטוי מסוים ש</w:t>
      </w:r>
      <w:r w:rsidR="007F3A52" w:rsidRPr="00F25744">
        <w:rPr>
          <w:rFonts w:ascii="David" w:hAnsi="David" w:cs="David" w:hint="cs"/>
          <w:sz w:val="24"/>
          <w:szCs w:val="24"/>
          <w:rtl/>
        </w:rPr>
        <w:t>ל</w:t>
      </w:r>
      <w:r w:rsidRPr="00F25744">
        <w:rPr>
          <w:rFonts w:ascii="David" w:hAnsi="David" w:cs="David" w:hint="cs"/>
          <w:sz w:val="24"/>
          <w:szCs w:val="24"/>
          <w:rtl/>
        </w:rPr>
        <w:t xml:space="preserve"> </w:t>
      </w:r>
      <w:r w:rsidR="00B82FF4" w:rsidRPr="00F25744">
        <w:rPr>
          <w:rFonts w:ascii="David" w:hAnsi="David" w:cs="David" w:hint="cs"/>
          <w:sz w:val="24"/>
          <w:szCs w:val="24"/>
          <w:rtl/>
        </w:rPr>
        <w:t>תחושות השופטים בנוגע ל</w:t>
      </w:r>
      <w:r w:rsidR="007F3A52" w:rsidRPr="00F25744">
        <w:rPr>
          <w:rFonts w:ascii="David" w:hAnsi="David" w:cs="David" w:hint="cs"/>
          <w:sz w:val="24"/>
          <w:szCs w:val="24"/>
          <w:rtl/>
        </w:rPr>
        <w:t xml:space="preserve">אותם היבטים נוספים של עומס עבודה. </w:t>
      </w:r>
    </w:p>
    <w:p w14:paraId="64F88EAA" w14:textId="2648D82F" w:rsidR="005F18AD" w:rsidRDefault="00E25AE7" w:rsidP="00AA076E">
      <w:pPr>
        <w:spacing w:before="120" w:after="0" w:line="360" w:lineRule="auto"/>
        <w:jc w:val="both"/>
        <w:rPr>
          <w:rFonts w:ascii="David" w:hAnsi="David" w:cs="David"/>
          <w:sz w:val="24"/>
          <w:szCs w:val="24"/>
          <w:rtl/>
        </w:rPr>
      </w:pPr>
      <w:r w:rsidRPr="00F25744">
        <w:rPr>
          <w:rFonts w:ascii="David" w:hAnsi="David" w:cs="David" w:hint="cs"/>
          <w:sz w:val="24"/>
          <w:szCs w:val="24"/>
          <w:rtl/>
        </w:rPr>
        <w:t xml:space="preserve">על כן, </w:t>
      </w:r>
      <w:r w:rsidR="007F3A52" w:rsidRPr="00F25744">
        <w:rPr>
          <w:rFonts w:ascii="David" w:hAnsi="David" w:cs="David" w:hint="cs"/>
          <w:sz w:val="24"/>
          <w:szCs w:val="24"/>
          <w:rtl/>
        </w:rPr>
        <w:t xml:space="preserve">בפרק זה נציג את הממצאים שעלו מהשאלות וההיגדים שנשאלו במסגרת השאלון המסכם, בחלוקה לשני פרמטרים </w:t>
      </w:r>
      <w:r w:rsidRPr="00F25744">
        <w:rPr>
          <w:rFonts w:ascii="David" w:hAnsi="David" w:cs="David" w:hint="cs"/>
          <w:sz w:val="24"/>
          <w:szCs w:val="24"/>
          <w:rtl/>
        </w:rPr>
        <w:t xml:space="preserve">עיקריים </w:t>
      </w:r>
      <w:r w:rsidR="007F3A52" w:rsidRPr="00F25744">
        <w:rPr>
          <w:rFonts w:ascii="David" w:hAnsi="David" w:cs="David" w:hint="cs"/>
          <w:sz w:val="24"/>
          <w:szCs w:val="24"/>
          <w:rtl/>
        </w:rPr>
        <w:t xml:space="preserve">של תחושות </w:t>
      </w:r>
      <w:r w:rsidRPr="00F25744">
        <w:rPr>
          <w:rFonts w:ascii="David" w:hAnsi="David" w:cs="David" w:hint="cs"/>
          <w:sz w:val="24"/>
          <w:szCs w:val="24"/>
          <w:rtl/>
        </w:rPr>
        <w:t>ה</w:t>
      </w:r>
      <w:r w:rsidR="007F3A52" w:rsidRPr="00F25744">
        <w:rPr>
          <w:rFonts w:ascii="David" w:hAnsi="David" w:cs="David" w:hint="cs"/>
          <w:sz w:val="24"/>
          <w:szCs w:val="24"/>
          <w:rtl/>
        </w:rPr>
        <w:t>עומס</w:t>
      </w:r>
      <w:r w:rsidRPr="00F25744">
        <w:rPr>
          <w:rFonts w:ascii="David" w:hAnsi="David" w:cs="David" w:hint="cs"/>
          <w:sz w:val="24"/>
          <w:szCs w:val="24"/>
          <w:rtl/>
        </w:rPr>
        <w:t xml:space="preserve"> שאותם יכולנו להציג</w:t>
      </w:r>
      <w:r w:rsidR="007F3A52" w:rsidRPr="00F25744">
        <w:rPr>
          <w:rFonts w:ascii="David" w:hAnsi="David" w:cs="David" w:hint="cs"/>
          <w:sz w:val="24"/>
          <w:szCs w:val="24"/>
          <w:rtl/>
        </w:rPr>
        <w:t xml:space="preserve">: </w:t>
      </w:r>
      <w:r w:rsidR="00724BB6" w:rsidRPr="00F25744">
        <w:rPr>
          <w:rFonts w:ascii="David" w:hAnsi="David" w:cs="David" w:hint="cs"/>
          <w:b/>
          <w:bCs/>
          <w:sz w:val="24"/>
          <w:szCs w:val="24"/>
          <w:rtl/>
        </w:rPr>
        <w:t>גורמי לחץ ועומס נפשי</w:t>
      </w:r>
      <w:r w:rsidR="00724BB6" w:rsidRPr="00F25744">
        <w:rPr>
          <w:rFonts w:ascii="David" w:hAnsi="David" w:cs="David" w:hint="cs"/>
          <w:sz w:val="24"/>
          <w:szCs w:val="24"/>
          <w:rtl/>
        </w:rPr>
        <w:t xml:space="preserve"> - </w:t>
      </w:r>
      <w:r w:rsidR="007F3A52" w:rsidRPr="00F25744">
        <w:rPr>
          <w:rFonts w:ascii="David" w:hAnsi="David" w:cs="David" w:hint="cs"/>
          <w:sz w:val="24"/>
          <w:szCs w:val="24"/>
          <w:rtl/>
        </w:rPr>
        <w:t>ניתוח היגדים הקשורים להשלכות עומס העבודה השיפוטית, ו</w:t>
      </w:r>
      <w:r w:rsidR="00724BB6" w:rsidRPr="00F25744">
        <w:rPr>
          <w:rFonts w:ascii="David" w:hAnsi="David" w:cs="David" w:hint="cs"/>
          <w:b/>
          <w:bCs/>
          <w:sz w:val="24"/>
          <w:szCs w:val="24"/>
          <w:rtl/>
        </w:rPr>
        <w:t>עומס רגשי</w:t>
      </w:r>
      <w:r w:rsidR="00724BB6" w:rsidRPr="00F25744">
        <w:rPr>
          <w:rFonts w:ascii="David" w:hAnsi="David" w:cs="David" w:hint="cs"/>
          <w:sz w:val="24"/>
          <w:szCs w:val="24"/>
          <w:rtl/>
        </w:rPr>
        <w:t xml:space="preserve"> - </w:t>
      </w:r>
      <w:r w:rsidR="007F3A52" w:rsidRPr="00F25744">
        <w:rPr>
          <w:rFonts w:ascii="David" w:hAnsi="David" w:cs="David" w:hint="cs"/>
          <w:sz w:val="24"/>
          <w:szCs w:val="24"/>
          <w:rtl/>
        </w:rPr>
        <w:t xml:space="preserve">ניתוח שאלות הנוגעות לעומס רגשי שמטיל הטיפול בתיקים מסוימים על השופטים והרשמים. </w:t>
      </w:r>
    </w:p>
    <w:p w14:paraId="539A563E" w14:textId="794215C1" w:rsidR="00AA076E" w:rsidRDefault="00AA076E" w:rsidP="00AA076E">
      <w:pPr>
        <w:spacing w:before="120" w:after="0" w:line="360" w:lineRule="auto"/>
        <w:jc w:val="both"/>
        <w:rPr>
          <w:rFonts w:ascii="David" w:hAnsi="David" w:cs="David"/>
          <w:sz w:val="24"/>
          <w:szCs w:val="24"/>
          <w:rtl/>
        </w:rPr>
      </w:pPr>
    </w:p>
    <w:p w14:paraId="77498AC4" w14:textId="77777777" w:rsidR="00A8382F" w:rsidRPr="00F25744" w:rsidRDefault="00A8382F" w:rsidP="00AA076E">
      <w:pPr>
        <w:spacing w:before="120" w:after="0" w:line="360" w:lineRule="auto"/>
        <w:jc w:val="both"/>
        <w:rPr>
          <w:rFonts w:ascii="David" w:hAnsi="David" w:cs="David"/>
          <w:sz w:val="24"/>
          <w:szCs w:val="24"/>
          <w:rtl/>
        </w:rPr>
      </w:pPr>
    </w:p>
    <w:p w14:paraId="3C2EBF1B" w14:textId="77777777" w:rsidR="00840519" w:rsidRPr="00F25744" w:rsidRDefault="008336F3" w:rsidP="000C1408">
      <w:pPr>
        <w:pStyle w:val="2"/>
        <w:ind w:left="427"/>
        <w:rPr>
          <w:rtl/>
        </w:rPr>
      </w:pPr>
      <w:bookmarkStart w:id="824" w:name="_Toc46226102"/>
      <w:bookmarkStart w:id="825" w:name="_Toc46226246"/>
      <w:bookmarkStart w:id="826" w:name="_Toc46228413"/>
      <w:bookmarkStart w:id="827" w:name="_Toc46228511"/>
      <w:bookmarkStart w:id="828" w:name="_Toc46230438"/>
      <w:bookmarkStart w:id="829" w:name="_Toc46230536"/>
      <w:bookmarkStart w:id="830" w:name="_Toc46310426"/>
      <w:bookmarkStart w:id="831" w:name="_Toc46414069"/>
      <w:bookmarkStart w:id="832" w:name="_Toc49352782"/>
      <w:bookmarkStart w:id="833" w:name="_Toc49429689"/>
      <w:bookmarkStart w:id="834" w:name="_Toc49435918"/>
      <w:r w:rsidRPr="00F25744">
        <w:rPr>
          <w:rFonts w:hint="cs"/>
          <w:u w:val="none"/>
          <w:rtl/>
        </w:rPr>
        <w:lastRenderedPageBreak/>
        <w:t xml:space="preserve"> </w:t>
      </w:r>
      <w:bookmarkStart w:id="835" w:name="_Toc74751032"/>
      <w:r w:rsidR="00E25AE7" w:rsidRPr="00F25744">
        <w:rPr>
          <w:rFonts w:hint="cs"/>
          <w:rtl/>
        </w:rPr>
        <w:t>גורמי לחץ ועומס</w:t>
      </w:r>
      <w:r w:rsidR="00193FB5" w:rsidRPr="00F25744">
        <w:rPr>
          <w:rFonts w:hint="cs"/>
          <w:rtl/>
        </w:rPr>
        <w:t xml:space="preserve"> נפשי</w:t>
      </w:r>
      <w:bookmarkEnd w:id="824"/>
      <w:bookmarkEnd w:id="825"/>
      <w:bookmarkEnd w:id="826"/>
      <w:bookmarkEnd w:id="827"/>
      <w:bookmarkEnd w:id="828"/>
      <w:bookmarkEnd w:id="829"/>
      <w:bookmarkEnd w:id="830"/>
      <w:bookmarkEnd w:id="831"/>
      <w:bookmarkEnd w:id="832"/>
      <w:bookmarkEnd w:id="833"/>
      <w:bookmarkEnd w:id="834"/>
      <w:bookmarkEnd w:id="835"/>
    </w:p>
    <w:p w14:paraId="68663A1C" w14:textId="77777777" w:rsidR="00840519" w:rsidRPr="00F25744" w:rsidRDefault="00E25AE7" w:rsidP="008336F3">
      <w:pPr>
        <w:spacing w:before="120" w:after="0" w:line="360" w:lineRule="auto"/>
        <w:jc w:val="both"/>
        <w:rPr>
          <w:rFonts w:ascii="David" w:hAnsi="David" w:cs="David"/>
          <w:sz w:val="24"/>
          <w:szCs w:val="24"/>
          <w:rtl/>
        </w:rPr>
      </w:pPr>
      <w:r w:rsidRPr="00F25744">
        <w:rPr>
          <w:rFonts w:ascii="David" w:hAnsi="David" w:cs="David" w:hint="cs"/>
          <w:sz w:val="24"/>
          <w:szCs w:val="24"/>
          <w:rtl/>
        </w:rPr>
        <w:t>מחקרים רבים בעולם ובארץ בשנים האחרונות עוסקים בשאלת השפעות הלחץ והשחיקה בעבודה על בריאותם הנפשית והפיזית של בעלי מקצועות שונים</w:t>
      </w:r>
      <w:r w:rsidR="00A41C78" w:rsidRPr="00F25744">
        <w:rPr>
          <w:rFonts w:ascii="David" w:hAnsi="David" w:cs="David" w:hint="cs"/>
          <w:sz w:val="24"/>
          <w:szCs w:val="24"/>
          <w:rtl/>
        </w:rPr>
        <w:t>, וכן על מידת המוטיבציה והיעילות בתפקוד במסגרת עבודתם</w:t>
      </w:r>
      <w:r w:rsidRPr="00F25744">
        <w:rPr>
          <w:rFonts w:ascii="David" w:hAnsi="David" w:cs="David" w:hint="cs"/>
          <w:sz w:val="24"/>
          <w:szCs w:val="24"/>
          <w:rtl/>
        </w:rPr>
        <w:t>. כדוגמה רלבנטית ועדכנית (2018) ניתן להצביע על מחקר שנעשה על גורמי לחץ בפרקליטות,</w:t>
      </w:r>
      <w:r w:rsidRPr="00F25744">
        <w:rPr>
          <w:rStyle w:val="a6"/>
          <w:rFonts w:ascii="David" w:hAnsi="David" w:cs="David"/>
          <w:sz w:val="24"/>
          <w:szCs w:val="24"/>
          <w:rtl/>
        </w:rPr>
        <w:footnoteReference w:id="39"/>
      </w:r>
      <w:r w:rsidRPr="00F25744">
        <w:rPr>
          <w:rFonts w:ascii="David" w:hAnsi="David" w:cs="David" w:hint="cs"/>
          <w:sz w:val="24"/>
          <w:szCs w:val="24"/>
          <w:rtl/>
        </w:rPr>
        <w:t xml:space="preserve"> שבו נמדדו פרמטרים שונים של גורמי לחץ וכלים מקצועיים להתמודדות עמו. חלק מאותם פרמטרים, בשל הדמיון המסוים בעיסוק המשפטי, מצאנו כרלוונטיים למדידת גורמי לחץ ועומס אצל השופטים. על כן, </w:t>
      </w:r>
      <w:r w:rsidR="007F3A52" w:rsidRPr="00F25744">
        <w:rPr>
          <w:rFonts w:ascii="David" w:hAnsi="David" w:cs="David"/>
          <w:sz w:val="24"/>
          <w:szCs w:val="24"/>
          <w:rtl/>
        </w:rPr>
        <w:t>על מנת להעריך את ההשלכות של העומס השיפוטי על השופטים ואת תוצרי הלוואי שלו, הוצגו לשופטים</w:t>
      </w:r>
      <w:r w:rsidR="0053241C" w:rsidRPr="00F25744">
        <w:rPr>
          <w:rFonts w:ascii="David" w:hAnsi="David" w:cs="David" w:hint="cs"/>
          <w:sz w:val="24"/>
          <w:szCs w:val="24"/>
          <w:rtl/>
        </w:rPr>
        <w:t xml:space="preserve"> ולרשמים</w:t>
      </w:r>
      <w:r w:rsidR="007F3A52" w:rsidRPr="00F25744">
        <w:rPr>
          <w:rFonts w:ascii="David" w:hAnsi="David" w:cs="David" w:hint="cs"/>
          <w:sz w:val="24"/>
          <w:szCs w:val="24"/>
          <w:rtl/>
        </w:rPr>
        <w:t xml:space="preserve"> במסגרת השאלון המסכם</w:t>
      </w:r>
      <w:r w:rsidR="007F3A52" w:rsidRPr="00F25744">
        <w:rPr>
          <w:rFonts w:ascii="David" w:hAnsi="David" w:cs="David"/>
          <w:sz w:val="24"/>
          <w:szCs w:val="24"/>
          <w:rtl/>
        </w:rPr>
        <w:t xml:space="preserve"> תשעה היגדים</w:t>
      </w:r>
      <w:r w:rsidR="007F3A52" w:rsidRPr="00F25744">
        <w:rPr>
          <w:rFonts w:ascii="David" w:hAnsi="David" w:cs="David" w:hint="cs"/>
          <w:sz w:val="24"/>
          <w:szCs w:val="24"/>
          <w:rtl/>
        </w:rPr>
        <w:t xml:space="preserve">, שאותם ניתן לחלק </w:t>
      </w:r>
      <w:r w:rsidR="007F3A52" w:rsidRPr="00F25744">
        <w:rPr>
          <w:rFonts w:ascii="David" w:hAnsi="David" w:cs="David"/>
          <w:sz w:val="24"/>
          <w:szCs w:val="24"/>
          <w:rtl/>
        </w:rPr>
        <w:t>ל</w:t>
      </w:r>
      <w:r w:rsidR="00044C15" w:rsidRPr="00F25744">
        <w:rPr>
          <w:rFonts w:ascii="David" w:hAnsi="David" w:cs="David" w:hint="cs"/>
          <w:sz w:val="24"/>
          <w:szCs w:val="24"/>
          <w:rtl/>
        </w:rPr>
        <w:t xml:space="preserve">ארבעה </w:t>
      </w:r>
      <w:r w:rsidR="007F3A52" w:rsidRPr="00F25744">
        <w:rPr>
          <w:rFonts w:ascii="David" w:hAnsi="David" w:cs="David"/>
          <w:sz w:val="24"/>
          <w:szCs w:val="24"/>
          <w:rtl/>
        </w:rPr>
        <w:t>נושאים</w:t>
      </w:r>
      <w:r w:rsidR="007F3A52" w:rsidRPr="00F25744">
        <w:rPr>
          <w:rFonts w:ascii="David" w:hAnsi="David" w:cs="David" w:hint="cs"/>
          <w:sz w:val="24"/>
          <w:szCs w:val="24"/>
          <w:rtl/>
        </w:rPr>
        <w:t>:</w:t>
      </w:r>
      <w:r w:rsidR="007F3A52" w:rsidRPr="00F25744">
        <w:rPr>
          <w:rFonts w:ascii="David" w:hAnsi="David" w:cs="David"/>
          <w:sz w:val="24"/>
          <w:szCs w:val="24"/>
          <w:rtl/>
        </w:rPr>
        <w:t xml:space="preserve"> </w:t>
      </w:r>
      <w:r w:rsidR="0004006D" w:rsidRPr="00F25744">
        <w:rPr>
          <w:rFonts w:ascii="David" w:hAnsi="David" w:cs="David" w:hint="cs"/>
          <w:sz w:val="24"/>
          <w:szCs w:val="24"/>
          <w:rtl/>
        </w:rPr>
        <w:t xml:space="preserve">מידת העומס, </w:t>
      </w:r>
      <w:r w:rsidR="00044C15" w:rsidRPr="00F25744">
        <w:rPr>
          <w:rFonts w:ascii="David" w:hAnsi="David" w:cs="David" w:hint="cs"/>
          <w:sz w:val="24"/>
          <w:szCs w:val="24"/>
          <w:rtl/>
        </w:rPr>
        <w:t>חוסר איזון עבודה ופנאי</w:t>
      </w:r>
      <w:r w:rsidR="005A416B" w:rsidRPr="00F25744">
        <w:rPr>
          <w:rFonts w:ascii="David" w:hAnsi="David" w:cs="David" w:hint="cs"/>
          <w:sz w:val="24"/>
          <w:szCs w:val="24"/>
          <w:rtl/>
        </w:rPr>
        <w:t>,</w:t>
      </w:r>
      <w:r w:rsidR="00044C15" w:rsidRPr="00F25744">
        <w:rPr>
          <w:rFonts w:ascii="David" w:hAnsi="David" w:cs="David"/>
          <w:sz w:val="24"/>
          <w:szCs w:val="24"/>
          <w:rtl/>
        </w:rPr>
        <w:t xml:space="preserve"> </w:t>
      </w:r>
      <w:r w:rsidR="00044C15" w:rsidRPr="00F25744">
        <w:rPr>
          <w:rFonts w:ascii="David" w:hAnsi="David" w:cs="David" w:hint="cs"/>
          <w:sz w:val="24"/>
          <w:szCs w:val="24"/>
          <w:rtl/>
        </w:rPr>
        <w:t>חוסר ב</w:t>
      </w:r>
      <w:r w:rsidR="007F3A52" w:rsidRPr="00F25744">
        <w:rPr>
          <w:rFonts w:ascii="David" w:hAnsi="David" w:cs="David"/>
          <w:sz w:val="24"/>
          <w:szCs w:val="24"/>
          <w:rtl/>
        </w:rPr>
        <w:t>כלי</w:t>
      </w:r>
      <w:r w:rsidR="00044C15" w:rsidRPr="00F25744">
        <w:rPr>
          <w:rFonts w:ascii="David" w:hAnsi="David" w:cs="David" w:hint="cs"/>
          <w:sz w:val="24"/>
          <w:szCs w:val="24"/>
          <w:rtl/>
        </w:rPr>
        <w:t xml:space="preserve"> </w:t>
      </w:r>
      <w:r w:rsidR="007F3A52" w:rsidRPr="00F25744">
        <w:rPr>
          <w:rFonts w:ascii="David" w:hAnsi="David" w:cs="David"/>
          <w:sz w:val="24"/>
          <w:szCs w:val="24"/>
          <w:rtl/>
        </w:rPr>
        <w:t>התמודדות עם העומס</w:t>
      </w:r>
      <w:r w:rsidR="00044C15" w:rsidRPr="00F25744">
        <w:rPr>
          <w:rFonts w:ascii="David" w:hAnsi="David" w:cs="David" w:hint="cs"/>
          <w:sz w:val="24"/>
          <w:szCs w:val="24"/>
          <w:rtl/>
        </w:rPr>
        <w:t xml:space="preserve"> והדחקת רגשות</w:t>
      </w:r>
      <w:r w:rsidR="007F3A52" w:rsidRPr="00F25744">
        <w:rPr>
          <w:rFonts w:ascii="David" w:hAnsi="David" w:cs="David"/>
          <w:sz w:val="24"/>
          <w:szCs w:val="24"/>
          <w:rtl/>
        </w:rPr>
        <w:t xml:space="preserve">. </w:t>
      </w:r>
    </w:p>
    <w:p w14:paraId="34D03311" w14:textId="77777777" w:rsidR="00044C15" w:rsidRPr="00F25744" w:rsidRDefault="00044C15" w:rsidP="008336F3">
      <w:pPr>
        <w:spacing w:after="0" w:line="240" w:lineRule="auto"/>
        <w:jc w:val="both"/>
        <w:rPr>
          <w:rFonts w:ascii="David" w:hAnsi="David" w:cs="David"/>
          <w:sz w:val="24"/>
          <w:szCs w:val="24"/>
          <w:rtl/>
        </w:rPr>
      </w:pPr>
    </w:p>
    <w:p w14:paraId="3243E66C" w14:textId="77777777" w:rsidR="00840519" w:rsidRPr="00F25744" w:rsidRDefault="00E25AE7" w:rsidP="00044C15">
      <w:pPr>
        <w:spacing w:after="0" w:line="360" w:lineRule="auto"/>
        <w:jc w:val="both"/>
        <w:rPr>
          <w:rFonts w:ascii="David" w:hAnsi="David" w:cs="David"/>
          <w:sz w:val="24"/>
          <w:szCs w:val="24"/>
          <w:rtl/>
        </w:rPr>
      </w:pPr>
      <w:r w:rsidRPr="00F25744">
        <w:rPr>
          <w:rFonts w:ascii="David" w:hAnsi="David" w:cs="David" w:hint="cs"/>
          <w:sz w:val="24"/>
          <w:szCs w:val="24"/>
          <w:rtl/>
        </w:rPr>
        <w:t>ההיגדים שעסקו ב</w:t>
      </w:r>
      <w:r w:rsidRPr="00F25744">
        <w:rPr>
          <w:rFonts w:ascii="David" w:hAnsi="David" w:cs="David" w:hint="cs"/>
          <w:b/>
          <w:bCs/>
          <w:sz w:val="24"/>
          <w:szCs w:val="24"/>
          <w:rtl/>
        </w:rPr>
        <w:t>מידת העומס</w:t>
      </w:r>
      <w:r w:rsidRPr="00F25744">
        <w:rPr>
          <w:rFonts w:ascii="David" w:hAnsi="David" w:cs="David" w:hint="cs"/>
          <w:sz w:val="24"/>
          <w:szCs w:val="24"/>
          <w:rtl/>
        </w:rPr>
        <w:t xml:space="preserve"> היו אלו:</w:t>
      </w:r>
    </w:p>
    <w:p w14:paraId="71EB8F81" w14:textId="77777777" w:rsidR="00044C15" w:rsidRPr="00F25744" w:rsidRDefault="00E25AE7" w:rsidP="00341018">
      <w:pPr>
        <w:pStyle w:val="a3"/>
        <w:numPr>
          <w:ilvl w:val="0"/>
          <w:numId w:val="21"/>
        </w:numPr>
        <w:bidi/>
        <w:spacing w:after="0" w:line="360" w:lineRule="auto"/>
        <w:ind w:left="425" w:hanging="425"/>
        <w:rPr>
          <w:rFonts w:ascii="David" w:hAnsi="David" w:cs="David"/>
          <w:b/>
          <w:bCs/>
          <w:sz w:val="24"/>
          <w:szCs w:val="24"/>
        </w:rPr>
      </w:pPr>
      <w:r w:rsidRPr="00F25744">
        <w:rPr>
          <w:rFonts w:ascii="David" w:hAnsi="David" w:cs="David"/>
          <w:b/>
          <w:bCs/>
          <w:sz w:val="24"/>
          <w:szCs w:val="24"/>
          <w:rtl/>
        </w:rPr>
        <w:t xml:space="preserve">"האחריות ועומס התיקים המוטלים עליי הם גדולים מדי"; </w:t>
      </w:r>
    </w:p>
    <w:p w14:paraId="74ED32A2" w14:textId="77777777" w:rsidR="00044C15" w:rsidRPr="00F25744" w:rsidRDefault="00E25AE7" w:rsidP="00341018">
      <w:pPr>
        <w:pStyle w:val="a3"/>
        <w:numPr>
          <w:ilvl w:val="0"/>
          <w:numId w:val="21"/>
        </w:numPr>
        <w:bidi/>
        <w:spacing w:after="0" w:line="360" w:lineRule="auto"/>
        <w:ind w:left="425" w:hanging="425"/>
        <w:rPr>
          <w:rFonts w:ascii="David" w:hAnsi="David" w:cs="David"/>
          <w:sz w:val="24"/>
          <w:szCs w:val="24"/>
        </w:rPr>
      </w:pPr>
      <w:r w:rsidRPr="00F25744">
        <w:rPr>
          <w:rFonts w:ascii="David" w:hAnsi="David" w:cs="David"/>
          <w:b/>
          <w:bCs/>
          <w:sz w:val="24"/>
          <w:szCs w:val="24"/>
          <w:rtl/>
        </w:rPr>
        <w:t>"עומס העבודה המוטל עליי הו</w:t>
      </w:r>
      <w:r w:rsidR="00C1529A" w:rsidRPr="00F25744">
        <w:rPr>
          <w:rFonts w:ascii="David" w:hAnsi="David" w:cs="David"/>
          <w:b/>
          <w:bCs/>
          <w:sz w:val="24"/>
          <w:szCs w:val="24"/>
          <w:rtl/>
        </w:rPr>
        <w:t>א סביר ומידתי"</w:t>
      </w:r>
      <w:r w:rsidRPr="00F25744">
        <w:rPr>
          <w:rFonts w:ascii="David" w:hAnsi="David" w:cs="David"/>
          <w:b/>
          <w:bCs/>
          <w:sz w:val="24"/>
          <w:szCs w:val="24"/>
          <w:rtl/>
        </w:rPr>
        <w:t xml:space="preserve"> </w:t>
      </w:r>
      <w:r w:rsidR="00D6735E" w:rsidRPr="00F25744">
        <w:rPr>
          <w:rFonts w:ascii="David" w:hAnsi="David" w:cs="David" w:hint="cs"/>
          <w:sz w:val="24"/>
          <w:szCs w:val="24"/>
          <w:rtl/>
        </w:rPr>
        <w:t xml:space="preserve">(בשאלה זו, על מנת ליצור אחידות בניתוח התשובות, התייחסנו לסקאלה </w:t>
      </w:r>
      <w:r w:rsidR="00D6735E" w:rsidRPr="00F25744">
        <w:rPr>
          <w:rFonts w:ascii="David" w:hAnsi="David" w:cs="David" w:hint="cs"/>
          <w:b/>
          <w:bCs/>
          <w:sz w:val="24"/>
          <w:szCs w:val="24"/>
          <w:rtl/>
        </w:rPr>
        <w:t>ההופכית</w:t>
      </w:r>
      <w:r w:rsidR="00D6735E" w:rsidRPr="00F25744">
        <w:rPr>
          <w:rFonts w:ascii="David" w:hAnsi="David" w:cs="David" w:hint="cs"/>
          <w:sz w:val="24"/>
          <w:szCs w:val="24"/>
          <w:rtl/>
        </w:rPr>
        <w:t xml:space="preserve">, כלומר לאלו שהשיבו שהעומס המוטל עליהם </w:t>
      </w:r>
      <w:r w:rsidR="00D6735E" w:rsidRPr="00F25744">
        <w:rPr>
          <w:rFonts w:ascii="David" w:hAnsi="David" w:cs="David" w:hint="cs"/>
          <w:b/>
          <w:bCs/>
          <w:sz w:val="24"/>
          <w:szCs w:val="24"/>
          <w:rtl/>
        </w:rPr>
        <w:t>אינו</w:t>
      </w:r>
      <w:r w:rsidR="00D6735E" w:rsidRPr="00F25744">
        <w:rPr>
          <w:rFonts w:ascii="David" w:hAnsi="David" w:cs="David" w:hint="cs"/>
          <w:sz w:val="24"/>
          <w:szCs w:val="24"/>
          <w:rtl/>
        </w:rPr>
        <w:t xml:space="preserve"> סביר ומידתי).</w:t>
      </w:r>
    </w:p>
    <w:p w14:paraId="4ABC6AE9" w14:textId="77777777" w:rsidR="00044C15" w:rsidRPr="00F25744" w:rsidRDefault="00044C15" w:rsidP="00044C15">
      <w:pPr>
        <w:spacing w:after="0" w:line="240" w:lineRule="auto"/>
        <w:jc w:val="both"/>
        <w:rPr>
          <w:rFonts w:ascii="David" w:hAnsi="David" w:cs="David"/>
          <w:sz w:val="24"/>
          <w:szCs w:val="24"/>
          <w:rtl/>
        </w:rPr>
      </w:pPr>
    </w:p>
    <w:p w14:paraId="395E4270" w14:textId="77777777" w:rsidR="00044C15" w:rsidRPr="00F25744" w:rsidRDefault="00E25AE7" w:rsidP="00044C15">
      <w:pPr>
        <w:spacing w:after="0" w:line="360" w:lineRule="auto"/>
        <w:jc w:val="both"/>
        <w:rPr>
          <w:rFonts w:ascii="David" w:hAnsi="David" w:cs="David"/>
          <w:sz w:val="24"/>
          <w:szCs w:val="24"/>
          <w:rtl/>
        </w:rPr>
      </w:pPr>
      <w:r w:rsidRPr="00F25744">
        <w:rPr>
          <w:rFonts w:ascii="David" w:hAnsi="David" w:cs="David" w:hint="cs"/>
          <w:sz w:val="24"/>
          <w:szCs w:val="24"/>
          <w:rtl/>
        </w:rPr>
        <w:t>ההיגדים שעסקו ב</w:t>
      </w:r>
      <w:r w:rsidRPr="00F25744">
        <w:rPr>
          <w:rFonts w:ascii="David" w:hAnsi="David" w:cs="David" w:hint="cs"/>
          <w:b/>
          <w:bCs/>
          <w:sz w:val="24"/>
          <w:szCs w:val="24"/>
          <w:rtl/>
        </w:rPr>
        <w:t xml:space="preserve">חוסר איזון עבודה ופנאי </w:t>
      </w:r>
      <w:r w:rsidRPr="00F25744">
        <w:rPr>
          <w:rFonts w:ascii="David" w:hAnsi="David" w:cs="David" w:hint="cs"/>
          <w:sz w:val="24"/>
          <w:szCs w:val="24"/>
          <w:rtl/>
        </w:rPr>
        <w:t>היו אלו:</w:t>
      </w:r>
    </w:p>
    <w:p w14:paraId="70279BB3" w14:textId="77777777" w:rsidR="00840519" w:rsidRPr="00F25744" w:rsidRDefault="00E25AE7" w:rsidP="00341018">
      <w:pPr>
        <w:pStyle w:val="a3"/>
        <w:numPr>
          <w:ilvl w:val="0"/>
          <w:numId w:val="46"/>
        </w:numPr>
        <w:bidi/>
        <w:spacing w:after="0" w:line="360" w:lineRule="auto"/>
        <w:ind w:left="397" w:hanging="425"/>
        <w:rPr>
          <w:rFonts w:ascii="David" w:hAnsi="David" w:cs="David"/>
          <w:b/>
          <w:bCs/>
          <w:sz w:val="24"/>
          <w:szCs w:val="24"/>
        </w:rPr>
      </w:pPr>
      <w:r w:rsidRPr="00F25744">
        <w:rPr>
          <w:rFonts w:ascii="David" w:hAnsi="David" w:cs="David"/>
          <w:b/>
          <w:bCs/>
          <w:sz w:val="24"/>
          <w:szCs w:val="24"/>
          <w:rtl/>
        </w:rPr>
        <w:t xml:space="preserve">"לעתים קרובות אני נדרש/ת לזמינות לעבודה לאחר שעות העבודה, ומרבה לעבוד מהבית"; </w:t>
      </w:r>
    </w:p>
    <w:p w14:paraId="3A8D1A23" w14:textId="77777777" w:rsidR="00840519" w:rsidRPr="00F25744" w:rsidRDefault="00E25AE7" w:rsidP="00341018">
      <w:pPr>
        <w:pStyle w:val="a3"/>
        <w:numPr>
          <w:ilvl w:val="0"/>
          <w:numId w:val="46"/>
        </w:numPr>
        <w:bidi/>
        <w:spacing w:after="0" w:line="360" w:lineRule="auto"/>
        <w:ind w:left="425" w:hanging="425"/>
        <w:rPr>
          <w:rFonts w:ascii="David" w:hAnsi="David" w:cs="David"/>
          <w:b/>
          <w:bCs/>
          <w:sz w:val="24"/>
          <w:szCs w:val="24"/>
          <w:rtl/>
        </w:rPr>
      </w:pPr>
      <w:r w:rsidRPr="00F25744">
        <w:rPr>
          <w:rFonts w:ascii="David" w:hAnsi="David" w:cs="David"/>
          <w:b/>
          <w:bCs/>
          <w:sz w:val="24"/>
          <w:szCs w:val="24"/>
          <w:rtl/>
        </w:rPr>
        <w:t xml:space="preserve">"קשה לי לאזן את חיי העבודה עם חיי הפרטיים". </w:t>
      </w:r>
    </w:p>
    <w:p w14:paraId="52309126" w14:textId="77777777" w:rsidR="00840519" w:rsidRPr="00F25744" w:rsidRDefault="00840519" w:rsidP="00044C15">
      <w:pPr>
        <w:spacing w:after="0" w:line="240" w:lineRule="auto"/>
        <w:jc w:val="both"/>
        <w:rPr>
          <w:rFonts w:ascii="David" w:hAnsi="David" w:cs="David"/>
          <w:sz w:val="24"/>
          <w:szCs w:val="24"/>
          <w:rtl/>
        </w:rPr>
      </w:pPr>
    </w:p>
    <w:p w14:paraId="2C3D2FE1" w14:textId="77777777" w:rsidR="00840519" w:rsidRPr="00F25744" w:rsidRDefault="00E25AE7" w:rsidP="00044C15">
      <w:pPr>
        <w:spacing w:after="0" w:line="360" w:lineRule="auto"/>
        <w:jc w:val="both"/>
        <w:rPr>
          <w:rFonts w:ascii="David" w:hAnsi="David" w:cs="David"/>
          <w:sz w:val="24"/>
          <w:szCs w:val="24"/>
          <w:rtl/>
        </w:rPr>
      </w:pPr>
      <w:r w:rsidRPr="00F25744">
        <w:rPr>
          <w:rFonts w:ascii="David" w:hAnsi="David" w:cs="David"/>
          <w:sz w:val="24"/>
          <w:szCs w:val="24"/>
          <w:rtl/>
        </w:rPr>
        <w:t>ההיגדים שנגעו ל</w:t>
      </w:r>
      <w:r w:rsidR="00044C15" w:rsidRPr="00F25744">
        <w:rPr>
          <w:rFonts w:ascii="David" w:hAnsi="David" w:cs="David" w:hint="cs"/>
          <w:b/>
          <w:bCs/>
          <w:sz w:val="24"/>
          <w:szCs w:val="24"/>
          <w:rtl/>
        </w:rPr>
        <w:t>חוסר ב</w:t>
      </w:r>
      <w:r w:rsidR="000F00C5" w:rsidRPr="00F25744">
        <w:rPr>
          <w:rFonts w:ascii="David" w:hAnsi="David" w:cs="David"/>
          <w:b/>
          <w:bCs/>
          <w:sz w:val="24"/>
          <w:szCs w:val="24"/>
          <w:rtl/>
        </w:rPr>
        <w:t>כלי</w:t>
      </w:r>
      <w:r w:rsidR="000F00C5" w:rsidRPr="00F25744">
        <w:rPr>
          <w:rFonts w:ascii="David" w:hAnsi="David" w:cs="David" w:hint="cs"/>
          <w:b/>
          <w:bCs/>
          <w:sz w:val="24"/>
          <w:szCs w:val="24"/>
          <w:rtl/>
        </w:rPr>
        <w:t>ם</w:t>
      </w:r>
      <w:r w:rsidR="000F00C5" w:rsidRPr="00F25744">
        <w:rPr>
          <w:rFonts w:ascii="David" w:hAnsi="David" w:cs="David"/>
          <w:b/>
          <w:bCs/>
          <w:sz w:val="24"/>
          <w:szCs w:val="24"/>
          <w:rtl/>
        </w:rPr>
        <w:t xml:space="preserve"> </w:t>
      </w:r>
      <w:r w:rsidR="000F00C5" w:rsidRPr="00F25744">
        <w:rPr>
          <w:rFonts w:ascii="David" w:hAnsi="David" w:cs="David" w:hint="cs"/>
          <w:b/>
          <w:bCs/>
          <w:sz w:val="24"/>
          <w:szCs w:val="24"/>
          <w:rtl/>
        </w:rPr>
        <w:t>ל</w:t>
      </w:r>
      <w:r w:rsidR="000F00C5" w:rsidRPr="00F25744">
        <w:rPr>
          <w:rFonts w:ascii="David" w:hAnsi="David" w:cs="David"/>
          <w:b/>
          <w:bCs/>
          <w:sz w:val="24"/>
          <w:szCs w:val="24"/>
          <w:rtl/>
        </w:rPr>
        <w:t>ה</w:t>
      </w:r>
      <w:r w:rsidRPr="00F25744">
        <w:rPr>
          <w:rFonts w:ascii="David" w:hAnsi="David" w:cs="David"/>
          <w:b/>
          <w:bCs/>
          <w:sz w:val="24"/>
          <w:szCs w:val="24"/>
          <w:rtl/>
        </w:rPr>
        <w:t>תמודדות עם העומס</w:t>
      </w:r>
      <w:r w:rsidRPr="00F25744">
        <w:rPr>
          <w:rFonts w:ascii="David" w:hAnsi="David" w:cs="David"/>
          <w:sz w:val="24"/>
          <w:szCs w:val="24"/>
          <w:rtl/>
        </w:rPr>
        <w:t xml:space="preserve"> היו</w:t>
      </w:r>
      <w:r w:rsidRPr="00F25744">
        <w:rPr>
          <w:rFonts w:ascii="David" w:hAnsi="David" w:cs="David" w:hint="cs"/>
          <w:sz w:val="24"/>
          <w:szCs w:val="24"/>
          <w:rtl/>
        </w:rPr>
        <w:t xml:space="preserve"> אלו</w:t>
      </w:r>
      <w:r w:rsidRPr="00F25744">
        <w:rPr>
          <w:rFonts w:ascii="David" w:hAnsi="David" w:cs="David"/>
          <w:sz w:val="24"/>
          <w:szCs w:val="24"/>
          <w:rtl/>
        </w:rPr>
        <w:t xml:space="preserve">: </w:t>
      </w:r>
    </w:p>
    <w:p w14:paraId="426292BF" w14:textId="77777777" w:rsidR="00840519" w:rsidRPr="00F25744" w:rsidRDefault="00E25AE7" w:rsidP="00341018">
      <w:pPr>
        <w:pStyle w:val="a3"/>
        <w:numPr>
          <w:ilvl w:val="0"/>
          <w:numId w:val="22"/>
        </w:numPr>
        <w:bidi/>
        <w:spacing w:after="0" w:line="360" w:lineRule="auto"/>
        <w:ind w:left="425" w:hanging="425"/>
        <w:rPr>
          <w:rFonts w:ascii="David" w:hAnsi="David" w:cs="David"/>
          <w:b/>
          <w:bCs/>
          <w:sz w:val="24"/>
          <w:szCs w:val="24"/>
        </w:rPr>
      </w:pPr>
      <w:r w:rsidRPr="00F25744">
        <w:rPr>
          <w:rFonts w:ascii="David" w:hAnsi="David" w:cs="David"/>
          <w:b/>
          <w:bCs/>
          <w:sz w:val="24"/>
          <w:szCs w:val="24"/>
          <w:rtl/>
        </w:rPr>
        <w:t xml:space="preserve">"בעבודה שלי חסרים כלים שיסייעו לעובד החווה קושי בשל עומס רגשי או חשיפה לאירועים קשים"; </w:t>
      </w:r>
    </w:p>
    <w:p w14:paraId="5AA47237" w14:textId="77777777" w:rsidR="00840519" w:rsidRPr="00F25744" w:rsidRDefault="00E25AE7" w:rsidP="00341018">
      <w:pPr>
        <w:pStyle w:val="a3"/>
        <w:numPr>
          <w:ilvl w:val="0"/>
          <w:numId w:val="22"/>
        </w:numPr>
        <w:bidi/>
        <w:spacing w:after="0" w:line="360" w:lineRule="auto"/>
        <w:ind w:left="425" w:hanging="425"/>
        <w:rPr>
          <w:rFonts w:ascii="David" w:hAnsi="David" w:cs="David"/>
          <w:b/>
          <w:bCs/>
          <w:sz w:val="24"/>
          <w:szCs w:val="24"/>
        </w:rPr>
      </w:pPr>
      <w:r w:rsidRPr="00F25744">
        <w:rPr>
          <w:rFonts w:ascii="David" w:hAnsi="David" w:cs="David"/>
          <w:b/>
          <w:bCs/>
          <w:sz w:val="24"/>
          <w:szCs w:val="24"/>
          <w:rtl/>
        </w:rPr>
        <w:t xml:space="preserve">"חסרים לי אנשים שאיתם אוכל לחלוק את הקשיים והאתגרים בעבודה שלי"; </w:t>
      </w:r>
    </w:p>
    <w:p w14:paraId="71BE9719" w14:textId="77777777" w:rsidR="00840519" w:rsidRPr="00F25744" w:rsidRDefault="00E25AE7" w:rsidP="00341018">
      <w:pPr>
        <w:pStyle w:val="a3"/>
        <w:numPr>
          <w:ilvl w:val="0"/>
          <w:numId w:val="22"/>
        </w:numPr>
        <w:bidi/>
        <w:spacing w:after="0" w:line="360" w:lineRule="auto"/>
        <w:ind w:left="425" w:hanging="425"/>
        <w:rPr>
          <w:rFonts w:ascii="David" w:hAnsi="David" w:cs="David"/>
          <w:b/>
          <w:bCs/>
          <w:sz w:val="24"/>
          <w:szCs w:val="24"/>
        </w:rPr>
      </w:pPr>
      <w:r w:rsidRPr="00F25744">
        <w:rPr>
          <w:rFonts w:ascii="David" w:hAnsi="David" w:cs="David"/>
          <w:b/>
          <w:bCs/>
          <w:sz w:val="24"/>
          <w:szCs w:val="24"/>
          <w:rtl/>
        </w:rPr>
        <w:t xml:space="preserve">"חסרים תהליכי למידה או הכוונה כיצד לתעדף משימות שיפוטיות ולייעל את הספק ומשך העבודה". </w:t>
      </w:r>
    </w:p>
    <w:p w14:paraId="37B7823C" w14:textId="77777777" w:rsidR="00C1529A" w:rsidRPr="00F25744" w:rsidRDefault="00C1529A" w:rsidP="008336F3">
      <w:pPr>
        <w:spacing w:after="0" w:line="240" w:lineRule="auto"/>
        <w:jc w:val="both"/>
        <w:rPr>
          <w:rFonts w:ascii="David" w:hAnsi="David" w:cs="David"/>
          <w:sz w:val="24"/>
          <w:szCs w:val="24"/>
          <w:rtl/>
        </w:rPr>
      </w:pPr>
    </w:p>
    <w:p w14:paraId="160BFDDC" w14:textId="77777777" w:rsidR="00840519" w:rsidRPr="00F25744" w:rsidRDefault="00E25AE7" w:rsidP="008336F3">
      <w:pPr>
        <w:spacing w:before="120" w:after="0" w:line="360" w:lineRule="auto"/>
        <w:jc w:val="both"/>
        <w:rPr>
          <w:rFonts w:ascii="David" w:hAnsi="David" w:cs="David"/>
          <w:b/>
          <w:bCs/>
          <w:sz w:val="24"/>
          <w:szCs w:val="24"/>
          <w:rtl/>
        </w:rPr>
      </w:pPr>
      <w:r w:rsidRPr="00F25744">
        <w:rPr>
          <w:rFonts w:ascii="David" w:hAnsi="David" w:cs="David"/>
          <w:sz w:val="24"/>
          <w:szCs w:val="24"/>
          <w:rtl/>
        </w:rPr>
        <w:t>ההיגד שנגע ל</w:t>
      </w:r>
      <w:r w:rsidR="00E9088F" w:rsidRPr="00F25744">
        <w:rPr>
          <w:rFonts w:ascii="David" w:hAnsi="David" w:cs="David" w:hint="cs"/>
          <w:b/>
          <w:bCs/>
          <w:sz w:val="24"/>
          <w:szCs w:val="24"/>
          <w:rtl/>
        </w:rPr>
        <w:t>הכרח ל</w:t>
      </w:r>
      <w:r w:rsidRPr="00F25744">
        <w:rPr>
          <w:rFonts w:ascii="David" w:hAnsi="David" w:cs="David" w:hint="cs"/>
          <w:b/>
          <w:bCs/>
          <w:sz w:val="24"/>
          <w:szCs w:val="24"/>
          <w:rtl/>
        </w:rPr>
        <w:t>הדח</w:t>
      </w:r>
      <w:r w:rsidR="00E9088F" w:rsidRPr="00F25744">
        <w:rPr>
          <w:rFonts w:ascii="David" w:hAnsi="David" w:cs="David" w:hint="cs"/>
          <w:b/>
          <w:bCs/>
          <w:sz w:val="24"/>
          <w:szCs w:val="24"/>
          <w:rtl/>
        </w:rPr>
        <w:t>י</w:t>
      </w:r>
      <w:r w:rsidRPr="00F25744">
        <w:rPr>
          <w:rFonts w:ascii="David" w:hAnsi="David" w:cs="David" w:hint="cs"/>
          <w:b/>
          <w:bCs/>
          <w:sz w:val="24"/>
          <w:szCs w:val="24"/>
          <w:rtl/>
        </w:rPr>
        <w:t xml:space="preserve">ק רגשות </w:t>
      </w:r>
      <w:r w:rsidRPr="00F25744">
        <w:rPr>
          <w:rFonts w:ascii="David" w:hAnsi="David" w:cs="David" w:hint="cs"/>
          <w:sz w:val="24"/>
          <w:szCs w:val="24"/>
          <w:rtl/>
        </w:rPr>
        <w:t>היה זה:</w:t>
      </w:r>
      <w:r w:rsidRPr="00F25744">
        <w:rPr>
          <w:rFonts w:ascii="David" w:hAnsi="David" w:cs="David" w:hint="cs"/>
          <w:b/>
          <w:bCs/>
          <w:sz w:val="24"/>
          <w:szCs w:val="24"/>
          <w:rtl/>
        </w:rPr>
        <w:t xml:space="preserve"> אני צריכ/ה להסתיר ולהדחיק את רגשותיי האמתיים כשאני ממלא/ת את תפקידי</w:t>
      </w:r>
      <w:r w:rsidRPr="00F25744">
        <w:rPr>
          <w:rFonts w:ascii="David" w:hAnsi="David" w:cs="David" w:hint="cs"/>
          <w:sz w:val="24"/>
          <w:szCs w:val="24"/>
          <w:rtl/>
        </w:rPr>
        <w:t>.</w:t>
      </w:r>
    </w:p>
    <w:p w14:paraId="65168E07" w14:textId="77777777" w:rsidR="00840519" w:rsidRPr="00F25744" w:rsidRDefault="00E25AE7" w:rsidP="008336F3">
      <w:pPr>
        <w:spacing w:before="120" w:after="0" w:line="360" w:lineRule="auto"/>
        <w:jc w:val="both"/>
        <w:rPr>
          <w:rFonts w:ascii="David" w:hAnsi="David" w:cs="David"/>
          <w:sz w:val="24"/>
          <w:szCs w:val="24"/>
          <w:rtl/>
        </w:rPr>
      </w:pPr>
      <w:r w:rsidRPr="00F25744">
        <w:rPr>
          <w:rFonts w:ascii="David" w:hAnsi="David" w:cs="David"/>
          <w:sz w:val="24"/>
          <w:szCs w:val="24"/>
          <w:rtl/>
        </w:rPr>
        <w:t>כמו כן</w:t>
      </w:r>
      <w:r w:rsidRPr="00F25744">
        <w:rPr>
          <w:rFonts w:ascii="David" w:hAnsi="David" w:cs="David" w:hint="cs"/>
          <w:sz w:val="24"/>
          <w:szCs w:val="24"/>
          <w:rtl/>
        </w:rPr>
        <w:t>,</w:t>
      </w:r>
      <w:r w:rsidRPr="00F25744">
        <w:rPr>
          <w:rFonts w:ascii="David" w:hAnsi="David" w:cs="David"/>
          <w:sz w:val="24"/>
          <w:szCs w:val="24"/>
          <w:rtl/>
        </w:rPr>
        <w:t xml:space="preserve"> הוצג היגד נוסף הנוגע להשפעת המחקר</w:t>
      </w:r>
      <w:r w:rsidR="00044C15" w:rsidRPr="00F25744">
        <w:rPr>
          <w:rFonts w:ascii="David" w:hAnsi="David" w:cs="David" w:hint="cs"/>
          <w:sz w:val="24"/>
          <w:szCs w:val="24"/>
          <w:rtl/>
        </w:rPr>
        <w:t xml:space="preserve"> עצמו</w:t>
      </w:r>
      <w:r w:rsidRPr="00F25744">
        <w:rPr>
          <w:rFonts w:ascii="David" w:hAnsi="David" w:cs="David"/>
          <w:sz w:val="24"/>
          <w:szCs w:val="24"/>
          <w:rtl/>
        </w:rPr>
        <w:t xml:space="preserve"> בהקשר זה: "</w:t>
      </w:r>
      <w:r w:rsidRPr="00F25744">
        <w:rPr>
          <w:rFonts w:ascii="David" w:hAnsi="David" w:cs="David"/>
          <w:b/>
          <w:bCs/>
          <w:sz w:val="24"/>
          <w:szCs w:val="24"/>
          <w:rtl/>
        </w:rPr>
        <w:t>מילוי יומן העבודה בתקופת המחקר אפשר לי לעצור ולבחון את עומס העבודה המוטל עליי ואת משך יום העבודה שלי</w:t>
      </w:r>
      <w:r w:rsidRPr="00F25744">
        <w:rPr>
          <w:rFonts w:ascii="David" w:hAnsi="David" w:cs="David"/>
          <w:sz w:val="24"/>
          <w:szCs w:val="24"/>
          <w:rtl/>
        </w:rPr>
        <w:t xml:space="preserve">". </w:t>
      </w:r>
    </w:p>
    <w:p w14:paraId="2D5389B8" w14:textId="77777777" w:rsidR="00840519" w:rsidRPr="00F25744" w:rsidRDefault="00E25AE7" w:rsidP="008336F3">
      <w:pPr>
        <w:spacing w:before="120" w:after="0" w:line="360" w:lineRule="auto"/>
        <w:jc w:val="both"/>
        <w:rPr>
          <w:rFonts w:ascii="David" w:hAnsi="David" w:cs="David"/>
          <w:sz w:val="24"/>
          <w:szCs w:val="24"/>
          <w:rtl/>
        </w:rPr>
      </w:pPr>
      <w:r w:rsidRPr="00F25744">
        <w:rPr>
          <w:rFonts w:ascii="David" w:hAnsi="David" w:cs="David"/>
          <w:sz w:val="24"/>
          <w:szCs w:val="24"/>
          <w:rtl/>
        </w:rPr>
        <w:lastRenderedPageBreak/>
        <w:t>סק</w:t>
      </w:r>
      <w:r w:rsidRPr="00F25744">
        <w:rPr>
          <w:rFonts w:ascii="David" w:hAnsi="David" w:cs="David" w:hint="cs"/>
          <w:sz w:val="24"/>
          <w:szCs w:val="24"/>
          <w:rtl/>
        </w:rPr>
        <w:t>א</w:t>
      </w:r>
      <w:r w:rsidRPr="00F25744">
        <w:rPr>
          <w:rFonts w:ascii="David" w:hAnsi="David" w:cs="David"/>
          <w:sz w:val="24"/>
          <w:szCs w:val="24"/>
          <w:rtl/>
        </w:rPr>
        <w:t xml:space="preserve">לת התשובות </w:t>
      </w:r>
      <w:r w:rsidRPr="00F25744">
        <w:rPr>
          <w:rFonts w:ascii="David" w:hAnsi="David" w:cs="David" w:hint="cs"/>
          <w:sz w:val="24"/>
          <w:szCs w:val="24"/>
          <w:rtl/>
        </w:rPr>
        <w:t xml:space="preserve">להיגדים </w:t>
      </w:r>
      <w:r w:rsidRPr="00F25744">
        <w:rPr>
          <w:rFonts w:ascii="David" w:hAnsi="David" w:cs="David"/>
          <w:sz w:val="24"/>
          <w:szCs w:val="24"/>
          <w:rtl/>
        </w:rPr>
        <w:t>כללה את האפשרויות</w:t>
      </w:r>
      <w:r w:rsidRPr="00F25744">
        <w:rPr>
          <w:rFonts w:ascii="David" w:hAnsi="David" w:cs="David" w:hint="cs"/>
          <w:sz w:val="24"/>
          <w:szCs w:val="24"/>
          <w:rtl/>
        </w:rPr>
        <w:t xml:space="preserve"> הבאות</w:t>
      </w:r>
      <w:r w:rsidRPr="00F25744">
        <w:rPr>
          <w:rFonts w:ascii="David" w:hAnsi="David" w:cs="David"/>
          <w:sz w:val="24"/>
          <w:szCs w:val="24"/>
          <w:rtl/>
        </w:rPr>
        <w:t>: "</w:t>
      </w:r>
      <w:r w:rsidRPr="00F25744">
        <w:rPr>
          <w:rFonts w:ascii="David" w:hAnsi="David" w:cs="David"/>
          <w:b/>
          <w:bCs/>
          <w:sz w:val="24"/>
          <w:szCs w:val="24"/>
          <w:rtl/>
        </w:rPr>
        <w:t>מסכים</w:t>
      </w:r>
      <w:r w:rsidRPr="00F25744">
        <w:rPr>
          <w:rFonts w:ascii="David" w:hAnsi="David" w:cs="David"/>
          <w:sz w:val="24"/>
          <w:szCs w:val="24"/>
          <w:rtl/>
        </w:rPr>
        <w:t>", "</w:t>
      </w:r>
      <w:r w:rsidRPr="00F25744">
        <w:rPr>
          <w:rFonts w:ascii="David" w:hAnsi="David" w:cs="David"/>
          <w:b/>
          <w:bCs/>
          <w:sz w:val="24"/>
          <w:szCs w:val="24"/>
          <w:rtl/>
        </w:rPr>
        <w:t>נוטה להסכים</w:t>
      </w:r>
      <w:r w:rsidRPr="00F25744">
        <w:rPr>
          <w:rFonts w:ascii="David" w:hAnsi="David" w:cs="David"/>
          <w:sz w:val="24"/>
          <w:szCs w:val="24"/>
          <w:rtl/>
        </w:rPr>
        <w:t>", "</w:t>
      </w:r>
      <w:r w:rsidRPr="00F25744">
        <w:rPr>
          <w:rFonts w:ascii="David" w:hAnsi="David" w:cs="David"/>
          <w:b/>
          <w:bCs/>
          <w:sz w:val="24"/>
          <w:szCs w:val="24"/>
          <w:rtl/>
        </w:rPr>
        <w:t>נוטה שלא להסכים</w:t>
      </w:r>
      <w:r w:rsidRPr="00F25744">
        <w:rPr>
          <w:rFonts w:ascii="David" w:hAnsi="David" w:cs="David"/>
          <w:sz w:val="24"/>
          <w:szCs w:val="24"/>
          <w:rtl/>
        </w:rPr>
        <w:t>", "</w:t>
      </w:r>
      <w:r w:rsidRPr="00F25744">
        <w:rPr>
          <w:rFonts w:ascii="David" w:hAnsi="David" w:cs="David"/>
          <w:b/>
          <w:bCs/>
          <w:sz w:val="24"/>
          <w:szCs w:val="24"/>
          <w:rtl/>
        </w:rPr>
        <w:t>לא מסכים</w:t>
      </w:r>
      <w:r w:rsidRPr="00F25744">
        <w:rPr>
          <w:rFonts w:ascii="David" w:hAnsi="David" w:cs="David"/>
          <w:sz w:val="24"/>
          <w:szCs w:val="24"/>
          <w:rtl/>
        </w:rPr>
        <w:t>" ו"</w:t>
      </w:r>
      <w:r w:rsidRPr="00F25744">
        <w:rPr>
          <w:rFonts w:ascii="David" w:hAnsi="David" w:cs="David"/>
          <w:b/>
          <w:bCs/>
          <w:sz w:val="24"/>
          <w:szCs w:val="24"/>
          <w:rtl/>
        </w:rPr>
        <w:t>לא רלוונטי</w:t>
      </w:r>
      <w:r w:rsidRPr="00F25744">
        <w:rPr>
          <w:rFonts w:ascii="David" w:hAnsi="David" w:cs="David"/>
          <w:sz w:val="24"/>
          <w:szCs w:val="24"/>
          <w:rtl/>
        </w:rPr>
        <w:t xml:space="preserve">". </w:t>
      </w:r>
    </w:p>
    <w:p w14:paraId="78D73640" w14:textId="77777777" w:rsidR="00B56F84" w:rsidRPr="00F25744" w:rsidRDefault="00E25AE7" w:rsidP="008336F3">
      <w:pPr>
        <w:spacing w:before="120" w:after="0" w:line="360" w:lineRule="auto"/>
        <w:jc w:val="both"/>
        <w:rPr>
          <w:rFonts w:ascii="David" w:hAnsi="David" w:cs="David"/>
          <w:sz w:val="24"/>
          <w:szCs w:val="24"/>
          <w:rtl/>
        </w:rPr>
      </w:pPr>
      <w:r w:rsidRPr="00F25744">
        <w:rPr>
          <w:rFonts w:ascii="David" w:hAnsi="David" w:cs="David" w:hint="cs"/>
          <w:sz w:val="24"/>
          <w:szCs w:val="24"/>
          <w:rtl/>
        </w:rPr>
        <w:t xml:space="preserve">על פרק זה בשאלון המסכם שהועבר לשופטים בערכאות השונות, </w:t>
      </w:r>
      <w:r w:rsidR="00C1529A" w:rsidRPr="00F25744">
        <w:rPr>
          <w:rFonts w:ascii="David" w:hAnsi="David" w:cs="David" w:hint="cs"/>
          <w:sz w:val="24"/>
          <w:szCs w:val="24"/>
          <w:rtl/>
        </w:rPr>
        <w:t>השיבו</w:t>
      </w:r>
      <w:r w:rsidRPr="00F25744">
        <w:rPr>
          <w:rFonts w:ascii="David" w:hAnsi="David" w:cs="David" w:hint="cs"/>
          <w:sz w:val="24"/>
          <w:szCs w:val="24"/>
          <w:rtl/>
        </w:rPr>
        <w:t xml:space="preserve"> 60% מכלל העונים על השאלון</w:t>
      </w:r>
      <w:r w:rsidR="00C2642C" w:rsidRPr="00F25744">
        <w:rPr>
          <w:rFonts w:ascii="David" w:hAnsi="David" w:cs="David" w:hint="cs"/>
          <w:sz w:val="24"/>
          <w:szCs w:val="24"/>
          <w:rtl/>
        </w:rPr>
        <w:t>, ובסך הכול קיבלנו 491 תשובות להיגדים שנשאלו</w:t>
      </w:r>
      <w:r w:rsidR="007B6D81" w:rsidRPr="00F25744">
        <w:rPr>
          <w:rFonts w:ascii="David" w:hAnsi="David" w:cs="David" w:hint="cs"/>
          <w:sz w:val="24"/>
          <w:szCs w:val="24"/>
          <w:rtl/>
        </w:rPr>
        <w:t>.</w:t>
      </w:r>
      <w:r w:rsidRPr="00F25744">
        <w:rPr>
          <w:rStyle w:val="a6"/>
          <w:rFonts w:ascii="David" w:hAnsi="David" w:cs="David"/>
          <w:sz w:val="24"/>
          <w:szCs w:val="24"/>
          <w:rtl/>
        </w:rPr>
        <w:footnoteReference w:id="40"/>
      </w:r>
      <w:r w:rsidRPr="00F25744">
        <w:rPr>
          <w:rFonts w:ascii="David" w:hAnsi="David" w:cs="David" w:hint="cs"/>
          <w:sz w:val="24"/>
          <w:szCs w:val="24"/>
          <w:rtl/>
        </w:rPr>
        <w:t xml:space="preserve"> </w:t>
      </w:r>
      <w:r w:rsidR="007F3A52" w:rsidRPr="00F25744">
        <w:rPr>
          <w:rFonts w:ascii="David" w:hAnsi="David" w:cs="David" w:hint="cs"/>
          <w:sz w:val="24"/>
          <w:szCs w:val="24"/>
          <w:rtl/>
        </w:rPr>
        <w:t>מערכאת המחוזי קיבלנו 182 תשובות, מערכאת השלום קיבלנו 212 תשובות, מבתי המשפט לתעבורה קיבלנו 25 תשובות, מבתי המשפט לענייני משפחה קיבלנו 63 תשובות ומבתי המשפט לנוער קיבלנו 9 תשובות.</w:t>
      </w:r>
    </w:p>
    <w:p w14:paraId="7349305B" w14:textId="77777777" w:rsidR="00EF2E08" w:rsidRPr="00F25744" w:rsidRDefault="00E25AE7" w:rsidP="008336F3">
      <w:pPr>
        <w:spacing w:before="120" w:after="0" w:line="360" w:lineRule="auto"/>
        <w:jc w:val="both"/>
        <w:rPr>
          <w:rFonts w:ascii="David" w:hAnsi="David" w:cs="David"/>
          <w:sz w:val="24"/>
          <w:szCs w:val="24"/>
          <w:rtl/>
        </w:rPr>
      </w:pPr>
      <w:r w:rsidRPr="00F25744">
        <w:rPr>
          <w:rFonts w:ascii="David" w:hAnsi="David" w:cs="David" w:hint="cs"/>
          <w:sz w:val="24"/>
          <w:szCs w:val="24"/>
          <w:rtl/>
        </w:rPr>
        <w:t>בחלקו הראשון של המחקר שנערך בבתי הדין לעבודה, נשאלו השופטים והרשמים במסגרת השאלון המסכם חמש שאלות מתוך תשע השאלות שנשאלו במחקר הנוכחי. ממצאיהם מובאים במחקר מדד עומס העבודה השיפוטית בבתי הדין האזוריים לעבודה. עם זאת, על מנת להציג תמונה מקיפה של ההשלכות של העומס השיפוטי המוטל על השופטים והרשמים במערכת המשפט, החלטנו להציג את ממצאי ההיגדים בבתי הדין לעבודה גם כאן. אחוז ההיענות של שופטי ורשמי בתי הדין האזוריים לעבודה לשאלות בחלק זה של השאלון המסכם עמד על 69% ממשתתפי המחקר.</w:t>
      </w:r>
    </w:p>
    <w:p w14:paraId="59D0FDAE" w14:textId="77777777" w:rsidR="005316BA" w:rsidRPr="00F25744" w:rsidRDefault="00E25AE7" w:rsidP="008336F3">
      <w:pPr>
        <w:spacing w:before="120" w:after="0" w:line="360" w:lineRule="auto"/>
        <w:jc w:val="both"/>
        <w:rPr>
          <w:rFonts w:ascii="David" w:hAnsi="David" w:cs="David"/>
          <w:sz w:val="24"/>
          <w:szCs w:val="24"/>
          <w:rtl/>
        </w:rPr>
      </w:pPr>
      <w:r w:rsidRPr="00F25744">
        <w:rPr>
          <w:rFonts w:ascii="David" w:hAnsi="David" w:cs="David"/>
          <w:sz w:val="24"/>
          <w:szCs w:val="24"/>
          <w:rtl/>
        </w:rPr>
        <w:t>מניתוח התשובות לשאלות ברמה הכלל-מערכתית עולה</w:t>
      </w:r>
      <w:r w:rsidRPr="00F25744">
        <w:rPr>
          <w:rFonts w:ascii="David" w:hAnsi="David" w:cs="David" w:hint="cs"/>
          <w:sz w:val="24"/>
          <w:szCs w:val="24"/>
          <w:rtl/>
        </w:rPr>
        <w:t>,</w:t>
      </w:r>
      <w:r w:rsidRPr="00F25744">
        <w:rPr>
          <w:rFonts w:ascii="David" w:hAnsi="David" w:cs="David"/>
          <w:sz w:val="24"/>
          <w:szCs w:val="24"/>
          <w:rtl/>
        </w:rPr>
        <w:t xml:space="preserve"> שמקרב השופטים </w:t>
      </w:r>
      <w:r w:rsidRPr="00F25744">
        <w:rPr>
          <w:rFonts w:ascii="David" w:hAnsi="David" w:cs="David" w:hint="cs"/>
          <w:sz w:val="24"/>
          <w:szCs w:val="24"/>
          <w:rtl/>
        </w:rPr>
        <w:t xml:space="preserve">והרשמים </w:t>
      </w:r>
      <w:r w:rsidRPr="00F25744">
        <w:rPr>
          <w:rFonts w:ascii="David" w:hAnsi="David" w:cs="David"/>
          <w:sz w:val="24"/>
          <w:szCs w:val="24"/>
          <w:rtl/>
        </w:rPr>
        <w:t xml:space="preserve">שענו על השאלות רובם נטו לסבור שישנן השלכות משמעותיות של העומס השיפוטי עליהם ועל סדרי עבודתם. </w:t>
      </w:r>
      <w:r w:rsidRPr="00F25744">
        <w:rPr>
          <w:rFonts w:ascii="David" w:hAnsi="David" w:cs="David" w:hint="cs"/>
          <w:sz w:val="24"/>
          <w:szCs w:val="24"/>
          <w:rtl/>
        </w:rPr>
        <w:t xml:space="preserve">להלן נציג את התפלגות התשובות בחלוקה לארבעת הנושאים שפורטו לעיל, בהשוואה בין הערכאות ובתי המשפט. יצוין, כי </w:t>
      </w:r>
      <w:r w:rsidRPr="00F25744">
        <w:rPr>
          <w:rFonts w:ascii="David" w:hAnsi="David" w:cs="David"/>
          <w:sz w:val="24"/>
          <w:szCs w:val="24"/>
          <w:rtl/>
        </w:rPr>
        <w:t xml:space="preserve">לצד הצגת התפלגות </w:t>
      </w:r>
      <w:r w:rsidRPr="00F25744">
        <w:rPr>
          <w:rFonts w:ascii="David" w:hAnsi="David" w:cs="David" w:hint="cs"/>
          <w:sz w:val="24"/>
          <w:szCs w:val="24"/>
          <w:rtl/>
        </w:rPr>
        <w:t xml:space="preserve">מידת </w:t>
      </w:r>
      <w:r w:rsidRPr="00F25744">
        <w:rPr>
          <w:rFonts w:ascii="David" w:hAnsi="David" w:cs="David"/>
          <w:sz w:val="24"/>
          <w:szCs w:val="24"/>
          <w:rtl/>
        </w:rPr>
        <w:t xml:space="preserve">ההסכמה של השופטים </w:t>
      </w:r>
      <w:r w:rsidRPr="00F25744">
        <w:rPr>
          <w:rFonts w:ascii="David" w:hAnsi="David" w:cs="David" w:hint="cs"/>
          <w:sz w:val="24"/>
          <w:szCs w:val="24"/>
          <w:rtl/>
        </w:rPr>
        <w:t>והרשמים עם ה</w:t>
      </w:r>
      <w:r w:rsidRPr="00F25744">
        <w:rPr>
          <w:rFonts w:ascii="David" w:hAnsi="David" w:cs="David"/>
          <w:sz w:val="24"/>
          <w:szCs w:val="24"/>
          <w:rtl/>
        </w:rPr>
        <w:t>היגדים שהוצגו, נותר אחוז קטן של שופטים שטענו כי ההיגדים אינם רלוונטיים לגביהם. אחוז קטן זה משלים את פירוט הדיווחים להלן לכדי 100% מן המשיבים</w:t>
      </w:r>
      <w:r w:rsidRPr="00F25744">
        <w:rPr>
          <w:rFonts w:ascii="David" w:hAnsi="David" w:cs="David" w:hint="cs"/>
          <w:sz w:val="24"/>
          <w:szCs w:val="24"/>
          <w:rtl/>
        </w:rPr>
        <w:t xml:space="preserve"> על פרק זה של השאלון</w:t>
      </w:r>
      <w:r w:rsidRPr="00F25744">
        <w:rPr>
          <w:rFonts w:ascii="David" w:hAnsi="David" w:cs="David"/>
          <w:sz w:val="24"/>
          <w:szCs w:val="24"/>
          <w:rtl/>
        </w:rPr>
        <w:t>.</w:t>
      </w:r>
    </w:p>
    <w:p w14:paraId="41A0E855" w14:textId="77777777" w:rsidR="005316BA" w:rsidRPr="00F25744" w:rsidRDefault="005316BA" w:rsidP="008336F3">
      <w:pPr>
        <w:spacing w:after="0" w:line="240" w:lineRule="auto"/>
        <w:jc w:val="both"/>
        <w:rPr>
          <w:rFonts w:ascii="David" w:hAnsi="David" w:cs="David"/>
          <w:sz w:val="24"/>
          <w:szCs w:val="24"/>
          <w:rtl/>
        </w:rPr>
      </w:pPr>
    </w:p>
    <w:p w14:paraId="54FDE2D7" w14:textId="77777777" w:rsidR="00C1529A" w:rsidRPr="00F25744" w:rsidRDefault="00E25AE7" w:rsidP="000C1408">
      <w:pPr>
        <w:pStyle w:val="3"/>
        <w:ind w:left="852"/>
        <w:rPr>
          <w:rtl/>
        </w:rPr>
      </w:pPr>
      <w:bookmarkStart w:id="836" w:name="_Toc74751033"/>
      <w:r w:rsidRPr="00F25744">
        <w:rPr>
          <w:rFonts w:hint="cs"/>
          <w:rtl/>
        </w:rPr>
        <w:t>מידת העומס</w:t>
      </w:r>
      <w:bookmarkEnd w:id="836"/>
    </w:p>
    <w:p w14:paraId="2AF42367" w14:textId="77777777" w:rsidR="00786309" w:rsidRPr="00F25744" w:rsidRDefault="00E25AE7" w:rsidP="008336F3">
      <w:pPr>
        <w:spacing w:before="120" w:after="0" w:line="360" w:lineRule="auto"/>
        <w:jc w:val="both"/>
        <w:rPr>
          <w:rFonts w:ascii="David" w:hAnsi="David" w:cs="David"/>
          <w:sz w:val="24"/>
          <w:szCs w:val="24"/>
          <w:u w:val="single"/>
          <w:rtl/>
        </w:rPr>
      </w:pPr>
      <w:r w:rsidRPr="00F25744">
        <w:rPr>
          <w:rFonts w:ascii="David" w:hAnsi="David" w:cs="David" w:hint="cs"/>
          <w:sz w:val="24"/>
          <w:szCs w:val="24"/>
          <w:rtl/>
        </w:rPr>
        <w:t xml:space="preserve">בכל הנוגע למידת העומס השיפוטי עולה, כי </w:t>
      </w:r>
      <w:r w:rsidRPr="00F25744">
        <w:rPr>
          <w:rFonts w:ascii="David" w:hAnsi="David" w:cs="David"/>
          <w:sz w:val="24"/>
          <w:szCs w:val="24"/>
          <w:rtl/>
        </w:rPr>
        <w:t>כ</w:t>
      </w:r>
      <w:r w:rsidRPr="00F25744">
        <w:rPr>
          <w:rFonts w:ascii="David" w:hAnsi="David" w:cs="David" w:hint="cs"/>
          <w:sz w:val="24"/>
          <w:szCs w:val="24"/>
          <w:rtl/>
        </w:rPr>
        <w:t>-</w:t>
      </w:r>
      <w:r w:rsidR="00FA6367" w:rsidRPr="00F25744">
        <w:rPr>
          <w:rFonts w:ascii="David" w:hAnsi="David" w:cs="David" w:hint="cs"/>
          <w:sz w:val="24"/>
          <w:szCs w:val="24"/>
          <w:rtl/>
        </w:rPr>
        <w:t>77</w:t>
      </w:r>
      <w:r w:rsidRPr="00F25744">
        <w:rPr>
          <w:rFonts w:ascii="David" w:hAnsi="David" w:cs="David"/>
          <w:sz w:val="24"/>
          <w:szCs w:val="24"/>
          <w:rtl/>
        </w:rPr>
        <w:t>% מ</w:t>
      </w:r>
      <w:r w:rsidRPr="00F25744">
        <w:rPr>
          <w:rFonts w:ascii="David" w:hAnsi="David" w:cs="David" w:hint="cs"/>
          <w:sz w:val="24"/>
          <w:szCs w:val="24"/>
          <w:rtl/>
        </w:rPr>
        <w:t xml:space="preserve">כלל </w:t>
      </w:r>
      <w:r w:rsidRPr="00F25744">
        <w:rPr>
          <w:rFonts w:ascii="David" w:hAnsi="David" w:cs="David"/>
          <w:sz w:val="24"/>
          <w:szCs w:val="24"/>
          <w:rtl/>
        </w:rPr>
        <w:t xml:space="preserve">השופטים </w:t>
      </w:r>
      <w:r w:rsidRPr="00F25744">
        <w:rPr>
          <w:rFonts w:ascii="David" w:hAnsi="David" w:cs="David" w:hint="cs"/>
          <w:sz w:val="24"/>
          <w:szCs w:val="24"/>
          <w:rtl/>
        </w:rPr>
        <w:t xml:space="preserve">והרשמים </w:t>
      </w:r>
      <w:r w:rsidRPr="00F25744">
        <w:rPr>
          <w:rFonts w:ascii="David" w:hAnsi="David" w:cs="David"/>
          <w:sz w:val="24"/>
          <w:szCs w:val="24"/>
          <w:rtl/>
        </w:rPr>
        <w:t xml:space="preserve">שענו על השאלון </w:t>
      </w:r>
      <w:r w:rsidR="00FA6367" w:rsidRPr="00F25744">
        <w:rPr>
          <w:rFonts w:ascii="David" w:hAnsi="David" w:cs="David" w:hint="cs"/>
          <w:sz w:val="24"/>
          <w:szCs w:val="24"/>
          <w:rtl/>
        </w:rPr>
        <w:t xml:space="preserve">(לרבות בבתי הדין לעבודה) </w:t>
      </w:r>
      <w:r w:rsidRPr="00F25744">
        <w:rPr>
          <w:rFonts w:ascii="David" w:hAnsi="David" w:cs="David"/>
          <w:sz w:val="24"/>
          <w:szCs w:val="24"/>
          <w:rtl/>
        </w:rPr>
        <w:t xml:space="preserve">דיווחו כי </w:t>
      </w:r>
      <w:r w:rsidRPr="00F25744">
        <w:rPr>
          <w:rFonts w:ascii="David" w:hAnsi="David" w:cs="David" w:hint="cs"/>
          <w:sz w:val="24"/>
          <w:szCs w:val="24"/>
          <w:rtl/>
        </w:rPr>
        <w:t xml:space="preserve">עומס העבודה המוטל עליהם גדול מדי ואינו מידתי. </w:t>
      </w:r>
      <w:r w:rsidR="00FA6367" w:rsidRPr="00F25744">
        <w:rPr>
          <w:rFonts w:ascii="David" w:hAnsi="David" w:cs="David" w:hint="cs"/>
          <w:sz w:val="24"/>
          <w:szCs w:val="24"/>
          <w:rtl/>
        </w:rPr>
        <w:t>64</w:t>
      </w:r>
      <w:r w:rsidRPr="00F25744">
        <w:rPr>
          <w:rFonts w:ascii="David" w:hAnsi="David" w:cs="David"/>
          <w:sz w:val="24"/>
          <w:szCs w:val="24"/>
          <w:rtl/>
        </w:rPr>
        <w:t xml:space="preserve">% מהשופטים נטו להסכים כי האחריות ועומס התיקים המוטלים עליהם גדולים מדי, מול 34% שנטו שלא להסכים. </w:t>
      </w:r>
      <w:r w:rsidRPr="00F25744">
        <w:rPr>
          <w:rFonts w:ascii="David" w:hAnsi="David" w:cs="David" w:hint="cs"/>
          <w:sz w:val="24"/>
          <w:szCs w:val="24"/>
          <w:rtl/>
        </w:rPr>
        <w:t>להלן נציג את התפלגות התשובות לשאלות על מידת העומס בחלוקה לערכאות ובתי המשפט:</w:t>
      </w:r>
    </w:p>
    <w:p w14:paraId="72FF0354" w14:textId="77777777" w:rsidR="00A21B44" w:rsidRPr="00F25744" w:rsidRDefault="00A21B44" w:rsidP="004D4B62">
      <w:pPr>
        <w:spacing w:after="0" w:line="360" w:lineRule="auto"/>
        <w:jc w:val="both"/>
        <w:rPr>
          <w:rFonts w:ascii="David" w:hAnsi="David" w:cs="David"/>
          <w:sz w:val="24"/>
          <w:szCs w:val="24"/>
          <w:u w:val="single"/>
          <w:rtl/>
        </w:rPr>
      </w:pPr>
    </w:p>
    <w:p w14:paraId="3C2F9059" w14:textId="140EE742" w:rsidR="00A21B44" w:rsidRDefault="00A21B44" w:rsidP="004D4B62">
      <w:pPr>
        <w:spacing w:after="0" w:line="360" w:lineRule="auto"/>
        <w:jc w:val="both"/>
        <w:rPr>
          <w:rFonts w:ascii="David" w:hAnsi="David" w:cs="David"/>
          <w:sz w:val="24"/>
          <w:szCs w:val="24"/>
          <w:u w:val="single"/>
          <w:rtl/>
        </w:rPr>
      </w:pPr>
    </w:p>
    <w:p w14:paraId="1ACA908B" w14:textId="77C3EC17" w:rsidR="00A8382F" w:rsidRDefault="00A8382F" w:rsidP="004D4B62">
      <w:pPr>
        <w:spacing w:after="0" w:line="360" w:lineRule="auto"/>
        <w:jc w:val="both"/>
        <w:rPr>
          <w:rFonts w:ascii="David" w:hAnsi="David" w:cs="David"/>
          <w:sz w:val="24"/>
          <w:szCs w:val="24"/>
          <w:u w:val="single"/>
          <w:rtl/>
        </w:rPr>
      </w:pPr>
    </w:p>
    <w:p w14:paraId="324529D7" w14:textId="3CD8A68D" w:rsidR="00A8382F" w:rsidRDefault="00A8382F" w:rsidP="004D4B62">
      <w:pPr>
        <w:spacing w:after="0" w:line="360" w:lineRule="auto"/>
        <w:jc w:val="both"/>
        <w:rPr>
          <w:rFonts w:ascii="David" w:hAnsi="David" w:cs="David"/>
          <w:sz w:val="24"/>
          <w:szCs w:val="24"/>
          <w:u w:val="single"/>
          <w:rtl/>
        </w:rPr>
      </w:pPr>
    </w:p>
    <w:p w14:paraId="5E7A392D" w14:textId="6385F4E0" w:rsidR="00A8382F" w:rsidRDefault="00A8382F" w:rsidP="004D4B62">
      <w:pPr>
        <w:spacing w:after="0" w:line="360" w:lineRule="auto"/>
        <w:jc w:val="both"/>
        <w:rPr>
          <w:rFonts w:ascii="David" w:hAnsi="David" w:cs="David"/>
          <w:sz w:val="24"/>
          <w:szCs w:val="24"/>
          <w:u w:val="single"/>
          <w:rtl/>
        </w:rPr>
      </w:pPr>
    </w:p>
    <w:p w14:paraId="25102ACA" w14:textId="77777777" w:rsidR="00A8382F" w:rsidRPr="00F25744" w:rsidRDefault="00A8382F" w:rsidP="004D4B62">
      <w:pPr>
        <w:spacing w:after="0" w:line="360" w:lineRule="auto"/>
        <w:jc w:val="both"/>
        <w:rPr>
          <w:rFonts w:ascii="David" w:hAnsi="David" w:cs="David"/>
          <w:sz w:val="24"/>
          <w:szCs w:val="24"/>
          <w:u w:val="single"/>
          <w:rtl/>
        </w:rPr>
      </w:pPr>
    </w:p>
    <w:p w14:paraId="07C1704A" w14:textId="77777777" w:rsidR="00A21B44" w:rsidRPr="00F25744" w:rsidRDefault="00A21B44" w:rsidP="004D4B62">
      <w:pPr>
        <w:spacing w:after="0" w:line="360" w:lineRule="auto"/>
        <w:jc w:val="both"/>
        <w:rPr>
          <w:rFonts w:ascii="David" w:hAnsi="David" w:cs="David"/>
          <w:sz w:val="24"/>
          <w:szCs w:val="24"/>
          <w:u w:val="single"/>
          <w:rtl/>
        </w:rPr>
      </w:pPr>
    </w:p>
    <w:p w14:paraId="2228B17A" w14:textId="46F62D7C" w:rsidR="00985CBF" w:rsidRPr="00F25744" w:rsidRDefault="008534FC" w:rsidP="008534FC">
      <w:pPr>
        <w:pStyle w:val="af6"/>
        <w:rPr>
          <w:rFonts w:ascii="David" w:hAnsi="David"/>
          <w:sz w:val="24"/>
          <w:rtl/>
        </w:rPr>
      </w:pPr>
      <w:bookmarkStart w:id="837" w:name="_Toc76988540"/>
      <w:r w:rsidRPr="00F25744">
        <w:rPr>
          <w:rtl/>
        </w:rPr>
        <w:lastRenderedPageBreak/>
        <w:t xml:space="preserve">תרשים </w:t>
      </w:r>
      <w:r w:rsidRPr="00F25744">
        <w:rPr>
          <w:rtl/>
        </w:rPr>
        <w:fldChar w:fldCharType="begin"/>
      </w:r>
      <w:r w:rsidRPr="00F25744">
        <w:rPr>
          <w:rtl/>
        </w:rPr>
        <w:instrText xml:space="preserve"> </w:instrText>
      </w:r>
      <w:r w:rsidRPr="00F25744">
        <w:instrText>SEQ</w:instrText>
      </w:r>
      <w:r w:rsidRPr="00F25744">
        <w:rPr>
          <w:rtl/>
        </w:rPr>
        <w:instrText xml:space="preserve"> תרשים \* </w:instrText>
      </w:r>
      <w:r w:rsidRPr="00F25744">
        <w:instrText>ARABIC</w:instrText>
      </w:r>
      <w:r w:rsidRPr="00F25744">
        <w:rPr>
          <w:rtl/>
        </w:rPr>
        <w:instrText xml:space="preserve"> </w:instrText>
      </w:r>
      <w:r w:rsidRPr="00F25744">
        <w:rPr>
          <w:rtl/>
        </w:rPr>
        <w:fldChar w:fldCharType="separate"/>
      </w:r>
      <w:r w:rsidR="008F1BC3">
        <w:rPr>
          <w:noProof/>
          <w:rtl/>
        </w:rPr>
        <w:t>19</w:t>
      </w:r>
      <w:r w:rsidRPr="00F25744">
        <w:rPr>
          <w:rtl/>
        </w:rPr>
        <w:fldChar w:fldCharType="end"/>
      </w:r>
      <w:r w:rsidR="00CE16FD" w:rsidRPr="00F25744">
        <w:rPr>
          <w:rFonts w:ascii="David" w:hAnsi="David" w:hint="cs"/>
          <w:sz w:val="24"/>
          <w:rtl/>
        </w:rPr>
        <w:t>: מידת ההסכמה של השופטים והרשמים עם היגדים בנושא מידת העומס המוטל עליהם בחלוקה לערכאות ובתי משפט</w:t>
      </w:r>
      <w:bookmarkEnd w:id="837"/>
    </w:p>
    <w:p w14:paraId="0E2D4C65" w14:textId="77777777" w:rsidR="00374F5C" w:rsidRPr="00F25744" w:rsidRDefault="00E25AE7" w:rsidP="0062515B">
      <w:pPr>
        <w:spacing w:after="0" w:line="360" w:lineRule="auto"/>
        <w:jc w:val="both"/>
        <w:rPr>
          <w:rFonts w:ascii="David" w:hAnsi="David" w:cs="David"/>
          <w:sz w:val="24"/>
          <w:szCs w:val="24"/>
          <w:rtl/>
        </w:rPr>
      </w:pPr>
      <w:r w:rsidRPr="00F25744">
        <w:rPr>
          <w:noProof/>
        </w:rPr>
        <w:drawing>
          <wp:inline distT="0" distB="0" distL="0" distR="0" wp14:anchorId="2655D545" wp14:editId="68780600">
            <wp:extent cx="5485202" cy="2981325"/>
            <wp:effectExtent l="0" t="0" r="1270" b="0"/>
            <wp:docPr id="20" name="תמונה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73273" name="Picture 20"/>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5501349" cy="2990101"/>
                    </a:xfrm>
                    <a:prstGeom prst="rect">
                      <a:avLst/>
                    </a:prstGeom>
                    <a:noFill/>
                    <a:ln>
                      <a:noFill/>
                    </a:ln>
                  </pic:spPr>
                </pic:pic>
              </a:graphicData>
            </a:graphic>
          </wp:inline>
        </w:drawing>
      </w:r>
    </w:p>
    <w:p w14:paraId="4032CB6B" w14:textId="77777777" w:rsidR="00AA076E" w:rsidRDefault="00AA076E" w:rsidP="0062515B">
      <w:pPr>
        <w:spacing w:after="0" w:line="360" w:lineRule="auto"/>
        <w:jc w:val="both"/>
        <w:rPr>
          <w:rFonts w:ascii="David" w:hAnsi="David" w:cs="David"/>
          <w:sz w:val="24"/>
          <w:szCs w:val="24"/>
          <w:rtl/>
        </w:rPr>
      </w:pPr>
    </w:p>
    <w:p w14:paraId="7AD88592" w14:textId="56597037" w:rsidR="001C0985" w:rsidRPr="00F25744" w:rsidRDefault="00E25AE7" w:rsidP="0062515B">
      <w:pPr>
        <w:spacing w:after="0" w:line="360" w:lineRule="auto"/>
        <w:jc w:val="both"/>
        <w:rPr>
          <w:rFonts w:ascii="David" w:hAnsi="David" w:cs="David"/>
          <w:sz w:val="24"/>
          <w:szCs w:val="24"/>
          <w:rtl/>
        </w:rPr>
      </w:pPr>
      <w:r w:rsidRPr="00F25744">
        <w:rPr>
          <w:rFonts w:ascii="David" w:hAnsi="David" w:cs="David" w:hint="cs"/>
          <w:sz w:val="24"/>
          <w:szCs w:val="24"/>
          <w:rtl/>
        </w:rPr>
        <w:t>ניתן לראות, כי בערכאת</w:t>
      </w:r>
      <w:r w:rsidR="0062515B" w:rsidRPr="00F25744">
        <w:rPr>
          <w:rFonts w:ascii="David" w:hAnsi="David" w:cs="David" w:hint="cs"/>
          <w:sz w:val="24"/>
          <w:szCs w:val="24"/>
          <w:rtl/>
        </w:rPr>
        <w:t xml:space="preserve"> העבודה, 83% מהמשיבים</w:t>
      </w:r>
      <w:r w:rsidRPr="00F25744">
        <w:rPr>
          <w:rFonts w:ascii="David" w:hAnsi="David" w:cs="David" w:hint="cs"/>
          <w:sz w:val="24"/>
          <w:szCs w:val="24"/>
          <w:rtl/>
        </w:rPr>
        <w:t xml:space="preserve"> ענו כי הם מסכימים או נוטים להסכים עם ההיגדים בנוגע למידת העומס, כלומר שהעומס המוטל עליהם גדול מדי ואינו מידתי</w:t>
      </w:r>
      <w:r w:rsidR="00DA760B" w:rsidRPr="00F25744">
        <w:rPr>
          <w:rFonts w:ascii="David" w:hAnsi="David" w:cs="David" w:hint="cs"/>
          <w:sz w:val="24"/>
          <w:szCs w:val="24"/>
          <w:rtl/>
        </w:rPr>
        <w:t xml:space="preserve">, </w:t>
      </w:r>
      <w:r w:rsidR="0062515B" w:rsidRPr="00F25744">
        <w:rPr>
          <w:rFonts w:ascii="David" w:hAnsi="David" w:cs="David" w:hint="cs"/>
          <w:sz w:val="24"/>
          <w:szCs w:val="24"/>
          <w:rtl/>
        </w:rPr>
        <w:t xml:space="preserve">בהשוואה ל-75% בערכאת המחוזי, </w:t>
      </w:r>
      <w:r w:rsidR="00DA760B" w:rsidRPr="00F25744">
        <w:rPr>
          <w:rFonts w:ascii="David" w:hAnsi="David" w:cs="David" w:hint="cs"/>
          <w:sz w:val="24"/>
          <w:szCs w:val="24"/>
          <w:rtl/>
        </w:rPr>
        <w:t xml:space="preserve">61% בערכאת השלום, ו-53% </w:t>
      </w:r>
      <w:r w:rsidR="00957D52" w:rsidRPr="00F25744">
        <w:rPr>
          <w:rFonts w:ascii="David" w:hAnsi="David" w:cs="David" w:hint="cs"/>
          <w:sz w:val="24"/>
          <w:szCs w:val="24"/>
          <w:rtl/>
        </w:rPr>
        <w:t xml:space="preserve">בלבד </w:t>
      </w:r>
      <w:r w:rsidR="00DA760B" w:rsidRPr="00F25744">
        <w:rPr>
          <w:rFonts w:ascii="David" w:hAnsi="David" w:cs="David" w:hint="cs"/>
          <w:sz w:val="24"/>
          <w:szCs w:val="24"/>
          <w:rtl/>
        </w:rPr>
        <w:t xml:space="preserve">מהמשיבים בבתי המשפט לתעבורה. בבתי המשפט לנוער ניתן לראות כי </w:t>
      </w:r>
      <w:r w:rsidR="00F64748" w:rsidRPr="00F25744">
        <w:rPr>
          <w:rFonts w:ascii="David" w:hAnsi="David" w:cs="David" w:hint="cs"/>
          <w:sz w:val="24"/>
          <w:szCs w:val="24"/>
          <w:rtl/>
        </w:rPr>
        <w:t xml:space="preserve">72% מהמשיבים ענו כי הם מסכימים או נוטים להסכים </w:t>
      </w:r>
      <w:r w:rsidR="00E96874" w:rsidRPr="00F25744">
        <w:rPr>
          <w:rFonts w:ascii="David" w:hAnsi="David" w:cs="David" w:hint="cs"/>
          <w:sz w:val="24"/>
          <w:szCs w:val="24"/>
          <w:rtl/>
        </w:rPr>
        <w:t xml:space="preserve">עם ההיגדים ביחס למידת העומס, </w:t>
      </w:r>
      <w:r w:rsidR="00F64748" w:rsidRPr="00F25744">
        <w:rPr>
          <w:rFonts w:ascii="David" w:hAnsi="David" w:cs="David" w:hint="cs"/>
          <w:sz w:val="24"/>
          <w:szCs w:val="24"/>
          <w:rtl/>
        </w:rPr>
        <w:t>ובערכאת המשפחה ניתן לראות כי 91% מהמשיבים מסכימים או נוטים להסכים כי עומס העבודה המוטל עליהם אינו מידתי וגדול מדי.</w:t>
      </w:r>
    </w:p>
    <w:p w14:paraId="5F892BCC" w14:textId="77777777" w:rsidR="000237D8" w:rsidRPr="00F25744" w:rsidRDefault="000237D8" w:rsidP="000237D8">
      <w:pPr>
        <w:spacing w:after="0" w:line="240" w:lineRule="auto"/>
        <w:jc w:val="both"/>
        <w:rPr>
          <w:rFonts w:ascii="David" w:hAnsi="David" w:cs="David"/>
          <w:sz w:val="24"/>
          <w:szCs w:val="24"/>
          <w:rtl/>
        </w:rPr>
      </w:pPr>
    </w:p>
    <w:p w14:paraId="2C621165" w14:textId="77777777" w:rsidR="001C0985" w:rsidRPr="00F25744" w:rsidRDefault="00E25AE7" w:rsidP="000C1408">
      <w:pPr>
        <w:pStyle w:val="3"/>
        <w:ind w:left="852"/>
        <w:rPr>
          <w:rtl/>
        </w:rPr>
      </w:pPr>
      <w:bookmarkStart w:id="838" w:name="_Toc74751034"/>
      <w:r w:rsidRPr="00F25744">
        <w:rPr>
          <w:rFonts w:hint="cs"/>
          <w:rtl/>
        </w:rPr>
        <w:t xml:space="preserve">חוסר איזון </w:t>
      </w:r>
      <w:r w:rsidR="00BD012D" w:rsidRPr="00F25744">
        <w:rPr>
          <w:rFonts w:hint="cs"/>
          <w:rtl/>
        </w:rPr>
        <w:t xml:space="preserve">בין </w:t>
      </w:r>
      <w:r w:rsidRPr="00F25744">
        <w:rPr>
          <w:rFonts w:hint="cs"/>
          <w:rtl/>
        </w:rPr>
        <w:t>עבודה</w:t>
      </w:r>
      <w:r w:rsidR="00BD012D" w:rsidRPr="00F25744">
        <w:rPr>
          <w:rFonts w:hint="cs"/>
          <w:rtl/>
        </w:rPr>
        <w:t xml:space="preserve"> לחיים הפרטיים</w:t>
      </w:r>
      <w:bookmarkEnd w:id="838"/>
    </w:p>
    <w:p w14:paraId="494212D4" w14:textId="77777777" w:rsidR="002500B8" w:rsidRPr="00F25744" w:rsidRDefault="00E25AE7" w:rsidP="008336F3">
      <w:pPr>
        <w:spacing w:before="120" w:after="0" w:line="360" w:lineRule="auto"/>
        <w:jc w:val="both"/>
        <w:rPr>
          <w:rFonts w:ascii="David" w:hAnsi="David" w:cs="David"/>
          <w:sz w:val="24"/>
          <w:szCs w:val="24"/>
          <w:u w:val="single"/>
          <w:rtl/>
        </w:rPr>
      </w:pPr>
      <w:r w:rsidRPr="00F25744">
        <w:rPr>
          <w:rFonts w:ascii="David" w:hAnsi="David" w:cs="David"/>
          <w:sz w:val="24"/>
          <w:szCs w:val="24"/>
          <w:rtl/>
        </w:rPr>
        <w:t xml:space="preserve">השופטים </w:t>
      </w:r>
      <w:r w:rsidRPr="00F25744">
        <w:rPr>
          <w:rFonts w:ascii="David" w:hAnsi="David" w:cs="David" w:hint="cs"/>
          <w:sz w:val="24"/>
          <w:szCs w:val="24"/>
          <w:rtl/>
        </w:rPr>
        <w:t xml:space="preserve">המשיבים על השאלון דיווחו </w:t>
      </w:r>
      <w:r w:rsidRPr="00F25744">
        <w:rPr>
          <w:rFonts w:ascii="David" w:hAnsi="David" w:cs="David"/>
          <w:sz w:val="24"/>
          <w:szCs w:val="24"/>
          <w:rtl/>
        </w:rPr>
        <w:t xml:space="preserve">באופן כמעט גורף כי </w:t>
      </w:r>
      <w:r w:rsidRPr="00F25744">
        <w:rPr>
          <w:rFonts w:ascii="David" w:eastAsia="Times New Roman" w:hAnsi="David" w:cs="David"/>
          <w:color w:val="000000"/>
          <w:sz w:val="24"/>
          <w:szCs w:val="24"/>
          <w:rtl/>
        </w:rPr>
        <w:t>לעתים קרובות הם נדרש</w:t>
      </w:r>
      <w:r w:rsidRPr="00F25744">
        <w:rPr>
          <w:rFonts w:ascii="David" w:eastAsia="Times New Roman" w:hAnsi="David" w:cs="David" w:hint="cs"/>
          <w:color w:val="000000"/>
          <w:sz w:val="24"/>
          <w:szCs w:val="24"/>
          <w:rtl/>
        </w:rPr>
        <w:t>ים</w:t>
      </w:r>
      <w:r w:rsidRPr="00F25744">
        <w:rPr>
          <w:rFonts w:ascii="David" w:eastAsia="Times New Roman" w:hAnsi="David" w:cs="David"/>
          <w:color w:val="000000"/>
          <w:sz w:val="24"/>
          <w:szCs w:val="24"/>
          <w:rtl/>
        </w:rPr>
        <w:t xml:space="preserve"> לזמינות לעבודה לאחר שעות העבודה וכי הם מרבים לעבוד מהבית (94%), בעוד שרק בודדים לא הסכימו עם אמירה זו (6%). כמו כן, 56% דיווחו כי קשה להם לאזן את חיי העבודה עם חייהם הפרטיים בעוד ש</w:t>
      </w:r>
      <w:r w:rsidRPr="00F25744">
        <w:rPr>
          <w:rFonts w:ascii="David" w:eastAsia="Times New Roman" w:hAnsi="David" w:cs="David" w:hint="cs"/>
          <w:color w:val="000000"/>
          <w:sz w:val="24"/>
          <w:szCs w:val="24"/>
          <w:rtl/>
        </w:rPr>
        <w:t>-</w:t>
      </w:r>
      <w:r w:rsidRPr="00F25744">
        <w:rPr>
          <w:rFonts w:ascii="David" w:eastAsia="Times New Roman" w:hAnsi="David" w:cs="David"/>
          <w:color w:val="000000"/>
          <w:sz w:val="24"/>
          <w:szCs w:val="24"/>
          <w:rtl/>
        </w:rPr>
        <w:t>41% סברו שלא.</w:t>
      </w:r>
      <w:r w:rsidRPr="00F25744">
        <w:rPr>
          <w:rFonts w:ascii="David" w:hAnsi="David" w:cs="David"/>
          <w:sz w:val="24"/>
          <w:szCs w:val="24"/>
          <w:rtl/>
        </w:rPr>
        <w:t xml:space="preserve"> </w:t>
      </w:r>
      <w:r w:rsidRPr="00F25744">
        <w:rPr>
          <w:rFonts w:ascii="David" w:hAnsi="David" w:cs="David" w:hint="cs"/>
          <w:sz w:val="24"/>
          <w:szCs w:val="24"/>
          <w:rtl/>
        </w:rPr>
        <w:t>להלן נציג את התפלגות התשובות לשאלות על חוסר איזון עבודה</w:t>
      </w:r>
      <w:r w:rsidR="00BD012D" w:rsidRPr="00F25744">
        <w:rPr>
          <w:rFonts w:ascii="David" w:hAnsi="David" w:cs="David" w:hint="cs"/>
          <w:sz w:val="24"/>
          <w:szCs w:val="24"/>
          <w:rtl/>
        </w:rPr>
        <w:t xml:space="preserve"> וחיים פרטיים </w:t>
      </w:r>
      <w:r w:rsidRPr="00F25744">
        <w:rPr>
          <w:rFonts w:ascii="David" w:hAnsi="David" w:cs="David" w:hint="cs"/>
          <w:sz w:val="24"/>
          <w:szCs w:val="24"/>
          <w:rtl/>
        </w:rPr>
        <w:t>בחלוקה לערכאות ובתי המשפט:</w:t>
      </w:r>
    </w:p>
    <w:p w14:paraId="06D91F45" w14:textId="77777777" w:rsidR="00AC1351" w:rsidRPr="00F25744" w:rsidRDefault="00AC1351" w:rsidP="008336F3">
      <w:pPr>
        <w:spacing w:before="120" w:after="0" w:line="360" w:lineRule="auto"/>
        <w:jc w:val="both"/>
        <w:rPr>
          <w:rFonts w:ascii="David" w:hAnsi="David" w:cs="David"/>
          <w:sz w:val="24"/>
          <w:szCs w:val="24"/>
          <w:u w:val="single"/>
          <w:rtl/>
        </w:rPr>
      </w:pPr>
    </w:p>
    <w:p w14:paraId="52913BC9" w14:textId="77777777" w:rsidR="00AC1351" w:rsidRPr="00F25744" w:rsidRDefault="00AC1351" w:rsidP="008336F3">
      <w:pPr>
        <w:spacing w:before="120" w:after="0" w:line="360" w:lineRule="auto"/>
        <w:jc w:val="both"/>
        <w:rPr>
          <w:rFonts w:ascii="David" w:hAnsi="David" w:cs="David"/>
          <w:sz w:val="24"/>
          <w:szCs w:val="24"/>
          <w:u w:val="single"/>
          <w:rtl/>
        </w:rPr>
      </w:pPr>
    </w:p>
    <w:p w14:paraId="28AF5DD2" w14:textId="77777777" w:rsidR="00AC1351" w:rsidRPr="00F25744" w:rsidRDefault="00AC1351" w:rsidP="008336F3">
      <w:pPr>
        <w:spacing w:before="120" w:after="0" w:line="360" w:lineRule="auto"/>
        <w:jc w:val="both"/>
        <w:rPr>
          <w:rFonts w:ascii="David" w:hAnsi="David" w:cs="David"/>
          <w:sz w:val="24"/>
          <w:szCs w:val="24"/>
          <w:u w:val="single"/>
          <w:rtl/>
        </w:rPr>
      </w:pPr>
    </w:p>
    <w:p w14:paraId="6AAF05EC" w14:textId="77777777" w:rsidR="00AC1351" w:rsidRPr="00F25744" w:rsidRDefault="00AC1351" w:rsidP="008336F3">
      <w:pPr>
        <w:spacing w:before="120" w:after="0" w:line="360" w:lineRule="auto"/>
        <w:jc w:val="both"/>
        <w:rPr>
          <w:rFonts w:ascii="David" w:hAnsi="David" w:cs="David"/>
          <w:sz w:val="24"/>
          <w:szCs w:val="24"/>
          <w:u w:val="single"/>
          <w:rtl/>
        </w:rPr>
      </w:pPr>
    </w:p>
    <w:p w14:paraId="5B2027BA" w14:textId="1214C1F0" w:rsidR="00AC1351" w:rsidRPr="00F25744" w:rsidRDefault="00AC1351" w:rsidP="008336F3">
      <w:pPr>
        <w:spacing w:before="120" w:after="0" w:line="360" w:lineRule="auto"/>
        <w:jc w:val="both"/>
        <w:rPr>
          <w:rFonts w:ascii="David" w:hAnsi="David" w:cs="David"/>
          <w:sz w:val="24"/>
          <w:szCs w:val="24"/>
          <w:u w:val="single"/>
          <w:rtl/>
        </w:rPr>
      </w:pPr>
    </w:p>
    <w:p w14:paraId="7BA0E1DC" w14:textId="0FD1EA56" w:rsidR="00CE16FD" w:rsidRPr="00F25744" w:rsidRDefault="00E25AE7" w:rsidP="00D22BD3">
      <w:pPr>
        <w:pStyle w:val="af6"/>
        <w:rPr>
          <w:rFonts w:ascii="David" w:hAnsi="David"/>
          <w:sz w:val="24"/>
          <w:rtl/>
        </w:rPr>
      </w:pPr>
      <w:bookmarkStart w:id="839" w:name="_Toc76988541"/>
      <w:r w:rsidRPr="00F25744">
        <w:rPr>
          <w:rtl/>
        </w:rPr>
        <w:lastRenderedPageBreak/>
        <w:t xml:space="preserve">תרשים </w:t>
      </w:r>
      <w:r w:rsidRPr="00F25744">
        <w:rPr>
          <w:rFonts w:ascii="David" w:hAnsi="David"/>
          <w:sz w:val="24"/>
          <w:rtl/>
        </w:rPr>
        <w:fldChar w:fldCharType="begin"/>
      </w:r>
      <w:r w:rsidRPr="00F25744">
        <w:rPr>
          <w:rFonts w:ascii="David" w:hAnsi="David"/>
          <w:sz w:val="24"/>
          <w:rtl/>
        </w:rPr>
        <w:instrText xml:space="preserve"> </w:instrText>
      </w:r>
      <w:r w:rsidRPr="00F25744">
        <w:rPr>
          <w:rFonts w:ascii="David" w:hAnsi="David" w:hint="cs"/>
          <w:sz w:val="24"/>
        </w:rPr>
        <w:instrText>SEQ</w:instrText>
      </w:r>
      <w:r w:rsidRPr="00F25744">
        <w:rPr>
          <w:rFonts w:ascii="David" w:hAnsi="David" w:hint="cs"/>
          <w:sz w:val="24"/>
          <w:rtl/>
        </w:rPr>
        <w:instrText xml:space="preserve"> תרשים \* </w:instrText>
      </w:r>
      <w:r w:rsidRPr="00F25744">
        <w:rPr>
          <w:rFonts w:ascii="David" w:hAnsi="David" w:hint="cs"/>
          <w:sz w:val="24"/>
        </w:rPr>
        <w:instrText>ARABIC</w:instrText>
      </w:r>
      <w:r w:rsidRPr="00F25744">
        <w:rPr>
          <w:rFonts w:ascii="David" w:hAnsi="David"/>
          <w:sz w:val="24"/>
          <w:rtl/>
        </w:rPr>
        <w:instrText xml:space="preserve"> </w:instrText>
      </w:r>
      <w:r w:rsidRPr="00F25744">
        <w:rPr>
          <w:rFonts w:ascii="David" w:hAnsi="David"/>
          <w:sz w:val="24"/>
          <w:rtl/>
        </w:rPr>
        <w:fldChar w:fldCharType="separate"/>
      </w:r>
      <w:r w:rsidR="008F1BC3">
        <w:rPr>
          <w:rFonts w:ascii="David" w:hAnsi="David"/>
          <w:noProof/>
          <w:sz w:val="24"/>
          <w:rtl/>
        </w:rPr>
        <w:t>20</w:t>
      </w:r>
      <w:r w:rsidRPr="00F25744">
        <w:rPr>
          <w:rFonts w:ascii="David" w:hAnsi="David"/>
          <w:sz w:val="24"/>
          <w:rtl/>
        </w:rPr>
        <w:fldChar w:fldCharType="end"/>
      </w:r>
      <w:r w:rsidR="007F3A52" w:rsidRPr="00F25744">
        <w:rPr>
          <w:rFonts w:ascii="David" w:hAnsi="David" w:hint="cs"/>
          <w:sz w:val="24"/>
          <w:rtl/>
        </w:rPr>
        <w:t xml:space="preserve">: מידת ההסכמה של השופטים והרשמים עם היגדים בנושא איזון עבודה </w:t>
      </w:r>
      <w:r w:rsidR="00BD012D" w:rsidRPr="00F25744">
        <w:rPr>
          <w:rFonts w:ascii="David" w:hAnsi="David" w:hint="cs"/>
          <w:sz w:val="24"/>
          <w:rtl/>
        </w:rPr>
        <w:t>וחיים פרטיים</w:t>
      </w:r>
      <w:r w:rsidR="007F3A52" w:rsidRPr="00F25744">
        <w:rPr>
          <w:rFonts w:ascii="David" w:hAnsi="David" w:hint="cs"/>
          <w:sz w:val="24"/>
          <w:rtl/>
        </w:rPr>
        <w:t xml:space="preserve"> בחלוקה לערכאות ובתי משפט</w:t>
      </w:r>
      <w:bookmarkEnd w:id="839"/>
      <w:r w:rsidR="007F3A52" w:rsidRPr="00F25744">
        <w:rPr>
          <w:rFonts w:ascii="David" w:hAnsi="David" w:hint="cs"/>
          <w:sz w:val="24"/>
          <w:rtl/>
        </w:rPr>
        <w:t xml:space="preserve"> </w:t>
      </w:r>
    </w:p>
    <w:p w14:paraId="6605A636" w14:textId="77777777" w:rsidR="00E025F4" w:rsidRPr="00F25744" w:rsidRDefault="00E25AE7" w:rsidP="00F171B8">
      <w:pPr>
        <w:spacing w:after="0" w:line="360" w:lineRule="auto"/>
        <w:jc w:val="both"/>
        <w:rPr>
          <w:rFonts w:ascii="David" w:hAnsi="David" w:cs="David"/>
          <w:sz w:val="24"/>
          <w:szCs w:val="24"/>
          <w:rtl/>
        </w:rPr>
      </w:pPr>
      <w:r w:rsidRPr="00F25744">
        <w:rPr>
          <w:noProof/>
        </w:rPr>
        <w:drawing>
          <wp:inline distT="0" distB="0" distL="0" distR="0" wp14:anchorId="452AD0EC" wp14:editId="224A47FF">
            <wp:extent cx="5483864" cy="2828925"/>
            <wp:effectExtent l="0" t="0" r="2540" b="0"/>
            <wp:docPr id="21" name="תמונה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763600" name="Picture 21"/>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5500897" cy="2837712"/>
                    </a:xfrm>
                    <a:prstGeom prst="rect">
                      <a:avLst/>
                    </a:prstGeom>
                    <a:noFill/>
                    <a:ln>
                      <a:noFill/>
                    </a:ln>
                  </pic:spPr>
                </pic:pic>
              </a:graphicData>
            </a:graphic>
          </wp:inline>
        </w:drawing>
      </w:r>
    </w:p>
    <w:p w14:paraId="01C65809" w14:textId="77777777" w:rsidR="00A21B44" w:rsidRPr="00F25744" w:rsidRDefault="00A21B44" w:rsidP="008336F3">
      <w:pPr>
        <w:spacing w:after="0" w:line="240" w:lineRule="auto"/>
        <w:jc w:val="both"/>
        <w:rPr>
          <w:rFonts w:ascii="David" w:hAnsi="David" w:cs="David"/>
          <w:sz w:val="24"/>
          <w:szCs w:val="24"/>
          <w:rtl/>
        </w:rPr>
      </w:pPr>
    </w:p>
    <w:p w14:paraId="312C12C2" w14:textId="77777777" w:rsidR="000237D8" w:rsidRPr="00F25744" w:rsidRDefault="00E25AE7" w:rsidP="00341018">
      <w:pPr>
        <w:spacing w:after="0" w:line="360" w:lineRule="auto"/>
        <w:jc w:val="both"/>
        <w:rPr>
          <w:rFonts w:ascii="David" w:hAnsi="David" w:cs="David"/>
          <w:sz w:val="24"/>
          <w:szCs w:val="24"/>
          <w:rtl/>
        </w:rPr>
      </w:pPr>
      <w:r w:rsidRPr="00F25744">
        <w:rPr>
          <w:rFonts w:ascii="David" w:hAnsi="David" w:cs="David" w:hint="cs"/>
          <w:sz w:val="24"/>
          <w:szCs w:val="24"/>
          <w:rtl/>
        </w:rPr>
        <w:t xml:space="preserve">ניתן לראות, כי בערכאת המחוזי, 78% מהמשיבים ענו כי הם מסכימים או נוטים להסכים עם ההיגדים המעידים על תחושת חוסר איזון בין העבודה והחיים הפרטיים, וכי הם נדרשים לזמינות לעבודה מהבית, לעומת 72% שהשיבו כי הם חשים כך בערכאת השלום. 66% השיבו כי הם חשים חוסר איזון בית העבודה </w:t>
      </w:r>
      <w:r w:rsidR="009051C4" w:rsidRPr="00F25744">
        <w:rPr>
          <w:rFonts w:ascii="David" w:hAnsi="David" w:cs="David" w:hint="cs"/>
          <w:sz w:val="24"/>
          <w:szCs w:val="24"/>
          <w:rtl/>
        </w:rPr>
        <w:t>וחייהם הפרטיים</w:t>
      </w:r>
      <w:r w:rsidRPr="00F25744">
        <w:rPr>
          <w:rFonts w:ascii="David" w:hAnsi="David" w:cs="David" w:hint="cs"/>
          <w:sz w:val="24"/>
          <w:szCs w:val="24"/>
          <w:rtl/>
        </w:rPr>
        <w:t xml:space="preserve"> בבתי המשפט לתעבורה, לעומת 61% משופטי הנוער שהשיבו על השאלון. לעומת זאת ניתן לראות כי 85% משופטי המשפחה הסכימו או נטו להסכים עם ההיגדים העוסקים בחוסר איזון עבודה </w:t>
      </w:r>
      <w:r w:rsidR="009051C4" w:rsidRPr="00F25744">
        <w:rPr>
          <w:rFonts w:ascii="David" w:hAnsi="David" w:cs="David" w:hint="cs"/>
          <w:sz w:val="24"/>
          <w:szCs w:val="24"/>
          <w:rtl/>
        </w:rPr>
        <w:t>וחיים פרטיים</w:t>
      </w:r>
      <w:r w:rsidRPr="00F25744">
        <w:rPr>
          <w:rFonts w:ascii="David" w:hAnsi="David" w:cs="David" w:hint="cs"/>
          <w:sz w:val="24"/>
          <w:szCs w:val="24"/>
          <w:rtl/>
        </w:rPr>
        <w:t>.</w:t>
      </w:r>
    </w:p>
    <w:p w14:paraId="02D86CE2" w14:textId="77777777" w:rsidR="00A2516F" w:rsidRPr="00F25744" w:rsidRDefault="00E25AE7" w:rsidP="00341018">
      <w:pPr>
        <w:spacing w:after="0" w:line="360" w:lineRule="auto"/>
        <w:jc w:val="both"/>
        <w:rPr>
          <w:rFonts w:ascii="David" w:hAnsi="David" w:cs="David"/>
          <w:sz w:val="24"/>
          <w:szCs w:val="24"/>
          <w:lang w:val="en-GB"/>
        </w:rPr>
      </w:pPr>
      <w:r w:rsidRPr="00F25744">
        <w:rPr>
          <w:rFonts w:ascii="David" w:hAnsi="David" w:cs="David" w:hint="cs"/>
          <w:sz w:val="24"/>
          <w:szCs w:val="24"/>
          <w:rtl/>
        </w:rPr>
        <w:t xml:space="preserve">בערכאת העבודה </w:t>
      </w:r>
      <w:r w:rsidR="00341018" w:rsidRPr="00F25744">
        <w:rPr>
          <w:rFonts w:ascii="David" w:hAnsi="David" w:cs="David" w:hint="cs"/>
          <w:sz w:val="24"/>
          <w:szCs w:val="24"/>
          <w:rtl/>
        </w:rPr>
        <w:t>100% מ</w:t>
      </w:r>
      <w:r w:rsidRPr="00F25744">
        <w:rPr>
          <w:rFonts w:ascii="David" w:hAnsi="David" w:cs="David" w:hint="cs"/>
          <w:sz w:val="24"/>
          <w:szCs w:val="24"/>
          <w:rtl/>
        </w:rPr>
        <w:t xml:space="preserve">השופטים והרשמים </w:t>
      </w:r>
      <w:r w:rsidR="00341018" w:rsidRPr="00F25744">
        <w:rPr>
          <w:rFonts w:ascii="David" w:hAnsi="David" w:cs="David" w:hint="cs"/>
          <w:sz w:val="24"/>
          <w:szCs w:val="24"/>
          <w:rtl/>
        </w:rPr>
        <w:t>השיבו כי הם מסכימים או נוטים להסכים עם ההיגד:</w:t>
      </w:r>
      <w:r w:rsidRPr="00F25744">
        <w:rPr>
          <w:rFonts w:ascii="David" w:hAnsi="David" w:cs="David" w:hint="cs"/>
          <w:sz w:val="24"/>
          <w:szCs w:val="24"/>
          <w:rtl/>
        </w:rPr>
        <w:t xml:space="preserve"> </w:t>
      </w:r>
      <w:r w:rsidRPr="00F25744">
        <w:rPr>
          <w:rFonts w:ascii="David" w:hAnsi="David" w:cs="David"/>
          <w:sz w:val="24"/>
          <w:szCs w:val="24"/>
          <w:rtl/>
        </w:rPr>
        <w:t>"לעתים קרובות אני נדרש/ת לזמינות לעבודה לאחר שעות העבודה, ומרבה לעבוד מהבית</w:t>
      </w:r>
      <w:r w:rsidR="00341018" w:rsidRPr="00F25744">
        <w:rPr>
          <w:rFonts w:ascii="David" w:hAnsi="David" w:cs="David" w:hint="cs"/>
          <w:sz w:val="24"/>
          <w:szCs w:val="24"/>
          <w:rtl/>
        </w:rPr>
        <w:t>".</w:t>
      </w:r>
    </w:p>
    <w:p w14:paraId="43D5BA65" w14:textId="77777777" w:rsidR="000237D8" w:rsidRPr="00F25744" w:rsidRDefault="000237D8" w:rsidP="000F00C5">
      <w:pPr>
        <w:spacing w:after="0" w:line="240" w:lineRule="auto"/>
        <w:jc w:val="both"/>
        <w:rPr>
          <w:rFonts w:ascii="David" w:hAnsi="David" w:cs="David"/>
          <w:sz w:val="24"/>
          <w:szCs w:val="24"/>
          <w:rtl/>
        </w:rPr>
      </w:pPr>
    </w:p>
    <w:p w14:paraId="795C998B" w14:textId="77777777" w:rsidR="000237D8" w:rsidRPr="00F25744" w:rsidRDefault="00E25AE7" w:rsidP="000C1408">
      <w:pPr>
        <w:pStyle w:val="3"/>
        <w:ind w:left="852"/>
        <w:rPr>
          <w:rtl/>
        </w:rPr>
      </w:pPr>
      <w:bookmarkStart w:id="840" w:name="_Toc74751035"/>
      <w:r w:rsidRPr="00F25744">
        <w:rPr>
          <w:rFonts w:hint="cs"/>
          <w:rtl/>
        </w:rPr>
        <w:t>חוסר ב</w:t>
      </w:r>
      <w:r w:rsidRPr="00F25744">
        <w:rPr>
          <w:rtl/>
        </w:rPr>
        <w:t>כלי</w:t>
      </w:r>
      <w:r w:rsidRPr="00F25744">
        <w:rPr>
          <w:rFonts w:hint="cs"/>
          <w:rtl/>
        </w:rPr>
        <w:t>ם ל</w:t>
      </w:r>
      <w:r w:rsidRPr="00F25744">
        <w:rPr>
          <w:rtl/>
        </w:rPr>
        <w:t>התמודדות עם העומס</w:t>
      </w:r>
      <w:bookmarkEnd w:id="840"/>
    </w:p>
    <w:p w14:paraId="707B6D11" w14:textId="77777777" w:rsidR="00CE16FD" w:rsidRPr="00F25744" w:rsidRDefault="00E25AE7" w:rsidP="008336F3">
      <w:pPr>
        <w:spacing w:before="120" w:after="0" w:line="360" w:lineRule="auto"/>
        <w:jc w:val="both"/>
        <w:rPr>
          <w:rFonts w:ascii="David" w:hAnsi="David" w:cs="David"/>
          <w:sz w:val="24"/>
          <w:szCs w:val="24"/>
          <w:rtl/>
        </w:rPr>
      </w:pPr>
      <w:r w:rsidRPr="00F25744">
        <w:rPr>
          <w:rFonts w:ascii="David" w:hAnsi="David" w:cs="David"/>
          <w:sz w:val="24"/>
          <w:szCs w:val="24"/>
          <w:rtl/>
        </w:rPr>
        <w:t>ב</w:t>
      </w:r>
      <w:r w:rsidRPr="00F25744">
        <w:rPr>
          <w:rFonts w:ascii="David" w:hAnsi="David" w:cs="David" w:hint="cs"/>
          <w:sz w:val="24"/>
          <w:szCs w:val="24"/>
          <w:rtl/>
        </w:rPr>
        <w:t>יחס</w:t>
      </w:r>
      <w:r w:rsidRPr="00F25744">
        <w:rPr>
          <w:rFonts w:ascii="David" w:hAnsi="David" w:cs="David"/>
          <w:sz w:val="24"/>
          <w:szCs w:val="24"/>
          <w:rtl/>
        </w:rPr>
        <w:t xml:space="preserve"> להיגדים הנוגעים ל</w:t>
      </w:r>
      <w:r w:rsidRPr="00F25744">
        <w:rPr>
          <w:rFonts w:ascii="David" w:hAnsi="David" w:cs="David"/>
          <w:b/>
          <w:bCs/>
          <w:sz w:val="24"/>
          <w:szCs w:val="24"/>
          <w:rtl/>
        </w:rPr>
        <w:t>כלים העומדים לרשות השופטים להתמודדות עם העומס</w:t>
      </w:r>
      <w:r w:rsidRPr="00F25744">
        <w:rPr>
          <w:rFonts w:ascii="David" w:hAnsi="David" w:cs="David"/>
          <w:sz w:val="24"/>
          <w:szCs w:val="24"/>
          <w:rtl/>
        </w:rPr>
        <w:t>, היחס</w:t>
      </w:r>
      <w:r w:rsidRPr="00F25744">
        <w:rPr>
          <w:rFonts w:ascii="David" w:hAnsi="David" w:cs="David" w:hint="cs"/>
          <w:sz w:val="24"/>
          <w:szCs w:val="24"/>
          <w:rtl/>
        </w:rPr>
        <w:t xml:space="preserve"> בין המשיבים</w:t>
      </w:r>
      <w:r w:rsidRPr="00F25744">
        <w:rPr>
          <w:rFonts w:ascii="David" w:hAnsi="David" w:cs="David"/>
          <w:sz w:val="24"/>
          <w:szCs w:val="24"/>
          <w:rtl/>
        </w:rPr>
        <w:t xml:space="preserve"> היה שקול יותר, כאשר</w:t>
      </w:r>
      <w:r w:rsidR="001F2B37" w:rsidRPr="00F25744">
        <w:rPr>
          <w:rFonts w:ascii="David" w:hAnsi="David" w:cs="David" w:hint="cs"/>
          <w:sz w:val="24"/>
          <w:szCs w:val="24"/>
          <w:rtl/>
        </w:rPr>
        <w:t xml:space="preserve"> פחות ממחצית מכלל המשיבים (47%) הסכימו או נטו להסכים עם היגדים אלו</w:t>
      </w:r>
      <w:r w:rsidRPr="00F25744">
        <w:rPr>
          <w:rFonts w:ascii="David" w:hAnsi="David" w:cs="David"/>
          <w:sz w:val="24"/>
          <w:szCs w:val="24"/>
          <w:rtl/>
        </w:rPr>
        <w:t xml:space="preserve">. 62% מהשופטים נטו להסכים כי חסרים כלים שיסייעו </w:t>
      </w:r>
      <w:r w:rsidR="00BB732A" w:rsidRPr="00F25744">
        <w:rPr>
          <w:rFonts w:ascii="David" w:hAnsi="David" w:cs="David"/>
          <w:sz w:val="24"/>
          <w:szCs w:val="24"/>
          <w:rtl/>
        </w:rPr>
        <w:t>ל</w:t>
      </w:r>
      <w:r w:rsidR="00BB732A" w:rsidRPr="00F25744">
        <w:rPr>
          <w:rFonts w:ascii="David" w:hAnsi="David" w:cs="David" w:hint="cs"/>
          <w:sz w:val="24"/>
          <w:szCs w:val="24"/>
          <w:rtl/>
        </w:rPr>
        <w:t>שופט</w:t>
      </w:r>
      <w:r w:rsidR="00BB732A" w:rsidRPr="00F25744">
        <w:rPr>
          <w:rFonts w:ascii="David" w:hAnsi="David" w:cs="David"/>
          <w:sz w:val="24"/>
          <w:szCs w:val="24"/>
          <w:rtl/>
        </w:rPr>
        <w:t xml:space="preserve"> </w:t>
      </w:r>
      <w:r w:rsidRPr="00F25744">
        <w:rPr>
          <w:rFonts w:ascii="David" w:hAnsi="David" w:cs="David"/>
          <w:sz w:val="24"/>
          <w:szCs w:val="24"/>
          <w:rtl/>
        </w:rPr>
        <w:t xml:space="preserve">החווה קושי בשל עומס רגשי או חשיפה לאירועים קשים, מול 34% שנטו שלא להסכים. עם זאת, </w:t>
      </w:r>
      <w:r w:rsidRPr="00F25744">
        <w:rPr>
          <w:rFonts w:ascii="David" w:eastAsia="Times New Roman" w:hAnsi="David" w:cs="David"/>
          <w:color w:val="000000"/>
          <w:sz w:val="24"/>
          <w:szCs w:val="24"/>
          <w:rtl/>
        </w:rPr>
        <w:t>60% מהשופטים סברו כי יש בקרבתם די אנשים שאיתם יוכלו לחלוק את הקשיים והאתגרים בעבודה, ו-51% סברו כי יש די תהליכי למידה או הכוונה כיצד לתעדף משימות שיפוטיות ולייעל את הספק ומשך העבודה.</w:t>
      </w:r>
      <w:r w:rsidRPr="00F25744">
        <w:rPr>
          <w:rFonts w:ascii="David" w:hAnsi="David" w:cs="David"/>
          <w:sz w:val="24"/>
          <w:szCs w:val="24"/>
          <w:rtl/>
        </w:rPr>
        <w:t xml:space="preserve"> </w:t>
      </w:r>
      <w:r w:rsidR="000F00C5" w:rsidRPr="00F25744">
        <w:rPr>
          <w:rFonts w:ascii="David" w:hAnsi="David" w:cs="David" w:hint="cs"/>
          <w:sz w:val="24"/>
          <w:szCs w:val="24"/>
          <w:rtl/>
        </w:rPr>
        <w:t>להלן נציג את התפלגות התשובות לשאלות על חוסר איזון עבודה ופנאי בחלוקה לערכאות ובתי המשפט</w:t>
      </w:r>
      <w:r w:rsidR="007F3A52" w:rsidRPr="00F25744">
        <w:rPr>
          <w:rFonts w:ascii="David" w:hAnsi="David" w:cs="David" w:hint="cs"/>
          <w:sz w:val="24"/>
          <w:szCs w:val="24"/>
          <w:rtl/>
        </w:rPr>
        <w:t>.</w:t>
      </w:r>
    </w:p>
    <w:p w14:paraId="4A1423E1" w14:textId="77777777" w:rsidR="00B82CB5" w:rsidRPr="00F25744" w:rsidRDefault="00B82CB5" w:rsidP="001F2B37">
      <w:pPr>
        <w:spacing w:after="0" w:line="360" w:lineRule="auto"/>
        <w:jc w:val="both"/>
        <w:rPr>
          <w:rFonts w:ascii="David" w:hAnsi="David" w:cs="David"/>
          <w:sz w:val="24"/>
          <w:szCs w:val="24"/>
          <w:rtl/>
        </w:rPr>
      </w:pPr>
    </w:p>
    <w:p w14:paraId="01B14E93" w14:textId="77777777" w:rsidR="00B82CB5" w:rsidRPr="00F25744" w:rsidRDefault="00B82CB5" w:rsidP="001F2B37">
      <w:pPr>
        <w:spacing w:after="0" w:line="360" w:lineRule="auto"/>
        <w:jc w:val="both"/>
        <w:rPr>
          <w:rFonts w:ascii="David" w:hAnsi="David" w:cs="David"/>
          <w:sz w:val="24"/>
          <w:szCs w:val="24"/>
          <w:rtl/>
        </w:rPr>
      </w:pPr>
    </w:p>
    <w:p w14:paraId="0A201D18" w14:textId="77777777" w:rsidR="00AC1351" w:rsidRPr="00F25744" w:rsidRDefault="00AC1351" w:rsidP="001F2B37">
      <w:pPr>
        <w:spacing w:after="0" w:line="360" w:lineRule="auto"/>
        <w:jc w:val="both"/>
        <w:rPr>
          <w:rFonts w:ascii="David" w:hAnsi="David" w:cs="David"/>
          <w:sz w:val="24"/>
          <w:szCs w:val="24"/>
          <w:rtl/>
        </w:rPr>
      </w:pPr>
    </w:p>
    <w:p w14:paraId="0D08E456" w14:textId="77777777" w:rsidR="009051C4" w:rsidRPr="00F25744" w:rsidRDefault="009051C4" w:rsidP="003600DE">
      <w:pPr>
        <w:spacing w:after="0" w:line="240" w:lineRule="auto"/>
        <w:jc w:val="both"/>
        <w:rPr>
          <w:rFonts w:ascii="David" w:hAnsi="David" w:cs="David"/>
          <w:sz w:val="24"/>
          <w:szCs w:val="24"/>
          <w:rtl/>
        </w:rPr>
      </w:pPr>
    </w:p>
    <w:p w14:paraId="292C6DB5" w14:textId="49EAAD04" w:rsidR="000F00C5" w:rsidRPr="00F25744" w:rsidRDefault="008534FC" w:rsidP="008534FC">
      <w:pPr>
        <w:pStyle w:val="af6"/>
        <w:rPr>
          <w:rFonts w:ascii="David" w:hAnsi="David"/>
          <w:b w:val="0"/>
          <w:bCs w:val="0"/>
          <w:sz w:val="24"/>
          <w:rtl/>
        </w:rPr>
      </w:pPr>
      <w:bookmarkStart w:id="841" w:name="_Toc76988542"/>
      <w:r w:rsidRPr="00F25744">
        <w:rPr>
          <w:rtl/>
        </w:rPr>
        <w:lastRenderedPageBreak/>
        <w:t xml:space="preserve">תרשים </w:t>
      </w:r>
      <w:r w:rsidRPr="00F25744">
        <w:rPr>
          <w:rtl/>
        </w:rPr>
        <w:fldChar w:fldCharType="begin"/>
      </w:r>
      <w:r w:rsidRPr="00F25744">
        <w:rPr>
          <w:rtl/>
        </w:rPr>
        <w:instrText xml:space="preserve"> </w:instrText>
      </w:r>
      <w:r w:rsidRPr="00F25744">
        <w:instrText>SEQ</w:instrText>
      </w:r>
      <w:r w:rsidRPr="00F25744">
        <w:rPr>
          <w:rtl/>
        </w:rPr>
        <w:instrText xml:space="preserve"> תרשים \* </w:instrText>
      </w:r>
      <w:r w:rsidRPr="00F25744">
        <w:instrText>ARABIC</w:instrText>
      </w:r>
      <w:r w:rsidRPr="00F25744">
        <w:rPr>
          <w:rtl/>
        </w:rPr>
        <w:instrText xml:space="preserve"> </w:instrText>
      </w:r>
      <w:r w:rsidRPr="00F25744">
        <w:rPr>
          <w:rtl/>
        </w:rPr>
        <w:fldChar w:fldCharType="separate"/>
      </w:r>
      <w:r w:rsidR="008F1BC3">
        <w:rPr>
          <w:noProof/>
          <w:rtl/>
        </w:rPr>
        <w:t>21</w:t>
      </w:r>
      <w:r w:rsidRPr="00F25744">
        <w:rPr>
          <w:rtl/>
        </w:rPr>
        <w:fldChar w:fldCharType="end"/>
      </w:r>
      <w:r w:rsidR="00CE16FD" w:rsidRPr="00F25744">
        <w:rPr>
          <w:rFonts w:ascii="David" w:hAnsi="David" w:hint="cs"/>
          <w:sz w:val="24"/>
          <w:rtl/>
        </w:rPr>
        <w:t>: מידת ההסכמה של השופטים והרשמים עם היגדים בנושא כלים להתמודדות עם העומס בחלוקה לערכאות ובתי משפט</w:t>
      </w:r>
      <w:bookmarkEnd w:id="841"/>
      <w:r w:rsidR="00CE16FD" w:rsidRPr="00F25744">
        <w:rPr>
          <w:rFonts w:ascii="David" w:hAnsi="David" w:hint="cs"/>
          <w:b w:val="0"/>
          <w:bCs w:val="0"/>
          <w:sz w:val="24"/>
          <w:rtl/>
        </w:rPr>
        <w:t xml:space="preserve"> </w:t>
      </w:r>
    </w:p>
    <w:p w14:paraId="2879855C" w14:textId="77777777" w:rsidR="000F00C5" w:rsidRPr="00F25744" w:rsidRDefault="00E25AE7" w:rsidP="002500B8">
      <w:pPr>
        <w:spacing w:after="0" w:line="360" w:lineRule="auto"/>
        <w:jc w:val="both"/>
        <w:rPr>
          <w:rFonts w:ascii="David" w:hAnsi="David" w:cs="David"/>
          <w:sz w:val="24"/>
          <w:szCs w:val="24"/>
          <w:rtl/>
        </w:rPr>
      </w:pPr>
      <w:r w:rsidRPr="00F25744">
        <w:rPr>
          <w:noProof/>
        </w:rPr>
        <w:drawing>
          <wp:inline distT="0" distB="0" distL="0" distR="0" wp14:anchorId="3BA27F3C" wp14:editId="62B932B4">
            <wp:extent cx="5483860" cy="2571750"/>
            <wp:effectExtent l="0" t="0" r="2540" b="0"/>
            <wp:docPr id="22" name="תמונה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258886" name="Picture 22"/>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5502659" cy="2580566"/>
                    </a:xfrm>
                    <a:prstGeom prst="rect">
                      <a:avLst/>
                    </a:prstGeom>
                    <a:noFill/>
                    <a:ln>
                      <a:noFill/>
                    </a:ln>
                  </pic:spPr>
                </pic:pic>
              </a:graphicData>
            </a:graphic>
          </wp:inline>
        </w:drawing>
      </w:r>
    </w:p>
    <w:p w14:paraId="58FDEDBE" w14:textId="77777777" w:rsidR="00E025F4" w:rsidRPr="00F25744" w:rsidRDefault="00E025F4" w:rsidP="008336F3">
      <w:pPr>
        <w:spacing w:after="0" w:line="240" w:lineRule="auto"/>
        <w:jc w:val="both"/>
        <w:rPr>
          <w:rFonts w:ascii="David" w:hAnsi="David" w:cs="David"/>
          <w:sz w:val="24"/>
          <w:szCs w:val="24"/>
          <w:rtl/>
        </w:rPr>
      </w:pPr>
    </w:p>
    <w:p w14:paraId="20966B44" w14:textId="77777777" w:rsidR="000F00C5" w:rsidRPr="00F25744" w:rsidRDefault="00E25AE7" w:rsidP="00341018">
      <w:pPr>
        <w:spacing w:after="0" w:line="360" w:lineRule="auto"/>
        <w:jc w:val="both"/>
        <w:rPr>
          <w:rFonts w:ascii="David" w:hAnsi="David" w:cs="David"/>
          <w:sz w:val="24"/>
          <w:szCs w:val="24"/>
          <w:rtl/>
        </w:rPr>
      </w:pPr>
      <w:r w:rsidRPr="00F25744">
        <w:rPr>
          <w:rFonts w:ascii="David" w:hAnsi="David" w:cs="David" w:hint="cs"/>
          <w:sz w:val="24"/>
          <w:szCs w:val="24"/>
          <w:rtl/>
        </w:rPr>
        <w:t xml:space="preserve">ניתן לראות, כי בערכאת המחוזי, 42% </w:t>
      </w:r>
      <w:r w:rsidR="00E9088F" w:rsidRPr="00F25744">
        <w:rPr>
          <w:rFonts w:ascii="David" w:hAnsi="David" w:cs="David" w:hint="cs"/>
          <w:sz w:val="24"/>
          <w:szCs w:val="24"/>
          <w:rtl/>
        </w:rPr>
        <w:t xml:space="preserve">בלבד </w:t>
      </w:r>
      <w:r w:rsidRPr="00F25744">
        <w:rPr>
          <w:rFonts w:ascii="David" w:hAnsi="David" w:cs="David" w:hint="cs"/>
          <w:sz w:val="24"/>
          <w:szCs w:val="24"/>
          <w:rtl/>
        </w:rPr>
        <w:t>מה</w:t>
      </w:r>
      <w:r w:rsidR="00E9088F" w:rsidRPr="00F25744">
        <w:rPr>
          <w:rFonts w:ascii="David" w:hAnsi="David" w:cs="David" w:hint="cs"/>
          <w:sz w:val="24"/>
          <w:szCs w:val="24"/>
          <w:rtl/>
        </w:rPr>
        <w:t>משיבים הסכימו או נטו להסכים עם ההיגדים העוסקים בחוסר בכלים להתמודדות עם העומס, לעומת מחצית משופטי השלום שהשיבו על השאלון</w:t>
      </w:r>
      <w:r w:rsidR="00341018" w:rsidRPr="00F25744">
        <w:rPr>
          <w:rFonts w:ascii="David" w:hAnsi="David" w:cs="David" w:hint="cs"/>
          <w:sz w:val="24"/>
          <w:szCs w:val="24"/>
          <w:rtl/>
        </w:rPr>
        <w:t>, אשר ה</w:t>
      </w:r>
      <w:r w:rsidR="00E9088F" w:rsidRPr="00F25744">
        <w:rPr>
          <w:rFonts w:ascii="David" w:hAnsi="David" w:cs="David" w:hint="cs"/>
          <w:sz w:val="24"/>
          <w:szCs w:val="24"/>
          <w:rtl/>
        </w:rPr>
        <w:t xml:space="preserve">סכימו או נטו להסכים עם היגדים אלו. מבין שופטי התעבורה שהשיבו על השאלון, 38% בלבד הסכימו או נטו להסכים עם ההיגדים, לעומת 57% משופטי המשפחה שהשיבו על השאלון. אחוזי ההסכמה הגבוהים ביחס להיגדים העוסקים בחוסר בכלי התמודדות עם העומס נרשמו מקרב שופטי הנוער </w:t>
      </w:r>
      <w:r w:rsidR="00E9088F" w:rsidRPr="00F25744">
        <w:rPr>
          <w:rFonts w:ascii="David" w:hAnsi="David" w:cs="David"/>
          <w:sz w:val="24"/>
          <w:szCs w:val="24"/>
          <w:rtl/>
        </w:rPr>
        <w:t>–</w:t>
      </w:r>
      <w:r w:rsidR="00E9088F" w:rsidRPr="00F25744">
        <w:rPr>
          <w:rFonts w:ascii="David" w:hAnsi="David" w:cs="David" w:hint="cs"/>
          <w:sz w:val="24"/>
          <w:szCs w:val="24"/>
          <w:rtl/>
        </w:rPr>
        <w:t xml:space="preserve"> 70% אשר ענו כי הם מסכימים או נוטים להסכים עם היגדים אלו.</w:t>
      </w:r>
      <w:r w:rsidRPr="00F25744">
        <w:rPr>
          <w:rFonts w:ascii="David" w:hAnsi="David" w:cs="David" w:hint="cs"/>
          <w:sz w:val="24"/>
          <w:szCs w:val="24"/>
          <w:rtl/>
        </w:rPr>
        <w:t xml:space="preserve"> </w:t>
      </w:r>
    </w:p>
    <w:p w14:paraId="459DCFFE" w14:textId="77777777" w:rsidR="003600DE" w:rsidRPr="00F25744" w:rsidRDefault="00E25AE7" w:rsidP="00341018">
      <w:pPr>
        <w:spacing w:after="0" w:line="360" w:lineRule="auto"/>
        <w:jc w:val="both"/>
        <w:rPr>
          <w:rFonts w:ascii="David" w:hAnsi="David" w:cs="David"/>
          <w:sz w:val="24"/>
          <w:szCs w:val="24"/>
          <w:rtl/>
          <w:lang w:val="en-GB"/>
        </w:rPr>
      </w:pPr>
      <w:r w:rsidRPr="00F25744">
        <w:rPr>
          <w:rFonts w:ascii="David" w:hAnsi="David" w:cs="David" w:hint="cs"/>
          <w:sz w:val="24"/>
          <w:szCs w:val="24"/>
          <w:rtl/>
        </w:rPr>
        <w:t xml:space="preserve">בערכאת העבודה </w:t>
      </w:r>
      <w:r w:rsidR="00341018" w:rsidRPr="00F25744">
        <w:rPr>
          <w:rFonts w:ascii="David" w:hAnsi="David" w:cs="David" w:hint="cs"/>
          <w:sz w:val="24"/>
          <w:szCs w:val="24"/>
          <w:rtl/>
          <w:lang w:val="en-GB"/>
        </w:rPr>
        <w:t xml:space="preserve">62% מהשופטים ענו כי הם מסכימים או נוטים להסכים עם היגד: </w:t>
      </w:r>
      <w:r w:rsidR="00341018" w:rsidRPr="00F25744">
        <w:rPr>
          <w:rFonts w:ascii="David" w:hAnsi="David" w:cs="David" w:hint="cs"/>
          <w:sz w:val="24"/>
          <w:szCs w:val="24"/>
          <w:rtl/>
        </w:rPr>
        <w:t>"חסר</w:t>
      </w:r>
      <w:r w:rsidRPr="00F25744">
        <w:rPr>
          <w:rFonts w:ascii="David" w:hAnsi="David" w:cs="David" w:hint="cs"/>
          <w:sz w:val="24"/>
          <w:szCs w:val="24"/>
          <w:rtl/>
        </w:rPr>
        <w:t>ים</w:t>
      </w:r>
      <w:r w:rsidRPr="00F25744">
        <w:rPr>
          <w:rFonts w:ascii="David" w:hAnsi="David" w:cs="David"/>
          <w:sz w:val="24"/>
          <w:szCs w:val="24"/>
          <w:rtl/>
        </w:rPr>
        <w:t xml:space="preserve"> </w:t>
      </w:r>
      <w:r w:rsidRPr="00F25744">
        <w:rPr>
          <w:rFonts w:ascii="David" w:hAnsi="David" w:cs="David" w:hint="cs"/>
          <w:sz w:val="24"/>
          <w:szCs w:val="24"/>
          <w:rtl/>
        </w:rPr>
        <w:t>תהליכי</w:t>
      </w:r>
      <w:r w:rsidRPr="00F25744">
        <w:rPr>
          <w:rFonts w:ascii="David" w:hAnsi="David" w:cs="David"/>
          <w:sz w:val="24"/>
          <w:szCs w:val="24"/>
          <w:rtl/>
        </w:rPr>
        <w:t xml:space="preserve"> </w:t>
      </w:r>
      <w:r w:rsidRPr="00F25744">
        <w:rPr>
          <w:rFonts w:ascii="David" w:hAnsi="David" w:cs="David" w:hint="cs"/>
          <w:sz w:val="24"/>
          <w:szCs w:val="24"/>
          <w:rtl/>
        </w:rPr>
        <w:t>למידה</w:t>
      </w:r>
      <w:r w:rsidRPr="00F25744">
        <w:rPr>
          <w:rFonts w:ascii="David" w:hAnsi="David" w:cs="David"/>
          <w:sz w:val="24"/>
          <w:szCs w:val="24"/>
          <w:rtl/>
        </w:rPr>
        <w:t xml:space="preserve"> </w:t>
      </w:r>
      <w:r w:rsidRPr="00F25744">
        <w:rPr>
          <w:rFonts w:ascii="David" w:hAnsi="David" w:cs="David" w:hint="cs"/>
          <w:sz w:val="24"/>
          <w:szCs w:val="24"/>
          <w:rtl/>
        </w:rPr>
        <w:t>או</w:t>
      </w:r>
      <w:r w:rsidRPr="00F25744">
        <w:rPr>
          <w:rFonts w:ascii="David" w:hAnsi="David" w:cs="David"/>
          <w:sz w:val="24"/>
          <w:szCs w:val="24"/>
          <w:rtl/>
        </w:rPr>
        <w:t xml:space="preserve"> </w:t>
      </w:r>
      <w:r w:rsidRPr="00F25744">
        <w:rPr>
          <w:rFonts w:ascii="David" w:hAnsi="David" w:cs="David" w:hint="cs"/>
          <w:sz w:val="24"/>
          <w:szCs w:val="24"/>
          <w:rtl/>
        </w:rPr>
        <w:t>הכוונה</w:t>
      </w:r>
      <w:r w:rsidRPr="00F25744">
        <w:rPr>
          <w:rFonts w:ascii="David" w:hAnsi="David" w:cs="David"/>
          <w:sz w:val="24"/>
          <w:szCs w:val="24"/>
          <w:rtl/>
        </w:rPr>
        <w:t xml:space="preserve"> </w:t>
      </w:r>
      <w:r w:rsidRPr="00F25744">
        <w:rPr>
          <w:rFonts w:ascii="David" w:hAnsi="David" w:cs="David" w:hint="cs"/>
          <w:sz w:val="24"/>
          <w:szCs w:val="24"/>
          <w:rtl/>
        </w:rPr>
        <w:t>כיצד</w:t>
      </w:r>
      <w:r w:rsidRPr="00F25744">
        <w:rPr>
          <w:rFonts w:ascii="David" w:hAnsi="David" w:cs="David"/>
          <w:sz w:val="24"/>
          <w:szCs w:val="24"/>
          <w:rtl/>
        </w:rPr>
        <w:t xml:space="preserve"> </w:t>
      </w:r>
      <w:r w:rsidRPr="00F25744">
        <w:rPr>
          <w:rFonts w:ascii="David" w:hAnsi="David" w:cs="David" w:hint="cs"/>
          <w:sz w:val="24"/>
          <w:szCs w:val="24"/>
          <w:rtl/>
        </w:rPr>
        <w:t>לתעדף</w:t>
      </w:r>
      <w:r w:rsidRPr="00F25744">
        <w:rPr>
          <w:rFonts w:ascii="David" w:hAnsi="David" w:cs="David"/>
          <w:sz w:val="24"/>
          <w:szCs w:val="24"/>
          <w:rtl/>
        </w:rPr>
        <w:t xml:space="preserve"> </w:t>
      </w:r>
      <w:r w:rsidRPr="00F25744">
        <w:rPr>
          <w:rFonts w:ascii="David" w:hAnsi="David" w:cs="David" w:hint="cs"/>
          <w:sz w:val="24"/>
          <w:szCs w:val="24"/>
          <w:rtl/>
        </w:rPr>
        <w:t>משימות</w:t>
      </w:r>
      <w:r w:rsidRPr="00F25744">
        <w:rPr>
          <w:rFonts w:ascii="David" w:hAnsi="David" w:cs="David"/>
          <w:sz w:val="24"/>
          <w:szCs w:val="24"/>
          <w:rtl/>
        </w:rPr>
        <w:t xml:space="preserve"> </w:t>
      </w:r>
      <w:r w:rsidRPr="00F25744">
        <w:rPr>
          <w:rFonts w:ascii="David" w:hAnsi="David" w:cs="David" w:hint="cs"/>
          <w:sz w:val="24"/>
          <w:szCs w:val="24"/>
          <w:rtl/>
        </w:rPr>
        <w:t>שיפוטיות</w:t>
      </w:r>
      <w:r w:rsidRPr="00F25744">
        <w:rPr>
          <w:rFonts w:ascii="David" w:hAnsi="David" w:cs="David"/>
          <w:sz w:val="24"/>
          <w:szCs w:val="24"/>
          <w:rtl/>
        </w:rPr>
        <w:t xml:space="preserve"> </w:t>
      </w:r>
      <w:r w:rsidRPr="00F25744">
        <w:rPr>
          <w:rFonts w:ascii="David" w:hAnsi="David" w:cs="David" w:hint="cs"/>
          <w:sz w:val="24"/>
          <w:szCs w:val="24"/>
          <w:rtl/>
        </w:rPr>
        <w:t>ולייעל</w:t>
      </w:r>
      <w:r w:rsidRPr="00F25744">
        <w:rPr>
          <w:rFonts w:ascii="David" w:hAnsi="David" w:cs="David"/>
          <w:sz w:val="24"/>
          <w:szCs w:val="24"/>
          <w:rtl/>
        </w:rPr>
        <w:t xml:space="preserve"> </w:t>
      </w:r>
      <w:r w:rsidRPr="00F25744">
        <w:rPr>
          <w:rFonts w:ascii="David" w:hAnsi="David" w:cs="David" w:hint="cs"/>
          <w:sz w:val="24"/>
          <w:szCs w:val="24"/>
          <w:rtl/>
        </w:rPr>
        <w:t>את</w:t>
      </w:r>
      <w:r w:rsidRPr="00F25744">
        <w:rPr>
          <w:rFonts w:ascii="David" w:hAnsi="David" w:cs="David"/>
          <w:sz w:val="24"/>
          <w:szCs w:val="24"/>
          <w:rtl/>
        </w:rPr>
        <w:t xml:space="preserve"> </w:t>
      </w:r>
      <w:r w:rsidRPr="00F25744">
        <w:rPr>
          <w:rFonts w:ascii="David" w:hAnsi="David" w:cs="David" w:hint="cs"/>
          <w:sz w:val="24"/>
          <w:szCs w:val="24"/>
          <w:rtl/>
        </w:rPr>
        <w:t>הספק</w:t>
      </w:r>
      <w:r w:rsidRPr="00F25744">
        <w:rPr>
          <w:rFonts w:ascii="David" w:hAnsi="David" w:cs="David"/>
          <w:sz w:val="24"/>
          <w:szCs w:val="24"/>
          <w:rtl/>
        </w:rPr>
        <w:t xml:space="preserve"> </w:t>
      </w:r>
      <w:r w:rsidRPr="00F25744">
        <w:rPr>
          <w:rFonts w:ascii="David" w:hAnsi="David" w:cs="David" w:hint="cs"/>
          <w:sz w:val="24"/>
          <w:szCs w:val="24"/>
          <w:rtl/>
        </w:rPr>
        <w:t>ומשך</w:t>
      </w:r>
      <w:r w:rsidRPr="00F25744">
        <w:rPr>
          <w:rFonts w:ascii="David" w:hAnsi="David" w:cs="David"/>
          <w:sz w:val="24"/>
          <w:szCs w:val="24"/>
          <w:rtl/>
        </w:rPr>
        <w:t xml:space="preserve"> </w:t>
      </w:r>
      <w:r w:rsidRPr="00F25744">
        <w:rPr>
          <w:rFonts w:ascii="David" w:hAnsi="David" w:cs="David" w:hint="cs"/>
          <w:sz w:val="24"/>
          <w:szCs w:val="24"/>
          <w:rtl/>
        </w:rPr>
        <w:t>העבודה</w:t>
      </w:r>
      <w:r w:rsidRPr="00F25744">
        <w:rPr>
          <w:rFonts w:ascii="David" w:hAnsi="David" w:cs="David"/>
          <w:sz w:val="24"/>
          <w:szCs w:val="24"/>
          <w:rtl/>
        </w:rPr>
        <w:t>"</w:t>
      </w:r>
      <w:r w:rsidRPr="00F25744">
        <w:rPr>
          <w:rFonts w:ascii="David" w:hAnsi="David" w:cs="David" w:hint="cs"/>
          <w:sz w:val="24"/>
          <w:szCs w:val="24"/>
          <w:rtl/>
          <w:lang w:val="en-GB"/>
        </w:rPr>
        <w:t xml:space="preserve">. </w:t>
      </w:r>
    </w:p>
    <w:p w14:paraId="52411744" w14:textId="77777777" w:rsidR="00341018" w:rsidRPr="00F25744" w:rsidRDefault="00341018" w:rsidP="003600DE">
      <w:pPr>
        <w:spacing w:after="0" w:line="240" w:lineRule="auto"/>
        <w:jc w:val="both"/>
        <w:rPr>
          <w:rFonts w:ascii="David" w:hAnsi="David" w:cs="David"/>
          <w:sz w:val="24"/>
          <w:szCs w:val="24"/>
          <w:rtl/>
          <w:lang w:val="en-GB"/>
        </w:rPr>
      </w:pPr>
    </w:p>
    <w:p w14:paraId="26267D4C" w14:textId="77777777" w:rsidR="000F00C5" w:rsidRPr="00F25744" w:rsidRDefault="00E25AE7" w:rsidP="000C1408">
      <w:pPr>
        <w:pStyle w:val="3"/>
        <w:ind w:left="852"/>
        <w:rPr>
          <w:u w:val="single"/>
          <w:rtl/>
        </w:rPr>
      </w:pPr>
      <w:bookmarkStart w:id="842" w:name="_Toc74751036"/>
      <w:r w:rsidRPr="00F25744">
        <w:rPr>
          <w:rFonts w:hint="cs"/>
          <w:u w:val="single"/>
          <w:rtl/>
        </w:rPr>
        <w:t>הכרח להדחיק רגשות</w:t>
      </w:r>
      <w:bookmarkEnd w:id="842"/>
    </w:p>
    <w:p w14:paraId="2DA18E2C" w14:textId="77777777" w:rsidR="00CE16FD" w:rsidRPr="00F25744" w:rsidRDefault="00E25AE7" w:rsidP="008336F3">
      <w:pPr>
        <w:spacing w:before="120" w:after="0" w:line="360" w:lineRule="auto"/>
        <w:jc w:val="both"/>
        <w:rPr>
          <w:rFonts w:ascii="David" w:hAnsi="David" w:cs="David"/>
          <w:sz w:val="24"/>
          <w:szCs w:val="24"/>
          <w:rtl/>
        </w:rPr>
      </w:pPr>
      <w:r w:rsidRPr="00F25744">
        <w:rPr>
          <w:rFonts w:ascii="David" w:eastAsia="Times New Roman" w:hAnsi="David" w:cs="David" w:hint="cs"/>
          <w:color w:val="000000"/>
          <w:sz w:val="24"/>
          <w:szCs w:val="24"/>
          <w:rtl/>
        </w:rPr>
        <w:t>59</w:t>
      </w:r>
      <w:r w:rsidRPr="00F25744">
        <w:rPr>
          <w:rFonts w:ascii="David" w:hAnsi="David" w:cs="David"/>
          <w:sz w:val="24"/>
          <w:szCs w:val="24"/>
          <w:rtl/>
        </w:rPr>
        <w:t xml:space="preserve">% מהשופטים </w:t>
      </w:r>
      <w:r w:rsidRPr="00F25744">
        <w:rPr>
          <w:rFonts w:ascii="David" w:hAnsi="David" w:cs="David" w:hint="cs"/>
          <w:sz w:val="24"/>
          <w:szCs w:val="24"/>
          <w:rtl/>
        </w:rPr>
        <w:t xml:space="preserve">שהשיבו על השאלון הסכימו או </w:t>
      </w:r>
      <w:r w:rsidRPr="00F25744">
        <w:rPr>
          <w:rFonts w:ascii="David" w:hAnsi="David" w:cs="David"/>
          <w:sz w:val="24"/>
          <w:szCs w:val="24"/>
          <w:rtl/>
        </w:rPr>
        <w:t>נטו להסכים כי הם צריכים להסתיר ולהדחיק את רגשותיהם האמתיים בעת מילוי תפקידם, מול 3</w:t>
      </w:r>
      <w:r w:rsidRPr="00F25744">
        <w:rPr>
          <w:rFonts w:ascii="David" w:hAnsi="David" w:cs="David" w:hint="cs"/>
          <w:sz w:val="24"/>
          <w:szCs w:val="24"/>
          <w:rtl/>
        </w:rPr>
        <w:t>7</w:t>
      </w:r>
      <w:r w:rsidRPr="00F25744">
        <w:rPr>
          <w:rFonts w:ascii="David" w:hAnsi="David" w:cs="David"/>
          <w:sz w:val="24"/>
          <w:szCs w:val="24"/>
          <w:rtl/>
        </w:rPr>
        <w:t>% ש</w:t>
      </w:r>
      <w:r w:rsidRPr="00F25744">
        <w:rPr>
          <w:rFonts w:ascii="David" w:hAnsi="David" w:cs="David" w:hint="cs"/>
          <w:sz w:val="24"/>
          <w:szCs w:val="24"/>
          <w:rtl/>
        </w:rPr>
        <w:t xml:space="preserve">לא הסכימו או </w:t>
      </w:r>
      <w:r w:rsidRPr="00F25744">
        <w:rPr>
          <w:rFonts w:ascii="David" w:hAnsi="David" w:cs="David"/>
          <w:sz w:val="24"/>
          <w:szCs w:val="24"/>
          <w:rtl/>
        </w:rPr>
        <w:t>נטו שלא להסכים</w:t>
      </w:r>
      <w:r w:rsidRPr="00F25744">
        <w:rPr>
          <w:rFonts w:ascii="David" w:hAnsi="David" w:cs="David" w:hint="cs"/>
          <w:sz w:val="24"/>
          <w:szCs w:val="24"/>
          <w:rtl/>
        </w:rPr>
        <w:t xml:space="preserve"> עם היגד זה</w:t>
      </w:r>
      <w:r w:rsidRPr="00F25744">
        <w:rPr>
          <w:rFonts w:ascii="David" w:hAnsi="David" w:cs="David"/>
          <w:sz w:val="24"/>
          <w:szCs w:val="24"/>
          <w:rtl/>
        </w:rPr>
        <w:t>.</w:t>
      </w:r>
      <w:r w:rsidRPr="00F25744">
        <w:rPr>
          <w:rStyle w:val="a6"/>
          <w:rFonts w:ascii="David" w:hAnsi="David" w:cs="David"/>
          <w:sz w:val="24"/>
          <w:szCs w:val="24"/>
          <w:rtl/>
        </w:rPr>
        <w:footnoteReference w:id="41"/>
      </w:r>
    </w:p>
    <w:p w14:paraId="00C5A118" w14:textId="77777777" w:rsidR="00AA076E" w:rsidRPr="00F25744" w:rsidRDefault="00AA076E" w:rsidP="00CE16FD">
      <w:pPr>
        <w:spacing w:after="0" w:line="360" w:lineRule="auto"/>
        <w:jc w:val="both"/>
        <w:rPr>
          <w:rFonts w:ascii="David" w:hAnsi="David" w:cs="David"/>
          <w:sz w:val="24"/>
          <w:szCs w:val="24"/>
          <w:rtl/>
        </w:rPr>
      </w:pPr>
    </w:p>
    <w:p w14:paraId="5F521F97" w14:textId="3B316F18" w:rsidR="00CE16FD" w:rsidRPr="00F25744" w:rsidRDefault="008534FC" w:rsidP="008534FC">
      <w:pPr>
        <w:pStyle w:val="af6"/>
        <w:rPr>
          <w:rFonts w:ascii="David" w:hAnsi="David"/>
          <w:sz w:val="24"/>
          <w:rtl/>
        </w:rPr>
      </w:pPr>
      <w:bookmarkStart w:id="843" w:name="_Toc76988543"/>
      <w:r w:rsidRPr="00F25744">
        <w:rPr>
          <w:rtl/>
        </w:rPr>
        <w:t xml:space="preserve">תרשים </w:t>
      </w:r>
      <w:r w:rsidRPr="00F25744">
        <w:rPr>
          <w:rtl/>
        </w:rPr>
        <w:fldChar w:fldCharType="begin"/>
      </w:r>
      <w:r w:rsidRPr="00F25744">
        <w:rPr>
          <w:rtl/>
        </w:rPr>
        <w:instrText xml:space="preserve"> </w:instrText>
      </w:r>
      <w:r w:rsidRPr="00F25744">
        <w:instrText>SEQ</w:instrText>
      </w:r>
      <w:r w:rsidRPr="00F25744">
        <w:rPr>
          <w:rtl/>
        </w:rPr>
        <w:instrText xml:space="preserve"> תרשים \* </w:instrText>
      </w:r>
      <w:r w:rsidRPr="00F25744">
        <w:instrText>ARABIC</w:instrText>
      </w:r>
      <w:r w:rsidRPr="00F25744">
        <w:rPr>
          <w:rtl/>
        </w:rPr>
        <w:instrText xml:space="preserve"> </w:instrText>
      </w:r>
      <w:r w:rsidRPr="00F25744">
        <w:rPr>
          <w:rtl/>
        </w:rPr>
        <w:fldChar w:fldCharType="separate"/>
      </w:r>
      <w:r w:rsidR="008F1BC3">
        <w:rPr>
          <w:noProof/>
          <w:rtl/>
        </w:rPr>
        <w:t>22</w:t>
      </w:r>
      <w:r w:rsidRPr="00F25744">
        <w:rPr>
          <w:rtl/>
        </w:rPr>
        <w:fldChar w:fldCharType="end"/>
      </w:r>
      <w:r w:rsidR="007F3A52" w:rsidRPr="00F25744">
        <w:rPr>
          <w:rFonts w:ascii="David" w:hAnsi="David" w:hint="cs"/>
          <w:sz w:val="24"/>
          <w:rtl/>
        </w:rPr>
        <w:t>: מידת ההסכמה של השופטים והרשמים עם היגד בנושא הדחקת רגשות במבט מערכתי</w:t>
      </w:r>
      <w:bookmarkEnd w:id="843"/>
    </w:p>
    <w:p w14:paraId="6C92D226" w14:textId="77777777" w:rsidR="000F00C5" w:rsidRPr="00F25744" w:rsidRDefault="00E25AE7" w:rsidP="00E21139">
      <w:pPr>
        <w:spacing w:after="0" w:line="360" w:lineRule="auto"/>
        <w:jc w:val="both"/>
        <w:rPr>
          <w:rFonts w:ascii="David" w:hAnsi="David" w:cs="David"/>
          <w:sz w:val="24"/>
          <w:szCs w:val="24"/>
          <w:rtl/>
        </w:rPr>
      </w:pPr>
      <w:r w:rsidRPr="00F25744">
        <w:rPr>
          <w:rFonts w:ascii="David" w:hAnsi="David" w:cs="David"/>
          <w:noProof/>
          <w:sz w:val="24"/>
          <w:szCs w:val="24"/>
        </w:rPr>
        <w:drawing>
          <wp:inline distT="0" distB="0" distL="0" distR="0" wp14:anchorId="38BC2EE4" wp14:editId="39EFFC79">
            <wp:extent cx="5577057" cy="1343025"/>
            <wp:effectExtent l="0" t="0" r="5080" b="0"/>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360266" name="Picture 23"/>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5668566" cy="1365062"/>
                    </a:xfrm>
                    <a:prstGeom prst="rect">
                      <a:avLst/>
                    </a:prstGeom>
                    <a:noFill/>
                    <a:ln>
                      <a:noFill/>
                    </a:ln>
                  </pic:spPr>
                </pic:pic>
              </a:graphicData>
            </a:graphic>
          </wp:inline>
        </w:drawing>
      </w:r>
    </w:p>
    <w:p w14:paraId="05FCD3DD" w14:textId="77777777" w:rsidR="00395EEF" w:rsidRPr="00F25744" w:rsidRDefault="00E25AE7" w:rsidP="000C1408">
      <w:pPr>
        <w:pStyle w:val="3"/>
        <w:ind w:left="852"/>
        <w:rPr>
          <w:u w:val="single"/>
          <w:rtl/>
        </w:rPr>
      </w:pPr>
      <w:bookmarkStart w:id="844" w:name="_Toc74751037"/>
      <w:r w:rsidRPr="00F25744">
        <w:rPr>
          <w:rFonts w:hint="cs"/>
          <w:u w:val="single"/>
          <w:rtl/>
        </w:rPr>
        <w:lastRenderedPageBreak/>
        <w:t>המחקר ככלי להערכת העומס המוטל על השופטים</w:t>
      </w:r>
      <w:bookmarkEnd w:id="844"/>
    </w:p>
    <w:p w14:paraId="4F58674D" w14:textId="77777777" w:rsidR="00840519" w:rsidRPr="00F25744" w:rsidRDefault="00E25AE7" w:rsidP="008336F3">
      <w:pPr>
        <w:spacing w:before="120" w:after="0" w:line="360" w:lineRule="auto"/>
        <w:jc w:val="both"/>
        <w:rPr>
          <w:rFonts w:ascii="David" w:hAnsi="David" w:cs="David"/>
          <w:sz w:val="24"/>
          <w:szCs w:val="24"/>
          <w:rtl/>
        </w:rPr>
      </w:pPr>
      <w:r w:rsidRPr="00F25744">
        <w:rPr>
          <w:rFonts w:ascii="David" w:hAnsi="David" w:cs="David"/>
          <w:sz w:val="24"/>
          <w:szCs w:val="24"/>
          <w:rtl/>
        </w:rPr>
        <w:t xml:space="preserve">לצד היגדים אלה, הוצג, כאמור, היגד הנוגע להשפעת המחקר </w:t>
      </w:r>
      <w:r w:rsidRPr="00F25744">
        <w:rPr>
          <w:rFonts w:ascii="David" w:hAnsi="David" w:cs="David" w:hint="cs"/>
          <w:sz w:val="24"/>
          <w:szCs w:val="24"/>
          <w:rtl/>
        </w:rPr>
        <w:t xml:space="preserve">עצמו </w:t>
      </w:r>
      <w:r w:rsidRPr="00F25744">
        <w:rPr>
          <w:rFonts w:ascii="David" w:hAnsi="David" w:cs="David"/>
          <w:sz w:val="24"/>
          <w:szCs w:val="24"/>
          <w:rtl/>
        </w:rPr>
        <w:t xml:space="preserve">ככלי להתמודדות עם תוצרי העומס. אמנם המחקר לא נועד להוות כלי להערכה אישית של העומס המוטל על השופט, אך כתוצר לוואי הוא יכול היה לאפשר לשופטים </w:t>
      </w:r>
      <w:r w:rsidRPr="00F25744">
        <w:rPr>
          <w:rFonts w:ascii="David" w:hAnsi="David" w:cs="David" w:hint="cs"/>
          <w:sz w:val="24"/>
          <w:szCs w:val="24"/>
          <w:rtl/>
        </w:rPr>
        <w:t>כלי</w:t>
      </w:r>
      <w:r w:rsidRPr="00F25744">
        <w:rPr>
          <w:rFonts w:ascii="David" w:hAnsi="David" w:cs="David"/>
          <w:sz w:val="24"/>
          <w:szCs w:val="24"/>
          <w:rtl/>
        </w:rPr>
        <w:t xml:space="preserve"> להתבוננות עצמית. </w:t>
      </w:r>
      <w:r w:rsidR="00E21139" w:rsidRPr="00F25744">
        <w:rPr>
          <w:rFonts w:ascii="David" w:hAnsi="David" w:cs="David" w:hint="cs"/>
          <w:sz w:val="24"/>
          <w:szCs w:val="24"/>
          <w:rtl/>
        </w:rPr>
        <w:t>ו</w:t>
      </w:r>
      <w:r w:rsidRPr="00F25744">
        <w:rPr>
          <w:rFonts w:ascii="David" w:hAnsi="David" w:cs="David"/>
          <w:sz w:val="24"/>
          <w:szCs w:val="24"/>
          <w:rtl/>
        </w:rPr>
        <w:t xml:space="preserve">אכן, מהתשובות </w:t>
      </w:r>
      <w:r w:rsidRPr="00F25744">
        <w:rPr>
          <w:rFonts w:ascii="David" w:hAnsi="David" w:cs="David" w:hint="cs"/>
          <w:sz w:val="24"/>
          <w:szCs w:val="24"/>
          <w:rtl/>
        </w:rPr>
        <w:t>לשאלון</w:t>
      </w:r>
      <w:r w:rsidRPr="00F25744">
        <w:rPr>
          <w:rFonts w:ascii="David" w:hAnsi="David" w:cs="David"/>
          <w:sz w:val="24"/>
          <w:szCs w:val="24"/>
          <w:rtl/>
        </w:rPr>
        <w:t xml:space="preserve"> עולה כי כ</w:t>
      </w:r>
      <w:r w:rsidRPr="00F25744">
        <w:rPr>
          <w:rFonts w:ascii="David" w:hAnsi="David" w:cs="David" w:hint="cs"/>
          <w:sz w:val="24"/>
          <w:szCs w:val="24"/>
          <w:rtl/>
        </w:rPr>
        <w:t>-</w:t>
      </w:r>
      <w:r w:rsidRPr="00F25744">
        <w:rPr>
          <w:rFonts w:ascii="David" w:eastAsia="Times New Roman" w:hAnsi="David" w:cs="David"/>
          <w:color w:val="000000"/>
          <w:sz w:val="24"/>
          <w:szCs w:val="24"/>
          <w:rtl/>
        </w:rPr>
        <w:t>6</w:t>
      </w:r>
      <w:r w:rsidR="00EF2E08" w:rsidRPr="00F25744">
        <w:rPr>
          <w:rFonts w:ascii="David" w:eastAsia="Times New Roman" w:hAnsi="David" w:cs="David" w:hint="cs"/>
          <w:color w:val="000000"/>
          <w:sz w:val="24"/>
          <w:szCs w:val="24"/>
          <w:rtl/>
        </w:rPr>
        <w:t>7</w:t>
      </w:r>
      <w:r w:rsidRPr="00F25744">
        <w:rPr>
          <w:rFonts w:ascii="David" w:eastAsia="Times New Roman" w:hAnsi="David" w:cs="David"/>
          <w:color w:val="000000"/>
          <w:sz w:val="24"/>
          <w:szCs w:val="24"/>
          <w:rtl/>
        </w:rPr>
        <w:t>% מהשופטים דיווחו שמילוי יומן העבודה בתקופת המחקר אפשר להם לעצור ולבחון את עומס העבודה המוטל עליהם.</w:t>
      </w:r>
    </w:p>
    <w:p w14:paraId="0D7FE0A6" w14:textId="77777777" w:rsidR="00676F4C" w:rsidRPr="00F25744" w:rsidRDefault="00676F4C" w:rsidP="008336F3">
      <w:pPr>
        <w:spacing w:after="0" w:line="240" w:lineRule="auto"/>
        <w:jc w:val="both"/>
        <w:rPr>
          <w:rFonts w:ascii="David" w:hAnsi="David" w:cs="David"/>
          <w:sz w:val="24"/>
          <w:szCs w:val="24"/>
          <w:rtl/>
        </w:rPr>
      </w:pPr>
    </w:p>
    <w:p w14:paraId="7DD9F474" w14:textId="119D57A4" w:rsidR="00840519" w:rsidRPr="00F25744" w:rsidRDefault="000C1408" w:rsidP="000C1408">
      <w:pPr>
        <w:pStyle w:val="2"/>
        <w:ind w:left="427"/>
        <w:rPr>
          <w:rtl/>
        </w:rPr>
      </w:pPr>
      <w:bookmarkStart w:id="845" w:name="_Toc46226109"/>
      <w:bookmarkStart w:id="846" w:name="_Toc46226253"/>
      <w:bookmarkStart w:id="847" w:name="_Toc46228420"/>
      <w:bookmarkStart w:id="848" w:name="_Toc46228518"/>
      <w:bookmarkStart w:id="849" w:name="_Toc46230445"/>
      <w:bookmarkStart w:id="850" w:name="_Toc46230543"/>
      <w:bookmarkStart w:id="851" w:name="_Toc46414076"/>
      <w:bookmarkStart w:id="852" w:name="_Toc49352789"/>
      <w:bookmarkStart w:id="853" w:name="_Toc49429696"/>
      <w:bookmarkStart w:id="854" w:name="_Toc49435925"/>
      <w:r w:rsidRPr="000C1408">
        <w:rPr>
          <w:rFonts w:hint="cs"/>
          <w:u w:val="none"/>
          <w:rtl/>
        </w:rPr>
        <w:t xml:space="preserve"> </w:t>
      </w:r>
      <w:bookmarkStart w:id="855" w:name="_Toc74751038"/>
      <w:r w:rsidR="00E25AE7" w:rsidRPr="00F25744">
        <w:rPr>
          <w:rFonts w:hint="cs"/>
          <w:rtl/>
        </w:rPr>
        <w:t>עומס רגשי</w:t>
      </w:r>
      <w:bookmarkEnd w:id="845"/>
      <w:bookmarkEnd w:id="846"/>
      <w:bookmarkEnd w:id="847"/>
      <w:bookmarkEnd w:id="848"/>
      <w:bookmarkEnd w:id="849"/>
      <w:bookmarkEnd w:id="850"/>
      <w:bookmarkEnd w:id="851"/>
      <w:bookmarkEnd w:id="852"/>
      <w:bookmarkEnd w:id="853"/>
      <w:bookmarkEnd w:id="854"/>
      <w:bookmarkEnd w:id="855"/>
    </w:p>
    <w:p w14:paraId="2D83F02A" w14:textId="77777777" w:rsidR="006F7DDA" w:rsidRPr="00F25744" w:rsidRDefault="00E25AE7" w:rsidP="008336F3">
      <w:pPr>
        <w:spacing w:before="120" w:after="0" w:line="360" w:lineRule="auto"/>
        <w:jc w:val="both"/>
        <w:rPr>
          <w:rFonts w:ascii="David" w:hAnsi="David" w:cs="David"/>
          <w:sz w:val="24"/>
          <w:szCs w:val="24"/>
          <w:rtl/>
        </w:rPr>
      </w:pPr>
      <w:r w:rsidRPr="00F25744">
        <w:rPr>
          <w:rFonts w:ascii="David" w:hAnsi="David" w:cs="David" w:hint="cs"/>
          <w:sz w:val="24"/>
          <w:szCs w:val="24"/>
          <w:rtl/>
        </w:rPr>
        <w:t xml:space="preserve">תוצר נוסף שנבחן במחקר זה הוא נושא העומס הרגשי שהטיפול בתיקים השונים מטיל על השופטים והרשמים במערכת. אחת מהטענות שעלו לאחר המחקר הקודם (משנת 2013) הייתה כי לא ניתן ביטוי במסגרת המחקר לעומס הרגשי שהטיפול בתיקים מסוימים מטיל על השופטים והרשמים. גם במסגרת ההכנות למחקר הנוכחי שבו ועלו טענות אלו, במיוחד מקרב שופטי ערכאת הנוער. </w:t>
      </w:r>
    </w:p>
    <w:p w14:paraId="39A155FF" w14:textId="77777777" w:rsidR="006F7DDA" w:rsidRPr="00F25744" w:rsidRDefault="00E25AE7" w:rsidP="008336F3">
      <w:pPr>
        <w:tabs>
          <w:tab w:val="num" w:pos="720"/>
        </w:tabs>
        <w:spacing w:before="120" w:after="0" w:line="360" w:lineRule="auto"/>
        <w:jc w:val="both"/>
        <w:rPr>
          <w:rFonts w:ascii="David" w:hAnsi="David" w:cs="David"/>
          <w:sz w:val="24"/>
          <w:szCs w:val="24"/>
          <w:rtl/>
        </w:rPr>
      </w:pPr>
      <w:r w:rsidRPr="00F25744">
        <w:rPr>
          <w:rFonts w:ascii="David" w:hAnsi="David" w:cs="David" w:hint="cs"/>
          <w:sz w:val="24"/>
          <w:szCs w:val="24"/>
          <w:rtl/>
        </w:rPr>
        <w:t>בדומה לעיסוק בגורמי לחץ ושחיקה, גם נושא העומס הרגשי עולה בשנים האחרונות כתוצר לוואי של מקצועות רבים, בעיקר בתחום הטיפולי מטבע הדברים, אך גם בתחום המשפטי, למשל בכל הנוגע לעו</w:t>
      </w:r>
      <w:r w:rsidR="005E7CEA" w:rsidRPr="00F25744">
        <w:rPr>
          <w:rFonts w:ascii="David" w:hAnsi="David" w:cs="David" w:hint="cs"/>
          <w:sz w:val="24"/>
          <w:szCs w:val="24"/>
          <w:rtl/>
        </w:rPr>
        <w:t xml:space="preserve">רכי דין </w:t>
      </w:r>
      <w:r w:rsidRPr="00F25744">
        <w:rPr>
          <w:rFonts w:ascii="David" w:hAnsi="David" w:cs="David" w:hint="cs"/>
          <w:sz w:val="24"/>
          <w:szCs w:val="24"/>
          <w:rtl/>
        </w:rPr>
        <w:t>המייצגים נפגעי עבירה.</w:t>
      </w:r>
      <w:r w:rsidRPr="00F25744">
        <w:rPr>
          <w:rStyle w:val="a6"/>
          <w:rFonts w:ascii="David" w:hAnsi="David" w:cs="David"/>
          <w:sz w:val="24"/>
          <w:szCs w:val="24"/>
          <w:rtl/>
        </w:rPr>
        <w:footnoteReference w:id="42"/>
      </w:r>
      <w:r w:rsidRPr="00F25744">
        <w:rPr>
          <w:rFonts w:ascii="David" w:hAnsi="David" w:cs="David" w:hint="cs"/>
          <w:sz w:val="24"/>
          <w:szCs w:val="24"/>
          <w:rtl/>
        </w:rPr>
        <w:t xml:space="preserve"> מחקרים רבים נעשו על ההשפעות הרגשיות של העבודה על בעלי מקצוע במקצועות הטיפוליים (פסיכולוגים, עובדים סוציאליים ועוד), ובשנים האחרונות נעשו מחקרים על עורכי דין בהקשר הזה, אשר מצאו כי </w:t>
      </w:r>
      <w:r w:rsidRPr="00F25744">
        <w:rPr>
          <w:rFonts w:ascii="David" w:hAnsi="David" w:cs="David"/>
          <w:sz w:val="24"/>
          <w:szCs w:val="24"/>
          <w:rtl/>
        </w:rPr>
        <w:t>בהשוואה לעובדים סוציאליים ואנשי בריאות הנפש, עורכי דין הפגינו שחיקה רגשית וקורבנו</w:t>
      </w:r>
      <w:r w:rsidRPr="00F25744">
        <w:rPr>
          <w:rFonts w:ascii="David" w:hAnsi="David" w:cs="David" w:hint="cs"/>
          <w:sz w:val="24"/>
          <w:szCs w:val="24"/>
          <w:rtl/>
        </w:rPr>
        <w:t>ּ</w:t>
      </w:r>
      <w:r w:rsidRPr="00F25744">
        <w:rPr>
          <w:rFonts w:ascii="David" w:hAnsi="David" w:cs="David"/>
          <w:sz w:val="24"/>
          <w:szCs w:val="24"/>
          <w:rtl/>
        </w:rPr>
        <w:t xml:space="preserve">ת משנית גבוהה יותר באופן ניכר. </w:t>
      </w:r>
      <w:r w:rsidRPr="00F25744">
        <w:rPr>
          <w:rFonts w:ascii="David" w:hAnsi="David" w:cs="David" w:hint="cs"/>
          <w:sz w:val="24"/>
          <w:szCs w:val="24"/>
          <w:rtl/>
        </w:rPr>
        <w:t xml:space="preserve">בין הסיבות שנמנו לכך ניתן להצביע על </w:t>
      </w:r>
      <w:r w:rsidRPr="00F25744">
        <w:rPr>
          <w:rFonts w:ascii="David" w:hAnsi="David" w:cs="David"/>
          <w:sz w:val="24"/>
          <w:szCs w:val="24"/>
          <w:rtl/>
        </w:rPr>
        <w:t>כמות התיקים שעמם התמודדו עורכי הדין</w:t>
      </w:r>
      <w:r w:rsidRPr="00F25744">
        <w:rPr>
          <w:rFonts w:ascii="David" w:hAnsi="David" w:cs="David" w:hint="cs"/>
          <w:sz w:val="24"/>
          <w:szCs w:val="24"/>
          <w:rtl/>
        </w:rPr>
        <w:t xml:space="preserve"> ו</w:t>
      </w:r>
      <w:r w:rsidRPr="00F25744">
        <w:rPr>
          <w:rFonts w:ascii="David" w:hAnsi="David" w:cs="David"/>
          <w:sz w:val="24"/>
          <w:szCs w:val="24"/>
          <w:rtl/>
        </w:rPr>
        <w:t xml:space="preserve">העדר תמיכה ופיקוח פסיכולוגיים בהקשר של ההתמודדות </w:t>
      </w:r>
      <w:r w:rsidRPr="00F25744">
        <w:rPr>
          <w:rFonts w:ascii="David" w:hAnsi="David" w:cs="David" w:hint="cs"/>
          <w:sz w:val="24"/>
          <w:szCs w:val="24"/>
          <w:rtl/>
        </w:rPr>
        <w:t xml:space="preserve">הרגשית. עוד נמצא, כי </w:t>
      </w:r>
      <w:r w:rsidRPr="00F25744">
        <w:rPr>
          <w:rFonts w:ascii="David" w:hAnsi="David" w:cs="David"/>
          <w:sz w:val="24"/>
          <w:szCs w:val="24"/>
          <w:rtl/>
        </w:rPr>
        <w:t>עורכי דין המלווים אנשים עם תסמונת פוסט טראומטית</w:t>
      </w:r>
      <w:r w:rsidRPr="00F25744">
        <w:rPr>
          <w:rFonts w:ascii="David" w:hAnsi="David" w:cs="David"/>
          <w:sz w:val="24"/>
          <w:szCs w:val="24"/>
          <w:rtl/>
          <w:lang w:bidi="ar-SA"/>
        </w:rPr>
        <w:t xml:space="preserve">, </w:t>
      </w:r>
      <w:r w:rsidRPr="00F25744">
        <w:rPr>
          <w:rFonts w:ascii="David" w:hAnsi="David" w:cs="David"/>
          <w:sz w:val="24"/>
          <w:szCs w:val="24"/>
          <w:rtl/>
        </w:rPr>
        <w:t>סובלים מטראומה משנית בשכיחות גבוהה יותר מעורכי דין בהתמחויות אחרות</w:t>
      </w:r>
      <w:r w:rsidRPr="00F25744">
        <w:rPr>
          <w:rFonts w:ascii="David" w:hAnsi="David" w:cs="David" w:hint="cs"/>
          <w:sz w:val="24"/>
          <w:szCs w:val="24"/>
          <w:rtl/>
        </w:rPr>
        <w:t xml:space="preserve">, וכי עורכי דין אלו נמצאים </w:t>
      </w:r>
      <w:r w:rsidRPr="00F25744">
        <w:rPr>
          <w:rFonts w:ascii="David" w:hAnsi="David" w:cs="David"/>
          <w:sz w:val="24"/>
          <w:szCs w:val="24"/>
          <w:rtl/>
        </w:rPr>
        <w:t>בקבוצת סיכון לפיתוח שחיקה</w:t>
      </w:r>
      <w:r w:rsidRPr="00F25744">
        <w:rPr>
          <w:rFonts w:ascii="David" w:hAnsi="David" w:cs="David" w:hint="cs"/>
          <w:sz w:val="24"/>
          <w:szCs w:val="24"/>
          <w:rtl/>
        </w:rPr>
        <w:t xml:space="preserve"> בעבודה.</w:t>
      </w:r>
      <w:r w:rsidRPr="00F25744">
        <w:rPr>
          <w:rStyle w:val="a6"/>
          <w:rFonts w:ascii="David" w:hAnsi="David" w:cs="David"/>
          <w:sz w:val="24"/>
          <w:szCs w:val="24"/>
          <w:rtl/>
        </w:rPr>
        <w:footnoteReference w:id="43"/>
      </w:r>
    </w:p>
    <w:p w14:paraId="7D6CF033" w14:textId="77777777" w:rsidR="006F7DDA" w:rsidRPr="00F25744" w:rsidRDefault="00E25AE7" w:rsidP="008336F3">
      <w:pPr>
        <w:tabs>
          <w:tab w:val="num" w:pos="720"/>
        </w:tabs>
        <w:spacing w:before="120" w:after="0" w:line="360" w:lineRule="auto"/>
        <w:jc w:val="both"/>
        <w:rPr>
          <w:rFonts w:ascii="David" w:hAnsi="David" w:cs="David"/>
          <w:sz w:val="24"/>
          <w:szCs w:val="24"/>
          <w:rtl/>
        </w:rPr>
      </w:pPr>
      <w:r w:rsidRPr="00F25744">
        <w:rPr>
          <w:rFonts w:ascii="David" w:hAnsi="David" w:cs="David" w:hint="cs"/>
          <w:sz w:val="24"/>
          <w:szCs w:val="24"/>
          <w:rtl/>
        </w:rPr>
        <w:t xml:space="preserve">אמנם לא נעשו מחקרים מסוג זה על שופטים, אולם ניתן להניח כי באופן דומה קיימים היבטים של עומס רגשי הנלווה לטיפול השיפוטי בתיקים מסוימים, למשל תיקים העוסקים בעבירות אלימות או בעבירות מין, תיקים המערבים קטינים או פגועי נפש וכדומה. </w:t>
      </w:r>
    </w:p>
    <w:p w14:paraId="5747C931" w14:textId="77777777" w:rsidR="006F7DDA" w:rsidRPr="00F25744" w:rsidRDefault="00E25AE7" w:rsidP="008336F3">
      <w:pPr>
        <w:tabs>
          <w:tab w:val="num" w:pos="720"/>
        </w:tabs>
        <w:spacing w:before="120" w:after="0" w:line="360" w:lineRule="auto"/>
        <w:jc w:val="both"/>
        <w:rPr>
          <w:rFonts w:ascii="David" w:hAnsi="David" w:cs="David"/>
          <w:sz w:val="24"/>
          <w:szCs w:val="24"/>
          <w:rtl/>
        </w:rPr>
      </w:pPr>
      <w:r w:rsidRPr="00F25744">
        <w:rPr>
          <w:rFonts w:ascii="David" w:hAnsi="David" w:cs="David" w:hint="cs"/>
          <w:sz w:val="24"/>
          <w:szCs w:val="24"/>
          <w:rtl/>
        </w:rPr>
        <w:t xml:space="preserve">השאלה כיצד מודדים עומס רגשי היא שאלה שבה מתחבטים חוקרים במקומות שונים, וגם אנחנו במסגרת מחקר זה, לצערנו, לא יכולנו למדוד כמותית את מידת העומס הרגשי הנלווית לטיפול בתיקים. עם זאת, ניסינו באמצעות השאלון המסכם בכל זאת לתת לעומס הרגשי ביטוי מסוים, לא במסגרת </w:t>
      </w:r>
      <w:r w:rsidRPr="00F25744">
        <w:rPr>
          <w:rFonts w:ascii="David" w:hAnsi="David" w:cs="David" w:hint="cs"/>
          <w:sz w:val="24"/>
          <w:szCs w:val="24"/>
          <w:rtl/>
        </w:rPr>
        <w:lastRenderedPageBreak/>
        <w:t xml:space="preserve">מדידת זמני הטיפול השיפוטי בסוגי התיקים השונים, אלא באמצעות שאלות והיגדים ייחודיים להיבט זה של עומס. </w:t>
      </w:r>
    </w:p>
    <w:p w14:paraId="77FE2F98" w14:textId="77777777" w:rsidR="006F7DDA" w:rsidRPr="00F25744" w:rsidRDefault="00E25AE7" w:rsidP="008336F3">
      <w:pPr>
        <w:tabs>
          <w:tab w:val="num" w:pos="720"/>
        </w:tabs>
        <w:spacing w:before="120" w:after="0" w:line="360" w:lineRule="auto"/>
        <w:jc w:val="both"/>
        <w:rPr>
          <w:rFonts w:ascii="David" w:hAnsi="David" w:cs="David"/>
          <w:sz w:val="24"/>
          <w:szCs w:val="24"/>
          <w:rtl/>
        </w:rPr>
      </w:pPr>
      <w:r w:rsidRPr="00F25744">
        <w:rPr>
          <w:rFonts w:ascii="David" w:hAnsi="David" w:cs="David" w:hint="cs"/>
          <w:sz w:val="24"/>
          <w:szCs w:val="24"/>
          <w:rtl/>
        </w:rPr>
        <w:t>הממצאים שנציג להלן בפרק זה מהווים אך טעימה על קצה המזלג מן העומס הרגשי שאותו חווים שופטים במסגרת עבודתם השיפוטית, ונושא זה עשוי לשמש בסיס למחקר מקיף בפני עצמו.</w:t>
      </w:r>
    </w:p>
    <w:p w14:paraId="6D74CF67" w14:textId="77777777" w:rsidR="006F7DDA" w:rsidRPr="00F25744" w:rsidRDefault="00E25AE7" w:rsidP="008336F3">
      <w:pPr>
        <w:spacing w:before="120" w:after="0" w:line="360" w:lineRule="auto"/>
        <w:jc w:val="both"/>
        <w:rPr>
          <w:rFonts w:ascii="David" w:hAnsi="David" w:cs="David"/>
          <w:sz w:val="24"/>
          <w:szCs w:val="24"/>
          <w:rtl/>
        </w:rPr>
      </w:pPr>
      <w:r w:rsidRPr="00F25744">
        <w:rPr>
          <w:rFonts w:ascii="David" w:hAnsi="David" w:cs="David" w:hint="cs"/>
          <w:sz w:val="24"/>
          <w:szCs w:val="24"/>
          <w:rtl/>
        </w:rPr>
        <w:t>הפרק העוסק בעומס הרגשי בשאלון הורכב מ</w:t>
      </w:r>
      <w:r w:rsidRPr="00F25744">
        <w:rPr>
          <w:rFonts w:ascii="David" w:hAnsi="David" w:cs="David" w:hint="cs"/>
          <w:b/>
          <w:bCs/>
          <w:sz w:val="24"/>
          <w:szCs w:val="24"/>
          <w:rtl/>
        </w:rPr>
        <w:t>שלושה חלקים</w:t>
      </w:r>
      <w:r w:rsidRPr="00F25744">
        <w:rPr>
          <w:rFonts w:ascii="David" w:hAnsi="David" w:cs="David" w:hint="cs"/>
          <w:sz w:val="24"/>
          <w:szCs w:val="24"/>
          <w:rtl/>
        </w:rPr>
        <w:t>:</w:t>
      </w:r>
    </w:p>
    <w:p w14:paraId="3545A5EB" w14:textId="77777777" w:rsidR="006F7DDA" w:rsidRPr="00F25744" w:rsidRDefault="00E25AE7" w:rsidP="008336F3">
      <w:pPr>
        <w:spacing w:before="120" w:after="0" w:line="360" w:lineRule="auto"/>
        <w:jc w:val="both"/>
        <w:rPr>
          <w:rFonts w:ascii="David" w:hAnsi="David" w:cs="David"/>
          <w:sz w:val="24"/>
          <w:szCs w:val="24"/>
          <w:rtl/>
        </w:rPr>
      </w:pPr>
      <w:r w:rsidRPr="00F25744">
        <w:rPr>
          <w:rFonts w:ascii="David" w:hAnsi="David" w:cs="David" w:hint="cs"/>
          <w:b/>
          <w:bCs/>
          <w:sz w:val="24"/>
          <w:szCs w:val="24"/>
          <w:rtl/>
        </w:rPr>
        <w:t>בחלק הראשון</w:t>
      </w:r>
      <w:r w:rsidRPr="00F25744">
        <w:rPr>
          <w:rFonts w:ascii="David" w:hAnsi="David" w:cs="David" w:hint="cs"/>
          <w:sz w:val="24"/>
          <w:szCs w:val="24"/>
          <w:rtl/>
        </w:rPr>
        <w:t xml:space="preserve"> של פרק זה בשאלון המסכם, התבקשו השופטים לענות על </w:t>
      </w:r>
      <w:r w:rsidRPr="00F25744">
        <w:rPr>
          <w:rFonts w:ascii="David" w:hAnsi="David" w:cs="David" w:hint="cs"/>
          <w:b/>
          <w:bCs/>
          <w:sz w:val="24"/>
          <w:szCs w:val="24"/>
          <w:rtl/>
        </w:rPr>
        <w:t>שאלה מקדמית</w:t>
      </w:r>
      <w:r w:rsidRPr="00F25744">
        <w:rPr>
          <w:rFonts w:ascii="David" w:hAnsi="David" w:cs="David" w:hint="cs"/>
          <w:sz w:val="24"/>
          <w:szCs w:val="24"/>
          <w:rtl/>
        </w:rPr>
        <w:t xml:space="preserve">: </w:t>
      </w:r>
      <w:r w:rsidRPr="00F25744">
        <w:rPr>
          <w:rFonts w:ascii="David" w:hAnsi="David" w:cs="David" w:hint="cs"/>
          <w:b/>
          <w:bCs/>
          <w:sz w:val="24"/>
          <w:szCs w:val="24"/>
          <w:rtl/>
        </w:rPr>
        <w:t>האם הם חווים עומס רגשי במסגרת הטיפול בתיקים</w:t>
      </w:r>
      <w:r w:rsidRPr="00F25744">
        <w:rPr>
          <w:rFonts w:ascii="David" w:hAnsi="David" w:cs="David" w:hint="cs"/>
          <w:sz w:val="24"/>
          <w:szCs w:val="24"/>
          <w:rtl/>
        </w:rPr>
        <w:t xml:space="preserve">. לשאלה זו ניתנו שלוש אפשרויות תשובה. במקרה שהשיבו כי "התיקים שבהם אני מטפל/ת אינם מטילים עליי עומס רגשי מיוחד" או "מעדיף/פה שלא להשיב על פרק העומס הרגשי בשאלון זה", הם לא נשאלו שאלות נוספות בחלק זה של השאלון. יתר השופטים, אשר השיבו כי הם אכן חווים עומס רגשי, התבקשו להשיב על שאלות </w:t>
      </w:r>
      <w:r w:rsidR="00341018" w:rsidRPr="00F25744">
        <w:rPr>
          <w:rFonts w:ascii="David" w:hAnsi="David" w:cs="David" w:hint="cs"/>
          <w:sz w:val="24"/>
          <w:szCs w:val="24"/>
          <w:rtl/>
        </w:rPr>
        <w:t xml:space="preserve">נוספות </w:t>
      </w:r>
      <w:r w:rsidRPr="00F25744">
        <w:rPr>
          <w:rFonts w:ascii="David" w:hAnsi="David" w:cs="David" w:hint="cs"/>
          <w:sz w:val="24"/>
          <w:szCs w:val="24"/>
          <w:rtl/>
        </w:rPr>
        <w:t>בפרק העומס הרגשי, כפי שיוצג בהמשך.</w:t>
      </w:r>
    </w:p>
    <w:p w14:paraId="4BFAF9D1" w14:textId="377ED8AE" w:rsidR="006F7DDA" w:rsidRDefault="00E25AE7" w:rsidP="008336F3">
      <w:pPr>
        <w:spacing w:before="120" w:after="0" w:line="360" w:lineRule="auto"/>
        <w:jc w:val="both"/>
        <w:rPr>
          <w:rFonts w:ascii="David" w:hAnsi="David" w:cs="David"/>
          <w:sz w:val="24"/>
          <w:szCs w:val="24"/>
          <w:rtl/>
        </w:rPr>
      </w:pPr>
      <w:r w:rsidRPr="00F25744">
        <w:rPr>
          <w:rFonts w:ascii="David" w:hAnsi="David" w:cs="David" w:hint="cs"/>
          <w:sz w:val="24"/>
          <w:szCs w:val="24"/>
          <w:rtl/>
        </w:rPr>
        <w:t>ברמה הכלל-מערכתית, כמחצית מן השופטים והרשמים אשר השיבו על פרק זה בשאלון (</w:t>
      </w:r>
      <w:r w:rsidR="00FA302F" w:rsidRPr="00F25744">
        <w:rPr>
          <w:rFonts w:ascii="David" w:hAnsi="David" w:cs="David" w:hint="cs"/>
          <w:sz w:val="24"/>
          <w:szCs w:val="24"/>
          <w:rtl/>
        </w:rPr>
        <w:t xml:space="preserve">144 שופטים, המהווים </w:t>
      </w:r>
      <w:r w:rsidRPr="00F25744">
        <w:rPr>
          <w:rFonts w:ascii="David" w:hAnsi="David" w:cs="David" w:hint="cs"/>
          <w:sz w:val="24"/>
          <w:szCs w:val="24"/>
          <w:rtl/>
        </w:rPr>
        <w:t>כ-</w:t>
      </w:r>
      <w:r w:rsidR="00FA302F" w:rsidRPr="00F25744">
        <w:rPr>
          <w:rFonts w:ascii="David" w:hAnsi="David" w:cs="David" w:hint="cs"/>
          <w:sz w:val="24"/>
          <w:szCs w:val="24"/>
          <w:rtl/>
        </w:rPr>
        <w:t>49</w:t>
      </w:r>
      <w:r w:rsidRPr="00F25744">
        <w:rPr>
          <w:rFonts w:ascii="David" w:hAnsi="David" w:cs="David" w:hint="cs"/>
          <w:sz w:val="24"/>
          <w:szCs w:val="24"/>
          <w:rtl/>
        </w:rPr>
        <w:t xml:space="preserve">% מכלל העונים על השאלון), אכן דיווחו כי הם חווים עומס רגשי, לעומת כ-30% </w:t>
      </w:r>
      <w:r w:rsidR="00FA302F" w:rsidRPr="00F25744">
        <w:rPr>
          <w:rFonts w:ascii="David" w:hAnsi="David" w:cs="David" w:hint="cs"/>
          <w:sz w:val="24"/>
          <w:szCs w:val="24"/>
          <w:rtl/>
        </w:rPr>
        <w:t xml:space="preserve">(88 שופטים) </w:t>
      </w:r>
      <w:r w:rsidRPr="00F25744">
        <w:rPr>
          <w:rFonts w:ascii="David" w:hAnsi="David" w:cs="David" w:hint="cs"/>
          <w:sz w:val="24"/>
          <w:szCs w:val="24"/>
          <w:rtl/>
        </w:rPr>
        <w:t>אשר אינם מרגישים שהתיקים שלהם מטילים עליהם עומס רגשי, כפי שניתן להתרשם מהתרשים הבא:</w:t>
      </w:r>
    </w:p>
    <w:p w14:paraId="764EB1C5" w14:textId="77777777" w:rsidR="00215435" w:rsidRPr="00F25744" w:rsidRDefault="00215435" w:rsidP="000C1408">
      <w:pPr>
        <w:pStyle w:val="af6"/>
        <w:spacing w:after="0" w:line="240" w:lineRule="auto"/>
        <w:rPr>
          <w:rtl/>
        </w:rPr>
      </w:pPr>
    </w:p>
    <w:p w14:paraId="4406D385" w14:textId="1396C9FA" w:rsidR="008E34F7" w:rsidRPr="00F25744" w:rsidRDefault="008534FC" w:rsidP="008534FC">
      <w:pPr>
        <w:pStyle w:val="af6"/>
        <w:rPr>
          <w:rFonts w:ascii="David" w:hAnsi="David"/>
          <w:sz w:val="24"/>
          <w:rtl/>
        </w:rPr>
      </w:pPr>
      <w:bookmarkStart w:id="856" w:name="_Toc76988544"/>
      <w:r w:rsidRPr="00F25744">
        <w:rPr>
          <w:rtl/>
        </w:rPr>
        <w:t xml:space="preserve">תרשים </w:t>
      </w:r>
      <w:r w:rsidRPr="00F25744">
        <w:rPr>
          <w:rtl/>
        </w:rPr>
        <w:fldChar w:fldCharType="begin"/>
      </w:r>
      <w:r w:rsidRPr="00F25744">
        <w:rPr>
          <w:rtl/>
        </w:rPr>
        <w:instrText xml:space="preserve"> </w:instrText>
      </w:r>
      <w:r w:rsidRPr="00F25744">
        <w:instrText>SEQ</w:instrText>
      </w:r>
      <w:r w:rsidRPr="00F25744">
        <w:rPr>
          <w:rtl/>
        </w:rPr>
        <w:instrText xml:space="preserve"> תרשים \* </w:instrText>
      </w:r>
      <w:r w:rsidRPr="00F25744">
        <w:instrText>ARABIC</w:instrText>
      </w:r>
      <w:r w:rsidRPr="00F25744">
        <w:rPr>
          <w:rtl/>
        </w:rPr>
        <w:instrText xml:space="preserve"> </w:instrText>
      </w:r>
      <w:r w:rsidRPr="00F25744">
        <w:rPr>
          <w:rtl/>
        </w:rPr>
        <w:fldChar w:fldCharType="separate"/>
      </w:r>
      <w:r w:rsidR="008F1BC3">
        <w:rPr>
          <w:noProof/>
          <w:rtl/>
        </w:rPr>
        <w:t>23</w:t>
      </w:r>
      <w:r w:rsidRPr="00F25744">
        <w:rPr>
          <w:rtl/>
        </w:rPr>
        <w:fldChar w:fldCharType="end"/>
      </w:r>
      <w:r w:rsidR="007F3A52" w:rsidRPr="00F25744">
        <w:rPr>
          <w:rFonts w:ascii="David" w:hAnsi="David" w:hint="cs"/>
          <w:sz w:val="24"/>
          <w:rtl/>
        </w:rPr>
        <w:t>: פילוח תשובותיהם של השופטים והרשמים לשאלת חוויית עומס רגשי בטיפול בתיקיהם</w:t>
      </w:r>
      <w:bookmarkEnd w:id="856"/>
      <w:r w:rsidR="007F3A52" w:rsidRPr="00F25744">
        <w:rPr>
          <w:rFonts w:ascii="David" w:hAnsi="David" w:hint="cs"/>
          <w:sz w:val="24"/>
          <w:rtl/>
        </w:rPr>
        <w:t xml:space="preserve"> </w:t>
      </w:r>
    </w:p>
    <w:p w14:paraId="54ED6005" w14:textId="77777777" w:rsidR="008E34F7" w:rsidRPr="00F25744" w:rsidRDefault="00E25AE7" w:rsidP="008E34F7">
      <w:pPr>
        <w:spacing w:before="120" w:after="0" w:line="360" w:lineRule="auto"/>
        <w:jc w:val="both"/>
        <w:rPr>
          <w:rFonts w:ascii="David" w:hAnsi="David" w:cs="David"/>
          <w:sz w:val="24"/>
          <w:szCs w:val="24"/>
          <w:rtl/>
        </w:rPr>
      </w:pPr>
      <w:r w:rsidRPr="00F25744">
        <w:rPr>
          <w:noProof/>
        </w:rPr>
        <w:drawing>
          <wp:inline distT="0" distB="0" distL="0" distR="0" wp14:anchorId="4104C9BE" wp14:editId="6FBC552A">
            <wp:extent cx="5528310" cy="2222500"/>
            <wp:effectExtent l="0" t="0" r="0" b="6350"/>
            <wp:docPr id="24" name="תמונה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19974" name="Picture 24"/>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5528310" cy="2222500"/>
                    </a:xfrm>
                    <a:prstGeom prst="rect">
                      <a:avLst/>
                    </a:prstGeom>
                    <a:noFill/>
                    <a:ln>
                      <a:noFill/>
                    </a:ln>
                  </pic:spPr>
                </pic:pic>
              </a:graphicData>
            </a:graphic>
          </wp:inline>
        </w:drawing>
      </w:r>
    </w:p>
    <w:p w14:paraId="31897D54" w14:textId="78F4A986" w:rsidR="008E34F7" w:rsidRDefault="00E25AE7" w:rsidP="00AA076E">
      <w:pPr>
        <w:spacing w:before="120" w:after="0" w:line="360" w:lineRule="auto"/>
        <w:jc w:val="both"/>
        <w:rPr>
          <w:rFonts w:ascii="David" w:hAnsi="David" w:cs="David"/>
          <w:sz w:val="24"/>
          <w:szCs w:val="24"/>
          <w:rtl/>
        </w:rPr>
      </w:pPr>
      <w:r w:rsidRPr="00F25744">
        <w:rPr>
          <w:rFonts w:ascii="David" w:hAnsi="David" w:cs="David" w:hint="cs"/>
          <w:sz w:val="24"/>
          <w:szCs w:val="24"/>
          <w:rtl/>
        </w:rPr>
        <w:t xml:space="preserve">בפילוח התשובות </w:t>
      </w:r>
      <w:r w:rsidR="00F93146" w:rsidRPr="00F25744">
        <w:rPr>
          <w:rFonts w:ascii="David" w:hAnsi="David" w:cs="David" w:hint="cs"/>
          <w:sz w:val="24"/>
          <w:szCs w:val="24"/>
          <w:rtl/>
        </w:rPr>
        <w:t xml:space="preserve">לפי הערכאות השונות, ניתן לראות </w:t>
      </w:r>
      <w:r w:rsidRPr="00F25744">
        <w:rPr>
          <w:rFonts w:ascii="David" w:hAnsi="David" w:cs="David" w:hint="cs"/>
          <w:sz w:val="24"/>
          <w:szCs w:val="24"/>
          <w:rtl/>
        </w:rPr>
        <w:t>באופן בולט כי ב</w:t>
      </w:r>
      <w:r w:rsidR="00F93146" w:rsidRPr="00F25744">
        <w:rPr>
          <w:rFonts w:ascii="David" w:hAnsi="David" w:cs="David" w:hint="cs"/>
          <w:sz w:val="24"/>
          <w:szCs w:val="24"/>
          <w:rtl/>
        </w:rPr>
        <w:t>קרב שופטי הנוער</w:t>
      </w:r>
      <w:r w:rsidRPr="00F25744">
        <w:rPr>
          <w:rFonts w:ascii="David" w:hAnsi="David" w:cs="David" w:hint="cs"/>
          <w:sz w:val="24"/>
          <w:szCs w:val="24"/>
          <w:rtl/>
        </w:rPr>
        <w:t xml:space="preserve">, 100% מן השופטים אשר ענו על פרק העומס הרגשי השיבו כי הטיפול בתיקי הנוער מטיל עליהם עומס רגשי, </w:t>
      </w:r>
      <w:r w:rsidR="00F93146" w:rsidRPr="00F25744">
        <w:rPr>
          <w:rFonts w:ascii="David" w:hAnsi="David" w:cs="David" w:hint="cs"/>
          <w:sz w:val="24"/>
          <w:szCs w:val="24"/>
          <w:rtl/>
        </w:rPr>
        <w:t xml:space="preserve">וכי למעלה משלושה רבעים משופטי המשפחה שהשיבו על השאלון דיווחו כי הם חווים עומס רגשי במסגרת הטיפול בתיקים. זאת, </w:t>
      </w:r>
      <w:r w:rsidRPr="00F25744">
        <w:rPr>
          <w:rFonts w:ascii="David" w:hAnsi="David" w:cs="David" w:hint="cs"/>
          <w:sz w:val="24"/>
          <w:szCs w:val="24"/>
          <w:rtl/>
        </w:rPr>
        <w:t xml:space="preserve">לעומת למשל 56% בלבד משופטי התעבורה אשר השיבו על פרק זה בשאלון, ואשר דיווחו כי הם חווים עומס רגשי במסגרת הטיפול בתיקיהם (ראו </w:t>
      </w:r>
      <w:r w:rsidRPr="00F25744">
        <w:rPr>
          <w:rFonts w:ascii="David" w:hAnsi="David" w:cs="David" w:hint="cs"/>
          <w:b/>
          <w:bCs/>
          <w:sz w:val="24"/>
          <w:szCs w:val="24"/>
          <w:rtl/>
        </w:rPr>
        <w:t>תרשים</w:t>
      </w:r>
      <w:r w:rsidRPr="00F25744">
        <w:rPr>
          <w:rFonts w:ascii="David" w:hAnsi="David" w:cs="David" w:hint="cs"/>
          <w:sz w:val="24"/>
          <w:szCs w:val="24"/>
          <w:rtl/>
        </w:rPr>
        <w:t xml:space="preserve"> </w:t>
      </w:r>
      <w:r w:rsidR="00F238BF" w:rsidRPr="00F25744">
        <w:rPr>
          <w:rFonts w:ascii="David" w:hAnsi="David" w:cs="David" w:hint="cs"/>
          <w:b/>
          <w:bCs/>
          <w:sz w:val="24"/>
          <w:szCs w:val="24"/>
          <w:rtl/>
        </w:rPr>
        <w:t>2</w:t>
      </w:r>
      <w:r w:rsidR="00AA076E">
        <w:rPr>
          <w:rFonts w:ascii="David" w:hAnsi="David" w:cs="David" w:hint="cs"/>
          <w:b/>
          <w:bCs/>
          <w:sz w:val="24"/>
          <w:szCs w:val="24"/>
          <w:rtl/>
        </w:rPr>
        <w:t>4</w:t>
      </w:r>
      <w:r w:rsidR="00F238BF" w:rsidRPr="00F25744">
        <w:rPr>
          <w:rFonts w:ascii="David" w:hAnsi="David" w:cs="David" w:hint="cs"/>
          <w:sz w:val="24"/>
          <w:szCs w:val="24"/>
          <w:rtl/>
        </w:rPr>
        <w:t xml:space="preserve"> </w:t>
      </w:r>
      <w:r w:rsidRPr="00F25744">
        <w:rPr>
          <w:rFonts w:ascii="David" w:hAnsi="David" w:cs="David" w:hint="cs"/>
          <w:sz w:val="24"/>
          <w:szCs w:val="24"/>
          <w:rtl/>
        </w:rPr>
        <w:t>להלן).</w:t>
      </w:r>
    </w:p>
    <w:p w14:paraId="5D186CEB" w14:textId="4D4C5632" w:rsidR="000D71C8" w:rsidRDefault="000D71C8" w:rsidP="00AA076E">
      <w:pPr>
        <w:spacing w:before="120" w:after="0" w:line="360" w:lineRule="auto"/>
        <w:jc w:val="both"/>
        <w:rPr>
          <w:rFonts w:ascii="David" w:hAnsi="David" w:cs="David"/>
          <w:sz w:val="24"/>
          <w:szCs w:val="24"/>
          <w:rtl/>
        </w:rPr>
      </w:pPr>
    </w:p>
    <w:p w14:paraId="0493A67E" w14:textId="77777777" w:rsidR="000D71C8" w:rsidRPr="00F25744" w:rsidRDefault="000D71C8" w:rsidP="00AA076E">
      <w:pPr>
        <w:spacing w:before="120" w:after="0" w:line="360" w:lineRule="auto"/>
        <w:jc w:val="both"/>
        <w:rPr>
          <w:rFonts w:ascii="David" w:hAnsi="David" w:cs="David"/>
          <w:sz w:val="24"/>
          <w:szCs w:val="24"/>
          <w:rtl/>
        </w:rPr>
      </w:pPr>
    </w:p>
    <w:p w14:paraId="61685E6C" w14:textId="59DAD91E" w:rsidR="008E34F7" w:rsidRPr="00F25744" w:rsidRDefault="008534FC" w:rsidP="008534FC">
      <w:pPr>
        <w:pStyle w:val="af6"/>
        <w:rPr>
          <w:rFonts w:ascii="David" w:hAnsi="David"/>
          <w:sz w:val="24"/>
          <w:rtl/>
        </w:rPr>
      </w:pPr>
      <w:bookmarkStart w:id="857" w:name="_Toc76988545"/>
      <w:r w:rsidRPr="00F25744">
        <w:rPr>
          <w:rtl/>
        </w:rPr>
        <w:lastRenderedPageBreak/>
        <w:t xml:space="preserve">תרשים </w:t>
      </w:r>
      <w:r w:rsidRPr="00F25744">
        <w:rPr>
          <w:rtl/>
        </w:rPr>
        <w:fldChar w:fldCharType="begin"/>
      </w:r>
      <w:r w:rsidRPr="00F25744">
        <w:rPr>
          <w:rtl/>
        </w:rPr>
        <w:instrText xml:space="preserve"> </w:instrText>
      </w:r>
      <w:r w:rsidRPr="00F25744">
        <w:instrText>SEQ</w:instrText>
      </w:r>
      <w:r w:rsidRPr="00F25744">
        <w:rPr>
          <w:rtl/>
        </w:rPr>
        <w:instrText xml:space="preserve"> תרשים \* </w:instrText>
      </w:r>
      <w:r w:rsidRPr="00F25744">
        <w:instrText>ARABIC</w:instrText>
      </w:r>
      <w:r w:rsidRPr="00F25744">
        <w:rPr>
          <w:rtl/>
        </w:rPr>
        <w:instrText xml:space="preserve"> </w:instrText>
      </w:r>
      <w:r w:rsidRPr="00F25744">
        <w:rPr>
          <w:rtl/>
        </w:rPr>
        <w:fldChar w:fldCharType="separate"/>
      </w:r>
      <w:r w:rsidR="008F1BC3">
        <w:rPr>
          <w:noProof/>
          <w:rtl/>
        </w:rPr>
        <w:t>24</w:t>
      </w:r>
      <w:r w:rsidRPr="00F25744">
        <w:rPr>
          <w:rtl/>
        </w:rPr>
        <w:fldChar w:fldCharType="end"/>
      </w:r>
      <w:r w:rsidR="007F3A52" w:rsidRPr="00F25744">
        <w:rPr>
          <w:rFonts w:ascii="David" w:hAnsi="David" w:hint="cs"/>
          <w:sz w:val="24"/>
          <w:rtl/>
        </w:rPr>
        <w:t>: פילוח תשובות השופטים והרשמים לשאלת העומס הרגשי בחלוקה לערכאות השיפוט</w:t>
      </w:r>
      <w:bookmarkEnd w:id="857"/>
    </w:p>
    <w:p w14:paraId="7BFB35D1" w14:textId="77777777" w:rsidR="008E34F7" w:rsidRPr="00F25744" w:rsidRDefault="00E25AE7" w:rsidP="008E34F7">
      <w:pPr>
        <w:spacing w:before="120" w:after="0" w:line="360" w:lineRule="auto"/>
        <w:jc w:val="both"/>
        <w:rPr>
          <w:rFonts w:ascii="David" w:hAnsi="David" w:cs="David"/>
          <w:sz w:val="24"/>
          <w:szCs w:val="24"/>
          <w:rtl/>
        </w:rPr>
      </w:pPr>
      <w:r w:rsidRPr="00F25744">
        <w:rPr>
          <w:noProof/>
        </w:rPr>
        <w:drawing>
          <wp:inline distT="0" distB="0" distL="0" distR="0" wp14:anchorId="271C0F9D" wp14:editId="574F8BAA">
            <wp:extent cx="5528310" cy="2479852"/>
            <wp:effectExtent l="0" t="0" r="0" b="0"/>
            <wp:docPr id="25" name="תמונה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291318" name="Picture 25"/>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bwMode="auto">
                    <a:xfrm>
                      <a:off x="0" y="0"/>
                      <a:ext cx="5532682" cy="2481813"/>
                    </a:xfrm>
                    <a:prstGeom prst="rect">
                      <a:avLst/>
                    </a:prstGeom>
                    <a:noFill/>
                    <a:ln>
                      <a:noFill/>
                    </a:ln>
                  </pic:spPr>
                </pic:pic>
              </a:graphicData>
            </a:graphic>
          </wp:inline>
        </w:drawing>
      </w:r>
      <w:r w:rsidR="007F3A52" w:rsidRPr="00F25744">
        <w:rPr>
          <w:rFonts w:ascii="David" w:hAnsi="David" w:cs="David" w:hint="cs"/>
          <w:sz w:val="24"/>
          <w:szCs w:val="24"/>
          <w:rtl/>
        </w:rPr>
        <w:t xml:space="preserve"> </w:t>
      </w:r>
    </w:p>
    <w:p w14:paraId="6F4C88EF" w14:textId="77777777" w:rsidR="008E34F7" w:rsidRPr="00F25744" w:rsidRDefault="00E25AE7" w:rsidP="00D22BD3">
      <w:pPr>
        <w:spacing w:before="120" w:after="0" w:line="360" w:lineRule="auto"/>
        <w:jc w:val="both"/>
        <w:rPr>
          <w:rFonts w:ascii="David" w:hAnsi="David" w:cs="David"/>
          <w:sz w:val="24"/>
          <w:szCs w:val="24"/>
          <w:rtl/>
        </w:rPr>
      </w:pPr>
      <w:r w:rsidRPr="00F25744">
        <w:rPr>
          <w:rFonts w:ascii="David" w:hAnsi="David" w:cs="David" w:hint="cs"/>
          <w:sz w:val="24"/>
          <w:szCs w:val="24"/>
          <w:rtl/>
        </w:rPr>
        <w:t xml:space="preserve">עוד עולה, כי בערכאות השלום והמחוזי פחות ממחצית מהשופטים דיווחו כי הם חווים עומס רגשי בטיפול בתיקיהם (כ-43% בשתי הערכאות). מבדיקה מעמיקה יותר בערכאות אלו נמצא פער משמעותי בעומס הרגשי שאותו חווים שופטים ורשמים בתיקים אזרחיים לעומת תיקים פליליים. ניכר, כפי שניתן היה לצפות, כי תיקים פליליים מטילים על השופטים והרשמים יותר עומס רגשי מאשר תיקים אזרחיים </w:t>
      </w:r>
      <w:r w:rsidR="007F3A52" w:rsidRPr="00F25744">
        <w:rPr>
          <w:rFonts w:ascii="David" w:hAnsi="David" w:cs="David" w:hint="cs"/>
          <w:sz w:val="24"/>
          <w:szCs w:val="24"/>
          <w:rtl/>
        </w:rPr>
        <w:t xml:space="preserve">(ראו </w:t>
      </w:r>
      <w:r w:rsidR="007F3A52" w:rsidRPr="00F25744">
        <w:rPr>
          <w:rFonts w:ascii="David" w:hAnsi="David" w:cs="David" w:hint="cs"/>
          <w:b/>
          <w:bCs/>
          <w:sz w:val="24"/>
          <w:szCs w:val="24"/>
          <w:rtl/>
        </w:rPr>
        <w:t xml:space="preserve">תרשים </w:t>
      </w:r>
      <w:r w:rsidR="00D22BD3" w:rsidRPr="00F25744">
        <w:rPr>
          <w:rFonts w:ascii="David" w:hAnsi="David" w:cs="David" w:hint="cs"/>
          <w:b/>
          <w:bCs/>
          <w:sz w:val="24"/>
          <w:szCs w:val="24"/>
          <w:rtl/>
        </w:rPr>
        <w:t>25</w:t>
      </w:r>
      <w:r w:rsidR="007F3A52" w:rsidRPr="00F25744">
        <w:rPr>
          <w:rFonts w:ascii="David" w:hAnsi="David" w:cs="David" w:hint="cs"/>
          <w:sz w:val="24"/>
          <w:szCs w:val="24"/>
          <w:rtl/>
        </w:rPr>
        <w:t>).</w:t>
      </w:r>
    </w:p>
    <w:p w14:paraId="662E3C52" w14:textId="77777777" w:rsidR="00215435" w:rsidRPr="00F25744" w:rsidRDefault="00215435" w:rsidP="000C1408">
      <w:pPr>
        <w:spacing w:after="0" w:line="360" w:lineRule="auto"/>
        <w:jc w:val="both"/>
        <w:rPr>
          <w:rFonts w:ascii="David" w:hAnsi="David" w:cs="David"/>
          <w:sz w:val="24"/>
          <w:szCs w:val="24"/>
          <w:rtl/>
        </w:rPr>
      </w:pPr>
    </w:p>
    <w:p w14:paraId="16CD0D9A" w14:textId="6FAC402E" w:rsidR="008E34F7" w:rsidRPr="00F25744" w:rsidRDefault="008534FC" w:rsidP="008534FC">
      <w:pPr>
        <w:pStyle w:val="af6"/>
        <w:rPr>
          <w:rFonts w:ascii="David" w:hAnsi="David"/>
          <w:sz w:val="24"/>
          <w:rtl/>
        </w:rPr>
      </w:pPr>
      <w:bookmarkStart w:id="858" w:name="_Toc76988546"/>
      <w:r w:rsidRPr="00F25744">
        <w:rPr>
          <w:rtl/>
        </w:rPr>
        <w:t xml:space="preserve">תרשים </w:t>
      </w:r>
      <w:r w:rsidRPr="00F25744">
        <w:rPr>
          <w:rtl/>
        </w:rPr>
        <w:fldChar w:fldCharType="begin"/>
      </w:r>
      <w:r w:rsidRPr="00F25744">
        <w:rPr>
          <w:rtl/>
        </w:rPr>
        <w:instrText xml:space="preserve"> </w:instrText>
      </w:r>
      <w:r w:rsidRPr="00F25744">
        <w:instrText>SEQ</w:instrText>
      </w:r>
      <w:r w:rsidRPr="00F25744">
        <w:rPr>
          <w:rtl/>
        </w:rPr>
        <w:instrText xml:space="preserve"> תרשים \* </w:instrText>
      </w:r>
      <w:r w:rsidRPr="00F25744">
        <w:instrText>ARABIC</w:instrText>
      </w:r>
      <w:r w:rsidRPr="00F25744">
        <w:rPr>
          <w:rtl/>
        </w:rPr>
        <w:instrText xml:space="preserve"> </w:instrText>
      </w:r>
      <w:r w:rsidRPr="00F25744">
        <w:rPr>
          <w:rtl/>
        </w:rPr>
        <w:fldChar w:fldCharType="separate"/>
      </w:r>
      <w:r w:rsidR="008F1BC3">
        <w:rPr>
          <w:noProof/>
          <w:rtl/>
        </w:rPr>
        <w:t>25</w:t>
      </w:r>
      <w:r w:rsidRPr="00F25744">
        <w:rPr>
          <w:rtl/>
        </w:rPr>
        <w:fldChar w:fldCharType="end"/>
      </w:r>
      <w:r w:rsidR="007F3A52" w:rsidRPr="00F25744">
        <w:rPr>
          <w:rFonts w:ascii="David" w:hAnsi="David" w:hint="cs"/>
          <w:sz w:val="24"/>
          <w:rtl/>
        </w:rPr>
        <w:t xml:space="preserve">: פילוח תשובותיהם של השופטים והרשמים לשאלת חוויית </w:t>
      </w:r>
      <w:r w:rsidR="005C285B" w:rsidRPr="00F25744">
        <w:rPr>
          <w:rFonts w:ascii="David" w:hAnsi="David" w:hint="cs"/>
          <w:sz w:val="24"/>
          <w:rtl/>
        </w:rPr>
        <w:t>ה</w:t>
      </w:r>
      <w:r w:rsidR="007F3A52" w:rsidRPr="00F25744">
        <w:rPr>
          <w:rFonts w:ascii="David" w:hAnsi="David" w:hint="cs"/>
          <w:sz w:val="24"/>
          <w:rtl/>
        </w:rPr>
        <w:t xml:space="preserve">עומס </w:t>
      </w:r>
      <w:r w:rsidR="005E7CEA" w:rsidRPr="00F25744">
        <w:rPr>
          <w:rFonts w:ascii="David" w:hAnsi="David" w:hint="cs"/>
          <w:sz w:val="24"/>
          <w:rtl/>
        </w:rPr>
        <w:t>ה</w:t>
      </w:r>
      <w:r w:rsidR="007F3A52" w:rsidRPr="00F25744">
        <w:rPr>
          <w:rFonts w:ascii="David" w:hAnsi="David" w:hint="cs"/>
          <w:sz w:val="24"/>
          <w:rtl/>
        </w:rPr>
        <w:t>רגשי בטיפול בתיקיהם לפי הליך (אזרחי/ פלילי)</w:t>
      </w:r>
      <w:bookmarkEnd w:id="858"/>
    </w:p>
    <w:p w14:paraId="538F916E" w14:textId="77777777" w:rsidR="008E34F7" w:rsidRPr="00F25744" w:rsidRDefault="00E25AE7" w:rsidP="008E34F7">
      <w:pPr>
        <w:spacing w:before="120" w:after="0" w:line="360" w:lineRule="auto"/>
        <w:jc w:val="both"/>
        <w:rPr>
          <w:rFonts w:ascii="David" w:hAnsi="David" w:cs="David"/>
          <w:b/>
          <w:bCs/>
          <w:sz w:val="24"/>
          <w:szCs w:val="24"/>
          <w:rtl/>
        </w:rPr>
      </w:pPr>
      <w:r w:rsidRPr="00F25744">
        <w:rPr>
          <w:noProof/>
        </w:rPr>
        <w:drawing>
          <wp:inline distT="0" distB="0" distL="0" distR="0" wp14:anchorId="79F1135B" wp14:editId="30807FC6">
            <wp:extent cx="5528310" cy="2247900"/>
            <wp:effectExtent l="0" t="0" r="0" b="0"/>
            <wp:docPr id="26" name="תמונה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481891" name="Picture 26"/>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0" y="0"/>
                      <a:ext cx="5528310" cy="2247900"/>
                    </a:xfrm>
                    <a:prstGeom prst="rect">
                      <a:avLst/>
                    </a:prstGeom>
                    <a:noFill/>
                    <a:ln>
                      <a:noFill/>
                    </a:ln>
                  </pic:spPr>
                </pic:pic>
              </a:graphicData>
            </a:graphic>
          </wp:inline>
        </w:drawing>
      </w:r>
    </w:p>
    <w:p w14:paraId="45CB038D" w14:textId="77777777" w:rsidR="00A83CDD" w:rsidRPr="00F25744" w:rsidRDefault="00E25AE7" w:rsidP="008336F3">
      <w:pPr>
        <w:spacing w:before="120" w:after="0" w:line="360" w:lineRule="auto"/>
        <w:jc w:val="both"/>
        <w:rPr>
          <w:rFonts w:ascii="David" w:hAnsi="David" w:cs="David"/>
          <w:sz w:val="24"/>
          <w:szCs w:val="24"/>
          <w:rtl/>
        </w:rPr>
      </w:pPr>
      <w:r w:rsidRPr="00F25744">
        <w:rPr>
          <w:rFonts w:ascii="David" w:hAnsi="David" w:cs="David" w:hint="cs"/>
          <w:sz w:val="24"/>
          <w:szCs w:val="24"/>
          <w:rtl/>
        </w:rPr>
        <w:t>כפי שניתן לראות, הן בערכאת השלום והן בערכאת המחוזי, אחוז השופטים שדיווחו על עומס רגשי הנובע מהטיפול בתיקים הפליליים גבוה במיוחד (78% ו-64% בהתאמה), לעומת העומס הרגשי שנובע מהטיפול בתיקים האזרחיים, אשר עומד על פחות מ-30%.</w:t>
      </w:r>
    </w:p>
    <w:p w14:paraId="185402DB" w14:textId="77777777" w:rsidR="008E34F7" w:rsidRPr="00F25744" w:rsidRDefault="00E25AE7" w:rsidP="008336F3">
      <w:pPr>
        <w:spacing w:before="120" w:after="0" w:line="360" w:lineRule="auto"/>
        <w:jc w:val="both"/>
        <w:rPr>
          <w:rFonts w:ascii="David" w:hAnsi="David" w:cs="David"/>
          <w:sz w:val="24"/>
          <w:szCs w:val="24"/>
        </w:rPr>
      </w:pPr>
      <w:r w:rsidRPr="00F25744">
        <w:rPr>
          <w:rFonts w:ascii="David" w:hAnsi="David" w:cs="David" w:hint="cs"/>
          <w:b/>
          <w:bCs/>
          <w:sz w:val="24"/>
          <w:szCs w:val="24"/>
          <w:rtl/>
        </w:rPr>
        <w:t xml:space="preserve">בחלק השני </w:t>
      </w:r>
      <w:r w:rsidRPr="00F25744">
        <w:rPr>
          <w:rFonts w:ascii="David" w:hAnsi="David" w:cs="David" w:hint="cs"/>
          <w:sz w:val="24"/>
          <w:szCs w:val="24"/>
          <w:rtl/>
        </w:rPr>
        <w:t xml:space="preserve">התבקשו השופטים והרשמים שהשיבו כי תיקים מסוימים מטילים עליהם עומס רגשי, לסמן </w:t>
      </w:r>
      <w:r w:rsidRPr="00F25744">
        <w:rPr>
          <w:rFonts w:ascii="David" w:hAnsi="David" w:cs="David" w:hint="cs"/>
          <w:b/>
          <w:bCs/>
          <w:sz w:val="24"/>
          <w:szCs w:val="24"/>
          <w:rtl/>
        </w:rPr>
        <w:t>אילו</w:t>
      </w:r>
      <w:r w:rsidRPr="00F25744">
        <w:rPr>
          <w:rFonts w:ascii="David" w:hAnsi="David" w:cs="David" w:hint="cs"/>
          <w:sz w:val="24"/>
          <w:szCs w:val="24"/>
          <w:rtl/>
        </w:rPr>
        <w:t xml:space="preserve"> תיקים מטילים עליהם עומס כזה, ולגבי כל אחד מאותם תיקים, התבקשו להשיב </w:t>
      </w:r>
      <w:r w:rsidR="008C1A21" w:rsidRPr="00F25744">
        <w:rPr>
          <w:rFonts w:ascii="David" w:hAnsi="David" w:cs="David" w:hint="cs"/>
          <w:sz w:val="24"/>
          <w:szCs w:val="24"/>
          <w:rtl/>
        </w:rPr>
        <w:t>מהי</w:t>
      </w:r>
      <w:r w:rsidR="005C285B" w:rsidRPr="00F25744">
        <w:rPr>
          <w:rFonts w:ascii="David" w:hAnsi="David" w:cs="David" w:hint="cs"/>
          <w:sz w:val="24"/>
          <w:szCs w:val="24"/>
          <w:rtl/>
        </w:rPr>
        <w:t xml:space="preserve"> </w:t>
      </w:r>
      <w:r w:rsidRPr="00F25744">
        <w:rPr>
          <w:rFonts w:ascii="David" w:hAnsi="David" w:cs="David" w:hint="cs"/>
          <w:b/>
          <w:bCs/>
          <w:sz w:val="24"/>
          <w:szCs w:val="24"/>
          <w:rtl/>
        </w:rPr>
        <w:t>מידת</w:t>
      </w:r>
      <w:r w:rsidRPr="00F25744">
        <w:rPr>
          <w:rFonts w:ascii="David" w:hAnsi="David" w:cs="David" w:hint="cs"/>
          <w:sz w:val="24"/>
          <w:szCs w:val="24"/>
          <w:rtl/>
        </w:rPr>
        <w:t xml:space="preserve"> </w:t>
      </w:r>
      <w:r w:rsidRPr="00F25744">
        <w:rPr>
          <w:rFonts w:ascii="David" w:hAnsi="David" w:cs="David" w:hint="cs"/>
          <w:sz w:val="24"/>
          <w:szCs w:val="24"/>
          <w:rtl/>
        </w:rPr>
        <w:lastRenderedPageBreak/>
        <w:t>העומס שהם חווים. סקאלת התשובות כללה את האפשרויות הבאות: "</w:t>
      </w:r>
      <w:r w:rsidRPr="00F25744">
        <w:rPr>
          <w:rFonts w:ascii="David" w:hAnsi="David" w:cs="David" w:hint="cs"/>
          <w:b/>
          <w:bCs/>
          <w:sz w:val="24"/>
          <w:szCs w:val="24"/>
          <w:rtl/>
        </w:rPr>
        <w:t>עומס רגשי כבד</w:t>
      </w:r>
      <w:r w:rsidRPr="00F25744">
        <w:rPr>
          <w:rFonts w:ascii="David" w:hAnsi="David" w:cs="David" w:hint="cs"/>
          <w:sz w:val="24"/>
          <w:szCs w:val="24"/>
          <w:rtl/>
        </w:rPr>
        <w:t>", "</w:t>
      </w:r>
      <w:r w:rsidRPr="00F25744">
        <w:rPr>
          <w:rFonts w:ascii="David" w:hAnsi="David" w:cs="David" w:hint="cs"/>
          <w:b/>
          <w:bCs/>
          <w:sz w:val="24"/>
          <w:szCs w:val="24"/>
          <w:rtl/>
        </w:rPr>
        <w:t>עומס רגשי בינוני</w:t>
      </w:r>
      <w:r w:rsidRPr="00F25744">
        <w:rPr>
          <w:rFonts w:ascii="David" w:hAnsi="David" w:cs="David" w:hint="cs"/>
          <w:sz w:val="24"/>
          <w:szCs w:val="24"/>
          <w:rtl/>
        </w:rPr>
        <w:t>", "</w:t>
      </w:r>
      <w:r w:rsidRPr="00F25744">
        <w:rPr>
          <w:rFonts w:ascii="David" w:hAnsi="David" w:cs="David" w:hint="cs"/>
          <w:b/>
          <w:bCs/>
          <w:sz w:val="24"/>
          <w:szCs w:val="24"/>
          <w:rtl/>
        </w:rPr>
        <w:t>עומס רגשי קל</w:t>
      </w:r>
      <w:r w:rsidRPr="00F25744">
        <w:rPr>
          <w:rFonts w:ascii="David" w:hAnsi="David" w:cs="David" w:hint="cs"/>
          <w:sz w:val="24"/>
          <w:szCs w:val="24"/>
          <w:rtl/>
        </w:rPr>
        <w:t>", ו"</w:t>
      </w:r>
      <w:r w:rsidRPr="00F25744">
        <w:rPr>
          <w:rFonts w:ascii="David" w:hAnsi="David" w:cs="David" w:hint="cs"/>
          <w:b/>
          <w:bCs/>
          <w:sz w:val="24"/>
          <w:szCs w:val="24"/>
          <w:rtl/>
        </w:rPr>
        <w:t>לא מטיל עומס רגשי</w:t>
      </w:r>
      <w:r w:rsidRPr="00F25744">
        <w:rPr>
          <w:rFonts w:ascii="David" w:hAnsi="David" w:cs="David" w:hint="cs"/>
          <w:sz w:val="24"/>
          <w:szCs w:val="24"/>
          <w:rtl/>
        </w:rPr>
        <w:t xml:space="preserve">". </w:t>
      </w:r>
    </w:p>
    <w:p w14:paraId="69FE3BBC" w14:textId="77777777" w:rsidR="008E34F7" w:rsidRPr="00F25744" w:rsidRDefault="00E25AE7" w:rsidP="008336F3">
      <w:pPr>
        <w:spacing w:before="120" w:after="0" w:line="360" w:lineRule="auto"/>
        <w:jc w:val="both"/>
        <w:rPr>
          <w:rFonts w:ascii="David" w:hAnsi="David" w:cs="David"/>
          <w:sz w:val="24"/>
          <w:szCs w:val="24"/>
        </w:rPr>
      </w:pPr>
      <w:r w:rsidRPr="00F25744">
        <w:rPr>
          <w:rFonts w:ascii="David" w:hAnsi="David" w:cs="David" w:hint="cs"/>
          <w:b/>
          <w:bCs/>
          <w:sz w:val="24"/>
          <w:szCs w:val="24"/>
          <w:rtl/>
        </w:rPr>
        <w:t>בחלק השלישי</w:t>
      </w:r>
      <w:r w:rsidRPr="00F25744">
        <w:rPr>
          <w:rFonts w:ascii="David" w:hAnsi="David" w:cs="David" w:hint="cs"/>
          <w:sz w:val="24"/>
          <w:szCs w:val="24"/>
          <w:rtl/>
        </w:rPr>
        <w:t xml:space="preserve">, ועל מנת להבין יותר לעומק את ביטויי העומס הרגשי אצל השופטים והרשמים, התבקשו השופטים להשיב על השאלות הבאות, ביחס לכל תיק שאותו סימנו כמטיל עומס רגשי: </w:t>
      </w:r>
    </w:p>
    <w:p w14:paraId="594693A1" w14:textId="77777777" w:rsidR="008E34F7" w:rsidRPr="00F25744" w:rsidRDefault="00E25AE7" w:rsidP="008336F3">
      <w:pPr>
        <w:numPr>
          <w:ilvl w:val="0"/>
          <w:numId w:val="23"/>
        </w:numPr>
        <w:spacing w:after="0" w:line="360" w:lineRule="auto"/>
        <w:ind w:left="425" w:hanging="425"/>
        <w:jc w:val="both"/>
        <w:rPr>
          <w:rFonts w:ascii="David" w:hAnsi="David" w:cs="David"/>
          <w:sz w:val="24"/>
          <w:szCs w:val="24"/>
        </w:rPr>
      </w:pPr>
      <w:r w:rsidRPr="00F25744">
        <w:rPr>
          <w:rFonts w:ascii="David" w:hAnsi="David" w:cs="David" w:hint="cs"/>
          <w:b/>
          <w:bCs/>
          <w:sz w:val="24"/>
          <w:szCs w:val="24"/>
          <w:rtl/>
        </w:rPr>
        <w:t>כמות</w:t>
      </w:r>
      <w:r w:rsidRPr="00F25744">
        <w:rPr>
          <w:rFonts w:ascii="David" w:hAnsi="David" w:cs="David" w:hint="cs"/>
          <w:sz w:val="24"/>
          <w:szCs w:val="24"/>
          <w:rtl/>
        </w:rPr>
        <w:t xml:space="preserve"> התיקים מאותו סוג שהטיפול בהם מטיל עליך </w:t>
      </w:r>
      <w:r w:rsidRPr="00F25744">
        <w:rPr>
          <w:rFonts w:ascii="David" w:hAnsi="David" w:cs="David" w:hint="cs"/>
          <w:b/>
          <w:bCs/>
          <w:sz w:val="24"/>
          <w:szCs w:val="24"/>
          <w:rtl/>
        </w:rPr>
        <w:t>עומס רגשי מיוחד</w:t>
      </w:r>
      <w:r w:rsidRPr="00F25744">
        <w:rPr>
          <w:rFonts w:ascii="David" w:hAnsi="David" w:cs="David" w:hint="cs"/>
          <w:sz w:val="24"/>
          <w:szCs w:val="24"/>
          <w:rtl/>
        </w:rPr>
        <w:t>. סקאלת התשובות כללה את האפשרויות: "</w:t>
      </w:r>
      <w:r w:rsidRPr="00F25744">
        <w:rPr>
          <w:rFonts w:ascii="David" w:hAnsi="David" w:cs="David" w:hint="cs"/>
          <w:b/>
          <w:bCs/>
          <w:sz w:val="24"/>
          <w:szCs w:val="24"/>
          <w:rtl/>
        </w:rPr>
        <w:t>חלק קטן מהתיקים</w:t>
      </w:r>
      <w:r w:rsidRPr="00F25744">
        <w:rPr>
          <w:rFonts w:ascii="David" w:hAnsi="David" w:cs="David" w:hint="cs"/>
          <w:sz w:val="24"/>
          <w:szCs w:val="24"/>
          <w:rtl/>
        </w:rPr>
        <w:t>", "</w:t>
      </w:r>
      <w:r w:rsidRPr="00F25744">
        <w:rPr>
          <w:rFonts w:ascii="David" w:hAnsi="David" w:cs="David" w:hint="cs"/>
          <w:b/>
          <w:bCs/>
          <w:sz w:val="24"/>
          <w:szCs w:val="24"/>
          <w:rtl/>
        </w:rPr>
        <w:t>כמחצית מהתיקים</w:t>
      </w:r>
      <w:r w:rsidRPr="00F25744">
        <w:rPr>
          <w:rFonts w:ascii="David" w:hAnsi="David" w:cs="David" w:hint="cs"/>
          <w:sz w:val="24"/>
          <w:szCs w:val="24"/>
          <w:rtl/>
        </w:rPr>
        <w:t>", "</w:t>
      </w:r>
      <w:r w:rsidRPr="00F25744">
        <w:rPr>
          <w:rFonts w:ascii="David" w:hAnsi="David" w:cs="David" w:hint="cs"/>
          <w:b/>
          <w:bCs/>
          <w:sz w:val="24"/>
          <w:szCs w:val="24"/>
          <w:rtl/>
        </w:rPr>
        <w:t>רוב התיקים</w:t>
      </w:r>
      <w:r w:rsidRPr="00F25744">
        <w:rPr>
          <w:rFonts w:ascii="David" w:hAnsi="David" w:cs="David" w:hint="cs"/>
          <w:sz w:val="24"/>
          <w:szCs w:val="24"/>
          <w:rtl/>
        </w:rPr>
        <w:t>" ו"</w:t>
      </w:r>
      <w:r w:rsidRPr="00F25744">
        <w:rPr>
          <w:rFonts w:ascii="David" w:hAnsi="David" w:cs="David" w:hint="cs"/>
          <w:b/>
          <w:bCs/>
          <w:sz w:val="24"/>
          <w:szCs w:val="24"/>
          <w:rtl/>
        </w:rPr>
        <w:t>כל התיקים</w:t>
      </w:r>
      <w:r w:rsidRPr="00F25744">
        <w:rPr>
          <w:rFonts w:ascii="David" w:hAnsi="David" w:cs="David" w:hint="cs"/>
          <w:sz w:val="24"/>
          <w:szCs w:val="24"/>
          <w:rtl/>
        </w:rPr>
        <w:t>";</w:t>
      </w:r>
    </w:p>
    <w:p w14:paraId="039A7CC1" w14:textId="77777777" w:rsidR="008E34F7" w:rsidRPr="00F25744" w:rsidRDefault="00E25AE7" w:rsidP="008336F3">
      <w:pPr>
        <w:numPr>
          <w:ilvl w:val="0"/>
          <w:numId w:val="23"/>
        </w:numPr>
        <w:spacing w:after="0" w:line="360" w:lineRule="auto"/>
        <w:ind w:left="425" w:hanging="425"/>
        <w:jc w:val="both"/>
        <w:rPr>
          <w:rFonts w:ascii="David" w:hAnsi="David" w:cs="David"/>
          <w:sz w:val="24"/>
          <w:szCs w:val="24"/>
        </w:rPr>
      </w:pPr>
      <w:r w:rsidRPr="00F25744">
        <w:rPr>
          <w:rFonts w:ascii="David" w:hAnsi="David" w:cs="David" w:hint="cs"/>
          <w:b/>
          <w:bCs/>
          <w:sz w:val="24"/>
          <w:szCs w:val="24"/>
          <w:rtl/>
        </w:rPr>
        <w:t>כמות</w:t>
      </w:r>
      <w:r w:rsidRPr="00F25744">
        <w:rPr>
          <w:rFonts w:ascii="David" w:hAnsi="David" w:cs="David" w:hint="cs"/>
          <w:sz w:val="24"/>
          <w:szCs w:val="24"/>
          <w:rtl/>
        </w:rPr>
        <w:t xml:space="preserve"> התיקים </w:t>
      </w:r>
      <w:r w:rsidRPr="00F25744">
        <w:rPr>
          <w:rFonts w:ascii="David" w:hAnsi="David" w:cs="David" w:hint="cs"/>
          <w:b/>
          <w:bCs/>
          <w:sz w:val="24"/>
          <w:szCs w:val="24"/>
          <w:rtl/>
        </w:rPr>
        <w:t>מאותו סוג</w:t>
      </w:r>
      <w:r w:rsidRPr="00F25744">
        <w:rPr>
          <w:rFonts w:ascii="David" w:hAnsi="David" w:cs="David" w:hint="cs"/>
          <w:sz w:val="24"/>
          <w:szCs w:val="24"/>
          <w:rtl/>
        </w:rPr>
        <w:t xml:space="preserve"> שבהם נחוצה לך</w:t>
      </w:r>
      <w:r w:rsidRPr="00F25744">
        <w:rPr>
          <w:rFonts w:ascii="David" w:hAnsi="David" w:cs="David" w:hint="cs"/>
          <w:b/>
          <w:bCs/>
          <w:sz w:val="24"/>
          <w:szCs w:val="24"/>
          <w:rtl/>
        </w:rPr>
        <w:t xml:space="preserve"> התייעצות</w:t>
      </w:r>
      <w:r w:rsidRPr="00F25744">
        <w:rPr>
          <w:rFonts w:ascii="David" w:hAnsi="David" w:cs="David" w:hint="cs"/>
          <w:sz w:val="24"/>
          <w:szCs w:val="24"/>
          <w:rtl/>
        </w:rPr>
        <w:t xml:space="preserve"> או </w:t>
      </w:r>
      <w:r w:rsidRPr="00F25744">
        <w:rPr>
          <w:rFonts w:ascii="David" w:hAnsi="David" w:cs="David" w:hint="cs"/>
          <w:b/>
          <w:bCs/>
          <w:sz w:val="24"/>
          <w:szCs w:val="24"/>
          <w:rtl/>
        </w:rPr>
        <w:t>שיחה</w:t>
      </w:r>
      <w:r w:rsidRPr="00F25744">
        <w:rPr>
          <w:rFonts w:ascii="David" w:hAnsi="David" w:cs="David" w:hint="cs"/>
          <w:sz w:val="24"/>
          <w:szCs w:val="24"/>
          <w:rtl/>
        </w:rPr>
        <w:t xml:space="preserve"> עם שופטים אחרים בשל הקושי הרגשי;</w:t>
      </w:r>
    </w:p>
    <w:p w14:paraId="58B0B5DA" w14:textId="77777777" w:rsidR="008E34F7" w:rsidRPr="00F25744" w:rsidRDefault="00E25AE7" w:rsidP="008336F3">
      <w:pPr>
        <w:numPr>
          <w:ilvl w:val="0"/>
          <w:numId w:val="23"/>
        </w:numPr>
        <w:spacing w:after="0" w:line="360" w:lineRule="auto"/>
        <w:ind w:left="425" w:hanging="425"/>
        <w:jc w:val="both"/>
        <w:rPr>
          <w:rFonts w:ascii="David" w:hAnsi="David" w:cs="David"/>
          <w:sz w:val="24"/>
          <w:szCs w:val="24"/>
        </w:rPr>
      </w:pPr>
      <w:r w:rsidRPr="00F25744">
        <w:rPr>
          <w:rFonts w:ascii="David" w:hAnsi="David" w:cs="David" w:hint="cs"/>
          <w:b/>
          <w:bCs/>
          <w:sz w:val="24"/>
          <w:szCs w:val="24"/>
          <w:rtl/>
        </w:rPr>
        <w:t>כמות</w:t>
      </w:r>
      <w:r w:rsidRPr="00F25744">
        <w:rPr>
          <w:rFonts w:ascii="David" w:hAnsi="David" w:cs="David" w:hint="cs"/>
          <w:sz w:val="24"/>
          <w:szCs w:val="24"/>
          <w:rtl/>
        </w:rPr>
        <w:t xml:space="preserve"> התיקים </w:t>
      </w:r>
      <w:r w:rsidRPr="00F25744">
        <w:rPr>
          <w:rFonts w:ascii="David" w:hAnsi="David" w:cs="David" w:hint="cs"/>
          <w:b/>
          <w:bCs/>
          <w:sz w:val="24"/>
          <w:szCs w:val="24"/>
          <w:rtl/>
        </w:rPr>
        <w:t>מאותו סוג</w:t>
      </w:r>
      <w:r w:rsidRPr="00F25744">
        <w:rPr>
          <w:rFonts w:ascii="David" w:hAnsi="David" w:cs="David" w:hint="cs"/>
          <w:sz w:val="24"/>
          <w:szCs w:val="24"/>
          <w:rtl/>
        </w:rPr>
        <w:t xml:space="preserve"> שבהם את/ה </w:t>
      </w:r>
      <w:r w:rsidRPr="00F25744">
        <w:rPr>
          <w:rFonts w:ascii="David" w:hAnsi="David" w:cs="David" w:hint="cs"/>
          <w:b/>
          <w:bCs/>
          <w:sz w:val="24"/>
          <w:szCs w:val="24"/>
          <w:rtl/>
        </w:rPr>
        <w:t>ממשיך/ה לחשוב על התיק</w:t>
      </w:r>
      <w:r w:rsidRPr="00F25744">
        <w:rPr>
          <w:rFonts w:ascii="David" w:hAnsi="David" w:cs="David" w:hint="cs"/>
          <w:sz w:val="24"/>
          <w:szCs w:val="24"/>
          <w:rtl/>
        </w:rPr>
        <w:t xml:space="preserve"> מחוץ לשעות העבודה;</w:t>
      </w:r>
    </w:p>
    <w:p w14:paraId="0E3D5FD0" w14:textId="77777777" w:rsidR="008E34F7" w:rsidRPr="00F25744" w:rsidRDefault="00E25AE7" w:rsidP="008336F3">
      <w:pPr>
        <w:numPr>
          <w:ilvl w:val="0"/>
          <w:numId w:val="23"/>
        </w:numPr>
        <w:spacing w:after="0" w:line="360" w:lineRule="auto"/>
        <w:ind w:left="425" w:hanging="425"/>
        <w:jc w:val="both"/>
        <w:rPr>
          <w:rFonts w:ascii="David" w:hAnsi="David" w:cs="David"/>
          <w:sz w:val="24"/>
          <w:szCs w:val="24"/>
        </w:rPr>
      </w:pPr>
      <w:r w:rsidRPr="00F25744">
        <w:rPr>
          <w:rFonts w:ascii="David" w:hAnsi="David" w:cs="David" w:hint="cs"/>
          <w:b/>
          <w:bCs/>
          <w:sz w:val="24"/>
          <w:szCs w:val="24"/>
          <w:rtl/>
        </w:rPr>
        <w:t>כמות</w:t>
      </w:r>
      <w:r w:rsidRPr="00F25744">
        <w:rPr>
          <w:rFonts w:ascii="David" w:hAnsi="David" w:cs="David" w:hint="cs"/>
          <w:sz w:val="24"/>
          <w:szCs w:val="24"/>
          <w:rtl/>
        </w:rPr>
        <w:t xml:space="preserve"> התיקים </w:t>
      </w:r>
      <w:r w:rsidRPr="00F25744">
        <w:rPr>
          <w:rFonts w:ascii="David" w:hAnsi="David" w:cs="David" w:hint="cs"/>
          <w:b/>
          <w:bCs/>
          <w:sz w:val="24"/>
          <w:szCs w:val="24"/>
          <w:rtl/>
        </w:rPr>
        <w:t>מאותו סוג</w:t>
      </w:r>
      <w:r w:rsidRPr="00F25744">
        <w:rPr>
          <w:rFonts w:ascii="David" w:hAnsi="David" w:cs="David" w:hint="cs"/>
          <w:sz w:val="24"/>
          <w:szCs w:val="24"/>
          <w:rtl/>
        </w:rPr>
        <w:t xml:space="preserve"> שבהם נדרש לך </w:t>
      </w:r>
      <w:r w:rsidRPr="00F25744">
        <w:rPr>
          <w:rFonts w:ascii="David" w:hAnsi="David" w:cs="David" w:hint="cs"/>
          <w:b/>
          <w:bCs/>
          <w:sz w:val="24"/>
          <w:szCs w:val="24"/>
          <w:rtl/>
        </w:rPr>
        <w:t>זמן התאווררות</w:t>
      </w:r>
      <w:r w:rsidRPr="00F25744">
        <w:rPr>
          <w:rFonts w:ascii="David" w:hAnsi="David" w:cs="David" w:hint="cs"/>
          <w:sz w:val="24"/>
          <w:szCs w:val="24"/>
          <w:rtl/>
        </w:rPr>
        <w:t xml:space="preserve"> עד שאתה מוכן לטיפול בתיק הבא;</w:t>
      </w:r>
    </w:p>
    <w:p w14:paraId="63916C74" w14:textId="77777777" w:rsidR="008E34F7" w:rsidRPr="00F25744" w:rsidRDefault="00E25AE7" w:rsidP="008336F3">
      <w:pPr>
        <w:numPr>
          <w:ilvl w:val="0"/>
          <w:numId w:val="23"/>
        </w:numPr>
        <w:spacing w:after="0" w:line="360" w:lineRule="auto"/>
        <w:ind w:left="425" w:hanging="425"/>
        <w:jc w:val="both"/>
        <w:rPr>
          <w:rFonts w:ascii="David" w:hAnsi="David" w:cs="David"/>
          <w:sz w:val="24"/>
          <w:szCs w:val="24"/>
        </w:rPr>
      </w:pPr>
      <w:r w:rsidRPr="00F25744">
        <w:rPr>
          <w:rFonts w:ascii="David" w:hAnsi="David" w:cs="David" w:hint="cs"/>
          <w:b/>
          <w:bCs/>
          <w:sz w:val="24"/>
          <w:szCs w:val="24"/>
          <w:rtl/>
        </w:rPr>
        <w:t>כמות</w:t>
      </w:r>
      <w:r w:rsidRPr="00F25744">
        <w:rPr>
          <w:rFonts w:ascii="David" w:hAnsi="David" w:cs="David" w:hint="cs"/>
          <w:sz w:val="24"/>
          <w:szCs w:val="24"/>
          <w:rtl/>
        </w:rPr>
        <w:t xml:space="preserve"> התיקים </w:t>
      </w:r>
      <w:r w:rsidRPr="00F25744">
        <w:rPr>
          <w:rFonts w:ascii="David" w:hAnsi="David" w:cs="David" w:hint="cs"/>
          <w:b/>
          <w:bCs/>
          <w:sz w:val="24"/>
          <w:szCs w:val="24"/>
          <w:rtl/>
        </w:rPr>
        <w:t>מאותו סוג</w:t>
      </w:r>
      <w:r w:rsidRPr="00F25744">
        <w:rPr>
          <w:rFonts w:ascii="David" w:hAnsi="David" w:cs="David" w:hint="cs"/>
          <w:sz w:val="24"/>
          <w:szCs w:val="24"/>
          <w:rtl/>
        </w:rPr>
        <w:t xml:space="preserve"> שבהם נדרש לך </w:t>
      </w:r>
      <w:r w:rsidRPr="00F25744">
        <w:rPr>
          <w:rFonts w:ascii="David" w:hAnsi="David" w:cs="David" w:hint="cs"/>
          <w:b/>
          <w:bCs/>
          <w:sz w:val="24"/>
          <w:szCs w:val="24"/>
          <w:rtl/>
        </w:rPr>
        <w:t>זמן רב יותר לטיפול משפטי</w:t>
      </w:r>
      <w:r w:rsidRPr="00F25744">
        <w:rPr>
          <w:rFonts w:ascii="David" w:hAnsi="David" w:cs="David" w:hint="cs"/>
          <w:sz w:val="24"/>
          <w:szCs w:val="24"/>
          <w:rtl/>
        </w:rPr>
        <w:t xml:space="preserve"> בתיק בשל העומס הרגשי (למשל, זמן דיונים ארוך יותר, זמן כתיבה ארוך יותר וכו'). </w:t>
      </w:r>
    </w:p>
    <w:p w14:paraId="5CFA7954" w14:textId="77777777" w:rsidR="008E34F7" w:rsidRPr="00F25744" w:rsidRDefault="00E25AE7" w:rsidP="008336F3">
      <w:pPr>
        <w:spacing w:before="120" w:after="0" w:line="360" w:lineRule="auto"/>
        <w:jc w:val="both"/>
        <w:rPr>
          <w:rFonts w:ascii="David" w:hAnsi="David" w:cs="David"/>
          <w:sz w:val="24"/>
          <w:szCs w:val="24"/>
        </w:rPr>
      </w:pPr>
      <w:r w:rsidRPr="00F25744">
        <w:rPr>
          <w:rFonts w:ascii="David" w:hAnsi="David" w:cs="David" w:hint="cs"/>
          <w:sz w:val="24"/>
          <w:szCs w:val="24"/>
          <w:rtl/>
        </w:rPr>
        <w:t>סקאלת התשובות על ארבע השאלות האחרונות כללה את האפשרויות: "</w:t>
      </w:r>
      <w:r w:rsidRPr="00F25744">
        <w:rPr>
          <w:rFonts w:ascii="David" w:hAnsi="David" w:cs="David" w:hint="cs"/>
          <w:b/>
          <w:bCs/>
          <w:sz w:val="24"/>
          <w:szCs w:val="24"/>
          <w:rtl/>
        </w:rPr>
        <w:t>בכלל לא</w:t>
      </w:r>
      <w:r w:rsidRPr="00F25744">
        <w:rPr>
          <w:rFonts w:ascii="David" w:hAnsi="David" w:cs="David" w:hint="cs"/>
          <w:sz w:val="24"/>
          <w:szCs w:val="24"/>
          <w:rtl/>
        </w:rPr>
        <w:t>", "</w:t>
      </w:r>
      <w:r w:rsidRPr="00F25744">
        <w:rPr>
          <w:rFonts w:ascii="David" w:hAnsi="David" w:cs="David" w:hint="cs"/>
          <w:b/>
          <w:bCs/>
          <w:sz w:val="24"/>
          <w:szCs w:val="24"/>
          <w:rtl/>
        </w:rPr>
        <w:t>חלק קטן מהתיקים</w:t>
      </w:r>
      <w:r w:rsidRPr="00F25744">
        <w:rPr>
          <w:rFonts w:ascii="David" w:hAnsi="David" w:cs="David" w:hint="cs"/>
          <w:sz w:val="24"/>
          <w:szCs w:val="24"/>
          <w:rtl/>
        </w:rPr>
        <w:t>", "</w:t>
      </w:r>
      <w:r w:rsidRPr="00F25744">
        <w:rPr>
          <w:rFonts w:ascii="David" w:hAnsi="David" w:cs="David" w:hint="cs"/>
          <w:b/>
          <w:bCs/>
          <w:sz w:val="24"/>
          <w:szCs w:val="24"/>
          <w:rtl/>
        </w:rPr>
        <w:t>כמחצית מהתיקים</w:t>
      </w:r>
      <w:r w:rsidRPr="00F25744">
        <w:rPr>
          <w:rFonts w:ascii="David" w:hAnsi="David" w:cs="David" w:hint="cs"/>
          <w:sz w:val="24"/>
          <w:szCs w:val="24"/>
          <w:rtl/>
        </w:rPr>
        <w:t>", "</w:t>
      </w:r>
      <w:r w:rsidRPr="00F25744">
        <w:rPr>
          <w:rFonts w:ascii="David" w:hAnsi="David" w:cs="David" w:hint="cs"/>
          <w:b/>
          <w:bCs/>
          <w:sz w:val="24"/>
          <w:szCs w:val="24"/>
          <w:rtl/>
        </w:rPr>
        <w:t>רוב התיקים</w:t>
      </w:r>
      <w:r w:rsidRPr="00F25744">
        <w:rPr>
          <w:rFonts w:ascii="David" w:hAnsi="David" w:cs="David" w:hint="cs"/>
          <w:sz w:val="24"/>
          <w:szCs w:val="24"/>
          <w:rtl/>
        </w:rPr>
        <w:t>" ו"</w:t>
      </w:r>
      <w:r w:rsidRPr="00F25744">
        <w:rPr>
          <w:rFonts w:ascii="David" w:hAnsi="David" w:cs="David" w:hint="cs"/>
          <w:b/>
          <w:bCs/>
          <w:sz w:val="24"/>
          <w:szCs w:val="24"/>
          <w:rtl/>
        </w:rPr>
        <w:t>כל התיקים</w:t>
      </w:r>
      <w:r w:rsidRPr="00F25744">
        <w:rPr>
          <w:rFonts w:ascii="David" w:hAnsi="David" w:cs="David" w:hint="cs"/>
          <w:sz w:val="24"/>
          <w:szCs w:val="24"/>
          <w:rtl/>
        </w:rPr>
        <w:t>".</w:t>
      </w:r>
    </w:p>
    <w:p w14:paraId="100D6788" w14:textId="77777777" w:rsidR="00B1025A" w:rsidRPr="00F25744" w:rsidRDefault="00E25AE7" w:rsidP="008336F3">
      <w:pPr>
        <w:spacing w:before="120" w:after="0" w:line="360" w:lineRule="auto"/>
        <w:jc w:val="both"/>
        <w:rPr>
          <w:rtl/>
        </w:rPr>
      </w:pPr>
      <w:r w:rsidRPr="00F25744">
        <w:rPr>
          <w:rFonts w:ascii="David" w:hAnsi="David" w:cs="David"/>
          <w:sz w:val="24"/>
          <w:szCs w:val="24"/>
          <w:rtl/>
        </w:rPr>
        <w:t xml:space="preserve">להלן יוצגו התפלגויות תשובות השופטים </w:t>
      </w:r>
      <w:r w:rsidRPr="00F25744">
        <w:rPr>
          <w:rFonts w:ascii="David" w:hAnsi="David" w:cs="David" w:hint="cs"/>
          <w:sz w:val="24"/>
          <w:szCs w:val="24"/>
          <w:rtl/>
        </w:rPr>
        <w:t>עבור השאלות השונות המפורטות לעיל ביחס לעומס הרגשי,</w:t>
      </w:r>
      <w:r w:rsidRPr="00F25744">
        <w:rPr>
          <w:rFonts w:ascii="David" w:hAnsi="David" w:cs="David"/>
          <w:sz w:val="24"/>
          <w:szCs w:val="24"/>
          <w:rtl/>
        </w:rPr>
        <w:t xml:space="preserve"> </w:t>
      </w:r>
      <w:r w:rsidRPr="00F25744">
        <w:rPr>
          <w:rFonts w:ascii="David" w:hAnsi="David" w:cs="David"/>
          <w:b/>
          <w:bCs/>
          <w:sz w:val="24"/>
          <w:szCs w:val="24"/>
          <w:rtl/>
        </w:rPr>
        <w:t>בחלוקה על פי ערכאות</w:t>
      </w:r>
      <w:r w:rsidRPr="00F25744">
        <w:rPr>
          <w:rFonts w:ascii="David" w:hAnsi="David" w:cs="David" w:hint="cs"/>
          <w:sz w:val="24"/>
          <w:szCs w:val="24"/>
          <w:rtl/>
        </w:rPr>
        <w:t xml:space="preserve">. </w:t>
      </w:r>
      <w:r w:rsidR="006F7DAB" w:rsidRPr="00F25744">
        <w:rPr>
          <w:rFonts w:ascii="David" w:hAnsi="David" w:cs="David" w:hint="cs"/>
          <w:sz w:val="24"/>
          <w:szCs w:val="24"/>
          <w:rtl/>
        </w:rPr>
        <w:t>יובהר, כי לא הצגנו כאן את תשובות השופטים לגבי כל סוגי התיקים, אלא</w:t>
      </w:r>
      <w:r w:rsidR="00DE74CA" w:rsidRPr="00F25744">
        <w:rPr>
          <w:rFonts w:ascii="David" w:hAnsi="David" w:cs="David" w:hint="cs"/>
          <w:sz w:val="24"/>
          <w:szCs w:val="24"/>
          <w:rtl/>
        </w:rPr>
        <w:t xml:space="preserve"> בחרנו להתמקד בסוגי התיקים העיקריים מכל ערכאה אשר מטילים עומס רגשי מיוחד ואשר השופטים דיווחו כי עומס זה בא </w:t>
      </w:r>
      <w:r w:rsidR="00341018" w:rsidRPr="00F25744">
        <w:rPr>
          <w:rFonts w:ascii="David" w:hAnsi="David" w:cs="David" w:hint="cs"/>
          <w:sz w:val="24"/>
          <w:szCs w:val="24"/>
          <w:rtl/>
        </w:rPr>
        <w:t xml:space="preserve">לידי ביטוי </w:t>
      </w:r>
      <w:r w:rsidR="00DE74CA" w:rsidRPr="00F25744">
        <w:rPr>
          <w:rFonts w:ascii="David" w:hAnsi="David" w:cs="David" w:hint="cs"/>
          <w:sz w:val="24"/>
          <w:szCs w:val="24"/>
          <w:rtl/>
        </w:rPr>
        <w:t>באותם תיקים בכמה אופנים. על כן, בטבלה שלהלן יוצגו רק ס</w:t>
      </w:r>
      <w:r w:rsidR="006F7DAB" w:rsidRPr="00F25744">
        <w:rPr>
          <w:rFonts w:ascii="David" w:hAnsi="David" w:cs="David" w:hint="cs"/>
          <w:sz w:val="24"/>
          <w:szCs w:val="24"/>
          <w:rtl/>
        </w:rPr>
        <w:t xml:space="preserve">וגי התיקים שבהם בחרו מעל עשרה שופטים כמטילים עומס רגשי מיוחד, </w:t>
      </w:r>
      <w:r w:rsidR="00554EAA" w:rsidRPr="00F25744">
        <w:rPr>
          <w:rFonts w:ascii="David" w:hAnsi="David" w:cs="David" w:hint="cs"/>
          <w:sz w:val="24"/>
          <w:szCs w:val="24"/>
          <w:rtl/>
        </w:rPr>
        <w:t xml:space="preserve">ואשר רובם השיבו כי תיק זה מטיל עליהם עומס </w:t>
      </w:r>
      <w:r w:rsidR="00DE74CA" w:rsidRPr="00F25744">
        <w:rPr>
          <w:rFonts w:ascii="David" w:hAnsi="David" w:cs="David" w:hint="cs"/>
          <w:sz w:val="24"/>
          <w:szCs w:val="24"/>
          <w:rtl/>
        </w:rPr>
        <w:t xml:space="preserve">רגשי </w:t>
      </w:r>
      <w:r w:rsidR="00554EAA" w:rsidRPr="00F25744">
        <w:rPr>
          <w:rFonts w:ascii="David" w:hAnsi="David" w:cs="David" w:hint="cs"/>
          <w:sz w:val="24"/>
          <w:szCs w:val="24"/>
          <w:rtl/>
        </w:rPr>
        <w:t xml:space="preserve">בדרגה בינונית או כבדה, </w:t>
      </w:r>
      <w:r w:rsidR="006F7DAB" w:rsidRPr="00F25744">
        <w:rPr>
          <w:rFonts w:ascii="David" w:hAnsi="David" w:cs="David" w:hint="cs"/>
          <w:b/>
          <w:bCs/>
          <w:sz w:val="24"/>
          <w:szCs w:val="24"/>
          <w:rtl/>
        </w:rPr>
        <w:t>או</w:t>
      </w:r>
      <w:r w:rsidR="00554EAA" w:rsidRPr="00F25744">
        <w:rPr>
          <w:rFonts w:ascii="David" w:hAnsi="David" w:cs="David" w:hint="cs"/>
          <w:sz w:val="24"/>
          <w:szCs w:val="24"/>
          <w:rtl/>
        </w:rPr>
        <w:t xml:space="preserve"> סוגי התיקים</w:t>
      </w:r>
      <w:r w:rsidR="006F7DAB" w:rsidRPr="00F25744">
        <w:rPr>
          <w:rFonts w:ascii="David" w:hAnsi="David" w:cs="David" w:hint="cs"/>
          <w:sz w:val="24"/>
          <w:szCs w:val="24"/>
          <w:rtl/>
        </w:rPr>
        <w:t xml:space="preserve"> שבהם בחרו כלל השופטים שענו על השאלון ומטפלים בסוג תיק זה. למשל, בתיק אמ"ץ קיבלנו תשובות על פרק זה משישה שופטים, </w:t>
      </w:r>
      <w:r w:rsidR="004D4B62" w:rsidRPr="00F25744">
        <w:rPr>
          <w:rFonts w:ascii="David" w:hAnsi="David" w:cs="David" w:hint="cs"/>
          <w:sz w:val="24"/>
          <w:szCs w:val="24"/>
          <w:rtl/>
        </w:rPr>
        <w:t>שהם כל השופטים שלפי השאלון המסכם מטפלים בתיקים מסוג זה</w:t>
      </w:r>
      <w:r w:rsidR="00FA302F" w:rsidRPr="00F25744">
        <w:rPr>
          <w:rFonts w:ascii="David" w:hAnsi="David" w:cs="David" w:hint="cs"/>
          <w:sz w:val="24"/>
          <w:szCs w:val="24"/>
          <w:rtl/>
        </w:rPr>
        <w:t xml:space="preserve">, ואשר ציינו </w:t>
      </w:r>
      <w:r w:rsidR="006F7DAB" w:rsidRPr="00F25744">
        <w:rPr>
          <w:rFonts w:ascii="David" w:hAnsi="David" w:cs="David" w:hint="cs"/>
          <w:sz w:val="24"/>
          <w:szCs w:val="24"/>
          <w:rtl/>
        </w:rPr>
        <w:t>את סוג התיק הזה כמטיל עומס רגשי מיוחד</w:t>
      </w:r>
      <w:r w:rsidR="00341018" w:rsidRPr="00F25744">
        <w:rPr>
          <w:rFonts w:ascii="David" w:hAnsi="David" w:cs="David" w:hint="cs"/>
          <w:sz w:val="24"/>
          <w:szCs w:val="24"/>
          <w:rtl/>
        </w:rPr>
        <w:t xml:space="preserve">. </w:t>
      </w:r>
      <w:r w:rsidR="006F7DAB" w:rsidRPr="00F25744">
        <w:rPr>
          <w:rFonts w:ascii="David" w:hAnsi="David" w:cs="David" w:hint="cs"/>
          <w:sz w:val="24"/>
          <w:szCs w:val="24"/>
          <w:rtl/>
        </w:rPr>
        <w:t>על כן</w:t>
      </w:r>
      <w:r w:rsidR="00341018" w:rsidRPr="00F25744">
        <w:rPr>
          <w:rFonts w:ascii="David" w:hAnsi="David" w:cs="David" w:hint="cs"/>
          <w:sz w:val="24"/>
          <w:szCs w:val="24"/>
          <w:rtl/>
        </w:rPr>
        <w:t>,</w:t>
      </w:r>
      <w:r w:rsidR="006F7DAB" w:rsidRPr="00F25744">
        <w:rPr>
          <w:rFonts w:ascii="David" w:hAnsi="David" w:cs="David" w:hint="cs"/>
          <w:sz w:val="24"/>
          <w:szCs w:val="24"/>
          <w:rtl/>
        </w:rPr>
        <w:t xml:space="preserve"> בחרנו להציג כאן את התפלגות התשובות הנוגעות לתיק זה. </w:t>
      </w:r>
      <w:bookmarkStart w:id="859" w:name="_Toc46226110"/>
      <w:bookmarkStart w:id="860" w:name="_Toc46226254"/>
      <w:bookmarkStart w:id="861" w:name="_Toc46228421"/>
      <w:bookmarkStart w:id="862" w:name="_Toc46228519"/>
      <w:bookmarkStart w:id="863" w:name="_Toc46230446"/>
      <w:bookmarkStart w:id="864" w:name="_Toc46230544"/>
      <w:r w:rsidR="00647D95" w:rsidRPr="00F25744">
        <w:rPr>
          <w:rFonts w:ascii="David" w:hAnsi="David" w:cs="David" w:hint="cs"/>
          <w:sz w:val="24"/>
          <w:szCs w:val="24"/>
          <w:rtl/>
        </w:rPr>
        <w:t xml:space="preserve">התשובות </w:t>
      </w:r>
      <w:r w:rsidR="00647D95" w:rsidRPr="00F25744">
        <w:rPr>
          <w:rFonts w:ascii="David" w:hAnsi="David" w:cs="David" w:hint="cs"/>
          <w:b/>
          <w:bCs/>
          <w:sz w:val="24"/>
          <w:szCs w:val="24"/>
          <w:rtl/>
        </w:rPr>
        <w:t>שהודגשו</w:t>
      </w:r>
      <w:r w:rsidR="00647D95" w:rsidRPr="00F25744">
        <w:rPr>
          <w:rFonts w:ascii="David" w:hAnsi="David" w:cs="David" w:hint="cs"/>
          <w:sz w:val="24"/>
          <w:szCs w:val="24"/>
          <w:rtl/>
        </w:rPr>
        <w:t xml:space="preserve"> בטבלה הן התשובות שציינו אחוזים משמעותיים מסך תשובות השופטים שהשיבו על השאלון.</w:t>
      </w:r>
    </w:p>
    <w:p w14:paraId="6D4981FA" w14:textId="77777777" w:rsidR="00B1025A" w:rsidRPr="00F25744" w:rsidRDefault="00B1025A" w:rsidP="008336F3">
      <w:pPr>
        <w:spacing w:before="120" w:after="0" w:line="360" w:lineRule="auto"/>
        <w:jc w:val="both"/>
        <w:rPr>
          <w:rtl/>
        </w:rPr>
      </w:pPr>
    </w:p>
    <w:p w14:paraId="380C4F27" w14:textId="5ECCA606" w:rsidR="00B1025A" w:rsidRPr="00F25744" w:rsidRDefault="00E25AE7" w:rsidP="000C3642">
      <w:pPr>
        <w:pStyle w:val="af6"/>
        <w:rPr>
          <w:rtl/>
        </w:rPr>
      </w:pPr>
      <w:r w:rsidRPr="00F25744">
        <w:rPr>
          <w:rtl/>
        </w:rPr>
        <w:br w:type="page"/>
      </w:r>
      <w:bookmarkStart w:id="865" w:name="_Toc76988923"/>
      <w:r w:rsidR="008534FC" w:rsidRPr="00F25744">
        <w:rPr>
          <w:rtl/>
        </w:rPr>
        <w:lastRenderedPageBreak/>
        <w:t xml:space="preserve">טבלה </w:t>
      </w:r>
      <w:r w:rsidR="008534FC" w:rsidRPr="00F25744">
        <w:rPr>
          <w:rtl/>
        </w:rPr>
        <w:fldChar w:fldCharType="begin"/>
      </w:r>
      <w:r w:rsidR="008534FC" w:rsidRPr="00F25744">
        <w:rPr>
          <w:rtl/>
        </w:rPr>
        <w:instrText xml:space="preserve"> </w:instrText>
      </w:r>
      <w:r w:rsidR="008534FC" w:rsidRPr="00F25744">
        <w:instrText>SEQ</w:instrText>
      </w:r>
      <w:r w:rsidR="008534FC" w:rsidRPr="00F25744">
        <w:rPr>
          <w:rtl/>
        </w:rPr>
        <w:instrText xml:space="preserve"> טבלה \* </w:instrText>
      </w:r>
      <w:r w:rsidR="008534FC" w:rsidRPr="00F25744">
        <w:instrText>ARABIC</w:instrText>
      </w:r>
      <w:r w:rsidR="008534FC" w:rsidRPr="00F25744">
        <w:rPr>
          <w:rtl/>
        </w:rPr>
        <w:instrText xml:space="preserve"> </w:instrText>
      </w:r>
      <w:r w:rsidR="008534FC" w:rsidRPr="00F25744">
        <w:rPr>
          <w:rtl/>
        </w:rPr>
        <w:fldChar w:fldCharType="separate"/>
      </w:r>
      <w:r w:rsidR="008F1BC3">
        <w:rPr>
          <w:noProof/>
          <w:rtl/>
        </w:rPr>
        <w:t>28</w:t>
      </w:r>
      <w:r w:rsidR="008534FC" w:rsidRPr="00F25744">
        <w:rPr>
          <w:rtl/>
        </w:rPr>
        <w:fldChar w:fldCharType="end"/>
      </w:r>
      <w:r w:rsidR="00290653" w:rsidRPr="00F25744">
        <w:rPr>
          <w:rFonts w:hint="cs"/>
          <w:rtl/>
        </w:rPr>
        <w:t>:</w:t>
      </w:r>
      <w:r w:rsidR="007F3A52" w:rsidRPr="00F25744">
        <w:rPr>
          <w:rFonts w:hint="cs"/>
          <w:rtl/>
        </w:rPr>
        <w:t xml:space="preserve"> פילוח תשובות השופטים בסוגי התיקים העיקריים המטילים עומס רגשי מיוחד</w:t>
      </w:r>
      <w:bookmarkEnd w:id="865"/>
    </w:p>
    <w:p w14:paraId="4B456468" w14:textId="77777777" w:rsidR="004248FC" w:rsidRPr="00F25744" w:rsidRDefault="004248FC" w:rsidP="00F404E9">
      <w:pPr>
        <w:spacing w:after="0" w:line="360" w:lineRule="auto"/>
        <w:jc w:val="both"/>
        <w:rPr>
          <w:rtl/>
        </w:rPr>
      </w:pPr>
      <w:bookmarkStart w:id="866" w:name="_Toc46414077"/>
      <w:bookmarkStart w:id="867" w:name="_Toc49352790"/>
      <w:bookmarkStart w:id="868" w:name="_Toc49429697"/>
      <w:bookmarkStart w:id="869" w:name="_Toc49435926"/>
      <w:r w:rsidRPr="00F25744">
        <w:rPr>
          <w:noProof/>
        </w:rPr>
        <w:drawing>
          <wp:inline distT="0" distB="0" distL="0" distR="0" wp14:anchorId="4CB29031" wp14:editId="795289A7">
            <wp:extent cx="5492115" cy="6460219"/>
            <wp:effectExtent l="0" t="0" r="0" b="0"/>
            <wp:docPr id="59" name="תמונה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92115" cy="6460219"/>
                    </a:xfrm>
                    <a:prstGeom prst="rect">
                      <a:avLst/>
                    </a:prstGeom>
                    <a:noFill/>
                  </pic:spPr>
                </pic:pic>
              </a:graphicData>
            </a:graphic>
          </wp:inline>
        </w:drawing>
      </w:r>
    </w:p>
    <w:p w14:paraId="4029D06F" w14:textId="77777777" w:rsidR="004248FC" w:rsidRPr="00F25744" w:rsidRDefault="004248FC" w:rsidP="008336F3">
      <w:pPr>
        <w:spacing w:line="240" w:lineRule="auto"/>
        <w:rPr>
          <w:rFonts w:ascii="David" w:hAnsi="David" w:cs="David"/>
        </w:rPr>
      </w:pPr>
    </w:p>
    <w:p w14:paraId="1F2E0652" w14:textId="77777777" w:rsidR="009A066C" w:rsidRPr="00F25744" w:rsidRDefault="00E25AE7" w:rsidP="008336F3">
      <w:pPr>
        <w:spacing w:before="120" w:after="0" w:line="360" w:lineRule="auto"/>
        <w:jc w:val="both"/>
        <w:rPr>
          <w:rFonts w:ascii="David" w:hAnsi="David" w:cs="David"/>
          <w:sz w:val="24"/>
          <w:szCs w:val="24"/>
          <w:rtl/>
        </w:rPr>
      </w:pPr>
      <w:r w:rsidRPr="00F25744">
        <w:rPr>
          <w:rFonts w:ascii="David" w:hAnsi="David" w:cs="David" w:hint="cs"/>
          <w:sz w:val="24"/>
          <w:szCs w:val="24"/>
          <w:rtl/>
        </w:rPr>
        <w:t xml:space="preserve">ניתן לראות, כי מרביתם המכרעת של שופטי </w:t>
      </w:r>
      <w:r w:rsidRPr="00F25744">
        <w:rPr>
          <w:rFonts w:ascii="David" w:hAnsi="David" w:cs="David" w:hint="cs"/>
          <w:b/>
          <w:bCs/>
          <w:sz w:val="24"/>
          <w:szCs w:val="24"/>
          <w:rtl/>
        </w:rPr>
        <w:t>המשפחה</w:t>
      </w:r>
      <w:r w:rsidRPr="00F25744">
        <w:rPr>
          <w:rFonts w:ascii="David" w:hAnsi="David" w:cs="David" w:hint="cs"/>
          <w:sz w:val="24"/>
          <w:szCs w:val="24"/>
          <w:rtl/>
        </w:rPr>
        <w:t xml:space="preserve"> ו</w:t>
      </w:r>
      <w:r w:rsidRPr="00F25744">
        <w:rPr>
          <w:rFonts w:ascii="David" w:hAnsi="David" w:cs="David" w:hint="cs"/>
          <w:b/>
          <w:bCs/>
          <w:sz w:val="24"/>
          <w:szCs w:val="24"/>
          <w:rtl/>
        </w:rPr>
        <w:t>הנוער</w:t>
      </w:r>
      <w:r w:rsidRPr="00F25744">
        <w:rPr>
          <w:rFonts w:ascii="David" w:hAnsi="David" w:cs="David" w:hint="cs"/>
          <w:sz w:val="24"/>
          <w:szCs w:val="24"/>
          <w:rtl/>
        </w:rPr>
        <w:t xml:space="preserve"> ציינו, לגבי סוגי התיקים המפורטים בטבלה, כי הם מטילים עליהם עומס רגשי כבד, וככלל ניתן לראות כי ביטויי העומס הרגשי באים לידי ביטוי בתיקים של בתי משפט אלו באופן מיוחד, כפי שעלה גם מהשיחות עם השופטים עובר למחקר וכפי שניתן לצפות מאופי התיקים המתנהלים בבתי המשפט ל</w:t>
      </w:r>
      <w:r w:rsidR="00F404E9" w:rsidRPr="00F25744">
        <w:rPr>
          <w:rFonts w:ascii="David" w:hAnsi="David" w:cs="David" w:hint="cs"/>
          <w:sz w:val="24"/>
          <w:szCs w:val="24"/>
          <w:rtl/>
        </w:rPr>
        <w:t xml:space="preserve">נוער ובבתי המשפט לענייני משפחה, הנושאים עמם מטען רגשי כבד. עוד ניתן לראות, כי כפי שניתן לצפות, בערכאות האחרות סוגי התיקים </w:t>
      </w:r>
      <w:r w:rsidR="00F404E9" w:rsidRPr="00F25744">
        <w:rPr>
          <w:rFonts w:ascii="David" w:hAnsi="David" w:cs="David" w:hint="cs"/>
          <w:sz w:val="24"/>
          <w:szCs w:val="24"/>
          <w:rtl/>
        </w:rPr>
        <w:lastRenderedPageBreak/>
        <w:t xml:space="preserve">שצוינו כמטילים עומס רגשי בדרגה גבוהה הם התיקים הפליליים </w:t>
      </w:r>
      <w:r w:rsidR="00F404E9" w:rsidRPr="00F25744">
        <w:rPr>
          <w:rFonts w:ascii="David" w:hAnsi="David" w:cs="David"/>
          <w:sz w:val="24"/>
          <w:szCs w:val="24"/>
          <w:rtl/>
        </w:rPr>
        <w:t>–</w:t>
      </w:r>
      <w:r w:rsidR="00F404E9" w:rsidRPr="00F25744">
        <w:rPr>
          <w:rFonts w:ascii="David" w:hAnsi="David" w:cs="David" w:hint="cs"/>
          <w:sz w:val="24"/>
          <w:szCs w:val="24"/>
          <w:rtl/>
        </w:rPr>
        <w:t xml:space="preserve"> תיק תפ"ח במחוזי, תיק ת"פ בשלום ותיק גמ"ר בתעבורה.</w:t>
      </w:r>
    </w:p>
    <w:p w14:paraId="43B54304" w14:textId="29493F32" w:rsidR="00290653" w:rsidRPr="00F25744" w:rsidRDefault="00E25AE7" w:rsidP="000C3642">
      <w:pPr>
        <w:spacing w:before="120" w:after="0" w:line="360" w:lineRule="auto"/>
        <w:jc w:val="both"/>
        <w:rPr>
          <w:rFonts w:ascii="David" w:hAnsi="David" w:cs="David"/>
          <w:sz w:val="24"/>
          <w:szCs w:val="24"/>
          <w:rtl/>
        </w:rPr>
      </w:pPr>
      <w:r w:rsidRPr="00F25744">
        <w:rPr>
          <w:rFonts w:ascii="David" w:hAnsi="David" w:cs="David" w:hint="cs"/>
          <w:sz w:val="24"/>
          <w:szCs w:val="24"/>
          <w:rtl/>
        </w:rPr>
        <w:t>להלן נבחן את ההתרשמויות העיקריות מ</w:t>
      </w:r>
      <w:r w:rsidRPr="00F25744">
        <w:rPr>
          <w:rFonts w:ascii="David" w:hAnsi="David" w:cs="David" w:hint="cs"/>
          <w:b/>
          <w:bCs/>
          <w:sz w:val="24"/>
          <w:szCs w:val="24"/>
          <w:rtl/>
        </w:rPr>
        <w:t xml:space="preserve">טבלה </w:t>
      </w:r>
      <w:r w:rsidR="00E025F4" w:rsidRPr="00F25744">
        <w:rPr>
          <w:rFonts w:ascii="David" w:hAnsi="David" w:cs="David" w:hint="cs"/>
          <w:b/>
          <w:bCs/>
          <w:sz w:val="24"/>
          <w:szCs w:val="24"/>
          <w:rtl/>
        </w:rPr>
        <w:t>2</w:t>
      </w:r>
      <w:r w:rsidR="000C3642">
        <w:rPr>
          <w:rFonts w:ascii="David" w:hAnsi="David" w:cs="David" w:hint="cs"/>
          <w:b/>
          <w:bCs/>
          <w:sz w:val="24"/>
          <w:szCs w:val="24"/>
          <w:rtl/>
        </w:rPr>
        <w:t>8</w:t>
      </w:r>
      <w:r w:rsidRPr="00F25744">
        <w:rPr>
          <w:rFonts w:ascii="David" w:hAnsi="David" w:cs="David" w:hint="cs"/>
          <w:b/>
          <w:bCs/>
          <w:sz w:val="24"/>
          <w:szCs w:val="24"/>
          <w:rtl/>
        </w:rPr>
        <w:t xml:space="preserve"> </w:t>
      </w:r>
      <w:r w:rsidRPr="00F25744">
        <w:rPr>
          <w:rFonts w:ascii="David" w:hAnsi="David" w:cs="David" w:hint="cs"/>
          <w:sz w:val="24"/>
          <w:szCs w:val="24"/>
          <w:rtl/>
        </w:rPr>
        <w:t>שלעיל:</w:t>
      </w:r>
    </w:p>
    <w:p w14:paraId="1BD8D862" w14:textId="77777777" w:rsidR="00D763FD" w:rsidRPr="00F25744" w:rsidRDefault="00E25AE7" w:rsidP="008336F3">
      <w:pPr>
        <w:spacing w:before="120" w:after="0" w:line="360" w:lineRule="auto"/>
        <w:jc w:val="both"/>
        <w:rPr>
          <w:rFonts w:ascii="David" w:hAnsi="David" w:cs="David"/>
          <w:sz w:val="24"/>
          <w:szCs w:val="24"/>
          <w:rtl/>
        </w:rPr>
      </w:pPr>
      <w:r w:rsidRPr="00F25744">
        <w:rPr>
          <w:rFonts w:ascii="David" w:hAnsi="David" w:cs="David" w:hint="cs"/>
          <w:sz w:val="24"/>
          <w:szCs w:val="24"/>
          <w:rtl/>
        </w:rPr>
        <w:t xml:space="preserve">אשר לתיק </w:t>
      </w:r>
      <w:r w:rsidRPr="00F25744">
        <w:rPr>
          <w:rFonts w:ascii="David" w:hAnsi="David" w:cs="David" w:hint="cs"/>
          <w:b/>
          <w:bCs/>
          <w:sz w:val="24"/>
          <w:szCs w:val="24"/>
          <w:rtl/>
        </w:rPr>
        <w:t xml:space="preserve">תפ"ח </w:t>
      </w:r>
      <w:r w:rsidRPr="00F25744">
        <w:rPr>
          <w:rFonts w:ascii="David" w:hAnsi="David" w:cs="David" w:hint="cs"/>
          <w:sz w:val="24"/>
          <w:szCs w:val="24"/>
          <w:rtl/>
        </w:rPr>
        <w:t>ב</w:t>
      </w:r>
      <w:r w:rsidR="001D3D22" w:rsidRPr="00F25744">
        <w:rPr>
          <w:rFonts w:ascii="David" w:hAnsi="David" w:cs="David" w:hint="cs"/>
          <w:b/>
          <w:bCs/>
          <w:sz w:val="24"/>
          <w:szCs w:val="24"/>
          <w:rtl/>
        </w:rPr>
        <w:t>ערכאת ה</w:t>
      </w:r>
      <w:r w:rsidRPr="00F25744">
        <w:rPr>
          <w:rFonts w:ascii="David" w:hAnsi="David" w:cs="David" w:hint="cs"/>
          <w:b/>
          <w:bCs/>
          <w:sz w:val="24"/>
          <w:szCs w:val="24"/>
          <w:rtl/>
        </w:rPr>
        <w:t>מחוזי</w:t>
      </w:r>
      <w:r w:rsidRPr="00F25744">
        <w:rPr>
          <w:rFonts w:ascii="David" w:hAnsi="David" w:cs="David" w:hint="cs"/>
          <w:sz w:val="24"/>
          <w:szCs w:val="24"/>
          <w:rtl/>
        </w:rPr>
        <w:t>, עולה מן הטבלה כי 100% משופטי המחוזי המטפלים בסוג תיק זה, ואשר השיבו על השאלון</w:t>
      </w:r>
      <w:r w:rsidR="00425EA2" w:rsidRPr="00F25744">
        <w:rPr>
          <w:rFonts w:ascii="David" w:hAnsi="David" w:cs="David" w:hint="cs"/>
          <w:sz w:val="24"/>
          <w:szCs w:val="24"/>
          <w:rtl/>
        </w:rPr>
        <w:t xml:space="preserve"> (24 שופטים)</w:t>
      </w:r>
      <w:r w:rsidRPr="00F25744">
        <w:rPr>
          <w:rFonts w:ascii="David" w:hAnsi="David" w:cs="David" w:hint="cs"/>
          <w:sz w:val="24"/>
          <w:szCs w:val="24"/>
          <w:rtl/>
        </w:rPr>
        <w:t>, דיווחו כי הוא מטיל עליהם עומס רגשי</w:t>
      </w:r>
      <w:r w:rsidR="00425EA2" w:rsidRPr="00F25744">
        <w:rPr>
          <w:rFonts w:ascii="David" w:hAnsi="David" w:cs="David" w:hint="cs"/>
          <w:sz w:val="24"/>
          <w:szCs w:val="24"/>
          <w:rtl/>
        </w:rPr>
        <w:t xml:space="preserve">, כאשר </w:t>
      </w:r>
      <w:r w:rsidRPr="00F25744">
        <w:rPr>
          <w:rFonts w:ascii="David" w:hAnsi="David" w:cs="David" w:hint="cs"/>
          <w:sz w:val="24"/>
          <w:szCs w:val="24"/>
          <w:rtl/>
        </w:rPr>
        <w:t>60% מ</w:t>
      </w:r>
      <w:r w:rsidR="00425EA2" w:rsidRPr="00F25744">
        <w:rPr>
          <w:rFonts w:ascii="David" w:hAnsi="David" w:cs="David" w:hint="cs"/>
          <w:sz w:val="24"/>
          <w:szCs w:val="24"/>
          <w:rtl/>
        </w:rPr>
        <w:t xml:space="preserve">תוכם </w:t>
      </w:r>
      <w:r w:rsidRPr="00F25744">
        <w:rPr>
          <w:rFonts w:ascii="David" w:hAnsi="David" w:cs="David" w:hint="cs"/>
          <w:sz w:val="24"/>
          <w:szCs w:val="24"/>
          <w:rtl/>
        </w:rPr>
        <w:t xml:space="preserve">דיווחו </w:t>
      </w:r>
      <w:r w:rsidR="00425EA2" w:rsidRPr="00F25744">
        <w:rPr>
          <w:rFonts w:ascii="David" w:hAnsi="David" w:cs="David" w:hint="cs"/>
          <w:sz w:val="24"/>
          <w:szCs w:val="24"/>
          <w:rtl/>
        </w:rPr>
        <w:t xml:space="preserve">כי </w:t>
      </w:r>
      <w:r w:rsidRPr="00F25744">
        <w:rPr>
          <w:rFonts w:ascii="David" w:hAnsi="David" w:cs="David" w:hint="cs"/>
          <w:sz w:val="24"/>
          <w:szCs w:val="24"/>
          <w:rtl/>
        </w:rPr>
        <w:t xml:space="preserve">תיק זה מטיל </w:t>
      </w:r>
      <w:r w:rsidR="00425EA2" w:rsidRPr="00F25744">
        <w:rPr>
          <w:rFonts w:ascii="David" w:hAnsi="David" w:cs="David" w:hint="cs"/>
          <w:sz w:val="24"/>
          <w:szCs w:val="24"/>
          <w:rtl/>
        </w:rPr>
        <w:t xml:space="preserve">עליהם </w:t>
      </w:r>
      <w:r w:rsidRPr="00F25744">
        <w:rPr>
          <w:rFonts w:ascii="David" w:hAnsi="David" w:cs="David" w:hint="cs"/>
          <w:sz w:val="24"/>
          <w:szCs w:val="24"/>
          <w:rtl/>
        </w:rPr>
        <w:t xml:space="preserve">עומס רגשי </w:t>
      </w:r>
      <w:r w:rsidRPr="00F25744">
        <w:rPr>
          <w:rFonts w:ascii="David" w:hAnsi="David" w:cs="David" w:hint="cs"/>
          <w:b/>
          <w:bCs/>
          <w:sz w:val="24"/>
          <w:szCs w:val="24"/>
          <w:rtl/>
        </w:rPr>
        <w:t>כבד</w:t>
      </w:r>
      <w:r w:rsidRPr="00F25744">
        <w:rPr>
          <w:rFonts w:ascii="David" w:hAnsi="David" w:cs="David" w:hint="cs"/>
          <w:sz w:val="24"/>
          <w:szCs w:val="24"/>
          <w:rtl/>
        </w:rPr>
        <w:t xml:space="preserve">. מעל למחצית השופטים דיווחו כי </w:t>
      </w:r>
      <w:r w:rsidRPr="00F25744">
        <w:rPr>
          <w:rFonts w:ascii="David" w:hAnsi="David" w:cs="David" w:hint="cs"/>
          <w:b/>
          <w:bCs/>
          <w:sz w:val="24"/>
          <w:szCs w:val="24"/>
          <w:rtl/>
        </w:rPr>
        <w:t>רוב</w:t>
      </w:r>
      <w:r w:rsidRPr="00F25744">
        <w:rPr>
          <w:rFonts w:ascii="David" w:hAnsi="David" w:cs="David" w:hint="cs"/>
          <w:sz w:val="24"/>
          <w:szCs w:val="24"/>
          <w:rtl/>
        </w:rPr>
        <w:t xml:space="preserve"> תיקי התפ"ח מטילים עומס </w:t>
      </w:r>
      <w:r w:rsidR="00425EA2" w:rsidRPr="00F25744">
        <w:rPr>
          <w:rFonts w:ascii="David" w:hAnsi="David" w:cs="David" w:hint="cs"/>
          <w:sz w:val="24"/>
          <w:szCs w:val="24"/>
          <w:rtl/>
        </w:rPr>
        <w:t xml:space="preserve">רגשי </w:t>
      </w:r>
      <w:r w:rsidRPr="00F25744">
        <w:rPr>
          <w:rFonts w:ascii="David" w:hAnsi="David" w:cs="David" w:hint="cs"/>
          <w:sz w:val="24"/>
          <w:szCs w:val="24"/>
          <w:rtl/>
        </w:rPr>
        <w:t xml:space="preserve">מיוחד וכ-70% </w:t>
      </w:r>
      <w:r w:rsidR="00425EA2" w:rsidRPr="00F25744">
        <w:rPr>
          <w:rFonts w:ascii="David" w:hAnsi="David" w:cs="David" w:hint="cs"/>
          <w:sz w:val="24"/>
          <w:szCs w:val="24"/>
          <w:rtl/>
        </w:rPr>
        <w:t xml:space="preserve">מהם </w:t>
      </w:r>
      <w:r w:rsidRPr="00F25744">
        <w:rPr>
          <w:rFonts w:ascii="David" w:hAnsi="David" w:cs="David" w:hint="cs"/>
          <w:sz w:val="24"/>
          <w:szCs w:val="24"/>
          <w:rtl/>
        </w:rPr>
        <w:t xml:space="preserve">ציינו כי ברוב התיקים הם ממשיכים לחשוב על התיק מחוץ לשעות העבודה. עם זאת, הצורך בהתאווררות </w:t>
      </w:r>
      <w:r w:rsidR="00425EA2" w:rsidRPr="00F25744">
        <w:rPr>
          <w:rFonts w:ascii="David" w:hAnsi="David" w:cs="David" w:hint="cs"/>
          <w:sz w:val="24"/>
          <w:szCs w:val="24"/>
          <w:rtl/>
        </w:rPr>
        <w:t xml:space="preserve">או בשיחה עם עמית בשל הקושי נדרש, לפי הדיווחים, </w:t>
      </w:r>
      <w:r w:rsidRPr="00F25744">
        <w:rPr>
          <w:rFonts w:ascii="David" w:hAnsi="David" w:cs="David" w:hint="cs"/>
          <w:sz w:val="24"/>
          <w:szCs w:val="24"/>
          <w:rtl/>
        </w:rPr>
        <w:t xml:space="preserve">רק בחלק קטן מהתיקים, אם בכלל. </w:t>
      </w:r>
    </w:p>
    <w:p w14:paraId="68F1D89A" w14:textId="77777777" w:rsidR="00EF6D90" w:rsidRPr="00F25744" w:rsidRDefault="00E25AE7" w:rsidP="008336F3">
      <w:pPr>
        <w:spacing w:before="120" w:after="0" w:line="360" w:lineRule="auto"/>
        <w:jc w:val="both"/>
        <w:rPr>
          <w:rFonts w:ascii="David" w:hAnsi="David" w:cs="David"/>
          <w:sz w:val="24"/>
          <w:szCs w:val="24"/>
          <w:rtl/>
        </w:rPr>
      </w:pPr>
      <w:r w:rsidRPr="00F25744">
        <w:rPr>
          <w:rFonts w:ascii="David" w:hAnsi="David" w:cs="David" w:hint="cs"/>
          <w:sz w:val="24"/>
          <w:szCs w:val="24"/>
          <w:rtl/>
        </w:rPr>
        <w:t>אשר ל</w:t>
      </w:r>
      <w:r w:rsidRPr="00F25744">
        <w:rPr>
          <w:rFonts w:ascii="David" w:hAnsi="David" w:cs="David" w:hint="cs"/>
          <w:b/>
          <w:bCs/>
          <w:sz w:val="24"/>
          <w:szCs w:val="24"/>
          <w:rtl/>
        </w:rPr>
        <w:t xml:space="preserve">תיקים הפליליים (ת"פ) </w:t>
      </w:r>
      <w:r w:rsidRPr="00F25744">
        <w:rPr>
          <w:rFonts w:ascii="David" w:hAnsi="David" w:cs="David" w:hint="cs"/>
          <w:sz w:val="24"/>
          <w:szCs w:val="24"/>
          <w:rtl/>
        </w:rPr>
        <w:t>ב</w:t>
      </w:r>
      <w:r w:rsidRPr="00F25744">
        <w:rPr>
          <w:rFonts w:ascii="David" w:hAnsi="David" w:cs="David" w:hint="cs"/>
          <w:b/>
          <w:bCs/>
          <w:sz w:val="24"/>
          <w:szCs w:val="24"/>
          <w:rtl/>
        </w:rPr>
        <w:t>ערכאת המחוזי</w:t>
      </w:r>
      <w:r w:rsidRPr="00F25744">
        <w:rPr>
          <w:rFonts w:ascii="David" w:hAnsi="David" w:cs="David" w:hint="cs"/>
          <w:sz w:val="24"/>
          <w:szCs w:val="24"/>
          <w:rtl/>
        </w:rPr>
        <w:t xml:space="preserve">, </w:t>
      </w:r>
      <w:r w:rsidR="007F3A52" w:rsidRPr="00F25744">
        <w:rPr>
          <w:rFonts w:ascii="David" w:hAnsi="David" w:cs="David" w:hint="cs"/>
          <w:sz w:val="24"/>
          <w:szCs w:val="24"/>
          <w:rtl/>
        </w:rPr>
        <w:t xml:space="preserve">מעל למחצית השופטים הדנים בתיקים פליליים ואשר השיבו על השאלון, דיווחו כי תיקים אלו מטילים עליהם עומס רגשי, כאשר כ-20% מהם דיווחו שהעומס הרגשי הוא כבד ועוד 45% </w:t>
      </w:r>
      <w:r w:rsidR="00341018" w:rsidRPr="00F25744">
        <w:rPr>
          <w:rFonts w:ascii="David" w:hAnsi="David" w:cs="David" w:hint="cs"/>
          <w:sz w:val="24"/>
          <w:szCs w:val="24"/>
          <w:rtl/>
        </w:rPr>
        <w:t xml:space="preserve">דיווחו </w:t>
      </w:r>
      <w:r w:rsidR="007F3A52" w:rsidRPr="00F25744">
        <w:rPr>
          <w:rFonts w:ascii="David" w:hAnsi="David" w:cs="David" w:hint="cs"/>
          <w:sz w:val="24"/>
          <w:szCs w:val="24"/>
          <w:rtl/>
        </w:rPr>
        <w:t>שהעומס הרגשי הוא בינוני. עם זאת, מבחינת ביטויי העומס, נמצא כי אלו מתקיימים רק בחלק קטן מהתיקים, אם בכלל. כך, למשל, 72% מהמשיבים ציינו כי רק בחלק קטן של התיקים הם זקוקים להתאווררות לאחר טיפול בתיק, ו-82% מהמשיבים דיווחו כי רק בחלק קטן של התיקים הם זקוקים לזמן התייעצות עם שופט אחר. לעומת זאת כ-40% מן השופטים דיווחו שעל רוב התיקים הם ממשיכים לחשוב לאחר שעות העבודה, ועוד כ-10% דיווחו כי רוב התיקים הפליליים דורשים זמן רב יותר לטיפול משפטי בתיקים בשל העומס הרגשי.</w:t>
      </w:r>
    </w:p>
    <w:bookmarkEnd w:id="859"/>
    <w:bookmarkEnd w:id="860"/>
    <w:bookmarkEnd w:id="861"/>
    <w:bookmarkEnd w:id="862"/>
    <w:bookmarkEnd w:id="863"/>
    <w:bookmarkEnd w:id="864"/>
    <w:bookmarkEnd w:id="866"/>
    <w:bookmarkEnd w:id="867"/>
    <w:bookmarkEnd w:id="868"/>
    <w:bookmarkEnd w:id="869"/>
    <w:p w14:paraId="210F8435" w14:textId="77777777" w:rsidR="006F7DDA" w:rsidRPr="00F25744" w:rsidRDefault="00E25AE7" w:rsidP="008336F3">
      <w:pPr>
        <w:spacing w:before="120" w:after="0" w:line="360" w:lineRule="auto"/>
        <w:jc w:val="both"/>
        <w:rPr>
          <w:rFonts w:ascii="David" w:hAnsi="David" w:cs="David"/>
          <w:sz w:val="24"/>
          <w:szCs w:val="24"/>
          <w:rtl/>
        </w:rPr>
      </w:pPr>
      <w:r w:rsidRPr="00F25744">
        <w:rPr>
          <w:rFonts w:ascii="David" w:hAnsi="David" w:cs="David" w:hint="cs"/>
          <w:sz w:val="24"/>
          <w:szCs w:val="24"/>
          <w:rtl/>
        </w:rPr>
        <w:t>אשר ל</w:t>
      </w:r>
      <w:r w:rsidR="007F3A52" w:rsidRPr="00F25744">
        <w:rPr>
          <w:rFonts w:ascii="David" w:hAnsi="David" w:cs="David" w:hint="cs"/>
          <w:b/>
          <w:bCs/>
          <w:sz w:val="24"/>
          <w:szCs w:val="24"/>
          <w:rtl/>
        </w:rPr>
        <w:t xml:space="preserve">תיקים </w:t>
      </w:r>
      <w:r w:rsidRPr="00F25744">
        <w:rPr>
          <w:rFonts w:ascii="David" w:hAnsi="David" w:cs="David" w:hint="cs"/>
          <w:b/>
          <w:bCs/>
          <w:sz w:val="24"/>
          <w:szCs w:val="24"/>
          <w:rtl/>
        </w:rPr>
        <w:t>ה</w:t>
      </w:r>
      <w:r w:rsidR="007F3A52" w:rsidRPr="00F25744">
        <w:rPr>
          <w:rFonts w:ascii="David" w:hAnsi="David" w:cs="David" w:hint="cs"/>
          <w:b/>
          <w:bCs/>
          <w:sz w:val="24"/>
          <w:szCs w:val="24"/>
          <w:rtl/>
        </w:rPr>
        <w:t>פליליים (ת"פ)</w:t>
      </w:r>
      <w:r w:rsidR="0059412D" w:rsidRPr="00F25744">
        <w:rPr>
          <w:rFonts w:ascii="David" w:hAnsi="David" w:cs="David" w:hint="cs"/>
          <w:b/>
          <w:bCs/>
          <w:sz w:val="24"/>
          <w:szCs w:val="24"/>
          <w:rtl/>
        </w:rPr>
        <w:t xml:space="preserve"> </w:t>
      </w:r>
      <w:r w:rsidRPr="00F25744">
        <w:rPr>
          <w:rFonts w:ascii="David" w:hAnsi="David" w:cs="David" w:hint="cs"/>
          <w:sz w:val="24"/>
          <w:szCs w:val="24"/>
          <w:rtl/>
        </w:rPr>
        <w:t>ב</w:t>
      </w:r>
      <w:r w:rsidR="001D3D22" w:rsidRPr="00F25744">
        <w:rPr>
          <w:rFonts w:ascii="David" w:hAnsi="David" w:cs="David" w:hint="cs"/>
          <w:b/>
          <w:bCs/>
          <w:sz w:val="24"/>
          <w:szCs w:val="24"/>
          <w:rtl/>
        </w:rPr>
        <w:t>ערכאת ה</w:t>
      </w:r>
      <w:r w:rsidR="0059412D" w:rsidRPr="00F25744">
        <w:rPr>
          <w:rFonts w:ascii="David" w:hAnsi="David" w:cs="David" w:hint="cs"/>
          <w:b/>
          <w:bCs/>
          <w:sz w:val="24"/>
          <w:szCs w:val="24"/>
          <w:rtl/>
        </w:rPr>
        <w:t>שלום</w:t>
      </w:r>
      <w:r w:rsidRPr="00F25744">
        <w:rPr>
          <w:rFonts w:ascii="David" w:hAnsi="David" w:cs="David" w:hint="cs"/>
          <w:sz w:val="24"/>
          <w:szCs w:val="24"/>
          <w:rtl/>
        </w:rPr>
        <w:t xml:space="preserve">, </w:t>
      </w:r>
      <w:r w:rsidR="007F3A52" w:rsidRPr="00F25744">
        <w:rPr>
          <w:rFonts w:ascii="David" w:hAnsi="David" w:cs="David" w:hint="cs"/>
          <w:sz w:val="24"/>
          <w:szCs w:val="24"/>
          <w:rtl/>
        </w:rPr>
        <w:t>ניתן לראות כי שליש מן השופטים</w:t>
      </w:r>
      <w:r w:rsidRPr="00F25744">
        <w:rPr>
          <w:rFonts w:ascii="David" w:hAnsi="David" w:cs="David" w:hint="cs"/>
          <w:sz w:val="24"/>
          <w:szCs w:val="24"/>
          <w:rtl/>
        </w:rPr>
        <w:t xml:space="preserve"> שהשיבו על השאלון</w:t>
      </w:r>
      <w:r w:rsidR="007F3A52" w:rsidRPr="00F25744">
        <w:rPr>
          <w:rFonts w:ascii="David" w:hAnsi="David" w:cs="David" w:hint="cs"/>
          <w:sz w:val="24"/>
          <w:szCs w:val="24"/>
          <w:rtl/>
        </w:rPr>
        <w:t xml:space="preserve"> דיווחו כי הם ממשיכים לחשוב על התיקים הללו מחוץ לשעות העבודה ו-7% מהשופטים דיווחו כי רוב התיקים </w:t>
      </w:r>
      <w:r w:rsidRPr="00F25744">
        <w:rPr>
          <w:rFonts w:ascii="David" w:hAnsi="David" w:cs="David" w:hint="cs"/>
          <w:sz w:val="24"/>
          <w:szCs w:val="24"/>
          <w:rtl/>
        </w:rPr>
        <w:t xml:space="preserve">מסוג זה </w:t>
      </w:r>
      <w:r w:rsidR="007F3A52" w:rsidRPr="00F25744">
        <w:rPr>
          <w:rFonts w:ascii="David" w:hAnsi="David" w:cs="David" w:hint="cs"/>
          <w:sz w:val="24"/>
          <w:szCs w:val="24"/>
          <w:rtl/>
        </w:rPr>
        <w:t>מטילים</w:t>
      </w:r>
      <w:r w:rsidRPr="00F25744">
        <w:rPr>
          <w:rFonts w:ascii="David" w:hAnsi="David" w:cs="David" w:hint="cs"/>
          <w:sz w:val="24"/>
          <w:szCs w:val="24"/>
          <w:rtl/>
        </w:rPr>
        <w:t xml:space="preserve"> עליהם</w:t>
      </w:r>
      <w:r w:rsidR="007F3A52" w:rsidRPr="00F25744">
        <w:rPr>
          <w:rFonts w:ascii="David" w:hAnsi="David" w:cs="David" w:hint="cs"/>
          <w:sz w:val="24"/>
          <w:szCs w:val="24"/>
          <w:rtl/>
        </w:rPr>
        <w:t xml:space="preserve"> עומס רגשי מיוחד</w:t>
      </w:r>
      <w:r w:rsidR="00053853" w:rsidRPr="00F25744">
        <w:rPr>
          <w:rFonts w:ascii="David" w:hAnsi="David" w:cs="David" w:hint="cs"/>
          <w:sz w:val="24"/>
          <w:szCs w:val="24"/>
          <w:rtl/>
        </w:rPr>
        <w:t>.</w:t>
      </w:r>
      <w:r w:rsidR="007F3A52" w:rsidRPr="00F25744">
        <w:rPr>
          <w:rFonts w:ascii="David" w:hAnsi="David" w:cs="David" w:hint="cs"/>
          <w:sz w:val="24"/>
          <w:szCs w:val="24"/>
          <w:rtl/>
        </w:rPr>
        <w:t xml:space="preserve"> 8% </w:t>
      </w:r>
      <w:r w:rsidR="00053853" w:rsidRPr="00F25744">
        <w:rPr>
          <w:rFonts w:ascii="David" w:hAnsi="David" w:cs="David" w:hint="cs"/>
          <w:sz w:val="24"/>
          <w:szCs w:val="24"/>
          <w:rtl/>
        </w:rPr>
        <w:t xml:space="preserve">מהשופטים </w:t>
      </w:r>
      <w:r w:rsidR="007F3A52" w:rsidRPr="00F25744">
        <w:rPr>
          <w:rFonts w:ascii="David" w:hAnsi="David" w:cs="David" w:hint="cs"/>
          <w:sz w:val="24"/>
          <w:szCs w:val="24"/>
          <w:rtl/>
        </w:rPr>
        <w:t xml:space="preserve">דיווחו כי </w:t>
      </w:r>
      <w:r w:rsidR="00053853" w:rsidRPr="00F25744">
        <w:rPr>
          <w:rFonts w:ascii="David" w:hAnsi="David" w:cs="David" w:hint="cs"/>
          <w:sz w:val="24"/>
          <w:szCs w:val="24"/>
          <w:rtl/>
        </w:rPr>
        <w:t xml:space="preserve">תיקים אלה </w:t>
      </w:r>
      <w:r w:rsidR="007F3A52" w:rsidRPr="00F25744">
        <w:rPr>
          <w:rFonts w:ascii="David" w:hAnsi="David" w:cs="David" w:hint="cs"/>
          <w:sz w:val="24"/>
          <w:szCs w:val="24"/>
          <w:rtl/>
        </w:rPr>
        <w:t>מצריכים זמן התייעצות עם עמיתים, ו-11% דיווחו כי התיקים הללו דורשים זמן רב יותר לטיפול משפטי, בשל העומס הרגשי.</w:t>
      </w:r>
    </w:p>
    <w:p w14:paraId="6B4FAD2F" w14:textId="77777777" w:rsidR="001D3D22" w:rsidRPr="00F25744" w:rsidRDefault="00E25AE7" w:rsidP="008336F3">
      <w:pPr>
        <w:spacing w:before="120" w:after="0" w:line="360" w:lineRule="auto"/>
        <w:jc w:val="both"/>
        <w:rPr>
          <w:rFonts w:ascii="David" w:hAnsi="David" w:cs="David"/>
          <w:sz w:val="24"/>
          <w:szCs w:val="24"/>
          <w:rtl/>
        </w:rPr>
      </w:pPr>
      <w:r w:rsidRPr="00F25744">
        <w:rPr>
          <w:rFonts w:ascii="David" w:hAnsi="David" w:cs="David" w:hint="cs"/>
          <w:sz w:val="24"/>
          <w:szCs w:val="24"/>
          <w:rtl/>
        </w:rPr>
        <w:t>אשר לתיקים הנדונים ב</w:t>
      </w:r>
      <w:r w:rsidRPr="00F25744">
        <w:rPr>
          <w:rFonts w:ascii="David" w:hAnsi="David" w:cs="David" w:hint="cs"/>
          <w:b/>
          <w:bCs/>
          <w:sz w:val="24"/>
          <w:szCs w:val="24"/>
          <w:rtl/>
        </w:rPr>
        <w:t>בתי המשפט לתעבורה</w:t>
      </w:r>
      <w:r w:rsidRPr="00F25744">
        <w:rPr>
          <w:rFonts w:ascii="David" w:hAnsi="David" w:cs="David" w:hint="cs"/>
          <w:sz w:val="24"/>
          <w:szCs w:val="24"/>
          <w:rtl/>
        </w:rPr>
        <w:t xml:space="preserve">, למעלה משליש מן השופטים אשר השיבו על שאלת העומס הרגשי המקדימה, דיווחו כי הם </w:t>
      </w:r>
      <w:r w:rsidRPr="00F25744">
        <w:rPr>
          <w:rFonts w:ascii="David" w:hAnsi="David" w:cs="David" w:hint="cs"/>
          <w:b/>
          <w:bCs/>
          <w:sz w:val="24"/>
          <w:szCs w:val="24"/>
          <w:rtl/>
        </w:rPr>
        <w:t>אינם</w:t>
      </w:r>
      <w:r w:rsidRPr="00F25744">
        <w:rPr>
          <w:rFonts w:ascii="David" w:hAnsi="David" w:cs="David" w:hint="cs"/>
          <w:sz w:val="24"/>
          <w:szCs w:val="24"/>
          <w:rtl/>
        </w:rPr>
        <w:t xml:space="preserve"> חווים אותו (37.5%). לעומת זאת, למעלה ממחצית מן השופטים השיבו כי תיקי תעבורה מטילים עליהם עומס רגשי (56.2%). התיק העיקרי ששופטי התעבורה ציינו כי הם חווים בו עומס רגשי הוא תיק גמ"ר (גרימת מוות ברשלנות), שאותו ציינו כל השופטים שהשיבו על השאלון </w:t>
      </w:r>
      <w:r w:rsidR="00341018" w:rsidRPr="00F25744">
        <w:rPr>
          <w:rFonts w:ascii="David" w:hAnsi="David" w:cs="David" w:hint="cs"/>
          <w:sz w:val="24"/>
          <w:szCs w:val="24"/>
          <w:rtl/>
        </w:rPr>
        <w:t xml:space="preserve">שהטיפול בו מטיל </w:t>
      </w:r>
      <w:r w:rsidRPr="00F25744">
        <w:rPr>
          <w:rFonts w:ascii="David" w:hAnsi="David" w:cs="David" w:hint="cs"/>
          <w:sz w:val="24"/>
          <w:szCs w:val="24"/>
          <w:rtl/>
        </w:rPr>
        <w:t>עומס רגשי משמעותי. עם זאת, פחות ממחצית מן המשיבים דרגו את העומס הרגשי ככבד, בעוד שהרוב דרגו אותו כבינוני או כקל. עוד עולה, כי מרבית השופטים המשיבים חשים כי רוב או כל התיקים מסוג זה מטילים עומס רגשי מיוחד (77%) ועל רובם הם ממשיכים לחשוב מחוץ לשעות העבודה (88%). שליש מהשופטים ציינו כי נדרש להם זמן רב יותר לטיפול משפטי בתיק בשל העומס הרגשי ברוב או כל התיקים מהסוג זה. עם זאת, למעלה ממחצית מהשופטים ציינו כי רק בחלק קטן מהתיקים הללו נדרש להם זמן התאווררות או התייעצות עם עמיתים (55% ו-56% בהתאמה).</w:t>
      </w:r>
    </w:p>
    <w:p w14:paraId="6AB3CC4C" w14:textId="77777777" w:rsidR="0051426E" w:rsidRPr="00F25744" w:rsidRDefault="00E25AE7" w:rsidP="008336F3">
      <w:pPr>
        <w:spacing w:before="120" w:after="0" w:line="360" w:lineRule="auto"/>
        <w:jc w:val="both"/>
        <w:rPr>
          <w:rFonts w:ascii="David" w:hAnsi="David" w:cs="David"/>
          <w:color w:val="2E74B5"/>
          <w:sz w:val="24"/>
          <w:szCs w:val="24"/>
          <w:rtl/>
        </w:rPr>
      </w:pPr>
      <w:r w:rsidRPr="00F25744">
        <w:rPr>
          <w:rFonts w:ascii="David" w:hAnsi="David" w:cs="David" w:hint="cs"/>
          <w:b/>
          <w:bCs/>
          <w:sz w:val="24"/>
          <w:szCs w:val="24"/>
          <w:rtl/>
        </w:rPr>
        <w:t>בבתי המשפט לענייני משפחה</w:t>
      </w:r>
      <w:r w:rsidRPr="00F25744">
        <w:rPr>
          <w:rFonts w:ascii="David" w:hAnsi="David" w:cs="David" w:hint="cs"/>
          <w:sz w:val="24"/>
          <w:szCs w:val="24"/>
          <w:rtl/>
        </w:rPr>
        <w:t xml:space="preserve">, השופטים שענו על השאלון ציינו כמות גדולה יותר של סוגי תיקים אשר מטילים עליהם עומס רגשי מיוחד, וככלל התמונה המצטיירת מניתוח הנתונים הנוגעים לעומס הרגשי </w:t>
      </w:r>
      <w:r w:rsidRPr="00F25744">
        <w:rPr>
          <w:rFonts w:ascii="David" w:hAnsi="David" w:cs="David" w:hint="cs"/>
          <w:sz w:val="24"/>
          <w:szCs w:val="24"/>
          <w:rtl/>
        </w:rPr>
        <w:lastRenderedPageBreak/>
        <w:t xml:space="preserve">היא כי שופטי המשפחה מתמודדים עם עומס רגשי משמעותי ביותר בטיפול בתיקיהם. כאמור, כל המשיבים (100%) שציינו כי הם מטפלים בתיקי </w:t>
      </w:r>
      <w:r w:rsidRPr="00F25744">
        <w:rPr>
          <w:rFonts w:ascii="David" w:hAnsi="David" w:cs="David" w:hint="cs"/>
          <w:b/>
          <w:bCs/>
          <w:sz w:val="24"/>
          <w:szCs w:val="24"/>
          <w:rtl/>
        </w:rPr>
        <w:t>אמ"ץ</w:t>
      </w:r>
      <w:r w:rsidRPr="00F25744">
        <w:rPr>
          <w:rFonts w:ascii="David" w:hAnsi="David" w:cs="David" w:hint="cs"/>
          <w:sz w:val="24"/>
          <w:szCs w:val="24"/>
          <w:rtl/>
        </w:rPr>
        <w:t xml:space="preserve"> דיווחו על עומס רגשי כבד בתיקים אלו, וכך </w:t>
      </w:r>
      <w:r w:rsidR="007F3A52" w:rsidRPr="00F25744">
        <w:rPr>
          <w:rFonts w:ascii="David" w:hAnsi="David" w:cs="David" w:hint="cs"/>
          <w:sz w:val="24"/>
          <w:szCs w:val="24"/>
          <w:rtl/>
        </w:rPr>
        <w:t xml:space="preserve">גם </w:t>
      </w:r>
      <w:r w:rsidR="00B427E1" w:rsidRPr="00F25744">
        <w:rPr>
          <w:rFonts w:ascii="David" w:hAnsi="David" w:cs="David" w:hint="cs"/>
          <w:sz w:val="24"/>
          <w:szCs w:val="24"/>
          <w:rtl/>
        </w:rPr>
        <w:t xml:space="preserve">לגבי </w:t>
      </w:r>
      <w:r w:rsidR="007F3A52" w:rsidRPr="00F25744">
        <w:rPr>
          <w:rFonts w:ascii="David" w:hAnsi="David" w:cs="David" w:hint="cs"/>
          <w:sz w:val="24"/>
          <w:szCs w:val="24"/>
          <w:rtl/>
        </w:rPr>
        <w:t xml:space="preserve">תיקי </w:t>
      </w:r>
      <w:r w:rsidR="007F3A52" w:rsidRPr="00F25744">
        <w:rPr>
          <w:rFonts w:ascii="David" w:hAnsi="David" w:cs="David" w:hint="cs"/>
          <w:b/>
          <w:bCs/>
          <w:sz w:val="24"/>
          <w:szCs w:val="24"/>
          <w:rtl/>
        </w:rPr>
        <w:t>תנ"ז</w:t>
      </w:r>
      <w:r w:rsidR="004D4B62" w:rsidRPr="00F25744">
        <w:rPr>
          <w:rFonts w:ascii="David" w:hAnsi="David" w:cs="David" w:hint="cs"/>
          <w:b/>
          <w:bCs/>
          <w:sz w:val="24"/>
          <w:szCs w:val="24"/>
          <w:rtl/>
        </w:rPr>
        <w:t xml:space="preserve">, </w:t>
      </w:r>
      <w:r w:rsidR="004D4B62" w:rsidRPr="00F25744">
        <w:rPr>
          <w:rFonts w:ascii="David" w:hAnsi="David" w:cs="David" w:hint="cs"/>
          <w:sz w:val="24"/>
          <w:szCs w:val="24"/>
          <w:rtl/>
        </w:rPr>
        <w:t>שבהם</w:t>
      </w:r>
      <w:r w:rsidR="007F3A52" w:rsidRPr="00F25744">
        <w:rPr>
          <w:rFonts w:ascii="David" w:hAnsi="David" w:cs="David" w:hint="cs"/>
          <w:sz w:val="24"/>
          <w:szCs w:val="24"/>
          <w:rtl/>
        </w:rPr>
        <w:t xml:space="preserve"> הרוב המוחלט של השופטים דרגו את העומס הרגשי ככבד. לעומת זאת, בתיקי </w:t>
      </w:r>
      <w:r w:rsidR="007F3A52" w:rsidRPr="00F25744">
        <w:rPr>
          <w:rFonts w:ascii="David" w:hAnsi="David" w:cs="David" w:hint="cs"/>
          <w:b/>
          <w:bCs/>
          <w:sz w:val="24"/>
          <w:szCs w:val="24"/>
          <w:rtl/>
        </w:rPr>
        <w:t xml:space="preserve">תמ"ש </w:t>
      </w:r>
      <w:r w:rsidR="007F3A52" w:rsidRPr="00F25744">
        <w:rPr>
          <w:rFonts w:ascii="David" w:hAnsi="David" w:cs="David" w:hint="cs"/>
          <w:sz w:val="24"/>
          <w:szCs w:val="24"/>
          <w:rtl/>
        </w:rPr>
        <w:t>ו</w:t>
      </w:r>
      <w:r w:rsidR="007F3A52" w:rsidRPr="00F25744">
        <w:rPr>
          <w:rFonts w:ascii="David" w:hAnsi="David" w:cs="David" w:hint="cs"/>
          <w:b/>
          <w:bCs/>
          <w:sz w:val="24"/>
          <w:szCs w:val="24"/>
          <w:rtl/>
        </w:rPr>
        <w:t>תלה"מ</w:t>
      </w:r>
      <w:r w:rsidR="007F3A52" w:rsidRPr="00F25744">
        <w:rPr>
          <w:rFonts w:ascii="David" w:hAnsi="David" w:cs="David" w:hint="cs"/>
          <w:sz w:val="24"/>
          <w:szCs w:val="24"/>
          <w:rtl/>
        </w:rPr>
        <w:t xml:space="preserve">, שבהם למעלה מ-80% מן השופטים </w:t>
      </w:r>
      <w:r w:rsidRPr="00F25744">
        <w:rPr>
          <w:rFonts w:ascii="David" w:hAnsi="David" w:cs="David" w:hint="cs"/>
          <w:sz w:val="24"/>
          <w:szCs w:val="24"/>
          <w:rtl/>
        </w:rPr>
        <w:t>שמטפלים באותם תיקים ואשר השיבו על השאלון</w:t>
      </w:r>
      <w:r w:rsidR="00074CB3" w:rsidRPr="00F25744">
        <w:rPr>
          <w:rFonts w:ascii="David" w:hAnsi="David" w:cs="David" w:hint="cs"/>
          <w:sz w:val="24"/>
          <w:szCs w:val="24"/>
          <w:rtl/>
        </w:rPr>
        <w:t>,</w:t>
      </w:r>
      <w:r w:rsidRPr="00F25744">
        <w:rPr>
          <w:rFonts w:ascii="David" w:hAnsi="David" w:cs="David" w:hint="cs"/>
          <w:sz w:val="24"/>
          <w:szCs w:val="24"/>
          <w:rtl/>
        </w:rPr>
        <w:t xml:space="preserve"> </w:t>
      </w:r>
      <w:r w:rsidR="007F3A52" w:rsidRPr="00F25744">
        <w:rPr>
          <w:rFonts w:ascii="David" w:hAnsi="David" w:cs="David" w:hint="cs"/>
          <w:sz w:val="24"/>
          <w:szCs w:val="24"/>
          <w:rtl/>
        </w:rPr>
        <w:t>השיבו כי</w:t>
      </w:r>
      <w:r w:rsidRPr="00F25744">
        <w:rPr>
          <w:rFonts w:ascii="David" w:hAnsi="David" w:cs="David" w:hint="cs"/>
          <w:sz w:val="24"/>
          <w:szCs w:val="24"/>
          <w:rtl/>
        </w:rPr>
        <w:t xml:space="preserve"> הם</w:t>
      </w:r>
      <w:r w:rsidR="007F3A52" w:rsidRPr="00F25744">
        <w:rPr>
          <w:rFonts w:ascii="David" w:hAnsi="David" w:cs="David" w:hint="cs"/>
          <w:sz w:val="24"/>
          <w:szCs w:val="24"/>
          <w:rtl/>
        </w:rPr>
        <w:t xml:space="preserve"> מטילים עליהם עומס רגשי, דורג העומס כבינוני בעיקרו. בתיק </w:t>
      </w:r>
      <w:r w:rsidR="007F3A52" w:rsidRPr="00F25744">
        <w:rPr>
          <w:rFonts w:ascii="David" w:hAnsi="David" w:cs="David" w:hint="cs"/>
          <w:b/>
          <w:bCs/>
          <w:sz w:val="24"/>
          <w:szCs w:val="24"/>
          <w:rtl/>
        </w:rPr>
        <w:t>ה"ט</w:t>
      </w:r>
      <w:r w:rsidR="007F3A52" w:rsidRPr="00F25744">
        <w:rPr>
          <w:rFonts w:ascii="David" w:hAnsi="David" w:cs="David" w:hint="cs"/>
          <w:sz w:val="24"/>
          <w:szCs w:val="24"/>
          <w:rtl/>
        </w:rPr>
        <w:t xml:space="preserve"> ניתן לראות כי </w:t>
      </w:r>
      <w:r w:rsidRPr="00F25744">
        <w:rPr>
          <w:rFonts w:ascii="David" w:hAnsi="David" w:cs="David" w:hint="cs"/>
          <w:sz w:val="24"/>
          <w:szCs w:val="24"/>
          <w:rtl/>
        </w:rPr>
        <w:t>כמחצית מהעונים</w:t>
      </w:r>
      <w:r w:rsidR="007F3A52" w:rsidRPr="00F25744">
        <w:rPr>
          <w:rFonts w:ascii="David" w:hAnsi="David" w:cs="David" w:hint="cs"/>
          <w:sz w:val="24"/>
          <w:szCs w:val="24"/>
          <w:rtl/>
        </w:rPr>
        <w:t xml:space="preserve"> השיבו כי תיק זה מטיל עליהם עומס רגשי </w:t>
      </w:r>
      <w:r w:rsidRPr="00F25744">
        <w:rPr>
          <w:rFonts w:ascii="David" w:hAnsi="David" w:cs="David" w:hint="cs"/>
          <w:sz w:val="24"/>
          <w:szCs w:val="24"/>
          <w:rtl/>
        </w:rPr>
        <w:t xml:space="preserve">בינוני והמחצית האחרת דיווחה על עומס רגשי </w:t>
      </w:r>
      <w:r w:rsidR="007F3A52" w:rsidRPr="00F25744">
        <w:rPr>
          <w:rFonts w:ascii="David" w:hAnsi="David" w:cs="David" w:hint="cs"/>
          <w:sz w:val="24"/>
          <w:szCs w:val="24"/>
          <w:rtl/>
        </w:rPr>
        <w:t xml:space="preserve">כבד. </w:t>
      </w:r>
    </w:p>
    <w:p w14:paraId="0EB172ED" w14:textId="77777777" w:rsidR="0051426E" w:rsidRPr="00F25744" w:rsidRDefault="00E25AE7" w:rsidP="008336F3">
      <w:pPr>
        <w:spacing w:before="120" w:after="0" w:line="360" w:lineRule="auto"/>
        <w:jc w:val="both"/>
        <w:rPr>
          <w:rFonts w:ascii="David" w:hAnsi="David" w:cs="David"/>
          <w:sz w:val="24"/>
          <w:szCs w:val="24"/>
          <w:rtl/>
        </w:rPr>
      </w:pPr>
      <w:r w:rsidRPr="00F25744">
        <w:rPr>
          <w:rFonts w:ascii="David" w:hAnsi="David" w:cs="David" w:hint="cs"/>
          <w:sz w:val="24"/>
          <w:szCs w:val="24"/>
          <w:rtl/>
        </w:rPr>
        <w:t xml:space="preserve">אשר לתיק </w:t>
      </w:r>
      <w:r w:rsidRPr="00F25744">
        <w:rPr>
          <w:rFonts w:ascii="David" w:hAnsi="David" w:cs="David" w:hint="cs"/>
          <w:b/>
          <w:bCs/>
          <w:sz w:val="24"/>
          <w:szCs w:val="24"/>
          <w:rtl/>
        </w:rPr>
        <w:t>אמ"ץ</w:t>
      </w:r>
      <w:r w:rsidRPr="00F25744">
        <w:rPr>
          <w:rFonts w:ascii="David" w:hAnsi="David" w:cs="David" w:hint="cs"/>
          <w:sz w:val="24"/>
          <w:szCs w:val="24"/>
          <w:rtl/>
        </w:rPr>
        <w:t xml:space="preserve"> (תיק אימוץ), נפרט עוד, כי מדיווחי השופטים שהשיבו על השאלון עולה כי </w:t>
      </w:r>
      <w:r w:rsidR="007F3A52" w:rsidRPr="00F25744">
        <w:rPr>
          <w:rFonts w:ascii="David" w:hAnsi="David" w:cs="David" w:hint="cs"/>
          <w:sz w:val="24"/>
          <w:szCs w:val="24"/>
          <w:rtl/>
        </w:rPr>
        <w:t xml:space="preserve">כלל תיקי האימוץ מטילים עומס רגשי מיוחד ומרבית השופטים אף ממשיכים לחשוב על רוב או </w:t>
      </w:r>
      <w:r w:rsidRPr="00F25744">
        <w:rPr>
          <w:rFonts w:ascii="David" w:hAnsi="David" w:cs="David" w:hint="cs"/>
          <w:sz w:val="24"/>
          <w:szCs w:val="24"/>
          <w:rtl/>
        </w:rPr>
        <w:t>כל התיקים האלה לאחר שעות העבודה.</w:t>
      </w:r>
      <w:r w:rsidR="007F3A52" w:rsidRPr="00F25744">
        <w:rPr>
          <w:rFonts w:ascii="David" w:hAnsi="David" w:cs="David" w:hint="cs"/>
          <w:sz w:val="24"/>
          <w:szCs w:val="24"/>
          <w:rtl/>
        </w:rPr>
        <w:t xml:space="preserve"> כמחצית </w:t>
      </w:r>
      <w:r w:rsidR="00053853" w:rsidRPr="00F25744">
        <w:rPr>
          <w:rFonts w:ascii="David" w:hAnsi="David" w:cs="David" w:hint="cs"/>
          <w:sz w:val="24"/>
          <w:szCs w:val="24"/>
          <w:rtl/>
        </w:rPr>
        <w:t>מ</w:t>
      </w:r>
      <w:r w:rsidR="007F3A52" w:rsidRPr="00F25744">
        <w:rPr>
          <w:rFonts w:ascii="David" w:hAnsi="David" w:cs="David" w:hint="cs"/>
          <w:sz w:val="24"/>
          <w:szCs w:val="24"/>
          <w:rtl/>
        </w:rPr>
        <w:t>השופטים חשים צורך להתאוורר לאחר טיפול בתיק ואף להתייעץ עם עמיתים ברוב או כל התיקים הללו. כמו כן, כשני שליש</w:t>
      </w:r>
      <w:r w:rsidR="00762687" w:rsidRPr="00F25744">
        <w:rPr>
          <w:rFonts w:ascii="David" w:hAnsi="David" w:cs="David" w:hint="cs"/>
          <w:sz w:val="24"/>
          <w:szCs w:val="24"/>
          <w:rtl/>
        </w:rPr>
        <w:t>ים</w:t>
      </w:r>
      <w:r w:rsidR="007F3A52" w:rsidRPr="00F25744">
        <w:rPr>
          <w:rFonts w:ascii="David" w:hAnsi="David" w:cs="David" w:hint="cs"/>
          <w:sz w:val="24"/>
          <w:szCs w:val="24"/>
          <w:rtl/>
        </w:rPr>
        <w:t xml:space="preserve"> מן השופטים דיווחו כי כל או רוב התיקים מסוג זה מצריכים זמן רב יותר לביצוע המטלות השיפוטיות בתיק בשל העומס הרגשי.</w:t>
      </w:r>
      <w:r w:rsidR="00193232" w:rsidRPr="00F25744">
        <w:rPr>
          <w:rFonts w:ascii="David" w:hAnsi="David" w:cs="David" w:hint="cs"/>
          <w:sz w:val="24"/>
          <w:szCs w:val="24"/>
          <w:rtl/>
        </w:rPr>
        <w:t xml:space="preserve"> </w:t>
      </w:r>
    </w:p>
    <w:p w14:paraId="4892B67A" w14:textId="77777777" w:rsidR="0051426E" w:rsidRPr="00F25744" w:rsidRDefault="00E25AE7" w:rsidP="008336F3">
      <w:pPr>
        <w:spacing w:before="120" w:after="0" w:line="360" w:lineRule="auto"/>
        <w:jc w:val="both"/>
        <w:rPr>
          <w:rFonts w:ascii="David" w:hAnsi="David" w:cs="David"/>
          <w:sz w:val="24"/>
          <w:szCs w:val="24"/>
          <w:rtl/>
        </w:rPr>
      </w:pPr>
      <w:r w:rsidRPr="00F25744">
        <w:rPr>
          <w:rFonts w:ascii="David" w:hAnsi="David" w:cs="David" w:hint="cs"/>
          <w:sz w:val="24"/>
          <w:szCs w:val="24"/>
          <w:rtl/>
        </w:rPr>
        <w:t>תיקי ה</w:t>
      </w:r>
      <w:r w:rsidRPr="00F25744">
        <w:rPr>
          <w:rFonts w:ascii="David" w:hAnsi="David" w:cs="David" w:hint="cs"/>
          <w:b/>
          <w:bCs/>
          <w:sz w:val="24"/>
          <w:szCs w:val="24"/>
          <w:rtl/>
        </w:rPr>
        <w:t>תנ"ז</w:t>
      </w:r>
      <w:r w:rsidRPr="00F25744">
        <w:rPr>
          <w:rFonts w:ascii="David" w:hAnsi="David" w:cs="David" w:hint="cs"/>
          <w:sz w:val="24"/>
          <w:szCs w:val="24"/>
          <w:rtl/>
        </w:rPr>
        <w:t xml:space="preserve"> (תביעת נזקקות) מציגים </w:t>
      </w:r>
      <w:r w:rsidR="007F3A52" w:rsidRPr="00F25744">
        <w:rPr>
          <w:rFonts w:ascii="David" w:hAnsi="David" w:cs="David" w:hint="cs"/>
          <w:sz w:val="24"/>
          <w:szCs w:val="24"/>
          <w:rtl/>
        </w:rPr>
        <w:t xml:space="preserve">פילוח דומה לזה של תיקי </w:t>
      </w:r>
      <w:r w:rsidRPr="00F25744">
        <w:rPr>
          <w:rFonts w:ascii="David" w:hAnsi="David" w:cs="David" w:hint="cs"/>
          <w:sz w:val="24"/>
          <w:szCs w:val="24"/>
          <w:rtl/>
        </w:rPr>
        <w:t>ה</w:t>
      </w:r>
      <w:r w:rsidR="007F3A52" w:rsidRPr="00F25744">
        <w:rPr>
          <w:rFonts w:ascii="David" w:hAnsi="David" w:cs="David" w:hint="cs"/>
          <w:sz w:val="24"/>
          <w:szCs w:val="24"/>
          <w:rtl/>
        </w:rPr>
        <w:t xml:space="preserve">אימוץ. כ-80% מן השופטים </w:t>
      </w:r>
      <w:r w:rsidRPr="00F25744">
        <w:rPr>
          <w:rFonts w:ascii="David" w:hAnsi="David" w:cs="David" w:hint="cs"/>
          <w:sz w:val="24"/>
          <w:szCs w:val="24"/>
          <w:rtl/>
        </w:rPr>
        <w:t xml:space="preserve">שהשיבו </w:t>
      </w:r>
      <w:r w:rsidR="007F3A52" w:rsidRPr="00F25744">
        <w:rPr>
          <w:rFonts w:ascii="David" w:hAnsi="David" w:cs="David" w:hint="cs"/>
          <w:sz w:val="24"/>
          <w:szCs w:val="24"/>
          <w:rtl/>
        </w:rPr>
        <w:t>חשים כי רוב או כל תיקי התנ"ז מטילים עומס רגשי מיוחד וכ-70% מהשופטים ממשיכים לחשוב על רוב או כל התיקים הללו מחוץ לשעות העבודה. כשליש מהשופטים חשים צורך להתאוורר לאחר טיפול ברוב או כל תיקי התנ"ז בטיפולם ואף להתייעץ עם עמית בשל העומס הרגשי בכל התיקים בטיפולם.</w:t>
      </w:r>
    </w:p>
    <w:p w14:paraId="3F6F51FE" w14:textId="77777777" w:rsidR="0051426E" w:rsidRPr="00F25744" w:rsidRDefault="00E25AE7" w:rsidP="008336F3">
      <w:pPr>
        <w:spacing w:before="120" w:after="0" w:line="360" w:lineRule="auto"/>
        <w:jc w:val="both"/>
        <w:rPr>
          <w:rFonts w:ascii="David" w:hAnsi="David" w:cs="David"/>
          <w:sz w:val="24"/>
          <w:szCs w:val="24"/>
          <w:rtl/>
        </w:rPr>
      </w:pPr>
      <w:r w:rsidRPr="00F25744">
        <w:rPr>
          <w:rFonts w:ascii="David" w:hAnsi="David" w:cs="David" w:hint="cs"/>
          <w:sz w:val="24"/>
          <w:szCs w:val="24"/>
          <w:rtl/>
        </w:rPr>
        <w:t xml:space="preserve">אשר לתיקי </w:t>
      </w:r>
      <w:r w:rsidRPr="00F25744">
        <w:rPr>
          <w:rFonts w:ascii="David" w:hAnsi="David" w:cs="David" w:hint="cs"/>
          <w:b/>
          <w:bCs/>
          <w:sz w:val="24"/>
          <w:szCs w:val="24"/>
          <w:rtl/>
        </w:rPr>
        <w:t xml:space="preserve">תלה"מ </w:t>
      </w:r>
      <w:r w:rsidRPr="00F25744">
        <w:rPr>
          <w:rFonts w:ascii="David" w:eastAsia="Times New Roman" w:hAnsi="David" w:cs="David" w:hint="cs"/>
          <w:sz w:val="24"/>
          <w:szCs w:val="24"/>
          <w:rtl/>
        </w:rPr>
        <w:t>(</w:t>
      </w:r>
      <w:r w:rsidRPr="00F25744">
        <w:rPr>
          <w:rFonts w:ascii="David" w:eastAsia="Times New Roman" w:hAnsi="David" w:cs="David"/>
          <w:sz w:val="24"/>
          <w:szCs w:val="24"/>
          <w:rtl/>
        </w:rPr>
        <w:t>תביעה לאחר הסדר התדיינויות במשפחה</w:t>
      </w:r>
      <w:r w:rsidRPr="00F25744">
        <w:rPr>
          <w:rFonts w:ascii="David" w:hAnsi="David" w:cs="David" w:hint="cs"/>
          <w:b/>
          <w:bCs/>
          <w:sz w:val="24"/>
          <w:szCs w:val="24"/>
          <w:rtl/>
        </w:rPr>
        <w:t xml:space="preserve">) </w:t>
      </w:r>
      <w:r w:rsidRPr="00F25744">
        <w:rPr>
          <w:rFonts w:ascii="David" w:hAnsi="David" w:cs="David" w:hint="cs"/>
          <w:sz w:val="24"/>
          <w:szCs w:val="24"/>
          <w:rtl/>
        </w:rPr>
        <w:t>ו</w:t>
      </w:r>
      <w:r w:rsidRPr="00F25744">
        <w:rPr>
          <w:rFonts w:ascii="David" w:hAnsi="David" w:cs="David" w:hint="cs"/>
          <w:b/>
          <w:bCs/>
          <w:sz w:val="24"/>
          <w:szCs w:val="24"/>
          <w:rtl/>
        </w:rPr>
        <w:t xml:space="preserve">תמ"ש </w:t>
      </w:r>
      <w:r w:rsidRPr="00F25744">
        <w:rPr>
          <w:rFonts w:ascii="David" w:hAnsi="David" w:cs="David" w:hint="cs"/>
          <w:sz w:val="24"/>
          <w:szCs w:val="24"/>
          <w:rtl/>
        </w:rPr>
        <w:t xml:space="preserve">(תיק משפחה), </w:t>
      </w:r>
      <w:r w:rsidR="007F3A52" w:rsidRPr="00F25744">
        <w:rPr>
          <w:rFonts w:ascii="David" w:hAnsi="David" w:cs="David" w:hint="cs"/>
          <w:sz w:val="24"/>
          <w:szCs w:val="24"/>
          <w:rtl/>
        </w:rPr>
        <w:t xml:space="preserve">לפי דיווחי השופטים, העומס הרגשי שהם חווים בתיקי </w:t>
      </w:r>
      <w:r w:rsidRPr="00F25744">
        <w:rPr>
          <w:rFonts w:ascii="David" w:hAnsi="David" w:cs="David" w:hint="cs"/>
          <w:sz w:val="24"/>
          <w:szCs w:val="24"/>
          <w:rtl/>
        </w:rPr>
        <w:t>אלו מעט</w:t>
      </w:r>
      <w:r w:rsidR="007F3A52" w:rsidRPr="00F25744">
        <w:rPr>
          <w:rFonts w:ascii="David" w:hAnsi="David" w:cs="David" w:hint="cs"/>
          <w:sz w:val="24"/>
          <w:szCs w:val="24"/>
          <w:rtl/>
        </w:rPr>
        <w:t xml:space="preserve"> נמוך יותר, וניתן לראות זאת גם באופנים שבהם בא לידי ביטוי העומס הרגשי בתיקים אלו. </w:t>
      </w:r>
      <w:r w:rsidRPr="00F25744">
        <w:rPr>
          <w:rFonts w:ascii="David" w:hAnsi="David" w:cs="David" w:hint="cs"/>
          <w:sz w:val="24"/>
          <w:szCs w:val="24"/>
          <w:rtl/>
        </w:rPr>
        <w:t xml:space="preserve">כך, למשל, </w:t>
      </w:r>
      <w:r w:rsidR="007F3A52" w:rsidRPr="00F25744">
        <w:rPr>
          <w:rFonts w:ascii="David" w:hAnsi="David" w:cs="David" w:hint="cs"/>
          <w:sz w:val="24"/>
          <w:szCs w:val="24"/>
          <w:rtl/>
        </w:rPr>
        <w:t>מעל מחצית השופטים חשים צורך בהתאווררות לאחר טיפול בתיק או התייעצות עם עמית על התיק בשל העומס הרגשי</w:t>
      </w:r>
      <w:r w:rsidRPr="00F25744">
        <w:rPr>
          <w:rFonts w:ascii="David" w:hAnsi="David" w:cs="David" w:hint="cs"/>
          <w:sz w:val="24"/>
          <w:szCs w:val="24"/>
          <w:rtl/>
        </w:rPr>
        <w:t>,</w:t>
      </w:r>
      <w:r w:rsidR="007F3A52" w:rsidRPr="00F25744">
        <w:rPr>
          <w:rFonts w:ascii="David" w:hAnsi="David" w:cs="David" w:hint="cs"/>
          <w:sz w:val="24"/>
          <w:szCs w:val="24"/>
          <w:rtl/>
        </w:rPr>
        <w:t xml:space="preserve"> בחלק </w:t>
      </w:r>
      <w:r w:rsidR="007F3A52" w:rsidRPr="00F25744">
        <w:rPr>
          <w:rFonts w:ascii="David" w:hAnsi="David" w:cs="David" w:hint="cs"/>
          <w:b/>
          <w:bCs/>
          <w:sz w:val="24"/>
          <w:szCs w:val="24"/>
          <w:rtl/>
        </w:rPr>
        <w:t>קטן אם בכלל</w:t>
      </w:r>
      <w:r w:rsidR="007F3A52" w:rsidRPr="00F25744">
        <w:rPr>
          <w:rFonts w:ascii="David" w:hAnsi="David" w:cs="David" w:hint="cs"/>
          <w:sz w:val="24"/>
          <w:szCs w:val="24"/>
          <w:rtl/>
        </w:rPr>
        <w:t xml:space="preserve"> של התיקים הללו.</w:t>
      </w:r>
    </w:p>
    <w:p w14:paraId="2CA957CA" w14:textId="77777777" w:rsidR="0051426E" w:rsidRPr="00F25744" w:rsidRDefault="00E25AE7" w:rsidP="008336F3">
      <w:pPr>
        <w:spacing w:before="120" w:after="0" w:line="360" w:lineRule="auto"/>
        <w:jc w:val="both"/>
        <w:rPr>
          <w:rFonts w:ascii="David" w:hAnsi="David" w:cs="David"/>
          <w:sz w:val="24"/>
          <w:szCs w:val="24"/>
          <w:rtl/>
        </w:rPr>
      </w:pPr>
      <w:r w:rsidRPr="00F25744">
        <w:rPr>
          <w:rFonts w:ascii="David" w:hAnsi="David" w:cs="David" w:hint="cs"/>
          <w:sz w:val="24"/>
          <w:szCs w:val="24"/>
          <w:rtl/>
        </w:rPr>
        <w:t xml:space="preserve">בנוגע לתיקי </w:t>
      </w:r>
      <w:r w:rsidRPr="00F25744">
        <w:rPr>
          <w:rFonts w:ascii="David" w:hAnsi="David" w:cs="David" w:hint="cs"/>
          <w:b/>
          <w:bCs/>
          <w:sz w:val="24"/>
          <w:szCs w:val="24"/>
          <w:rtl/>
        </w:rPr>
        <w:t>ה"ט</w:t>
      </w:r>
      <w:r w:rsidRPr="00F25744">
        <w:rPr>
          <w:rFonts w:ascii="David" w:hAnsi="David" w:cs="David" w:hint="cs"/>
          <w:sz w:val="24"/>
          <w:szCs w:val="24"/>
          <w:rtl/>
        </w:rPr>
        <w:t xml:space="preserve"> (</w:t>
      </w:r>
      <w:r w:rsidR="007F3A52" w:rsidRPr="00F25744">
        <w:rPr>
          <w:rFonts w:ascii="David" w:hAnsi="David" w:cs="David" w:hint="cs"/>
          <w:sz w:val="24"/>
          <w:szCs w:val="24"/>
          <w:rtl/>
        </w:rPr>
        <w:t>הטרדה מאיימת וצווי הגנה)</w:t>
      </w:r>
      <w:r w:rsidRPr="00F25744">
        <w:rPr>
          <w:rFonts w:ascii="David" w:hAnsi="David" w:cs="David" w:hint="cs"/>
          <w:sz w:val="24"/>
          <w:szCs w:val="24"/>
          <w:rtl/>
        </w:rPr>
        <w:t xml:space="preserve">, </w:t>
      </w:r>
      <w:r w:rsidR="007F3A52" w:rsidRPr="00F25744">
        <w:rPr>
          <w:rFonts w:ascii="David" w:hAnsi="David" w:cs="David" w:hint="cs"/>
          <w:sz w:val="24"/>
          <w:szCs w:val="24"/>
          <w:rtl/>
        </w:rPr>
        <w:t xml:space="preserve">כ-80% מהשופטים המטפלים בתיקים אלו </w:t>
      </w:r>
      <w:r w:rsidRPr="00F25744">
        <w:rPr>
          <w:rFonts w:ascii="David" w:hAnsi="David" w:cs="David" w:hint="cs"/>
          <w:sz w:val="24"/>
          <w:szCs w:val="24"/>
          <w:rtl/>
        </w:rPr>
        <w:t xml:space="preserve">ואשר השיבו על השאלון </w:t>
      </w:r>
      <w:r w:rsidR="007F3A52" w:rsidRPr="00F25744">
        <w:rPr>
          <w:rFonts w:ascii="David" w:hAnsi="David" w:cs="David" w:hint="cs"/>
          <w:sz w:val="24"/>
          <w:szCs w:val="24"/>
          <w:rtl/>
        </w:rPr>
        <w:t>ציינו שהם מטילים עומס רגשי, כאשר 53% מהם ציינו שהתיקים מטילים עומס רגשי כבד על השופטים. בבחינת האופנים שבהם עומס רגשי זה בא לידי ביטוי אנו רואים כי מעל שליש מהשופטים חשים כי כל או רוב התיקים הללו מטילים עליהם עומס רגשי מיוחד</w:t>
      </w:r>
      <w:r w:rsidRPr="00F25744">
        <w:rPr>
          <w:rFonts w:ascii="David" w:hAnsi="David" w:cs="David" w:hint="cs"/>
          <w:sz w:val="24"/>
          <w:szCs w:val="24"/>
          <w:rtl/>
        </w:rPr>
        <w:t>,</w:t>
      </w:r>
      <w:r w:rsidR="007F3A52" w:rsidRPr="00F25744">
        <w:rPr>
          <w:rFonts w:ascii="David" w:hAnsi="David" w:cs="David" w:hint="cs"/>
          <w:sz w:val="24"/>
          <w:szCs w:val="24"/>
          <w:rtl/>
        </w:rPr>
        <w:t xml:space="preserve"> ועוד כשליש חשים זאת בכמחצית מן התיקים. 55% מהשופטים ממשיכים לחשוב על לפחות מחצית מהתיקים הללו מחוץ לשעות העבודה (50% במחצית מהתיקים ועוד 5% לגבי רוב או כל התיקים הללו).</w:t>
      </w:r>
    </w:p>
    <w:p w14:paraId="7799A40A" w14:textId="77777777" w:rsidR="00437FB5" w:rsidRPr="00F25744" w:rsidRDefault="00E25AE7" w:rsidP="008336F3">
      <w:pPr>
        <w:spacing w:before="120" w:after="0" w:line="360" w:lineRule="auto"/>
        <w:jc w:val="both"/>
        <w:rPr>
          <w:u w:val="single"/>
          <w:rtl/>
        </w:rPr>
      </w:pPr>
      <w:r w:rsidRPr="00F25744">
        <w:rPr>
          <w:rFonts w:ascii="David" w:hAnsi="David" w:cs="David" w:hint="cs"/>
          <w:sz w:val="24"/>
          <w:szCs w:val="24"/>
          <w:rtl/>
        </w:rPr>
        <w:t xml:space="preserve">מתשובות </w:t>
      </w:r>
      <w:r w:rsidRPr="00F25744">
        <w:rPr>
          <w:rFonts w:ascii="David" w:hAnsi="David" w:cs="David" w:hint="cs"/>
          <w:b/>
          <w:bCs/>
          <w:sz w:val="24"/>
          <w:szCs w:val="24"/>
          <w:rtl/>
        </w:rPr>
        <w:t>שופטי הנוער</w:t>
      </w:r>
      <w:r w:rsidRPr="00F25744">
        <w:rPr>
          <w:rFonts w:ascii="David" w:hAnsi="David" w:cs="David" w:hint="cs"/>
          <w:sz w:val="24"/>
          <w:szCs w:val="24"/>
          <w:rtl/>
        </w:rPr>
        <w:t xml:space="preserve"> לשאלון עלתה תמונה של עומס רגשי כבד ביותר</w:t>
      </w:r>
      <w:r w:rsidR="000A7D63" w:rsidRPr="00F25744">
        <w:rPr>
          <w:rFonts w:ascii="David" w:hAnsi="David" w:cs="David" w:hint="cs"/>
          <w:sz w:val="24"/>
          <w:szCs w:val="24"/>
          <w:rtl/>
        </w:rPr>
        <w:t>, כפי שעלה גם בשיחות שערכנו עם נשיאת בתי המשפט לנוער</w:t>
      </w:r>
      <w:r w:rsidRPr="00F25744">
        <w:rPr>
          <w:rFonts w:ascii="David" w:hAnsi="David" w:cs="David" w:hint="cs"/>
          <w:sz w:val="24"/>
          <w:szCs w:val="24"/>
          <w:rtl/>
        </w:rPr>
        <w:t xml:space="preserve">. </w:t>
      </w:r>
      <w:r w:rsidR="0051426E" w:rsidRPr="00F25744">
        <w:rPr>
          <w:rFonts w:ascii="David" w:hAnsi="David" w:cs="David" w:hint="cs"/>
          <w:sz w:val="24"/>
          <w:szCs w:val="24"/>
          <w:rtl/>
        </w:rPr>
        <w:t xml:space="preserve">כאמור, 100% מן השופטים אשר ענו על שאלת העומס הרגשי המקדימה השיבו כי הטיפול בתיקי הנוער מטיל עליהם עומס רגשי. שופטי </w:t>
      </w:r>
      <w:r w:rsidR="005A6F5C" w:rsidRPr="00F25744">
        <w:rPr>
          <w:rFonts w:ascii="David" w:hAnsi="David" w:cs="David" w:hint="cs"/>
          <w:sz w:val="24"/>
          <w:szCs w:val="24"/>
          <w:rtl/>
        </w:rPr>
        <w:t>ה</w:t>
      </w:r>
      <w:r w:rsidR="0051426E" w:rsidRPr="00F25744">
        <w:rPr>
          <w:rFonts w:ascii="David" w:hAnsi="David" w:cs="David" w:hint="cs"/>
          <w:sz w:val="24"/>
          <w:szCs w:val="24"/>
          <w:rtl/>
        </w:rPr>
        <w:t xml:space="preserve">נוער נשאלו באילו מסוגי התיקים הדבר בא לידי ביטוי. </w:t>
      </w:r>
      <w:r w:rsidRPr="00F25744">
        <w:rPr>
          <w:rFonts w:ascii="David" w:hAnsi="David" w:cs="David" w:hint="cs"/>
          <w:sz w:val="24"/>
          <w:szCs w:val="24"/>
          <w:rtl/>
        </w:rPr>
        <w:t>סוגי התיקים העיקריים שעליהם הצביעו שופטי הנוער כמטילים עומס רגשי הם ת</w:t>
      </w:r>
      <w:r w:rsidR="0051426E" w:rsidRPr="00F25744">
        <w:rPr>
          <w:rFonts w:ascii="David" w:hAnsi="David" w:cs="David" w:hint="cs"/>
          <w:sz w:val="24"/>
          <w:szCs w:val="24"/>
          <w:rtl/>
        </w:rPr>
        <w:t xml:space="preserve">יקי </w:t>
      </w:r>
      <w:r w:rsidR="0051426E" w:rsidRPr="00F25744">
        <w:rPr>
          <w:rFonts w:ascii="David" w:hAnsi="David" w:cs="David" w:hint="cs"/>
          <w:b/>
          <w:bCs/>
          <w:sz w:val="24"/>
          <w:szCs w:val="24"/>
          <w:rtl/>
        </w:rPr>
        <w:t xml:space="preserve">צב"נ </w:t>
      </w:r>
      <w:r w:rsidR="0051426E" w:rsidRPr="00F25744">
        <w:rPr>
          <w:rFonts w:ascii="David" w:hAnsi="David" w:cs="David" w:hint="cs"/>
          <w:sz w:val="24"/>
          <w:szCs w:val="24"/>
          <w:rtl/>
        </w:rPr>
        <w:t xml:space="preserve">(צו ביניים לנזקקות) ותיקי </w:t>
      </w:r>
      <w:r w:rsidR="0051426E" w:rsidRPr="00F25744">
        <w:rPr>
          <w:rFonts w:ascii="David" w:hAnsi="David" w:cs="David" w:hint="cs"/>
          <w:b/>
          <w:bCs/>
          <w:sz w:val="24"/>
          <w:szCs w:val="24"/>
          <w:rtl/>
        </w:rPr>
        <w:t>תנ"ז</w:t>
      </w:r>
      <w:r w:rsidR="0051426E" w:rsidRPr="00F25744">
        <w:rPr>
          <w:rFonts w:ascii="David" w:hAnsi="David" w:cs="David" w:hint="cs"/>
          <w:sz w:val="24"/>
          <w:szCs w:val="24"/>
          <w:rtl/>
        </w:rPr>
        <w:t xml:space="preserve"> (תביעת נזקקות). ניתן לראות כי 100% מן השופטים</w:t>
      </w:r>
      <w:r w:rsidR="004C274B" w:rsidRPr="00F25744">
        <w:rPr>
          <w:rFonts w:ascii="David" w:hAnsi="David" w:cs="David" w:hint="cs"/>
          <w:sz w:val="24"/>
          <w:szCs w:val="24"/>
          <w:rtl/>
        </w:rPr>
        <w:t xml:space="preserve"> שענו</w:t>
      </w:r>
      <w:r w:rsidR="0051426E" w:rsidRPr="00F25744">
        <w:rPr>
          <w:rFonts w:ascii="David" w:hAnsi="David" w:cs="David" w:hint="cs"/>
          <w:sz w:val="24"/>
          <w:szCs w:val="24"/>
          <w:rtl/>
        </w:rPr>
        <w:t xml:space="preserve"> ציינו כי רוב או כל תיקי הצב"ן מטילים עומס רגשי מיוחד, כאשר בתיקי תנ"ז, דיווחו כך 78% מן השופטים. עוד עולה, כי בתיקי צב"ן כ-90% מהשופטים ממשיכים לחשוב על רוב או כל התיקים מחוץ לשעות העבודה. בתיקי תנ"ז אחוז השופטים שממשיכים לחשוב על רוב או כל התיקים מחוץ לשעות </w:t>
      </w:r>
      <w:r w:rsidR="0051426E" w:rsidRPr="00F25744">
        <w:rPr>
          <w:rFonts w:ascii="David" w:hAnsi="David" w:cs="David" w:hint="cs"/>
          <w:sz w:val="24"/>
          <w:szCs w:val="24"/>
          <w:rtl/>
        </w:rPr>
        <w:lastRenderedPageBreak/>
        <w:t>העבודה עומד על 67%. 44% מהשופטים טענו כי העומס הרגשי בתיקים אלו מאריך את זמן הביצוע למשימות המשפטיות ברוב או כל התיקים הללו.</w:t>
      </w:r>
    </w:p>
    <w:p w14:paraId="5C3714A8" w14:textId="77777777" w:rsidR="004D4B62" w:rsidRPr="00F25744" w:rsidRDefault="00E25AE7" w:rsidP="008336F3">
      <w:pPr>
        <w:spacing w:before="120" w:after="0" w:line="360" w:lineRule="auto"/>
        <w:jc w:val="both"/>
        <w:rPr>
          <w:rFonts w:ascii="David" w:hAnsi="David" w:cs="David"/>
          <w:sz w:val="24"/>
          <w:szCs w:val="24"/>
          <w:rtl/>
        </w:rPr>
      </w:pPr>
      <w:r w:rsidRPr="00F25744">
        <w:rPr>
          <w:rFonts w:ascii="David" w:hAnsi="David" w:cs="David" w:hint="cs"/>
          <w:sz w:val="24"/>
          <w:szCs w:val="24"/>
          <w:rtl/>
        </w:rPr>
        <w:t>הממצאים שפורטו בפרק זה על אודות העומס הרגשי המשמעותי הכרוך בטיפול בתיקים מסוימים, בעיקר התיקים הפליליים ותיקי הנוער והמשפחה, אינם מאד מפתיעים נוכח מהות המטריה המשפטית שבה הם עוסקים. עם זאת, ממצאים חשובים אלו אשר הובאו כאן על קצה המזלג, מעידים על החשיבות הקיימת בבחינה מעמיקה יותר של היבטים נוספים אלו של עומס שיפוטי, ובחשיבה האם וכיצד ניתן יהיה לתת ביטוי לעומס נוסף זה בזמן השיפוטי הדרוש לטיפול בתיקים. למשל, האם ניתן לתרגם את זמני ההתאווררות או זמני ההתייעצות או זמני החשיבה הנוספת על התיקים מעבר לשעות העבודה ל"מקדם" זמן כלשהו שניתן להוסיף לתיקים מהסוגים שפורטו כאן, וכדומה.</w:t>
      </w:r>
      <w:r w:rsidR="00D168F2" w:rsidRPr="00F25744">
        <w:rPr>
          <w:rFonts w:ascii="David" w:hAnsi="David" w:cs="David" w:hint="cs"/>
          <w:sz w:val="24"/>
          <w:szCs w:val="24"/>
          <w:rtl/>
        </w:rPr>
        <w:t xml:space="preserve"> ומעבר לזאת, יש מקום להעמקה עתידית בכלים שכדאי למערכת ליישם לטובת הקלת נטל רגשי ונפשי זה המוטל על כתפי השופטים, הן לטובת קידום יעילות הטיפול באותם תיקים והן לרווחתם של השופטים עצמם. </w:t>
      </w:r>
      <w:r w:rsidRPr="00F25744">
        <w:rPr>
          <w:rFonts w:ascii="David" w:hAnsi="David" w:cs="David" w:hint="cs"/>
          <w:sz w:val="24"/>
          <w:szCs w:val="24"/>
          <w:rtl/>
        </w:rPr>
        <w:t xml:space="preserve"> </w:t>
      </w:r>
    </w:p>
    <w:p w14:paraId="48206924" w14:textId="77777777" w:rsidR="008779E0" w:rsidRPr="00F25744" w:rsidRDefault="008779E0" w:rsidP="008336F3">
      <w:pPr>
        <w:spacing w:before="120" w:after="0" w:line="360" w:lineRule="auto"/>
        <w:jc w:val="both"/>
        <w:rPr>
          <w:u w:val="single"/>
          <w:rtl/>
        </w:rPr>
      </w:pPr>
    </w:p>
    <w:p w14:paraId="1E6E6A70" w14:textId="77777777" w:rsidR="008E34F7" w:rsidRPr="00F25744" w:rsidRDefault="008E34F7" w:rsidP="008336F3">
      <w:pPr>
        <w:spacing w:before="120" w:after="0" w:line="360" w:lineRule="auto"/>
        <w:jc w:val="both"/>
        <w:rPr>
          <w:rFonts w:ascii="David" w:hAnsi="David" w:cs="David"/>
          <w:sz w:val="24"/>
          <w:szCs w:val="24"/>
          <w:rtl/>
        </w:rPr>
      </w:pPr>
    </w:p>
    <w:p w14:paraId="0CF614CC" w14:textId="77777777" w:rsidR="00C71BFB" w:rsidRPr="00F25744" w:rsidRDefault="00C71BFB" w:rsidP="008336F3">
      <w:pPr>
        <w:spacing w:before="120" w:after="0" w:line="360" w:lineRule="auto"/>
        <w:jc w:val="both"/>
        <w:rPr>
          <w:rFonts w:ascii="David" w:hAnsi="David" w:cs="David"/>
          <w:sz w:val="24"/>
          <w:szCs w:val="24"/>
          <w:u w:val="single"/>
          <w:rtl/>
        </w:rPr>
      </w:pPr>
    </w:p>
    <w:p w14:paraId="57887BDF" w14:textId="77777777" w:rsidR="00840519" w:rsidRPr="00F25744" w:rsidRDefault="00E25AE7" w:rsidP="00B76750">
      <w:pPr>
        <w:pStyle w:val="1"/>
      </w:pPr>
      <w:bookmarkStart w:id="870" w:name="_Toc49352795"/>
      <w:bookmarkStart w:id="871" w:name="_Toc49429702"/>
      <w:bookmarkStart w:id="872" w:name="_Toc49435931"/>
      <w:r w:rsidRPr="00F25744">
        <w:rPr>
          <w:rtl/>
        </w:rPr>
        <w:br w:type="page"/>
      </w:r>
      <w:bookmarkStart w:id="873" w:name="_Toc74751039"/>
      <w:r w:rsidR="007F3A52" w:rsidRPr="00F25744">
        <w:rPr>
          <w:rFonts w:hint="cs"/>
          <w:rtl/>
        </w:rPr>
        <w:lastRenderedPageBreak/>
        <w:t>סיכום, מסקנות</w:t>
      </w:r>
      <w:r w:rsidR="004E7C6B" w:rsidRPr="00F25744">
        <w:rPr>
          <w:rFonts w:hint="cs"/>
          <w:rtl/>
        </w:rPr>
        <w:t>, מגבלות המחקר</w:t>
      </w:r>
      <w:r w:rsidR="007F3A52" w:rsidRPr="00F25744">
        <w:rPr>
          <w:rFonts w:hint="cs"/>
          <w:rtl/>
        </w:rPr>
        <w:t xml:space="preserve"> והמלצות</w:t>
      </w:r>
      <w:r w:rsidR="004E7C6B" w:rsidRPr="00F25744">
        <w:rPr>
          <w:rFonts w:hint="cs"/>
          <w:rtl/>
        </w:rPr>
        <w:t xml:space="preserve"> לעתיד</w:t>
      </w:r>
      <w:bookmarkEnd w:id="870"/>
      <w:bookmarkEnd w:id="871"/>
      <w:bookmarkEnd w:id="872"/>
      <w:bookmarkEnd w:id="873"/>
    </w:p>
    <w:p w14:paraId="2A0508D5" w14:textId="77777777" w:rsidR="005317AA" w:rsidRPr="00F25744" w:rsidRDefault="00E25AE7" w:rsidP="008336F3">
      <w:pPr>
        <w:widowControl w:val="0"/>
        <w:autoSpaceDE w:val="0"/>
        <w:autoSpaceDN w:val="0"/>
        <w:adjustRightInd w:val="0"/>
        <w:spacing w:before="120" w:after="0" w:line="360" w:lineRule="auto"/>
        <w:jc w:val="both"/>
        <w:rPr>
          <w:rFonts w:ascii="David" w:hAnsi="David" w:cs="David"/>
          <w:sz w:val="24"/>
          <w:szCs w:val="24"/>
          <w:u w:val="single"/>
          <w:rtl/>
        </w:rPr>
      </w:pPr>
      <w:r w:rsidRPr="00F25744">
        <w:rPr>
          <w:rFonts w:ascii="David" w:hAnsi="David" w:cs="David" w:hint="cs"/>
          <w:sz w:val="24"/>
          <w:szCs w:val="24"/>
          <w:u w:val="single"/>
          <w:rtl/>
        </w:rPr>
        <w:t>חשיבות המחקר</w:t>
      </w:r>
    </w:p>
    <w:p w14:paraId="1E309FA9" w14:textId="77777777" w:rsidR="005317AA" w:rsidRPr="00F25744" w:rsidRDefault="00E25AE7" w:rsidP="008336F3">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 xml:space="preserve">במחקר זה התכבדה מחלקת המחקר של הרשות השופטת להציג את מדד עומס העבודה השיפוטית, אשר נועד לאמוד וליתן משקל כמותי לעומס העבודה השיפוטית המוטל על השופטות, השופטים, הרשמות והרשמים בבתי המשפט בישראל. </w:t>
      </w:r>
    </w:p>
    <w:p w14:paraId="4A69C66C" w14:textId="77777777" w:rsidR="005317AA" w:rsidRPr="00F25744" w:rsidRDefault="00E25AE7" w:rsidP="008336F3">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לראשונה בישראל נערך מחקר זה בדרך של מדידת זמנים בזמן אמת, כאשר במשך חמשת שבועות המחקר תיעדו מרבית השופטים והרשמים בערכאות המחוזי והשלום, לרבות בתי המשפט לתעבורה, בתי המשפט לענייני משפחה ובתי המשפט לנוער, את סדר יומם ואת זמני הפעולות השיפוטיות השונות שביצעו במהלך יום העבודה השיפוטי. במקביל, מאות קלדניות מכל בתי המשפט שהשתתפו במחקר תיעדו את זמני הדיונים.</w:t>
      </w:r>
    </w:p>
    <w:p w14:paraId="56EE07A2" w14:textId="77777777" w:rsidR="00341018" w:rsidRPr="00F25744" w:rsidRDefault="00E25AE7" w:rsidP="008336F3">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מחקר זה נעשה כחידוש וטיוב של מחקר מדד משקלות התיקים שפרסמה מחלקת המחקר בשנת 2013, אשר נערך בשיטה של הערכת זמנים בשיטת הדלפי, ואשר סיפק באופן חלוצי משקלות יחסיים לסוגי התיקים השונים.</w:t>
      </w:r>
    </w:p>
    <w:p w14:paraId="04A7A8FF" w14:textId="77777777" w:rsidR="00FD1FDB" w:rsidRPr="00F25744" w:rsidRDefault="00E25AE7" w:rsidP="008336F3">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כמות הנתונים שנאספה במהלך חמשת השבועות האמורים הייתה עצומה. הכמות הגדולה של הנתונים, יחד עם נתוני מחשב ונתונים שנאספו במשך שנה תמימה על ידי מחלקת המחקר, אפשרו לנו להציג במסגרת מחקר מקיף ורחב זה, את הזמנים השיפוטיים הממוצעים שנמדדו ביחס ל-</w:t>
      </w:r>
      <w:r w:rsidR="009F6F4B" w:rsidRPr="00F25744">
        <w:rPr>
          <w:rFonts w:ascii="David" w:hAnsi="David" w:cs="David" w:hint="cs"/>
          <w:sz w:val="24"/>
          <w:szCs w:val="24"/>
          <w:rtl/>
        </w:rPr>
        <w:t>125</w:t>
      </w:r>
      <w:r w:rsidRPr="00F25744">
        <w:rPr>
          <w:rFonts w:ascii="David" w:hAnsi="David" w:cs="David" w:hint="cs"/>
          <w:sz w:val="24"/>
          <w:szCs w:val="24"/>
          <w:rtl/>
        </w:rPr>
        <w:t xml:space="preserve"> סוגי תיקים הנשמעים בבתי המשפט המחוזיים, בתי משפט השלום, בתי המשפט לתעבורה, בתי המשפט למשפחה ובתי המשפט לנוער. זאת, בנוסף ל-24 סוגי עניין ייחודיים בערכאות המחוזי והשלום. </w:t>
      </w:r>
      <w:r w:rsidR="009F6F4B" w:rsidRPr="00F25744">
        <w:rPr>
          <w:rFonts w:ascii="David" w:hAnsi="David" w:cs="David" w:hint="cs"/>
          <w:sz w:val="24"/>
          <w:szCs w:val="24"/>
          <w:rtl/>
        </w:rPr>
        <w:t>125</w:t>
      </w:r>
      <w:r w:rsidRPr="00F25744">
        <w:rPr>
          <w:rFonts w:ascii="David" w:hAnsi="David" w:cs="David" w:hint="cs"/>
          <w:sz w:val="24"/>
          <w:szCs w:val="24"/>
          <w:rtl/>
        </w:rPr>
        <w:t xml:space="preserve"> סוגי תיקים אלו משקפים כמעט 99% מכלל התיקים אשר נסגרו במערכת המשפט בשנת 2019 בבתי המשפט האמורים. </w:t>
      </w:r>
      <w:r w:rsidR="003D3E6E" w:rsidRPr="00F25744">
        <w:rPr>
          <w:rFonts w:ascii="David" w:hAnsi="David" w:cs="David" w:hint="cs"/>
          <w:sz w:val="24"/>
          <w:szCs w:val="24"/>
          <w:rtl/>
        </w:rPr>
        <w:t xml:space="preserve">על כך יש להוסיף את הנתונים שנאספו במסגרת מחקר בתי הדין לעבודה, אשר הציג את זמניהם השיפוטיים של 18 סוגי התיקים העיקריים הנדונים בתי הדין האזוריים לעבודה, לרבות שני סוגי עניין ייחודיים. </w:t>
      </w:r>
      <w:r w:rsidR="007F3A52" w:rsidRPr="00F25744">
        <w:rPr>
          <w:rFonts w:ascii="David" w:hAnsi="David" w:cs="David" w:hint="cs"/>
          <w:sz w:val="24"/>
          <w:szCs w:val="24"/>
          <w:rtl/>
        </w:rPr>
        <w:t>ממצאיו העיקריים של מחקר בתי הדין לעבודה שולבו בפרק הממצאים של מחקר זה, אולם הממצאים והמסקנות הכוללים יפורסמו במסגרת דוח נפרד.</w:t>
      </w:r>
      <w:r w:rsidRPr="00F25744">
        <w:rPr>
          <w:rStyle w:val="a6"/>
          <w:rtl/>
        </w:rPr>
        <w:footnoteReference w:id="44"/>
      </w:r>
      <w:r w:rsidR="007F3A52" w:rsidRPr="00F25744">
        <w:rPr>
          <w:rFonts w:ascii="David" w:hAnsi="David" w:cs="David" w:hint="cs"/>
          <w:sz w:val="24"/>
          <w:szCs w:val="24"/>
          <w:rtl/>
        </w:rPr>
        <w:t xml:space="preserve"> </w:t>
      </w:r>
    </w:p>
    <w:p w14:paraId="2F0AFBA1" w14:textId="77777777" w:rsidR="005317AA" w:rsidRPr="00F25744" w:rsidRDefault="00E25AE7" w:rsidP="008336F3">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 xml:space="preserve">הזמנים השיפוטיים שהצגנו כוללים את כל שלבי הטיפול השיפוטי בתיק </w:t>
      </w:r>
      <w:r w:rsidRPr="00F25744">
        <w:rPr>
          <w:rFonts w:ascii="David" w:hAnsi="David" w:cs="David"/>
          <w:sz w:val="24"/>
          <w:szCs w:val="24"/>
          <w:rtl/>
        </w:rPr>
        <w:t>–</w:t>
      </w:r>
      <w:r w:rsidRPr="00F25744">
        <w:rPr>
          <w:rFonts w:ascii="David" w:hAnsi="David" w:cs="David" w:hint="cs"/>
          <w:sz w:val="24"/>
          <w:szCs w:val="24"/>
          <w:rtl/>
        </w:rPr>
        <w:t xml:space="preserve"> החל משלב ההכנה לדיון, דרך שמיעת הדיון, כתיבת החלטות וכלה בכתיבת פסק הדין בתיק. </w:t>
      </w:r>
    </w:p>
    <w:p w14:paraId="536423C8" w14:textId="77777777" w:rsidR="005317AA" w:rsidRPr="00F25744" w:rsidRDefault="00E25AE7" w:rsidP="008336F3">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 xml:space="preserve">חשיבותו הגדולה של מדד עומס העבודה השיפוטית שהוצג כאן לפניכם טמונה בכלים המדויקים והמקיפים שהוא נותן במטרה לסייע במציאת פתרונות שונים להקלת העומס השיפוטי במערכת המשפט בישראל, לטובת המערכת עצמה ולטובת </w:t>
      </w:r>
      <w:r w:rsidR="00341018" w:rsidRPr="00F25744">
        <w:rPr>
          <w:rFonts w:ascii="David" w:hAnsi="David" w:cs="David" w:hint="cs"/>
          <w:sz w:val="24"/>
          <w:szCs w:val="24"/>
          <w:rtl/>
        </w:rPr>
        <w:t>הבאים בשעריה</w:t>
      </w:r>
      <w:r w:rsidRPr="00F25744">
        <w:rPr>
          <w:rFonts w:ascii="David" w:hAnsi="David" w:cs="David" w:hint="cs"/>
          <w:sz w:val="24"/>
          <w:szCs w:val="24"/>
          <w:rtl/>
        </w:rPr>
        <w:t xml:space="preserve">. ממצאי מחקר זה מיועדים לשמש את ראשי המערכת לצורכי תקינה ואיוש של שופטים, רשמים וצוותי העזר לשופטים במערכת, לצורכי השוואת עומסים בין בתי המשפט והעברת תיקים (בתוך המחוזות וביניהם), לקביעת הצורך במבני בתי משפט עתידיים וגודלם, ואף לסייע בקביעת תכניות העבודה ברמת בית המשפט והמחוז. </w:t>
      </w:r>
    </w:p>
    <w:p w14:paraId="43BD96C2" w14:textId="77777777" w:rsidR="00F04D66" w:rsidRPr="00F25744" w:rsidRDefault="00F04D66" w:rsidP="00C84C73">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 xml:space="preserve">לאחר סיום איסוף הנתונים, עיבודם וניתוחם, ביצענו מספר מהלכי תיקוף מחקריים רחבי היקף </w:t>
      </w:r>
      <w:r w:rsidRPr="00F25744">
        <w:rPr>
          <w:rFonts w:ascii="David" w:hAnsi="David" w:cs="David" w:hint="cs"/>
          <w:sz w:val="24"/>
          <w:szCs w:val="24"/>
          <w:rtl/>
        </w:rPr>
        <w:lastRenderedPageBreak/>
        <w:t xml:space="preserve">(כמפורט בהרחבה בפרק המתודולוגיה ובפרק הממצאים של ערכאת המחוזי). </w:t>
      </w:r>
      <w:r w:rsidR="00803EF6" w:rsidRPr="00F25744">
        <w:rPr>
          <w:rFonts w:ascii="David" w:hAnsi="David" w:cs="David" w:hint="cs"/>
          <w:sz w:val="24"/>
          <w:szCs w:val="24"/>
          <w:rtl/>
        </w:rPr>
        <w:t xml:space="preserve">מהלכי תיקוף אלו העלו באופן ברור כי קיים קושי אינהרנטי משמעותי </w:t>
      </w:r>
      <w:r w:rsidR="00E41739" w:rsidRPr="00F25744">
        <w:rPr>
          <w:rFonts w:ascii="David" w:hAnsi="David" w:cs="David" w:hint="cs"/>
          <w:sz w:val="24"/>
          <w:szCs w:val="24"/>
          <w:rtl/>
        </w:rPr>
        <w:t>ב</w:t>
      </w:r>
      <w:r w:rsidR="00803EF6" w:rsidRPr="00F25744">
        <w:rPr>
          <w:rFonts w:ascii="David" w:hAnsi="David" w:cs="David" w:hint="cs"/>
          <w:sz w:val="24"/>
          <w:szCs w:val="24"/>
          <w:rtl/>
        </w:rPr>
        <w:t>הערכה של זמני הטיפול בתיקים השונים</w:t>
      </w:r>
      <w:r w:rsidR="00E41739" w:rsidRPr="00F25744">
        <w:rPr>
          <w:rFonts w:ascii="David" w:hAnsi="David" w:cs="David" w:hint="cs"/>
          <w:sz w:val="24"/>
          <w:szCs w:val="24"/>
          <w:rtl/>
        </w:rPr>
        <w:t>, וחיזקו ואישרו את שיטת המחקר הנוכחי, שנקט במדידת זמני הטיפול בתיקים בזמן אמת</w:t>
      </w:r>
      <w:r w:rsidR="00803EF6" w:rsidRPr="00F25744">
        <w:rPr>
          <w:rFonts w:ascii="David" w:hAnsi="David" w:cs="David" w:hint="cs"/>
          <w:sz w:val="24"/>
          <w:szCs w:val="24"/>
          <w:rtl/>
        </w:rPr>
        <w:t xml:space="preserve">. </w:t>
      </w:r>
      <w:r w:rsidR="00732708" w:rsidRPr="00F25744">
        <w:rPr>
          <w:rFonts w:ascii="David" w:hAnsi="David" w:cs="David" w:hint="cs"/>
          <w:sz w:val="24"/>
          <w:szCs w:val="24"/>
          <w:rtl/>
        </w:rPr>
        <w:t xml:space="preserve">על כן אנו סמוכות ובטוחות כי מחקר זה </w:t>
      </w:r>
      <w:r w:rsidR="00C84C73" w:rsidRPr="00F25744">
        <w:rPr>
          <w:rFonts w:ascii="David" w:hAnsi="David" w:cs="David" w:hint="cs"/>
          <w:sz w:val="24"/>
          <w:szCs w:val="24"/>
          <w:rtl/>
        </w:rPr>
        <w:t>יסייע למנהלי המערכת לגבש ה</w:t>
      </w:r>
      <w:r w:rsidR="00803EF6" w:rsidRPr="00F25744">
        <w:rPr>
          <w:rFonts w:ascii="David" w:hAnsi="David" w:cs="David" w:hint="cs"/>
          <w:sz w:val="24"/>
          <w:szCs w:val="24"/>
          <w:rtl/>
        </w:rPr>
        <w:t xml:space="preserve">חלטות ניהוליות על </w:t>
      </w:r>
      <w:r w:rsidR="00732708" w:rsidRPr="00F25744">
        <w:rPr>
          <w:rFonts w:ascii="David" w:hAnsi="David" w:cs="David" w:hint="cs"/>
          <w:sz w:val="24"/>
          <w:szCs w:val="24"/>
          <w:rtl/>
        </w:rPr>
        <w:t xml:space="preserve">בסיס מידע אמפירי </w:t>
      </w:r>
      <w:r w:rsidR="00631889" w:rsidRPr="00F25744">
        <w:rPr>
          <w:rFonts w:ascii="David" w:hAnsi="David" w:cs="David" w:hint="cs"/>
          <w:sz w:val="24"/>
          <w:szCs w:val="24"/>
          <w:rtl/>
        </w:rPr>
        <w:t>מהימן ו</w:t>
      </w:r>
      <w:r w:rsidR="00732708" w:rsidRPr="00F25744">
        <w:rPr>
          <w:rFonts w:ascii="David" w:hAnsi="David" w:cs="David" w:hint="cs"/>
          <w:sz w:val="24"/>
          <w:szCs w:val="24"/>
          <w:rtl/>
        </w:rPr>
        <w:t>מדויק.</w:t>
      </w:r>
      <w:r w:rsidR="00803EF6" w:rsidRPr="00F25744">
        <w:rPr>
          <w:rFonts w:ascii="David" w:hAnsi="David" w:cs="David" w:hint="cs"/>
          <w:sz w:val="24"/>
          <w:szCs w:val="24"/>
          <w:rtl/>
        </w:rPr>
        <w:t xml:space="preserve"> </w:t>
      </w:r>
    </w:p>
    <w:p w14:paraId="5B4D67EB" w14:textId="77777777" w:rsidR="008336F3" w:rsidRPr="00F25744" w:rsidRDefault="008336F3" w:rsidP="00F82F8C">
      <w:pPr>
        <w:widowControl w:val="0"/>
        <w:autoSpaceDE w:val="0"/>
        <w:autoSpaceDN w:val="0"/>
        <w:adjustRightInd w:val="0"/>
        <w:spacing w:after="0" w:line="240" w:lineRule="auto"/>
        <w:jc w:val="both"/>
        <w:rPr>
          <w:rFonts w:ascii="David" w:hAnsi="David" w:cs="David"/>
          <w:sz w:val="24"/>
          <w:szCs w:val="24"/>
          <w:u w:val="single"/>
          <w:rtl/>
        </w:rPr>
      </w:pPr>
    </w:p>
    <w:p w14:paraId="43987B3C" w14:textId="77777777" w:rsidR="005317AA" w:rsidRPr="00F25744" w:rsidRDefault="00E25AE7" w:rsidP="008336F3">
      <w:pPr>
        <w:widowControl w:val="0"/>
        <w:autoSpaceDE w:val="0"/>
        <w:autoSpaceDN w:val="0"/>
        <w:adjustRightInd w:val="0"/>
        <w:spacing w:before="120" w:after="0" w:line="360" w:lineRule="auto"/>
        <w:jc w:val="both"/>
        <w:rPr>
          <w:rFonts w:ascii="David" w:hAnsi="David" w:cs="David"/>
          <w:sz w:val="24"/>
          <w:szCs w:val="24"/>
          <w:u w:val="single"/>
          <w:rtl/>
        </w:rPr>
      </w:pPr>
      <w:r w:rsidRPr="00F25744">
        <w:rPr>
          <w:rFonts w:ascii="David" w:hAnsi="David" w:cs="David" w:hint="cs"/>
          <w:sz w:val="24"/>
          <w:szCs w:val="24"/>
          <w:u w:val="single"/>
          <w:rtl/>
        </w:rPr>
        <w:t>תוצרי המחקר</w:t>
      </w:r>
    </w:p>
    <w:p w14:paraId="4BBC96F8" w14:textId="77777777" w:rsidR="005317AA" w:rsidRPr="00F25744" w:rsidRDefault="00E25AE7" w:rsidP="008336F3">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t xml:space="preserve">מחקר זה הניב שני תוצרים עיקריים: הראשון, הזמנים השיפוטיים הממוצעים שהוקדשו לטיפול בסוגי התיקים השונים הנדונים במערכת. השני, הצגת תמהיל יום העבודה השיפוטי, ופילוחו לפי פרמטרים שונים, במטרה לתת תמונה מייצגת על אודות סדר היום הממוצע של השופטים בישראל: הזמנים שהם מקדישים לפעולות שיפוטיות בתיקים שבהם הם מטפלים לעומת פעילויות שיפוטיות אחרות, מספר שעות העבודה ביחס לשעות המקובלות במדינות מערביות אחרות, ההשלכות של נשיאה בתפקיד נוסף או קיומו של מערך תמיכה לשופטים על זמני הפעולות השיפוטיות, ההבדלים בין שופטים לרשמים, בין השופטים העוסקים בתיקים אזרחיים לעומת פליליים ועוד. שני תוצרים אלו הוצגו במסגרת המחקר גם בחלוקה לערכאות השונות, במטרה לאפשר מבט השוואתי בין הערכאות, וגם במבט כלל מערכתי, כדי לספק תמונה כוללת לצורכי ניהול המערכת. </w:t>
      </w:r>
    </w:p>
    <w:p w14:paraId="1CF890B2" w14:textId="77777777" w:rsidR="005317AA" w:rsidRPr="00F25744" w:rsidRDefault="00E25AE7" w:rsidP="008336F3">
      <w:pPr>
        <w:spacing w:before="120" w:after="0" w:line="360" w:lineRule="auto"/>
        <w:jc w:val="both"/>
        <w:rPr>
          <w:rFonts w:ascii="David" w:hAnsi="David" w:cs="David"/>
          <w:sz w:val="24"/>
          <w:szCs w:val="24"/>
          <w:rtl/>
        </w:rPr>
      </w:pPr>
      <w:r w:rsidRPr="00F25744">
        <w:rPr>
          <w:rFonts w:ascii="David" w:hAnsi="David" w:cs="David" w:hint="cs"/>
          <w:sz w:val="24"/>
          <w:szCs w:val="24"/>
          <w:rtl/>
        </w:rPr>
        <w:t xml:space="preserve">מעבר לשני התוצרים העיקריים הללו נבחנו במסגרת מחקר זה שני נושאים נוספים העוסקים בהיבטים אחרים של עומס העבודה השיפוטית: עומס נפשי ועומס רגשי. שני נושאים אלו עלו מהשופטים והנשיאים בערכאות השונות, הן כביקורת על מחקר המשקלות הקודם אשר לא נתן להם ביטוי, והן במהלך ההכנות שנעשו לקראת מחקר זה. על כן, ניסינו במסגרת מחקר זה לתת להם ביטוי מסוים, לא כחלק ממדידת הזמנים השיפוטיים, אלא בשיטה של מחקר תיאורי, על בסיס היגדים שעליהם השיבו השופטים במסגרת השאלון המסכם, וניתוח התשובות ביחס אליהם. </w:t>
      </w:r>
    </w:p>
    <w:p w14:paraId="06D3C606" w14:textId="77777777" w:rsidR="005317AA" w:rsidRPr="00F25744" w:rsidRDefault="00E25AE7" w:rsidP="008336F3">
      <w:pPr>
        <w:spacing w:before="120" w:after="0" w:line="360" w:lineRule="auto"/>
        <w:jc w:val="both"/>
        <w:rPr>
          <w:rFonts w:ascii="David" w:hAnsi="David" w:cs="David"/>
          <w:sz w:val="24"/>
          <w:szCs w:val="24"/>
          <w:rtl/>
        </w:rPr>
      </w:pPr>
      <w:r w:rsidRPr="00F25744">
        <w:rPr>
          <w:rFonts w:ascii="David" w:hAnsi="David" w:cs="David" w:hint="cs"/>
          <w:sz w:val="24"/>
          <w:szCs w:val="24"/>
          <w:rtl/>
        </w:rPr>
        <w:t>בחינת כלל ממצאי המחקר המפורטים במחקר רחב זה, מציירת תמונה של עומס רב המוטל על שכ</w:t>
      </w:r>
      <w:r w:rsidR="00FE45D6" w:rsidRPr="00F25744">
        <w:rPr>
          <w:rFonts w:ascii="David" w:hAnsi="David" w:cs="David" w:hint="cs"/>
          <w:sz w:val="24"/>
          <w:szCs w:val="24"/>
          <w:rtl/>
        </w:rPr>
        <w:t>מ</w:t>
      </w:r>
      <w:r w:rsidRPr="00F25744">
        <w:rPr>
          <w:rFonts w:ascii="David" w:hAnsi="David" w:cs="David" w:hint="cs"/>
          <w:sz w:val="24"/>
          <w:szCs w:val="24"/>
          <w:rtl/>
        </w:rPr>
        <w:t>ם של השופטים והרשמים במערכת המשפט הישראלית. עומס רב זה מתבטא</w:t>
      </w:r>
      <w:r w:rsidR="00CE6906" w:rsidRPr="00F25744">
        <w:rPr>
          <w:rFonts w:ascii="David" w:hAnsi="David" w:cs="David" w:hint="cs"/>
          <w:sz w:val="24"/>
          <w:szCs w:val="24"/>
          <w:rtl/>
        </w:rPr>
        <w:t>, בין היתר,</w:t>
      </w:r>
      <w:r w:rsidRPr="00F25744">
        <w:rPr>
          <w:rFonts w:ascii="David" w:hAnsi="David" w:cs="David" w:hint="cs"/>
          <w:sz w:val="24"/>
          <w:szCs w:val="24"/>
          <w:rtl/>
        </w:rPr>
        <w:t xml:space="preserve"> בכמויות התיקים העצומות, בתקינה חסרה, בשעות עבודה ארוכות לעומת המקובל בעולם המערבי, לרבות עבודה בימי חופש ומנוחה, בחוסר איזון בין העבודה לחיים הפרטיים ובעומס רגשי </w:t>
      </w:r>
      <w:r w:rsidR="00341018" w:rsidRPr="00F25744">
        <w:rPr>
          <w:rFonts w:ascii="David" w:hAnsi="David" w:cs="David" w:hint="cs"/>
          <w:sz w:val="24"/>
          <w:szCs w:val="24"/>
          <w:rtl/>
        </w:rPr>
        <w:t xml:space="preserve">הנובע מהעבודה השיפוטית בפני עצמה, וביתר שאת כתוצאה מהטיפול </w:t>
      </w:r>
      <w:r w:rsidRPr="00F25744">
        <w:rPr>
          <w:rFonts w:ascii="David" w:hAnsi="David" w:cs="David" w:hint="cs"/>
          <w:sz w:val="24"/>
          <w:szCs w:val="24"/>
          <w:rtl/>
        </w:rPr>
        <w:t>בתיקים מסוימים.</w:t>
      </w:r>
    </w:p>
    <w:p w14:paraId="056080FE" w14:textId="77777777" w:rsidR="008336F3" w:rsidRPr="00F25744" w:rsidRDefault="008336F3" w:rsidP="008336F3">
      <w:pPr>
        <w:widowControl w:val="0"/>
        <w:autoSpaceDE w:val="0"/>
        <w:autoSpaceDN w:val="0"/>
        <w:adjustRightInd w:val="0"/>
        <w:spacing w:after="0" w:line="240" w:lineRule="auto"/>
        <w:jc w:val="both"/>
        <w:rPr>
          <w:rFonts w:ascii="David" w:hAnsi="David" w:cs="David"/>
          <w:sz w:val="24"/>
          <w:szCs w:val="24"/>
          <w:u w:val="single"/>
          <w:rtl/>
        </w:rPr>
      </w:pPr>
    </w:p>
    <w:p w14:paraId="62413536" w14:textId="77777777" w:rsidR="005317AA" w:rsidRPr="00F25744" w:rsidRDefault="00E25AE7" w:rsidP="008336F3">
      <w:pPr>
        <w:widowControl w:val="0"/>
        <w:autoSpaceDE w:val="0"/>
        <w:autoSpaceDN w:val="0"/>
        <w:adjustRightInd w:val="0"/>
        <w:spacing w:before="120" w:after="0" w:line="360" w:lineRule="auto"/>
        <w:jc w:val="both"/>
        <w:rPr>
          <w:rFonts w:ascii="David" w:hAnsi="David" w:cs="David"/>
          <w:sz w:val="24"/>
          <w:szCs w:val="24"/>
          <w:u w:val="single"/>
          <w:rtl/>
        </w:rPr>
      </w:pPr>
      <w:r w:rsidRPr="00F25744">
        <w:rPr>
          <w:rFonts w:ascii="David" w:hAnsi="David" w:cs="David" w:hint="cs"/>
          <w:sz w:val="24"/>
          <w:szCs w:val="24"/>
          <w:u w:val="single"/>
          <w:rtl/>
        </w:rPr>
        <w:t>מבט לעתיד</w:t>
      </w:r>
    </w:p>
    <w:p w14:paraId="7AA34782" w14:textId="77777777" w:rsidR="00FD1FDB" w:rsidRPr="00F25744" w:rsidRDefault="00E25AE7" w:rsidP="008336F3">
      <w:pPr>
        <w:spacing w:before="120" w:after="0" w:line="360" w:lineRule="auto"/>
        <w:jc w:val="both"/>
        <w:rPr>
          <w:rFonts w:ascii="David" w:hAnsi="David" w:cs="David"/>
          <w:sz w:val="24"/>
          <w:szCs w:val="24"/>
        </w:rPr>
      </w:pPr>
      <w:r w:rsidRPr="00F25744">
        <w:rPr>
          <w:rFonts w:ascii="David" w:hAnsi="David" w:cs="David" w:hint="cs"/>
          <w:sz w:val="24"/>
          <w:szCs w:val="24"/>
          <w:rtl/>
        </w:rPr>
        <w:t xml:space="preserve">בסיומו של פרק הממצאים, לאחר שהצגנו את תוצרי המחקר ואת ממצאיו בנוגע לזמני הטיפול בתיקים השונים ולפילוח יום העבודה השיפוטי, הצגנו תת פרק יישומי, שבו הראינו כיצד ניתן להשתמש בנתונים ובממצאים אלו לצורך יישום מידי לפתרון בעיית העומס השיפוטי הכבד במערכת המשפט בישראל, באמצעות איזון עומסים בין בתי המשפט, הערכאות והמחוזות, ותוספת תקינה דרושה למערכת. בנוסף ניתן להשתמש כבר כעת בממצאים שהוצגו על מנת להעריך את כדאיותם ו"מחירם" של שינויים ארגוניים ומבניים שונים במערכת, שינויים פרוצדורליים וחקיקתיים, הערכת הזמן השיפוטי של תיקים חדשים שעשויים להיפתח במערכת או תיקים שיעברו בין הערכאות ובתי המשפט ועוד. </w:t>
      </w:r>
    </w:p>
    <w:p w14:paraId="64FB3FD5" w14:textId="77777777" w:rsidR="005317AA" w:rsidRPr="00F25744" w:rsidRDefault="00E25AE7" w:rsidP="008336F3">
      <w:pPr>
        <w:widowControl w:val="0"/>
        <w:autoSpaceDE w:val="0"/>
        <w:autoSpaceDN w:val="0"/>
        <w:adjustRightInd w:val="0"/>
        <w:spacing w:before="120" w:after="0" w:line="360" w:lineRule="auto"/>
        <w:jc w:val="both"/>
        <w:rPr>
          <w:rFonts w:ascii="David" w:hAnsi="David" w:cs="David"/>
          <w:sz w:val="24"/>
          <w:szCs w:val="24"/>
          <w:rtl/>
        </w:rPr>
      </w:pPr>
      <w:r w:rsidRPr="00F25744">
        <w:rPr>
          <w:rFonts w:ascii="David" w:hAnsi="David" w:cs="David" w:hint="cs"/>
          <w:sz w:val="24"/>
          <w:szCs w:val="24"/>
          <w:rtl/>
        </w:rPr>
        <w:lastRenderedPageBreak/>
        <w:t xml:space="preserve">כפי שהוסבר בפרק המתודולוגיה במחקר, חישוב הזמנים השיפוטיים הורכב בחלקו מנתוני הזמנים שנמדדו על ידי השופטים והקלדניות, ובחלקו נשען על נתוני מחשב, שנגעו בעיקר לתדירות וכמות האירועים המרכזיים בחיי כל תיק (כמות הדיונים, כמות ההחלטות וכו'). ממצאי הזמנים, כאמור, נמדדו על בסיס כמות עצומה של דיווחים בזמן אמת, במשך חמישה שבועות, ועל כן אין סיבה להניח כי ישתנו בשנים הקרובות. את נתוני המחשב, לעומת זאת, ניתן לעדכן מדי שנה או שנתיים, על בסיס נתונים של השנה החולפת, וכך לעדכן ולדייק את ממצאי הזמנים השיפוטיים, ולהביא לידי ביטוי, לפחות באופן חלקי, שינויים שעשויים להשפיע על אופן ניהול התיקים השונים, מבלי לערוך מחקר זמנים חדש. </w:t>
      </w:r>
    </w:p>
    <w:p w14:paraId="15CCC717" w14:textId="285C4543" w:rsidR="005317AA" w:rsidRPr="00F25744" w:rsidRDefault="00E25AE7" w:rsidP="00886B2C">
      <w:pPr>
        <w:spacing w:before="120" w:after="0" w:line="360" w:lineRule="auto"/>
        <w:jc w:val="both"/>
        <w:rPr>
          <w:rFonts w:ascii="David" w:hAnsi="David" w:cs="David"/>
          <w:sz w:val="24"/>
          <w:szCs w:val="24"/>
          <w:rtl/>
        </w:rPr>
      </w:pPr>
      <w:r w:rsidRPr="00F25744">
        <w:rPr>
          <w:rFonts w:ascii="David" w:hAnsi="David" w:cs="David" w:hint="cs"/>
          <w:sz w:val="24"/>
          <w:szCs w:val="24"/>
          <w:rtl/>
        </w:rPr>
        <w:t xml:space="preserve">עם זאת, ולמרות שכאמור אין סיבה להניח שהזמנים שמקדישים השופטים לפעולות השונות, כמו כתיבה או הכנה לדיונים, ישתנו מהותית בשנים הקרובות, בכל זאת ניתן לחשוב על שינויים שעשויים להיערך בשנים הקרובות, כמו העברת הליכים מסוימים בין הערכאות, למשל מהמחוזי לשלום, או שינויי חקיקה אשר </w:t>
      </w:r>
      <w:r w:rsidR="00886B2C">
        <w:rPr>
          <w:rFonts w:ascii="David" w:hAnsi="David" w:cs="David" w:hint="cs"/>
          <w:sz w:val="24"/>
          <w:szCs w:val="24"/>
          <w:rtl/>
        </w:rPr>
        <w:t>משנים</w:t>
      </w:r>
      <w:r w:rsidRPr="00F25744">
        <w:rPr>
          <w:rFonts w:ascii="David" w:hAnsi="David" w:cs="David" w:hint="cs"/>
          <w:sz w:val="24"/>
          <w:szCs w:val="24"/>
          <w:rtl/>
        </w:rPr>
        <w:t xml:space="preserve"> את אופן ניהול ההליך, כמו תקנות סדר הדין האזרחי החדשות אשר</w:t>
      </w:r>
      <w:r w:rsidR="00886B2C">
        <w:rPr>
          <w:rFonts w:ascii="David" w:hAnsi="David" w:cs="David" w:hint="cs"/>
          <w:sz w:val="24"/>
          <w:szCs w:val="24"/>
          <w:rtl/>
        </w:rPr>
        <w:t xml:space="preserve"> נכנסו </w:t>
      </w:r>
      <w:r w:rsidRPr="00F25744">
        <w:rPr>
          <w:rFonts w:ascii="David" w:hAnsi="David" w:cs="David" w:hint="cs"/>
          <w:sz w:val="24"/>
          <w:szCs w:val="24"/>
          <w:rtl/>
        </w:rPr>
        <w:t xml:space="preserve">לתוקף בחודש ינואר 2021. במקרים כאלו, ייתכן שיידרשו מחקרי המשך ספציפיים, או מחקרים עצמאיים, לצורך מדידת זמני העבודה באותם הליכים. </w:t>
      </w:r>
    </w:p>
    <w:p w14:paraId="6BFE88BB" w14:textId="77777777" w:rsidR="000340C9" w:rsidRPr="00F25744" w:rsidRDefault="00E25AE7" w:rsidP="008336F3">
      <w:pPr>
        <w:spacing w:before="120" w:after="0" w:line="360" w:lineRule="auto"/>
        <w:jc w:val="both"/>
        <w:rPr>
          <w:rFonts w:ascii="David" w:hAnsi="David" w:cs="David"/>
          <w:sz w:val="24"/>
          <w:szCs w:val="24"/>
          <w:rtl/>
        </w:rPr>
      </w:pPr>
      <w:r w:rsidRPr="00F25744">
        <w:rPr>
          <w:rFonts w:ascii="David" w:hAnsi="David" w:cs="David" w:hint="cs"/>
          <w:sz w:val="24"/>
          <w:szCs w:val="24"/>
          <w:rtl/>
        </w:rPr>
        <w:t xml:space="preserve">מסד הנתונים העצום שנאסף והוצג במסגרת מחקר רחב ממדים זה יכול להוות בסיס למחקרים נוספים בהמשך. כך למשל, ניתן לחשוב על מחקר שיבחן את ההשפעה של התמחויות השופטים (אזרחי/ פלילי, ובתוך התחום האזרחי </w:t>
      </w:r>
      <w:r w:rsidRPr="00F25744">
        <w:rPr>
          <w:rFonts w:ascii="David" w:hAnsi="David" w:cs="David"/>
          <w:sz w:val="24"/>
          <w:szCs w:val="24"/>
          <w:rtl/>
        </w:rPr>
        <w:t>–</w:t>
      </w:r>
      <w:r w:rsidRPr="00F25744">
        <w:rPr>
          <w:rFonts w:ascii="David" w:hAnsi="David" w:cs="David" w:hint="cs"/>
          <w:sz w:val="24"/>
          <w:szCs w:val="24"/>
          <w:rtl/>
        </w:rPr>
        <w:t xml:space="preserve"> מנהלי/ נזיקין/ מיסים וכיו"ב) על זמני הטיפול השיפוטי בתיקים</w:t>
      </w:r>
      <w:r w:rsidR="007F3A52" w:rsidRPr="00F25744">
        <w:rPr>
          <w:rFonts w:ascii="David" w:hAnsi="David" w:cs="David" w:hint="cs"/>
          <w:sz w:val="24"/>
          <w:szCs w:val="24"/>
          <w:rtl/>
        </w:rPr>
        <w:t xml:space="preserve">. בהמשך להערה שהעלינו בפרק הממצאים בנוגע להבדלים בין הערכות השופטים את כובד התיקים לעומת הממצאים שהועלו לגבי זמני הטיפול בתיקים, אם ההערכה היא שיש סוגי תיקים שמטילים עומס הנובע, בין היתר, ממורכבות הסוגיה המשפטית, ייתכן שאחת הדרכים להקלת העומס תהיה באמצעות הכשרה של השופטים ביחס לאותם סוגי תיקים, או בהתמקצעות של שופטים מסוימים לצורך הטיפול באותם סוגי תיקים. </w:t>
      </w:r>
    </w:p>
    <w:p w14:paraId="1ED063CC" w14:textId="77777777" w:rsidR="005317AA" w:rsidRPr="00F25744" w:rsidRDefault="00E25AE7" w:rsidP="008336F3">
      <w:pPr>
        <w:spacing w:before="120" w:after="0" w:line="360" w:lineRule="auto"/>
        <w:jc w:val="both"/>
        <w:rPr>
          <w:rFonts w:ascii="David" w:hAnsi="David" w:cs="David"/>
          <w:sz w:val="24"/>
          <w:szCs w:val="24"/>
          <w:rtl/>
        </w:rPr>
      </w:pPr>
      <w:r w:rsidRPr="00F25744">
        <w:rPr>
          <w:rFonts w:ascii="David" w:hAnsi="David" w:cs="David" w:hint="cs"/>
          <w:sz w:val="24"/>
          <w:szCs w:val="24"/>
          <w:rtl/>
        </w:rPr>
        <w:t xml:space="preserve">כמו כן, </w:t>
      </w:r>
      <w:r w:rsidR="007F3A52" w:rsidRPr="00F25744">
        <w:rPr>
          <w:rFonts w:ascii="David" w:hAnsi="David" w:cs="David" w:hint="cs"/>
          <w:sz w:val="24"/>
          <w:szCs w:val="24"/>
          <w:rtl/>
        </w:rPr>
        <w:t xml:space="preserve">שני התוצרים הנוספים של מחקר זה - העומס הנפשי והעומס הרגשי, עשויים כשלעצמם לספק בסיס למחקרים מעמיקים יותר בנושאים של לחץ ושחיקה אצל שופטים, והתמודדות עם העומס הרגשי הכרוך בטיפול בתיקים מסוימים. </w:t>
      </w:r>
    </w:p>
    <w:p w14:paraId="3B91584F" w14:textId="77777777" w:rsidR="00B37048" w:rsidRPr="00F25744" w:rsidRDefault="00E25AE7" w:rsidP="008336F3">
      <w:pPr>
        <w:spacing w:before="120" w:after="0" w:line="360" w:lineRule="auto"/>
        <w:jc w:val="both"/>
        <w:rPr>
          <w:rFonts w:ascii="David" w:hAnsi="David" w:cs="David"/>
          <w:sz w:val="24"/>
          <w:szCs w:val="24"/>
          <w:rtl/>
        </w:rPr>
      </w:pPr>
      <w:r w:rsidRPr="00F25744">
        <w:rPr>
          <w:rFonts w:ascii="David" w:hAnsi="David" w:cs="David" w:hint="cs"/>
          <w:sz w:val="24"/>
          <w:szCs w:val="24"/>
          <w:rtl/>
        </w:rPr>
        <w:t>נושא נוסף שבו ניתן יהיה להעמיק בעתיד על בסיס הנתונים שנאספו במסגרת מחקר זה, הוא נושא ה"</w:t>
      </w:r>
      <w:r w:rsidRPr="00F25744">
        <w:rPr>
          <w:rFonts w:ascii="David" w:hAnsi="David" w:cs="David" w:hint="cs"/>
          <w:b/>
          <w:bCs/>
          <w:sz w:val="24"/>
          <w:szCs w:val="24"/>
          <w:rtl/>
        </w:rPr>
        <w:t>מגה תיקים</w:t>
      </w:r>
      <w:r w:rsidRPr="00F25744">
        <w:rPr>
          <w:rFonts w:ascii="David" w:hAnsi="David" w:cs="David" w:hint="cs"/>
          <w:sz w:val="24"/>
          <w:szCs w:val="24"/>
          <w:rtl/>
        </w:rPr>
        <w:t xml:space="preserve">". </w:t>
      </w:r>
      <w:r w:rsidR="001A4D85" w:rsidRPr="00F25744">
        <w:rPr>
          <w:rFonts w:ascii="David" w:hAnsi="David" w:cs="David" w:hint="cs"/>
          <w:sz w:val="24"/>
          <w:szCs w:val="24"/>
          <w:rtl/>
        </w:rPr>
        <w:t xml:space="preserve">הכוונה היא לתיקים קיצוניים מכמה בחינות: כמות החומר בתיק, כמות הדיונים, כמות ההחלטות, ריבוי צדדים בתיק, פסקי דין ארוכים במיוחד ועוד. כלומר </w:t>
      </w:r>
      <w:r w:rsidR="001A4D85" w:rsidRPr="00F25744">
        <w:rPr>
          <w:rFonts w:ascii="David" w:hAnsi="David" w:cs="David"/>
          <w:sz w:val="24"/>
          <w:szCs w:val="24"/>
          <w:rtl/>
        </w:rPr>
        <w:t>–</w:t>
      </w:r>
      <w:r w:rsidR="001A4D85" w:rsidRPr="00F25744">
        <w:rPr>
          <w:rFonts w:ascii="David" w:hAnsi="David" w:cs="David" w:hint="cs"/>
          <w:sz w:val="24"/>
          <w:szCs w:val="24"/>
          <w:rtl/>
        </w:rPr>
        <w:t xml:space="preserve"> תיקים מרובי אירועים ובעלי זמני טיפול ארוכים במיוחד. תיקים אלו אמנם נכללו ברמה מסוימת במסגרת המחקר הנוכחי, </w:t>
      </w:r>
      <w:r w:rsidR="00AB39F9" w:rsidRPr="00F25744">
        <w:rPr>
          <w:rFonts w:ascii="David" w:hAnsi="David" w:cs="David" w:hint="cs"/>
          <w:sz w:val="24"/>
          <w:szCs w:val="24"/>
          <w:rtl/>
        </w:rPr>
        <w:t xml:space="preserve">במובן זה שהזמנים השיפוטיים שהוצגו לכל סוג תיק, הוצגו כזמנים </w:t>
      </w:r>
      <w:r w:rsidR="00AB39F9" w:rsidRPr="00F25744">
        <w:rPr>
          <w:rFonts w:ascii="David" w:hAnsi="David" w:cs="David" w:hint="cs"/>
          <w:b/>
          <w:bCs/>
          <w:sz w:val="24"/>
          <w:szCs w:val="24"/>
          <w:rtl/>
        </w:rPr>
        <w:t>ממוצעים</w:t>
      </w:r>
      <w:r w:rsidR="00AB39F9" w:rsidRPr="00F25744">
        <w:rPr>
          <w:rFonts w:ascii="David" w:hAnsi="David" w:cs="David" w:hint="cs"/>
          <w:sz w:val="24"/>
          <w:szCs w:val="24"/>
          <w:rtl/>
        </w:rPr>
        <w:t>. ערכים ממוצעים ככלל, מושפעים מערכים קיצוניים (להבדיל למשל מערכים חציוניים), ועל כן הנתונים הכמותיים של כ</w:t>
      </w:r>
      <w:r w:rsidR="003C1680" w:rsidRPr="00F25744">
        <w:rPr>
          <w:rFonts w:ascii="David" w:hAnsi="David" w:cs="David" w:hint="cs"/>
          <w:sz w:val="24"/>
          <w:szCs w:val="24"/>
          <w:rtl/>
        </w:rPr>
        <w:t xml:space="preserve">מות ההחלטות, כמות הדיונים ועוד </w:t>
      </w:r>
      <w:r w:rsidR="00AB39F9" w:rsidRPr="00F25744">
        <w:rPr>
          <w:rFonts w:ascii="David" w:hAnsi="David" w:cs="David" w:hint="cs"/>
          <w:sz w:val="24"/>
          <w:szCs w:val="24"/>
          <w:rtl/>
        </w:rPr>
        <w:t>נתוני הזמנים שנמדדו במהלך תקופת המחקר, ואשר בהם השתמשנו לצורך חישוב זמני הטיפול בתיקים במסגרת המחקר, כללו גם את הערכים הקיצוניים של המגה תיקים שטופלו בשנת 2019. עם זאת, לא ניתן במסגרת מחקר זה משקל נפרד או התייחסות נפרדת למגה תיקים. אחת הסיבות לכך שהתייחסות נפרדת זו לא נעשתה במסגרת המחקר הנוכחי היא אי ההסכמה בנוגע לשאלה מהו מגה תיק או כיצד מזהים מגה תיק</w:t>
      </w:r>
      <w:r w:rsidR="00C70128" w:rsidRPr="00F25744">
        <w:rPr>
          <w:rFonts w:ascii="David" w:hAnsi="David" w:cs="David" w:hint="cs"/>
          <w:sz w:val="24"/>
          <w:szCs w:val="24"/>
          <w:rtl/>
        </w:rPr>
        <w:t>:</w:t>
      </w:r>
      <w:r w:rsidR="00AB39F9" w:rsidRPr="00F25744">
        <w:rPr>
          <w:rFonts w:ascii="David" w:hAnsi="David" w:cs="David" w:hint="cs"/>
          <w:sz w:val="24"/>
          <w:szCs w:val="24"/>
          <w:rtl/>
        </w:rPr>
        <w:t xml:space="preserve"> האם לפי כמות ההחלטות, כמות הבקשות, מספר </w:t>
      </w:r>
      <w:r w:rsidR="00AB39F9" w:rsidRPr="00F25744">
        <w:rPr>
          <w:rFonts w:ascii="David" w:hAnsi="David" w:cs="David" w:hint="cs"/>
          <w:sz w:val="24"/>
          <w:szCs w:val="24"/>
          <w:rtl/>
        </w:rPr>
        <w:lastRenderedPageBreak/>
        <w:t xml:space="preserve">הדיונים, מספר הצדדים בתיק ועוד, או שילוב של כמה גורמים יחדיו. </w:t>
      </w:r>
      <w:r w:rsidR="00F10235" w:rsidRPr="00F25744">
        <w:rPr>
          <w:rFonts w:ascii="David" w:hAnsi="David" w:cs="David" w:hint="cs"/>
          <w:sz w:val="24"/>
          <w:szCs w:val="24"/>
          <w:rtl/>
        </w:rPr>
        <w:t xml:space="preserve">כמו כן יש לזכור כי כמות התיקים שאותם ניתן להגדיר כ"מגה תיקים" היא קטנה, ומדובר בתופעה שקיימת רק בסוגי תיקים מסוימים. בעתיד, </w:t>
      </w:r>
      <w:r w:rsidR="00AB39F9" w:rsidRPr="00F25744">
        <w:rPr>
          <w:rFonts w:ascii="David" w:hAnsi="David" w:cs="David" w:hint="cs"/>
          <w:sz w:val="24"/>
          <w:szCs w:val="24"/>
          <w:rtl/>
        </w:rPr>
        <w:t xml:space="preserve">ניתן יהיה לערוך מחקר המשך, </w:t>
      </w:r>
      <w:r w:rsidR="00E15E90" w:rsidRPr="00F25744">
        <w:rPr>
          <w:rFonts w:ascii="David" w:hAnsi="David" w:cs="David" w:hint="cs"/>
          <w:sz w:val="24"/>
          <w:szCs w:val="24"/>
          <w:rtl/>
        </w:rPr>
        <w:t xml:space="preserve">ולהשתמש בנתונים שנאספו במסגרת המחקר הנוכחי, הן לצורך עצם ההחלטה על אופן הזיהוי והן במטרה לבחון את אופן הטיפול במגה תיקים ואת הקצאת המשאבים הדרושה לשם הטיפול המיטבי בהם ובעומס הרב שהם מטילים על המערכת. </w:t>
      </w:r>
      <w:r w:rsidR="00207A79" w:rsidRPr="00F25744">
        <w:rPr>
          <w:rFonts w:ascii="David" w:hAnsi="David" w:cs="David" w:hint="cs"/>
          <w:sz w:val="24"/>
          <w:szCs w:val="24"/>
          <w:rtl/>
        </w:rPr>
        <w:t>כמו כן ניתן יהיה להתייחס לנושא זה לכשיחודש מחקר זה.</w:t>
      </w:r>
    </w:p>
    <w:p w14:paraId="5846E831" w14:textId="77777777" w:rsidR="005317AA" w:rsidRPr="00F25744" w:rsidRDefault="00E25AE7" w:rsidP="008336F3">
      <w:pPr>
        <w:spacing w:before="120" w:after="0" w:line="360" w:lineRule="auto"/>
        <w:jc w:val="both"/>
        <w:rPr>
          <w:rFonts w:ascii="David" w:hAnsi="David" w:cs="David"/>
          <w:sz w:val="24"/>
          <w:szCs w:val="24"/>
          <w:rtl/>
        </w:rPr>
      </w:pPr>
      <w:r w:rsidRPr="00F25744">
        <w:rPr>
          <w:rFonts w:ascii="David" w:hAnsi="David" w:cs="David" w:hint="cs"/>
          <w:sz w:val="24"/>
          <w:szCs w:val="24"/>
          <w:rtl/>
        </w:rPr>
        <w:t>בחלוף מספר שנים, כאשר תגיע העת לחדש ולטייב גם את המחקר שלפניכם, קיימים נושאים נוספים שעלו במסגרת מחקר זה אולם לא התאפשר לנו להעמיק גם בהם, כפי שאנו העמקנו ובדקנו נושאים נוספים שעלו כביקורת על מחקר המשקלות הקודם. כך, למשל, במסגרת מחקר זה ענינו על טענה שעלתה מפי שופטים ונשיאים רבים על ה</w:t>
      </w:r>
      <w:r w:rsidR="00832119" w:rsidRPr="00F25744">
        <w:rPr>
          <w:rFonts w:ascii="David" w:hAnsi="David" w:cs="David" w:hint="cs"/>
          <w:sz w:val="24"/>
          <w:szCs w:val="24"/>
          <w:rtl/>
        </w:rPr>
        <w:t xml:space="preserve">זמן הממוצע </w:t>
      </w:r>
      <w:r w:rsidRPr="00F25744">
        <w:rPr>
          <w:rFonts w:ascii="David" w:hAnsi="David" w:cs="David" w:hint="cs"/>
          <w:sz w:val="24"/>
          <w:szCs w:val="24"/>
          <w:rtl/>
        </w:rPr>
        <w:t>הכולל שניתן לתיקי ת"א בערכאות המחוזי והשלום, מבלי להתייחס לזמנים השונים ולרמת המורכבות השונה של סוגי העניין השונים שמהם מורכבים תיקי הת"א, כמו פלת"ד, רשלנות רפו</w:t>
      </w:r>
      <w:r w:rsidR="004F257F" w:rsidRPr="00F25744">
        <w:rPr>
          <w:rFonts w:ascii="David" w:hAnsi="David" w:cs="David" w:hint="cs"/>
          <w:sz w:val="24"/>
          <w:szCs w:val="24"/>
          <w:rtl/>
        </w:rPr>
        <w:t>אית, קניין רוחני, נזקי גוף ועוד</w:t>
      </w:r>
      <w:r w:rsidRPr="00F25744">
        <w:rPr>
          <w:rFonts w:ascii="David" w:hAnsi="David" w:cs="David" w:hint="cs"/>
          <w:sz w:val="24"/>
          <w:szCs w:val="24"/>
          <w:rtl/>
        </w:rPr>
        <w:t xml:space="preserve">. על כן, הצגנו במסגרת מחקר זה גם את הזמן המשוקלל לתיק מסוג ת"א הנדון במחוזי והנדון בשלום, </w:t>
      </w:r>
      <w:r w:rsidR="004F257F" w:rsidRPr="00F25744">
        <w:rPr>
          <w:rFonts w:ascii="David" w:hAnsi="David" w:cs="David" w:hint="cs"/>
          <w:sz w:val="24"/>
          <w:szCs w:val="24"/>
          <w:rtl/>
        </w:rPr>
        <w:t>ו</w:t>
      </w:r>
      <w:r w:rsidRPr="00F25744">
        <w:rPr>
          <w:rFonts w:ascii="David" w:hAnsi="David" w:cs="David" w:hint="cs"/>
          <w:sz w:val="24"/>
          <w:szCs w:val="24"/>
          <w:rtl/>
        </w:rPr>
        <w:t xml:space="preserve">גם את הזמנים השונים שנמדדו ביחס </w:t>
      </w:r>
      <w:r w:rsidR="004F257F" w:rsidRPr="00F25744">
        <w:rPr>
          <w:rFonts w:ascii="David" w:hAnsi="David" w:cs="David" w:hint="cs"/>
          <w:sz w:val="24"/>
          <w:szCs w:val="24"/>
          <w:rtl/>
        </w:rPr>
        <w:t>לסוגי העניין העיקריים בכל ערכאה</w:t>
      </w:r>
      <w:r w:rsidRPr="00F25744">
        <w:rPr>
          <w:rFonts w:ascii="David" w:hAnsi="David" w:cs="David" w:hint="cs"/>
          <w:sz w:val="24"/>
          <w:szCs w:val="24"/>
          <w:rtl/>
        </w:rPr>
        <w:t xml:space="preserve">. באופן דומה, במסגרת ההכנות למחקר זה, העלו מספר שופטים פליליים את הטענה כי יש לבחון את תיקי הת"פ באופן מפורט יותר, ולחלק אותם לסוגי עניין שונים, או לתיקי תביעה מול תיקי פרקליטות ועוד. ניתן להבחין בין סוגי העניין השונים גם בתיקים נוספים, כמו תיקי משפחה למשל, בהנחה שייעשה טיוב בעניין בנט המשפט (נושא שעליו נרחיב מעט להלן במגבלות המחקר). </w:t>
      </w:r>
    </w:p>
    <w:p w14:paraId="3346858E" w14:textId="77777777" w:rsidR="008336F3" w:rsidRPr="00F25744" w:rsidRDefault="008336F3" w:rsidP="008336F3">
      <w:pPr>
        <w:spacing w:after="0" w:line="240" w:lineRule="auto"/>
        <w:jc w:val="both"/>
        <w:rPr>
          <w:rFonts w:ascii="David" w:hAnsi="David" w:cs="David"/>
          <w:sz w:val="24"/>
          <w:szCs w:val="24"/>
          <w:rtl/>
        </w:rPr>
      </w:pPr>
    </w:p>
    <w:p w14:paraId="337E65B0" w14:textId="77777777" w:rsidR="005317AA" w:rsidRPr="00F25744" w:rsidRDefault="00E25AE7" w:rsidP="008336F3">
      <w:pPr>
        <w:spacing w:before="120" w:after="0" w:line="360" w:lineRule="auto"/>
        <w:jc w:val="both"/>
        <w:rPr>
          <w:rFonts w:ascii="David" w:hAnsi="David" w:cs="David"/>
          <w:sz w:val="24"/>
          <w:szCs w:val="24"/>
          <w:u w:val="single"/>
          <w:rtl/>
        </w:rPr>
      </w:pPr>
      <w:r w:rsidRPr="00F25744">
        <w:rPr>
          <w:rFonts w:ascii="David" w:hAnsi="David" w:cs="David" w:hint="cs"/>
          <w:sz w:val="24"/>
          <w:szCs w:val="24"/>
          <w:u w:val="single"/>
          <w:rtl/>
        </w:rPr>
        <w:t>מגבלות המחקר</w:t>
      </w:r>
    </w:p>
    <w:p w14:paraId="130FE742" w14:textId="77777777" w:rsidR="005317AA" w:rsidRPr="00F25744" w:rsidRDefault="00E25AE7" w:rsidP="008336F3">
      <w:pPr>
        <w:spacing w:before="120" w:after="0" w:line="360" w:lineRule="auto"/>
        <w:jc w:val="both"/>
        <w:rPr>
          <w:rFonts w:ascii="David" w:hAnsi="David" w:cs="David"/>
          <w:sz w:val="24"/>
          <w:szCs w:val="24"/>
          <w:rtl/>
        </w:rPr>
      </w:pPr>
      <w:r w:rsidRPr="00F25744">
        <w:rPr>
          <w:rFonts w:ascii="David" w:hAnsi="David" w:cs="David" w:hint="cs"/>
          <w:sz w:val="24"/>
          <w:szCs w:val="24"/>
          <w:rtl/>
        </w:rPr>
        <w:t xml:space="preserve">חרף גודלו והיקפו העצום של מחקר זה, </w:t>
      </w:r>
      <w:r w:rsidR="008261DB" w:rsidRPr="00F25744">
        <w:rPr>
          <w:rFonts w:ascii="David" w:hAnsi="David" w:cs="David" w:hint="cs"/>
          <w:sz w:val="24"/>
          <w:szCs w:val="24"/>
          <w:rtl/>
        </w:rPr>
        <w:t xml:space="preserve">ולעתים בעטיו, </w:t>
      </w:r>
      <w:r w:rsidRPr="00F25744">
        <w:rPr>
          <w:rFonts w:ascii="David" w:hAnsi="David" w:cs="David" w:hint="cs"/>
          <w:sz w:val="24"/>
          <w:szCs w:val="24"/>
          <w:rtl/>
        </w:rPr>
        <w:t xml:space="preserve">גם למחקר זה, כמו כל מחקר, קיימות </w:t>
      </w:r>
      <w:r w:rsidRPr="00F25744">
        <w:rPr>
          <w:rFonts w:ascii="David" w:hAnsi="David" w:cs="David" w:hint="cs"/>
          <w:b/>
          <w:bCs/>
          <w:sz w:val="24"/>
          <w:szCs w:val="24"/>
          <w:rtl/>
        </w:rPr>
        <w:t>מגבלות</w:t>
      </w:r>
      <w:r w:rsidRPr="00F25744">
        <w:rPr>
          <w:rFonts w:ascii="David" w:hAnsi="David" w:cs="David" w:hint="cs"/>
          <w:sz w:val="24"/>
          <w:szCs w:val="24"/>
          <w:rtl/>
        </w:rPr>
        <w:t>, אשר על המשתמש בממצאיו להיות מודע אליהם:</w:t>
      </w:r>
    </w:p>
    <w:p w14:paraId="64278C0B" w14:textId="77777777" w:rsidR="005317AA" w:rsidRPr="00F25744" w:rsidRDefault="00E25AE7" w:rsidP="008336F3">
      <w:pPr>
        <w:numPr>
          <w:ilvl w:val="0"/>
          <w:numId w:val="26"/>
        </w:numPr>
        <w:spacing w:before="120" w:after="0" w:line="360" w:lineRule="auto"/>
        <w:ind w:left="284" w:hanging="284"/>
        <w:jc w:val="both"/>
        <w:rPr>
          <w:rFonts w:cs="David"/>
          <w:sz w:val="24"/>
          <w:szCs w:val="24"/>
        </w:rPr>
      </w:pPr>
      <w:r w:rsidRPr="00F25744">
        <w:rPr>
          <w:rFonts w:cs="David" w:hint="cs"/>
          <w:b/>
          <w:bCs/>
          <w:sz w:val="24"/>
          <w:szCs w:val="24"/>
          <w:rtl/>
        </w:rPr>
        <w:t>זמנים ממוצעים</w:t>
      </w:r>
      <w:r w:rsidRPr="00F25744">
        <w:rPr>
          <w:rFonts w:cs="David" w:hint="cs"/>
          <w:sz w:val="24"/>
          <w:szCs w:val="24"/>
          <w:rtl/>
        </w:rPr>
        <w:t xml:space="preserve"> - הזמנים השיפוטיים שהוצגו במסגרת מחקר זה מבוססים </w:t>
      </w:r>
      <w:r w:rsidRPr="00F25744">
        <w:rPr>
          <w:rFonts w:cs="David" w:hint="eastAsia"/>
          <w:sz w:val="24"/>
          <w:szCs w:val="24"/>
          <w:rtl/>
        </w:rPr>
        <w:t>על</w:t>
      </w:r>
      <w:r w:rsidRPr="00F25744">
        <w:rPr>
          <w:rFonts w:cs="David"/>
          <w:sz w:val="24"/>
          <w:szCs w:val="24"/>
          <w:rtl/>
        </w:rPr>
        <w:t xml:space="preserve"> </w:t>
      </w:r>
      <w:r w:rsidRPr="00F25744">
        <w:rPr>
          <w:rFonts w:cs="David" w:hint="eastAsia"/>
          <w:b/>
          <w:bCs/>
          <w:sz w:val="24"/>
          <w:szCs w:val="24"/>
          <w:rtl/>
        </w:rPr>
        <w:t>ממוצעי</w:t>
      </w:r>
      <w:r w:rsidRPr="00F25744">
        <w:rPr>
          <w:rFonts w:cs="David"/>
          <w:b/>
          <w:bCs/>
          <w:sz w:val="24"/>
          <w:szCs w:val="24"/>
          <w:rtl/>
        </w:rPr>
        <w:t xml:space="preserve"> </w:t>
      </w:r>
      <w:r w:rsidRPr="00F25744">
        <w:rPr>
          <w:rFonts w:cs="David" w:hint="eastAsia"/>
          <w:b/>
          <w:bCs/>
          <w:sz w:val="24"/>
          <w:szCs w:val="24"/>
          <w:rtl/>
        </w:rPr>
        <w:t>זמן</w:t>
      </w:r>
      <w:r w:rsidRPr="00F25744">
        <w:rPr>
          <w:rFonts w:cs="David"/>
          <w:b/>
          <w:bCs/>
          <w:sz w:val="24"/>
          <w:szCs w:val="24"/>
          <w:rtl/>
        </w:rPr>
        <w:t xml:space="preserve"> </w:t>
      </w:r>
      <w:r w:rsidRPr="00F25744">
        <w:rPr>
          <w:rFonts w:cs="David" w:hint="eastAsia"/>
          <w:b/>
          <w:bCs/>
          <w:sz w:val="24"/>
          <w:szCs w:val="24"/>
          <w:rtl/>
        </w:rPr>
        <w:t>הטיפול</w:t>
      </w:r>
      <w:r w:rsidRPr="00F25744">
        <w:rPr>
          <w:rFonts w:cs="David"/>
          <w:b/>
          <w:bCs/>
          <w:sz w:val="24"/>
          <w:szCs w:val="24"/>
          <w:rtl/>
        </w:rPr>
        <w:t xml:space="preserve"> </w:t>
      </w:r>
      <w:r w:rsidRPr="00F25744">
        <w:rPr>
          <w:rFonts w:cs="David" w:hint="eastAsia"/>
          <w:b/>
          <w:bCs/>
          <w:sz w:val="24"/>
          <w:szCs w:val="24"/>
          <w:rtl/>
        </w:rPr>
        <w:t>של</w:t>
      </w:r>
      <w:r w:rsidRPr="00F25744">
        <w:rPr>
          <w:rFonts w:cs="David"/>
          <w:b/>
          <w:bCs/>
          <w:sz w:val="24"/>
          <w:szCs w:val="24"/>
          <w:rtl/>
        </w:rPr>
        <w:t xml:space="preserve"> </w:t>
      </w:r>
      <w:r w:rsidRPr="00F25744">
        <w:rPr>
          <w:rFonts w:cs="David" w:hint="eastAsia"/>
          <w:b/>
          <w:bCs/>
          <w:sz w:val="24"/>
          <w:szCs w:val="24"/>
          <w:rtl/>
        </w:rPr>
        <w:t>שופטים</w:t>
      </w:r>
      <w:r w:rsidRPr="00F25744">
        <w:rPr>
          <w:rFonts w:cs="David"/>
          <w:b/>
          <w:bCs/>
          <w:sz w:val="24"/>
          <w:szCs w:val="24"/>
          <w:rtl/>
        </w:rPr>
        <w:t xml:space="preserve"> </w:t>
      </w:r>
      <w:r w:rsidRPr="00F25744">
        <w:rPr>
          <w:rFonts w:cs="David" w:hint="eastAsia"/>
          <w:b/>
          <w:bCs/>
          <w:sz w:val="24"/>
          <w:szCs w:val="24"/>
          <w:rtl/>
        </w:rPr>
        <w:t>בתיקים</w:t>
      </w:r>
      <w:r w:rsidRPr="00F25744">
        <w:rPr>
          <w:rFonts w:cs="David"/>
          <w:b/>
          <w:bCs/>
          <w:sz w:val="24"/>
          <w:szCs w:val="24"/>
          <w:rtl/>
        </w:rPr>
        <w:t xml:space="preserve"> </w:t>
      </w:r>
      <w:r w:rsidRPr="00F25744">
        <w:rPr>
          <w:rFonts w:cs="David" w:hint="eastAsia"/>
          <w:b/>
          <w:bCs/>
          <w:sz w:val="24"/>
          <w:szCs w:val="24"/>
          <w:rtl/>
        </w:rPr>
        <w:t>מסוגים</w:t>
      </w:r>
      <w:r w:rsidRPr="00F25744">
        <w:rPr>
          <w:rFonts w:cs="David"/>
          <w:b/>
          <w:bCs/>
          <w:sz w:val="24"/>
          <w:szCs w:val="24"/>
          <w:rtl/>
        </w:rPr>
        <w:t xml:space="preserve"> </w:t>
      </w:r>
      <w:r w:rsidRPr="00F25744">
        <w:rPr>
          <w:rFonts w:cs="David" w:hint="eastAsia"/>
          <w:b/>
          <w:bCs/>
          <w:sz w:val="24"/>
          <w:szCs w:val="24"/>
          <w:rtl/>
        </w:rPr>
        <w:t>שונים</w:t>
      </w:r>
      <w:r w:rsidRPr="00F25744">
        <w:rPr>
          <w:rFonts w:cs="David"/>
          <w:b/>
          <w:bCs/>
          <w:sz w:val="24"/>
          <w:szCs w:val="24"/>
          <w:rtl/>
        </w:rPr>
        <w:t xml:space="preserve">, </w:t>
      </w:r>
      <w:r w:rsidR="00CB3F3B" w:rsidRPr="00F25744">
        <w:rPr>
          <w:rFonts w:cs="David" w:hint="cs"/>
          <w:b/>
          <w:bCs/>
          <w:sz w:val="24"/>
          <w:szCs w:val="24"/>
          <w:rtl/>
        </w:rPr>
        <w:t>בעת עריכת המחקר</w:t>
      </w:r>
      <w:r w:rsidRPr="00F25744">
        <w:rPr>
          <w:rFonts w:cs="David"/>
          <w:sz w:val="24"/>
          <w:szCs w:val="24"/>
          <w:rtl/>
        </w:rPr>
        <w:t>.</w:t>
      </w:r>
      <w:r w:rsidRPr="00F25744">
        <w:rPr>
          <w:rFonts w:cs="David"/>
          <w:b/>
          <w:bCs/>
          <w:sz w:val="24"/>
          <w:szCs w:val="24"/>
          <w:rtl/>
        </w:rPr>
        <w:t xml:space="preserve"> </w:t>
      </w:r>
      <w:r w:rsidRPr="00F25744">
        <w:rPr>
          <w:rFonts w:cs="David" w:hint="cs"/>
          <w:sz w:val="24"/>
          <w:szCs w:val="24"/>
          <w:rtl/>
        </w:rPr>
        <w:t xml:space="preserve">חשוב להדגיש, כי הזמנים הממוצעים הללו אינם משקפים תיק מסוים המונח בזמן נתון כלשהו על שולחנו של שופט פלוני, אלא, כמו כל נתון המבוסס על ממוצע, הזמנים הממוצעים הללו </w:t>
      </w:r>
      <w:r w:rsidRPr="00F25744">
        <w:rPr>
          <w:rFonts w:cs="David" w:hint="eastAsia"/>
          <w:sz w:val="24"/>
          <w:szCs w:val="24"/>
          <w:rtl/>
        </w:rPr>
        <w:t>כפו</w:t>
      </w:r>
      <w:r w:rsidRPr="00F25744">
        <w:rPr>
          <w:rFonts w:cs="David" w:hint="cs"/>
          <w:sz w:val="24"/>
          <w:szCs w:val="24"/>
          <w:rtl/>
        </w:rPr>
        <w:t>פים</w:t>
      </w:r>
      <w:r w:rsidRPr="00F25744">
        <w:rPr>
          <w:rFonts w:cs="David"/>
          <w:sz w:val="24"/>
          <w:szCs w:val="24"/>
          <w:rtl/>
        </w:rPr>
        <w:t xml:space="preserve"> </w:t>
      </w:r>
      <w:r w:rsidRPr="00F25744">
        <w:rPr>
          <w:rFonts w:cs="David" w:hint="eastAsia"/>
          <w:sz w:val="24"/>
          <w:szCs w:val="24"/>
          <w:rtl/>
        </w:rPr>
        <w:t>ל</w:t>
      </w:r>
      <w:r w:rsidRPr="00F25744">
        <w:rPr>
          <w:rFonts w:cs="David" w:hint="eastAsia"/>
          <w:b/>
          <w:bCs/>
          <w:sz w:val="24"/>
          <w:szCs w:val="24"/>
          <w:rtl/>
        </w:rPr>
        <w:t>חוק</w:t>
      </w:r>
      <w:r w:rsidRPr="00F25744">
        <w:rPr>
          <w:rFonts w:cs="David"/>
          <w:b/>
          <w:bCs/>
          <w:sz w:val="24"/>
          <w:szCs w:val="24"/>
          <w:rtl/>
        </w:rPr>
        <w:t xml:space="preserve"> </w:t>
      </w:r>
      <w:r w:rsidRPr="00F25744">
        <w:rPr>
          <w:rFonts w:cs="David" w:hint="eastAsia"/>
          <w:b/>
          <w:bCs/>
          <w:sz w:val="24"/>
          <w:szCs w:val="24"/>
          <w:rtl/>
        </w:rPr>
        <w:t>המספרים</w:t>
      </w:r>
      <w:r w:rsidRPr="00F25744">
        <w:rPr>
          <w:rFonts w:cs="David"/>
          <w:b/>
          <w:bCs/>
          <w:sz w:val="24"/>
          <w:szCs w:val="24"/>
          <w:rtl/>
        </w:rPr>
        <w:t xml:space="preserve"> </w:t>
      </w:r>
      <w:r w:rsidRPr="00F25744">
        <w:rPr>
          <w:rFonts w:cs="David" w:hint="eastAsia"/>
          <w:b/>
          <w:bCs/>
          <w:sz w:val="24"/>
          <w:szCs w:val="24"/>
          <w:rtl/>
        </w:rPr>
        <w:t>הגדולים</w:t>
      </w:r>
      <w:r w:rsidRPr="00F25744">
        <w:rPr>
          <w:rFonts w:cs="David"/>
          <w:sz w:val="24"/>
          <w:szCs w:val="24"/>
          <w:rtl/>
        </w:rPr>
        <w:t xml:space="preserve">, </w:t>
      </w:r>
      <w:r w:rsidRPr="00F25744">
        <w:rPr>
          <w:rFonts w:cs="David" w:hint="eastAsia"/>
          <w:sz w:val="24"/>
          <w:szCs w:val="24"/>
          <w:rtl/>
        </w:rPr>
        <w:t>ו</w:t>
      </w:r>
      <w:r w:rsidRPr="00F25744">
        <w:rPr>
          <w:rFonts w:cs="David" w:hint="cs"/>
          <w:sz w:val="24"/>
          <w:szCs w:val="24"/>
          <w:rtl/>
        </w:rPr>
        <w:t>ע</w:t>
      </w:r>
      <w:r w:rsidRPr="00F25744">
        <w:rPr>
          <w:rFonts w:cs="David" w:hint="eastAsia"/>
          <w:sz w:val="24"/>
          <w:szCs w:val="24"/>
          <w:rtl/>
        </w:rPr>
        <w:t>ל</w:t>
      </w:r>
      <w:r w:rsidRPr="00F25744">
        <w:rPr>
          <w:rFonts w:cs="David" w:hint="cs"/>
          <w:sz w:val="24"/>
          <w:szCs w:val="24"/>
          <w:rtl/>
        </w:rPr>
        <w:t xml:space="preserve"> </w:t>
      </w:r>
      <w:r w:rsidRPr="00F25744">
        <w:rPr>
          <w:rFonts w:cs="David" w:hint="eastAsia"/>
          <w:sz w:val="24"/>
          <w:szCs w:val="24"/>
          <w:rtl/>
        </w:rPr>
        <w:t>כן</w:t>
      </w:r>
      <w:r w:rsidRPr="00F25744">
        <w:rPr>
          <w:rFonts w:cs="David"/>
          <w:sz w:val="24"/>
          <w:szCs w:val="24"/>
          <w:rtl/>
        </w:rPr>
        <w:t xml:space="preserve"> </w:t>
      </w:r>
      <w:r w:rsidRPr="00F25744">
        <w:rPr>
          <w:rFonts w:cs="David" w:hint="eastAsia"/>
          <w:sz w:val="24"/>
          <w:szCs w:val="24"/>
          <w:rtl/>
        </w:rPr>
        <w:t>ה</w:t>
      </w:r>
      <w:r w:rsidRPr="00F25744">
        <w:rPr>
          <w:rFonts w:cs="David" w:hint="cs"/>
          <w:sz w:val="24"/>
          <w:szCs w:val="24"/>
          <w:rtl/>
        </w:rPr>
        <w:t>ם</w:t>
      </w:r>
      <w:r w:rsidRPr="00F25744">
        <w:rPr>
          <w:rFonts w:cs="David"/>
          <w:sz w:val="24"/>
          <w:szCs w:val="24"/>
          <w:rtl/>
        </w:rPr>
        <w:t xml:space="preserve"> </w:t>
      </w:r>
      <w:r w:rsidRPr="00F25744">
        <w:rPr>
          <w:rFonts w:cs="David" w:hint="eastAsia"/>
          <w:sz w:val="24"/>
          <w:szCs w:val="24"/>
          <w:rtl/>
        </w:rPr>
        <w:t>מדויקים</w:t>
      </w:r>
      <w:r w:rsidRPr="00F25744">
        <w:rPr>
          <w:rFonts w:cs="David"/>
          <w:sz w:val="24"/>
          <w:szCs w:val="24"/>
          <w:rtl/>
        </w:rPr>
        <w:t xml:space="preserve"> </w:t>
      </w:r>
      <w:r w:rsidRPr="00F25744">
        <w:rPr>
          <w:rFonts w:cs="David" w:hint="eastAsia"/>
          <w:sz w:val="24"/>
          <w:szCs w:val="24"/>
          <w:rtl/>
        </w:rPr>
        <w:t>יותר</w:t>
      </w:r>
      <w:r w:rsidRPr="00F25744">
        <w:rPr>
          <w:rFonts w:cs="David"/>
          <w:sz w:val="24"/>
          <w:szCs w:val="24"/>
          <w:rtl/>
        </w:rPr>
        <w:t xml:space="preserve"> </w:t>
      </w:r>
      <w:r w:rsidRPr="00F25744">
        <w:rPr>
          <w:rFonts w:cs="David" w:hint="eastAsia"/>
          <w:sz w:val="24"/>
          <w:szCs w:val="24"/>
          <w:rtl/>
        </w:rPr>
        <w:t>ככל</w:t>
      </w:r>
      <w:r w:rsidRPr="00F25744">
        <w:rPr>
          <w:rFonts w:cs="David"/>
          <w:sz w:val="24"/>
          <w:szCs w:val="24"/>
          <w:rtl/>
        </w:rPr>
        <w:t xml:space="preserve"> </w:t>
      </w:r>
      <w:r w:rsidRPr="00F25744">
        <w:rPr>
          <w:rFonts w:cs="David" w:hint="eastAsia"/>
          <w:sz w:val="24"/>
          <w:szCs w:val="24"/>
          <w:rtl/>
        </w:rPr>
        <w:t>שהם</w:t>
      </w:r>
      <w:r w:rsidRPr="00F25744">
        <w:rPr>
          <w:rFonts w:cs="David"/>
          <w:sz w:val="24"/>
          <w:szCs w:val="24"/>
          <w:rtl/>
        </w:rPr>
        <w:t xml:space="preserve"> </w:t>
      </w:r>
      <w:r w:rsidRPr="00F25744">
        <w:rPr>
          <w:rFonts w:cs="David" w:hint="eastAsia"/>
          <w:sz w:val="24"/>
          <w:szCs w:val="24"/>
          <w:rtl/>
        </w:rPr>
        <w:t>מתייחסים</w:t>
      </w:r>
      <w:r w:rsidRPr="00F25744">
        <w:rPr>
          <w:rFonts w:cs="David"/>
          <w:sz w:val="24"/>
          <w:szCs w:val="24"/>
          <w:rtl/>
        </w:rPr>
        <w:t xml:space="preserve"> </w:t>
      </w:r>
      <w:r w:rsidRPr="00F25744">
        <w:rPr>
          <w:rFonts w:cs="David" w:hint="eastAsia"/>
          <w:sz w:val="24"/>
          <w:szCs w:val="24"/>
          <w:rtl/>
        </w:rPr>
        <w:t>לקבוצות</w:t>
      </w:r>
      <w:r w:rsidRPr="00F25744">
        <w:rPr>
          <w:rFonts w:cs="David"/>
          <w:sz w:val="24"/>
          <w:szCs w:val="24"/>
          <w:rtl/>
        </w:rPr>
        <w:t xml:space="preserve"> </w:t>
      </w:r>
      <w:r w:rsidRPr="00F25744">
        <w:rPr>
          <w:rFonts w:cs="David" w:hint="eastAsia"/>
          <w:sz w:val="24"/>
          <w:szCs w:val="24"/>
          <w:rtl/>
        </w:rPr>
        <w:t>גדולות</w:t>
      </w:r>
      <w:r w:rsidRPr="00F25744">
        <w:rPr>
          <w:rFonts w:cs="David"/>
          <w:sz w:val="24"/>
          <w:szCs w:val="24"/>
          <w:rtl/>
        </w:rPr>
        <w:t xml:space="preserve"> </w:t>
      </w:r>
      <w:r w:rsidRPr="00F25744">
        <w:rPr>
          <w:rFonts w:cs="David" w:hint="eastAsia"/>
          <w:sz w:val="24"/>
          <w:szCs w:val="24"/>
          <w:rtl/>
        </w:rPr>
        <w:t>יותר</w:t>
      </w:r>
      <w:r w:rsidRPr="00F25744">
        <w:rPr>
          <w:rFonts w:cs="David"/>
          <w:sz w:val="24"/>
          <w:szCs w:val="24"/>
          <w:rtl/>
        </w:rPr>
        <w:t xml:space="preserve"> </w:t>
      </w:r>
      <w:r w:rsidRPr="00F25744">
        <w:rPr>
          <w:rFonts w:cs="David" w:hint="eastAsia"/>
          <w:sz w:val="24"/>
          <w:szCs w:val="24"/>
          <w:rtl/>
        </w:rPr>
        <w:t>של</w:t>
      </w:r>
      <w:r w:rsidRPr="00F25744">
        <w:rPr>
          <w:rFonts w:cs="David"/>
          <w:sz w:val="24"/>
          <w:szCs w:val="24"/>
          <w:rtl/>
        </w:rPr>
        <w:t xml:space="preserve"> </w:t>
      </w:r>
      <w:r w:rsidRPr="00F25744">
        <w:rPr>
          <w:rFonts w:cs="David" w:hint="eastAsia"/>
          <w:sz w:val="24"/>
          <w:szCs w:val="24"/>
          <w:rtl/>
        </w:rPr>
        <w:t>תיקים</w:t>
      </w:r>
      <w:r w:rsidRPr="00F25744">
        <w:rPr>
          <w:rFonts w:cs="David"/>
          <w:sz w:val="24"/>
          <w:szCs w:val="24"/>
          <w:rtl/>
        </w:rPr>
        <w:t xml:space="preserve"> </w:t>
      </w:r>
      <w:r w:rsidRPr="00F25744">
        <w:rPr>
          <w:rFonts w:cs="David" w:hint="eastAsia"/>
          <w:sz w:val="24"/>
          <w:szCs w:val="24"/>
          <w:rtl/>
        </w:rPr>
        <w:t>או</w:t>
      </w:r>
      <w:r w:rsidRPr="00F25744">
        <w:rPr>
          <w:rFonts w:cs="David"/>
          <w:sz w:val="24"/>
          <w:szCs w:val="24"/>
          <w:rtl/>
        </w:rPr>
        <w:t xml:space="preserve"> </w:t>
      </w:r>
      <w:r w:rsidRPr="00F25744">
        <w:rPr>
          <w:rFonts w:cs="David" w:hint="eastAsia"/>
          <w:sz w:val="24"/>
          <w:szCs w:val="24"/>
          <w:rtl/>
        </w:rPr>
        <w:t>שופטים</w:t>
      </w:r>
      <w:r w:rsidRPr="00F25744">
        <w:rPr>
          <w:rFonts w:cs="David" w:hint="cs"/>
          <w:sz w:val="24"/>
          <w:szCs w:val="24"/>
          <w:rtl/>
        </w:rPr>
        <w:t xml:space="preserve"> (כפי שהודגש גם במחקר המשקלות הקודם)</w:t>
      </w:r>
      <w:r w:rsidRPr="00F25744">
        <w:rPr>
          <w:rFonts w:cs="David"/>
          <w:sz w:val="24"/>
          <w:szCs w:val="24"/>
          <w:rtl/>
        </w:rPr>
        <w:t xml:space="preserve">. </w:t>
      </w:r>
      <w:r w:rsidRPr="00F25744">
        <w:rPr>
          <w:rFonts w:cs="David" w:hint="eastAsia"/>
          <w:sz w:val="24"/>
          <w:szCs w:val="24"/>
          <w:rtl/>
        </w:rPr>
        <w:t>כך</w:t>
      </w:r>
      <w:r w:rsidRPr="00F25744">
        <w:rPr>
          <w:rFonts w:cs="David"/>
          <w:sz w:val="24"/>
          <w:szCs w:val="24"/>
          <w:rtl/>
        </w:rPr>
        <w:t xml:space="preserve">, </w:t>
      </w:r>
      <w:r w:rsidRPr="00F25744">
        <w:rPr>
          <w:rFonts w:cs="David" w:hint="cs"/>
          <w:sz w:val="24"/>
          <w:szCs w:val="24"/>
          <w:rtl/>
        </w:rPr>
        <w:t>בחינת</w:t>
      </w:r>
      <w:r w:rsidRPr="00F25744">
        <w:rPr>
          <w:rFonts w:cs="David"/>
          <w:sz w:val="24"/>
          <w:szCs w:val="24"/>
          <w:rtl/>
        </w:rPr>
        <w:t xml:space="preserve"> </w:t>
      </w:r>
      <w:r w:rsidRPr="00F25744">
        <w:rPr>
          <w:rFonts w:cs="David" w:hint="cs"/>
          <w:sz w:val="24"/>
          <w:szCs w:val="24"/>
          <w:rtl/>
        </w:rPr>
        <w:t xml:space="preserve">משקל </w:t>
      </w:r>
      <w:r w:rsidRPr="00F25744">
        <w:rPr>
          <w:rFonts w:cs="David" w:hint="eastAsia"/>
          <w:sz w:val="24"/>
          <w:szCs w:val="24"/>
          <w:rtl/>
        </w:rPr>
        <w:t>כלל</w:t>
      </w:r>
      <w:r w:rsidRPr="00F25744">
        <w:rPr>
          <w:rFonts w:cs="David"/>
          <w:sz w:val="24"/>
          <w:szCs w:val="24"/>
          <w:rtl/>
        </w:rPr>
        <w:t xml:space="preserve"> </w:t>
      </w:r>
      <w:r w:rsidRPr="00F25744">
        <w:rPr>
          <w:rFonts w:cs="David" w:hint="eastAsia"/>
          <w:sz w:val="24"/>
          <w:szCs w:val="24"/>
          <w:rtl/>
        </w:rPr>
        <w:t>התיקים</w:t>
      </w:r>
      <w:r w:rsidRPr="00F25744">
        <w:rPr>
          <w:rFonts w:cs="David"/>
          <w:sz w:val="24"/>
          <w:szCs w:val="24"/>
          <w:rtl/>
        </w:rPr>
        <w:t xml:space="preserve"> </w:t>
      </w:r>
      <w:r w:rsidRPr="00F25744">
        <w:rPr>
          <w:rFonts w:cs="David" w:hint="eastAsia"/>
          <w:sz w:val="24"/>
          <w:szCs w:val="24"/>
          <w:rtl/>
        </w:rPr>
        <w:t>בבית</w:t>
      </w:r>
      <w:r w:rsidRPr="00F25744">
        <w:rPr>
          <w:rFonts w:cs="David"/>
          <w:sz w:val="24"/>
          <w:szCs w:val="24"/>
          <w:rtl/>
        </w:rPr>
        <w:t xml:space="preserve"> </w:t>
      </w:r>
      <w:r w:rsidRPr="00F25744">
        <w:rPr>
          <w:rFonts w:cs="David" w:hint="eastAsia"/>
          <w:sz w:val="24"/>
          <w:szCs w:val="24"/>
          <w:rtl/>
        </w:rPr>
        <w:t>משפט</w:t>
      </w:r>
      <w:r w:rsidRPr="00F25744">
        <w:rPr>
          <w:rFonts w:cs="David"/>
          <w:sz w:val="24"/>
          <w:szCs w:val="24"/>
          <w:rtl/>
        </w:rPr>
        <w:t xml:space="preserve"> </w:t>
      </w:r>
      <w:r w:rsidRPr="00F25744">
        <w:rPr>
          <w:rFonts w:cs="David" w:hint="eastAsia"/>
          <w:sz w:val="24"/>
          <w:szCs w:val="24"/>
          <w:rtl/>
        </w:rPr>
        <w:t>מסוים</w:t>
      </w:r>
      <w:r w:rsidRPr="00F25744">
        <w:rPr>
          <w:rFonts w:cs="David"/>
          <w:sz w:val="24"/>
          <w:szCs w:val="24"/>
          <w:rtl/>
        </w:rPr>
        <w:t xml:space="preserve"> </w:t>
      </w:r>
      <w:r w:rsidRPr="00F25744">
        <w:rPr>
          <w:rFonts w:cs="David" w:hint="eastAsia"/>
          <w:sz w:val="24"/>
          <w:szCs w:val="24"/>
          <w:rtl/>
        </w:rPr>
        <w:t>בשנה</w:t>
      </w:r>
      <w:r w:rsidRPr="00F25744">
        <w:rPr>
          <w:rFonts w:cs="David"/>
          <w:sz w:val="24"/>
          <w:szCs w:val="24"/>
          <w:rtl/>
        </w:rPr>
        <w:t xml:space="preserve"> </w:t>
      </w:r>
      <w:r w:rsidRPr="00F25744">
        <w:rPr>
          <w:rFonts w:cs="David" w:hint="eastAsia"/>
          <w:sz w:val="24"/>
          <w:szCs w:val="24"/>
          <w:rtl/>
        </w:rPr>
        <w:t>אחת</w:t>
      </w:r>
      <w:r w:rsidRPr="00F25744">
        <w:rPr>
          <w:rFonts w:cs="David"/>
          <w:sz w:val="24"/>
          <w:szCs w:val="24"/>
          <w:rtl/>
        </w:rPr>
        <w:t xml:space="preserve"> </w:t>
      </w:r>
      <w:r w:rsidRPr="00F25744">
        <w:rPr>
          <w:rFonts w:cs="David" w:hint="cs"/>
          <w:sz w:val="24"/>
          <w:szCs w:val="24"/>
          <w:rtl/>
        </w:rPr>
        <w:t>ת</w:t>
      </w:r>
      <w:r w:rsidRPr="00F25744">
        <w:rPr>
          <w:rFonts w:cs="David" w:hint="eastAsia"/>
          <w:sz w:val="24"/>
          <w:szCs w:val="24"/>
          <w:rtl/>
        </w:rPr>
        <w:t>שקף</w:t>
      </w:r>
      <w:r w:rsidRPr="00F25744">
        <w:rPr>
          <w:rFonts w:cs="David"/>
          <w:sz w:val="24"/>
          <w:szCs w:val="24"/>
          <w:rtl/>
        </w:rPr>
        <w:t xml:space="preserve"> </w:t>
      </w:r>
      <w:r w:rsidRPr="00F25744">
        <w:rPr>
          <w:rFonts w:cs="David" w:hint="cs"/>
          <w:sz w:val="24"/>
          <w:szCs w:val="24"/>
          <w:rtl/>
        </w:rPr>
        <w:t>היטב</w:t>
      </w:r>
      <w:r w:rsidRPr="00F25744">
        <w:rPr>
          <w:rFonts w:cs="David"/>
          <w:sz w:val="24"/>
          <w:szCs w:val="24"/>
          <w:rtl/>
        </w:rPr>
        <w:t xml:space="preserve"> </w:t>
      </w:r>
      <w:r w:rsidRPr="00F25744">
        <w:rPr>
          <w:rFonts w:cs="David" w:hint="eastAsia"/>
          <w:sz w:val="24"/>
          <w:szCs w:val="24"/>
          <w:rtl/>
        </w:rPr>
        <w:t>את</w:t>
      </w:r>
      <w:r w:rsidRPr="00F25744">
        <w:rPr>
          <w:rFonts w:cs="David"/>
          <w:sz w:val="24"/>
          <w:szCs w:val="24"/>
          <w:rtl/>
        </w:rPr>
        <w:t xml:space="preserve"> </w:t>
      </w:r>
      <w:r w:rsidRPr="00F25744">
        <w:rPr>
          <w:rFonts w:cs="David" w:hint="eastAsia"/>
          <w:sz w:val="24"/>
          <w:szCs w:val="24"/>
          <w:rtl/>
        </w:rPr>
        <w:t>המציאות</w:t>
      </w:r>
      <w:r w:rsidRPr="00F25744">
        <w:rPr>
          <w:rFonts w:cs="David"/>
          <w:sz w:val="24"/>
          <w:szCs w:val="24"/>
          <w:rtl/>
        </w:rPr>
        <w:t xml:space="preserve"> </w:t>
      </w:r>
      <w:r w:rsidRPr="00F25744">
        <w:rPr>
          <w:rFonts w:cs="David" w:hint="eastAsia"/>
          <w:sz w:val="24"/>
          <w:szCs w:val="24"/>
          <w:rtl/>
        </w:rPr>
        <w:t>באותו</w:t>
      </w:r>
      <w:r w:rsidRPr="00F25744">
        <w:rPr>
          <w:rFonts w:cs="David"/>
          <w:sz w:val="24"/>
          <w:szCs w:val="24"/>
          <w:rtl/>
        </w:rPr>
        <w:t xml:space="preserve"> </w:t>
      </w:r>
      <w:r w:rsidRPr="00F25744">
        <w:rPr>
          <w:rFonts w:cs="David" w:hint="eastAsia"/>
          <w:sz w:val="24"/>
          <w:szCs w:val="24"/>
          <w:rtl/>
        </w:rPr>
        <w:t>בית</w:t>
      </w:r>
      <w:r w:rsidRPr="00F25744">
        <w:rPr>
          <w:rFonts w:cs="David"/>
          <w:sz w:val="24"/>
          <w:szCs w:val="24"/>
          <w:rtl/>
        </w:rPr>
        <w:t xml:space="preserve"> </w:t>
      </w:r>
      <w:r w:rsidRPr="00F25744">
        <w:rPr>
          <w:rFonts w:cs="David" w:hint="eastAsia"/>
          <w:sz w:val="24"/>
          <w:szCs w:val="24"/>
          <w:rtl/>
        </w:rPr>
        <w:t>משפט</w:t>
      </w:r>
      <w:r w:rsidRPr="00F25744">
        <w:rPr>
          <w:rFonts w:cs="David"/>
          <w:sz w:val="24"/>
          <w:szCs w:val="24"/>
          <w:rtl/>
        </w:rPr>
        <w:t xml:space="preserve">, </w:t>
      </w:r>
      <w:r w:rsidRPr="00F25744">
        <w:rPr>
          <w:rFonts w:cs="David" w:hint="eastAsia"/>
          <w:sz w:val="24"/>
          <w:szCs w:val="24"/>
          <w:rtl/>
        </w:rPr>
        <w:t>ואילו</w:t>
      </w:r>
      <w:r w:rsidRPr="00F25744">
        <w:rPr>
          <w:rFonts w:cs="David"/>
          <w:sz w:val="24"/>
          <w:szCs w:val="24"/>
          <w:rtl/>
        </w:rPr>
        <w:t xml:space="preserve"> </w:t>
      </w:r>
      <w:r w:rsidRPr="00F25744">
        <w:rPr>
          <w:rFonts w:cs="David" w:hint="eastAsia"/>
          <w:sz w:val="24"/>
          <w:szCs w:val="24"/>
          <w:rtl/>
        </w:rPr>
        <w:t>בחינה</w:t>
      </w:r>
      <w:r w:rsidRPr="00F25744">
        <w:rPr>
          <w:rFonts w:cs="David"/>
          <w:sz w:val="24"/>
          <w:szCs w:val="24"/>
          <w:rtl/>
        </w:rPr>
        <w:t xml:space="preserve"> </w:t>
      </w:r>
      <w:r w:rsidRPr="00F25744">
        <w:rPr>
          <w:rFonts w:cs="David" w:hint="eastAsia"/>
          <w:sz w:val="24"/>
          <w:szCs w:val="24"/>
          <w:rtl/>
        </w:rPr>
        <w:t>של</w:t>
      </w:r>
      <w:r w:rsidRPr="00F25744">
        <w:rPr>
          <w:rFonts w:cs="David"/>
          <w:sz w:val="24"/>
          <w:szCs w:val="24"/>
          <w:rtl/>
        </w:rPr>
        <w:t xml:space="preserve"> </w:t>
      </w:r>
      <w:r w:rsidRPr="00F25744">
        <w:rPr>
          <w:rFonts w:cs="David" w:hint="eastAsia"/>
          <w:sz w:val="24"/>
          <w:szCs w:val="24"/>
          <w:rtl/>
        </w:rPr>
        <w:t>משקל</w:t>
      </w:r>
      <w:r w:rsidRPr="00F25744">
        <w:rPr>
          <w:rFonts w:cs="David"/>
          <w:sz w:val="24"/>
          <w:szCs w:val="24"/>
          <w:rtl/>
        </w:rPr>
        <w:t xml:space="preserve"> </w:t>
      </w:r>
      <w:r w:rsidRPr="00F25744">
        <w:rPr>
          <w:rFonts w:cs="David" w:hint="eastAsia"/>
          <w:sz w:val="24"/>
          <w:szCs w:val="24"/>
          <w:rtl/>
        </w:rPr>
        <w:t>התיקים</w:t>
      </w:r>
      <w:r w:rsidRPr="00F25744">
        <w:rPr>
          <w:rFonts w:cs="David"/>
          <w:sz w:val="24"/>
          <w:szCs w:val="24"/>
          <w:rtl/>
        </w:rPr>
        <w:t xml:space="preserve"> </w:t>
      </w:r>
      <w:r w:rsidRPr="00F25744">
        <w:rPr>
          <w:rFonts w:cs="David" w:hint="eastAsia"/>
          <w:sz w:val="24"/>
          <w:szCs w:val="24"/>
          <w:rtl/>
        </w:rPr>
        <w:t>בתקופת</w:t>
      </w:r>
      <w:r w:rsidRPr="00F25744">
        <w:rPr>
          <w:rFonts w:cs="David"/>
          <w:sz w:val="24"/>
          <w:szCs w:val="24"/>
          <w:rtl/>
        </w:rPr>
        <w:t xml:space="preserve"> </w:t>
      </w:r>
      <w:r w:rsidRPr="00F25744">
        <w:rPr>
          <w:rFonts w:cs="David" w:hint="eastAsia"/>
          <w:sz w:val="24"/>
          <w:szCs w:val="24"/>
          <w:rtl/>
        </w:rPr>
        <w:t>זמן</w:t>
      </w:r>
      <w:r w:rsidRPr="00F25744">
        <w:rPr>
          <w:rFonts w:cs="David"/>
          <w:sz w:val="24"/>
          <w:szCs w:val="24"/>
          <w:rtl/>
        </w:rPr>
        <w:t xml:space="preserve"> </w:t>
      </w:r>
      <w:r w:rsidRPr="00F25744">
        <w:rPr>
          <w:rFonts w:cs="David" w:hint="eastAsia"/>
          <w:sz w:val="24"/>
          <w:szCs w:val="24"/>
          <w:rtl/>
        </w:rPr>
        <w:t>של</w:t>
      </w:r>
      <w:r w:rsidRPr="00F25744">
        <w:rPr>
          <w:rFonts w:cs="David"/>
          <w:sz w:val="24"/>
          <w:szCs w:val="24"/>
          <w:rtl/>
        </w:rPr>
        <w:t xml:space="preserve"> </w:t>
      </w:r>
      <w:r w:rsidRPr="00F25744">
        <w:rPr>
          <w:rFonts w:cs="David" w:hint="eastAsia"/>
          <w:sz w:val="24"/>
          <w:szCs w:val="24"/>
          <w:rtl/>
        </w:rPr>
        <w:t>שבוע</w:t>
      </w:r>
      <w:r w:rsidRPr="00F25744">
        <w:rPr>
          <w:rFonts w:cs="David"/>
          <w:sz w:val="24"/>
          <w:szCs w:val="24"/>
          <w:rtl/>
        </w:rPr>
        <w:t xml:space="preserve"> </w:t>
      </w:r>
      <w:r w:rsidRPr="00F25744">
        <w:rPr>
          <w:rFonts w:cs="David" w:hint="eastAsia"/>
          <w:sz w:val="24"/>
          <w:szCs w:val="24"/>
          <w:rtl/>
        </w:rPr>
        <w:t>תהיה</w:t>
      </w:r>
      <w:r w:rsidRPr="00F25744">
        <w:rPr>
          <w:rFonts w:cs="David"/>
          <w:sz w:val="24"/>
          <w:szCs w:val="24"/>
          <w:rtl/>
        </w:rPr>
        <w:t xml:space="preserve"> </w:t>
      </w:r>
      <w:r w:rsidRPr="00F25744">
        <w:rPr>
          <w:rFonts w:cs="David" w:hint="eastAsia"/>
          <w:sz w:val="24"/>
          <w:szCs w:val="24"/>
          <w:rtl/>
        </w:rPr>
        <w:t>פחות</w:t>
      </w:r>
      <w:r w:rsidRPr="00F25744">
        <w:rPr>
          <w:rFonts w:cs="David"/>
          <w:sz w:val="24"/>
          <w:szCs w:val="24"/>
          <w:rtl/>
        </w:rPr>
        <w:t xml:space="preserve"> </w:t>
      </w:r>
      <w:r w:rsidRPr="00F25744">
        <w:rPr>
          <w:rFonts w:cs="David" w:hint="eastAsia"/>
          <w:sz w:val="24"/>
          <w:szCs w:val="24"/>
          <w:rtl/>
        </w:rPr>
        <w:t>מדויקת</w:t>
      </w:r>
      <w:r w:rsidRPr="00F25744">
        <w:rPr>
          <w:rFonts w:cs="David"/>
          <w:sz w:val="24"/>
          <w:szCs w:val="24"/>
          <w:rtl/>
        </w:rPr>
        <w:t xml:space="preserve"> </w:t>
      </w:r>
      <w:r w:rsidRPr="00F25744">
        <w:rPr>
          <w:rFonts w:cs="David" w:hint="eastAsia"/>
          <w:sz w:val="24"/>
          <w:szCs w:val="24"/>
          <w:rtl/>
        </w:rPr>
        <w:t>באופן</w:t>
      </w:r>
      <w:r w:rsidRPr="00F25744">
        <w:rPr>
          <w:rFonts w:cs="David"/>
          <w:sz w:val="24"/>
          <w:szCs w:val="24"/>
          <w:rtl/>
        </w:rPr>
        <w:t xml:space="preserve"> </w:t>
      </w:r>
      <w:r w:rsidRPr="00F25744">
        <w:rPr>
          <w:rFonts w:cs="David" w:hint="eastAsia"/>
          <w:sz w:val="24"/>
          <w:szCs w:val="24"/>
          <w:rtl/>
        </w:rPr>
        <w:t>משמעותי</w:t>
      </w:r>
      <w:r w:rsidRPr="00F25744">
        <w:rPr>
          <w:rFonts w:cs="David"/>
          <w:sz w:val="24"/>
          <w:szCs w:val="24"/>
          <w:rtl/>
        </w:rPr>
        <w:t xml:space="preserve">. </w:t>
      </w:r>
    </w:p>
    <w:p w14:paraId="5C345D42" w14:textId="77777777" w:rsidR="00E538B5" w:rsidRPr="00F25744" w:rsidRDefault="00E25AE7" w:rsidP="008336F3">
      <w:pPr>
        <w:spacing w:before="120" w:after="0" w:line="360" w:lineRule="auto"/>
        <w:ind w:left="284"/>
        <w:jc w:val="both"/>
        <w:rPr>
          <w:rFonts w:cs="David"/>
          <w:sz w:val="24"/>
          <w:szCs w:val="24"/>
        </w:rPr>
      </w:pPr>
      <w:r w:rsidRPr="00F25744">
        <w:rPr>
          <w:rFonts w:cs="David" w:hint="cs"/>
          <w:sz w:val="24"/>
          <w:szCs w:val="24"/>
          <w:rtl/>
        </w:rPr>
        <w:t xml:space="preserve">עוד חשוב לציין בהקשר זה, כי הזמנים השיפוטיים נועדו אמנם לשמש כלי עזר ניהולי, אולם זהו רק כלי </w:t>
      </w:r>
      <w:r w:rsidRPr="00F25744">
        <w:rPr>
          <w:rFonts w:cs="David" w:hint="cs"/>
          <w:sz w:val="24"/>
          <w:szCs w:val="24"/>
          <w:u w:val="single"/>
          <w:rtl/>
        </w:rPr>
        <w:t>אחד</w:t>
      </w:r>
      <w:r w:rsidRPr="00F25744">
        <w:rPr>
          <w:rFonts w:cs="David" w:hint="cs"/>
          <w:sz w:val="24"/>
          <w:szCs w:val="24"/>
          <w:rtl/>
        </w:rPr>
        <w:t xml:space="preserve"> מתוך כלל הכלים הניהוליים, שביניהם ניתן למנות למשל את </w:t>
      </w:r>
      <w:r w:rsidRPr="00F25744">
        <w:rPr>
          <w:rFonts w:cs="David" w:hint="cs"/>
          <w:b/>
          <w:bCs/>
          <w:sz w:val="24"/>
          <w:szCs w:val="24"/>
          <w:rtl/>
        </w:rPr>
        <w:t>שיקול הדעת</w:t>
      </w:r>
      <w:r w:rsidRPr="00F25744">
        <w:rPr>
          <w:rFonts w:cs="David" w:hint="cs"/>
          <w:sz w:val="24"/>
          <w:szCs w:val="24"/>
          <w:rtl/>
        </w:rPr>
        <w:t xml:space="preserve"> של נשיאי בתי המשפט ואת היכרותם עם השופטים ועם דרכי העב</w:t>
      </w:r>
      <w:r w:rsidR="00E025F4" w:rsidRPr="00F25744">
        <w:rPr>
          <w:rFonts w:cs="David" w:hint="cs"/>
          <w:sz w:val="24"/>
          <w:szCs w:val="24"/>
          <w:rtl/>
        </w:rPr>
        <w:t>ודה השונות מבית משפט לבית משפט.</w:t>
      </w:r>
      <w:r w:rsidR="00A41C7D" w:rsidRPr="00F25744">
        <w:rPr>
          <w:rFonts w:cs="David" w:hint="cs"/>
          <w:sz w:val="24"/>
          <w:szCs w:val="24"/>
          <w:rtl/>
        </w:rPr>
        <w:t xml:space="preserve"> על כן, אין לצפות ממחקר זה כי ייתן ביטוי לכלל הנסיבות הייחודיות והשונות המתקיימות בכל ערכאה, מחוז ובית משפט. </w:t>
      </w:r>
    </w:p>
    <w:p w14:paraId="5FEA8FF5" w14:textId="77777777" w:rsidR="005317AA" w:rsidRPr="00F25744" w:rsidRDefault="00E25AE7" w:rsidP="008336F3">
      <w:pPr>
        <w:numPr>
          <w:ilvl w:val="0"/>
          <w:numId w:val="26"/>
        </w:numPr>
        <w:spacing w:before="120" w:after="0" w:line="360" w:lineRule="auto"/>
        <w:ind w:left="285" w:hanging="283"/>
        <w:jc w:val="both"/>
        <w:rPr>
          <w:rFonts w:cs="David"/>
          <w:sz w:val="24"/>
          <w:szCs w:val="24"/>
        </w:rPr>
      </w:pPr>
      <w:r w:rsidRPr="00F25744">
        <w:rPr>
          <w:rFonts w:cs="David" w:hint="cs"/>
          <w:b/>
          <w:bCs/>
          <w:sz w:val="24"/>
          <w:szCs w:val="24"/>
          <w:rtl/>
        </w:rPr>
        <w:lastRenderedPageBreak/>
        <w:t>תיקים נדירים</w:t>
      </w:r>
      <w:r w:rsidRPr="00F25744">
        <w:rPr>
          <w:rFonts w:cs="David" w:hint="cs"/>
          <w:sz w:val="24"/>
          <w:szCs w:val="24"/>
          <w:rtl/>
        </w:rPr>
        <w:t xml:space="preserve"> - במסגרת מחקר זה, כאמור, נאספה כמות עצומה של נתונים על סוגי התיקים השונים במערכת, המייצגים כמעט 99% מכלל התיקים שנסגרו במהלך שנת 2019. עם זאת, חשוב לציין כי לא יכולנו לחשב את זמניהם של </w:t>
      </w:r>
      <w:r w:rsidRPr="00F25744">
        <w:rPr>
          <w:rFonts w:cs="David" w:hint="cs"/>
          <w:b/>
          <w:bCs/>
          <w:sz w:val="24"/>
          <w:szCs w:val="24"/>
          <w:rtl/>
        </w:rPr>
        <w:t>כל</w:t>
      </w:r>
      <w:r w:rsidRPr="00F25744">
        <w:rPr>
          <w:rFonts w:cs="David" w:hint="cs"/>
          <w:sz w:val="24"/>
          <w:szCs w:val="24"/>
          <w:rtl/>
        </w:rPr>
        <w:t xml:space="preserve"> התיקים הקיימים במערכת, בעיקר בשל </w:t>
      </w:r>
      <w:r w:rsidRPr="00F25744">
        <w:rPr>
          <w:rFonts w:cs="David" w:hint="cs"/>
          <w:b/>
          <w:bCs/>
          <w:sz w:val="24"/>
          <w:szCs w:val="24"/>
          <w:rtl/>
        </w:rPr>
        <w:t>נדירותם של אותם תיקים</w:t>
      </w:r>
      <w:r w:rsidRPr="00F25744">
        <w:rPr>
          <w:rFonts w:cs="David" w:hint="cs"/>
          <w:sz w:val="24"/>
          <w:szCs w:val="24"/>
          <w:rtl/>
        </w:rPr>
        <w:t xml:space="preserve">. למשל, סוג תיק אשר במהלך שנת 2019 </w:t>
      </w:r>
      <w:r w:rsidR="00C531B9" w:rsidRPr="00F25744">
        <w:rPr>
          <w:rFonts w:cs="David" w:hint="cs"/>
          <w:sz w:val="24"/>
          <w:szCs w:val="24"/>
          <w:rtl/>
        </w:rPr>
        <w:t>נסגרו</w:t>
      </w:r>
      <w:r w:rsidRPr="00F25744">
        <w:rPr>
          <w:rFonts w:cs="David" w:hint="cs"/>
          <w:sz w:val="24"/>
          <w:szCs w:val="24"/>
          <w:rtl/>
        </w:rPr>
        <w:t xml:space="preserve"> רק חמישה תיקים ממנו, לא ניתן היה לחלץ לגביו די נתונים ממערכת נט המשפט, בשל הכמות הנמוכה של אירועים שהתקיימו בו (מספר הדיונים, מספר ההחלטות וכו'), ואף לא ניתן היה לחשב זמנים ממוצעים לפעולות השיפוטיות השונות בו, בשל מיעוט דיווחים מהשופטים ומהקלדניות במהלך חמשת שבועות המחקר. על כן, לא הצגנו במסגרת מחקר זה את חישוב הזמנים של סוגי התיקים שלגביהם חסרו לנו נתונים רבים בשל נדירותם. בצד זאת חשוב לזכור, כי אותם תיקים נדירים, גם אם הם תיקים מורכבים, אינם משנים משמעותית את תמונת העומס השיפוטי המוטל על כתפי השופטים במערכת.</w:t>
      </w:r>
    </w:p>
    <w:p w14:paraId="44A181D2" w14:textId="77777777" w:rsidR="005317AA" w:rsidRPr="00F25744" w:rsidRDefault="00E25AE7" w:rsidP="008336F3">
      <w:pPr>
        <w:spacing w:before="120" w:after="0" w:line="360" w:lineRule="auto"/>
        <w:ind w:left="284"/>
        <w:jc w:val="both"/>
        <w:rPr>
          <w:rFonts w:cs="David"/>
          <w:sz w:val="24"/>
          <w:szCs w:val="24"/>
          <w:rtl/>
        </w:rPr>
      </w:pPr>
      <w:r w:rsidRPr="00F25744">
        <w:rPr>
          <w:rFonts w:cs="David" w:hint="cs"/>
          <w:sz w:val="24"/>
          <w:szCs w:val="24"/>
          <w:rtl/>
        </w:rPr>
        <w:t>טרם המחקר שאלנו את נשיאי בתי המשפט השונים האם ישנם סוגי תיקים נדירים שחשוב להם בכל זאת שנמדוד את זמניהם על אף הקשיים שנמנו לעיל. לגבי אותם סוגי תיקים שהנשיאים ציינו בפנינו ניסינו להשלים את החסרים בנתונים על דרך ההערכה במסגרת שאלון מסכם שהועבר לשופטים בתום המחקר. ואכן, חלק מסוגי התיקים הנדירים הללו נכללו במסגרת המחקר לאחר השלמת הנתונים החסרים, אולם לתיקים אחרים לא ניתן היה לתת זמנים במסגרת מחקר זה, ככל שלא קיבלנו מספיק נתונים לגביהם גם במסגרת השאלון המסכם. אותם תיקים נדירים שזמני הטיפול בהם נמדדו בכל זאת, אולם הם נשענים על מספר מועט של דיווחים בשל נדירותם, סומנו ב-</w:t>
      </w:r>
      <w:r w:rsidRPr="00F25744">
        <w:rPr>
          <w:rFonts w:cs="David" w:hint="cs"/>
          <w:b/>
          <w:bCs/>
          <w:sz w:val="24"/>
          <w:szCs w:val="24"/>
          <w:rtl/>
        </w:rPr>
        <w:t xml:space="preserve">* </w:t>
      </w:r>
      <w:r w:rsidRPr="00F25744">
        <w:rPr>
          <w:rFonts w:cs="David" w:hint="cs"/>
          <w:sz w:val="24"/>
          <w:szCs w:val="24"/>
          <w:rtl/>
        </w:rPr>
        <w:t>בטבלאות הזמנים בפרק הממצאים.</w:t>
      </w:r>
    </w:p>
    <w:p w14:paraId="02FE2AA3" w14:textId="77777777" w:rsidR="005317AA" w:rsidRPr="00F25744" w:rsidRDefault="00E25AE7" w:rsidP="008336F3">
      <w:pPr>
        <w:spacing w:before="120" w:after="0" w:line="360" w:lineRule="auto"/>
        <w:ind w:left="284"/>
        <w:jc w:val="both"/>
        <w:rPr>
          <w:rFonts w:cs="David"/>
          <w:sz w:val="24"/>
          <w:szCs w:val="24"/>
          <w:rtl/>
        </w:rPr>
      </w:pPr>
      <w:r w:rsidRPr="00F25744">
        <w:rPr>
          <w:rFonts w:cs="David" w:hint="cs"/>
          <w:sz w:val="24"/>
          <w:szCs w:val="24"/>
          <w:rtl/>
        </w:rPr>
        <w:t>כאן יוער, כי ככל שתעלה בקשה לקראת חידוש מחקר זה, לבחון תיקים נדירים נוספים או סוגי עניין נוספים, ייתכן שיהיה מקום לשקול עריכת המחקר על פני משך זמן ממושך יותר מחמישה שבועות.</w:t>
      </w:r>
    </w:p>
    <w:p w14:paraId="6BB65E6B" w14:textId="77777777" w:rsidR="005317AA" w:rsidRPr="00F25744" w:rsidRDefault="00E25AE7" w:rsidP="008336F3">
      <w:pPr>
        <w:numPr>
          <w:ilvl w:val="0"/>
          <w:numId w:val="26"/>
        </w:numPr>
        <w:spacing w:before="120" w:after="0" w:line="360" w:lineRule="auto"/>
        <w:ind w:left="284" w:hanging="284"/>
        <w:jc w:val="both"/>
        <w:rPr>
          <w:rFonts w:cs="David"/>
          <w:sz w:val="24"/>
          <w:szCs w:val="24"/>
        </w:rPr>
      </w:pPr>
      <w:r w:rsidRPr="00F25744">
        <w:rPr>
          <w:rFonts w:cs="David" w:hint="cs"/>
          <w:b/>
          <w:bCs/>
          <w:sz w:val="24"/>
          <w:szCs w:val="24"/>
          <w:rtl/>
        </w:rPr>
        <w:t>פעולות הנעשות לשיעורין</w:t>
      </w:r>
      <w:r w:rsidRPr="00F25744">
        <w:rPr>
          <w:rFonts w:cs="David" w:hint="cs"/>
          <w:sz w:val="24"/>
          <w:szCs w:val="24"/>
          <w:rtl/>
        </w:rPr>
        <w:t xml:space="preserve"> </w:t>
      </w:r>
      <w:r w:rsidRPr="00F25744">
        <w:rPr>
          <w:rFonts w:cs="David"/>
          <w:sz w:val="24"/>
          <w:szCs w:val="24"/>
          <w:rtl/>
        </w:rPr>
        <w:t>–</w:t>
      </w:r>
      <w:r w:rsidRPr="00F25744">
        <w:rPr>
          <w:rFonts w:cs="David" w:hint="cs"/>
          <w:sz w:val="24"/>
          <w:szCs w:val="24"/>
          <w:rtl/>
        </w:rPr>
        <w:t xml:space="preserve"> במסגרת המחקר, מדדנו את זמני הפעולות השיפוטיות השונות הנעשות בכל סוג תיק, כפי שניתן להתרשם מיומני השופטים והקלדניות שפורטו בפרק המתודולוגיה ובפרקי הממצאים, וכן ב</w:t>
      </w:r>
      <w:r w:rsidRPr="00F25744">
        <w:rPr>
          <w:rFonts w:cs="David" w:hint="cs"/>
          <w:b/>
          <w:bCs/>
          <w:sz w:val="24"/>
          <w:szCs w:val="24"/>
          <w:rtl/>
        </w:rPr>
        <w:t>נספח ד'</w:t>
      </w:r>
      <w:r w:rsidRPr="00F25744">
        <w:rPr>
          <w:rFonts w:cs="David" w:hint="cs"/>
          <w:sz w:val="24"/>
          <w:szCs w:val="24"/>
          <w:rtl/>
        </w:rPr>
        <w:t xml:space="preserve">. על מנת לשמור על אנונימיות השופטים, לא ביקשנו מהם לציין את מספר התיק שבו נעשית כל פעולה שיפוטית שהם מתעדים (וממילא ספק אם נוכח כמות הדיווחים העצומה ניתן היה לעקוב אחר נתונים אלו). על כן, לא מצאנו דרך לבדוק, מבלי להעמיס באופן משמעותי על השופטים במילוי עמודות נוספות ביומן העבודה הידני, האם אותה פעולה נעשית פעם אחת בכמה תיקים מאותו סוג או כמה פעמים באותו תיק. למשל: כאשר שופט התכונן לקראת דיון בתיק מורכב, והוא חילק את זמן ההכנה על פני יומיים או שלושה, כל פעם מספר שעות, לא ניתן היה לדעת מהדיווחים שלו האם הוא התכונן פעמיים לאותו תיק או שהתכונן לשני תיקים שונים. כך גם לגבי פעולות הכתיבה </w:t>
      </w:r>
      <w:r w:rsidRPr="00F25744">
        <w:rPr>
          <w:rFonts w:cs="David"/>
          <w:sz w:val="24"/>
          <w:szCs w:val="24"/>
          <w:rtl/>
        </w:rPr>
        <w:t>–</w:t>
      </w:r>
      <w:r w:rsidRPr="00F25744">
        <w:rPr>
          <w:rFonts w:cs="David" w:hint="cs"/>
          <w:sz w:val="24"/>
          <w:szCs w:val="24"/>
          <w:rtl/>
        </w:rPr>
        <w:t xml:space="preserve"> לא ניתן היה לדעת אם מספר העמודים שעליהם דיווח השופט ביום מסוים הם פסק הדין כולו שנכתב באותו תיק, או שהם מצטרפים למשל למספר העמודים שעליהם דיווח אתמול. </w:t>
      </w:r>
    </w:p>
    <w:p w14:paraId="4E511959" w14:textId="77777777" w:rsidR="005317AA" w:rsidRPr="00F25744" w:rsidRDefault="00E25AE7" w:rsidP="008336F3">
      <w:pPr>
        <w:spacing w:before="120" w:after="0" w:line="360" w:lineRule="auto"/>
        <w:ind w:left="284"/>
        <w:jc w:val="both"/>
        <w:rPr>
          <w:rFonts w:cs="David"/>
          <w:sz w:val="24"/>
          <w:szCs w:val="24"/>
          <w:rtl/>
        </w:rPr>
      </w:pPr>
      <w:r w:rsidRPr="00F25744">
        <w:rPr>
          <w:rFonts w:cs="David" w:hint="cs"/>
          <w:sz w:val="24"/>
          <w:szCs w:val="24"/>
          <w:rtl/>
        </w:rPr>
        <w:t xml:space="preserve">עם זאת חשוב להבהיר, כי בשל המספר הרב של הדיווחים ואופן העבודה השונה בין שופט לשופט ובין בתי המשפט השונים, יש להניח שהנתונים שקיבלנו אכן משקפים את הממוצע לכל פעולה. </w:t>
      </w:r>
    </w:p>
    <w:p w14:paraId="18463A16" w14:textId="77777777" w:rsidR="005317AA" w:rsidRPr="00F25744" w:rsidRDefault="00E25AE7" w:rsidP="008336F3">
      <w:pPr>
        <w:spacing w:before="120" w:after="0" w:line="360" w:lineRule="auto"/>
        <w:ind w:left="284"/>
        <w:jc w:val="both"/>
        <w:rPr>
          <w:rFonts w:cs="David"/>
          <w:sz w:val="24"/>
          <w:szCs w:val="24"/>
          <w:rtl/>
        </w:rPr>
      </w:pPr>
      <w:r w:rsidRPr="00F25744">
        <w:rPr>
          <w:rFonts w:cs="David" w:hint="cs"/>
          <w:sz w:val="24"/>
          <w:szCs w:val="24"/>
          <w:rtl/>
        </w:rPr>
        <w:lastRenderedPageBreak/>
        <w:t>כפי שהודגש מספר פעמים במסמך זה, במסגרת המחקר נדרשנו לערוך איזון עדין בין הכבדה בדרישות הדיווח במטרה להשיג נתונים כמה שיותר מדויקים, ובין הרצון שלא להכביד יתר על המידה על השופטים, מתוך מטרה להשיג שיתוף פעולה נרחב, שיש בו כשלעצמו לתרום לדיוק הנתונים. נושא זה יכול לשמש חומר למחשבה לכשיעלה על הפרק הצורך לחדש מחקר זה, ויש לקוות כי חידושים טכנולוגיים שיפותחו בשנים הקרובות יסייעו ליתן מענה גם לרמת דיוק זו מבלי להכביד יתר על המידה על השופטים.</w:t>
      </w:r>
    </w:p>
    <w:p w14:paraId="592F0DCC" w14:textId="77777777" w:rsidR="005317AA" w:rsidRPr="00F25744" w:rsidRDefault="00E25AE7" w:rsidP="008336F3">
      <w:pPr>
        <w:spacing w:before="120" w:after="0" w:line="360" w:lineRule="auto"/>
        <w:ind w:left="284"/>
        <w:jc w:val="both"/>
        <w:rPr>
          <w:rFonts w:cs="David"/>
          <w:sz w:val="24"/>
          <w:szCs w:val="24"/>
        </w:rPr>
      </w:pPr>
      <w:r w:rsidRPr="00F25744">
        <w:rPr>
          <w:rFonts w:cs="David" w:hint="cs"/>
          <w:sz w:val="24"/>
          <w:szCs w:val="24"/>
          <w:rtl/>
        </w:rPr>
        <w:t>יש לציין, כי ביטוי מסוים לעניין זה בכל זאת הצלחנו לתת בכל הנוגע להכנה לדיוני הרכב בערכאת המחוזי, אשר נעשית ברובה ביחידות, ומקצתה נעשית כהכנה משותפת של חברי ההרכב לפני הדיון (לפירוט נוסף בעניין זה ראו בפרק הממצאים של ערכאת המחוזי).</w:t>
      </w:r>
    </w:p>
    <w:p w14:paraId="7D312099" w14:textId="77777777" w:rsidR="0032209A" w:rsidRPr="00F25744" w:rsidRDefault="0032209A" w:rsidP="008C4096">
      <w:pPr>
        <w:numPr>
          <w:ilvl w:val="0"/>
          <w:numId w:val="26"/>
        </w:numPr>
        <w:spacing w:before="120" w:after="0" w:line="360" w:lineRule="auto"/>
        <w:ind w:left="284" w:hanging="284"/>
        <w:jc w:val="both"/>
        <w:rPr>
          <w:rFonts w:cs="David"/>
          <w:sz w:val="24"/>
          <w:szCs w:val="24"/>
        </w:rPr>
      </w:pPr>
      <w:r w:rsidRPr="00F25744">
        <w:rPr>
          <w:rFonts w:cs="David" w:hint="cs"/>
          <w:sz w:val="24"/>
          <w:szCs w:val="24"/>
          <w:rtl/>
        </w:rPr>
        <w:t xml:space="preserve">הנוסחה שבה השתמשנו לצורך חישוב זמני הטיפול הממוצעים בסוגי התיקים השונים במערכת כללה, כפי שפירטנו מספר פעמים לאורך מסמך זה, את זמני ההכנה לדיונים, את זמני שמיעת הדיונים ואת זמני הכתיבה, </w:t>
      </w:r>
      <w:r w:rsidR="000C2460" w:rsidRPr="00F25744">
        <w:rPr>
          <w:rFonts w:cs="David" w:hint="cs"/>
          <w:sz w:val="24"/>
          <w:szCs w:val="24"/>
          <w:rtl/>
        </w:rPr>
        <w:t xml:space="preserve">במכפלה של </w:t>
      </w:r>
      <w:r w:rsidRPr="00F25744">
        <w:rPr>
          <w:rFonts w:cs="David" w:hint="cs"/>
          <w:sz w:val="24"/>
          <w:szCs w:val="24"/>
          <w:rtl/>
        </w:rPr>
        <w:t xml:space="preserve">שכיחות האירועים השונים בתיק (כמות הדיונים, כמות ההחלטות וכו'). </w:t>
      </w:r>
      <w:r w:rsidR="00CC7CDF" w:rsidRPr="00F25744">
        <w:rPr>
          <w:rFonts w:cs="David" w:hint="cs"/>
          <w:sz w:val="24"/>
          <w:szCs w:val="24"/>
          <w:rtl/>
        </w:rPr>
        <w:t>נוסחה זו נועדה להתאים לביצוע מחקר מקיף וכולל על מרביתם המכרעת של תיקי המערכת</w:t>
      </w:r>
      <w:r w:rsidR="0093354E" w:rsidRPr="00F25744">
        <w:rPr>
          <w:rFonts w:cs="David" w:hint="cs"/>
          <w:sz w:val="24"/>
          <w:szCs w:val="24"/>
          <w:rtl/>
        </w:rPr>
        <w:t>, במטרה ליצור קו אחיד שישקף את עבודת המערכת בכללותה, וישמש בסיס לדיון בפתרונות לעומס העבודה המוטל על כתפי השופטים בישראל</w:t>
      </w:r>
      <w:r w:rsidR="00CC7CDF" w:rsidRPr="00F25744">
        <w:rPr>
          <w:rFonts w:cs="David" w:hint="cs"/>
          <w:sz w:val="24"/>
          <w:szCs w:val="24"/>
          <w:rtl/>
        </w:rPr>
        <w:t xml:space="preserve">. </w:t>
      </w:r>
      <w:r w:rsidR="00DB6FA7" w:rsidRPr="00F25744">
        <w:rPr>
          <w:rFonts w:cs="David" w:hint="cs"/>
          <w:sz w:val="24"/>
          <w:szCs w:val="24"/>
          <w:rtl/>
        </w:rPr>
        <w:t>מאחר שברור לנו כי כל תיק עומד בפני עצמו ובעל ייחודיות משלו, כמו גם ההבדלים בשיטות העבודה בין ערכאה לערכאה, בין בית משפט לבית משפט ואף בין שופט לשופט, ניסינו ככל האפשר לערוך התאמות לרכיבים השונים בנוסחה, על מנת לתת ביטוי לשונות זו, במידת האפשר</w:t>
      </w:r>
      <w:r w:rsidR="00C621D8" w:rsidRPr="00F25744">
        <w:rPr>
          <w:rFonts w:cs="David" w:hint="cs"/>
          <w:sz w:val="24"/>
          <w:szCs w:val="24"/>
          <w:rtl/>
        </w:rPr>
        <w:t xml:space="preserve"> (בפתח לפרקי הממצאים של הערכאות השונות פירטנו את ההתאמות הייחודיות שביצענו לכל ערכאה)</w:t>
      </w:r>
      <w:r w:rsidR="00DB6FA7" w:rsidRPr="00F25744">
        <w:rPr>
          <w:rFonts w:cs="David" w:hint="cs"/>
          <w:sz w:val="24"/>
          <w:szCs w:val="24"/>
          <w:rtl/>
        </w:rPr>
        <w:t>.</w:t>
      </w:r>
      <w:r w:rsidR="00C621D8" w:rsidRPr="00F25744">
        <w:rPr>
          <w:rFonts w:cs="David" w:hint="cs"/>
          <w:sz w:val="24"/>
          <w:szCs w:val="24"/>
          <w:rtl/>
        </w:rPr>
        <w:t xml:space="preserve"> עם זאת, מעצם היותה נוסחה אחידה לכלל התיקים, </w:t>
      </w:r>
      <w:r w:rsidR="00F33FAA" w:rsidRPr="00F25744">
        <w:rPr>
          <w:rFonts w:cs="David" w:hint="cs"/>
          <w:sz w:val="24"/>
          <w:szCs w:val="24"/>
          <w:rtl/>
        </w:rPr>
        <w:t>ייתכן</w:t>
      </w:r>
      <w:r w:rsidR="00C621D8" w:rsidRPr="00F25744">
        <w:rPr>
          <w:rFonts w:cs="David" w:hint="cs"/>
          <w:sz w:val="24"/>
          <w:szCs w:val="24"/>
          <w:rtl/>
        </w:rPr>
        <w:t xml:space="preserve"> כי היא עשויה הייתה</w:t>
      </w:r>
      <w:r w:rsidR="00F82F8C" w:rsidRPr="00F25744">
        <w:rPr>
          <w:rFonts w:cs="David" w:hint="cs"/>
          <w:sz w:val="24"/>
          <w:szCs w:val="24"/>
          <w:rtl/>
        </w:rPr>
        <w:t xml:space="preserve"> שלא ליתן משקל מלא לייחודיות של כל סוג תיק והליך המתנהלים במערכת. </w:t>
      </w:r>
      <w:r w:rsidR="00236A99" w:rsidRPr="00F25744">
        <w:rPr>
          <w:rFonts w:cs="David" w:hint="cs"/>
          <w:sz w:val="24"/>
          <w:szCs w:val="24"/>
          <w:rtl/>
        </w:rPr>
        <w:t xml:space="preserve">מסיבה זו </w:t>
      </w:r>
      <w:r w:rsidR="00C621D8" w:rsidRPr="00F25744">
        <w:rPr>
          <w:rFonts w:cs="David" w:hint="cs"/>
          <w:sz w:val="24"/>
          <w:szCs w:val="24"/>
          <w:rtl/>
        </w:rPr>
        <w:t>ביצענו</w:t>
      </w:r>
      <w:r w:rsidR="001D0B0E" w:rsidRPr="00F25744">
        <w:rPr>
          <w:rFonts w:cs="David" w:hint="cs"/>
          <w:sz w:val="24"/>
          <w:szCs w:val="24"/>
          <w:rtl/>
        </w:rPr>
        <w:t xml:space="preserve"> לאחר המחקר</w:t>
      </w:r>
      <w:r w:rsidR="00C621D8" w:rsidRPr="00F25744">
        <w:rPr>
          <w:rFonts w:cs="David" w:hint="cs"/>
          <w:sz w:val="24"/>
          <w:szCs w:val="24"/>
          <w:rtl/>
        </w:rPr>
        <w:t xml:space="preserve"> את מהלכי התיקוף השונים, בין במסגרת השאלון המסכם ובין במסגרת שאלוני התיקוף השונים ששלחנו ל</w:t>
      </w:r>
      <w:r w:rsidR="0093354E" w:rsidRPr="00F25744">
        <w:rPr>
          <w:rFonts w:cs="David" w:hint="cs"/>
          <w:sz w:val="24"/>
          <w:szCs w:val="24"/>
          <w:rtl/>
        </w:rPr>
        <w:t xml:space="preserve">שופטי </w:t>
      </w:r>
      <w:r w:rsidR="00C621D8" w:rsidRPr="00F25744">
        <w:rPr>
          <w:rFonts w:cs="David" w:hint="cs"/>
          <w:sz w:val="24"/>
          <w:szCs w:val="24"/>
          <w:rtl/>
        </w:rPr>
        <w:t>ערכאת</w:t>
      </w:r>
      <w:r w:rsidR="0093354E" w:rsidRPr="00F25744">
        <w:rPr>
          <w:rFonts w:cs="David" w:hint="cs"/>
          <w:sz w:val="24"/>
          <w:szCs w:val="24"/>
          <w:rtl/>
        </w:rPr>
        <w:t xml:space="preserve"> המחוזי (כפי שפורט בפרק הממצאים של ערכאת המחוזי).</w:t>
      </w:r>
      <w:r w:rsidR="00F33FAA" w:rsidRPr="00F25744">
        <w:rPr>
          <w:rFonts w:cs="David" w:hint="cs"/>
          <w:sz w:val="24"/>
          <w:szCs w:val="24"/>
          <w:rtl/>
        </w:rPr>
        <w:t xml:space="preserve"> </w:t>
      </w:r>
      <w:r w:rsidR="00150C29" w:rsidRPr="00F25744">
        <w:rPr>
          <w:rFonts w:cs="David" w:hint="cs"/>
          <w:sz w:val="24"/>
          <w:szCs w:val="24"/>
          <w:rtl/>
        </w:rPr>
        <w:t>בחלק מהמקרים</w:t>
      </w:r>
      <w:r w:rsidR="001D0B0E" w:rsidRPr="00F25744">
        <w:rPr>
          <w:rFonts w:cs="David" w:hint="cs"/>
          <w:sz w:val="24"/>
          <w:szCs w:val="24"/>
          <w:rtl/>
        </w:rPr>
        <w:t>, כאשר היה צורך בכך,</w:t>
      </w:r>
      <w:r w:rsidR="00150C29" w:rsidRPr="00F25744">
        <w:rPr>
          <w:rFonts w:cs="David" w:hint="cs"/>
          <w:sz w:val="24"/>
          <w:szCs w:val="24"/>
          <w:rtl/>
        </w:rPr>
        <w:t xml:space="preserve"> </w:t>
      </w:r>
      <w:r w:rsidR="001D0B0E" w:rsidRPr="00F25744">
        <w:rPr>
          <w:rFonts w:cs="David" w:hint="cs"/>
          <w:sz w:val="24"/>
          <w:szCs w:val="24"/>
          <w:rtl/>
        </w:rPr>
        <w:t>נתנו</w:t>
      </w:r>
      <w:r w:rsidR="00150C29" w:rsidRPr="00F25744">
        <w:rPr>
          <w:rFonts w:cs="David" w:hint="cs"/>
          <w:sz w:val="24"/>
          <w:szCs w:val="24"/>
          <w:rtl/>
        </w:rPr>
        <w:t xml:space="preserve"> ביטוי</w:t>
      </w:r>
      <w:r w:rsidR="00E7781A" w:rsidRPr="00F25744">
        <w:rPr>
          <w:rFonts w:cs="David" w:hint="cs"/>
          <w:sz w:val="24"/>
          <w:szCs w:val="24"/>
          <w:rtl/>
        </w:rPr>
        <w:t xml:space="preserve"> ל</w:t>
      </w:r>
      <w:r w:rsidR="00150C29" w:rsidRPr="00F25744">
        <w:rPr>
          <w:rFonts w:cs="David" w:hint="cs"/>
          <w:sz w:val="24"/>
          <w:szCs w:val="24"/>
          <w:rtl/>
        </w:rPr>
        <w:t>ייחודי</w:t>
      </w:r>
      <w:r w:rsidR="00E7781A" w:rsidRPr="00F25744">
        <w:rPr>
          <w:rFonts w:cs="David" w:hint="cs"/>
          <w:sz w:val="24"/>
          <w:szCs w:val="24"/>
          <w:rtl/>
        </w:rPr>
        <w:t xml:space="preserve">ות ההליך </w:t>
      </w:r>
      <w:r w:rsidR="00150C29" w:rsidRPr="00F25744">
        <w:rPr>
          <w:rFonts w:cs="David" w:hint="cs"/>
          <w:sz w:val="24"/>
          <w:szCs w:val="24"/>
          <w:rtl/>
        </w:rPr>
        <w:t>במסגרת הנוסחה והנתונים הקיימים, אולם</w:t>
      </w:r>
      <w:r w:rsidR="00E7781A" w:rsidRPr="00F25744">
        <w:rPr>
          <w:rFonts w:cs="David" w:hint="cs"/>
          <w:sz w:val="24"/>
          <w:szCs w:val="24"/>
          <w:rtl/>
        </w:rPr>
        <w:t xml:space="preserve"> כמובן לא החלפנו את </w:t>
      </w:r>
      <w:r w:rsidR="00150C29" w:rsidRPr="00F25744">
        <w:rPr>
          <w:rFonts w:cs="David" w:hint="cs"/>
          <w:sz w:val="24"/>
          <w:szCs w:val="24"/>
          <w:rtl/>
        </w:rPr>
        <w:t>הנתונים שהתקבלו מהשופטים ומהקלדניות בזמן אמת במהלך המחקר</w:t>
      </w:r>
      <w:r w:rsidR="00E7781A" w:rsidRPr="00F25744">
        <w:rPr>
          <w:rFonts w:cs="David" w:hint="cs"/>
          <w:sz w:val="24"/>
          <w:szCs w:val="24"/>
          <w:rtl/>
        </w:rPr>
        <w:t>,</w:t>
      </w:r>
      <w:r w:rsidR="00150C29" w:rsidRPr="00F25744">
        <w:rPr>
          <w:rFonts w:cs="David" w:hint="cs"/>
          <w:sz w:val="24"/>
          <w:szCs w:val="24"/>
          <w:rtl/>
        </w:rPr>
        <w:t xml:space="preserve"> בתחושות או הערכות של השופטים. </w:t>
      </w:r>
      <w:r w:rsidR="00B56B40" w:rsidRPr="00F25744">
        <w:rPr>
          <w:rFonts w:cs="David" w:hint="cs"/>
          <w:sz w:val="24"/>
          <w:szCs w:val="24"/>
          <w:rtl/>
        </w:rPr>
        <w:t xml:space="preserve">זאת, </w:t>
      </w:r>
      <w:r w:rsidR="00150C29" w:rsidRPr="00F25744">
        <w:rPr>
          <w:rFonts w:cs="David" w:hint="cs"/>
          <w:sz w:val="24"/>
          <w:szCs w:val="24"/>
          <w:rtl/>
        </w:rPr>
        <w:t xml:space="preserve">במיוחד </w:t>
      </w:r>
      <w:r w:rsidR="00B56B40" w:rsidRPr="00F25744">
        <w:rPr>
          <w:rFonts w:cs="David" w:hint="cs"/>
          <w:sz w:val="24"/>
          <w:szCs w:val="24"/>
          <w:rtl/>
        </w:rPr>
        <w:t>לנוכח השונות הגדולה של תשובות והערכות השופטים, וקשיי ההערכה של השופטים את זמני הטיפול בתיקים, שעליהם העידו השופטים בעצמם. מסיכומם של כלל מהלכי המחקר שבוצעו במסגרת מחקר זה ע</w:t>
      </w:r>
      <w:r w:rsidR="008C4096" w:rsidRPr="00F25744">
        <w:rPr>
          <w:rFonts w:cs="David" w:hint="cs"/>
          <w:sz w:val="24"/>
          <w:szCs w:val="24"/>
          <w:rtl/>
        </w:rPr>
        <w:t>ו</w:t>
      </w:r>
      <w:r w:rsidR="00B56B40" w:rsidRPr="00F25744">
        <w:rPr>
          <w:rFonts w:cs="David" w:hint="cs"/>
          <w:sz w:val="24"/>
          <w:szCs w:val="24"/>
          <w:rtl/>
        </w:rPr>
        <w:t xml:space="preserve">לה באופן ברור, </w:t>
      </w:r>
      <w:r w:rsidR="00F33FAA" w:rsidRPr="00F25744">
        <w:rPr>
          <w:rFonts w:cs="David" w:hint="cs"/>
          <w:sz w:val="24"/>
          <w:szCs w:val="24"/>
          <w:rtl/>
        </w:rPr>
        <w:t xml:space="preserve">כי שיטת המחקר שבה השתמשנו, של מדידת זמני הטיפול בתיקים בזמן אמת, חלף הערכה גרידא של השופטים כאשר הם עצמם מדגישים כי אין ביכולתם באמת להעריך, </w:t>
      </w:r>
      <w:r w:rsidR="001D0822" w:rsidRPr="00F25744">
        <w:rPr>
          <w:rFonts w:cs="David" w:hint="cs"/>
          <w:sz w:val="24"/>
          <w:szCs w:val="24"/>
          <w:rtl/>
        </w:rPr>
        <w:t>מייצג</w:t>
      </w:r>
      <w:r w:rsidR="00F33FAA" w:rsidRPr="00F25744">
        <w:rPr>
          <w:rFonts w:cs="David" w:hint="cs"/>
          <w:sz w:val="24"/>
          <w:szCs w:val="24"/>
          <w:rtl/>
        </w:rPr>
        <w:t>ת</w:t>
      </w:r>
      <w:r w:rsidR="001D0822" w:rsidRPr="00F25744">
        <w:rPr>
          <w:rFonts w:cs="David" w:hint="cs"/>
          <w:sz w:val="24"/>
          <w:szCs w:val="24"/>
          <w:rtl/>
        </w:rPr>
        <w:t xml:space="preserve"> באופן מהימן את עבודת המערכת בכללותה ואת העומס המוטל עליה, ו</w:t>
      </w:r>
      <w:r w:rsidR="00F33FAA" w:rsidRPr="00F25744">
        <w:rPr>
          <w:rFonts w:cs="David" w:hint="cs"/>
          <w:sz w:val="24"/>
          <w:szCs w:val="24"/>
          <w:rtl/>
        </w:rPr>
        <w:t>ת</w:t>
      </w:r>
      <w:r w:rsidR="001D0822" w:rsidRPr="00F25744">
        <w:rPr>
          <w:rFonts w:cs="David" w:hint="cs"/>
          <w:sz w:val="24"/>
          <w:szCs w:val="24"/>
          <w:rtl/>
        </w:rPr>
        <w:t xml:space="preserve">שמש היטב לצרכים הניהוליים השונים של המערכת בשנים הקרובות. </w:t>
      </w:r>
    </w:p>
    <w:p w14:paraId="60BC9773" w14:textId="77777777" w:rsidR="005317AA" w:rsidRPr="00F25744" w:rsidRDefault="00E25AE7" w:rsidP="008336F3">
      <w:pPr>
        <w:numPr>
          <w:ilvl w:val="0"/>
          <w:numId w:val="26"/>
        </w:numPr>
        <w:spacing w:before="120" w:after="0" w:line="360" w:lineRule="auto"/>
        <w:ind w:left="284" w:hanging="284"/>
        <w:jc w:val="both"/>
        <w:rPr>
          <w:rFonts w:cs="David"/>
          <w:sz w:val="24"/>
          <w:szCs w:val="24"/>
        </w:rPr>
      </w:pPr>
      <w:r w:rsidRPr="00F25744">
        <w:rPr>
          <w:rFonts w:cs="David" w:hint="cs"/>
          <w:b/>
          <w:bCs/>
          <w:sz w:val="24"/>
          <w:szCs w:val="24"/>
          <w:rtl/>
        </w:rPr>
        <w:t>נתוני נט המשפט</w:t>
      </w:r>
      <w:r w:rsidRPr="00F25744">
        <w:rPr>
          <w:rFonts w:cs="David" w:hint="cs"/>
          <w:sz w:val="24"/>
          <w:szCs w:val="24"/>
          <w:rtl/>
        </w:rPr>
        <w:t xml:space="preserve"> - חלק גדול מנתוני מחקר זה, בעיקר נתונים הנוגעים כאמור לשכיחות או לכמויות אירועים מסוימים בתיקים, נשלפו מ</w:t>
      </w:r>
      <w:r w:rsidRPr="00F25744">
        <w:rPr>
          <w:rFonts w:cs="David" w:hint="cs"/>
          <w:b/>
          <w:bCs/>
          <w:sz w:val="24"/>
          <w:szCs w:val="24"/>
          <w:rtl/>
        </w:rPr>
        <w:t>מערכת נט המשפט</w:t>
      </w:r>
      <w:r w:rsidRPr="00F25744">
        <w:rPr>
          <w:rFonts w:cs="David" w:hint="cs"/>
          <w:sz w:val="24"/>
          <w:szCs w:val="24"/>
          <w:rtl/>
        </w:rPr>
        <w:t xml:space="preserve">. מערכת זו, מעבר לניהול התיקים השונים ברמה השיפוטית, מספקת כלים לאיסוף ולפילוח נתונים על אודות התיקים השונים המתנהלים במערכת, בחלוקה לערכאות, למחוזות, לתקופות, לסוגי תיקים, לסוגי עניין ועוד. לפיכך, כל מחקר שייערך על מערכת המשפט, בין אם על ידי מחלקת המחקר או מחקרים פנימיים אחרים ובין אם </w:t>
      </w:r>
      <w:r w:rsidRPr="00F25744">
        <w:rPr>
          <w:rFonts w:cs="David" w:hint="cs"/>
          <w:sz w:val="24"/>
          <w:szCs w:val="24"/>
          <w:rtl/>
        </w:rPr>
        <w:lastRenderedPageBreak/>
        <w:t xml:space="preserve">מחקרים חיצוניים שייערכו על ידי האקדמיה למשל, בהכרח יתבסס בחלקו על נתונים שיישאבו מנט המשפט. מכאן החשיבות העצומה שקיימת </w:t>
      </w:r>
      <w:r w:rsidRPr="00F25744">
        <w:rPr>
          <w:rFonts w:cs="David" w:hint="cs"/>
          <w:b/>
          <w:bCs/>
          <w:sz w:val="24"/>
          <w:szCs w:val="24"/>
          <w:rtl/>
        </w:rPr>
        <w:t>לשיפור וטיוב הנתונים ואופן איסופם על ידי המערכת</w:t>
      </w:r>
      <w:r w:rsidRPr="00F25744">
        <w:rPr>
          <w:rFonts w:cs="David" w:hint="cs"/>
          <w:sz w:val="24"/>
          <w:szCs w:val="24"/>
          <w:rtl/>
        </w:rPr>
        <w:t xml:space="preserve">. </w:t>
      </w:r>
    </w:p>
    <w:p w14:paraId="3E0AF902" w14:textId="77777777" w:rsidR="005317AA" w:rsidRPr="00F25744" w:rsidRDefault="00E25AE7" w:rsidP="008336F3">
      <w:pPr>
        <w:spacing w:before="120" w:after="0" w:line="360" w:lineRule="auto"/>
        <w:ind w:left="284"/>
        <w:jc w:val="both"/>
        <w:rPr>
          <w:rFonts w:cs="David"/>
          <w:sz w:val="24"/>
          <w:szCs w:val="24"/>
        </w:rPr>
      </w:pPr>
      <w:r w:rsidRPr="00F25744">
        <w:rPr>
          <w:rFonts w:cs="David" w:hint="cs"/>
          <w:sz w:val="24"/>
          <w:szCs w:val="24"/>
          <w:rtl/>
        </w:rPr>
        <w:t>להלן נציג כמה נקודות עיקריות שבהן מחלקת המחקר נתקלה בקשיים המונעים שימוש בנתוני נט המשפט כפי שהם. מחלקת המחקר סבורה שהכרחי לבצע לגביהן טיוב באופן סיווג הנתונים ובקריטריונים המוגדרים בנט המשפט, כדי שניתן יהיה להשתמש בנתוני נט המשפט לצורך מחקרים עתידיים ולשיפור פעולתה של המערכת:</w:t>
      </w:r>
    </w:p>
    <w:p w14:paraId="45FFA096" w14:textId="77777777" w:rsidR="005317AA" w:rsidRPr="00F25744" w:rsidRDefault="00E25AE7" w:rsidP="008336F3">
      <w:pPr>
        <w:numPr>
          <w:ilvl w:val="0"/>
          <w:numId w:val="44"/>
        </w:numPr>
        <w:spacing w:before="120" w:after="0" w:line="360" w:lineRule="auto"/>
        <w:jc w:val="both"/>
        <w:rPr>
          <w:rFonts w:cs="David"/>
          <w:sz w:val="24"/>
          <w:szCs w:val="24"/>
        </w:rPr>
      </w:pPr>
      <w:r w:rsidRPr="00F25744">
        <w:rPr>
          <w:rFonts w:cs="David" w:hint="cs"/>
          <w:b/>
          <w:bCs/>
          <w:sz w:val="24"/>
          <w:szCs w:val="24"/>
          <w:rtl/>
        </w:rPr>
        <w:t>סיבות הסגירה</w:t>
      </w:r>
      <w:r w:rsidRPr="00F25744">
        <w:rPr>
          <w:rFonts w:cs="David" w:hint="cs"/>
          <w:sz w:val="24"/>
          <w:szCs w:val="24"/>
          <w:rtl/>
        </w:rPr>
        <w:t xml:space="preserve"> - כפי שהוסבר בפרק המתודולוגיה במחקר זה, כחלק מאיסוף הנתונים לקראת המחקר ביצעה מחלקת המחקר מעין מחקר ביניים בנושא סיבות הסגירה של התיקים השונים </w:t>
      </w:r>
      <w:r w:rsidRPr="00F25744">
        <w:rPr>
          <w:rFonts w:cs="David"/>
          <w:sz w:val="24"/>
          <w:szCs w:val="24"/>
          <w:rtl/>
        </w:rPr>
        <w:t>–</w:t>
      </w:r>
      <w:r w:rsidRPr="00F25744">
        <w:rPr>
          <w:rFonts w:cs="David" w:hint="cs"/>
          <w:sz w:val="24"/>
          <w:szCs w:val="24"/>
          <w:rtl/>
        </w:rPr>
        <w:t xml:space="preserve"> כלומר, מה ההסתברות למתן פסקי הדין השונים בכל סוג תיק </w:t>
      </w:r>
      <w:r w:rsidRPr="00F25744">
        <w:rPr>
          <w:rFonts w:cs="David"/>
          <w:sz w:val="24"/>
          <w:szCs w:val="24"/>
          <w:rtl/>
        </w:rPr>
        <w:t>–</w:t>
      </w:r>
      <w:r w:rsidRPr="00F25744">
        <w:rPr>
          <w:rFonts w:cs="David" w:hint="cs"/>
          <w:sz w:val="24"/>
          <w:szCs w:val="24"/>
          <w:rtl/>
        </w:rPr>
        <w:t xml:space="preserve"> פסק דין מנומק, פסק דין מסיבה טכנית, פסק דין על דרך הפשרה, מתן תוקף להסדר טיעון וכיו"ב. הצורך בביצוע מחקר זה עלה משום שסיבות הסגירה המסווגות במערכת נט המשפט אינן מהימנות: קיימת רשימה ארוכה של סיבות סגירה במערכת, חלקן לא קיימות או חופפות זו לזו, ולעתים סיבות הסגירה המוזנות למערכת אינן תואמות את סיבות הסגירה האמתיות, מסיבות שונות. על כן נאלצה מחלקת המחקר להקדיש תשומות גדולות של זמן ומשאבים על מנת לערוך מחקר מדגמי להסתברויות הסגירה השונות. מחקר זה היה נחסך לו הסיווג של סיבות הסגירה בנט המשפט היה מהימן ומשקף את סיבת הסגירה בפועל (פירוט על כך ניתן למצוא בפרק המתודולוגיה). במסגרת הניסיון לשפר את הליכי העבודה גיבשה מחלקת המחקר רשימה מצומצמת של סיבות סגירה. זאת, בכדי להקל על עבודת המזכירות בבחירה מבין סיבות הסגירה השונות. נושא זה נמצא בעבודה, ולכשיוחלט ליישמו, ניתן יהיה לבצע מחקר שיבחן את השלכות ואופן יישומו של טיוב זה, בין היתר על טיב מאגרי הנתונים שניתן להפיק מנט המשפט.  </w:t>
      </w:r>
    </w:p>
    <w:p w14:paraId="7AC072AE" w14:textId="77777777" w:rsidR="005317AA" w:rsidRPr="00F25744" w:rsidRDefault="00E25AE7" w:rsidP="00E366D0">
      <w:pPr>
        <w:numPr>
          <w:ilvl w:val="0"/>
          <w:numId w:val="44"/>
        </w:numPr>
        <w:spacing w:before="120" w:after="0" w:line="360" w:lineRule="auto"/>
        <w:ind w:left="650" w:hanging="283"/>
        <w:jc w:val="both"/>
        <w:rPr>
          <w:rFonts w:cs="David"/>
          <w:sz w:val="24"/>
          <w:szCs w:val="24"/>
          <w:rtl/>
        </w:rPr>
      </w:pPr>
      <w:r w:rsidRPr="00F25744">
        <w:rPr>
          <w:rFonts w:cs="David" w:hint="cs"/>
          <w:sz w:val="24"/>
          <w:szCs w:val="24"/>
          <w:rtl/>
        </w:rPr>
        <w:t xml:space="preserve">רשימת </w:t>
      </w:r>
      <w:r w:rsidRPr="00F25744">
        <w:rPr>
          <w:rFonts w:cs="David" w:hint="cs"/>
          <w:b/>
          <w:bCs/>
          <w:sz w:val="24"/>
          <w:szCs w:val="24"/>
          <w:rtl/>
        </w:rPr>
        <w:t>סוגי העניין</w:t>
      </w:r>
      <w:r w:rsidRPr="00F25744">
        <w:rPr>
          <w:rFonts w:cs="David" w:hint="cs"/>
          <w:sz w:val="24"/>
          <w:szCs w:val="24"/>
          <w:rtl/>
        </w:rPr>
        <w:t xml:space="preserve"> </w:t>
      </w:r>
      <w:r w:rsidRPr="00F25744">
        <w:rPr>
          <w:rFonts w:cs="David"/>
          <w:sz w:val="24"/>
          <w:szCs w:val="24"/>
        </w:rPr>
        <w:t>–</w:t>
      </w:r>
      <w:r w:rsidRPr="00F25744">
        <w:rPr>
          <w:rFonts w:cs="David" w:hint="cs"/>
          <w:sz w:val="24"/>
          <w:szCs w:val="24"/>
          <w:rtl/>
        </w:rPr>
        <w:t xml:space="preserve"> כפי שעלה במהלך מחקר זה, לגבי תיקי הת"א, אחת הבקשות העיקריות שעלו מהשופטים הייתה לתת זמנים נפרדים לסוגי העניין השונים במערכת נט המשפט. מאחר שלא הייתה הסכמה בין הנשיאים על סוגי העניין שלהם חשוב לתת זמנים נפרדים, הנחינו את השופטים במסגרת המחקר לתעד, לגבי כל פעולה שיפוטית של כתיבה או הכנה לדיון שנעשתה בתיק ת"א, את סוג העניין כפי שהוא מופיע בנט המשפט, ואת הקלדניות הנחינו לעשות כך לגבי תיעוד הדיונים עצמם. לאחר המחקר, ובעצה אחת עם שופטי מחוזי ושלום, ניסינו לזהות ולקבץ את סוגי העניין המרכזיים. משימה זו התבררה כמשימה לא פשוטה כלל ועיקר, שכן רשימת סוגי העניין המוגדרים בנט המשפט תחת תיק ת"א מחוזי כוללת 30 סוגי עניין שונים, ובתיק ת"א שלום מוגדרים למעלה מ-40 סוגי עניין. חלק מסוגי העניין הללו חופפים, חלקם לא ברורים, ואף השופטים שעמם התייעצנו ואשר עוסקים בתיקים אזרחיים לא הכירו את כל סוגי העניין הללו. בסופו של דבר קיבצנו את סוגי העניין לש</w:t>
      </w:r>
      <w:r w:rsidR="007B49CE" w:rsidRPr="00F25744">
        <w:rPr>
          <w:rFonts w:cs="David" w:hint="cs"/>
          <w:sz w:val="24"/>
          <w:szCs w:val="24"/>
          <w:rtl/>
        </w:rPr>
        <w:t>בע</w:t>
      </w:r>
      <w:r w:rsidRPr="00F25744">
        <w:rPr>
          <w:rFonts w:cs="David" w:hint="cs"/>
          <w:sz w:val="24"/>
          <w:szCs w:val="24"/>
          <w:rtl/>
        </w:rPr>
        <w:t>ה סוגי עניין עיקריים בבתי המשפט המחוזיים, ול-</w:t>
      </w:r>
      <w:r w:rsidR="007B49CE" w:rsidRPr="00F25744">
        <w:rPr>
          <w:rFonts w:cs="David" w:hint="cs"/>
          <w:sz w:val="24"/>
          <w:szCs w:val="24"/>
          <w:rtl/>
        </w:rPr>
        <w:t>15</w:t>
      </w:r>
      <w:r w:rsidRPr="00F25744">
        <w:rPr>
          <w:rFonts w:cs="David" w:hint="cs"/>
          <w:sz w:val="24"/>
          <w:szCs w:val="24"/>
          <w:rtl/>
        </w:rPr>
        <w:t xml:space="preserve"> סוגי עניין עיקריים בבתי משפט השלום. גם כאן, נדרשת עבודת שיפור וטיוב </w:t>
      </w:r>
      <w:r w:rsidR="00E366D0" w:rsidRPr="00F25744">
        <w:rPr>
          <w:rFonts w:cs="David" w:hint="cs"/>
          <w:sz w:val="24"/>
          <w:szCs w:val="24"/>
          <w:rtl/>
        </w:rPr>
        <w:t>שבמסגרתה תצומצם משמעותית רשימת סוגי העניין</w:t>
      </w:r>
      <w:r w:rsidRPr="00F25744">
        <w:rPr>
          <w:rFonts w:cs="David" w:hint="cs"/>
          <w:sz w:val="24"/>
          <w:szCs w:val="24"/>
          <w:rtl/>
        </w:rPr>
        <w:t>,</w:t>
      </w:r>
      <w:r w:rsidR="0099446B" w:rsidRPr="00F25744">
        <w:rPr>
          <w:rFonts w:cs="David" w:hint="cs"/>
          <w:sz w:val="24"/>
          <w:szCs w:val="24"/>
          <w:rtl/>
        </w:rPr>
        <w:t xml:space="preserve"> ו</w:t>
      </w:r>
      <w:r w:rsidR="00E366D0" w:rsidRPr="00F25744">
        <w:rPr>
          <w:rFonts w:cs="David" w:hint="cs"/>
          <w:sz w:val="24"/>
          <w:szCs w:val="24"/>
          <w:rtl/>
        </w:rPr>
        <w:t xml:space="preserve">יימחקו </w:t>
      </w:r>
      <w:r w:rsidR="0099446B" w:rsidRPr="00F25744">
        <w:rPr>
          <w:rFonts w:cs="David" w:hint="cs"/>
          <w:sz w:val="24"/>
          <w:szCs w:val="24"/>
          <w:rtl/>
        </w:rPr>
        <w:t>סוגי עניין המהווים מעין "סל"</w:t>
      </w:r>
      <w:r w:rsidR="00E366D0" w:rsidRPr="00F25744">
        <w:rPr>
          <w:rFonts w:cs="David" w:hint="cs"/>
          <w:sz w:val="24"/>
          <w:szCs w:val="24"/>
          <w:rtl/>
        </w:rPr>
        <w:t>,</w:t>
      </w:r>
      <w:r w:rsidR="0099446B" w:rsidRPr="00F25744">
        <w:rPr>
          <w:rFonts w:cs="David" w:hint="cs"/>
          <w:sz w:val="24"/>
          <w:szCs w:val="24"/>
          <w:rtl/>
        </w:rPr>
        <w:t xml:space="preserve"> </w:t>
      </w:r>
      <w:r w:rsidR="00E366D0" w:rsidRPr="00F25744">
        <w:rPr>
          <w:rFonts w:cs="David" w:hint="cs"/>
          <w:sz w:val="24"/>
          <w:szCs w:val="24"/>
          <w:rtl/>
        </w:rPr>
        <w:t>וכך לאפשר</w:t>
      </w:r>
      <w:r w:rsidR="0099446B" w:rsidRPr="00F25744">
        <w:rPr>
          <w:rFonts w:cs="David" w:hint="cs"/>
          <w:sz w:val="24"/>
          <w:szCs w:val="24"/>
          <w:rtl/>
        </w:rPr>
        <w:t xml:space="preserve"> למחלקת המחקר ול</w:t>
      </w:r>
      <w:r w:rsidR="00E366D0" w:rsidRPr="00F25744">
        <w:rPr>
          <w:rFonts w:cs="David" w:hint="cs"/>
          <w:sz w:val="24"/>
          <w:szCs w:val="24"/>
          <w:rtl/>
        </w:rPr>
        <w:t xml:space="preserve">גורמים נוספים </w:t>
      </w:r>
      <w:r w:rsidRPr="00F25744">
        <w:rPr>
          <w:rFonts w:cs="David" w:hint="cs"/>
          <w:sz w:val="24"/>
          <w:szCs w:val="24"/>
          <w:rtl/>
        </w:rPr>
        <w:t>לדלות מנט המשפט נתונים מהימנים לצרכים השונים של המערכת.</w:t>
      </w:r>
    </w:p>
    <w:p w14:paraId="43FC7565" w14:textId="0346D564" w:rsidR="0099446B" w:rsidRPr="00F25744" w:rsidRDefault="0099446B" w:rsidP="00AA7EDC">
      <w:pPr>
        <w:spacing w:before="120" w:after="0" w:line="360" w:lineRule="auto"/>
        <w:ind w:left="650"/>
        <w:jc w:val="both"/>
        <w:rPr>
          <w:rFonts w:cs="David"/>
          <w:sz w:val="24"/>
          <w:szCs w:val="24"/>
          <w:rtl/>
        </w:rPr>
      </w:pPr>
      <w:r w:rsidRPr="00F25744">
        <w:rPr>
          <w:rFonts w:cs="David" w:hint="cs"/>
          <w:sz w:val="24"/>
          <w:szCs w:val="24"/>
          <w:rtl/>
        </w:rPr>
        <w:lastRenderedPageBreak/>
        <w:t>על האמור נוסיף, כי במהלך המחקר, ובמיוחד במסגרת מהלכי התיקוף שבוצעו לאחריו, העלו השופטים</w:t>
      </w:r>
      <w:r w:rsidR="009C4316" w:rsidRPr="00F25744">
        <w:rPr>
          <w:rFonts w:cs="David" w:hint="cs"/>
          <w:sz w:val="24"/>
          <w:szCs w:val="24"/>
          <w:rtl/>
        </w:rPr>
        <w:t xml:space="preserve"> סוגי תיקים נוספים שבהם קיימת שונות רבה בין סוגי העניין השונים בהם מבחינת זמני הטיפול,</w:t>
      </w:r>
      <w:r w:rsidRPr="00F25744">
        <w:rPr>
          <w:rFonts w:cs="David" w:hint="cs"/>
          <w:sz w:val="24"/>
          <w:szCs w:val="24"/>
          <w:rtl/>
        </w:rPr>
        <w:t xml:space="preserve"> למשל </w:t>
      </w:r>
      <w:r w:rsidR="009C4316" w:rsidRPr="00F25744">
        <w:rPr>
          <w:rFonts w:cs="David" w:hint="cs"/>
          <w:sz w:val="24"/>
          <w:szCs w:val="24"/>
          <w:rtl/>
        </w:rPr>
        <w:t xml:space="preserve">עתירות מנהליות לסוגיהן השונים, </w:t>
      </w:r>
      <w:r w:rsidRPr="00F25744">
        <w:rPr>
          <w:rFonts w:cs="David" w:hint="cs"/>
          <w:sz w:val="24"/>
          <w:szCs w:val="24"/>
          <w:rtl/>
        </w:rPr>
        <w:t xml:space="preserve">תיקי </w:t>
      </w:r>
      <w:r w:rsidR="00384CDE" w:rsidRPr="00F25744">
        <w:rPr>
          <w:rFonts w:cs="David" w:hint="cs"/>
          <w:sz w:val="24"/>
          <w:szCs w:val="24"/>
          <w:rtl/>
        </w:rPr>
        <w:t>ת</w:t>
      </w:r>
      <w:r w:rsidRPr="00F25744">
        <w:rPr>
          <w:rFonts w:cs="David" w:hint="cs"/>
          <w:sz w:val="24"/>
          <w:szCs w:val="24"/>
          <w:rtl/>
        </w:rPr>
        <w:t xml:space="preserve">מ"ש ות"ע (תיק עזבונות) בבתי המשפט לענייני משפחה ועוד. עם זאת, במסגרת מחקר </w:t>
      </w:r>
      <w:r w:rsidR="00AA7EDC" w:rsidRPr="00F25744">
        <w:rPr>
          <w:rFonts w:cs="David" w:hint="cs"/>
          <w:sz w:val="24"/>
          <w:szCs w:val="24"/>
          <w:rtl/>
        </w:rPr>
        <w:t>של</w:t>
      </w:r>
      <w:r w:rsidRPr="00F25744">
        <w:rPr>
          <w:rFonts w:cs="David" w:hint="cs"/>
          <w:sz w:val="24"/>
          <w:szCs w:val="24"/>
          <w:rtl/>
        </w:rPr>
        <w:t xml:space="preserve"> חמישה שבועות לא ניתן היה לבחון את סוגי העניין השונים בסוגי תיקים נוספים, </w:t>
      </w:r>
      <w:r w:rsidR="00F02B27" w:rsidRPr="00F25744">
        <w:rPr>
          <w:rFonts w:cs="David" w:hint="cs"/>
          <w:sz w:val="24"/>
          <w:szCs w:val="24"/>
          <w:rtl/>
        </w:rPr>
        <w:t xml:space="preserve">אפילו אם </w:t>
      </w:r>
      <w:r w:rsidRPr="00F25744">
        <w:rPr>
          <w:rFonts w:cs="David" w:hint="cs"/>
          <w:sz w:val="24"/>
          <w:szCs w:val="24"/>
          <w:rtl/>
        </w:rPr>
        <w:t xml:space="preserve">רשימת סוגי העניין המוגדרת כיום בנט המשפט </w:t>
      </w:r>
      <w:r w:rsidR="00E366D0" w:rsidRPr="00F25744">
        <w:rPr>
          <w:rFonts w:cs="David" w:hint="cs"/>
          <w:sz w:val="24"/>
          <w:szCs w:val="24"/>
          <w:rtl/>
        </w:rPr>
        <w:t>הייתה</w:t>
      </w:r>
      <w:r w:rsidRPr="00F25744">
        <w:rPr>
          <w:rFonts w:cs="David" w:hint="cs"/>
          <w:sz w:val="24"/>
          <w:szCs w:val="24"/>
          <w:rtl/>
        </w:rPr>
        <w:t xml:space="preserve"> משקפת </w:t>
      </w:r>
      <w:r w:rsidR="009C4316" w:rsidRPr="00F25744">
        <w:rPr>
          <w:rFonts w:cs="David" w:hint="cs"/>
          <w:sz w:val="24"/>
          <w:szCs w:val="24"/>
          <w:rtl/>
        </w:rPr>
        <w:t xml:space="preserve">נכונה </w:t>
      </w:r>
      <w:r w:rsidRPr="00F25744">
        <w:rPr>
          <w:rFonts w:cs="David" w:hint="cs"/>
          <w:sz w:val="24"/>
          <w:szCs w:val="24"/>
          <w:rtl/>
        </w:rPr>
        <w:t xml:space="preserve">את </w:t>
      </w:r>
      <w:r w:rsidR="00E366D0" w:rsidRPr="00F25744">
        <w:rPr>
          <w:rFonts w:cs="David" w:hint="cs"/>
          <w:sz w:val="24"/>
          <w:szCs w:val="24"/>
          <w:rtl/>
        </w:rPr>
        <w:t xml:space="preserve">כל </w:t>
      </w:r>
      <w:r w:rsidRPr="00F25744">
        <w:rPr>
          <w:rFonts w:cs="David" w:hint="cs"/>
          <w:sz w:val="24"/>
          <w:szCs w:val="24"/>
          <w:rtl/>
        </w:rPr>
        <w:t xml:space="preserve">סוגי העניין השונים הללו. </w:t>
      </w:r>
    </w:p>
    <w:p w14:paraId="47308B04" w14:textId="2BB146FE" w:rsidR="00E366D0" w:rsidRPr="00F25744" w:rsidRDefault="00E366D0" w:rsidP="00AA7EDC">
      <w:pPr>
        <w:spacing w:before="120" w:after="0" w:line="360" w:lineRule="auto"/>
        <w:ind w:left="650"/>
        <w:jc w:val="both"/>
        <w:rPr>
          <w:rFonts w:cs="David"/>
          <w:sz w:val="24"/>
          <w:szCs w:val="24"/>
          <w:rtl/>
        </w:rPr>
      </w:pPr>
      <w:r w:rsidRPr="00F25744">
        <w:rPr>
          <w:rFonts w:cs="David" w:hint="cs"/>
          <w:sz w:val="24"/>
          <w:szCs w:val="24"/>
          <w:rtl/>
        </w:rPr>
        <w:t xml:space="preserve">על כן, בעת חידוש מחקר זה, בהנחה שרשימת סוגי העניין </w:t>
      </w:r>
      <w:r w:rsidR="00AA7EDC" w:rsidRPr="00F25744">
        <w:rPr>
          <w:rFonts w:cs="David" w:hint="cs"/>
          <w:sz w:val="24"/>
          <w:szCs w:val="24"/>
          <w:rtl/>
        </w:rPr>
        <w:t>תוגדר</w:t>
      </w:r>
      <w:r w:rsidRPr="00F25744">
        <w:rPr>
          <w:rFonts w:cs="David" w:hint="cs"/>
          <w:sz w:val="24"/>
          <w:szCs w:val="24"/>
          <w:rtl/>
        </w:rPr>
        <w:t xml:space="preserve"> בצורה מספקת, כדאי יהיה להרחיב את המחקר לסוגי עניין נוספים.</w:t>
      </w:r>
    </w:p>
    <w:p w14:paraId="2C5204CD" w14:textId="600DBE1E" w:rsidR="005317AA" w:rsidRPr="00F25744" w:rsidRDefault="00E25AE7" w:rsidP="00061AC4">
      <w:pPr>
        <w:numPr>
          <w:ilvl w:val="0"/>
          <w:numId w:val="44"/>
        </w:numPr>
        <w:spacing w:before="120" w:after="0" w:line="360" w:lineRule="auto"/>
        <w:jc w:val="both"/>
        <w:rPr>
          <w:rFonts w:cs="David"/>
          <w:sz w:val="24"/>
          <w:szCs w:val="24"/>
        </w:rPr>
      </w:pPr>
      <w:r w:rsidRPr="00F25744">
        <w:rPr>
          <w:rFonts w:cs="David" w:hint="cs"/>
          <w:b/>
          <w:bCs/>
          <w:sz w:val="24"/>
          <w:szCs w:val="24"/>
          <w:rtl/>
        </w:rPr>
        <w:t>תיקים מאוחדים</w:t>
      </w:r>
      <w:r w:rsidRPr="00F25744">
        <w:rPr>
          <w:rFonts w:cs="David" w:hint="cs"/>
          <w:sz w:val="24"/>
          <w:szCs w:val="24"/>
          <w:rtl/>
        </w:rPr>
        <w:t xml:space="preserve"> - טיוב נוסף יש לערוך ב</w:t>
      </w:r>
      <w:r w:rsidR="00A45DFD" w:rsidRPr="00F25744">
        <w:rPr>
          <w:rFonts w:cs="David" w:hint="cs"/>
          <w:sz w:val="24"/>
          <w:szCs w:val="24"/>
          <w:rtl/>
        </w:rPr>
        <w:t xml:space="preserve">אמצעות גיבוש </w:t>
      </w:r>
      <w:r w:rsidRPr="00F25744">
        <w:rPr>
          <w:rFonts w:cs="David" w:hint="cs"/>
          <w:sz w:val="24"/>
          <w:szCs w:val="24"/>
          <w:rtl/>
        </w:rPr>
        <w:t>נוהל עבודה מסודר לשופטים</w:t>
      </w:r>
      <w:r w:rsidR="00A45DFD" w:rsidRPr="00F25744">
        <w:rPr>
          <w:rFonts w:cs="David" w:hint="cs"/>
          <w:sz w:val="24"/>
          <w:szCs w:val="24"/>
          <w:rtl/>
        </w:rPr>
        <w:t>,</w:t>
      </w:r>
      <w:r w:rsidRPr="00F25744">
        <w:rPr>
          <w:rFonts w:cs="David" w:hint="cs"/>
          <w:sz w:val="24"/>
          <w:szCs w:val="24"/>
          <w:rtl/>
        </w:rPr>
        <w:t xml:space="preserve"> לרשמים ולצוותיהם בכל הנוגע ל</w:t>
      </w:r>
      <w:r w:rsidRPr="00F25744">
        <w:rPr>
          <w:rFonts w:cs="David" w:hint="cs"/>
          <w:b/>
          <w:bCs/>
          <w:sz w:val="24"/>
          <w:szCs w:val="24"/>
          <w:rtl/>
        </w:rPr>
        <w:t>טיפול בתיקים מאוחדים</w:t>
      </w:r>
      <w:r w:rsidRPr="00F25744">
        <w:rPr>
          <w:rFonts w:cs="David" w:hint="cs"/>
          <w:sz w:val="24"/>
          <w:szCs w:val="24"/>
          <w:rtl/>
        </w:rPr>
        <w:t xml:space="preserve">, ובמיוחד יש לשים את הדגש על כתיבת מספרי </w:t>
      </w:r>
      <w:r w:rsidRPr="00F25744">
        <w:rPr>
          <w:rFonts w:cs="David" w:hint="cs"/>
          <w:sz w:val="24"/>
          <w:szCs w:val="24"/>
          <w:u w:val="single"/>
          <w:rtl/>
        </w:rPr>
        <w:t>כל</w:t>
      </w:r>
      <w:r w:rsidRPr="00F25744">
        <w:rPr>
          <w:rFonts w:cs="David" w:hint="cs"/>
          <w:sz w:val="24"/>
          <w:szCs w:val="24"/>
          <w:rtl/>
        </w:rPr>
        <w:t xml:space="preserve"> התיקים שאליהם מתייחסת ההחלטה או פסק הדין. באופן זה ניתן יהיה לתת משקל נכון יותר לתיקים מאוחדים לצרכים </w:t>
      </w:r>
      <w:r w:rsidR="00A45DFD" w:rsidRPr="00F25744">
        <w:rPr>
          <w:rFonts w:cs="David" w:hint="cs"/>
          <w:sz w:val="24"/>
          <w:szCs w:val="24"/>
          <w:rtl/>
        </w:rPr>
        <w:t>ה</w:t>
      </w:r>
      <w:r w:rsidRPr="00F25744">
        <w:rPr>
          <w:rFonts w:cs="David" w:hint="cs"/>
          <w:sz w:val="24"/>
          <w:szCs w:val="24"/>
          <w:rtl/>
        </w:rPr>
        <w:t>שונים</w:t>
      </w:r>
      <w:r w:rsidR="00A45DFD" w:rsidRPr="00F25744">
        <w:rPr>
          <w:rFonts w:cs="David" w:hint="cs"/>
          <w:sz w:val="24"/>
          <w:szCs w:val="24"/>
          <w:rtl/>
        </w:rPr>
        <w:t xml:space="preserve"> של המערכת</w:t>
      </w:r>
      <w:r w:rsidRPr="00F25744">
        <w:rPr>
          <w:rFonts w:cs="David" w:hint="cs"/>
          <w:sz w:val="24"/>
          <w:szCs w:val="24"/>
          <w:rtl/>
        </w:rPr>
        <w:t xml:space="preserve">. במסגרת מחקר זה ניתנה התייחסות מסוימת לסוגיה זו, בהצגת זמני הטיפול בתיק בחלוקה למספר התיקים הנסגרים בכל פסק דין בממוצע (ראו </w:t>
      </w:r>
      <w:r w:rsidRPr="00F25744">
        <w:rPr>
          <w:rFonts w:cs="David" w:hint="cs"/>
          <w:b/>
          <w:bCs/>
          <w:sz w:val="24"/>
          <w:szCs w:val="24"/>
          <w:rtl/>
        </w:rPr>
        <w:t xml:space="preserve">נספח </w:t>
      </w:r>
      <w:r w:rsidR="00061AC4">
        <w:rPr>
          <w:rFonts w:cs="David" w:hint="cs"/>
          <w:b/>
          <w:bCs/>
          <w:sz w:val="24"/>
          <w:szCs w:val="24"/>
          <w:rtl/>
        </w:rPr>
        <w:t>ח</w:t>
      </w:r>
      <w:r w:rsidRPr="00F25744">
        <w:rPr>
          <w:rFonts w:cs="David" w:hint="cs"/>
          <w:sz w:val="24"/>
          <w:szCs w:val="24"/>
          <w:rtl/>
        </w:rPr>
        <w:t xml:space="preserve">'). חישוב זה נעשה, כפי שהוסבר בתת הפרק שעסק במחקר סיבות הסגירה בפרק המתודולוגיה, על בסיס קריאה מדגמית של תיקים, וחילוץ מספר התיקים שכל פסק דין סוגר מכותרת </w:t>
      </w:r>
      <w:r w:rsidR="00A45DFD" w:rsidRPr="00F25744">
        <w:rPr>
          <w:rFonts w:cs="David" w:hint="cs"/>
          <w:sz w:val="24"/>
          <w:szCs w:val="24"/>
          <w:rtl/>
        </w:rPr>
        <w:t>פסק הדין</w:t>
      </w:r>
      <w:r w:rsidRPr="00F25744">
        <w:rPr>
          <w:rFonts w:cs="David" w:hint="cs"/>
          <w:sz w:val="24"/>
          <w:szCs w:val="24"/>
          <w:rtl/>
        </w:rPr>
        <w:t xml:space="preserve">, אולם לא ניתן היה לחלץ נתון זה במקרה שבכותרת פסק הדין בתיק מאוחד לא נרשמו מספרי כל התיקים המאוחדים. </w:t>
      </w:r>
    </w:p>
    <w:p w14:paraId="618EF8F9" w14:textId="77777777" w:rsidR="005317AA" w:rsidRPr="00F25744" w:rsidRDefault="00E25AE7" w:rsidP="008336F3">
      <w:pPr>
        <w:numPr>
          <w:ilvl w:val="0"/>
          <w:numId w:val="44"/>
        </w:numPr>
        <w:spacing w:before="120" w:after="0" w:line="360" w:lineRule="auto"/>
        <w:jc w:val="both"/>
        <w:rPr>
          <w:rFonts w:cs="David"/>
          <w:sz w:val="24"/>
          <w:szCs w:val="24"/>
        </w:rPr>
      </w:pPr>
      <w:r w:rsidRPr="00F25744">
        <w:rPr>
          <w:rFonts w:cs="David" w:hint="cs"/>
          <w:b/>
          <w:bCs/>
          <w:sz w:val="24"/>
          <w:szCs w:val="24"/>
          <w:rtl/>
        </w:rPr>
        <w:t>סיווג פסק</w:t>
      </w:r>
      <w:r w:rsidR="009A2F98" w:rsidRPr="00F25744">
        <w:rPr>
          <w:rFonts w:cs="David" w:hint="cs"/>
          <w:b/>
          <w:bCs/>
          <w:sz w:val="24"/>
          <w:szCs w:val="24"/>
          <w:rtl/>
        </w:rPr>
        <w:t>י</w:t>
      </w:r>
      <w:r w:rsidRPr="00F25744">
        <w:rPr>
          <w:rFonts w:cs="David" w:hint="cs"/>
          <w:b/>
          <w:bCs/>
          <w:sz w:val="24"/>
          <w:szCs w:val="24"/>
          <w:rtl/>
        </w:rPr>
        <w:t xml:space="preserve"> דין </w:t>
      </w:r>
      <w:r w:rsidRPr="00F25744">
        <w:rPr>
          <w:rFonts w:cs="David"/>
          <w:sz w:val="24"/>
          <w:szCs w:val="24"/>
          <w:rtl/>
        </w:rPr>
        <w:t>–</w:t>
      </w:r>
      <w:r w:rsidRPr="00F25744">
        <w:rPr>
          <w:rFonts w:cs="David" w:hint="cs"/>
          <w:sz w:val="24"/>
          <w:szCs w:val="24"/>
          <w:rtl/>
        </w:rPr>
        <w:t xml:space="preserve"> תופעה שחוזרת על עצמה בסוגי תיקים רבים במערכת היא סיווג פסק הדין או ההחלטה הסוגרת את התיק כ"החלטה" ולא כ"פסק דין"</w:t>
      </w:r>
      <w:r w:rsidR="00CE6906" w:rsidRPr="00F25744">
        <w:rPr>
          <w:rFonts w:cs="David" w:hint="cs"/>
          <w:sz w:val="24"/>
          <w:szCs w:val="24"/>
          <w:rtl/>
        </w:rPr>
        <w:t xml:space="preserve"> במערכת נט המשפט</w:t>
      </w:r>
      <w:r w:rsidRPr="00F25744">
        <w:rPr>
          <w:rFonts w:cs="David" w:hint="cs"/>
          <w:sz w:val="24"/>
          <w:szCs w:val="24"/>
          <w:rtl/>
        </w:rPr>
        <w:t xml:space="preserve">. תופעה זו שכיחה בעיקר בתיקים שבהם בהחלטה הסופית מופיעה </w:t>
      </w:r>
      <w:r w:rsidR="00EF371C" w:rsidRPr="00F25744">
        <w:rPr>
          <w:rFonts w:cs="David" w:hint="cs"/>
          <w:sz w:val="24"/>
          <w:szCs w:val="24"/>
          <w:rtl/>
        </w:rPr>
        <w:t xml:space="preserve">הכותרת </w:t>
      </w:r>
      <w:r w:rsidRPr="00F25744">
        <w:rPr>
          <w:rFonts w:cs="David" w:hint="cs"/>
          <w:sz w:val="24"/>
          <w:szCs w:val="24"/>
          <w:rtl/>
        </w:rPr>
        <w:t xml:space="preserve">"החלטה" כמו תיקי בקשות או צווים למיניהם, אולם קיימת גם בתיקים אחרים, וגם כאשר כותרת המסמך היא "פסק דין". טעות זו בסיווג פסקי הדין, גורמת לכך שפסקי הדין נמנים במניין ההחלטות בתיק ולא במניין פסקי הדין, ועל כן מעלה את מספר ההחלטות ומורידה בהתאמה את מספר פסקי הדין, וכך מקשה על שליפת הנתונים הן עבור מחקר זה, והן עבור מחקרים עתידיים. </w:t>
      </w:r>
    </w:p>
    <w:p w14:paraId="44F253C1" w14:textId="77777777" w:rsidR="005317AA" w:rsidRPr="00F25744" w:rsidRDefault="00E25AE7" w:rsidP="008336F3">
      <w:pPr>
        <w:spacing w:before="120" w:after="0" w:line="360" w:lineRule="auto"/>
        <w:ind w:left="284"/>
        <w:jc w:val="both"/>
        <w:rPr>
          <w:rFonts w:cs="David"/>
          <w:sz w:val="24"/>
          <w:szCs w:val="24"/>
          <w:rtl/>
        </w:rPr>
      </w:pPr>
      <w:r w:rsidRPr="00F25744">
        <w:rPr>
          <w:rFonts w:cs="David" w:hint="cs"/>
          <w:sz w:val="24"/>
          <w:szCs w:val="24"/>
          <w:rtl/>
        </w:rPr>
        <w:t xml:space="preserve">כאן המקום להדגיש ולחדד, כי עמדת מחלקת המחקר הייתה ונותרה כי ישנה חובה ראשונה במעלה לרתום את כלל משתמשי מערכת נט המשפט - ובכלל זה שופטים, קלדנים ומזכירים - על מנת לטייב את ההזנה של הנתונים למערכת. רק באמצעות הפנמת החשיבות שבהזנת נתונים נכונה ומדויקת, והבנה לתכליתה, יתאפשר מיצוי אמתי של הפוטנציאל העצום שטמון במאגר נתונים כמו זה המרוכז במערכת נט המשפט. המשמעות תהיה שבכל רגע נתון, ללא צורך בהירתמות של השופטים או הקלדניות למילוי דוחות, ניתן יהיה להפיק את מירב המידע הדרוש ממערכת נט המשפט, במגוון של פילוחים, לצורך ניתוחים כמותניים ואיכותניים שיציידו את ראשי המערכת וקובעי המדיניות במידע הדרוש להם לשם קבלת החלטות. </w:t>
      </w:r>
    </w:p>
    <w:p w14:paraId="1F83F127" w14:textId="77777777" w:rsidR="005317AA" w:rsidRPr="00F25744" w:rsidRDefault="00E25AE7" w:rsidP="008336F3">
      <w:pPr>
        <w:numPr>
          <w:ilvl w:val="0"/>
          <w:numId w:val="26"/>
        </w:numPr>
        <w:spacing w:before="120" w:after="0" w:line="360" w:lineRule="auto"/>
        <w:ind w:left="284" w:hanging="284"/>
        <w:jc w:val="both"/>
        <w:rPr>
          <w:rFonts w:cs="David"/>
          <w:sz w:val="24"/>
          <w:szCs w:val="24"/>
        </w:rPr>
      </w:pPr>
      <w:r w:rsidRPr="00F25744">
        <w:rPr>
          <w:rFonts w:cs="David" w:hint="cs"/>
          <w:b/>
          <w:bCs/>
          <w:sz w:val="24"/>
          <w:szCs w:val="24"/>
          <w:rtl/>
        </w:rPr>
        <w:t>היבטים נוספים של עומס</w:t>
      </w:r>
      <w:r w:rsidRPr="00F25744">
        <w:rPr>
          <w:rFonts w:cs="David" w:hint="cs"/>
          <w:sz w:val="24"/>
          <w:szCs w:val="24"/>
          <w:rtl/>
        </w:rPr>
        <w:t xml:space="preserve"> - מחקר זה מציג את הזמנים השיפוטיים הממוצעים הדרושים לטיפול בסוגי התיקים השונים במערכת, אולם </w:t>
      </w:r>
      <w:r w:rsidRPr="00F25744">
        <w:rPr>
          <w:rFonts w:cs="David" w:hint="cs"/>
          <w:b/>
          <w:bCs/>
          <w:sz w:val="24"/>
          <w:szCs w:val="24"/>
          <w:rtl/>
        </w:rPr>
        <w:t>משך זמן הטיפול השיפוטי בתיק, אינו משקף באופן בלעדי את העומס הכבד המוטל על כתפי השופטים בישראל</w:t>
      </w:r>
      <w:r w:rsidRPr="00F25744">
        <w:rPr>
          <w:rFonts w:cs="David" w:hint="cs"/>
          <w:sz w:val="24"/>
          <w:szCs w:val="24"/>
          <w:rtl/>
        </w:rPr>
        <w:t xml:space="preserve">. על הזמנים השיפוטיים יש להוסיף למשל את </w:t>
      </w:r>
      <w:r w:rsidRPr="00F25744">
        <w:rPr>
          <w:rFonts w:cs="David" w:hint="cs"/>
          <w:sz w:val="24"/>
          <w:szCs w:val="24"/>
          <w:rtl/>
        </w:rPr>
        <w:lastRenderedPageBreak/>
        <w:t>כובד הסוגיה המשפטית, אשר אינו נמדד רק בזמני הטיפול בתיק, אלא כפי שתואר לנו על ידי שופטים רבים, בא לידי ביטוי במחשבות על התיק מעבר לשעות העבודה וטרם שנת הלילה למשל. בהמשך לכך, היבטים מסוימים של לחץ ושחיקה אינם באים לידי ביטוי רק בזמני העבודה השיפוטית, כמו גם היבטים של עומס רגשי הנלווה לטיפול בתיקים מסוימים, העוסקים בעבירות אלימות ומין או מערבים קטינים וחסרי ישע. בנושאים אלו הבאנו טעימה על קצה המזלג בחלק האחרון של המחקר, בדרך תיאורית, אך בהחלט יש מקום להרחיב את העיסוק והמחקר בהם בהמשך, במטרה לתת תמונה מלאה וכוללת יותר של עומס העבודה השיפוטית.</w:t>
      </w:r>
      <w:r w:rsidR="00FF675A" w:rsidRPr="00F25744">
        <w:rPr>
          <w:rFonts w:cs="David" w:hint="cs"/>
          <w:sz w:val="24"/>
          <w:szCs w:val="24"/>
          <w:rtl/>
        </w:rPr>
        <w:t xml:space="preserve"> מעבר לכל זאת, קיימים גם היבטים של עומס הנובעים מעצם טיבו של התפקיד השיפוטי, הכרוך באחריות כבדה וחורצת גורלות, וההיבטים השונים של התפקיד הכוללים ניהול אולם לעתים באווירה עוינת, קבלת החלטות קשות, וסיוע בפתרון מחלוקות.</w:t>
      </w:r>
      <w:r w:rsidR="00FF675A" w:rsidRPr="00F25744">
        <w:rPr>
          <w:rFonts w:hint="cs"/>
          <w:rtl/>
        </w:rPr>
        <w:t xml:space="preserve">  </w:t>
      </w:r>
    </w:p>
    <w:p w14:paraId="7AAD07B8" w14:textId="013C9ACB" w:rsidR="00384CDE" w:rsidRPr="00F25744" w:rsidRDefault="00E25AE7" w:rsidP="00BC3132">
      <w:pPr>
        <w:numPr>
          <w:ilvl w:val="0"/>
          <w:numId w:val="26"/>
        </w:numPr>
        <w:spacing w:before="120" w:after="0" w:line="360" w:lineRule="auto"/>
        <w:ind w:left="284" w:hanging="284"/>
        <w:jc w:val="both"/>
        <w:rPr>
          <w:rFonts w:cs="David"/>
          <w:sz w:val="24"/>
          <w:szCs w:val="24"/>
          <w:rtl/>
        </w:rPr>
      </w:pPr>
      <w:r w:rsidRPr="00F25744">
        <w:rPr>
          <w:rFonts w:cs="David" w:hint="cs"/>
          <w:b/>
          <w:bCs/>
          <w:sz w:val="24"/>
          <w:szCs w:val="24"/>
          <w:rtl/>
        </w:rPr>
        <w:t>מצוי לעומת רצוי</w:t>
      </w:r>
      <w:r w:rsidRPr="00F25744">
        <w:rPr>
          <w:rFonts w:cs="David" w:hint="cs"/>
          <w:sz w:val="24"/>
          <w:szCs w:val="24"/>
          <w:rtl/>
        </w:rPr>
        <w:t xml:space="preserve"> - מחקר זה משקף את </w:t>
      </w:r>
      <w:r w:rsidRPr="00F25744">
        <w:rPr>
          <w:rFonts w:cs="David" w:hint="cs"/>
          <w:b/>
          <w:bCs/>
          <w:sz w:val="24"/>
          <w:szCs w:val="24"/>
          <w:rtl/>
        </w:rPr>
        <w:t>הזמנים השיפוטיים הממוצעים שנמדדו בפועל</w:t>
      </w:r>
      <w:r w:rsidRPr="00F25744">
        <w:rPr>
          <w:rFonts w:cs="David" w:hint="cs"/>
          <w:sz w:val="24"/>
          <w:szCs w:val="24"/>
          <w:rtl/>
        </w:rPr>
        <w:t xml:space="preserve"> במהלך תקופת המחקר, ואין בו אמירה כלשהי על </w:t>
      </w:r>
      <w:r w:rsidRPr="00F25744">
        <w:rPr>
          <w:rFonts w:cs="David" w:hint="cs"/>
          <w:b/>
          <w:bCs/>
          <w:sz w:val="24"/>
          <w:szCs w:val="24"/>
          <w:rtl/>
        </w:rPr>
        <w:t>הזמנים השיפוטיים הרצויים</w:t>
      </w:r>
      <w:r w:rsidRPr="00F25744">
        <w:rPr>
          <w:rFonts w:cs="David" w:hint="cs"/>
          <w:sz w:val="24"/>
          <w:szCs w:val="24"/>
          <w:rtl/>
        </w:rPr>
        <w:t xml:space="preserve"> או היעילים ביותר. כלומר, הוא משקף את המצוי ולא את הרצוי. בכך, אין הכוונה דווקא כי הזמנים צריכים להיות קצרים יותר, שכן שמענו מפי שופטים רבים כי עומס התיקים הבלתי סביר המוטל עליהם אינו מאפשר להם, למשל, להקדיש זמני דיון ראויים לכל תיק שנדון בפניהם בהתאם לסוג</w:t>
      </w:r>
      <w:r w:rsidR="00BC3132">
        <w:rPr>
          <w:rFonts w:cs="David" w:hint="cs"/>
          <w:sz w:val="24"/>
          <w:szCs w:val="24"/>
          <w:rtl/>
        </w:rPr>
        <w:t>יות המשפטיות שעולות בו</w:t>
      </w:r>
      <w:r w:rsidRPr="00F25744">
        <w:rPr>
          <w:rFonts w:cs="David" w:hint="cs"/>
          <w:sz w:val="24"/>
          <w:szCs w:val="24"/>
          <w:rtl/>
        </w:rPr>
        <w:t xml:space="preserve">. </w:t>
      </w:r>
    </w:p>
    <w:p w14:paraId="5B0E0A90" w14:textId="77777777" w:rsidR="005317AA" w:rsidRPr="00F25744" w:rsidRDefault="00E25AE7" w:rsidP="008336F3">
      <w:pPr>
        <w:spacing w:before="120" w:after="0" w:line="360" w:lineRule="auto"/>
        <w:ind w:left="142"/>
        <w:jc w:val="both"/>
        <w:rPr>
          <w:rFonts w:ascii="David" w:hAnsi="David" w:cs="David"/>
          <w:sz w:val="24"/>
          <w:szCs w:val="24"/>
          <w:u w:val="single"/>
          <w:rtl/>
        </w:rPr>
      </w:pPr>
      <w:r w:rsidRPr="00F25744">
        <w:rPr>
          <w:rFonts w:ascii="David" w:hAnsi="David" w:cs="David" w:hint="cs"/>
          <w:sz w:val="24"/>
          <w:szCs w:val="24"/>
          <w:u w:val="single"/>
          <w:rtl/>
        </w:rPr>
        <w:t>הערות מהשטח</w:t>
      </w:r>
    </w:p>
    <w:p w14:paraId="44B825BB" w14:textId="77777777" w:rsidR="005317AA" w:rsidRPr="00F25744" w:rsidRDefault="00E25AE7" w:rsidP="008336F3">
      <w:pPr>
        <w:spacing w:before="120" w:after="0" w:line="360" w:lineRule="auto"/>
        <w:ind w:left="142"/>
        <w:jc w:val="both"/>
        <w:rPr>
          <w:rFonts w:ascii="David" w:hAnsi="David" w:cs="David"/>
          <w:sz w:val="24"/>
          <w:szCs w:val="24"/>
          <w:rtl/>
        </w:rPr>
      </w:pPr>
      <w:r w:rsidRPr="00F25744">
        <w:rPr>
          <w:rFonts w:ascii="David" w:hAnsi="David" w:cs="David" w:hint="cs"/>
          <w:sz w:val="24"/>
          <w:szCs w:val="24"/>
          <w:rtl/>
        </w:rPr>
        <w:t>טרם סיום, חשוב להביא כאן את התרשמות השופטים והערותיהם על אופן ביצוע מחקר זה, לצורך יישום והפקת מסקנות למחקרים עתידיים. בחלק האחרון של השאלון המסכם נשאלו השופטים שתי שאלות פתוחות: האחת, "</w:t>
      </w:r>
      <w:r w:rsidRPr="00F25744">
        <w:rPr>
          <w:rFonts w:ascii="David" w:hAnsi="David" w:cs="David" w:hint="cs"/>
          <w:b/>
          <w:bCs/>
          <w:sz w:val="24"/>
          <w:szCs w:val="24"/>
          <w:rtl/>
        </w:rPr>
        <w:t>האם יש לדעתך רכיבי עבודה נוספים המטילים עליך עומס ואשר לדעתך ניתנים למדידה, אך לא באו לידי ביטוי במסגרת המחקר?</w:t>
      </w:r>
      <w:r w:rsidRPr="00F25744">
        <w:rPr>
          <w:rFonts w:ascii="David" w:hAnsi="David" w:cs="David" w:hint="cs"/>
          <w:sz w:val="24"/>
          <w:szCs w:val="24"/>
          <w:rtl/>
        </w:rPr>
        <w:t>", והשנייה, "</w:t>
      </w:r>
      <w:r w:rsidRPr="00F25744">
        <w:rPr>
          <w:rFonts w:ascii="David" w:hAnsi="David" w:cs="David" w:hint="cs"/>
          <w:b/>
          <w:bCs/>
          <w:sz w:val="24"/>
          <w:szCs w:val="24"/>
          <w:rtl/>
        </w:rPr>
        <w:t>נשמח להתרשמות שלך על ממשק העבודה מול מחלקת המחקר, התמיכה הטכנית והמקצועית שקיבלת במהלך המחקר, נוחות המערכת להזנת היומנים או כל הערה אחרת הנוגעת למחקר</w:t>
      </w:r>
      <w:r w:rsidRPr="00F25744">
        <w:rPr>
          <w:rFonts w:ascii="David" w:hAnsi="David" w:cs="David" w:hint="cs"/>
          <w:sz w:val="24"/>
          <w:szCs w:val="24"/>
          <w:rtl/>
        </w:rPr>
        <w:t xml:space="preserve">". </w:t>
      </w:r>
    </w:p>
    <w:p w14:paraId="678C5498" w14:textId="77777777" w:rsidR="005317AA" w:rsidRPr="00F25744" w:rsidRDefault="00E25AE7" w:rsidP="008336F3">
      <w:pPr>
        <w:spacing w:before="120" w:after="0" w:line="360" w:lineRule="auto"/>
        <w:ind w:left="142"/>
        <w:jc w:val="both"/>
        <w:rPr>
          <w:rFonts w:ascii="David" w:hAnsi="David" w:cs="David"/>
          <w:sz w:val="24"/>
          <w:szCs w:val="24"/>
          <w:rtl/>
        </w:rPr>
      </w:pPr>
      <w:r w:rsidRPr="00F25744">
        <w:rPr>
          <w:rFonts w:ascii="David" w:hAnsi="David" w:cs="David" w:hint="cs"/>
          <w:sz w:val="24"/>
          <w:szCs w:val="24"/>
          <w:rtl/>
        </w:rPr>
        <w:t>ככלל, תגובות השופטים והרשמים למחקר, למבנהו, לממשק עם מחלקת המחקר היו חיוביות מאד.</w:t>
      </w:r>
    </w:p>
    <w:p w14:paraId="0D962702" w14:textId="77777777" w:rsidR="005317AA" w:rsidRPr="00F25744" w:rsidRDefault="00E25AE7" w:rsidP="008336F3">
      <w:pPr>
        <w:spacing w:before="120" w:after="0" w:line="360" w:lineRule="auto"/>
        <w:ind w:left="142"/>
        <w:jc w:val="both"/>
        <w:rPr>
          <w:rFonts w:ascii="David" w:hAnsi="David" w:cs="David"/>
          <w:sz w:val="24"/>
          <w:szCs w:val="24"/>
          <w:rtl/>
        </w:rPr>
      </w:pPr>
      <w:r w:rsidRPr="00F25744">
        <w:rPr>
          <w:rFonts w:ascii="David" w:hAnsi="David" w:cs="David" w:hint="cs"/>
          <w:sz w:val="24"/>
          <w:szCs w:val="24"/>
          <w:rtl/>
        </w:rPr>
        <w:t xml:space="preserve">על </w:t>
      </w:r>
      <w:r w:rsidRPr="00F25744">
        <w:rPr>
          <w:rFonts w:ascii="David" w:hAnsi="David" w:cs="David" w:hint="cs"/>
          <w:b/>
          <w:bCs/>
          <w:sz w:val="24"/>
          <w:szCs w:val="24"/>
          <w:rtl/>
        </w:rPr>
        <w:t>השאלה הראשונה</w:t>
      </w:r>
      <w:r w:rsidRPr="00F25744">
        <w:rPr>
          <w:rFonts w:ascii="David" w:hAnsi="David" w:cs="David" w:hint="cs"/>
          <w:sz w:val="24"/>
          <w:szCs w:val="24"/>
          <w:rtl/>
        </w:rPr>
        <w:t>, שעסקה ב</w:t>
      </w:r>
      <w:r w:rsidRPr="00F25744">
        <w:rPr>
          <w:rFonts w:ascii="David" w:hAnsi="David" w:cs="David" w:hint="cs"/>
          <w:b/>
          <w:bCs/>
          <w:sz w:val="24"/>
          <w:szCs w:val="24"/>
          <w:rtl/>
        </w:rPr>
        <w:t>רכיבי עבודה נוספים המטילים עומס</w:t>
      </w:r>
      <w:r w:rsidRPr="00F25744">
        <w:rPr>
          <w:rFonts w:ascii="David" w:hAnsi="David" w:cs="David" w:hint="cs"/>
          <w:sz w:val="24"/>
          <w:szCs w:val="24"/>
          <w:rtl/>
        </w:rPr>
        <w:t xml:space="preserve"> ואשר לדעת השופטים לא באו לידי ביטוי במסגרת מחקר זה, השיבו 122 שופטים מכל הערכאות. מתוכם 34 שופטים ציינו כי אין להם מה להוסיף. את התשובות האחרות, ניתן לחלק לכמה קטגוריות עיקריות:</w:t>
      </w:r>
    </w:p>
    <w:p w14:paraId="54633EC2" w14:textId="77777777" w:rsidR="005317AA" w:rsidRPr="00F25744" w:rsidRDefault="00E25AE7" w:rsidP="008336F3">
      <w:pPr>
        <w:spacing w:before="120" w:after="0" w:line="360" w:lineRule="auto"/>
        <w:ind w:left="142"/>
        <w:jc w:val="both"/>
        <w:rPr>
          <w:rFonts w:ascii="David" w:hAnsi="David" w:cs="David"/>
          <w:sz w:val="24"/>
          <w:szCs w:val="24"/>
          <w:rtl/>
        </w:rPr>
      </w:pPr>
      <w:r w:rsidRPr="00F25744">
        <w:rPr>
          <w:rFonts w:ascii="David" w:hAnsi="David" w:cs="David" w:hint="cs"/>
          <w:sz w:val="24"/>
          <w:szCs w:val="24"/>
          <w:rtl/>
        </w:rPr>
        <w:t>הקטגוריה הראשונה, שאותה ציינו 15 שופטים, עסקה ב</w:t>
      </w:r>
      <w:r w:rsidRPr="00F25744">
        <w:rPr>
          <w:rFonts w:ascii="David" w:hAnsi="David" w:cs="David" w:hint="cs"/>
          <w:b/>
          <w:bCs/>
          <w:sz w:val="24"/>
          <w:szCs w:val="24"/>
          <w:rtl/>
        </w:rPr>
        <w:t>זמן חשיבה</w:t>
      </w:r>
      <w:r w:rsidRPr="00F25744">
        <w:rPr>
          <w:rFonts w:ascii="David" w:hAnsi="David" w:cs="David" w:hint="cs"/>
          <w:sz w:val="24"/>
          <w:szCs w:val="24"/>
          <w:rtl/>
        </w:rPr>
        <w:t>. השופטים כתבו, כי זמני החשיבה על התיק, הן במהלך העבודה והן לאחריה, לא נמדדו ולא קיבלו ביטוי במסגרת המחקר. אשר לזמני החשיבה במהלך העבודה ייאמר, כי אלו יכולים היו לקבל ביטוי במסגרת זמני ההכנה לדיון, זמני הכתיבה וכו', ואנו בטוחות כי כך אכן נעשה לפחות ברוב המקרים. אכן, ככל הנראה ישנם ממדים נוספים של העבודה השיפוטית שבאים לידי ביטוי בכך שהעבודה אינה מתוחמת לשעות עבודה מוגדרות. ממדים אלה אינם בהכרח ניתנים לכימות או למדידה. כך למשל לא ניתן למדוד בדרך שאינה מעמיסה יתר על המידה על השופטים את זמני החשיבה מחוץ לשעות העבודה, למשל בשעות הלילה לפני השינה, או חשיבה על מספר תיקים וכדומה. נושא זה עשוי למצוא ביטוי מסוים במסגרת מחקר שייערך על תופעות של עומס נפשי, לחץ ושחיקה, ככל שיוחלט על ביצוע מחקר מסוג זה.</w:t>
      </w:r>
    </w:p>
    <w:p w14:paraId="7E6B79CE" w14:textId="77777777" w:rsidR="005317AA" w:rsidRPr="00F25744" w:rsidRDefault="00E25AE7" w:rsidP="008336F3">
      <w:pPr>
        <w:spacing w:before="120" w:after="0" w:line="360" w:lineRule="auto"/>
        <w:ind w:left="142"/>
        <w:jc w:val="both"/>
        <w:rPr>
          <w:rFonts w:ascii="David" w:hAnsi="David" w:cs="David"/>
          <w:sz w:val="24"/>
          <w:szCs w:val="24"/>
          <w:rtl/>
        </w:rPr>
      </w:pPr>
      <w:r w:rsidRPr="00F25744">
        <w:rPr>
          <w:rFonts w:ascii="David" w:hAnsi="David" w:cs="David" w:hint="cs"/>
          <w:sz w:val="24"/>
          <w:szCs w:val="24"/>
          <w:rtl/>
        </w:rPr>
        <w:lastRenderedPageBreak/>
        <w:t>הקטגוריה השנייה עסקה ב</w:t>
      </w:r>
      <w:r w:rsidRPr="00F25744">
        <w:rPr>
          <w:rFonts w:ascii="David" w:hAnsi="David" w:cs="David" w:hint="cs"/>
          <w:b/>
          <w:bCs/>
          <w:sz w:val="24"/>
          <w:szCs w:val="24"/>
          <w:rtl/>
        </w:rPr>
        <w:t>עניינים טכניים</w:t>
      </w:r>
      <w:r w:rsidRPr="00F25744">
        <w:rPr>
          <w:rFonts w:ascii="David" w:hAnsi="David" w:cs="David" w:hint="cs"/>
          <w:sz w:val="24"/>
          <w:szCs w:val="24"/>
          <w:rtl/>
        </w:rPr>
        <w:t xml:space="preserve"> שונים, כמו התנהלות מול המזכירות, המתמחים והעוזרים המשפטיים, תקלות בנט המשפט וכדומה. יוער, כי במסגרת המחקר ניתן היה לתעד את זמני העבודה או הפגישות עם העוזרים המשפטיים או המתמחים כעבודה שיפוטית שאינה קשורה לתיקים, או כחלק מהפעולות השיפוטיות עצמן, כמו תיעוד בעמודת הכתיבה במקרה של הגהה או עריכה של טיוטה שנכתבה על ידי העוזר המשפטי. אשר לתקלות בנט המשפט, תלונה שחזרה על עצמה גם במהלך המחקר עצמו, הרי שתקלות מצערות אלו, שיש כמובן לפעול לצמצומן במידת האפשר, הן בדרך כלל רוחביות ומשפיעות על כל המערכת, ועל כן הן עשויות להאריך את זמני העבודה בכלל המערכת, ולא רק לגבי השופט היחיד או סוג תיק ספציפי. </w:t>
      </w:r>
    </w:p>
    <w:p w14:paraId="7C2CD229" w14:textId="77777777" w:rsidR="005317AA" w:rsidRPr="00F25744" w:rsidRDefault="00E25AE7" w:rsidP="008336F3">
      <w:pPr>
        <w:spacing w:before="120" w:after="0" w:line="360" w:lineRule="auto"/>
        <w:ind w:left="142"/>
        <w:jc w:val="both"/>
        <w:rPr>
          <w:rFonts w:ascii="David" w:hAnsi="David" w:cs="David"/>
          <w:sz w:val="24"/>
          <w:szCs w:val="24"/>
          <w:rtl/>
        </w:rPr>
      </w:pPr>
      <w:r w:rsidRPr="00F25744">
        <w:rPr>
          <w:rFonts w:ascii="David" w:hAnsi="David" w:cs="David" w:hint="cs"/>
          <w:sz w:val="24"/>
          <w:szCs w:val="24"/>
          <w:rtl/>
        </w:rPr>
        <w:t>הקטגוריה השלישית עסקה ב</w:t>
      </w:r>
      <w:r w:rsidRPr="00F25744">
        <w:rPr>
          <w:rFonts w:ascii="David" w:hAnsi="David" w:cs="David" w:hint="cs"/>
          <w:b/>
          <w:bCs/>
          <w:sz w:val="24"/>
          <w:szCs w:val="24"/>
          <w:rtl/>
        </w:rPr>
        <w:t>קושי</w:t>
      </w:r>
      <w:r w:rsidRPr="00F25744">
        <w:rPr>
          <w:rFonts w:ascii="David" w:hAnsi="David" w:cs="David" w:hint="cs"/>
          <w:sz w:val="24"/>
          <w:szCs w:val="24"/>
          <w:rtl/>
        </w:rPr>
        <w:t xml:space="preserve"> </w:t>
      </w:r>
      <w:r w:rsidRPr="00F25744">
        <w:rPr>
          <w:rFonts w:ascii="David" w:hAnsi="David" w:cs="David" w:hint="cs"/>
          <w:b/>
          <w:bCs/>
          <w:sz w:val="24"/>
          <w:szCs w:val="24"/>
          <w:rtl/>
        </w:rPr>
        <w:t>בחלוקת הזמן בין תפקידים ניהוליים שונים ובין המטלות השיפוטיות בתיקים.</w:t>
      </w:r>
      <w:r w:rsidRPr="00F25744">
        <w:rPr>
          <w:rFonts w:ascii="David" w:hAnsi="David" w:cs="David" w:hint="cs"/>
          <w:sz w:val="24"/>
          <w:szCs w:val="24"/>
          <w:rtl/>
        </w:rPr>
        <w:t xml:space="preserve"> בפרק העוסק הפילוח היום השיפוטי אכן מצאנו הבדלים ניכרים בחלוקת יום העבודה השיפוטי בין שופטים הנושאים בתפקיד נוסף, כמו נשיאים, סגני נשיאים, מנהלי ועדות שונות ועוד, ובין שופטים אחרים. נמצא כי שופטים הנושאים בתפקיד נוסף הקדישו חלק ניכר יותר מזמנם לעבודה שיפוטית שאינה קשורה בתיקים (העבודה הניהולית עצמה) ועל כן נותר להם פחות זמן להקדיש לפעולות השיפוטיות השונות בתיקים שבטיפולם. כאן חשוב להזכיר, כי בשל הצורך בשמירה על אנונימיות השופטים, לא יכולנו לשאול את השופטים ב</w:t>
      </w:r>
      <w:r w:rsidRPr="00F25744">
        <w:rPr>
          <w:rFonts w:ascii="David" w:hAnsi="David" w:cs="David" w:hint="cs"/>
          <w:b/>
          <w:bCs/>
          <w:sz w:val="24"/>
          <w:szCs w:val="24"/>
          <w:rtl/>
        </w:rPr>
        <w:t>איזה</w:t>
      </w:r>
      <w:r w:rsidRPr="00F25744">
        <w:rPr>
          <w:rFonts w:ascii="David" w:hAnsi="David" w:cs="David" w:hint="cs"/>
          <w:sz w:val="24"/>
          <w:szCs w:val="24"/>
          <w:rtl/>
        </w:rPr>
        <w:t xml:space="preserve"> תפקיד נוסף הם נושאים, אלא רק </w:t>
      </w:r>
      <w:r w:rsidRPr="00F25744">
        <w:rPr>
          <w:rFonts w:ascii="David" w:hAnsi="David" w:cs="David" w:hint="cs"/>
          <w:b/>
          <w:bCs/>
          <w:sz w:val="24"/>
          <w:szCs w:val="24"/>
          <w:rtl/>
        </w:rPr>
        <w:t>האם</w:t>
      </w:r>
      <w:r w:rsidRPr="00F25744">
        <w:rPr>
          <w:rFonts w:ascii="David" w:hAnsi="David" w:cs="David" w:hint="cs"/>
          <w:sz w:val="24"/>
          <w:szCs w:val="24"/>
          <w:rtl/>
        </w:rPr>
        <w:t xml:space="preserve"> יש להם תפקיד נוסף (זאת, לעומת החלק הראשון של המחקר על בתי הדין לעבודה, שם נשאלו השופטים גם איזה תפקיד נוסף הם ממלאים. על ממצאי שאלה זו ניתן לקרוא במחקר על בתי הדין לעבודה). על כן, לא יכולנו להבחין בין תפקיד ניהולי כמו נשיא או סגן נשיא, ובין תפקיד אחר כמו ריכוז והעברת השתלמויות. ניתן להניח, כי לו היו בידינו הנתונים הללו, ניתן היה להבחין בחלוקה קיצונית אף יותר בין הזמן המוקדש לפעילות שאינה קשורה בתיקים, ובין הפעולות השיפוטיות הקשורות בתיק ספציפי בפילוח יום העבודה של נשיאים וסגני נשיאים. </w:t>
      </w:r>
    </w:p>
    <w:p w14:paraId="5E8778B0" w14:textId="77777777" w:rsidR="005317AA" w:rsidRPr="00F25744" w:rsidRDefault="00E25AE7" w:rsidP="008336F3">
      <w:pPr>
        <w:spacing w:before="120" w:after="0" w:line="360" w:lineRule="auto"/>
        <w:ind w:left="142"/>
        <w:jc w:val="both"/>
        <w:rPr>
          <w:rFonts w:ascii="David" w:hAnsi="David" w:cs="David"/>
          <w:sz w:val="24"/>
          <w:szCs w:val="24"/>
          <w:rtl/>
        </w:rPr>
      </w:pPr>
      <w:r w:rsidRPr="00F25744">
        <w:rPr>
          <w:rFonts w:ascii="David" w:hAnsi="David" w:cs="David" w:hint="cs"/>
          <w:sz w:val="24"/>
          <w:szCs w:val="24"/>
          <w:rtl/>
        </w:rPr>
        <w:t xml:space="preserve">בין שאר התשובות שניתנו על השאלה הראשונה ניתן היה לראות התעדכנות בפסיקה וחיפושי פסיקה, היוועצות וייעוץ לשופטים אחרים, כמויות גדולות של מיילים, של השתלמויות ושל מטלות טכניות הגוזלות זמן שיפוטי, כמויות עצומות של תיקים פר שופט, היעדר חלוקה ברורה בין זמני העבודה לזמן הפרטי, קושי בניהול חיי משפחה ופנאי ועוד. </w:t>
      </w:r>
    </w:p>
    <w:p w14:paraId="0E2DD347" w14:textId="77777777" w:rsidR="005317AA" w:rsidRPr="00F25744" w:rsidRDefault="00E25AE7" w:rsidP="008336F3">
      <w:pPr>
        <w:pStyle w:val="a3"/>
        <w:bidi/>
        <w:spacing w:before="120" w:after="0" w:line="360" w:lineRule="auto"/>
        <w:ind w:left="142"/>
        <w:contextualSpacing w:val="0"/>
        <w:rPr>
          <w:rFonts w:cs="David"/>
          <w:sz w:val="24"/>
          <w:szCs w:val="24"/>
          <w:rtl/>
        </w:rPr>
      </w:pPr>
      <w:r w:rsidRPr="00F25744">
        <w:rPr>
          <w:rFonts w:cs="David" w:hint="cs"/>
          <w:sz w:val="24"/>
          <w:szCs w:val="24"/>
          <w:rtl/>
        </w:rPr>
        <w:t>על ה</w:t>
      </w:r>
      <w:r w:rsidRPr="00F25744">
        <w:rPr>
          <w:rFonts w:cs="David" w:hint="cs"/>
          <w:b/>
          <w:bCs/>
          <w:sz w:val="24"/>
          <w:szCs w:val="24"/>
          <w:rtl/>
        </w:rPr>
        <w:t>שאלה השנייה</w:t>
      </w:r>
      <w:r w:rsidRPr="00F25744">
        <w:rPr>
          <w:rFonts w:cs="David" w:hint="cs"/>
          <w:sz w:val="24"/>
          <w:szCs w:val="24"/>
          <w:rtl/>
        </w:rPr>
        <w:t>, שעסקה ב</w:t>
      </w:r>
      <w:r w:rsidRPr="00F25744">
        <w:rPr>
          <w:rFonts w:cs="David" w:hint="cs"/>
          <w:b/>
          <w:bCs/>
          <w:sz w:val="24"/>
          <w:szCs w:val="24"/>
          <w:rtl/>
        </w:rPr>
        <w:t>התרשמות</w:t>
      </w:r>
      <w:r w:rsidRPr="00F25744">
        <w:rPr>
          <w:rFonts w:cs="David" w:hint="cs"/>
          <w:sz w:val="24"/>
          <w:szCs w:val="24"/>
          <w:rtl/>
        </w:rPr>
        <w:t xml:space="preserve"> השופטים על ממשק העבודה במהלך המחקר, השיבו 118 שופטים, ומתוכם 103 כתבו הערות מפורטות. </w:t>
      </w:r>
    </w:p>
    <w:p w14:paraId="0F0F0E62" w14:textId="77777777" w:rsidR="005317AA" w:rsidRPr="00F25744" w:rsidRDefault="00E25AE7" w:rsidP="008336F3">
      <w:pPr>
        <w:pStyle w:val="a3"/>
        <w:bidi/>
        <w:spacing w:before="120" w:after="0" w:line="360" w:lineRule="auto"/>
        <w:ind w:left="142"/>
        <w:contextualSpacing w:val="0"/>
        <w:rPr>
          <w:rFonts w:cs="David"/>
          <w:sz w:val="24"/>
          <w:szCs w:val="24"/>
          <w:rtl/>
        </w:rPr>
      </w:pPr>
      <w:r w:rsidRPr="00F25744">
        <w:rPr>
          <w:rFonts w:cs="David" w:hint="cs"/>
          <w:sz w:val="24"/>
          <w:szCs w:val="24"/>
          <w:rtl/>
        </w:rPr>
        <w:t xml:space="preserve">התגובות הפחות חיוביות (13 תגובות) עסקו בעיקר בעומס שהטיל המחקר עצמו על המשתתפים. בין היתר ניתן להצביע על הערות שבהן נכתב כי המחקר היה ארוך מדי ומתיש, במיוחד הזנת הנתונים ומדידת השעות. הערות בודדות נוספות עסקו באורך ושיטת המחקר, ובהן נכתב למשל כי מחקר בן חודש ימים אינו יכול לשקף את מלוא העבודה השיפוטית, לעומת תגובות אחרות שבהן נכתב כי המחקר היה ארוך מדי, וכן כי שיטת המחקר אינה נכונה, אלא שיש למשל להצמיד חוקר לכל שופט שיתעד את מלוא העבודה השיפוטית שלו. </w:t>
      </w:r>
    </w:p>
    <w:p w14:paraId="4FA772EF" w14:textId="77777777" w:rsidR="005317AA" w:rsidRPr="00F25744" w:rsidRDefault="00E25AE7" w:rsidP="008336F3">
      <w:pPr>
        <w:pStyle w:val="a3"/>
        <w:bidi/>
        <w:spacing w:before="120" w:after="0" w:line="360" w:lineRule="auto"/>
        <w:ind w:left="142"/>
        <w:contextualSpacing w:val="0"/>
        <w:rPr>
          <w:rFonts w:cs="David"/>
          <w:sz w:val="24"/>
          <w:szCs w:val="24"/>
          <w:rtl/>
        </w:rPr>
      </w:pPr>
      <w:r w:rsidRPr="00F25744">
        <w:rPr>
          <w:rFonts w:cs="David" w:hint="cs"/>
          <w:sz w:val="24"/>
          <w:szCs w:val="24"/>
          <w:rtl/>
        </w:rPr>
        <w:t xml:space="preserve">לעומת זאת, רוב השופטים שהשיבו על שאלה זו (88 שופטים) כתבו הערות חיוביות. רוב השופטים ציינו כי הממשק היה קל ונוח לשימוש, וכי ההדרכות, ההכנה והזמינות למענה על פניות היו מצוינים. </w:t>
      </w:r>
      <w:r w:rsidRPr="00F25744">
        <w:rPr>
          <w:rFonts w:cs="David" w:hint="cs"/>
          <w:sz w:val="24"/>
          <w:szCs w:val="24"/>
          <w:rtl/>
        </w:rPr>
        <w:lastRenderedPageBreak/>
        <w:t xml:space="preserve">בין השופטים שציינו את מערך המחקר לחיוב, היו שסיכמו כי החוויה ככלל הייתה חיובית, חרף הזמן שהוקדש למחקר. כאן המקום להזכיר, כי במסגרת השאלון המסכם דיווחו </w:t>
      </w:r>
      <w:r w:rsidRPr="00F25744">
        <w:rPr>
          <w:rFonts w:ascii="David" w:hAnsi="David" w:cs="David"/>
          <w:sz w:val="24"/>
          <w:szCs w:val="24"/>
          <w:rtl/>
        </w:rPr>
        <w:t>כ</w:t>
      </w:r>
      <w:r w:rsidRPr="00F25744">
        <w:rPr>
          <w:rFonts w:ascii="David" w:hAnsi="David" w:cs="David" w:hint="cs"/>
          <w:sz w:val="24"/>
          <w:szCs w:val="24"/>
          <w:rtl/>
        </w:rPr>
        <w:t>-</w:t>
      </w:r>
      <w:r w:rsidRPr="00F25744">
        <w:rPr>
          <w:rFonts w:ascii="David" w:eastAsia="Times New Roman" w:hAnsi="David" w:cs="David"/>
          <w:color w:val="000000"/>
          <w:sz w:val="24"/>
          <w:szCs w:val="24"/>
          <w:rtl/>
        </w:rPr>
        <w:t xml:space="preserve">60% מהשופטים </w:t>
      </w:r>
      <w:r w:rsidRPr="00F25744">
        <w:rPr>
          <w:rFonts w:ascii="David" w:eastAsia="Times New Roman" w:hAnsi="David" w:cs="David" w:hint="cs"/>
          <w:color w:val="000000"/>
          <w:sz w:val="24"/>
          <w:szCs w:val="24"/>
          <w:rtl/>
        </w:rPr>
        <w:t xml:space="preserve">שענו על אותה שאלה, כי </w:t>
      </w:r>
      <w:r w:rsidRPr="00F25744">
        <w:rPr>
          <w:rFonts w:ascii="David" w:eastAsia="Times New Roman" w:hAnsi="David" w:cs="David"/>
          <w:color w:val="000000"/>
          <w:sz w:val="24"/>
          <w:szCs w:val="24"/>
          <w:rtl/>
        </w:rPr>
        <w:t>מילוי יומן העבודה בתקופת המחקר אפשר להם לעצור ולבחון את עומס העבודה המוטל עליהם.</w:t>
      </w:r>
    </w:p>
    <w:p w14:paraId="65F1108A" w14:textId="04A27E74" w:rsidR="005317AA" w:rsidRPr="00F25744" w:rsidRDefault="00E25AE7" w:rsidP="005F18AD">
      <w:pPr>
        <w:pStyle w:val="a3"/>
        <w:bidi/>
        <w:spacing w:before="120" w:after="0" w:line="360" w:lineRule="auto"/>
        <w:ind w:left="142"/>
        <w:contextualSpacing w:val="0"/>
        <w:rPr>
          <w:rFonts w:cs="David"/>
          <w:sz w:val="24"/>
          <w:szCs w:val="24"/>
          <w:rtl/>
        </w:rPr>
      </w:pPr>
      <w:r w:rsidRPr="00F25744">
        <w:rPr>
          <w:rFonts w:cs="David" w:hint="cs"/>
          <w:sz w:val="24"/>
          <w:szCs w:val="24"/>
          <w:rtl/>
        </w:rPr>
        <w:t>בין התגובות החיוביות ניתן להצביע, למשל, על התגובות הבאות:</w:t>
      </w:r>
    </w:p>
    <w:p w14:paraId="6C14768A" w14:textId="77777777" w:rsidR="005317AA" w:rsidRPr="00F25744" w:rsidRDefault="00E25AE7" w:rsidP="008336F3">
      <w:pPr>
        <w:pStyle w:val="a3"/>
        <w:bidi/>
        <w:spacing w:before="120" w:after="0" w:line="360" w:lineRule="auto"/>
        <w:ind w:left="142"/>
        <w:contextualSpacing w:val="0"/>
        <w:rPr>
          <w:rFonts w:cs="David"/>
          <w:sz w:val="24"/>
          <w:szCs w:val="24"/>
          <w:rtl/>
        </w:rPr>
      </w:pPr>
      <w:r w:rsidRPr="00F25744">
        <w:rPr>
          <w:rFonts w:cs="David" w:hint="cs"/>
          <w:sz w:val="24"/>
          <w:szCs w:val="24"/>
          <w:rtl/>
        </w:rPr>
        <w:t>"</w:t>
      </w:r>
      <w:r w:rsidRPr="00F25744">
        <w:rPr>
          <w:rFonts w:cs="David"/>
          <w:b/>
          <w:bCs/>
          <w:sz w:val="24"/>
          <w:szCs w:val="24"/>
          <w:rtl/>
        </w:rPr>
        <w:t>בדיעבד, אני מודה על הממשק הזה, שלטעמי, אמור לייעל את עבודתי ועבודת המערכת, במיוחד כאשר בסופו של דבר הוא לא העמיס עלי יתר על המידה</w:t>
      </w:r>
      <w:r w:rsidRPr="00F25744">
        <w:rPr>
          <w:rFonts w:cs="David" w:hint="cs"/>
          <w:sz w:val="24"/>
          <w:szCs w:val="24"/>
          <w:rtl/>
        </w:rPr>
        <w:t>"</w:t>
      </w:r>
      <w:r w:rsidR="008336F3" w:rsidRPr="00F25744">
        <w:rPr>
          <w:rFonts w:cs="David" w:hint="cs"/>
          <w:sz w:val="24"/>
          <w:szCs w:val="24"/>
          <w:rtl/>
        </w:rPr>
        <w:t>;</w:t>
      </w:r>
    </w:p>
    <w:p w14:paraId="6814885D" w14:textId="77777777" w:rsidR="005317AA" w:rsidRPr="00F25744" w:rsidRDefault="00E25AE7" w:rsidP="008336F3">
      <w:pPr>
        <w:pStyle w:val="a3"/>
        <w:bidi/>
        <w:spacing w:before="120" w:after="0" w:line="360" w:lineRule="auto"/>
        <w:ind w:left="142"/>
        <w:contextualSpacing w:val="0"/>
        <w:rPr>
          <w:rFonts w:cs="David"/>
          <w:b/>
          <w:bCs/>
          <w:sz w:val="24"/>
          <w:szCs w:val="24"/>
          <w:rtl/>
        </w:rPr>
      </w:pPr>
      <w:r w:rsidRPr="00F25744">
        <w:rPr>
          <w:rFonts w:cs="David" w:hint="cs"/>
          <w:b/>
          <w:bCs/>
          <w:sz w:val="24"/>
          <w:szCs w:val="24"/>
          <w:rtl/>
        </w:rPr>
        <w:t>"</w:t>
      </w:r>
      <w:r w:rsidRPr="00F25744">
        <w:rPr>
          <w:rFonts w:cs="David"/>
          <w:b/>
          <w:bCs/>
          <w:sz w:val="24"/>
          <w:szCs w:val="24"/>
          <w:rtl/>
        </w:rPr>
        <w:t>בכל הפרמטרים התרשמתי שנעשתה עבודה מעמיקה עם רצון לעזור לפתור בעיות</w:t>
      </w:r>
      <w:r w:rsidRPr="00F25744">
        <w:rPr>
          <w:rFonts w:cs="David" w:hint="cs"/>
          <w:b/>
          <w:bCs/>
          <w:sz w:val="24"/>
          <w:szCs w:val="24"/>
          <w:rtl/>
        </w:rPr>
        <w:t>";</w:t>
      </w:r>
    </w:p>
    <w:p w14:paraId="76C037EA" w14:textId="77777777" w:rsidR="005317AA" w:rsidRPr="00F25744" w:rsidRDefault="00E25AE7" w:rsidP="008336F3">
      <w:pPr>
        <w:pStyle w:val="a3"/>
        <w:bidi/>
        <w:spacing w:before="120" w:after="0" w:line="360" w:lineRule="auto"/>
        <w:ind w:left="142"/>
        <w:contextualSpacing w:val="0"/>
        <w:rPr>
          <w:rFonts w:cs="David"/>
          <w:b/>
          <w:bCs/>
          <w:sz w:val="24"/>
          <w:szCs w:val="24"/>
        </w:rPr>
      </w:pPr>
      <w:r w:rsidRPr="00F25744">
        <w:rPr>
          <w:rFonts w:cs="David" w:hint="cs"/>
          <w:b/>
          <w:bCs/>
          <w:sz w:val="24"/>
          <w:szCs w:val="24"/>
          <w:rtl/>
        </w:rPr>
        <w:t>"</w:t>
      </w:r>
      <w:r w:rsidRPr="00F25744">
        <w:rPr>
          <w:rFonts w:cs="David"/>
          <w:b/>
          <w:bCs/>
          <w:sz w:val="24"/>
          <w:szCs w:val="24"/>
          <w:rtl/>
        </w:rPr>
        <w:t>המערכת הייתה נהדרת, סבלנית, נגישה וברורה מאוד</w:t>
      </w:r>
      <w:r w:rsidRPr="00F25744">
        <w:rPr>
          <w:rFonts w:cs="David" w:hint="cs"/>
          <w:b/>
          <w:bCs/>
          <w:sz w:val="24"/>
          <w:szCs w:val="24"/>
          <w:rtl/>
        </w:rPr>
        <w:t>";</w:t>
      </w:r>
    </w:p>
    <w:p w14:paraId="472E0DEF" w14:textId="77777777" w:rsidR="005317AA" w:rsidRPr="00F25744" w:rsidRDefault="00E25AE7" w:rsidP="008336F3">
      <w:pPr>
        <w:pStyle w:val="a3"/>
        <w:bidi/>
        <w:spacing w:before="120" w:after="0" w:line="360" w:lineRule="auto"/>
        <w:ind w:left="142"/>
        <w:contextualSpacing w:val="0"/>
        <w:rPr>
          <w:rFonts w:cs="David"/>
          <w:b/>
          <w:bCs/>
          <w:sz w:val="24"/>
          <w:szCs w:val="24"/>
        </w:rPr>
      </w:pPr>
      <w:r w:rsidRPr="00F25744">
        <w:rPr>
          <w:rFonts w:cs="David" w:hint="cs"/>
          <w:b/>
          <w:bCs/>
          <w:sz w:val="24"/>
          <w:szCs w:val="24"/>
          <w:rtl/>
        </w:rPr>
        <w:t>"</w:t>
      </w:r>
      <w:r w:rsidRPr="00F25744">
        <w:rPr>
          <w:rFonts w:cs="David"/>
          <w:b/>
          <w:bCs/>
          <w:sz w:val="24"/>
          <w:szCs w:val="24"/>
          <w:rtl/>
        </w:rPr>
        <w:t>התרשמותי חיובית בכל המובנים. היה פחות קשה מהמצופה</w:t>
      </w:r>
      <w:r w:rsidRPr="00F25744">
        <w:rPr>
          <w:rFonts w:cs="David" w:hint="cs"/>
          <w:b/>
          <w:bCs/>
          <w:sz w:val="24"/>
          <w:szCs w:val="24"/>
          <w:rtl/>
        </w:rPr>
        <w:t>";</w:t>
      </w:r>
    </w:p>
    <w:p w14:paraId="4CD96277" w14:textId="77777777" w:rsidR="005317AA" w:rsidRPr="00F25744" w:rsidRDefault="00E25AE7" w:rsidP="008336F3">
      <w:pPr>
        <w:pStyle w:val="a3"/>
        <w:bidi/>
        <w:spacing w:before="120" w:after="0" w:line="360" w:lineRule="auto"/>
        <w:ind w:left="142"/>
        <w:contextualSpacing w:val="0"/>
        <w:rPr>
          <w:rFonts w:cs="David"/>
          <w:b/>
          <w:bCs/>
          <w:sz w:val="24"/>
          <w:szCs w:val="24"/>
        </w:rPr>
      </w:pPr>
      <w:r w:rsidRPr="00F25744">
        <w:rPr>
          <w:rFonts w:cs="David" w:hint="cs"/>
          <w:b/>
          <w:bCs/>
          <w:sz w:val="24"/>
          <w:szCs w:val="24"/>
          <w:rtl/>
        </w:rPr>
        <w:t>"</w:t>
      </w:r>
      <w:r w:rsidRPr="00F25744">
        <w:rPr>
          <w:rFonts w:cs="David"/>
          <w:b/>
          <w:bCs/>
          <w:sz w:val="24"/>
          <w:szCs w:val="24"/>
          <w:rtl/>
        </w:rPr>
        <w:t>תחילה נראה פולשני אך עד מהרה הפך להיות כלי עבודה נהדר</w:t>
      </w:r>
      <w:r w:rsidRPr="00F25744">
        <w:rPr>
          <w:rFonts w:cs="David" w:hint="cs"/>
          <w:b/>
          <w:bCs/>
          <w:sz w:val="24"/>
          <w:szCs w:val="24"/>
          <w:rtl/>
        </w:rPr>
        <w:t>";</w:t>
      </w:r>
    </w:p>
    <w:p w14:paraId="4AA34480" w14:textId="77777777" w:rsidR="005317AA" w:rsidRPr="00F25744" w:rsidRDefault="00E25AE7" w:rsidP="008336F3">
      <w:pPr>
        <w:pStyle w:val="a3"/>
        <w:bidi/>
        <w:spacing w:before="120" w:after="0" w:line="360" w:lineRule="auto"/>
        <w:ind w:left="142"/>
        <w:contextualSpacing w:val="0"/>
        <w:rPr>
          <w:rFonts w:ascii="David" w:hAnsi="David" w:cs="David"/>
          <w:sz w:val="24"/>
          <w:szCs w:val="24"/>
          <w:rtl/>
        </w:rPr>
      </w:pPr>
      <w:r w:rsidRPr="00F25744">
        <w:rPr>
          <w:rFonts w:cs="David" w:hint="cs"/>
          <w:b/>
          <w:bCs/>
          <w:sz w:val="24"/>
          <w:szCs w:val="24"/>
          <w:rtl/>
        </w:rPr>
        <w:t>"</w:t>
      </w:r>
      <w:r w:rsidRPr="00F25744">
        <w:rPr>
          <w:rFonts w:cs="David"/>
          <w:b/>
          <w:bCs/>
          <w:sz w:val="24"/>
          <w:szCs w:val="24"/>
          <w:rtl/>
        </w:rPr>
        <w:t>תודה רבה על עבודה מקצועית והשקעה רבה מצד מחלקת המחקר. בהצלחה לכולנו, מקווה שיניב תוצאות שישקפו את מדדי העבודה והעומסים באופן מיטבי</w:t>
      </w:r>
      <w:r w:rsidRPr="00F25744">
        <w:rPr>
          <w:rFonts w:cs="David" w:hint="cs"/>
          <w:b/>
          <w:bCs/>
          <w:sz w:val="24"/>
          <w:szCs w:val="24"/>
          <w:rtl/>
        </w:rPr>
        <w:t>"</w:t>
      </w:r>
      <w:r w:rsidRPr="00F25744">
        <w:rPr>
          <w:rFonts w:cs="David"/>
          <w:b/>
          <w:bCs/>
          <w:sz w:val="24"/>
          <w:szCs w:val="24"/>
          <w:rtl/>
        </w:rPr>
        <w:t>.</w:t>
      </w:r>
    </w:p>
    <w:p w14:paraId="7487B119" w14:textId="77777777" w:rsidR="005E4C22" w:rsidRPr="00F25744" w:rsidRDefault="00E25AE7" w:rsidP="008336F3">
      <w:pPr>
        <w:pStyle w:val="1"/>
        <w:spacing w:before="120"/>
        <w:rPr>
          <w:rtl/>
        </w:rPr>
      </w:pPr>
      <w:r w:rsidRPr="00F25744">
        <w:rPr>
          <w:rtl/>
        </w:rPr>
        <w:br w:type="page"/>
      </w:r>
      <w:bookmarkStart w:id="874" w:name="_Toc46416515"/>
      <w:bookmarkStart w:id="875" w:name="_Toc46416690"/>
      <w:bookmarkStart w:id="876" w:name="_Toc49352796"/>
      <w:bookmarkStart w:id="877" w:name="_Toc49429703"/>
      <w:bookmarkStart w:id="878" w:name="_Toc49435932"/>
      <w:bookmarkStart w:id="879" w:name="_Toc74751040"/>
      <w:r w:rsidR="00470BAF" w:rsidRPr="00F25744">
        <w:rPr>
          <w:rFonts w:hint="cs"/>
          <w:rtl/>
        </w:rPr>
        <w:lastRenderedPageBreak/>
        <w:t>נספחים</w:t>
      </w:r>
      <w:bookmarkEnd w:id="874"/>
      <w:bookmarkEnd w:id="875"/>
      <w:bookmarkEnd w:id="876"/>
      <w:bookmarkEnd w:id="877"/>
      <w:bookmarkEnd w:id="878"/>
      <w:bookmarkEnd w:id="879"/>
    </w:p>
    <w:p w14:paraId="14A1FAAE" w14:textId="77777777" w:rsidR="005E4C22" w:rsidRPr="00F25744" w:rsidRDefault="00E25AE7" w:rsidP="003D0688">
      <w:pPr>
        <w:pStyle w:val="2"/>
        <w:numPr>
          <w:ilvl w:val="0"/>
          <w:numId w:val="0"/>
        </w:numPr>
        <w:jc w:val="center"/>
        <w:rPr>
          <w:rtl/>
        </w:rPr>
      </w:pPr>
      <w:bookmarkStart w:id="880" w:name="_Toc46412643"/>
      <w:bookmarkStart w:id="881" w:name="_Toc46416516"/>
      <w:bookmarkStart w:id="882" w:name="_Toc46694209"/>
      <w:bookmarkStart w:id="883" w:name="_Toc49352797"/>
      <w:bookmarkStart w:id="884" w:name="_Toc49429704"/>
      <w:bookmarkStart w:id="885" w:name="_Toc49435933"/>
      <w:bookmarkStart w:id="886" w:name="_Toc74751041"/>
      <w:r w:rsidRPr="00F25744">
        <w:rPr>
          <w:rFonts w:hint="cs"/>
          <w:rtl/>
        </w:rPr>
        <w:t>נספח א': טבלה הסוקרת את מחקרי משקלות התיקים שנעשו במדינות שונות בעולם</w:t>
      </w:r>
      <w:bookmarkEnd w:id="880"/>
      <w:bookmarkEnd w:id="881"/>
      <w:bookmarkEnd w:id="882"/>
      <w:bookmarkEnd w:id="883"/>
      <w:bookmarkEnd w:id="884"/>
      <w:bookmarkEnd w:id="885"/>
      <w:bookmarkEnd w:id="886"/>
    </w:p>
    <w:p w14:paraId="251A9C96" w14:textId="77777777" w:rsidR="0034422C" w:rsidRPr="00F25744" w:rsidRDefault="0034422C" w:rsidP="0034422C">
      <w:pPr>
        <w:rPr>
          <w:rtl/>
        </w:rPr>
      </w:pPr>
    </w:p>
    <w:p w14:paraId="08F5E2E3" w14:textId="77777777" w:rsidR="005E4C22" w:rsidRPr="00F25744" w:rsidRDefault="00E25AE7" w:rsidP="00C45604">
      <w:pPr>
        <w:pStyle w:val="2"/>
        <w:numPr>
          <w:ilvl w:val="0"/>
          <w:numId w:val="0"/>
        </w:numPr>
        <w:jc w:val="center"/>
        <w:rPr>
          <w:rtl/>
        </w:rPr>
      </w:pPr>
      <w:bookmarkStart w:id="887" w:name="_Toc74751042"/>
      <w:r w:rsidRPr="00F25744">
        <w:rPr>
          <w:noProof/>
        </w:rPr>
        <w:drawing>
          <wp:inline distT="0" distB="0" distL="0" distR="0" wp14:anchorId="6E77D469" wp14:editId="061CAD05">
            <wp:extent cx="6899910" cy="4761865"/>
            <wp:effectExtent l="2222" t="0" r="0" b="0"/>
            <wp:docPr id="28" name="תמונה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910511" name="Picture 28"/>
                    <pic:cNvPicPr>
                      <a:picLocks noChangeAspect="1" noChangeArrowheads="1"/>
                    </pic:cNvPicPr>
                  </pic:nvPicPr>
                  <pic:blipFill>
                    <a:blip r:embed="rId42" cstate="print">
                      <a:extLst>
                        <a:ext uri="{28A0092B-C50C-407E-A947-70E740481C1C}">
                          <a14:useLocalDpi xmlns:a14="http://schemas.microsoft.com/office/drawing/2010/main" val="0"/>
                        </a:ext>
                      </a:extLst>
                    </a:blip>
                    <a:stretch>
                      <a:fillRect/>
                    </a:stretch>
                  </pic:blipFill>
                  <pic:spPr bwMode="auto">
                    <a:xfrm rot="5400000">
                      <a:off x="0" y="0"/>
                      <a:ext cx="6899910" cy="4761865"/>
                    </a:xfrm>
                    <a:prstGeom prst="rect">
                      <a:avLst/>
                    </a:prstGeom>
                    <a:noFill/>
                    <a:ln>
                      <a:noFill/>
                    </a:ln>
                  </pic:spPr>
                </pic:pic>
              </a:graphicData>
            </a:graphic>
          </wp:inline>
        </w:drawing>
      </w:r>
      <w:r w:rsidR="00470BAF" w:rsidRPr="00F25744">
        <w:br w:type="page"/>
      </w:r>
      <w:bookmarkStart w:id="888" w:name="_Toc46412644"/>
      <w:bookmarkStart w:id="889" w:name="_Toc46416517"/>
      <w:bookmarkStart w:id="890" w:name="_Toc46694210"/>
      <w:bookmarkStart w:id="891" w:name="_Toc49352798"/>
      <w:bookmarkStart w:id="892" w:name="_Toc49429705"/>
      <w:bookmarkStart w:id="893" w:name="_Toc49435934"/>
      <w:r w:rsidR="007F3A52" w:rsidRPr="00F25744">
        <w:rPr>
          <w:rFonts w:hint="cs"/>
          <w:rtl/>
        </w:rPr>
        <w:lastRenderedPageBreak/>
        <w:t xml:space="preserve">נספח ב': השאלונים המסכמים של </w:t>
      </w:r>
      <w:bookmarkEnd w:id="888"/>
      <w:bookmarkEnd w:id="889"/>
      <w:bookmarkEnd w:id="890"/>
      <w:r w:rsidR="00C45604" w:rsidRPr="00F25744">
        <w:rPr>
          <w:rFonts w:hint="cs"/>
          <w:rtl/>
        </w:rPr>
        <w:t>הערכאות ובתי המשפט השונים</w:t>
      </w:r>
      <w:bookmarkEnd w:id="891"/>
      <w:bookmarkEnd w:id="892"/>
      <w:bookmarkEnd w:id="893"/>
      <w:bookmarkEnd w:id="887"/>
    </w:p>
    <w:p w14:paraId="5C0DE160" w14:textId="77777777" w:rsidR="005E4C22" w:rsidRPr="00F25744" w:rsidRDefault="005E4C22" w:rsidP="005E4C22">
      <w:pPr>
        <w:rPr>
          <w:rtl/>
        </w:rPr>
      </w:pPr>
    </w:p>
    <w:p w14:paraId="1B8C0196" w14:textId="77777777" w:rsidR="005E4C22" w:rsidRPr="00F25744" w:rsidRDefault="00E25AE7" w:rsidP="00470BAF">
      <w:pPr>
        <w:pStyle w:val="3"/>
        <w:numPr>
          <w:ilvl w:val="0"/>
          <w:numId w:val="0"/>
        </w:numPr>
        <w:rPr>
          <w:rtl/>
        </w:rPr>
      </w:pPr>
      <w:bookmarkStart w:id="894" w:name="_Toc46412645"/>
      <w:bookmarkStart w:id="895" w:name="_Toc46416518"/>
      <w:bookmarkStart w:id="896" w:name="_Toc46694211"/>
      <w:bookmarkStart w:id="897" w:name="_Toc49352799"/>
      <w:bookmarkStart w:id="898" w:name="_Toc49429706"/>
      <w:bookmarkStart w:id="899" w:name="_Toc49435935"/>
      <w:bookmarkStart w:id="900" w:name="_Toc74751043"/>
      <w:r w:rsidRPr="00F25744">
        <w:rPr>
          <w:rFonts w:hint="cs"/>
          <w:rtl/>
        </w:rPr>
        <w:t>נספח ב1: כללי</w:t>
      </w:r>
      <w:bookmarkEnd w:id="894"/>
      <w:bookmarkEnd w:id="895"/>
      <w:bookmarkEnd w:id="896"/>
      <w:bookmarkEnd w:id="897"/>
      <w:bookmarkEnd w:id="898"/>
      <w:bookmarkEnd w:id="899"/>
      <w:bookmarkEnd w:id="900"/>
    </w:p>
    <w:p w14:paraId="65258592" w14:textId="77777777" w:rsidR="005E4C22" w:rsidRPr="00F25744" w:rsidRDefault="00E25AE7" w:rsidP="005E4C22">
      <w:pPr>
        <w:spacing w:before="120" w:after="0" w:line="360" w:lineRule="auto"/>
        <w:jc w:val="center"/>
        <w:rPr>
          <w:rFonts w:ascii="David" w:hAnsi="David" w:cs="David"/>
          <w:b/>
          <w:bCs/>
          <w:sz w:val="30"/>
          <w:szCs w:val="30"/>
          <w:u w:val="single"/>
          <w:rtl/>
        </w:rPr>
      </w:pPr>
      <w:r w:rsidRPr="00F25744">
        <w:rPr>
          <w:rFonts w:ascii="David" w:hAnsi="David" w:cs="David"/>
          <w:b/>
          <w:bCs/>
          <w:sz w:val="30"/>
          <w:szCs w:val="30"/>
          <w:u w:val="single"/>
          <w:rtl/>
        </w:rPr>
        <w:t>שאלון מסכם</w:t>
      </w:r>
      <w:r w:rsidRPr="00F25744">
        <w:rPr>
          <w:rFonts w:ascii="David" w:hAnsi="David" w:cs="David" w:hint="cs"/>
          <w:b/>
          <w:bCs/>
          <w:sz w:val="30"/>
          <w:szCs w:val="30"/>
          <w:u w:val="single"/>
          <w:rtl/>
        </w:rPr>
        <w:t xml:space="preserve"> למחקר עומס העבודה השיפוטית </w:t>
      </w:r>
    </w:p>
    <w:p w14:paraId="6B822713" w14:textId="77777777" w:rsidR="005E4C22" w:rsidRPr="00F25744" w:rsidRDefault="00E25AE7" w:rsidP="005E4C22">
      <w:pPr>
        <w:spacing w:before="120" w:after="0" w:line="360" w:lineRule="auto"/>
        <w:jc w:val="both"/>
        <w:rPr>
          <w:rFonts w:ascii="David" w:hAnsi="David" w:cs="David"/>
          <w:b/>
          <w:bCs/>
          <w:sz w:val="24"/>
          <w:szCs w:val="24"/>
          <w:rtl/>
        </w:rPr>
      </w:pPr>
      <w:r w:rsidRPr="00F25744">
        <w:rPr>
          <w:rFonts w:ascii="David" w:hAnsi="David" w:cs="David" w:hint="cs"/>
          <w:b/>
          <w:bCs/>
          <w:sz w:val="24"/>
          <w:szCs w:val="24"/>
          <w:rtl/>
        </w:rPr>
        <w:t>שופט/ת, רשם/מת מכובד/ת,</w:t>
      </w:r>
    </w:p>
    <w:p w14:paraId="7B21F976" w14:textId="77777777" w:rsidR="005E4C22" w:rsidRPr="00F25744" w:rsidRDefault="00E25AE7" w:rsidP="005E4C22">
      <w:pPr>
        <w:spacing w:before="120" w:after="0" w:line="360" w:lineRule="auto"/>
        <w:jc w:val="both"/>
        <w:rPr>
          <w:rFonts w:ascii="David" w:hAnsi="David" w:cs="David"/>
          <w:sz w:val="24"/>
          <w:szCs w:val="24"/>
          <w:rtl/>
        </w:rPr>
      </w:pPr>
      <w:r w:rsidRPr="00F25744">
        <w:rPr>
          <w:rFonts w:ascii="David" w:hAnsi="David" w:cs="David" w:hint="cs"/>
          <w:sz w:val="24"/>
          <w:szCs w:val="24"/>
          <w:rtl/>
        </w:rPr>
        <w:t>לפניך שאלון חד פעמי שנועד לתקף ולסכם את מחקר עומס העבודה השיפוטית.</w:t>
      </w:r>
    </w:p>
    <w:p w14:paraId="616C23EB" w14:textId="77777777" w:rsidR="005E4C22" w:rsidRPr="00F25744" w:rsidRDefault="00E25AE7" w:rsidP="005E4C22">
      <w:pPr>
        <w:spacing w:before="120" w:after="0" w:line="360" w:lineRule="auto"/>
        <w:jc w:val="both"/>
        <w:rPr>
          <w:rFonts w:ascii="David" w:hAnsi="David" w:cs="David"/>
          <w:sz w:val="24"/>
          <w:szCs w:val="24"/>
          <w:rtl/>
        </w:rPr>
      </w:pPr>
      <w:r w:rsidRPr="00F25744">
        <w:rPr>
          <w:rFonts w:ascii="David" w:hAnsi="David" w:cs="David" w:hint="cs"/>
          <w:sz w:val="24"/>
          <w:szCs w:val="24"/>
          <w:rtl/>
        </w:rPr>
        <w:t>המעבר בין המסכים מתבצע על ידי לחיצה על כפתור "הבא".</w:t>
      </w:r>
    </w:p>
    <w:p w14:paraId="0CAAD88C" w14:textId="77777777" w:rsidR="005E4C22" w:rsidRPr="00F25744" w:rsidRDefault="00E25AE7" w:rsidP="005E4C22">
      <w:pPr>
        <w:spacing w:before="120" w:after="0" w:line="360" w:lineRule="auto"/>
        <w:jc w:val="both"/>
        <w:rPr>
          <w:rFonts w:ascii="David" w:hAnsi="David" w:cs="David"/>
          <w:sz w:val="24"/>
          <w:szCs w:val="24"/>
          <w:rtl/>
        </w:rPr>
      </w:pPr>
      <w:r w:rsidRPr="00F25744">
        <w:rPr>
          <w:rFonts w:ascii="David" w:hAnsi="David" w:cs="David" w:hint="cs"/>
          <w:sz w:val="24"/>
          <w:szCs w:val="24"/>
          <w:rtl/>
        </w:rPr>
        <w:t>אנא מלא/י את השאלון עד לשליחה הסופית של הנתונים באמצעות כפתור "שלח" וקבלת מסך "אישור".</w:t>
      </w:r>
    </w:p>
    <w:p w14:paraId="11423519" w14:textId="77777777" w:rsidR="005E4C22" w:rsidRPr="00F25744" w:rsidRDefault="00E25AE7" w:rsidP="00341018">
      <w:pPr>
        <w:numPr>
          <w:ilvl w:val="0"/>
          <w:numId w:val="31"/>
        </w:numPr>
        <w:spacing w:before="120" w:after="0" w:line="360" w:lineRule="auto"/>
        <w:jc w:val="both"/>
        <w:rPr>
          <w:rFonts w:ascii="David" w:hAnsi="David" w:cs="David"/>
          <w:b/>
          <w:bCs/>
          <w:sz w:val="24"/>
          <w:szCs w:val="24"/>
          <w:u w:val="single"/>
          <w:rtl/>
        </w:rPr>
      </w:pPr>
      <w:r w:rsidRPr="00F25744">
        <w:rPr>
          <w:rFonts w:ascii="David" w:hAnsi="David" w:cs="David" w:hint="cs"/>
          <w:b/>
          <w:bCs/>
          <w:sz w:val="24"/>
          <w:szCs w:val="24"/>
          <w:u w:val="single"/>
          <w:rtl/>
        </w:rPr>
        <w:t>דירוג סוגי התיקים (יפורט בהמשך לפי הערכאות השונות)</w:t>
      </w:r>
    </w:p>
    <w:p w14:paraId="33FBC970" w14:textId="77777777" w:rsidR="005E4C22" w:rsidRPr="00F25744" w:rsidRDefault="00E25AE7" w:rsidP="00341018">
      <w:pPr>
        <w:numPr>
          <w:ilvl w:val="0"/>
          <w:numId w:val="31"/>
        </w:numPr>
        <w:spacing w:before="120" w:after="0" w:line="360" w:lineRule="auto"/>
        <w:jc w:val="both"/>
        <w:rPr>
          <w:rFonts w:ascii="David" w:hAnsi="David" w:cs="David"/>
          <w:b/>
          <w:bCs/>
          <w:sz w:val="24"/>
          <w:szCs w:val="24"/>
          <w:u w:val="single"/>
          <w:rtl/>
        </w:rPr>
      </w:pPr>
      <w:r w:rsidRPr="00F25744">
        <w:rPr>
          <w:rFonts w:ascii="David" w:hAnsi="David" w:cs="David" w:hint="cs"/>
          <w:b/>
          <w:bCs/>
          <w:sz w:val="24"/>
          <w:szCs w:val="24"/>
          <w:u w:val="single"/>
          <w:rtl/>
        </w:rPr>
        <w:t>שאלות כלליות (יפורט בהמשך לפי הערכאות השונות)</w:t>
      </w:r>
    </w:p>
    <w:p w14:paraId="5D6BA0DB" w14:textId="77777777" w:rsidR="005E4C22" w:rsidRPr="00F25744" w:rsidRDefault="00E25AE7" w:rsidP="00341018">
      <w:pPr>
        <w:numPr>
          <w:ilvl w:val="0"/>
          <w:numId w:val="31"/>
        </w:numPr>
        <w:spacing w:before="120" w:after="0" w:line="360" w:lineRule="auto"/>
        <w:jc w:val="both"/>
        <w:rPr>
          <w:rFonts w:ascii="David" w:hAnsi="David" w:cs="David"/>
          <w:b/>
          <w:bCs/>
          <w:sz w:val="24"/>
          <w:szCs w:val="24"/>
          <w:u w:val="single"/>
        </w:rPr>
      </w:pPr>
      <w:r w:rsidRPr="00F25744">
        <w:rPr>
          <w:rFonts w:ascii="David" w:hAnsi="David" w:cs="David" w:hint="cs"/>
          <w:b/>
          <w:bCs/>
          <w:sz w:val="24"/>
          <w:szCs w:val="24"/>
          <w:u w:val="single"/>
          <w:rtl/>
        </w:rPr>
        <w:t>שאלות ספציפיות בחלק מסוגי התיקים שסומנו (יפורט בהמשך לפי הערכאות השונות)</w:t>
      </w:r>
    </w:p>
    <w:p w14:paraId="0506E33B" w14:textId="77777777" w:rsidR="005E4C22" w:rsidRPr="00F25744" w:rsidRDefault="00E25AE7" w:rsidP="00341018">
      <w:pPr>
        <w:numPr>
          <w:ilvl w:val="0"/>
          <w:numId w:val="31"/>
        </w:numPr>
        <w:spacing w:before="120" w:after="0" w:line="240" w:lineRule="auto"/>
        <w:jc w:val="both"/>
        <w:rPr>
          <w:rFonts w:ascii="David" w:hAnsi="David" w:cs="David"/>
          <w:sz w:val="24"/>
          <w:szCs w:val="24"/>
        </w:rPr>
      </w:pPr>
      <w:r w:rsidRPr="00F25744">
        <w:rPr>
          <w:rFonts w:ascii="David" w:hAnsi="David" w:cs="David" w:hint="cs"/>
          <w:b/>
          <w:bCs/>
          <w:sz w:val="24"/>
          <w:szCs w:val="24"/>
          <w:u w:val="single"/>
          <w:rtl/>
        </w:rPr>
        <w:t>רצף היגדים לבדיקת מידת הסכמה</w:t>
      </w:r>
      <w:r w:rsidRPr="00F25744">
        <w:rPr>
          <w:rFonts w:ascii="David" w:hAnsi="David" w:cs="David" w:hint="cs"/>
          <w:sz w:val="24"/>
          <w:szCs w:val="24"/>
          <w:rtl/>
        </w:rPr>
        <w:t xml:space="preserve"> </w:t>
      </w:r>
    </w:p>
    <w:p w14:paraId="7447F099" w14:textId="77777777" w:rsidR="005E4C22" w:rsidRPr="00F25744" w:rsidRDefault="005E4C22" w:rsidP="005E4C22">
      <w:pPr>
        <w:spacing w:before="120" w:after="0" w:line="240" w:lineRule="auto"/>
        <w:ind w:left="360"/>
        <w:jc w:val="both"/>
        <w:rPr>
          <w:rFonts w:ascii="David" w:hAnsi="David" w:cs="David"/>
          <w:sz w:val="16"/>
          <w:szCs w:val="16"/>
        </w:rPr>
      </w:pPr>
    </w:p>
    <w:p w14:paraId="06E61732" w14:textId="77777777" w:rsidR="005E4C22" w:rsidRPr="00F25744" w:rsidRDefault="00E25AE7" w:rsidP="005E4C22">
      <w:pPr>
        <w:spacing w:before="120" w:after="0" w:line="360" w:lineRule="auto"/>
        <w:ind w:left="360"/>
        <w:jc w:val="both"/>
        <w:rPr>
          <w:rFonts w:ascii="David" w:hAnsi="David" w:cs="David"/>
          <w:sz w:val="24"/>
          <w:szCs w:val="24"/>
        </w:rPr>
      </w:pPr>
      <w:r w:rsidRPr="00F25744">
        <w:rPr>
          <w:rFonts w:ascii="David" w:hAnsi="David" w:cs="David" w:hint="cs"/>
          <w:sz w:val="24"/>
          <w:szCs w:val="24"/>
          <w:rtl/>
        </w:rPr>
        <w:t>לפניך רצף של היגדים. אנא סמן/ני את מידת הסכמתך עימם (מסכים/ נוטה להסכים/ נוטה לא להסכים/ לא מסכים/ לא רלבנטי).</w:t>
      </w:r>
    </w:p>
    <w:p w14:paraId="44148526" w14:textId="77777777" w:rsidR="005E4C22" w:rsidRPr="00F25744" w:rsidRDefault="00E25AE7" w:rsidP="005E4C22">
      <w:pPr>
        <w:spacing w:before="120" w:after="0" w:line="360" w:lineRule="auto"/>
        <w:ind w:left="1153" w:hanging="793"/>
        <w:jc w:val="both"/>
        <w:rPr>
          <w:rFonts w:ascii="David" w:hAnsi="David" w:cs="David"/>
          <w:sz w:val="24"/>
          <w:szCs w:val="24"/>
        </w:rPr>
      </w:pPr>
      <w:r w:rsidRPr="00F25744">
        <w:rPr>
          <w:rFonts w:ascii="David" w:hAnsi="David" w:cs="David" w:hint="cs"/>
          <w:b/>
          <w:bCs/>
          <w:sz w:val="24"/>
          <w:szCs w:val="24"/>
          <w:rtl/>
        </w:rPr>
        <w:t xml:space="preserve">היגד א': </w:t>
      </w:r>
      <w:r w:rsidRPr="00F25744">
        <w:rPr>
          <w:rFonts w:ascii="David" w:hAnsi="David" w:cs="David" w:hint="cs"/>
          <w:sz w:val="24"/>
          <w:szCs w:val="24"/>
          <w:rtl/>
        </w:rPr>
        <w:t>מילוי יומן העבודה בתקופת המחקר אפשר לי לעצור ולבחון את עומס העבודה המוטל עליי ואת משך יום העבודה שלי.</w:t>
      </w:r>
    </w:p>
    <w:p w14:paraId="6244CE2E" w14:textId="77777777" w:rsidR="005E4C22" w:rsidRPr="00F25744" w:rsidRDefault="00E25AE7" w:rsidP="005E4C22">
      <w:pPr>
        <w:spacing w:before="120" w:after="0" w:line="360" w:lineRule="auto"/>
        <w:ind w:left="360"/>
        <w:jc w:val="both"/>
        <w:rPr>
          <w:rFonts w:ascii="David" w:hAnsi="David" w:cs="David"/>
          <w:sz w:val="24"/>
          <w:szCs w:val="24"/>
          <w:rtl/>
        </w:rPr>
      </w:pPr>
      <w:r w:rsidRPr="00F25744">
        <w:rPr>
          <w:rFonts w:ascii="David" w:hAnsi="David" w:cs="David" w:hint="cs"/>
          <w:b/>
          <w:bCs/>
          <w:sz w:val="24"/>
          <w:szCs w:val="24"/>
          <w:rtl/>
        </w:rPr>
        <w:t xml:space="preserve">היגד ב': </w:t>
      </w:r>
      <w:r w:rsidRPr="00F25744">
        <w:rPr>
          <w:rFonts w:ascii="David" w:hAnsi="David" w:cs="David" w:hint="cs"/>
          <w:sz w:val="24"/>
          <w:szCs w:val="24"/>
          <w:rtl/>
        </w:rPr>
        <w:t>עומס העבודה המוטל עליי הוא סביר ומידתי.</w:t>
      </w:r>
    </w:p>
    <w:p w14:paraId="04A6B094" w14:textId="77777777" w:rsidR="005E4C22" w:rsidRPr="00F25744" w:rsidRDefault="00E25AE7" w:rsidP="005E4C22">
      <w:pPr>
        <w:spacing w:before="120" w:after="0" w:line="360" w:lineRule="auto"/>
        <w:ind w:left="1218" w:hanging="850"/>
        <w:jc w:val="both"/>
        <w:rPr>
          <w:rFonts w:ascii="David" w:hAnsi="David" w:cs="David"/>
          <w:sz w:val="24"/>
          <w:szCs w:val="24"/>
          <w:rtl/>
        </w:rPr>
      </w:pPr>
      <w:r w:rsidRPr="00F25744">
        <w:rPr>
          <w:rFonts w:ascii="David" w:hAnsi="David" w:cs="David" w:hint="cs"/>
          <w:b/>
          <w:bCs/>
          <w:sz w:val="24"/>
          <w:szCs w:val="24"/>
          <w:rtl/>
        </w:rPr>
        <w:t xml:space="preserve">היגד ג': </w:t>
      </w:r>
      <w:r w:rsidRPr="00F25744">
        <w:rPr>
          <w:rFonts w:ascii="David" w:hAnsi="David" w:cs="David" w:hint="cs"/>
          <w:sz w:val="24"/>
          <w:szCs w:val="24"/>
          <w:rtl/>
        </w:rPr>
        <w:t>לעתים קרובות אני נדרש/ת לזמינות לעבודה לאחר שעות העבודה, ומרבה לעבוד מהבית.</w:t>
      </w:r>
    </w:p>
    <w:p w14:paraId="09D0C688" w14:textId="77777777" w:rsidR="005E4C22" w:rsidRPr="00F25744" w:rsidRDefault="00E25AE7" w:rsidP="005E4C22">
      <w:pPr>
        <w:spacing w:before="120" w:after="0" w:line="360" w:lineRule="auto"/>
        <w:ind w:left="1153" w:hanging="793"/>
        <w:jc w:val="both"/>
        <w:rPr>
          <w:rFonts w:ascii="David" w:hAnsi="David" w:cs="David"/>
          <w:sz w:val="24"/>
          <w:szCs w:val="24"/>
          <w:rtl/>
        </w:rPr>
      </w:pPr>
      <w:r w:rsidRPr="00F25744">
        <w:rPr>
          <w:rFonts w:ascii="David" w:hAnsi="David" w:cs="David" w:hint="cs"/>
          <w:b/>
          <w:bCs/>
          <w:sz w:val="24"/>
          <w:szCs w:val="24"/>
          <w:rtl/>
        </w:rPr>
        <w:t xml:space="preserve">היגד ד': </w:t>
      </w:r>
      <w:r w:rsidRPr="00F25744">
        <w:rPr>
          <w:rFonts w:ascii="David" w:hAnsi="David" w:cs="David" w:hint="cs"/>
          <w:sz w:val="24"/>
          <w:szCs w:val="24"/>
          <w:rtl/>
        </w:rPr>
        <w:t>חסרים תהליכי למידה או הכוונה כיצד לתעדף משימות שיפוטיות ולייעל את הספק ומשך העבודה.</w:t>
      </w:r>
    </w:p>
    <w:p w14:paraId="295CFBB1" w14:textId="77777777" w:rsidR="005E4C22" w:rsidRPr="00F25744" w:rsidRDefault="00E25AE7" w:rsidP="005E4C22">
      <w:pPr>
        <w:spacing w:before="120" w:after="0" w:line="360" w:lineRule="auto"/>
        <w:ind w:left="360"/>
        <w:jc w:val="both"/>
        <w:rPr>
          <w:rFonts w:ascii="David" w:hAnsi="David" w:cs="David"/>
          <w:sz w:val="24"/>
          <w:szCs w:val="24"/>
          <w:rtl/>
        </w:rPr>
      </w:pPr>
      <w:r w:rsidRPr="00F25744">
        <w:rPr>
          <w:rFonts w:ascii="David" w:hAnsi="David" w:cs="David" w:hint="cs"/>
          <w:b/>
          <w:bCs/>
          <w:sz w:val="24"/>
          <w:szCs w:val="24"/>
          <w:rtl/>
        </w:rPr>
        <w:t xml:space="preserve">היגד ה': </w:t>
      </w:r>
      <w:r w:rsidRPr="00F25744">
        <w:rPr>
          <w:rFonts w:ascii="David" w:hAnsi="David" w:cs="David" w:hint="cs"/>
          <w:sz w:val="24"/>
          <w:szCs w:val="24"/>
          <w:rtl/>
        </w:rPr>
        <w:t>האחריות ועומס התיקים המוטלים עליי הם גדולים מדי.</w:t>
      </w:r>
    </w:p>
    <w:p w14:paraId="6F307630" w14:textId="77777777" w:rsidR="005E4C22" w:rsidRPr="00F25744" w:rsidRDefault="00E25AE7" w:rsidP="005E4C22">
      <w:pPr>
        <w:spacing w:before="120" w:after="0" w:line="360" w:lineRule="auto"/>
        <w:ind w:left="360"/>
        <w:jc w:val="both"/>
        <w:rPr>
          <w:rFonts w:ascii="David" w:hAnsi="David" w:cs="David"/>
          <w:sz w:val="24"/>
          <w:szCs w:val="24"/>
          <w:rtl/>
        </w:rPr>
      </w:pPr>
      <w:r w:rsidRPr="00F25744">
        <w:rPr>
          <w:rFonts w:ascii="David" w:hAnsi="David" w:cs="David" w:hint="cs"/>
          <w:b/>
          <w:bCs/>
          <w:sz w:val="24"/>
          <w:szCs w:val="24"/>
          <w:rtl/>
        </w:rPr>
        <w:t>היגד ו':</w:t>
      </w:r>
      <w:r w:rsidRPr="00F25744">
        <w:rPr>
          <w:rFonts w:ascii="David" w:hAnsi="David" w:cs="David" w:hint="cs"/>
          <w:sz w:val="24"/>
          <w:szCs w:val="24"/>
          <w:rtl/>
        </w:rPr>
        <w:t xml:space="preserve"> חסרים לי אנשים שאיתם אוכל לחלוק את הקשיים והאתגרים בעבודה שלי.</w:t>
      </w:r>
    </w:p>
    <w:p w14:paraId="3132F4D1" w14:textId="77777777" w:rsidR="005E4C22" w:rsidRPr="00F25744" w:rsidRDefault="00E25AE7" w:rsidP="005E4C22">
      <w:pPr>
        <w:spacing w:before="120" w:after="0" w:line="360" w:lineRule="auto"/>
        <w:ind w:left="360"/>
        <w:jc w:val="both"/>
        <w:rPr>
          <w:rFonts w:ascii="David" w:hAnsi="David" w:cs="David"/>
          <w:sz w:val="24"/>
          <w:szCs w:val="24"/>
        </w:rPr>
      </w:pPr>
      <w:r w:rsidRPr="00F25744">
        <w:rPr>
          <w:rFonts w:ascii="David" w:hAnsi="David" w:cs="David" w:hint="cs"/>
          <w:b/>
          <w:bCs/>
          <w:sz w:val="24"/>
          <w:szCs w:val="24"/>
          <w:rtl/>
        </w:rPr>
        <w:t>היגד ז':</w:t>
      </w:r>
      <w:r w:rsidRPr="00F25744">
        <w:rPr>
          <w:rFonts w:ascii="David" w:hAnsi="David" w:cs="David" w:hint="cs"/>
          <w:sz w:val="24"/>
          <w:szCs w:val="24"/>
          <w:rtl/>
        </w:rPr>
        <w:t xml:space="preserve"> קשה לי לאזן את חיי העבודה עם חיי הפרטיים.</w:t>
      </w:r>
    </w:p>
    <w:p w14:paraId="0AE6C6A1" w14:textId="77777777" w:rsidR="005E4C22" w:rsidRPr="00F25744" w:rsidRDefault="00E25AE7" w:rsidP="005E4C22">
      <w:pPr>
        <w:spacing w:before="120" w:after="0" w:line="360" w:lineRule="auto"/>
        <w:ind w:left="360"/>
        <w:jc w:val="both"/>
        <w:rPr>
          <w:rFonts w:ascii="David" w:hAnsi="David" w:cs="David"/>
          <w:sz w:val="24"/>
          <w:szCs w:val="24"/>
        </w:rPr>
      </w:pPr>
      <w:r w:rsidRPr="00F25744">
        <w:rPr>
          <w:rFonts w:ascii="David" w:hAnsi="David" w:cs="David" w:hint="cs"/>
          <w:b/>
          <w:bCs/>
          <w:sz w:val="24"/>
          <w:szCs w:val="24"/>
          <w:rtl/>
        </w:rPr>
        <w:t>היגד ח':</w:t>
      </w:r>
      <w:r w:rsidRPr="00F25744">
        <w:rPr>
          <w:rFonts w:ascii="David" w:hAnsi="David" w:cs="David" w:hint="cs"/>
          <w:sz w:val="24"/>
          <w:szCs w:val="24"/>
          <w:rtl/>
        </w:rPr>
        <w:t xml:space="preserve"> אני צריכ/ה להסתיר </w:t>
      </w:r>
      <w:r w:rsidRPr="00F25744">
        <w:rPr>
          <w:rFonts w:ascii="David" w:hAnsi="David" w:cs="David" w:hint="cs"/>
          <w:b/>
          <w:bCs/>
          <w:sz w:val="24"/>
          <w:szCs w:val="24"/>
          <w:rtl/>
        </w:rPr>
        <w:t>ולהדחיק</w:t>
      </w:r>
      <w:r w:rsidRPr="00F25744">
        <w:rPr>
          <w:rFonts w:ascii="David" w:hAnsi="David" w:cs="David" w:hint="cs"/>
          <w:sz w:val="24"/>
          <w:szCs w:val="24"/>
          <w:rtl/>
        </w:rPr>
        <w:t xml:space="preserve"> את רגשותיי האמתיים כשאני ממלא/ת את תפקידי </w:t>
      </w:r>
    </w:p>
    <w:p w14:paraId="525EB3A7" w14:textId="745EE12D" w:rsidR="005E4C22" w:rsidRDefault="00E25AE7" w:rsidP="005E4C22">
      <w:pPr>
        <w:spacing w:before="120" w:after="0" w:line="360" w:lineRule="auto"/>
        <w:ind w:left="360"/>
        <w:jc w:val="both"/>
        <w:rPr>
          <w:rFonts w:ascii="David" w:hAnsi="David" w:cs="David"/>
          <w:sz w:val="24"/>
          <w:szCs w:val="24"/>
          <w:rtl/>
        </w:rPr>
      </w:pPr>
      <w:r w:rsidRPr="00F25744">
        <w:rPr>
          <w:rFonts w:ascii="David" w:hAnsi="David" w:cs="David" w:hint="cs"/>
          <w:b/>
          <w:bCs/>
          <w:sz w:val="24"/>
          <w:szCs w:val="24"/>
          <w:rtl/>
        </w:rPr>
        <w:t>היגד ט':</w:t>
      </w:r>
      <w:r w:rsidRPr="00F25744">
        <w:rPr>
          <w:rFonts w:ascii="David" w:hAnsi="David" w:cs="David" w:hint="cs"/>
          <w:sz w:val="24"/>
          <w:szCs w:val="24"/>
          <w:rtl/>
        </w:rPr>
        <w:t xml:space="preserve"> בעבודה שלי חסרים </w:t>
      </w:r>
      <w:r w:rsidRPr="00F25744">
        <w:rPr>
          <w:rFonts w:ascii="David" w:hAnsi="David" w:cs="David" w:hint="cs"/>
          <w:b/>
          <w:bCs/>
          <w:sz w:val="24"/>
          <w:szCs w:val="24"/>
          <w:rtl/>
        </w:rPr>
        <w:t>כלים</w:t>
      </w:r>
      <w:r w:rsidRPr="00F25744">
        <w:rPr>
          <w:rFonts w:ascii="David" w:hAnsi="David" w:cs="David" w:hint="cs"/>
          <w:sz w:val="24"/>
          <w:szCs w:val="24"/>
          <w:rtl/>
        </w:rPr>
        <w:t xml:space="preserve"> שיסייעו לעובד החווה קושי בשל עומס רגשי או חשיפה לאירועים קשים. </w:t>
      </w:r>
    </w:p>
    <w:p w14:paraId="76F16944" w14:textId="6B843858" w:rsidR="00DB5BCC" w:rsidRDefault="00DB5BCC" w:rsidP="005E4C22">
      <w:pPr>
        <w:spacing w:before="120" w:after="0" w:line="360" w:lineRule="auto"/>
        <w:ind w:left="360"/>
        <w:jc w:val="both"/>
        <w:rPr>
          <w:rFonts w:ascii="David" w:hAnsi="David" w:cs="David"/>
          <w:sz w:val="24"/>
          <w:szCs w:val="24"/>
        </w:rPr>
      </w:pPr>
    </w:p>
    <w:p w14:paraId="4A726B53" w14:textId="77777777" w:rsidR="00DB5BCC" w:rsidRPr="00F25744" w:rsidRDefault="00DB5BCC" w:rsidP="005E4C22">
      <w:pPr>
        <w:spacing w:before="120" w:after="0" w:line="360" w:lineRule="auto"/>
        <w:ind w:left="360"/>
        <w:jc w:val="both"/>
        <w:rPr>
          <w:rFonts w:ascii="David" w:hAnsi="David" w:cs="David"/>
          <w:sz w:val="24"/>
          <w:szCs w:val="24"/>
        </w:rPr>
      </w:pPr>
    </w:p>
    <w:p w14:paraId="161EEB1B" w14:textId="77777777" w:rsidR="005E4C22" w:rsidRPr="00F25744" w:rsidRDefault="00E25AE7" w:rsidP="00341018">
      <w:pPr>
        <w:numPr>
          <w:ilvl w:val="0"/>
          <w:numId w:val="32"/>
        </w:numPr>
        <w:spacing w:before="120" w:after="0" w:line="360" w:lineRule="auto"/>
        <w:ind w:left="368" w:hanging="426"/>
        <w:jc w:val="both"/>
        <w:rPr>
          <w:rFonts w:ascii="David" w:hAnsi="David" w:cs="David"/>
          <w:b/>
          <w:bCs/>
          <w:sz w:val="24"/>
          <w:szCs w:val="24"/>
          <w:u w:val="single"/>
          <w:rtl/>
        </w:rPr>
      </w:pPr>
      <w:r w:rsidRPr="00F25744">
        <w:rPr>
          <w:rFonts w:ascii="David" w:hAnsi="David" w:cs="David" w:hint="cs"/>
          <w:b/>
          <w:bCs/>
          <w:sz w:val="24"/>
          <w:szCs w:val="24"/>
          <w:u w:val="single"/>
          <w:rtl/>
        </w:rPr>
        <w:lastRenderedPageBreak/>
        <w:t>עומס רגשי</w:t>
      </w:r>
    </w:p>
    <w:p w14:paraId="3B2E31B1" w14:textId="77777777" w:rsidR="005E4C22" w:rsidRPr="00F25744" w:rsidRDefault="00E25AE7" w:rsidP="005E4C22">
      <w:pPr>
        <w:spacing w:before="120" w:after="0" w:line="360" w:lineRule="auto"/>
        <w:jc w:val="both"/>
        <w:rPr>
          <w:rFonts w:ascii="David" w:hAnsi="David" w:cs="David"/>
          <w:sz w:val="24"/>
          <w:szCs w:val="24"/>
        </w:rPr>
      </w:pPr>
      <w:r w:rsidRPr="00F25744">
        <w:rPr>
          <w:rFonts w:ascii="David" w:hAnsi="David" w:cs="David" w:hint="cs"/>
          <w:sz w:val="24"/>
          <w:szCs w:val="24"/>
          <w:rtl/>
        </w:rPr>
        <w:t xml:space="preserve">עובר לתחילת המחקר, התבקשנו על ידי שופטים ונשיאים, במיוחד מערכאת הנוער, לנסות למדוד במסגרת מדד עומס העבודה השיפוטית, גם את העומס הרגשי אשר מטילים תיקים מסוגים מסוימים על השופטים המטפלים בהם. לצערנו, לא יכולנו למדוד את מידת העומס הרגשי בדרך שניתנת לכימות במסגרת המדד הנוכחי, אולם ננסה באמצעות שאלון זה לתת לעומס הרגשי ביטוי מסוים בדוח המלא. לצורך כך נודה אם תוכלו להשיב בכנות על השאלות הבאות. </w:t>
      </w:r>
    </w:p>
    <w:p w14:paraId="763526B1" w14:textId="77777777" w:rsidR="005E4C22" w:rsidRPr="00F25744" w:rsidRDefault="00E25AE7" w:rsidP="005E4C22">
      <w:pPr>
        <w:spacing w:before="120" w:after="0" w:line="360" w:lineRule="auto"/>
        <w:jc w:val="both"/>
        <w:rPr>
          <w:rFonts w:ascii="David" w:hAnsi="David" w:cs="David"/>
          <w:sz w:val="24"/>
          <w:szCs w:val="24"/>
          <w:rtl/>
        </w:rPr>
      </w:pPr>
      <w:r w:rsidRPr="00F25744">
        <w:rPr>
          <w:rFonts w:ascii="David" w:hAnsi="David" w:cs="David" w:hint="cs"/>
          <w:sz w:val="24"/>
          <w:szCs w:val="24"/>
          <w:rtl/>
        </w:rPr>
        <w:t>אם התיקים שבהם את/ה מטפל/ת אינם מטילים עליך עומס רגשי מיוחד או שאינך מעוניין/נת להשיב על חלק זה של השאלון, תוכל/י לסמן את האופציה המתאימה וללחוץ על כפתור "הבא" ובכך להגיע לשאלות האחרונות של השאלון.</w:t>
      </w:r>
    </w:p>
    <w:p w14:paraId="701A5ADF" w14:textId="77777777" w:rsidR="005E4C22" w:rsidRPr="00F25744" w:rsidRDefault="00E25AE7" w:rsidP="00341018">
      <w:pPr>
        <w:numPr>
          <w:ilvl w:val="0"/>
          <w:numId w:val="34"/>
        </w:numPr>
        <w:spacing w:before="120" w:after="0" w:line="360" w:lineRule="auto"/>
        <w:jc w:val="both"/>
        <w:rPr>
          <w:rFonts w:ascii="David" w:hAnsi="David" w:cs="David"/>
          <w:sz w:val="24"/>
          <w:szCs w:val="24"/>
          <w:rtl/>
        </w:rPr>
      </w:pPr>
      <w:r w:rsidRPr="00F25744">
        <w:rPr>
          <w:rFonts w:ascii="David" w:hAnsi="David" w:cs="David" w:hint="cs"/>
          <w:sz w:val="24"/>
          <w:szCs w:val="24"/>
          <w:rtl/>
        </w:rPr>
        <w:t xml:space="preserve">האם התיקים שבהם את/ה מטפל/ת מטילים עליך עומס רגשי מיוחד? </w:t>
      </w:r>
    </w:p>
    <w:p w14:paraId="3E1CFF8B" w14:textId="77777777" w:rsidR="005E4C22" w:rsidRPr="00F25744" w:rsidRDefault="00E25AE7" w:rsidP="00341018">
      <w:pPr>
        <w:numPr>
          <w:ilvl w:val="0"/>
          <w:numId w:val="25"/>
        </w:numPr>
        <w:spacing w:before="120" w:after="0" w:line="360" w:lineRule="auto"/>
        <w:ind w:left="991" w:hanging="283"/>
        <w:jc w:val="both"/>
        <w:rPr>
          <w:rFonts w:ascii="David" w:hAnsi="David" w:cs="David"/>
          <w:b/>
          <w:bCs/>
          <w:sz w:val="24"/>
          <w:szCs w:val="24"/>
          <w:rtl/>
        </w:rPr>
      </w:pPr>
      <w:r w:rsidRPr="00F25744">
        <w:rPr>
          <w:rFonts w:ascii="David" w:hAnsi="David" w:cs="David" w:hint="cs"/>
          <w:b/>
          <w:bCs/>
          <w:sz w:val="24"/>
          <w:szCs w:val="24"/>
          <w:rtl/>
        </w:rPr>
        <w:t>התיקים שבהם אני מטפל/ת אינם מטילים עליי עומס רגשי מיוחד</w:t>
      </w:r>
    </w:p>
    <w:p w14:paraId="79844BF0" w14:textId="77777777" w:rsidR="005E4C22" w:rsidRPr="00F25744" w:rsidRDefault="00E25AE7" w:rsidP="00341018">
      <w:pPr>
        <w:numPr>
          <w:ilvl w:val="0"/>
          <w:numId w:val="25"/>
        </w:numPr>
        <w:spacing w:before="120" w:after="0" w:line="360" w:lineRule="auto"/>
        <w:ind w:left="991" w:hanging="283"/>
        <w:jc w:val="both"/>
        <w:rPr>
          <w:rFonts w:ascii="David" w:hAnsi="David" w:cs="David"/>
          <w:b/>
          <w:bCs/>
          <w:sz w:val="24"/>
          <w:szCs w:val="24"/>
        </w:rPr>
      </w:pPr>
      <w:r w:rsidRPr="00F25744">
        <w:rPr>
          <w:rFonts w:ascii="David" w:hAnsi="David" w:cs="David" w:hint="cs"/>
          <w:b/>
          <w:bCs/>
          <w:sz w:val="24"/>
          <w:szCs w:val="24"/>
          <w:rtl/>
        </w:rPr>
        <w:t>מעדיף/פה שלא להשיב על פרק העומס הרגשי בשאלון זה</w:t>
      </w:r>
    </w:p>
    <w:p w14:paraId="63622B39" w14:textId="77777777" w:rsidR="005E4C22" w:rsidRPr="00F25744" w:rsidRDefault="00E25AE7" w:rsidP="00341018">
      <w:pPr>
        <w:numPr>
          <w:ilvl w:val="0"/>
          <w:numId w:val="25"/>
        </w:numPr>
        <w:spacing w:before="120" w:after="0" w:line="360" w:lineRule="auto"/>
        <w:ind w:left="991" w:hanging="283"/>
        <w:jc w:val="both"/>
        <w:rPr>
          <w:rFonts w:ascii="David" w:hAnsi="David" w:cs="David"/>
          <w:b/>
          <w:bCs/>
          <w:sz w:val="24"/>
          <w:szCs w:val="24"/>
        </w:rPr>
      </w:pPr>
      <w:r w:rsidRPr="00F25744">
        <w:rPr>
          <w:rFonts w:ascii="David" w:hAnsi="David" w:cs="David" w:hint="cs"/>
          <w:b/>
          <w:bCs/>
          <w:sz w:val="24"/>
          <w:szCs w:val="24"/>
          <w:rtl/>
        </w:rPr>
        <w:t xml:space="preserve">התיקים שבהם אני מטפל/ת מטילים עליי עומס רגשי </w:t>
      </w:r>
      <w:r w:rsidRPr="00F25744">
        <w:rPr>
          <w:rFonts w:ascii="David" w:hAnsi="David" w:cs="David" w:hint="cs"/>
          <w:sz w:val="24"/>
          <w:szCs w:val="24"/>
          <w:rtl/>
        </w:rPr>
        <w:t>(ואנא סמן באילו סוגי תיקים)</w:t>
      </w:r>
    </w:p>
    <w:p w14:paraId="48211F6B" w14:textId="77777777" w:rsidR="005E4C22" w:rsidRPr="00F25744" w:rsidRDefault="00E25AE7" w:rsidP="00341018">
      <w:pPr>
        <w:numPr>
          <w:ilvl w:val="0"/>
          <w:numId w:val="34"/>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אנא סמן/ני בכל תיק שאותו סימנת בשאלה 1, </w:t>
      </w:r>
      <w:r w:rsidRPr="00F25744">
        <w:rPr>
          <w:rFonts w:ascii="David" w:hAnsi="David" w:cs="David" w:hint="cs"/>
          <w:b/>
          <w:bCs/>
          <w:sz w:val="24"/>
          <w:szCs w:val="24"/>
          <w:rtl/>
        </w:rPr>
        <w:t>עד כמה</w:t>
      </w:r>
      <w:r w:rsidRPr="00F25744">
        <w:rPr>
          <w:rFonts w:ascii="David" w:hAnsi="David" w:cs="David" w:hint="cs"/>
          <w:sz w:val="24"/>
          <w:szCs w:val="24"/>
          <w:rtl/>
        </w:rPr>
        <w:t xml:space="preserve"> הטיפול בו מטיל עליך </w:t>
      </w:r>
      <w:r w:rsidRPr="00F25744">
        <w:rPr>
          <w:rFonts w:ascii="David" w:hAnsi="David" w:cs="David" w:hint="cs"/>
          <w:b/>
          <w:bCs/>
          <w:sz w:val="24"/>
          <w:szCs w:val="24"/>
          <w:rtl/>
        </w:rPr>
        <w:t>עומס רגשי</w:t>
      </w:r>
      <w:r w:rsidRPr="00F25744">
        <w:rPr>
          <w:rFonts w:ascii="David" w:hAnsi="David" w:cs="David" w:hint="cs"/>
          <w:sz w:val="24"/>
          <w:szCs w:val="24"/>
          <w:rtl/>
        </w:rPr>
        <w:t>? (עומס רגשי כבד/ עומס רגשי בינוני/ עומס רגשי קל/ לא מטיל עומס רגשי/ לא רלבנטי).</w:t>
      </w:r>
    </w:p>
    <w:p w14:paraId="39BF336C" w14:textId="77777777" w:rsidR="005E4C22" w:rsidRPr="00F25744" w:rsidRDefault="00E25AE7" w:rsidP="00341018">
      <w:pPr>
        <w:numPr>
          <w:ilvl w:val="0"/>
          <w:numId w:val="34"/>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אנא סמן/ני את כמות התיקים מאותו סוג שהטיפול בהם מטיל עליך </w:t>
      </w:r>
      <w:r w:rsidRPr="00F25744">
        <w:rPr>
          <w:rFonts w:ascii="David" w:hAnsi="David" w:cs="David" w:hint="cs"/>
          <w:b/>
          <w:bCs/>
          <w:sz w:val="24"/>
          <w:szCs w:val="24"/>
          <w:rtl/>
        </w:rPr>
        <w:t>עומס רגשי מיוחד</w:t>
      </w:r>
      <w:r w:rsidRPr="00F25744">
        <w:rPr>
          <w:rFonts w:ascii="David" w:hAnsi="David" w:cs="David" w:hint="cs"/>
          <w:sz w:val="24"/>
          <w:szCs w:val="24"/>
          <w:rtl/>
        </w:rPr>
        <w:t>, בכל סוג תיק (חלק קטן מהתיקים/ כמחצית מהתיקים/ רוב התיקים/ כל התיקים).</w:t>
      </w:r>
    </w:p>
    <w:p w14:paraId="7724911F" w14:textId="77777777" w:rsidR="005E4C22" w:rsidRPr="00F25744" w:rsidRDefault="00E25AE7" w:rsidP="00341018">
      <w:pPr>
        <w:numPr>
          <w:ilvl w:val="0"/>
          <w:numId w:val="34"/>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אנא סמן/ני את כמות התיקים מאותו סוג שבהם נחוצה לך </w:t>
      </w:r>
      <w:r w:rsidRPr="00F25744">
        <w:rPr>
          <w:rFonts w:ascii="David" w:hAnsi="David" w:cs="David" w:hint="cs"/>
          <w:b/>
          <w:bCs/>
          <w:sz w:val="24"/>
          <w:szCs w:val="24"/>
          <w:rtl/>
        </w:rPr>
        <w:t>התייעצות</w:t>
      </w:r>
      <w:r w:rsidRPr="00F25744">
        <w:rPr>
          <w:rFonts w:ascii="David" w:hAnsi="David" w:cs="David" w:hint="cs"/>
          <w:sz w:val="24"/>
          <w:szCs w:val="24"/>
          <w:rtl/>
        </w:rPr>
        <w:t xml:space="preserve"> או </w:t>
      </w:r>
      <w:r w:rsidRPr="00F25744">
        <w:rPr>
          <w:rFonts w:ascii="David" w:hAnsi="David" w:cs="David" w:hint="cs"/>
          <w:b/>
          <w:bCs/>
          <w:sz w:val="24"/>
          <w:szCs w:val="24"/>
          <w:rtl/>
        </w:rPr>
        <w:t>שיחה</w:t>
      </w:r>
      <w:r w:rsidRPr="00F25744">
        <w:rPr>
          <w:rFonts w:ascii="David" w:hAnsi="David" w:cs="David" w:hint="cs"/>
          <w:sz w:val="24"/>
          <w:szCs w:val="24"/>
          <w:rtl/>
        </w:rPr>
        <w:t xml:space="preserve"> עם שופטים אחרים בשל הקושי הרגשי? (בכלל לא/ חלק קטן מהתיקים/ כמחצית מהתיקים/ רוב התיקים/ כל התיקים).</w:t>
      </w:r>
    </w:p>
    <w:p w14:paraId="50E038C3" w14:textId="77777777" w:rsidR="005E4C22" w:rsidRPr="00F25744" w:rsidRDefault="00E25AE7" w:rsidP="00341018">
      <w:pPr>
        <w:numPr>
          <w:ilvl w:val="0"/>
          <w:numId w:val="34"/>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אנא סמן/ני את כמות התיקים מאותו סוג שבהם את/ה </w:t>
      </w:r>
      <w:r w:rsidRPr="00F25744">
        <w:rPr>
          <w:rFonts w:ascii="David" w:hAnsi="David" w:cs="David" w:hint="cs"/>
          <w:b/>
          <w:bCs/>
          <w:sz w:val="24"/>
          <w:szCs w:val="24"/>
          <w:rtl/>
        </w:rPr>
        <w:t>ממשיך/ה לחשוב על התיק</w:t>
      </w:r>
      <w:r w:rsidRPr="00F25744">
        <w:rPr>
          <w:rFonts w:ascii="David" w:hAnsi="David" w:cs="David" w:hint="cs"/>
          <w:sz w:val="24"/>
          <w:szCs w:val="24"/>
          <w:rtl/>
        </w:rPr>
        <w:t xml:space="preserve"> מחוץ לשעות העבודה? (בכלל לא/ חלק קטן מהתיקים/ כמחצית מהתיקים/ רוב התיקים/ כל התיקים).</w:t>
      </w:r>
    </w:p>
    <w:p w14:paraId="44EE7D43" w14:textId="77777777" w:rsidR="005E4C22" w:rsidRPr="00F25744" w:rsidRDefault="00E25AE7" w:rsidP="00341018">
      <w:pPr>
        <w:numPr>
          <w:ilvl w:val="0"/>
          <w:numId w:val="34"/>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אנא סמן/ני את כמות התיקים מאותו סוג שבהם נדרש לך </w:t>
      </w:r>
      <w:r w:rsidRPr="00F25744">
        <w:rPr>
          <w:rFonts w:ascii="David" w:hAnsi="David" w:cs="David" w:hint="cs"/>
          <w:b/>
          <w:bCs/>
          <w:sz w:val="24"/>
          <w:szCs w:val="24"/>
          <w:rtl/>
        </w:rPr>
        <w:t>זמן התאווררות</w:t>
      </w:r>
      <w:r w:rsidRPr="00F25744">
        <w:rPr>
          <w:rFonts w:ascii="David" w:hAnsi="David" w:cs="David" w:hint="cs"/>
          <w:sz w:val="24"/>
          <w:szCs w:val="24"/>
          <w:rtl/>
        </w:rPr>
        <w:t xml:space="preserve"> עד שאתה מוכן לטיפול בתיק הבא? (בכלל לא/ חלק קטן מהתיקים/ כמחצית מהתיקים/ רוב התיקים/ כל התיקים).</w:t>
      </w:r>
    </w:p>
    <w:p w14:paraId="0C4846D0" w14:textId="5B434128" w:rsidR="005E4C22" w:rsidRDefault="00E25AE7" w:rsidP="00341018">
      <w:pPr>
        <w:numPr>
          <w:ilvl w:val="0"/>
          <w:numId w:val="34"/>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אנא סמן/ני את כמות התיקים מאותו סוג שבהם נדרש לך </w:t>
      </w:r>
      <w:r w:rsidRPr="00F25744">
        <w:rPr>
          <w:rFonts w:ascii="David" w:hAnsi="David" w:cs="David" w:hint="cs"/>
          <w:b/>
          <w:bCs/>
          <w:sz w:val="24"/>
          <w:szCs w:val="24"/>
          <w:rtl/>
        </w:rPr>
        <w:t>זמן רב יותר לטיפול משפטי</w:t>
      </w:r>
      <w:r w:rsidRPr="00F25744">
        <w:rPr>
          <w:rFonts w:ascii="David" w:hAnsi="David" w:cs="David" w:hint="cs"/>
          <w:sz w:val="24"/>
          <w:szCs w:val="24"/>
          <w:rtl/>
        </w:rPr>
        <w:t xml:space="preserve"> בתיק בשל העומס הרגשי (למשל, זמן דיונים ארוך יותר, זמן כתיבה ארוך יותר וכו') (בכלל לא/ בחלק קטן מהתיקים/ בכמחצית מהתיקים/ ברוב התיקים/ בכל התיקים).</w:t>
      </w:r>
    </w:p>
    <w:p w14:paraId="3E278269" w14:textId="72509800" w:rsidR="007C6E5B" w:rsidRDefault="007C6E5B" w:rsidP="007C6E5B">
      <w:pPr>
        <w:spacing w:before="120" w:after="0" w:line="360" w:lineRule="auto"/>
        <w:jc w:val="both"/>
        <w:rPr>
          <w:rFonts w:ascii="David" w:hAnsi="David" w:cs="David"/>
          <w:sz w:val="24"/>
          <w:szCs w:val="24"/>
          <w:rtl/>
        </w:rPr>
      </w:pPr>
    </w:p>
    <w:p w14:paraId="18E42001" w14:textId="51E811F7" w:rsidR="007C6E5B" w:rsidRDefault="007C6E5B" w:rsidP="007C6E5B">
      <w:pPr>
        <w:spacing w:before="120" w:after="0" w:line="360" w:lineRule="auto"/>
        <w:jc w:val="both"/>
        <w:rPr>
          <w:rFonts w:ascii="David" w:hAnsi="David" w:cs="David"/>
          <w:sz w:val="24"/>
          <w:szCs w:val="24"/>
          <w:rtl/>
        </w:rPr>
      </w:pPr>
    </w:p>
    <w:p w14:paraId="4F061D60" w14:textId="506F64D0" w:rsidR="00DB5BCC" w:rsidRDefault="00DB5BCC" w:rsidP="007C6E5B">
      <w:pPr>
        <w:spacing w:before="120" w:after="0" w:line="360" w:lineRule="auto"/>
        <w:jc w:val="both"/>
        <w:rPr>
          <w:rFonts w:ascii="David" w:hAnsi="David" w:cs="David"/>
          <w:sz w:val="24"/>
          <w:szCs w:val="24"/>
          <w:rtl/>
        </w:rPr>
      </w:pPr>
    </w:p>
    <w:p w14:paraId="5C7B72A7" w14:textId="77777777" w:rsidR="00DB5BCC" w:rsidRPr="00F25744" w:rsidRDefault="00DB5BCC" w:rsidP="007C6E5B">
      <w:pPr>
        <w:spacing w:before="120" w:after="0" w:line="360" w:lineRule="auto"/>
        <w:jc w:val="both"/>
        <w:rPr>
          <w:rFonts w:ascii="David" w:hAnsi="David" w:cs="David"/>
          <w:sz w:val="24"/>
          <w:szCs w:val="24"/>
        </w:rPr>
      </w:pPr>
    </w:p>
    <w:p w14:paraId="4BD15A60" w14:textId="3DD475F5" w:rsidR="005E4C22" w:rsidRPr="00F25744" w:rsidRDefault="00E25AE7" w:rsidP="007C6E5B">
      <w:pPr>
        <w:numPr>
          <w:ilvl w:val="0"/>
          <w:numId w:val="45"/>
        </w:numPr>
        <w:spacing w:before="120" w:after="0" w:line="360" w:lineRule="auto"/>
        <w:ind w:left="368" w:hanging="426"/>
        <w:jc w:val="both"/>
        <w:rPr>
          <w:rFonts w:ascii="David" w:hAnsi="David" w:cs="David"/>
          <w:sz w:val="24"/>
          <w:szCs w:val="24"/>
          <w:rtl/>
        </w:rPr>
      </w:pPr>
      <w:r w:rsidRPr="00F25744">
        <w:rPr>
          <w:rFonts w:ascii="David" w:hAnsi="David" w:cs="David" w:hint="cs"/>
          <w:b/>
          <w:bCs/>
          <w:sz w:val="24"/>
          <w:szCs w:val="24"/>
          <w:u w:val="single"/>
          <w:rtl/>
        </w:rPr>
        <w:lastRenderedPageBreak/>
        <w:t>שאלות פתוחות</w:t>
      </w:r>
      <w:r w:rsidR="007C6E5B">
        <w:rPr>
          <w:rFonts w:ascii="David" w:hAnsi="David" w:cs="David" w:hint="cs"/>
          <w:sz w:val="24"/>
          <w:szCs w:val="24"/>
          <w:rtl/>
        </w:rPr>
        <w:t xml:space="preserve"> </w:t>
      </w:r>
    </w:p>
    <w:p w14:paraId="3984F349" w14:textId="77777777" w:rsidR="005E4C22" w:rsidRPr="00F25744" w:rsidRDefault="00E25AE7" w:rsidP="00341018">
      <w:pPr>
        <w:numPr>
          <w:ilvl w:val="0"/>
          <w:numId w:val="33"/>
        </w:numPr>
        <w:spacing w:before="120" w:after="0" w:line="360" w:lineRule="auto"/>
        <w:ind w:left="793" w:hanging="425"/>
        <w:jc w:val="both"/>
        <w:rPr>
          <w:rFonts w:ascii="David" w:hAnsi="David" w:cs="David"/>
          <w:sz w:val="24"/>
          <w:szCs w:val="24"/>
        </w:rPr>
      </w:pPr>
      <w:r w:rsidRPr="00F25744">
        <w:rPr>
          <w:rFonts w:ascii="David" w:hAnsi="David" w:cs="David" w:hint="cs"/>
          <w:sz w:val="24"/>
          <w:szCs w:val="24"/>
          <w:rtl/>
        </w:rPr>
        <w:t>במהלך תקופת המחקר תיעדת את זמן העבודה הכרוך בטיפול בתיקים (זמני כתיבה, זמני דיונים וזמני הכנה לדיונים). כמו כן תיעדת את הזמן הכרוך בעבודה שיפוטית שאינה קשורה בתיקים (השתלמויות, ישיבות/ פגישות עבודה, אדמיניסטרציה וכו').</w:t>
      </w:r>
    </w:p>
    <w:p w14:paraId="3C760C44" w14:textId="77777777" w:rsidR="005E4C22" w:rsidRPr="00F25744" w:rsidRDefault="00E25AE7" w:rsidP="005E4C22">
      <w:pPr>
        <w:spacing w:before="120" w:after="0" w:line="360" w:lineRule="auto"/>
        <w:ind w:left="793"/>
        <w:jc w:val="both"/>
        <w:rPr>
          <w:rFonts w:ascii="David" w:hAnsi="David" w:cs="David"/>
          <w:sz w:val="24"/>
          <w:szCs w:val="24"/>
          <w:rtl/>
        </w:rPr>
      </w:pPr>
      <w:r w:rsidRPr="00F25744">
        <w:rPr>
          <w:rFonts w:ascii="David" w:hAnsi="David" w:cs="David" w:hint="cs"/>
          <w:sz w:val="24"/>
          <w:szCs w:val="24"/>
          <w:rtl/>
        </w:rPr>
        <w:t>האם יש לדעתך רכיבי עבודה נוספים המטילים עליך עומס ואשר לדעתך ניתנים למדידה, אך לא באו לידי ביטוי במסגרת המחקר? אם כן, אנא רשום/רשמי אותם כאן:</w:t>
      </w:r>
    </w:p>
    <w:p w14:paraId="3150AAE7" w14:textId="77777777" w:rsidR="007C6E5B" w:rsidRPr="007C6E5B" w:rsidRDefault="007C6E5B" w:rsidP="007C6E5B">
      <w:pPr>
        <w:spacing w:after="0" w:line="240" w:lineRule="auto"/>
        <w:ind w:left="427"/>
        <w:rPr>
          <w:rFonts w:ascii="David" w:hAnsi="David" w:cs="David"/>
          <w:sz w:val="24"/>
          <w:szCs w:val="24"/>
        </w:rPr>
      </w:pPr>
      <w:r w:rsidRPr="007C6E5B">
        <w:rPr>
          <w:rFonts w:ascii="David" w:hAnsi="David" w:cs="David" w:hint="cs"/>
          <w:sz w:val="24"/>
          <w:szCs w:val="24"/>
          <w:rtl/>
        </w:rPr>
        <w:t>__________________________________________________________________________________________________________________________________</w:t>
      </w:r>
      <w:r w:rsidRPr="007C6E5B">
        <w:rPr>
          <w:rFonts w:ascii="David" w:hAnsi="David" w:cs="David"/>
          <w:sz w:val="24"/>
          <w:szCs w:val="24"/>
        </w:rPr>
        <w:t>__________________</w:t>
      </w:r>
    </w:p>
    <w:p w14:paraId="6E48F98A" w14:textId="77777777" w:rsidR="005E4C22" w:rsidRPr="00F25744" w:rsidRDefault="00E25AE7" w:rsidP="00341018">
      <w:pPr>
        <w:numPr>
          <w:ilvl w:val="0"/>
          <w:numId w:val="25"/>
        </w:numPr>
        <w:spacing w:before="120" w:after="0" w:line="360" w:lineRule="auto"/>
        <w:ind w:left="793" w:hanging="425"/>
        <w:jc w:val="both"/>
        <w:rPr>
          <w:rFonts w:ascii="David" w:hAnsi="David" w:cs="David"/>
          <w:sz w:val="24"/>
          <w:szCs w:val="24"/>
          <w:rtl/>
        </w:rPr>
      </w:pPr>
      <w:r w:rsidRPr="00F25744">
        <w:rPr>
          <w:rFonts w:ascii="David" w:hAnsi="David" w:cs="David" w:hint="cs"/>
          <w:sz w:val="24"/>
          <w:szCs w:val="24"/>
          <w:rtl/>
        </w:rPr>
        <w:t>נשמח להתרשמות שלך על ממשק העבודה מול מחלקת המחקר, התמיכה הטכנית והמקצועית שקיבלת במהלך המחקר, נוחות המערכת להזנת היומנים או כל הערה אחרת הנוגעת למחקר:</w:t>
      </w:r>
    </w:p>
    <w:p w14:paraId="009A249D" w14:textId="77777777" w:rsidR="005E4C22" w:rsidRPr="00F25744" w:rsidRDefault="00E25AE7" w:rsidP="003D0688">
      <w:pPr>
        <w:pStyle w:val="a3"/>
        <w:bidi/>
        <w:spacing w:after="0" w:line="240" w:lineRule="auto"/>
        <w:ind w:left="368"/>
        <w:rPr>
          <w:rFonts w:ascii="David" w:hAnsi="David" w:cs="David"/>
          <w:sz w:val="24"/>
          <w:szCs w:val="24"/>
        </w:rPr>
      </w:pPr>
      <w:r w:rsidRPr="00F25744">
        <w:rPr>
          <w:rFonts w:ascii="David" w:hAnsi="David" w:cs="David" w:hint="cs"/>
          <w:sz w:val="24"/>
          <w:szCs w:val="24"/>
          <w:rtl/>
        </w:rPr>
        <w:t>__________________________________________________________________________________________________________________________________</w:t>
      </w:r>
      <w:r w:rsidR="003D0688" w:rsidRPr="00F25744">
        <w:rPr>
          <w:rFonts w:ascii="David" w:hAnsi="David" w:cs="David"/>
          <w:sz w:val="24"/>
          <w:szCs w:val="24"/>
        </w:rPr>
        <w:t>__________________</w:t>
      </w:r>
    </w:p>
    <w:p w14:paraId="347B49B7" w14:textId="77777777" w:rsidR="005E4C22" w:rsidRPr="00F25744" w:rsidRDefault="005E4C22" w:rsidP="005E4C22">
      <w:pPr>
        <w:spacing w:before="120" w:after="0" w:line="240" w:lineRule="auto"/>
        <w:ind w:left="793"/>
        <w:jc w:val="both"/>
        <w:rPr>
          <w:rFonts w:ascii="David" w:hAnsi="David" w:cs="David"/>
          <w:sz w:val="24"/>
          <w:szCs w:val="24"/>
          <w:rtl/>
        </w:rPr>
      </w:pPr>
    </w:p>
    <w:p w14:paraId="78C7D189" w14:textId="77777777" w:rsidR="005E4C22" w:rsidRPr="00F25744" w:rsidRDefault="00E25AE7" w:rsidP="005E4C22">
      <w:pPr>
        <w:spacing w:before="120" w:after="0" w:line="240" w:lineRule="auto"/>
        <w:jc w:val="right"/>
        <w:rPr>
          <w:rFonts w:ascii="David" w:hAnsi="David" w:cs="David"/>
          <w:b/>
          <w:bCs/>
          <w:sz w:val="24"/>
          <w:szCs w:val="24"/>
          <w:rtl/>
        </w:rPr>
      </w:pPr>
      <w:r w:rsidRPr="00F25744">
        <w:rPr>
          <w:rFonts w:ascii="David" w:hAnsi="David" w:cs="David" w:hint="cs"/>
          <w:b/>
          <w:bCs/>
          <w:sz w:val="24"/>
          <w:szCs w:val="24"/>
          <w:rtl/>
        </w:rPr>
        <w:t>תודה רבה על מילוי השאלון!</w:t>
      </w:r>
    </w:p>
    <w:p w14:paraId="24BE7B3B" w14:textId="77777777" w:rsidR="005E4C22" w:rsidRPr="00F25744" w:rsidRDefault="00E25AE7" w:rsidP="005E4C22">
      <w:pPr>
        <w:spacing w:before="120" w:after="0" w:line="240" w:lineRule="auto"/>
        <w:jc w:val="right"/>
      </w:pPr>
      <w:r w:rsidRPr="00F25744">
        <w:rPr>
          <w:rFonts w:ascii="David" w:hAnsi="David" w:cs="David" w:hint="cs"/>
          <w:b/>
          <w:bCs/>
          <w:sz w:val="24"/>
          <w:szCs w:val="24"/>
          <w:rtl/>
        </w:rPr>
        <w:t>מחלקת המחקר</w:t>
      </w:r>
    </w:p>
    <w:p w14:paraId="3A8A4B71" w14:textId="77777777" w:rsidR="005E4C22" w:rsidRPr="00F25744" w:rsidRDefault="005E4C22" w:rsidP="005E4C22">
      <w:pPr>
        <w:rPr>
          <w:rtl/>
        </w:rPr>
      </w:pPr>
    </w:p>
    <w:p w14:paraId="667D130D" w14:textId="77777777" w:rsidR="005E4C22" w:rsidRPr="00F25744" w:rsidRDefault="005E4C22" w:rsidP="005E4C22">
      <w:pPr>
        <w:rPr>
          <w:rtl/>
        </w:rPr>
      </w:pPr>
    </w:p>
    <w:p w14:paraId="6750D43A" w14:textId="77777777" w:rsidR="005E4C22" w:rsidRPr="00F25744" w:rsidRDefault="005E4C22" w:rsidP="005E4C22">
      <w:pPr>
        <w:rPr>
          <w:rtl/>
        </w:rPr>
      </w:pPr>
    </w:p>
    <w:p w14:paraId="22EAB49A" w14:textId="77777777" w:rsidR="005E4C22" w:rsidRPr="00F25744" w:rsidRDefault="005E4C22" w:rsidP="005E4C22">
      <w:pPr>
        <w:rPr>
          <w:rtl/>
        </w:rPr>
      </w:pPr>
    </w:p>
    <w:p w14:paraId="211F3145" w14:textId="77777777" w:rsidR="005E4C22" w:rsidRPr="00F25744" w:rsidRDefault="005E4C22" w:rsidP="005E4C22">
      <w:pPr>
        <w:rPr>
          <w:rtl/>
        </w:rPr>
      </w:pPr>
    </w:p>
    <w:p w14:paraId="44B1D5D2" w14:textId="77777777" w:rsidR="005E4C22" w:rsidRPr="00F25744" w:rsidRDefault="005E4C22" w:rsidP="005E4C22">
      <w:pPr>
        <w:rPr>
          <w:rtl/>
        </w:rPr>
      </w:pPr>
    </w:p>
    <w:p w14:paraId="7564A424" w14:textId="77777777" w:rsidR="005E4C22" w:rsidRPr="00F25744" w:rsidRDefault="005E4C22" w:rsidP="005E4C22">
      <w:pPr>
        <w:rPr>
          <w:rtl/>
        </w:rPr>
      </w:pPr>
    </w:p>
    <w:p w14:paraId="30F9E487" w14:textId="77777777" w:rsidR="005E4C22" w:rsidRPr="00F25744" w:rsidRDefault="005E4C22" w:rsidP="005E4C22">
      <w:pPr>
        <w:rPr>
          <w:rtl/>
        </w:rPr>
      </w:pPr>
    </w:p>
    <w:p w14:paraId="7DC0D4CC" w14:textId="77777777" w:rsidR="005E4C22" w:rsidRPr="00F25744" w:rsidRDefault="005E4C22" w:rsidP="005E4C22">
      <w:pPr>
        <w:rPr>
          <w:rtl/>
        </w:rPr>
      </w:pPr>
    </w:p>
    <w:p w14:paraId="69B09A6E" w14:textId="77777777" w:rsidR="005E4C22" w:rsidRPr="00F25744" w:rsidRDefault="005E4C22" w:rsidP="005E4C22">
      <w:pPr>
        <w:rPr>
          <w:rtl/>
        </w:rPr>
      </w:pPr>
    </w:p>
    <w:p w14:paraId="372165C6" w14:textId="77777777" w:rsidR="00E8194E" w:rsidRPr="00DB5BCC" w:rsidRDefault="00E8194E">
      <w:pPr>
        <w:bidi w:val="0"/>
        <w:spacing w:after="0" w:line="240" w:lineRule="auto"/>
        <w:rPr>
          <w:rFonts w:asciiTheme="minorHAnsi" w:hAnsiTheme="minorHAnsi" w:cs="David"/>
          <w:b/>
          <w:bCs/>
          <w:sz w:val="24"/>
          <w:szCs w:val="24"/>
        </w:rPr>
      </w:pPr>
      <w:bookmarkStart w:id="901" w:name="_Toc46412646"/>
      <w:bookmarkStart w:id="902" w:name="_Toc46416519"/>
      <w:bookmarkStart w:id="903" w:name="_Toc46694212"/>
      <w:bookmarkStart w:id="904" w:name="_Toc49352800"/>
      <w:bookmarkStart w:id="905" w:name="_Toc49429707"/>
      <w:bookmarkStart w:id="906" w:name="_Toc49435936"/>
      <w:r w:rsidRPr="00F25744">
        <w:rPr>
          <w:rtl/>
        </w:rPr>
        <w:br w:type="page"/>
      </w:r>
    </w:p>
    <w:p w14:paraId="174A216B" w14:textId="77777777" w:rsidR="005E4C22" w:rsidRPr="00F25744" w:rsidRDefault="00E25AE7" w:rsidP="00470BAF">
      <w:pPr>
        <w:pStyle w:val="3"/>
        <w:numPr>
          <w:ilvl w:val="0"/>
          <w:numId w:val="0"/>
        </w:numPr>
        <w:rPr>
          <w:rtl/>
        </w:rPr>
      </w:pPr>
      <w:bookmarkStart w:id="907" w:name="_Toc74751044"/>
      <w:r w:rsidRPr="00F25744">
        <w:rPr>
          <w:rFonts w:hint="cs"/>
          <w:rtl/>
        </w:rPr>
        <w:lastRenderedPageBreak/>
        <w:t>נספח ב2: ערכאת מחוזי פלילי</w:t>
      </w:r>
      <w:bookmarkEnd w:id="901"/>
      <w:bookmarkEnd w:id="902"/>
      <w:bookmarkEnd w:id="903"/>
      <w:bookmarkEnd w:id="904"/>
      <w:bookmarkEnd w:id="905"/>
      <w:bookmarkEnd w:id="906"/>
      <w:bookmarkEnd w:id="907"/>
    </w:p>
    <w:p w14:paraId="11F0BA19" w14:textId="77777777" w:rsidR="005E4C22" w:rsidRPr="00F25744" w:rsidRDefault="00E25AE7" w:rsidP="005E4C22">
      <w:pPr>
        <w:spacing w:before="120" w:after="0" w:line="360" w:lineRule="auto"/>
        <w:jc w:val="center"/>
        <w:rPr>
          <w:rFonts w:ascii="David" w:hAnsi="David" w:cs="David"/>
          <w:b/>
          <w:bCs/>
          <w:sz w:val="30"/>
          <w:szCs w:val="30"/>
          <w:u w:val="single"/>
          <w:rtl/>
        </w:rPr>
      </w:pPr>
      <w:r w:rsidRPr="00F25744">
        <w:rPr>
          <w:rFonts w:ascii="David" w:hAnsi="David" w:cs="David"/>
          <w:b/>
          <w:bCs/>
          <w:sz w:val="30"/>
          <w:szCs w:val="30"/>
          <w:u w:val="single"/>
          <w:rtl/>
        </w:rPr>
        <w:t>שאלון מסכם</w:t>
      </w:r>
      <w:r w:rsidRPr="00F25744">
        <w:rPr>
          <w:rFonts w:ascii="David" w:hAnsi="David" w:cs="David" w:hint="cs"/>
          <w:b/>
          <w:bCs/>
          <w:sz w:val="30"/>
          <w:szCs w:val="30"/>
          <w:u w:val="single"/>
          <w:rtl/>
        </w:rPr>
        <w:t xml:space="preserve"> למחקר עומס עבודה שיפוטית בערכאת המחוזי - פלילי</w:t>
      </w:r>
    </w:p>
    <w:p w14:paraId="5B201BB6" w14:textId="77777777" w:rsidR="005E4C22" w:rsidRPr="00F25744" w:rsidRDefault="00E25AE7" w:rsidP="005E4C22">
      <w:pPr>
        <w:spacing w:before="120" w:after="0" w:line="360" w:lineRule="auto"/>
        <w:jc w:val="both"/>
        <w:rPr>
          <w:rFonts w:ascii="David" w:hAnsi="David" w:cs="David"/>
          <w:b/>
          <w:bCs/>
          <w:sz w:val="24"/>
          <w:szCs w:val="24"/>
          <w:rtl/>
        </w:rPr>
      </w:pPr>
      <w:r w:rsidRPr="00F25744">
        <w:rPr>
          <w:rFonts w:ascii="David" w:hAnsi="David" w:cs="David" w:hint="cs"/>
          <w:b/>
          <w:bCs/>
          <w:sz w:val="24"/>
          <w:szCs w:val="24"/>
          <w:rtl/>
        </w:rPr>
        <w:t>שופט/ת, רשם/מת מכובד/ת,</w:t>
      </w:r>
    </w:p>
    <w:p w14:paraId="79D3EBA8" w14:textId="77777777" w:rsidR="005E4C22" w:rsidRPr="00F25744" w:rsidRDefault="00E25AE7" w:rsidP="005E4C22">
      <w:pPr>
        <w:spacing w:before="120" w:after="0" w:line="360" w:lineRule="auto"/>
        <w:jc w:val="both"/>
        <w:rPr>
          <w:rFonts w:ascii="David" w:hAnsi="David" w:cs="David"/>
          <w:sz w:val="24"/>
          <w:szCs w:val="24"/>
          <w:rtl/>
        </w:rPr>
      </w:pPr>
      <w:r w:rsidRPr="00F25744">
        <w:rPr>
          <w:rFonts w:ascii="David" w:hAnsi="David" w:cs="David" w:hint="cs"/>
          <w:sz w:val="24"/>
          <w:szCs w:val="24"/>
          <w:rtl/>
        </w:rPr>
        <w:t>לפניך שאלון חד פעמי שנועד לתקף ולסכם את מחקר עומס העבודה השיפוטית.</w:t>
      </w:r>
    </w:p>
    <w:p w14:paraId="5204845E" w14:textId="77777777" w:rsidR="005E4C22" w:rsidRPr="00F25744" w:rsidRDefault="00E25AE7" w:rsidP="005E4C22">
      <w:pPr>
        <w:spacing w:before="120" w:after="0" w:line="360" w:lineRule="auto"/>
        <w:jc w:val="both"/>
        <w:rPr>
          <w:rFonts w:ascii="David" w:hAnsi="David" w:cs="David"/>
          <w:sz w:val="24"/>
          <w:szCs w:val="24"/>
          <w:rtl/>
        </w:rPr>
      </w:pPr>
      <w:r w:rsidRPr="00F25744">
        <w:rPr>
          <w:rFonts w:ascii="David" w:hAnsi="David" w:cs="David" w:hint="cs"/>
          <w:sz w:val="24"/>
          <w:szCs w:val="24"/>
          <w:rtl/>
        </w:rPr>
        <w:t>המעבר בין המסכים מתבצע על ידי לחיצה על כפתור "הבא".</w:t>
      </w:r>
    </w:p>
    <w:p w14:paraId="1256D933" w14:textId="77777777" w:rsidR="005E4C22" w:rsidRPr="00F25744" w:rsidRDefault="00E25AE7" w:rsidP="005E4C22">
      <w:pPr>
        <w:spacing w:before="120" w:after="0" w:line="360" w:lineRule="auto"/>
        <w:jc w:val="both"/>
        <w:rPr>
          <w:rFonts w:ascii="David" w:hAnsi="David" w:cs="David"/>
          <w:sz w:val="24"/>
          <w:szCs w:val="24"/>
          <w:rtl/>
        </w:rPr>
      </w:pPr>
      <w:r w:rsidRPr="00F25744">
        <w:rPr>
          <w:rFonts w:ascii="David" w:hAnsi="David" w:cs="David" w:hint="cs"/>
          <w:sz w:val="24"/>
          <w:szCs w:val="24"/>
          <w:rtl/>
        </w:rPr>
        <w:t>אנא מלא/י את השאלון עד לשליחה הסופית של הנתונים באמצעות כפתור "שלח" וקבלת מסך "אישור".</w:t>
      </w:r>
    </w:p>
    <w:p w14:paraId="28D74535" w14:textId="77777777" w:rsidR="005E4C22" w:rsidRPr="00F25744" w:rsidRDefault="005E4C22" w:rsidP="005E4C22">
      <w:pPr>
        <w:spacing w:before="120" w:after="0" w:line="240" w:lineRule="auto"/>
        <w:jc w:val="both"/>
        <w:rPr>
          <w:rFonts w:ascii="David" w:hAnsi="David" w:cs="David"/>
          <w:sz w:val="24"/>
          <w:szCs w:val="24"/>
          <w:rtl/>
        </w:rPr>
      </w:pPr>
    </w:p>
    <w:p w14:paraId="6586C743" w14:textId="77777777" w:rsidR="005E4C22" w:rsidRPr="00F25744" w:rsidRDefault="00E25AE7" w:rsidP="005E4C22">
      <w:pPr>
        <w:spacing w:before="120" w:after="0" w:line="240" w:lineRule="auto"/>
        <w:rPr>
          <w:rFonts w:ascii="David" w:hAnsi="David" w:cs="David"/>
          <w:sz w:val="24"/>
          <w:szCs w:val="24"/>
          <w:rtl/>
        </w:rPr>
      </w:pPr>
      <w:r w:rsidRPr="00F25744">
        <w:rPr>
          <w:rFonts w:ascii="David" w:hAnsi="David" w:cs="David" w:hint="cs"/>
          <w:b/>
          <w:bCs/>
          <w:sz w:val="24"/>
          <w:szCs w:val="24"/>
          <w:rtl/>
        </w:rPr>
        <w:t xml:space="preserve">מחוז: </w:t>
      </w:r>
      <w:r w:rsidRPr="00F25744">
        <w:rPr>
          <w:rFonts w:ascii="David" w:hAnsi="David" w:cs="David" w:hint="cs"/>
          <w:sz w:val="24"/>
          <w:szCs w:val="24"/>
          <w:rtl/>
        </w:rPr>
        <w:t>(צפון/ חיפה/ מרכז/ תל אביב/ ירושלים/ דרום)</w:t>
      </w:r>
    </w:p>
    <w:p w14:paraId="7E973A57" w14:textId="77777777" w:rsidR="005E4C22" w:rsidRPr="00F25744" w:rsidRDefault="00E25AE7" w:rsidP="005E4C22">
      <w:pPr>
        <w:spacing w:before="120" w:after="0" w:line="240" w:lineRule="auto"/>
        <w:jc w:val="both"/>
        <w:rPr>
          <w:rFonts w:ascii="David" w:hAnsi="David" w:cs="David"/>
          <w:sz w:val="24"/>
          <w:szCs w:val="24"/>
          <w:rtl/>
        </w:rPr>
      </w:pPr>
      <w:r w:rsidRPr="00F25744">
        <w:rPr>
          <w:rFonts w:ascii="David" w:hAnsi="David" w:cs="David" w:hint="cs"/>
          <w:b/>
          <w:bCs/>
          <w:sz w:val="24"/>
          <w:szCs w:val="24"/>
          <w:rtl/>
        </w:rPr>
        <w:t xml:space="preserve">האם את/ה עוסק/ת בעיקר בתיקים אזרחיים/ פליליים? (אם את/ה עוסק/ת בשניהם, אנא בחר "פלילי") </w:t>
      </w:r>
      <w:r w:rsidRPr="00F25744">
        <w:rPr>
          <w:rFonts w:ascii="David" w:hAnsi="David" w:cs="David" w:hint="cs"/>
          <w:sz w:val="24"/>
          <w:szCs w:val="24"/>
          <w:rtl/>
        </w:rPr>
        <w:t>(אזרחי/ פלילי)</w:t>
      </w:r>
    </w:p>
    <w:p w14:paraId="0AA6161E" w14:textId="77777777" w:rsidR="005E4C22" w:rsidRPr="00F25744" w:rsidRDefault="005E4C22" w:rsidP="005E4C22">
      <w:pPr>
        <w:spacing w:before="120" w:after="0" w:line="240" w:lineRule="auto"/>
        <w:rPr>
          <w:rFonts w:ascii="David" w:hAnsi="David" w:cs="David"/>
          <w:b/>
          <w:bCs/>
          <w:sz w:val="30"/>
          <w:szCs w:val="30"/>
          <w:u w:val="single"/>
          <w:rtl/>
        </w:rPr>
      </w:pPr>
    </w:p>
    <w:p w14:paraId="20AB2FC7" w14:textId="77777777" w:rsidR="005E4C22" w:rsidRPr="00F25744" w:rsidRDefault="00E25AE7" w:rsidP="00341018">
      <w:pPr>
        <w:numPr>
          <w:ilvl w:val="0"/>
          <w:numId w:val="28"/>
        </w:numPr>
        <w:spacing w:before="120" w:after="0" w:line="360" w:lineRule="auto"/>
        <w:jc w:val="both"/>
        <w:rPr>
          <w:rFonts w:ascii="David" w:hAnsi="David" w:cs="David"/>
          <w:b/>
          <w:bCs/>
          <w:sz w:val="24"/>
          <w:szCs w:val="24"/>
          <w:u w:val="single"/>
          <w:rtl/>
        </w:rPr>
      </w:pPr>
      <w:r w:rsidRPr="00F25744">
        <w:rPr>
          <w:rFonts w:ascii="David" w:hAnsi="David" w:cs="David" w:hint="cs"/>
          <w:b/>
          <w:bCs/>
          <w:sz w:val="24"/>
          <w:szCs w:val="24"/>
          <w:u w:val="single"/>
          <w:rtl/>
        </w:rPr>
        <w:t>דירוג סוגי התיקים</w:t>
      </w:r>
    </w:p>
    <w:p w14:paraId="6254A594" w14:textId="77777777" w:rsidR="005E4C22" w:rsidRPr="00F25744" w:rsidRDefault="00E25AE7" w:rsidP="00341018">
      <w:pPr>
        <w:numPr>
          <w:ilvl w:val="1"/>
          <w:numId w:val="35"/>
        </w:numPr>
        <w:spacing w:before="120" w:after="0" w:line="360" w:lineRule="auto"/>
        <w:jc w:val="both"/>
        <w:rPr>
          <w:rFonts w:ascii="David" w:hAnsi="David" w:cs="David"/>
          <w:sz w:val="24"/>
          <w:szCs w:val="24"/>
        </w:rPr>
      </w:pPr>
      <w:r w:rsidRPr="00F25744">
        <w:rPr>
          <w:rFonts w:ascii="David" w:hAnsi="David" w:cs="David" w:hint="cs"/>
          <w:sz w:val="24"/>
          <w:szCs w:val="24"/>
          <w:rtl/>
        </w:rPr>
        <w:t>לפניך רשימה עדכנית של 18 סוגי תיקים של ערכאת המחוזי, אשר מהווים למעלה מ-96% מהתיקים המוגדרים תחת הליך פלילי במערכת נט המשפט לגבי ערכאת המחוזי, אשר נסגרו בשנת 2019, ואשר בין היתר ב</w:t>
      </w:r>
      <w:r w:rsidRPr="00F25744">
        <w:rPr>
          <w:rFonts w:ascii="David" w:hAnsi="David" w:cs="David"/>
          <w:sz w:val="24"/>
          <w:szCs w:val="24"/>
          <w:rtl/>
        </w:rPr>
        <w:t>עזרת תשובותיך לשאלון זה, נוכל לתת להם משקל מדויק במסגרת המחקר הנוכחי:</w:t>
      </w:r>
    </w:p>
    <w:p w14:paraId="6461191F" w14:textId="77777777" w:rsidR="005E4C22" w:rsidRPr="00F25744" w:rsidRDefault="00E25AE7" w:rsidP="005E4C22">
      <w:pPr>
        <w:spacing w:before="120" w:after="0" w:line="360" w:lineRule="auto"/>
        <w:ind w:left="935"/>
        <w:jc w:val="both"/>
        <w:rPr>
          <w:rFonts w:ascii="David" w:hAnsi="David" w:cs="David"/>
          <w:b/>
          <w:bCs/>
          <w:sz w:val="24"/>
          <w:szCs w:val="24"/>
        </w:rPr>
      </w:pPr>
      <w:r w:rsidRPr="00F25744">
        <w:rPr>
          <w:rFonts w:ascii="David" w:hAnsi="David" w:cs="David"/>
          <w:b/>
          <w:bCs/>
          <w:sz w:val="24"/>
          <w:szCs w:val="24"/>
          <w:rtl/>
        </w:rPr>
        <w:t>עמ"י</w:t>
      </w:r>
      <w:r w:rsidRPr="00F25744">
        <w:rPr>
          <w:rFonts w:ascii="David" w:hAnsi="David" w:cs="David" w:hint="cs"/>
          <w:b/>
          <w:bCs/>
          <w:sz w:val="24"/>
          <w:szCs w:val="24"/>
          <w:rtl/>
        </w:rPr>
        <w:t xml:space="preserve">; </w:t>
      </w:r>
      <w:r w:rsidRPr="00F25744">
        <w:rPr>
          <w:rFonts w:ascii="David" w:hAnsi="David" w:cs="David"/>
          <w:b/>
          <w:bCs/>
          <w:sz w:val="24"/>
          <w:szCs w:val="24"/>
          <w:rtl/>
        </w:rPr>
        <w:t>עמ"ת</w:t>
      </w:r>
      <w:r w:rsidRPr="00F25744">
        <w:rPr>
          <w:rFonts w:ascii="David" w:hAnsi="David" w:cs="David" w:hint="cs"/>
          <w:b/>
          <w:bCs/>
          <w:sz w:val="24"/>
          <w:szCs w:val="24"/>
          <w:rtl/>
        </w:rPr>
        <w:t xml:space="preserve">; </w:t>
      </w:r>
      <w:r w:rsidRPr="00F25744">
        <w:rPr>
          <w:rFonts w:ascii="David" w:hAnsi="David" w:cs="David"/>
          <w:b/>
          <w:bCs/>
          <w:sz w:val="24"/>
          <w:szCs w:val="24"/>
          <w:rtl/>
        </w:rPr>
        <w:t>ת"פ</w:t>
      </w:r>
      <w:r w:rsidRPr="00F25744">
        <w:rPr>
          <w:rFonts w:ascii="David" w:hAnsi="David" w:cs="David" w:hint="cs"/>
          <w:b/>
          <w:bCs/>
          <w:sz w:val="24"/>
          <w:szCs w:val="24"/>
          <w:rtl/>
        </w:rPr>
        <w:t xml:space="preserve">; </w:t>
      </w:r>
      <w:r w:rsidRPr="00F25744">
        <w:rPr>
          <w:rFonts w:ascii="David" w:hAnsi="David" w:cs="David"/>
          <w:b/>
          <w:bCs/>
          <w:sz w:val="24"/>
          <w:szCs w:val="24"/>
          <w:rtl/>
        </w:rPr>
        <w:t>עפ"ת</w:t>
      </w:r>
      <w:r w:rsidRPr="00F25744">
        <w:rPr>
          <w:rFonts w:ascii="David" w:hAnsi="David" w:cs="David" w:hint="cs"/>
          <w:b/>
          <w:bCs/>
          <w:sz w:val="24"/>
          <w:szCs w:val="24"/>
          <w:rtl/>
        </w:rPr>
        <w:t xml:space="preserve">; </w:t>
      </w:r>
      <w:r w:rsidRPr="00F25744">
        <w:rPr>
          <w:rFonts w:ascii="David" w:hAnsi="David" w:cs="David"/>
          <w:b/>
          <w:bCs/>
          <w:sz w:val="24"/>
          <w:szCs w:val="24"/>
          <w:rtl/>
        </w:rPr>
        <w:t>עפמ"ק</w:t>
      </w:r>
      <w:r w:rsidRPr="00F25744">
        <w:rPr>
          <w:rFonts w:ascii="David" w:hAnsi="David" w:cs="David" w:hint="cs"/>
          <w:b/>
          <w:bCs/>
          <w:sz w:val="24"/>
          <w:szCs w:val="24"/>
          <w:rtl/>
        </w:rPr>
        <w:t xml:space="preserve">; </w:t>
      </w:r>
      <w:r w:rsidRPr="00F25744">
        <w:rPr>
          <w:rFonts w:ascii="David" w:hAnsi="David" w:cs="David"/>
          <w:b/>
          <w:bCs/>
          <w:sz w:val="24"/>
          <w:szCs w:val="24"/>
          <w:rtl/>
        </w:rPr>
        <w:t>בע"ח</w:t>
      </w:r>
      <w:r w:rsidRPr="00F25744">
        <w:rPr>
          <w:rFonts w:ascii="David" w:hAnsi="David" w:cs="David" w:hint="cs"/>
          <w:b/>
          <w:bCs/>
          <w:sz w:val="24"/>
          <w:szCs w:val="24"/>
          <w:rtl/>
        </w:rPr>
        <w:t xml:space="preserve">; </w:t>
      </w:r>
      <w:r w:rsidRPr="00F25744">
        <w:rPr>
          <w:rFonts w:ascii="David" w:hAnsi="David" w:cs="David"/>
          <w:b/>
          <w:bCs/>
          <w:sz w:val="24"/>
          <w:szCs w:val="24"/>
          <w:rtl/>
        </w:rPr>
        <w:t>פע"מ</w:t>
      </w:r>
      <w:r w:rsidRPr="00F25744">
        <w:rPr>
          <w:rFonts w:ascii="David" w:hAnsi="David" w:cs="David" w:hint="cs"/>
          <w:b/>
          <w:bCs/>
          <w:sz w:val="24"/>
          <w:szCs w:val="24"/>
          <w:rtl/>
        </w:rPr>
        <w:t xml:space="preserve">; </w:t>
      </w:r>
      <w:r w:rsidRPr="00F25744">
        <w:rPr>
          <w:rFonts w:ascii="David" w:hAnsi="David" w:cs="David"/>
          <w:b/>
          <w:bCs/>
          <w:sz w:val="24"/>
          <w:szCs w:val="24"/>
          <w:rtl/>
        </w:rPr>
        <w:t>עפ"א</w:t>
      </w:r>
      <w:r w:rsidRPr="00F25744">
        <w:rPr>
          <w:rFonts w:ascii="David" w:hAnsi="David" w:cs="David" w:hint="cs"/>
          <w:b/>
          <w:bCs/>
          <w:sz w:val="24"/>
          <w:szCs w:val="24"/>
          <w:rtl/>
        </w:rPr>
        <w:t xml:space="preserve">; </w:t>
      </w:r>
      <w:r w:rsidRPr="00F25744">
        <w:rPr>
          <w:rFonts w:ascii="David" w:hAnsi="David" w:cs="David"/>
          <w:b/>
          <w:bCs/>
          <w:sz w:val="24"/>
          <w:szCs w:val="24"/>
          <w:rtl/>
        </w:rPr>
        <w:t>הס"ת</w:t>
      </w:r>
      <w:r w:rsidRPr="00F25744">
        <w:rPr>
          <w:rFonts w:ascii="David" w:hAnsi="David" w:cs="David" w:hint="cs"/>
          <w:b/>
          <w:bCs/>
          <w:sz w:val="24"/>
          <w:szCs w:val="24"/>
          <w:rtl/>
        </w:rPr>
        <w:t xml:space="preserve">; </w:t>
      </w:r>
      <w:r w:rsidRPr="00F25744">
        <w:rPr>
          <w:rFonts w:ascii="David" w:hAnsi="David" w:cs="David"/>
          <w:b/>
          <w:bCs/>
          <w:sz w:val="24"/>
          <w:szCs w:val="24"/>
          <w:rtl/>
        </w:rPr>
        <w:t>מ"ת</w:t>
      </w:r>
      <w:r w:rsidRPr="00F25744">
        <w:rPr>
          <w:rFonts w:ascii="David" w:hAnsi="David" w:cs="David" w:hint="cs"/>
          <w:b/>
          <w:bCs/>
          <w:sz w:val="24"/>
          <w:szCs w:val="24"/>
          <w:rtl/>
        </w:rPr>
        <w:t xml:space="preserve">; ע"פ </w:t>
      </w:r>
      <w:r w:rsidRPr="00F25744">
        <w:rPr>
          <w:rFonts w:ascii="David" w:hAnsi="David" w:cs="David"/>
          <w:b/>
          <w:bCs/>
          <w:sz w:val="24"/>
          <w:szCs w:val="24"/>
          <w:rtl/>
        </w:rPr>
        <w:t>–</w:t>
      </w:r>
      <w:r w:rsidRPr="00F25744">
        <w:rPr>
          <w:rFonts w:ascii="David" w:hAnsi="David" w:cs="David" w:hint="cs"/>
          <w:b/>
          <w:bCs/>
          <w:sz w:val="24"/>
          <w:szCs w:val="24"/>
          <w:rtl/>
        </w:rPr>
        <w:t xml:space="preserve"> חבר הרכב; ע"פ </w:t>
      </w:r>
      <w:r w:rsidRPr="00F25744">
        <w:rPr>
          <w:rFonts w:ascii="David" w:hAnsi="David" w:cs="David"/>
          <w:b/>
          <w:bCs/>
          <w:sz w:val="24"/>
          <w:szCs w:val="24"/>
          <w:rtl/>
        </w:rPr>
        <w:t>–</w:t>
      </w:r>
      <w:r w:rsidRPr="00F25744">
        <w:rPr>
          <w:rFonts w:ascii="David" w:hAnsi="David" w:cs="David" w:hint="cs"/>
          <w:b/>
          <w:bCs/>
          <w:sz w:val="24"/>
          <w:szCs w:val="24"/>
          <w:rtl/>
        </w:rPr>
        <w:t xml:space="preserve"> אב ביה"ד; עפ"ג </w:t>
      </w:r>
      <w:r w:rsidRPr="00F25744">
        <w:rPr>
          <w:rFonts w:ascii="David" w:hAnsi="David" w:cs="David"/>
          <w:b/>
          <w:bCs/>
          <w:sz w:val="24"/>
          <w:szCs w:val="24"/>
          <w:rtl/>
        </w:rPr>
        <w:t>–</w:t>
      </w:r>
      <w:r w:rsidRPr="00F25744">
        <w:rPr>
          <w:rFonts w:ascii="David" w:hAnsi="David" w:cs="David" w:hint="cs"/>
          <w:b/>
          <w:bCs/>
          <w:sz w:val="24"/>
          <w:szCs w:val="24"/>
          <w:rtl/>
        </w:rPr>
        <w:t xml:space="preserve"> אב ביה"ד; ענ"פ </w:t>
      </w:r>
      <w:r w:rsidRPr="00F25744">
        <w:rPr>
          <w:rFonts w:ascii="David" w:hAnsi="David" w:cs="David"/>
          <w:b/>
          <w:bCs/>
          <w:sz w:val="24"/>
          <w:szCs w:val="24"/>
          <w:rtl/>
        </w:rPr>
        <w:t>–</w:t>
      </w:r>
      <w:r w:rsidRPr="00F25744">
        <w:rPr>
          <w:rFonts w:ascii="David" w:hAnsi="David" w:cs="David" w:hint="cs"/>
          <w:b/>
          <w:bCs/>
          <w:sz w:val="24"/>
          <w:szCs w:val="24"/>
          <w:rtl/>
        </w:rPr>
        <w:t xml:space="preserve"> חבר הרכב; ענ"פ </w:t>
      </w:r>
      <w:r w:rsidRPr="00F25744">
        <w:rPr>
          <w:rFonts w:ascii="David" w:hAnsi="David" w:cs="David"/>
          <w:b/>
          <w:bCs/>
          <w:sz w:val="24"/>
          <w:szCs w:val="24"/>
          <w:rtl/>
        </w:rPr>
        <w:t>–</w:t>
      </w:r>
      <w:r w:rsidRPr="00F25744">
        <w:rPr>
          <w:rFonts w:ascii="David" w:hAnsi="David" w:cs="David" w:hint="cs"/>
          <w:b/>
          <w:bCs/>
          <w:sz w:val="24"/>
          <w:szCs w:val="24"/>
          <w:rtl/>
        </w:rPr>
        <w:t xml:space="preserve"> אב ביה"ד; תפ"ח </w:t>
      </w:r>
      <w:r w:rsidRPr="00F25744">
        <w:rPr>
          <w:rFonts w:ascii="David" w:hAnsi="David" w:cs="David"/>
          <w:b/>
          <w:bCs/>
          <w:sz w:val="24"/>
          <w:szCs w:val="24"/>
          <w:rtl/>
        </w:rPr>
        <w:t>–</w:t>
      </w:r>
      <w:r w:rsidRPr="00F25744">
        <w:rPr>
          <w:rFonts w:ascii="David" w:hAnsi="David" w:cs="David" w:hint="cs"/>
          <w:b/>
          <w:bCs/>
          <w:sz w:val="24"/>
          <w:szCs w:val="24"/>
          <w:rtl/>
        </w:rPr>
        <w:t xml:space="preserve"> חבר הרכב; תפ"ח </w:t>
      </w:r>
      <w:r w:rsidRPr="00F25744">
        <w:rPr>
          <w:rFonts w:ascii="David" w:hAnsi="David" w:cs="David"/>
          <w:b/>
          <w:bCs/>
          <w:sz w:val="24"/>
          <w:szCs w:val="24"/>
          <w:rtl/>
        </w:rPr>
        <w:t>–</w:t>
      </w:r>
      <w:r w:rsidRPr="00F25744">
        <w:rPr>
          <w:rFonts w:ascii="David" w:hAnsi="David" w:cs="David" w:hint="cs"/>
          <w:b/>
          <w:bCs/>
          <w:sz w:val="24"/>
          <w:szCs w:val="24"/>
          <w:rtl/>
        </w:rPr>
        <w:t xml:space="preserve"> אב ביה"ד</w:t>
      </w:r>
      <w:r w:rsidRPr="00F25744">
        <w:rPr>
          <w:rStyle w:val="a6"/>
          <w:rFonts w:ascii="David" w:hAnsi="David" w:cs="David"/>
          <w:b/>
          <w:bCs/>
          <w:sz w:val="24"/>
          <w:szCs w:val="24"/>
        </w:rPr>
        <w:footnoteReference w:id="45"/>
      </w:r>
    </w:p>
    <w:p w14:paraId="7C0DABDA" w14:textId="77777777" w:rsidR="005E4C22" w:rsidRPr="00F25744" w:rsidRDefault="00E25AE7" w:rsidP="005E4C22">
      <w:pPr>
        <w:spacing w:before="120" w:after="0" w:line="360" w:lineRule="auto"/>
        <w:ind w:left="935"/>
        <w:jc w:val="both"/>
        <w:rPr>
          <w:rFonts w:ascii="David" w:hAnsi="David" w:cs="David"/>
          <w:sz w:val="24"/>
          <w:szCs w:val="24"/>
          <w:rtl/>
        </w:rPr>
      </w:pPr>
      <w:r w:rsidRPr="00F25744">
        <w:rPr>
          <w:rFonts w:ascii="David" w:hAnsi="David" w:cs="David" w:hint="cs"/>
          <w:sz w:val="24"/>
          <w:szCs w:val="24"/>
          <w:rtl/>
        </w:rPr>
        <w:t xml:space="preserve">אנא סמן/סמני </w:t>
      </w:r>
      <w:r w:rsidRPr="00F25744">
        <w:rPr>
          <w:rFonts w:ascii="David" w:hAnsi="David" w:cs="David" w:hint="cs"/>
          <w:sz w:val="24"/>
          <w:szCs w:val="24"/>
        </w:rPr>
        <w:t>V</w:t>
      </w:r>
      <w:r w:rsidRPr="00F25744">
        <w:rPr>
          <w:rFonts w:ascii="David" w:hAnsi="David" w:cs="David" w:hint="cs"/>
          <w:sz w:val="24"/>
          <w:szCs w:val="24"/>
          <w:rtl/>
        </w:rPr>
        <w:t xml:space="preserve"> לצד כל סוגי התיקים </w:t>
      </w:r>
      <w:r w:rsidRPr="00F25744">
        <w:rPr>
          <w:rFonts w:ascii="David" w:hAnsi="David" w:cs="David" w:hint="cs"/>
          <w:b/>
          <w:bCs/>
          <w:sz w:val="24"/>
          <w:szCs w:val="24"/>
          <w:rtl/>
        </w:rPr>
        <w:t>שבהם טיפלת</w:t>
      </w:r>
      <w:r w:rsidRPr="00F25744">
        <w:rPr>
          <w:rFonts w:ascii="David" w:hAnsi="David" w:cs="David" w:hint="cs"/>
          <w:sz w:val="24"/>
          <w:szCs w:val="24"/>
          <w:rtl/>
        </w:rPr>
        <w:t xml:space="preserve"> במהלך השנתיים האחרונות. </w:t>
      </w:r>
      <w:r w:rsidRPr="00F25744">
        <w:rPr>
          <w:rFonts w:ascii="David" w:hAnsi="David" w:cs="David"/>
          <w:sz w:val="24"/>
          <w:szCs w:val="24"/>
          <w:rtl/>
        </w:rPr>
        <w:t xml:space="preserve"> </w:t>
      </w:r>
    </w:p>
    <w:p w14:paraId="3386B21F" w14:textId="77777777" w:rsidR="005E4C22" w:rsidRPr="00F25744" w:rsidRDefault="00E25AE7" w:rsidP="00341018">
      <w:pPr>
        <w:numPr>
          <w:ilvl w:val="1"/>
          <w:numId w:val="35"/>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ברשימה הימנית שלפניך מופיעים סוגי התיקים שבהם בחרת בשאלה הקודמת. </w:t>
      </w:r>
    </w:p>
    <w:p w14:paraId="516C26B4" w14:textId="77777777" w:rsidR="005E4C22" w:rsidRPr="00F25744" w:rsidRDefault="00E25AE7" w:rsidP="005E4C22">
      <w:pPr>
        <w:spacing w:before="120" w:after="0" w:line="360" w:lineRule="auto"/>
        <w:ind w:left="935"/>
        <w:jc w:val="both"/>
        <w:rPr>
          <w:rFonts w:ascii="David" w:hAnsi="David" w:cs="David"/>
          <w:sz w:val="24"/>
          <w:szCs w:val="24"/>
          <w:rtl/>
        </w:rPr>
      </w:pPr>
      <w:r w:rsidRPr="00F25744">
        <w:rPr>
          <w:rFonts w:ascii="David" w:hAnsi="David" w:cs="David" w:hint="cs"/>
          <w:sz w:val="24"/>
          <w:szCs w:val="24"/>
          <w:rtl/>
        </w:rPr>
        <w:t xml:space="preserve">על מנת לתקף את ממצאי המחקר, נבקשך לסדר את סוגי התיקים שבטיפולך </w:t>
      </w:r>
      <w:r w:rsidRPr="00F25744">
        <w:rPr>
          <w:rFonts w:ascii="David" w:hAnsi="David" w:cs="David" w:hint="cs"/>
          <w:b/>
          <w:bCs/>
          <w:sz w:val="24"/>
          <w:szCs w:val="24"/>
          <w:rtl/>
        </w:rPr>
        <w:t>מן הכבד אל הקל</w:t>
      </w:r>
      <w:r w:rsidRPr="00F25744">
        <w:rPr>
          <w:rFonts w:ascii="David" w:hAnsi="David" w:cs="David" w:hint="cs"/>
          <w:sz w:val="24"/>
          <w:szCs w:val="24"/>
          <w:rtl/>
        </w:rPr>
        <w:t xml:space="preserve">. לשם כך עליך לבחור את סוגי התיקים מן הרשימה שבצד ימין </w:t>
      </w:r>
      <w:r w:rsidRPr="00F25744">
        <w:rPr>
          <w:rFonts w:ascii="David" w:hAnsi="David" w:cs="David" w:hint="cs"/>
          <w:b/>
          <w:bCs/>
          <w:sz w:val="24"/>
          <w:szCs w:val="24"/>
          <w:rtl/>
        </w:rPr>
        <w:t>ולגרור</w:t>
      </w:r>
      <w:r w:rsidRPr="00F25744">
        <w:rPr>
          <w:rFonts w:ascii="David" w:hAnsi="David" w:cs="David" w:hint="cs"/>
          <w:sz w:val="24"/>
          <w:szCs w:val="24"/>
          <w:rtl/>
        </w:rPr>
        <w:t xml:space="preserve"> אותם לרשימה הריקה שבצד שמאל. בראש הרשימה השמאלית יש למקם את סוג התיק שלדעתך מצריך את זמן העבודה </w:t>
      </w:r>
      <w:r w:rsidRPr="00F25744">
        <w:rPr>
          <w:rFonts w:ascii="David" w:hAnsi="David" w:cs="David" w:hint="cs"/>
          <w:b/>
          <w:bCs/>
          <w:sz w:val="24"/>
          <w:szCs w:val="24"/>
          <w:rtl/>
        </w:rPr>
        <w:t>הארוך</w:t>
      </w:r>
      <w:r w:rsidRPr="00F25744">
        <w:rPr>
          <w:rFonts w:ascii="David" w:hAnsi="David" w:cs="David" w:hint="cs"/>
          <w:sz w:val="24"/>
          <w:szCs w:val="24"/>
          <w:rtl/>
        </w:rPr>
        <w:t xml:space="preserve"> ביותר עד לסיום הטיפול בו, ולאחר מכן יש למקם בסדר יורד את </w:t>
      </w:r>
      <w:r w:rsidRPr="00F25744">
        <w:rPr>
          <w:rFonts w:ascii="David" w:hAnsi="David" w:cs="David" w:hint="cs"/>
          <w:sz w:val="24"/>
          <w:szCs w:val="24"/>
          <w:rtl/>
        </w:rPr>
        <w:lastRenderedPageBreak/>
        <w:t xml:space="preserve">יתר סוגי התיקים, אשר ביחס לסוג התיק הראשון מצריכים ממך פחות זמן עד לסיום הטיפול בהם. </w:t>
      </w:r>
    </w:p>
    <w:p w14:paraId="3D15A042" w14:textId="77777777" w:rsidR="005E4C22" w:rsidRPr="00F25744" w:rsidRDefault="00E25AE7" w:rsidP="00341018">
      <w:pPr>
        <w:numPr>
          <w:ilvl w:val="0"/>
          <w:numId w:val="35"/>
        </w:numPr>
        <w:spacing w:before="120" w:after="0" w:line="360" w:lineRule="auto"/>
        <w:jc w:val="both"/>
        <w:rPr>
          <w:rFonts w:ascii="David" w:hAnsi="David" w:cs="David"/>
          <w:b/>
          <w:bCs/>
          <w:sz w:val="24"/>
          <w:szCs w:val="24"/>
          <w:u w:val="single"/>
        </w:rPr>
      </w:pPr>
      <w:r w:rsidRPr="00F25744">
        <w:rPr>
          <w:rFonts w:ascii="David" w:hAnsi="David" w:cs="David" w:hint="cs"/>
          <w:b/>
          <w:bCs/>
          <w:sz w:val="24"/>
          <w:szCs w:val="24"/>
          <w:u w:val="single"/>
          <w:rtl/>
        </w:rPr>
        <w:t>שאלות כלליות</w:t>
      </w:r>
    </w:p>
    <w:p w14:paraId="01B1C7CA" w14:textId="77777777" w:rsidR="005E4C22" w:rsidRPr="00F25744" w:rsidRDefault="00E25AE7" w:rsidP="005E4C22">
      <w:pPr>
        <w:spacing w:before="120" w:after="0" w:line="360" w:lineRule="auto"/>
        <w:ind w:left="360"/>
        <w:jc w:val="both"/>
        <w:rPr>
          <w:rFonts w:ascii="David" w:hAnsi="David" w:cs="David"/>
          <w:sz w:val="24"/>
          <w:szCs w:val="24"/>
          <w:rtl/>
        </w:rPr>
      </w:pPr>
      <w:r w:rsidRPr="00F25744">
        <w:rPr>
          <w:rFonts w:ascii="David" w:hAnsi="David" w:cs="David" w:hint="cs"/>
          <w:sz w:val="24"/>
          <w:szCs w:val="24"/>
          <w:rtl/>
        </w:rPr>
        <w:t>בחלק זה של השאלון נבקש לברר את הערכותיכם לגבי זמנים של פעולות נפוצות במרבית סוגי התיקים שסימנתם, לצורך תיקוף או השלמת פרטים חסרים:</w:t>
      </w:r>
    </w:p>
    <w:p w14:paraId="1C4A529F"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sz w:val="24"/>
          <w:szCs w:val="24"/>
          <w:rtl/>
        </w:rPr>
        <w:t xml:space="preserve">כמה </w:t>
      </w:r>
      <w:r w:rsidRPr="00F25744">
        <w:rPr>
          <w:rFonts w:ascii="David" w:hAnsi="David" w:cs="David" w:hint="cs"/>
          <w:sz w:val="24"/>
          <w:szCs w:val="24"/>
          <w:rtl/>
        </w:rPr>
        <w:t>דקות</w:t>
      </w:r>
      <w:r w:rsidRPr="00F25744">
        <w:rPr>
          <w:rFonts w:ascii="David" w:hAnsi="David" w:cs="David"/>
          <w:sz w:val="24"/>
          <w:szCs w:val="24"/>
          <w:rtl/>
        </w:rPr>
        <w:t xml:space="preserve"> </w:t>
      </w:r>
      <w:r w:rsidRPr="00F25744">
        <w:rPr>
          <w:rFonts w:ascii="David" w:hAnsi="David" w:cs="David" w:hint="cs"/>
          <w:sz w:val="24"/>
          <w:szCs w:val="24"/>
          <w:rtl/>
        </w:rPr>
        <w:t xml:space="preserve">בממוצע </w:t>
      </w:r>
      <w:r w:rsidRPr="00F25744">
        <w:rPr>
          <w:rFonts w:ascii="David" w:hAnsi="David" w:cs="David"/>
          <w:sz w:val="24"/>
          <w:szCs w:val="24"/>
          <w:rtl/>
        </w:rPr>
        <w:t xml:space="preserve">לוקח לך לכתוב </w:t>
      </w:r>
      <w:r w:rsidRPr="00F25744">
        <w:rPr>
          <w:rFonts w:ascii="David" w:hAnsi="David" w:cs="David"/>
          <w:b/>
          <w:bCs/>
          <w:sz w:val="24"/>
          <w:szCs w:val="24"/>
          <w:rtl/>
        </w:rPr>
        <w:t>פתקית</w:t>
      </w:r>
      <w:r w:rsidRPr="00F25744">
        <w:rPr>
          <w:rFonts w:ascii="David" w:hAnsi="David" w:cs="David"/>
          <w:sz w:val="24"/>
          <w:szCs w:val="24"/>
          <w:rtl/>
        </w:rPr>
        <w:t xml:space="preserve"> (מנומקת או לא)</w:t>
      </w:r>
      <w:r w:rsidRPr="00F25744">
        <w:rPr>
          <w:rFonts w:ascii="David" w:hAnsi="David" w:cs="David" w:hint="cs"/>
          <w:sz w:val="24"/>
          <w:szCs w:val="24"/>
          <w:rtl/>
        </w:rPr>
        <w:t xml:space="preserve"> בכל אחד מסוגי התיקים שסימנת?</w:t>
      </w:r>
      <w:r w:rsidRPr="00F25744">
        <w:rPr>
          <w:rFonts w:ascii="David" w:hAnsi="David" w:cs="David"/>
          <w:sz w:val="24"/>
          <w:szCs w:val="24"/>
          <w:rtl/>
        </w:rPr>
        <w:t xml:space="preserve"> [עד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15-20 דקות, מעל 20 דקות/ לא רלבנטי לסוג התיק]</w:t>
      </w:r>
    </w:p>
    <w:p w14:paraId="6A50671E"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כמה זמן לוקח לך בממוצע לכתוב </w:t>
      </w:r>
      <w:r w:rsidRPr="00F25744">
        <w:rPr>
          <w:rFonts w:ascii="David" w:hAnsi="David" w:cs="David"/>
          <w:b/>
          <w:bCs/>
          <w:sz w:val="24"/>
          <w:szCs w:val="24"/>
          <w:rtl/>
        </w:rPr>
        <w:t>עמוד אחד של פס"ד</w:t>
      </w:r>
      <w:r w:rsidRPr="00F25744">
        <w:rPr>
          <w:rFonts w:ascii="David" w:hAnsi="David" w:cs="David"/>
          <w:sz w:val="24"/>
          <w:szCs w:val="24"/>
          <w:rtl/>
        </w:rPr>
        <w:t xml:space="preserve"> ש</w:t>
      </w:r>
      <w:r w:rsidRPr="00F25744">
        <w:rPr>
          <w:rFonts w:ascii="David" w:hAnsi="David" w:cs="David" w:hint="cs"/>
          <w:sz w:val="24"/>
          <w:szCs w:val="24"/>
          <w:rtl/>
        </w:rPr>
        <w:t xml:space="preserve">ניתן מחמת </w:t>
      </w:r>
      <w:r w:rsidRPr="00F25744">
        <w:rPr>
          <w:rFonts w:ascii="David" w:hAnsi="David" w:cs="David" w:hint="cs"/>
          <w:b/>
          <w:bCs/>
          <w:sz w:val="24"/>
          <w:szCs w:val="24"/>
          <w:rtl/>
        </w:rPr>
        <w:t>חו</w:t>
      </w:r>
      <w:r w:rsidRPr="00F25744">
        <w:rPr>
          <w:rFonts w:ascii="David" w:hAnsi="David" w:cs="David"/>
          <w:b/>
          <w:bCs/>
          <w:sz w:val="24"/>
          <w:szCs w:val="24"/>
          <w:rtl/>
        </w:rPr>
        <w:t>סר מעש</w:t>
      </w:r>
      <w:r w:rsidRPr="00F25744">
        <w:rPr>
          <w:rFonts w:ascii="David" w:hAnsi="David" w:cs="David"/>
          <w:sz w:val="24"/>
          <w:szCs w:val="24"/>
          <w:rtl/>
        </w:rPr>
        <w:t>/ אי תשלום/</w:t>
      </w:r>
      <w:r w:rsidRPr="00F25744">
        <w:rPr>
          <w:rFonts w:ascii="David" w:hAnsi="David" w:cs="David" w:hint="cs"/>
          <w:sz w:val="24"/>
          <w:szCs w:val="24"/>
          <w:rtl/>
        </w:rPr>
        <w:t xml:space="preserve"> </w:t>
      </w:r>
      <w:r w:rsidRPr="00F25744">
        <w:rPr>
          <w:rFonts w:ascii="David" w:hAnsi="David" w:cs="David"/>
          <w:sz w:val="24"/>
          <w:szCs w:val="24"/>
          <w:rtl/>
        </w:rPr>
        <w:t>התליית ההליכים/</w:t>
      </w:r>
      <w:r w:rsidRPr="00F25744">
        <w:rPr>
          <w:rFonts w:ascii="David" w:hAnsi="David" w:cs="David" w:hint="cs"/>
          <w:sz w:val="24"/>
          <w:szCs w:val="24"/>
          <w:rtl/>
        </w:rPr>
        <w:t xml:space="preserve"> </w:t>
      </w:r>
      <w:r w:rsidRPr="00F25744">
        <w:rPr>
          <w:rFonts w:ascii="David" w:hAnsi="David" w:cs="David"/>
          <w:sz w:val="24"/>
          <w:szCs w:val="24"/>
          <w:rtl/>
        </w:rPr>
        <w:t>הת</w:t>
      </w:r>
      <w:r w:rsidRPr="00F25744">
        <w:rPr>
          <w:rFonts w:ascii="David" w:hAnsi="David" w:cs="David" w:hint="cs"/>
          <w:sz w:val="24"/>
          <w:szCs w:val="24"/>
          <w:rtl/>
        </w:rPr>
        <w:t>י</w:t>
      </w:r>
      <w:r w:rsidRPr="00F25744">
        <w:rPr>
          <w:rFonts w:ascii="David" w:hAnsi="David" w:cs="David"/>
          <w:sz w:val="24"/>
          <w:szCs w:val="24"/>
          <w:rtl/>
        </w:rPr>
        <w:t>יתרות ההליך מחמת גביית עדות מוקדמת</w:t>
      </w:r>
      <w:r w:rsidRPr="00F25744">
        <w:rPr>
          <w:rFonts w:ascii="David" w:hAnsi="David" w:cs="David" w:hint="cs"/>
          <w:sz w:val="24"/>
          <w:szCs w:val="24"/>
          <w:rtl/>
        </w:rPr>
        <w:t xml:space="preserve">, בכל אחד מסוגי התיקים שסימנת?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15-20 דקות, מעל 20 דקות/ לא רלבנטי לסוג התיק]</w:t>
      </w:r>
    </w:p>
    <w:p w14:paraId="2990D413"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כמה דקות בממוצע לוקח לך להערכתך לכתוב </w:t>
      </w:r>
      <w:r w:rsidRPr="00F25744">
        <w:rPr>
          <w:rFonts w:ascii="David" w:hAnsi="David" w:cs="David" w:hint="cs"/>
          <w:b/>
          <w:bCs/>
          <w:sz w:val="24"/>
          <w:szCs w:val="24"/>
          <w:rtl/>
        </w:rPr>
        <w:t>עמוד אחד</w:t>
      </w:r>
      <w:r w:rsidRPr="00F25744">
        <w:rPr>
          <w:rFonts w:ascii="David" w:hAnsi="David" w:cs="David" w:hint="cs"/>
          <w:sz w:val="24"/>
          <w:szCs w:val="24"/>
          <w:rtl/>
        </w:rPr>
        <w:t xml:space="preserve"> של </w:t>
      </w:r>
      <w:r w:rsidRPr="00F25744">
        <w:rPr>
          <w:rFonts w:ascii="David" w:hAnsi="David" w:cs="David" w:hint="cs"/>
          <w:b/>
          <w:bCs/>
          <w:sz w:val="24"/>
          <w:szCs w:val="24"/>
          <w:rtl/>
        </w:rPr>
        <w:t>פסק דין הנותן תוקף ל</w:t>
      </w:r>
      <w:r w:rsidRPr="00F25744">
        <w:rPr>
          <w:rFonts w:ascii="David" w:hAnsi="David" w:cs="David"/>
          <w:b/>
          <w:bCs/>
          <w:sz w:val="24"/>
          <w:szCs w:val="24"/>
          <w:rtl/>
        </w:rPr>
        <w:t>פשרה</w:t>
      </w:r>
      <w:r w:rsidRPr="00F25744">
        <w:rPr>
          <w:rFonts w:ascii="David" w:hAnsi="David" w:cs="David"/>
          <w:sz w:val="24"/>
          <w:szCs w:val="24"/>
          <w:rtl/>
        </w:rPr>
        <w:t>/</w:t>
      </w:r>
      <w:r w:rsidRPr="00F25744">
        <w:rPr>
          <w:rFonts w:ascii="David" w:hAnsi="David" w:cs="David" w:hint="cs"/>
          <w:sz w:val="24"/>
          <w:szCs w:val="24"/>
          <w:rtl/>
        </w:rPr>
        <w:t xml:space="preserve"> </w:t>
      </w:r>
      <w:r w:rsidRPr="00F25744">
        <w:rPr>
          <w:rFonts w:ascii="David" w:hAnsi="David" w:cs="David"/>
          <w:sz w:val="24"/>
          <w:szCs w:val="24"/>
          <w:rtl/>
        </w:rPr>
        <w:t xml:space="preserve">נדחה </w:t>
      </w:r>
      <w:r w:rsidRPr="00F25744">
        <w:rPr>
          <w:rFonts w:ascii="David" w:hAnsi="David" w:cs="David" w:hint="cs"/>
          <w:sz w:val="24"/>
          <w:szCs w:val="24"/>
          <w:rtl/>
        </w:rPr>
        <w:t xml:space="preserve">או </w:t>
      </w:r>
      <w:r w:rsidRPr="00F25744">
        <w:rPr>
          <w:rFonts w:ascii="David" w:hAnsi="David" w:cs="David"/>
          <w:sz w:val="24"/>
          <w:szCs w:val="24"/>
          <w:rtl/>
        </w:rPr>
        <w:t>נמחק לבקשת צד/</w:t>
      </w:r>
      <w:r w:rsidRPr="00F25744">
        <w:rPr>
          <w:rFonts w:ascii="David" w:hAnsi="David" w:cs="David" w:hint="cs"/>
          <w:sz w:val="24"/>
          <w:szCs w:val="24"/>
          <w:rtl/>
        </w:rPr>
        <w:t xml:space="preserve"> </w:t>
      </w:r>
      <w:r w:rsidRPr="00F25744">
        <w:rPr>
          <w:rFonts w:ascii="David" w:hAnsi="David" w:cs="David"/>
          <w:sz w:val="24"/>
          <w:szCs w:val="24"/>
          <w:rtl/>
        </w:rPr>
        <w:t>עיכוב או מיצוי הליכים</w:t>
      </w:r>
      <w:r w:rsidRPr="00F25744">
        <w:rPr>
          <w:rFonts w:ascii="David" w:hAnsi="David" w:cs="David" w:hint="cs"/>
          <w:b/>
          <w:bCs/>
          <w:sz w:val="24"/>
          <w:szCs w:val="24"/>
          <w:rtl/>
        </w:rPr>
        <w:t xml:space="preserve"> או</w:t>
      </w:r>
      <w:r w:rsidRPr="00F25744">
        <w:rPr>
          <w:rFonts w:ascii="David" w:hAnsi="David" w:cs="David" w:hint="cs"/>
          <w:sz w:val="24"/>
          <w:szCs w:val="24"/>
          <w:rtl/>
        </w:rPr>
        <w:t xml:space="preserve"> פסק דין המקנה תוקף </w:t>
      </w:r>
      <w:r w:rsidRPr="00F25744">
        <w:rPr>
          <w:rFonts w:ascii="David" w:hAnsi="David" w:cs="David" w:hint="cs"/>
          <w:b/>
          <w:bCs/>
          <w:sz w:val="24"/>
          <w:szCs w:val="24"/>
          <w:rtl/>
        </w:rPr>
        <w:t xml:space="preserve">להסדר טיעון סגור/מלא </w:t>
      </w:r>
      <w:r w:rsidRPr="00F25744">
        <w:rPr>
          <w:rFonts w:ascii="David" w:hAnsi="David" w:cs="David" w:hint="cs"/>
          <w:sz w:val="24"/>
          <w:szCs w:val="24"/>
          <w:rtl/>
        </w:rPr>
        <w:t>(לרבות להסכמה לביטול כתב האישום)?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15-20 דקות, מעל 20 דקות/ לא רלבנטי לסוג התיק]</w:t>
      </w:r>
    </w:p>
    <w:p w14:paraId="34249F24" w14:textId="77777777" w:rsidR="005E4C22" w:rsidRPr="00F25744" w:rsidRDefault="005E4C22" w:rsidP="005E4C22">
      <w:pPr>
        <w:spacing w:before="120" w:after="0" w:line="240" w:lineRule="auto"/>
        <w:ind w:left="728"/>
        <w:jc w:val="both"/>
        <w:rPr>
          <w:rFonts w:ascii="David" w:hAnsi="David" w:cs="David"/>
          <w:sz w:val="24"/>
          <w:szCs w:val="24"/>
        </w:rPr>
      </w:pPr>
    </w:p>
    <w:p w14:paraId="7BF9F16E" w14:textId="77777777" w:rsidR="005E4C22" w:rsidRPr="00F25744" w:rsidRDefault="00E25AE7" w:rsidP="00341018">
      <w:pPr>
        <w:numPr>
          <w:ilvl w:val="0"/>
          <w:numId w:val="35"/>
        </w:numPr>
        <w:spacing w:before="120" w:after="0" w:line="360" w:lineRule="auto"/>
        <w:jc w:val="both"/>
        <w:rPr>
          <w:rFonts w:ascii="David" w:hAnsi="David" w:cs="David"/>
          <w:b/>
          <w:bCs/>
          <w:sz w:val="24"/>
          <w:szCs w:val="24"/>
          <w:u w:val="single"/>
          <w:rtl/>
        </w:rPr>
      </w:pPr>
      <w:r w:rsidRPr="00F25744">
        <w:rPr>
          <w:rFonts w:ascii="David" w:hAnsi="David" w:cs="David" w:hint="cs"/>
          <w:b/>
          <w:bCs/>
          <w:sz w:val="24"/>
          <w:szCs w:val="24"/>
          <w:u w:val="single"/>
          <w:rtl/>
        </w:rPr>
        <w:t>שאלות ספציפיות בחלק מסוגי התיקים שסומנו</w:t>
      </w:r>
    </w:p>
    <w:p w14:paraId="3EB0027F" w14:textId="77777777" w:rsidR="005E4C22" w:rsidRPr="00F25744" w:rsidRDefault="00E25AE7" w:rsidP="005E4C22">
      <w:pPr>
        <w:spacing w:before="120" w:line="360" w:lineRule="auto"/>
        <w:ind w:left="360"/>
        <w:jc w:val="both"/>
        <w:rPr>
          <w:rFonts w:ascii="David" w:hAnsi="David" w:cs="David"/>
          <w:b/>
          <w:bCs/>
          <w:sz w:val="24"/>
          <w:szCs w:val="24"/>
        </w:rPr>
      </w:pPr>
      <w:r w:rsidRPr="00F25744">
        <w:rPr>
          <w:rFonts w:ascii="David" w:hAnsi="David" w:cs="David"/>
          <w:b/>
          <w:bCs/>
          <w:sz w:val="24"/>
          <w:szCs w:val="24"/>
          <w:rtl/>
        </w:rPr>
        <w:t xml:space="preserve">בפרק זה של השאלון נבקש לברר על דרך ההערכה את זמניהם או אורכם של אירועים מסוימים בחלק מהתיקים שסימנתם, אשר לגביהם לא נאספו די נתונים במהלך תקופת המחקר. </w:t>
      </w:r>
    </w:p>
    <w:p w14:paraId="015C8D98" w14:textId="77777777" w:rsidR="005E4C22" w:rsidRPr="00F25744" w:rsidRDefault="00E25AE7" w:rsidP="005E4C22">
      <w:pPr>
        <w:spacing w:before="120" w:line="360" w:lineRule="auto"/>
        <w:ind w:left="360"/>
        <w:jc w:val="both"/>
        <w:rPr>
          <w:rFonts w:ascii="David" w:hAnsi="David" w:cs="David"/>
          <w:b/>
          <w:bCs/>
          <w:sz w:val="24"/>
          <w:szCs w:val="24"/>
        </w:rPr>
      </w:pPr>
      <w:r w:rsidRPr="00F25744">
        <w:rPr>
          <w:rFonts w:ascii="David" w:hAnsi="David" w:cs="David"/>
          <w:b/>
          <w:bCs/>
          <w:sz w:val="24"/>
          <w:szCs w:val="24"/>
          <w:rtl/>
        </w:rPr>
        <w:t>על מנת בכל זאת לתת משקל לכמה שיותר סוגי תיקים, במיוחד סוגי התיקים שאותם ביקשו נשיאי ושופטי בתי המשפט המחוזיים כי נמדוד חרף נדירותם, נבקש את סיועכם במענה על השאלות הבאות:</w:t>
      </w:r>
    </w:p>
    <w:p w14:paraId="56B0B052" w14:textId="77777777" w:rsidR="005E4C22" w:rsidRPr="00F25744" w:rsidRDefault="00E25AE7" w:rsidP="00341018">
      <w:pPr>
        <w:numPr>
          <w:ilvl w:val="0"/>
          <w:numId w:val="29"/>
        </w:numPr>
        <w:spacing w:before="120" w:after="0" w:line="360" w:lineRule="auto"/>
        <w:ind w:left="651" w:hanging="283"/>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מ"ת</w:t>
      </w:r>
      <w:r w:rsidRPr="00F25744">
        <w:rPr>
          <w:rFonts w:ascii="David" w:hAnsi="David" w:cs="David" w:hint="cs"/>
          <w:sz w:val="24"/>
          <w:szCs w:val="24"/>
          <w:rtl/>
        </w:rPr>
        <w:t xml:space="preserve">, מה </w:t>
      </w:r>
      <w:r w:rsidRPr="00F25744">
        <w:rPr>
          <w:rFonts w:ascii="David" w:hAnsi="David" w:cs="David" w:hint="cs"/>
          <w:b/>
          <w:bCs/>
          <w:sz w:val="24"/>
          <w:szCs w:val="24"/>
          <w:rtl/>
        </w:rPr>
        <w:t>אחוז</w:t>
      </w:r>
      <w:r w:rsidRPr="00F25744">
        <w:rPr>
          <w:rFonts w:ascii="David" w:hAnsi="David" w:cs="David" w:hint="cs"/>
          <w:sz w:val="24"/>
          <w:szCs w:val="24"/>
          <w:rtl/>
        </w:rPr>
        <w:t xml:space="preserve"> התיקים שבהם להערכתך את/ה כותב/ת </w:t>
      </w:r>
      <w:r w:rsidRPr="00F25744">
        <w:rPr>
          <w:rFonts w:ascii="David" w:hAnsi="David" w:cs="David" w:hint="cs"/>
          <w:b/>
          <w:bCs/>
          <w:sz w:val="24"/>
          <w:szCs w:val="24"/>
          <w:rtl/>
        </w:rPr>
        <w:t>החלטה הסוגרת את התיק, מחוץ לאולם</w:t>
      </w:r>
      <w:r w:rsidRPr="00F25744">
        <w:rPr>
          <w:rFonts w:ascii="David" w:hAnsi="David" w:cs="David" w:hint="cs"/>
          <w:sz w:val="24"/>
          <w:szCs w:val="24"/>
          <w:rtl/>
        </w:rPr>
        <w:t xml:space="preserve"> (ולא בפרוטוקול בתום הדיון)? [בכלל לא, עד 5%, 5-10%, 10-20%, 20-30%, אם יותר מ-30% - כמה?]</w:t>
      </w:r>
    </w:p>
    <w:p w14:paraId="53692B28" w14:textId="77777777" w:rsidR="005E4C22" w:rsidRPr="00F25744" w:rsidRDefault="00E25AE7" w:rsidP="00341018">
      <w:pPr>
        <w:numPr>
          <w:ilvl w:val="0"/>
          <w:numId w:val="29"/>
        </w:numPr>
        <w:spacing w:before="120" w:after="0" w:line="360" w:lineRule="auto"/>
        <w:ind w:left="707" w:hanging="283"/>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עפ"א</w:t>
      </w:r>
      <w:r w:rsidRPr="00F25744">
        <w:rPr>
          <w:rFonts w:ascii="David" w:hAnsi="David" w:cs="David" w:hint="cs"/>
          <w:sz w:val="24"/>
          <w:szCs w:val="24"/>
          <w:rtl/>
        </w:rPr>
        <w:t xml:space="preserve">, כמה זמן בממוצע לוקח לך להערכתך לכתוב </w:t>
      </w:r>
      <w:r w:rsidRPr="00F25744">
        <w:rPr>
          <w:rFonts w:ascii="David" w:hAnsi="David" w:cs="David" w:hint="cs"/>
          <w:b/>
          <w:bCs/>
          <w:sz w:val="24"/>
          <w:szCs w:val="24"/>
          <w:rtl/>
        </w:rPr>
        <w:t>עמוד אחד</w:t>
      </w:r>
      <w:r w:rsidRPr="00F25744">
        <w:rPr>
          <w:rFonts w:ascii="David" w:hAnsi="David" w:cs="David" w:hint="cs"/>
          <w:sz w:val="24"/>
          <w:szCs w:val="24"/>
          <w:rtl/>
        </w:rPr>
        <w:t xml:space="preserve"> </w:t>
      </w:r>
      <w:r w:rsidRPr="00F25744">
        <w:rPr>
          <w:rFonts w:ascii="David" w:hAnsi="David" w:cs="David" w:hint="cs"/>
          <w:b/>
          <w:bCs/>
          <w:sz w:val="24"/>
          <w:szCs w:val="24"/>
          <w:rtl/>
        </w:rPr>
        <w:t>בהחלטת ביניים</w:t>
      </w:r>
      <w:r w:rsidRPr="00F25744">
        <w:rPr>
          <w:rFonts w:ascii="David" w:hAnsi="David" w:cs="David" w:hint="cs"/>
          <w:sz w:val="24"/>
          <w:szCs w:val="24"/>
          <w:rtl/>
        </w:rPr>
        <w:t xml:space="preserve"> (לרבות החלטה לאחר סגירה) במסמך עצמאי?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04A97C05" w14:textId="77777777" w:rsidR="005E4C22" w:rsidRPr="00F25744" w:rsidRDefault="00E25AE7" w:rsidP="00341018">
      <w:pPr>
        <w:numPr>
          <w:ilvl w:val="0"/>
          <w:numId w:val="29"/>
        </w:numPr>
        <w:spacing w:before="120" w:after="0" w:line="360" w:lineRule="auto"/>
        <w:ind w:left="651" w:hanging="283"/>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פע"מ</w:t>
      </w:r>
      <w:r w:rsidRPr="00F25744">
        <w:rPr>
          <w:rFonts w:ascii="David" w:hAnsi="David" w:cs="David" w:hint="cs"/>
          <w:sz w:val="24"/>
          <w:szCs w:val="24"/>
          <w:rtl/>
        </w:rPr>
        <w:t xml:space="preserve">, כמה זמן בממוצע לוקח לך להערכתך לכתוב </w:t>
      </w:r>
      <w:r w:rsidRPr="00F25744">
        <w:rPr>
          <w:rFonts w:ascii="David" w:hAnsi="David" w:cs="David" w:hint="cs"/>
          <w:b/>
          <w:bCs/>
          <w:sz w:val="24"/>
          <w:szCs w:val="24"/>
          <w:rtl/>
        </w:rPr>
        <w:t>עמוד אחד</w:t>
      </w:r>
      <w:r w:rsidRPr="00F25744">
        <w:rPr>
          <w:rFonts w:ascii="David" w:hAnsi="David" w:cs="David" w:hint="cs"/>
          <w:sz w:val="24"/>
          <w:szCs w:val="24"/>
          <w:rtl/>
        </w:rPr>
        <w:t xml:space="preserve"> של </w:t>
      </w:r>
      <w:r w:rsidRPr="00F25744">
        <w:rPr>
          <w:rFonts w:ascii="David" w:hAnsi="David" w:cs="David" w:hint="cs"/>
          <w:b/>
          <w:bCs/>
          <w:sz w:val="24"/>
          <w:szCs w:val="24"/>
          <w:rtl/>
        </w:rPr>
        <w:t xml:space="preserve">החלטה מנומקת </w:t>
      </w:r>
      <w:r w:rsidRPr="00F25744">
        <w:rPr>
          <w:rFonts w:ascii="David" w:hAnsi="David" w:cs="David" w:hint="cs"/>
          <w:sz w:val="24"/>
          <w:szCs w:val="24"/>
          <w:rtl/>
        </w:rPr>
        <w:t xml:space="preserve">(שניתנת ללא הסכמת הצדדים), במסמך עצמאי ואשר סוגרת את התיק? [עד 5 דקות, 5-10 </w:t>
      </w:r>
      <w:r w:rsidRPr="00F25744">
        <w:rPr>
          <w:rFonts w:ascii="David" w:hAnsi="David" w:cs="David" w:hint="cs"/>
          <w:sz w:val="24"/>
          <w:szCs w:val="24"/>
          <w:rtl/>
        </w:rPr>
        <w:lastRenderedPageBreak/>
        <w:t xml:space="preserve">דקות, 10-15 דקות, 15-20 דקות, 20-25 דקות, 25-30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7507812A" w14:textId="77777777" w:rsidR="005E4C22" w:rsidRPr="00F25744" w:rsidRDefault="00E25AE7" w:rsidP="00341018">
      <w:pPr>
        <w:numPr>
          <w:ilvl w:val="0"/>
          <w:numId w:val="29"/>
        </w:numPr>
        <w:spacing w:before="120" w:after="0" w:line="360" w:lineRule="auto"/>
        <w:ind w:left="651" w:hanging="283"/>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b/>
          <w:bCs/>
          <w:sz w:val="24"/>
          <w:szCs w:val="24"/>
          <w:u w:val="single"/>
          <w:rtl/>
        </w:rPr>
        <w:t>עפמ"ק</w:t>
      </w:r>
      <w:r w:rsidRPr="00F25744">
        <w:rPr>
          <w:rFonts w:ascii="David" w:hAnsi="David" w:cs="David" w:hint="cs"/>
          <w:sz w:val="24"/>
          <w:szCs w:val="24"/>
          <w:rtl/>
        </w:rPr>
        <w:t xml:space="preserve">, </w:t>
      </w:r>
      <w:r w:rsidRPr="00F25744">
        <w:rPr>
          <w:rFonts w:ascii="David" w:hAnsi="David" w:cs="David" w:hint="cs"/>
          <w:b/>
          <w:bCs/>
          <w:sz w:val="24"/>
          <w:szCs w:val="24"/>
          <w:rtl/>
        </w:rPr>
        <w:t>כמה עמודים</w:t>
      </w:r>
      <w:r w:rsidRPr="00F25744">
        <w:rPr>
          <w:rFonts w:ascii="David" w:hAnsi="David" w:cs="David" w:hint="cs"/>
          <w:sz w:val="24"/>
          <w:szCs w:val="24"/>
          <w:rtl/>
        </w:rPr>
        <w:t xml:space="preserve"> בממוצע להערכתך אורכת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שניתנת במסמך עצמאי (לרבות החלטה הסוגרת את התיק)? [עמוד 1, 2 עמודים, 3 עמודים, 4 עמודים, מעל 5 עמודים/ לא רלבנטי לסוג התיק]</w:t>
      </w:r>
    </w:p>
    <w:p w14:paraId="3BF30EAF" w14:textId="77777777" w:rsidR="005E4C22" w:rsidRPr="00F25744" w:rsidRDefault="00E25AE7" w:rsidP="00341018">
      <w:pPr>
        <w:numPr>
          <w:ilvl w:val="0"/>
          <w:numId w:val="29"/>
        </w:numPr>
        <w:spacing w:before="120" w:after="0" w:line="360" w:lineRule="auto"/>
        <w:ind w:left="651" w:hanging="283"/>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בע"ח</w:t>
      </w:r>
      <w:r w:rsidRPr="00F25744">
        <w:rPr>
          <w:rFonts w:ascii="David" w:hAnsi="David" w:cs="David" w:hint="cs"/>
          <w:sz w:val="24"/>
          <w:szCs w:val="24"/>
          <w:rtl/>
        </w:rPr>
        <w:t>, כמה זמן בממוצע לוקח לך להערכתך לבצע את הפעולות הבאות:</w:t>
      </w:r>
    </w:p>
    <w:p w14:paraId="76873519" w14:textId="77777777" w:rsidR="005E4C22" w:rsidRPr="00F25744" w:rsidRDefault="00E25AE7" w:rsidP="00341018">
      <w:pPr>
        <w:numPr>
          <w:ilvl w:val="1"/>
          <w:numId w:val="30"/>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t>הכנה</w:t>
      </w:r>
      <w:r w:rsidRPr="00F25744">
        <w:rPr>
          <w:rFonts w:ascii="David" w:hAnsi="David" w:cs="David" w:hint="cs"/>
          <w:sz w:val="24"/>
          <w:szCs w:val="24"/>
          <w:rtl/>
        </w:rPr>
        <w:t xml:space="preserve"> לדיון</w:t>
      </w:r>
      <w:r w:rsidRPr="00F25744">
        <w:rPr>
          <w:rFonts w:ascii="David" w:hAnsi="David" w:cs="David"/>
          <w:sz w:val="24"/>
          <w:szCs w:val="24"/>
          <w:rtl/>
        </w:rPr>
        <w:t xml:space="preserve"> [עד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3C0D0501" w14:textId="77777777" w:rsidR="005E4C22" w:rsidRPr="00F25744" w:rsidRDefault="00E25AE7" w:rsidP="00341018">
      <w:pPr>
        <w:numPr>
          <w:ilvl w:val="1"/>
          <w:numId w:val="30"/>
        </w:numPr>
        <w:spacing w:before="120" w:after="0" w:line="360" w:lineRule="auto"/>
        <w:ind w:left="991" w:hanging="284"/>
        <w:jc w:val="both"/>
        <w:rPr>
          <w:rFonts w:ascii="David" w:hAnsi="David" w:cs="David"/>
          <w:sz w:val="24"/>
          <w:szCs w:val="24"/>
        </w:rPr>
      </w:pPr>
      <w:r w:rsidRPr="00F25744">
        <w:rPr>
          <w:rFonts w:ascii="David" w:hAnsi="David" w:cs="David" w:hint="cs"/>
          <w:sz w:val="24"/>
          <w:szCs w:val="24"/>
          <w:rtl/>
        </w:rPr>
        <w:t xml:space="preserve">כתיבת </w:t>
      </w:r>
      <w:r w:rsidRPr="00F25744">
        <w:rPr>
          <w:rFonts w:ascii="David" w:hAnsi="David" w:cs="David" w:hint="cs"/>
          <w:b/>
          <w:bCs/>
          <w:sz w:val="24"/>
          <w:szCs w:val="24"/>
          <w:rtl/>
        </w:rPr>
        <w:t>עמוד אחד</w:t>
      </w:r>
      <w:r w:rsidRPr="00F25744">
        <w:rPr>
          <w:rFonts w:ascii="David" w:hAnsi="David" w:cs="David" w:hint="cs"/>
          <w:sz w:val="24"/>
          <w:szCs w:val="24"/>
          <w:rtl/>
        </w:rPr>
        <w:t xml:space="preserve"> של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(לרבות החלטה לאחר סגירה)</w:t>
      </w:r>
      <w:r w:rsidRPr="00F25744">
        <w:rPr>
          <w:rFonts w:ascii="David" w:hAnsi="David" w:cs="David"/>
          <w:sz w:val="24"/>
          <w:szCs w:val="24"/>
          <w:rtl/>
        </w:rPr>
        <w:t xml:space="preserve"> </w:t>
      </w:r>
      <w:r w:rsidRPr="00F25744">
        <w:rPr>
          <w:rFonts w:ascii="David" w:hAnsi="David" w:cs="David" w:hint="cs"/>
          <w:sz w:val="24"/>
          <w:szCs w:val="24"/>
          <w:rtl/>
        </w:rPr>
        <w:t xml:space="preserve">במסמך עצמאי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5A85DA31" w14:textId="77777777" w:rsidR="005E4C22" w:rsidRPr="00F25744" w:rsidRDefault="00E25AE7" w:rsidP="00341018">
      <w:pPr>
        <w:numPr>
          <w:ilvl w:val="1"/>
          <w:numId w:val="30"/>
        </w:numPr>
        <w:spacing w:before="120" w:after="0" w:line="360" w:lineRule="auto"/>
        <w:ind w:left="991" w:hanging="284"/>
        <w:jc w:val="both"/>
        <w:rPr>
          <w:rFonts w:ascii="David" w:hAnsi="David" w:cs="David"/>
          <w:sz w:val="24"/>
          <w:szCs w:val="24"/>
        </w:rPr>
      </w:pPr>
      <w:r w:rsidRPr="00F25744">
        <w:rPr>
          <w:rFonts w:ascii="David" w:hAnsi="David" w:cs="David" w:hint="cs"/>
          <w:sz w:val="24"/>
          <w:szCs w:val="24"/>
          <w:rtl/>
        </w:rPr>
        <w:t xml:space="preserve">כתיבת </w:t>
      </w:r>
      <w:r w:rsidRPr="00F25744">
        <w:rPr>
          <w:rFonts w:ascii="David" w:hAnsi="David" w:cs="David" w:hint="cs"/>
          <w:b/>
          <w:bCs/>
          <w:sz w:val="24"/>
          <w:szCs w:val="24"/>
          <w:rtl/>
        </w:rPr>
        <w:t>עמוד אחד</w:t>
      </w:r>
      <w:r w:rsidRPr="00F25744">
        <w:rPr>
          <w:rFonts w:ascii="David" w:hAnsi="David" w:cs="David" w:hint="cs"/>
          <w:sz w:val="24"/>
          <w:szCs w:val="24"/>
          <w:rtl/>
        </w:rPr>
        <w:t xml:space="preserve"> של </w:t>
      </w:r>
      <w:r w:rsidRPr="00F25744">
        <w:rPr>
          <w:rFonts w:ascii="David" w:hAnsi="David" w:cs="David" w:hint="cs"/>
          <w:b/>
          <w:bCs/>
          <w:sz w:val="24"/>
          <w:szCs w:val="24"/>
          <w:rtl/>
        </w:rPr>
        <w:t xml:space="preserve">החלטה מנומקת </w:t>
      </w:r>
      <w:r w:rsidRPr="00F25744">
        <w:rPr>
          <w:rFonts w:ascii="David" w:hAnsi="David" w:cs="David" w:hint="cs"/>
          <w:sz w:val="24"/>
          <w:szCs w:val="24"/>
          <w:rtl/>
        </w:rPr>
        <w:t>(ללא הסכמת הצדדים)</w:t>
      </w:r>
      <w:r w:rsidRPr="00F25744">
        <w:rPr>
          <w:rFonts w:ascii="David" w:hAnsi="David" w:cs="David"/>
          <w:sz w:val="24"/>
          <w:szCs w:val="24"/>
          <w:rtl/>
        </w:rPr>
        <w:t xml:space="preserve"> </w:t>
      </w:r>
      <w:r w:rsidRPr="00F25744">
        <w:rPr>
          <w:rFonts w:ascii="David" w:hAnsi="David" w:cs="David" w:hint="cs"/>
          <w:b/>
          <w:bCs/>
          <w:sz w:val="24"/>
          <w:szCs w:val="24"/>
          <w:rtl/>
        </w:rPr>
        <w:t>הסוגרת</w:t>
      </w:r>
      <w:r w:rsidRPr="00F25744">
        <w:rPr>
          <w:rFonts w:ascii="David" w:hAnsi="David" w:cs="David" w:hint="cs"/>
          <w:sz w:val="24"/>
          <w:szCs w:val="24"/>
          <w:rtl/>
        </w:rPr>
        <w:t xml:space="preserve"> את התיק ואשר ניתנת </w:t>
      </w:r>
      <w:r w:rsidRPr="00F25744">
        <w:rPr>
          <w:rFonts w:ascii="David" w:hAnsi="David" w:cs="David" w:hint="cs"/>
          <w:b/>
          <w:bCs/>
          <w:sz w:val="24"/>
          <w:szCs w:val="24"/>
          <w:rtl/>
        </w:rPr>
        <w:t>מחוץ לאולם</w:t>
      </w:r>
      <w:r w:rsidRPr="00F25744">
        <w:rPr>
          <w:rFonts w:ascii="David" w:hAnsi="David" w:cs="David" w:hint="cs"/>
          <w:sz w:val="24"/>
          <w:szCs w:val="24"/>
          <w:rtl/>
        </w:rPr>
        <w:t xml:space="preserve"> (לא בפרוטוקול)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5C107A0B" w14:textId="77777777" w:rsidR="005E4C22" w:rsidRPr="00F25744" w:rsidRDefault="00E25AE7" w:rsidP="00341018">
      <w:pPr>
        <w:numPr>
          <w:ilvl w:val="0"/>
          <w:numId w:val="29"/>
        </w:numPr>
        <w:spacing w:before="120" w:after="0" w:line="360" w:lineRule="auto"/>
        <w:ind w:left="651" w:hanging="283"/>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עמ"ת</w:t>
      </w:r>
      <w:r w:rsidRPr="00F25744">
        <w:rPr>
          <w:rFonts w:ascii="David" w:hAnsi="David" w:cs="David" w:hint="cs"/>
          <w:sz w:val="24"/>
          <w:szCs w:val="24"/>
          <w:rtl/>
        </w:rPr>
        <w:t xml:space="preserve">, כמה זמן בממוצע לוקח לך להערכתך לכתוב </w:t>
      </w:r>
      <w:r w:rsidRPr="00F25744">
        <w:rPr>
          <w:rFonts w:ascii="David" w:hAnsi="David" w:cs="David" w:hint="cs"/>
          <w:b/>
          <w:bCs/>
          <w:sz w:val="24"/>
          <w:szCs w:val="24"/>
          <w:rtl/>
        </w:rPr>
        <w:t>עמוד אחד</w:t>
      </w:r>
      <w:r w:rsidRPr="00F25744">
        <w:rPr>
          <w:rFonts w:ascii="David" w:hAnsi="David" w:cs="David" w:hint="cs"/>
          <w:sz w:val="24"/>
          <w:szCs w:val="24"/>
          <w:rtl/>
        </w:rPr>
        <w:t xml:space="preserve"> של </w:t>
      </w:r>
      <w:r w:rsidRPr="00F25744">
        <w:rPr>
          <w:rFonts w:ascii="David" w:hAnsi="David" w:cs="David" w:hint="cs"/>
          <w:b/>
          <w:bCs/>
          <w:sz w:val="24"/>
          <w:szCs w:val="24"/>
          <w:rtl/>
        </w:rPr>
        <w:t>פסק דין מנומק</w:t>
      </w:r>
      <w:r w:rsidRPr="00F25744">
        <w:rPr>
          <w:rFonts w:ascii="David" w:hAnsi="David" w:cs="David" w:hint="cs"/>
          <w:sz w:val="24"/>
          <w:szCs w:val="24"/>
          <w:rtl/>
        </w:rPr>
        <w:t xml:space="preserve"> (שניתן ללא הסכמת הצדדים)?</w:t>
      </w:r>
      <w:r w:rsidRPr="00F25744">
        <w:rPr>
          <w:rFonts w:ascii="David" w:hAnsi="David" w:cs="David"/>
          <w:sz w:val="24"/>
          <w:szCs w:val="24"/>
          <w:rtl/>
        </w:rPr>
        <w:t xml:space="preserve"> [עד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7F26D594" w14:textId="77777777" w:rsidR="005E4C22" w:rsidRPr="00F25744" w:rsidRDefault="00E25AE7" w:rsidP="00341018">
      <w:pPr>
        <w:numPr>
          <w:ilvl w:val="0"/>
          <w:numId w:val="29"/>
        </w:numPr>
        <w:spacing w:before="120" w:after="0" w:line="360" w:lineRule="auto"/>
        <w:ind w:left="707" w:hanging="425"/>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rtl/>
        </w:rPr>
        <w:t xml:space="preserve">ע"פ </w:t>
      </w:r>
      <w:r w:rsidRPr="00F25744">
        <w:rPr>
          <w:rFonts w:ascii="David" w:hAnsi="David" w:cs="David"/>
          <w:b/>
          <w:bCs/>
          <w:sz w:val="24"/>
          <w:szCs w:val="24"/>
          <w:rtl/>
        </w:rPr>
        <w:t>–</w:t>
      </w:r>
      <w:r w:rsidRPr="00F25744">
        <w:rPr>
          <w:rFonts w:ascii="David" w:hAnsi="David" w:cs="David" w:hint="cs"/>
          <w:b/>
          <w:bCs/>
          <w:sz w:val="24"/>
          <w:szCs w:val="24"/>
          <w:rtl/>
        </w:rPr>
        <w:t xml:space="preserve"> חבר הרכב</w:t>
      </w:r>
      <w:r w:rsidRPr="00F25744">
        <w:rPr>
          <w:rFonts w:ascii="David" w:hAnsi="David" w:cs="David" w:hint="cs"/>
          <w:sz w:val="24"/>
          <w:szCs w:val="24"/>
          <w:rtl/>
        </w:rPr>
        <w:t xml:space="preserve">, כמה זמן בממוצע לוקח לך להערכתך לכתוב </w:t>
      </w:r>
      <w:r w:rsidRPr="00F25744">
        <w:rPr>
          <w:rFonts w:ascii="David" w:hAnsi="David" w:cs="David" w:hint="cs"/>
          <w:b/>
          <w:bCs/>
          <w:sz w:val="24"/>
          <w:szCs w:val="24"/>
          <w:rtl/>
        </w:rPr>
        <w:t>עמוד אחד</w:t>
      </w:r>
      <w:r w:rsidRPr="00F25744">
        <w:rPr>
          <w:rFonts w:ascii="David" w:hAnsi="David" w:cs="David" w:hint="cs"/>
          <w:sz w:val="24"/>
          <w:szCs w:val="24"/>
          <w:rtl/>
        </w:rPr>
        <w:t xml:space="preserve"> של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במסמך עצמאי (לרבות החלטה לאחר סגירה)? [עד 10 דקות, 10-20 דקות, 20-30 דקות, 30-40 דקות, אם יותר מ-40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0FDC89F3" w14:textId="77777777" w:rsidR="005E4C22" w:rsidRPr="00F25744" w:rsidRDefault="00E25AE7" w:rsidP="00341018">
      <w:pPr>
        <w:numPr>
          <w:ilvl w:val="0"/>
          <w:numId w:val="29"/>
        </w:numPr>
        <w:spacing w:before="120" w:after="0" w:line="360" w:lineRule="auto"/>
        <w:ind w:left="707" w:hanging="425"/>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rtl/>
        </w:rPr>
        <w:t xml:space="preserve">ע"פ </w:t>
      </w:r>
      <w:r w:rsidRPr="00F25744">
        <w:rPr>
          <w:rFonts w:ascii="David" w:hAnsi="David" w:cs="David"/>
          <w:b/>
          <w:bCs/>
          <w:sz w:val="24"/>
          <w:szCs w:val="24"/>
          <w:rtl/>
        </w:rPr>
        <w:t>–</w:t>
      </w:r>
      <w:r w:rsidRPr="00F25744">
        <w:rPr>
          <w:rFonts w:ascii="David" w:hAnsi="David" w:cs="David" w:hint="cs"/>
          <w:b/>
          <w:bCs/>
          <w:sz w:val="24"/>
          <w:szCs w:val="24"/>
          <w:rtl/>
        </w:rPr>
        <w:t xml:space="preserve"> אב בי"ד</w:t>
      </w:r>
      <w:r w:rsidRPr="00F25744">
        <w:rPr>
          <w:rFonts w:ascii="David" w:hAnsi="David" w:cs="David" w:hint="cs"/>
          <w:sz w:val="24"/>
          <w:szCs w:val="24"/>
          <w:rtl/>
        </w:rPr>
        <w:t xml:space="preserve">, כמה זמן בממוצע לוקח לך להערכתך לכתוב </w:t>
      </w:r>
      <w:r w:rsidRPr="00F25744">
        <w:rPr>
          <w:rFonts w:ascii="David" w:hAnsi="David" w:cs="David" w:hint="cs"/>
          <w:b/>
          <w:bCs/>
          <w:sz w:val="24"/>
          <w:szCs w:val="24"/>
          <w:rtl/>
        </w:rPr>
        <w:t>עמוד אחד</w:t>
      </w:r>
      <w:r w:rsidRPr="00F25744">
        <w:rPr>
          <w:rFonts w:ascii="David" w:hAnsi="David" w:cs="David" w:hint="cs"/>
          <w:sz w:val="24"/>
          <w:szCs w:val="24"/>
          <w:rtl/>
        </w:rPr>
        <w:t xml:space="preserve"> של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במסמך עצמאי (לרבות החלטה לאחר סגירה)? [עד 10 דקות, 10-20 דקות, 20-30 דקות, 30-40 דקות, אם יותר מ-40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1AA4FA6F" w14:textId="77777777" w:rsidR="005E4C22" w:rsidRPr="00F25744" w:rsidRDefault="00E25AE7" w:rsidP="00341018">
      <w:pPr>
        <w:numPr>
          <w:ilvl w:val="0"/>
          <w:numId w:val="29"/>
        </w:numPr>
        <w:spacing w:before="120" w:after="0" w:line="360" w:lineRule="auto"/>
        <w:ind w:left="651" w:hanging="283"/>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 xml:space="preserve">ענ"פ </w:t>
      </w:r>
      <w:r w:rsidRPr="00F25744">
        <w:rPr>
          <w:rFonts w:ascii="David" w:hAnsi="David" w:cs="David"/>
          <w:b/>
          <w:bCs/>
          <w:sz w:val="24"/>
          <w:szCs w:val="24"/>
          <w:u w:val="single"/>
          <w:rtl/>
        </w:rPr>
        <w:t>–</w:t>
      </w:r>
      <w:r w:rsidRPr="00F25744">
        <w:rPr>
          <w:rFonts w:ascii="David" w:hAnsi="David" w:cs="David" w:hint="cs"/>
          <w:b/>
          <w:bCs/>
          <w:sz w:val="24"/>
          <w:szCs w:val="24"/>
          <w:u w:val="single"/>
          <w:rtl/>
        </w:rPr>
        <w:t xml:space="preserve"> חבר הרכב</w:t>
      </w:r>
      <w:r w:rsidRPr="00F25744">
        <w:rPr>
          <w:rFonts w:ascii="David" w:hAnsi="David" w:cs="David" w:hint="cs"/>
          <w:sz w:val="24"/>
          <w:szCs w:val="24"/>
          <w:rtl/>
        </w:rPr>
        <w:t>, כמה זמן בממוצע לוקח לך להערכתך לבצע את הפעולות הבאות:</w:t>
      </w:r>
    </w:p>
    <w:p w14:paraId="46282EEB" w14:textId="77777777" w:rsidR="005E4C22" w:rsidRPr="00F25744" w:rsidRDefault="00E25AE7" w:rsidP="00341018">
      <w:pPr>
        <w:numPr>
          <w:ilvl w:val="1"/>
          <w:numId w:val="29"/>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t>הכנה לדיון</w:t>
      </w:r>
      <w:r w:rsidRPr="00F25744">
        <w:rPr>
          <w:rFonts w:ascii="David" w:hAnsi="David" w:cs="David" w:hint="cs"/>
          <w:sz w:val="24"/>
          <w:szCs w:val="24"/>
          <w:rtl/>
        </w:rPr>
        <w:t xml:space="preserve"> [עד 10 דקות, 10-20 דקות, 20-30 דקות, 30-40 דקות, אם יותר מ-40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0E9CC8DD" w14:textId="77777777" w:rsidR="005E4C22" w:rsidRPr="00F25744" w:rsidRDefault="00E25AE7" w:rsidP="00341018">
      <w:pPr>
        <w:numPr>
          <w:ilvl w:val="1"/>
          <w:numId w:val="29"/>
        </w:numPr>
        <w:spacing w:before="120" w:after="0" w:line="360" w:lineRule="auto"/>
        <w:ind w:left="991" w:hanging="284"/>
        <w:jc w:val="both"/>
        <w:rPr>
          <w:rFonts w:ascii="David" w:hAnsi="David" w:cs="David"/>
          <w:sz w:val="24"/>
          <w:szCs w:val="24"/>
        </w:rPr>
      </w:pPr>
      <w:r w:rsidRPr="00F25744">
        <w:rPr>
          <w:rFonts w:ascii="David" w:hAnsi="David" w:cs="David" w:hint="cs"/>
          <w:sz w:val="24"/>
          <w:szCs w:val="24"/>
          <w:rtl/>
        </w:rPr>
        <w:t xml:space="preserve">כתיבת </w:t>
      </w:r>
      <w:r w:rsidRPr="00F25744">
        <w:rPr>
          <w:rFonts w:ascii="David" w:hAnsi="David" w:cs="David" w:hint="cs"/>
          <w:b/>
          <w:bCs/>
          <w:sz w:val="24"/>
          <w:szCs w:val="24"/>
          <w:rtl/>
        </w:rPr>
        <w:t>עמוד אחד</w:t>
      </w:r>
      <w:r w:rsidRPr="00F25744">
        <w:rPr>
          <w:rFonts w:ascii="David" w:hAnsi="David" w:cs="David" w:hint="cs"/>
          <w:sz w:val="24"/>
          <w:szCs w:val="24"/>
          <w:rtl/>
        </w:rPr>
        <w:t xml:space="preserve"> של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במסמך עצמאי (לרבות החלטה לאחר סגירה) [עד 10 דקות, 10-20 דקות, 20-30 דקות, 30-40 דקות, אם יותר מ-40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2FD27172" w14:textId="77777777" w:rsidR="005E4C22" w:rsidRPr="00F25744" w:rsidRDefault="00E25AE7" w:rsidP="00341018">
      <w:pPr>
        <w:numPr>
          <w:ilvl w:val="1"/>
          <w:numId w:val="29"/>
        </w:numPr>
        <w:spacing w:before="120" w:after="0" w:line="360" w:lineRule="auto"/>
        <w:ind w:left="991" w:hanging="284"/>
        <w:jc w:val="both"/>
        <w:rPr>
          <w:rFonts w:ascii="David" w:hAnsi="David" w:cs="David"/>
          <w:sz w:val="24"/>
          <w:szCs w:val="24"/>
        </w:rPr>
      </w:pPr>
      <w:r w:rsidRPr="00F25744">
        <w:rPr>
          <w:rFonts w:ascii="David" w:hAnsi="David" w:cs="David" w:hint="cs"/>
          <w:sz w:val="24"/>
          <w:szCs w:val="24"/>
          <w:rtl/>
        </w:rPr>
        <w:t xml:space="preserve">כתיבת </w:t>
      </w:r>
      <w:r w:rsidRPr="00F25744">
        <w:rPr>
          <w:rFonts w:ascii="David" w:hAnsi="David" w:cs="David" w:hint="cs"/>
          <w:b/>
          <w:bCs/>
          <w:sz w:val="24"/>
          <w:szCs w:val="24"/>
          <w:rtl/>
        </w:rPr>
        <w:t>עמוד אחד</w:t>
      </w:r>
      <w:r w:rsidRPr="00F25744">
        <w:rPr>
          <w:rFonts w:ascii="David" w:hAnsi="David" w:cs="David" w:hint="cs"/>
          <w:sz w:val="24"/>
          <w:szCs w:val="24"/>
          <w:rtl/>
        </w:rPr>
        <w:t xml:space="preserve"> של </w:t>
      </w:r>
      <w:r w:rsidRPr="00F25744">
        <w:rPr>
          <w:rFonts w:ascii="David" w:hAnsi="David" w:cs="David" w:hint="cs"/>
          <w:b/>
          <w:bCs/>
          <w:sz w:val="24"/>
          <w:szCs w:val="24"/>
          <w:rtl/>
        </w:rPr>
        <w:t>פסק דין מנומק</w:t>
      </w:r>
      <w:r w:rsidRPr="00F25744">
        <w:rPr>
          <w:rFonts w:ascii="David" w:hAnsi="David" w:cs="David" w:hint="cs"/>
          <w:sz w:val="24"/>
          <w:szCs w:val="24"/>
          <w:rtl/>
        </w:rPr>
        <w:t xml:space="preserve"> (ללא הסכמות הצדדים) שניתן </w:t>
      </w:r>
      <w:r w:rsidRPr="00F25744">
        <w:rPr>
          <w:rFonts w:ascii="David" w:hAnsi="David" w:cs="David" w:hint="cs"/>
          <w:b/>
          <w:bCs/>
          <w:sz w:val="24"/>
          <w:szCs w:val="24"/>
          <w:rtl/>
        </w:rPr>
        <w:t>מחוץ לאולם</w:t>
      </w:r>
      <w:r w:rsidRPr="00F25744">
        <w:rPr>
          <w:rFonts w:ascii="David" w:hAnsi="David" w:cs="David" w:hint="cs"/>
          <w:sz w:val="24"/>
          <w:szCs w:val="24"/>
          <w:rtl/>
        </w:rPr>
        <w:t xml:space="preserve"> (לרבות טיוטה שנכתבה לפני הדיון והוקראה באולם) [עד 10 דקות, 10-20 דקות, 20-30 דקות, 30-40 דקות, אם יותר מ-40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3756EDDE" w14:textId="77777777" w:rsidR="005E4C22" w:rsidRPr="00F25744" w:rsidRDefault="00E25AE7" w:rsidP="00341018">
      <w:pPr>
        <w:numPr>
          <w:ilvl w:val="0"/>
          <w:numId w:val="29"/>
        </w:numPr>
        <w:spacing w:before="120" w:after="0" w:line="360" w:lineRule="auto"/>
        <w:ind w:left="651" w:hanging="283"/>
        <w:jc w:val="both"/>
        <w:rPr>
          <w:rFonts w:ascii="David" w:hAnsi="David" w:cs="David"/>
          <w:sz w:val="24"/>
          <w:szCs w:val="24"/>
        </w:rPr>
      </w:pPr>
      <w:r w:rsidRPr="00F25744">
        <w:rPr>
          <w:rFonts w:ascii="David" w:hAnsi="David" w:cs="David" w:hint="cs"/>
          <w:sz w:val="24"/>
          <w:szCs w:val="24"/>
          <w:rtl/>
        </w:rPr>
        <w:lastRenderedPageBreak/>
        <w:t xml:space="preserve">בתיק מסוג </w:t>
      </w:r>
      <w:r w:rsidRPr="00F25744">
        <w:rPr>
          <w:rFonts w:ascii="David" w:hAnsi="David" w:cs="David" w:hint="cs"/>
          <w:b/>
          <w:bCs/>
          <w:sz w:val="24"/>
          <w:szCs w:val="24"/>
          <w:u w:val="single"/>
          <w:rtl/>
        </w:rPr>
        <w:t xml:space="preserve">ענ"פ </w:t>
      </w:r>
      <w:r w:rsidRPr="00F25744">
        <w:rPr>
          <w:rFonts w:ascii="David" w:hAnsi="David" w:cs="David"/>
          <w:b/>
          <w:bCs/>
          <w:sz w:val="24"/>
          <w:szCs w:val="24"/>
          <w:u w:val="single"/>
          <w:rtl/>
        </w:rPr>
        <w:t>–</w:t>
      </w:r>
      <w:r w:rsidRPr="00F25744">
        <w:rPr>
          <w:rFonts w:ascii="David" w:hAnsi="David" w:cs="David" w:hint="cs"/>
          <w:b/>
          <w:bCs/>
          <w:sz w:val="24"/>
          <w:szCs w:val="24"/>
          <w:u w:val="single"/>
          <w:rtl/>
        </w:rPr>
        <w:t xml:space="preserve"> אב בי"ד</w:t>
      </w:r>
      <w:r w:rsidRPr="00F25744">
        <w:rPr>
          <w:rFonts w:ascii="David" w:hAnsi="David" w:cs="David" w:hint="cs"/>
          <w:sz w:val="24"/>
          <w:szCs w:val="24"/>
          <w:rtl/>
        </w:rPr>
        <w:t>, כמה זמן בממוצע לוקח לך להערכתך לבצע את הפעולות הבאות:</w:t>
      </w:r>
    </w:p>
    <w:p w14:paraId="1CF0341E" w14:textId="77777777" w:rsidR="005E4C22" w:rsidRPr="00F25744" w:rsidRDefault="00E25AE7" w:rsidP="00341018">
      <w:pPr>
        <w:numPr>
          <w:ilvl w:val="1"/>
          <w:numId w:val="29"/>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t>הכנה לדיון</w:t>
      </w:r>
      <w:r w:rsidRPr="00F25744">
        <w:rPr>
          <w:rFonts w:ascii="David" w:hAnsi="David" w:cs="David" w:hint="cs"/>
          <w:sz w:val="24"/>
          <w:szCs w:val="24"/>
          <w:rtl/>
        </w:rPr>
        <w:t xml:space="preserve"> [עד 10 דקות, 10-20 דקות, 20-30 דקות, 30-40 דקות, אם יותר מ-40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460C2DE7" w14:textId="77777777" w:rsidR="005E4C22" w:rsidRPr="00F25744" w:rsidRDefault="00E25AE7" w:rsidP="00341018">
      <w:pPr>
        <w:numPr>
          <w:ilvl w:val="1"/>
          <w:numId w:val="29"/>
        </w:numPr>
        <w:spacing w:before="120" w:after="0" w:line="360" w:lineRule="auto"/>
        <w:ind w:left="991" w:hanging="284"/>
        <w:jc w:val="both"/>
        <w:rPr>
          <w:rFonts w:ascii="David" w:hAnsi="David" w:cs="David"/>
          <w:sz w:val="24"/>
          <w:szCs w:val="24"/>
        </w:rPr>
      </w:pPr>
      <w:r w:rsidRPr="00F25744">
        <w:rPr>
          <w:rFonts w:ascii="David" w:hAnsi="David" w:cs="David" w:hint="cs"/>
          <w:sz w:val="24"/>
          <w:szCs w:val="24"/>
          <w:rtl/>
        </w:rPr>
        <w:t xml:space="preserve">כתיבת </w:t>
      </w:r>
      <w:r w:rsidRPr="00F25744">
        <w:rPr>
          <w:rFonts w:ascii="David" w:hAnsi="David" w:cs="David" w:hint="cs"/>
          <w:b/>
          <w:bCs/>
          <w:sz w:val="24"/>
          <w:szCs w:val="24"/>
          <w:rtl/>
        </w:rPr>
        <w:t>עמוד אחד</w:t>
      </w:r>
      <w:r w:rsidRPr="00F25744">
        <w:rPr>
          <w:rFonts w:ascii="David" w:hAnsi="David" w:cs="David" w:hint="cs"/>
          <w:sz w:val="24"/>
          <w:szCs w:val="24"/>
          <w:rtl/>
        </w:rPr>
        <w:t xml:space="preserve"> של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במסמך עצמאי (לרבות החלטה לאחר סגירה) [עד 10 דקות, 10-20 דקות, 20-30 דקות, 30-40 דקות, אם יותר מ-40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5C49C9F0" w14:textId="77777777" w:rsidR="005E4C22" w:rsidRPr="00F25744" w:rsidRDefault="00E25AE7" w:rsidP="00341018">
      <w:pPr>
        <w:numPr>
          <w:ilvl w:val="1"/>
          <w:numId w:val="29"/>
        </w:numPr>
        <w:spacing w:before="120" w:after="0" w:line="360" w:lineRule="auto"/>
        <w:ind w:left="991" w:hanging="284"/>
        <w:jc w:val="both"/>
        <w:rPr>
          <w:rFonts w:ascii="David" w:hAnsi="David" w:cs="David"/>
          <w:sz w:val="24"/>
          <w:szCs w:val="24"/>
        </w:rPr>
      </w:pPr>
      <w:r w:rsidRPr="00F25744">
        <w:rPr>
          <w:rFonts w:ascii="David" w:hAnsi="David" w:cs="David" w:hint="cs"/>
          <w:sz w:val="24"/>
          <w:szCs w:val="24"/>
          <w:rtl/>
        </w:rPr>
        <w:t xml:space="preserve">כתיבת </w:t>
      </w:r>
      <w:r w:rsidRPr="00F25744">
        <w:rPr>
          <w:rFonts w:ascii="David" w:hAnsi="David" w:cs="David" w:hint="cs"/>
          <w:b/>
          <w:bCs/>
          <w:sz w:val="24"/>
          <w:szCs w:val="24"/>
          <w:rtl/>
        </w:rPr>
        <w:t>עמוד אחד</w:t>
      </w:r>
      <w:r w:rsidRPr="00F25744">
        <w:rPr>
          <w:rFonts w:ascii="David" w:hAnsi="David" w:cs="David" w:hint="cs"/>
          <w:sz w:val="24"/>
          <w:szCs w:val="24"/>
          <w:rtl/>
        </w:rPr>
        <w:t xml:space="preserve"> של </w:t>
      </w:r>
      <w:r w:rsidRPr="00F25744">
        <w:rPr>
          <w:rFonts w:ascii="David" w:hAnsi="David" w:cs="David" w:hint="cs"/>
          <w:b/>
          <w:bCs/>
          <w:sz w:val="24"/>
          <w:szCs w:val="24"/>
          <w:rtl/>
        </w:rPr>
        <w:t>פסק דין מנומק</w:t>
      </w:r>
      <w:r w:rsidRPr="00F25744">
        <w:rPr>
          <w:rFonts w:ascii="David" w:hAnsi="David" w:cs="David" w:hint="cs"/>
          <w:sz w:val="24"/>
          <w:szCs w:val="24"/>
          <w:rtl/>
        </w:rPr>
        <w:t xml:space="preserve"> (ללא הסכמות הצדדים) שניתן </w:t>
      </w:r>
      <w:r w:rsidRPr="00F25744">
        <w:rPr>
          <w:rFonts w:ascii="David" w:hAnsi="David" w:cs="David" w:hint="cs"/>
          <w:b/>
          <w:bCs/>
          <w:sz w:val="24"/>
          <w:szCs w:val="24"/>
          <w:rtl/>
        </w:rPr>
        <w:t>מחוץ לאולם</w:t>
      </w:r>
      <w:r w:rsidRPr="00F25744">
        <w:rPr>
          <w:rFonts w:ascii="David" w:hAnsi="David" w:cs="David" w:hint="cs"/>
          <w:sz w:val="24"/>
          <w:szCs w:val="24"/>
          <w:rtl/>
        </w:rPr>
        <w:t xml:space="preserve"> (לרבות טיוטה שנכתבה לפני הדיון והוקראה באולם) [עד 10 דקות, 10-20 דקות, 20-30 דקות, 30-40 דקות, אם יותר מ-40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15D4DFEC" w14:textId="77777777" w:rsidR="005E4C22" w:rsidRPr="00F25744" w:rsidRDefault="00E25AE7" w:rsidP="00341018">
      <w:pPr>
        <w:numPr>
          <w:ilvl w:val="0"/>
          <w:numId w:val="29"/>
        </w:numPr>
        <w:spacing w:before="120" w:after="0" w:line="360" w:lineRule="auto"/>
        <w:ind w:left="651" w:hanging="283"/>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עפ"ג - אב בי"ד</w:t>
      </w:r>
      <w:r w:rsidRPr="00F25744">
        <w:rPr>
          <w:rFonts w:ascii="David" w:hAnsi="David" w:cs="David" w:hint="cs"/>
          <w:sz w:val="24"/>
          <w:szCs w:val="24"/>
          <w:rtl/>
        </w:rPr>
        <w:t>, כמה זמן בממוצע לוקח לך להערכתך לכתוב</w:t>
      </w:r>
      <w:r w:rsidRPr="00F25744">
        <w:rPr>
          <w:rFonts w:ascii="David" w:hAnsi="David" w:cs="David" w:hint="cs"/>
          <w:b/>
          <w:bCs/>
          <w:sz w:val="24"/>
          <w:szCs w:val="24"/>
          <w:rtl/>
        </w:rPr>
        <w:t xml:space="preserve"> עמוד אחד</w:t>
      </w:r>
      <w:r w:rsidRPr="00F25744">
        <w:rPr>
          <w:rFonts w:ascii="David" w:hAnsi="David" w:cs="David" w:hint="cs"/>
          <w:sz w:val="24"/>
          <w:szCs w:val="24"/>
          <w:rtl/>
        </w:rPr>
        <w:t xml:space="preserve"> של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במסמך עצמאי (לרבות החלטה לאחר סגירה)?</w:t>
      </w:r>
      <w:r w:rsidRPr="00F25744">
        <w:rPr>
          <w:rFonts w:ascii="David" w:hAnsi="David" w:cs="David"/>
          <w:sz w:val="24"/>
          <w:szCs w:val="24"/>
          <w:rtl/>
        </w:rPr>
        <w:t xml:space="preserve"> [עד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229F0B25" w14:textId="77777777" w:rsidR="005E4C22" w:rsidRPr="00F25744" w:rsidRDefault="00E25AE7" w:rsidP="00341018">
      <w:pPr>
        <w:numPr>
          <w:ilvl w:val="0"/>
          <w:numId w:val="29"/>
        </w:numPr>
        <w:spacing w:before="120" w:after="0" w:line="360" w:lineRule="auto"/>
        <w:ind w:left="707" w:hanging="283"/>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 xml:space="preserve">תפ"ח </w:t>
      </w:r>
      <w:r w:rsidRPr="00F25744">
        <w:rPr>
          <w:rFonts w:ascii="David" w:hAnsi="David" w:cs="David"/>
          <w:b/>
          <w:bCs/>
          <w:sz w:val="24"/>
          <w:szCs w:val="24"/>
          <w:u w:val="single"/>
          <w:rtl/>
        </w:rPr>
        <w:t>–</w:t>
      </w:r>
      <w:r w:rsidRPr="00F25744">
        <w:rPr>
          <w:rFonts w:ascii="David" w:hAnsi="David" w:cs="David" w:hint="cs"/>
          <w:b/>
          <w:bCs/>
          <w:sz w:val="24"/>
          <w:szCs w:val="24"/>
          <w:u w:val="single"/>
          <w:rtl/>
        </w:rPr>
        <w:t xml:space="preserve"> חבר הרכב</w:t>
      </w:r>
      <w:r w:rsidRPr="00F25744">
        <w:rPr>
          <w:rFonts w:ascii="David" w:hAnsi="David" w:cs="David" w:hint="cs"/>
          <w:sz w:val="24"/>
          <w:szCs w:val="24"/>
          <w:rtl/>
        </w:rPr>
        <w:t xml:space="preserve">, </w:t>
      </w:r>
      <w:r w:rsidRPr="00F25744">
        <w:rPr>
          <w:rFonts w:ascii="David" w:hAnsi="David" w:cs="David" w:hint="cs"/>
          <w:b/>
          <w:bCs/>
          <w:sz w:val="24"/>
          <w:szCs w:val="24"/>
          <w:rtl/>
        </w:rPr>
        <w:t>בכמה</w:t>
      </w:r>
      <w:r w:rsidRPr="00F25744">
        <w:rPr>
          <w:rFonts w:ascii="David" w:hAnsi="David" w:cs="David" w:hint="cs"/>
          <w:sz w:val="24"/>
          <w:szCs w:val="24"/>
          <w:rtl/>
        </w:rPr>
        <w:t xml:space="preserve"> מן הדיונים </w:t>
      </w:r>
      <w:r w:rsidRPr="00F25744">
        <w:rPr>
          <w:rFonts w:ascii="David" w:hAnsi="David" w:cs="David" w:hint="cs"/>
          <w:b/>
          <w:bCs/>
          <w:sz w:val="24"/>
          <w:szCs w:val="24"/>
          <w:rtl/>
        </w:rPr>
        <w:t>שאינם</w:t>
      </w:r>
      <w:r w:rsidRPr="00F25744">
        <w:rPr>
          <w:rFonts w:ascii="David" w:hAnsi="David" w:cs="David" w:hint="cs"/>
          <w:sz w:val="24"/>
          <w:szCs w:val="24"/>
          <w:rtl/>
        </w:rPr>
        <w:t xml:space="preserve"> הוכחות מתבצעת להערכתך בתיק ממוצע, </w:t>
      </w:r>
      <w:r w:rsidRPr="00F25744">
        <w:rPr>
          <w:rFonts w:ascii="David" w:hAnsi="David" w:cs="David" w:hint="cs"/>
          <w:b/>
          <w:bCs/>
          <w:sz w:val="24"/>
          <w:szCs w:val="24"/>
          <w:rtl/>
        </w:rPr>
        <w:t>הכנה משותפת בהרכב</w:t>
      </w:r>
      <w:r w:rsidRPr="00F25744">
        <w:rPr>
          <w:rFonts w:ascii="David" w:hAnsi="David" w:cs="David" w:hint="cs"/>
          <w:sz w:val="24"/>
          <w:szCs w:val="24"/>
          <w:rtl/>
        </w:rPr>
        <w:t xml:space="preserve"> לקראת הדיון (היוועצות של חברי ההרכב לפני הדיון)? [בכלל לא, בחלק קטן מהדיונים, בכמחצית מהדיונים, ברוב הדיונים, בכל הדיונים/ לא רלבנטי לסוג התיק]</w:t>
      </w:r>
    </w:p>
    <w:p w14:paraId="4A7B5CF0" w14:textId="77777777" w:rsidR="005E4C22" w:rsidRPr="00F25744" w:rsidRDefault="00E25AE7" w:rsidP="00341018">
      <w:pPr>
        <w:numPr>
          <w:ilvl w:val="0"/>
          <w:numId w:val="29"/>
        </w:numPr>
        <w:spacing w:before="120" w:after="0" w:line="360" w:lineRule="auto"/>
        <w:ind w:left="707" w:hanging="283"/>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 xml:space="preserve">תפ"ח </w:t>
      </w:r>
      <w:r w:rsidRPr="00F25744">
        <w:rPr>
          <w:rFonts w:ascii="David" w:hAnsi="David" w:cs="David"/>
          <w:b/>
          <w:bCs/>
          <w:sz w:val="24"/>
          <w:szCs w:val="24"/>
          <w:u w:val="single"/>
          <w:rtl/>
        </w:rPr>
        <w:t>–</w:t>
      </w:r>
      <w:r w:rsidRPr="00F25744">
        <w:rPr>
          <w:rFonts w:ascii="David" w:hAnsi="David" w:cs="David" w:hint="cs"/>
          <w:b/>
          <w:bCs/>
          <w:sz w:val="24"/>
          <w:szCs w:val="24"/>
          <w:u w:val="single"/>
          <w:rtl/>
        </w:rPr>
        <w:t xml:space="preserve"> חבר הרכב</w:t>
      </w:r>
      <w:r w:rsidRPr="00F25744">
        <w:rPr>
          <w:rFonts w:ascii="David" w:hAnsi="David" w:cs="David" w:hint="cs"/>
          <w:sz w:val="24"/>
          <w:szCs w:val="24"/>
          <w:rtl/>
        </w:rPr>
        <w:t xml:space="preserve">, כמה זמן בממוצע אורכת להערכתך </w:t>
      </w:r>
      <w:r w:rsidRPr="00F25744">
        <w:rPr>
          <w:rFonts w:ascii="David" w:hAnsi="David" w:cs="David" w:hint="cs"/>
          <w:b/>
          <w:bCs/>
          <w:sz w:val="24"/>
          <w:szCs w:val="24"/>
          <w:rtl/>
        </w:rPr>
        <w:t>ההכנה המשותפת בהרכב</w:t>
      </w:r>
      <w:r w:rsidRPr="00F25744">
        <w:rPr>
          <w:rFonts w:ascii="David" w:hAnsi="David" w:cs="David" w:hint="cs"/>
          <w:sz w:val="24"/>
          <w:szCs w:val="24"/>
          <w:rtl/>
        </w:rPr>
        <w:t xml:space="preserve"> (היוועצות של חברי ההרכב לפני הדיון) לקראת כל דיון מהדיונים הבאים:</w:t>
      </w:r>
    </w:p>
    <w:p w14:paraId="79A93C80" w14:textId="77777777" w:rsidR="005E4C22" w:rsidRPr="00F25744" w:rsidRDefault="00E25AE7" w:rsidP="00341018">
      <w:pPr>
        <w:numPr>
          <w:ilvl w:val="1"/>
          <w:numId w:val="33"/>
        </w:numPr>
        <w:spacing w:before="120" w:after="0" w:line="360" w:lineRule="auto"/>
        <w:ind w:left="1133" w:hanging="426"/>
        <w:jc w:val="both"/>
        <w:rPr>
          <w:rFonts w:ascii="David" w:hAnsi="David" w:cs="David"/>
          <w:sz w:val="24"/>
          <w:szCs w:val="24"/>
        </w:rPr>
      </w:pPr>
      <w:r w:rsidRPr="00F25744">
        <w:rPr>
          <w:rFonts w:ascii="David" w:hAnsi="David" w:cs="David" w:hint="cs"/>
          <w:sz w:val="24"/>
          <w:szCs w:val="24"/>
          <w:rtl/>
        </w:rPr>
        <w:t xml:space="preserve">דיון </w:t>
      </w:r>
      <w:r w:rsidRPr="00F25744">
        <w:rPr>
          <w:rFonts w:ascii="David" w:hAnsi="David" w:cs="David" w:hint="cs"/>
          <w:b/>
          <w:bCs/>
          <w:sz w:val="24"/>
          <w:szCs w:val="24"/>
          <w:rtl/>
        </w:rPr>
        <w:t>שאינו</w:t>
      </w:r>
      <w:r w:rsidRPr="00F25744">
        <w:rPr>
          <w:rFonts w:ascii="David" w:hAnsi="David" w:cs="David" w:hint="cs"/>
          <w:sz w:val="24"/>
          <w:szCs w:val="24"/>
          <w:rtl/>
        </w:rPr>
        <w:t xml:space="preserve"> הוכחות (לרבות דיון תזכורת, הקראה וכדומה)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6C82E81E" w14:textId="77777777" w:rsidR="005E4C22" w:rsidRPr="00F25744" w:rsidRDefault="00E25AE7" w:rsidP="00341018">
      <w:pPr>
        <w:numPr>
          <w:ilvl w:val="1"/>
          <w:numId w:val="33"/>
        </w:numPr>
        <w:spacing w:before="120" w:after="0" w:line="360" w:lineRule="auto"/>
        <w:ind w:left="1133" w:hanging="426"/>
        <w:jc w:val="both"/>
        <w:rPr>
          <w:rFonts w:ascii="David" w:hAnsi="David" w:cs="David"/>
          <w:sz w:val="24"/>
          <w:szCs w:val="24"/>
        </w:rPr>
      </w:pPr>
      <w:r w:rsidRPr="00F25744">
        <w:rPr>
          <w:rFonts w:ascii="David" w:hAnsi="David" w:cs="David" w:hint="cs"/>
          <w:sz w:val="24"/>
          <w:szCs w:val="24"/>
          <w:rtl/>
        </w:rPr>
        <w:t xml:space="preserve">דיון </w:t>
      </w:r>
      <w:r w:rsidRPr="00F25744">
        <w:rPr>
          <w:rFonts w:ascii="David" w:hAnsi="David" w:cs="David" w:hint="cs"/>
          <w:b/>
          <w:bCs/>
          <w:sz w:val="24"/>
          <w:szCs w:val="24"/>
          <w:rtl/>
        </w:rPr>
        <w:t>הוכחות</w:t>
      </w:r>
      <w:r w:rsidRPr="00F25744">
        <w:rPr>
          <w:rFonts w:ascii="David" w:hAnsi="David" w:cs="David" w:hint="cs"/>
          <w:sz w:val="24"/>
          <w:szCs w:val="24"/>
          <w:rtl/>
        </w:rPr>
        <w:t xml:space="preserve"> (לרבות דיון שבו נשמעות ראיות/ עדויות או סיכומים בעל פה/ טיעונים לעונש)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750FBD35"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 xml:space="preserve">תפ"ח </w:t>
      </w:r>
      <w:r w:rsidRPr="00F25744">
        <w:rPr>
          <w:rFonts w:ascii="David" w:hAnsi="David" w:cs="David"/>
          <w:b/>
          <w:bCs/>
          <w:sz w:val="24"/>
          <w:szCs w:val="24"/>
          <w:u w:val="single"/>
          <w:rtl/>
        </w:rPr>
        <w:t>–</w:t>
      </w:r>
      <w:r w:rsidRPr="00F25744">
        <w:rPr>
          <w:rFonts w:ascii="David" w:hAnsi="David" w:cs="David" w:hint="cs"/>
          <w:b/>
          <w:bCs/>
          <w:sz w:val="24"/>
          <w:szCs w:val="24"/>
          <w:u w:val="single"/>
          <w:rtl/>
        </w:rPr>
        <w:t xml:space="preserve"> חבר הרכב</w:t>
      </w:r>
      <w:r w:rsidRPr="00F25744">
        <w:rPr>
          <w:rFonts w:ascii="David" w:hAnsi="David" w:cs="David" w:hint="cs"/>
          <w:sz w:val="24"/>
          <w:szCs w:val="24"/>
          <w:rtl/>
        </w:rPr>
        <w:t>, כמה זמן בממוצע לוקח לך להערכתך לכתוב</w:t>
      </w:r>
      <w:r w:rsidRPr="00F25744">
        <w:rPr>
          <w:rFonts w:ascii="David" w:hAnsi="David" w:cs="David" w:hint="cs"/>
          <w:b/>
          <w:bCs/>
          <w:sz w:val="24"/>
          <w:szCs w:val="24"/>
          <w:rtl/>
        </w:rPr>
        <w:t xml:space="preserve"> עמוד אחד</w:t>
      </w:r>
      <w:r w:rsidRPr="00F25744">
        <w:rPr>
          <w:rFonts w:ascii="David" w:hAnsi="David" w:cs="David" w:hint="cs"/>
          <w:sz w:val="24"/>
          <w:szCs w:val="24"/>
          <w:rtl/>
        </w:rPr>
        <w:t xml:space="preserve"> של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במסמך עצמאי (לרבות החלטה לאחר סגירה)?</w:t>
      </w:r>
      <w:r w:rsidRPr="00F25744">
        <w:rPr>
          <w:rFonts w:ascii="David" w:hAnsi="David" w:cs="David"/>
          <w:sz w:val="24"/>
          <w:szCs w:val="24"/>
          <w:rtl/>
        </w:rPr>
        <w:t xml:space="preserve"> [עד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77DA9343" w14:textId="77777777" w:rsidR="005E4C22" w:rsidRPr="00F25744" w:rsidRDefault="00E25AE7" w:rsidP="00341018">
      <w:pPr>
        <w:numPr>
          <w:ilvl w:val="0"/>
          <w:numId w:val="29"/>
        </w:numPr>
        <w:spacing w:before="120" w:after="0" w:line="360" w:lineRule="auto"/>
        <w:ind w:left="707" w:hanging="283"/>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 xml:space="preserve">תפ"ח </w:t>
      </w:r>
      <w:r w:rsidRPr="00F25744">
        <w:rPr>
          <w:rFonts w:ascii="David" w:hAnsi="David" w:cs="David"/>
          <w:b/>
          <w:bCs/>
          <w:sz w:val="24"/>
          <w:szCs w:val="24"/>
          <w:u w:val="single"/>
          <w:rtl/>
        </w:rPr>
        <w:t>–</w:t>
      </w:r>
      <w:r w:rsidRPr="00F25744">
        <w:rPr>
          <w:rFonts w:ascii="David" w:hAnsi="David" w:cs="David" w:hint="cs"/>
          <w:b/>
          <w:bCs/>
          <w:sz w:val="24"/>
          <w:szCs w:val="24"/>
          <w:u w:val="single"/>
          <w:rtl/>
        </w:rPr>
        <w:t xml:space="preserve"> אב בי"ד</w:t>
      </w:r>
      <w:r w:rsidRPr="00F25744">
        <w:rPr>
          <w:rFonts w:ascii="David" w:hAnsi="David" w:cs="David" w:hint="cs"/>
          <w:sz w:val="24"/>
          <w:szCs w:val="24"/>
          <w:rtl/>
        </w:rPr>
        <w:t xml:space="preserve">, </w:t>
      </w:r>
      <w:r w:rsidRPr="00F25744">
        <w:rPr>
          <w:rFonts w:ascii="David" w:hAnsi="David" w:cs="David" w:hint="cs"/>
          <w:b/>
          <w:bCs/>
          <w:sz w:val="24"/>
          <w:szCs w:val="24"/>
          <w:rtl/>
        </w:rPr>
        <w:t>בכמה</w:t>
      </w:r>
      <w:r w:rsidRPr="00F25744">
        <w:rPr>
          <w:rFonts w:ascii="David" w:hAnsi="David" w:cs="David" w:hint="cs"/>
          <w:sz w:val="24"/>
          <w:szCs w:val="24"/>
          <w:rtl/>
        </w:rPr>
        <w:t xml:space="preserve"> מן הדיונים </w:t>
      </w:r>
      <w:r w:rsidRPr="00F25744">
        <w:rPr>
          <w:rFonts w:ascii="David" w:hAnsi="David" w:cs="David" w:hint="cs"/>
          <w:b/>
          <w:bCs/>
          <w:sz w:val="24"/>
          <w:szCs w:val="24"/>
          <w:rtl/>
        </w:rPr>
        <w:t>שאינם</w:t>
      </w:r>
      <w:r w:rsidRPr="00F25744">
        <w:rPr>
          <w:rFonts w:ascii="David" w:hAnsi="David" w:cs="David" w:hint="cs"/>
          <w:sz w:val="24"/>
          <w:szCs w:val="24"/>
          <w:rtl/>
        </w:rPr>
        <w:t xml:space="preserve"> הוכחות מתבצעת להערכתך בתיק ממוצע, </w:t>
      </w:r>
      <w:r w:rsidRPr="00F25744">
        <w:rPr>
          <w:rFonts w:ascii="David" w:hAnsi="David" w:cs="David" w:hint="cs"/>
          <w:b/>
          <w:bCs/>
          <w:sz w:val="24"/>
          <w:szCs w:val="24"/>
          <w:rtl/>
        </w:rPr>
        <w:t>הכנה משותפת בהרכב</w:t>
      </w:r>
      <w:r w:rsidRPr="00F25744">
        <w:rPr>
          <w:rFonts w:ascii="David" w:hAnsi="David" w:cs="David" w:hint="cs"/>
          <w:sz w:val="24"/>
          <w:szCs w:val="24"/>
          <w:rtl/>
        </w:rPr>
        <w:t xml:space="preserve"> לקראת הדיון (היוועצות של חברי ההרכב לפני הדיון)? [בכלל לא, בחלק קטן מהדיונים, בכמחצית מהדיונים, ברוב הדיונים, בכל הדיונים/ לא רלבנטי לסוג התיק]</w:t>
      </w:r>
    </w:p>
    <w:p w14:paraId="175058AB" w14:textId="77777777" w:rsidR="005E4C22" w:rsidRPr="00F25744" w:rsidRDefault="00E25AE7" w:rsidP="00341018">
      <w:pPr>
        <w:numPr>
          <w:ilvl w:val="0"/>
          <w:numId w:val="29"/>
        </w:numPr>
        <w:spacing w:before="120" w:after="0" w:line="360" w:lineRule="auto"/>
        <w:ind w:left="707" w:hanging="283"/>
        <w:jc w:val="both"/>
        <w:rPr>
          <w:rFonts w:ascii="David" w:hAnsi="David" w:cs="David"/>
          <w:sz w:val="24"/>
          <w:szCs w:val="24"/>
        </w:rPr>
      </w:pPr>
      <w:r w:rsidRPr="00F25744">
        <w:rPr>
          <w:rFonts w:ascii="David" w:hAnsi="David" w:cs="David" w:hint="cs"/>
          <w:sz w:val="24"/>
          <w:szCs w:val="24"/>
          <w:rtl/>
        </w:rPr>
        <w:lastRenderedPageBreak/>
        <w:t xml:space="preserve">בתיק מסוג </w:t>
      </w:r>
      <w:r w:rsidRPr="00F25744">
        <w:rPr>
          <w:rFonts w:ascii="David" w:hAnsi="David" w:cs="David" w:hint="cs"/>
          <w:b/>
          <w:bCs/>
          <w:sz w:val="24"/>
          <w:szCs w:val="24"/>
          <w:u w:val="single"/>
          <w:rtl/>
        </w:rPr>
        <w:t xml:space="preserve">תפ"ח </w:t>
      </w:r>
      <w:r w:rsidRPr="00F25744">
        <w:rPr>
          <w:rFonts w:ascii="David" w:hAnsi="David" w:cs="David"/>
          <w:b/>
          <w:bCs/>
          <w:sz w:val="24"/>
          <w:szCs w:val="24"/>
          <w:u w:val="single"/>
          <w:rtl/>
        </w:rPr>
        <w:t>–</w:t>
      </w:r>
      <w:r w:rsidRPr="00F25744">
        <w:rPr>
          <w:rFonts w:ascii="David" w:hAnsi="David" w:cs="David" w:hint="cs"/>
          <w:b/>
          <w:bCs/>
          <w:sz w:val="24"/>
          <w:szCs w:val="24"/>
          <w:u w:val="single"/>
          <w:rtl/>
        </w:rPr>
        <w:t xml:space="preserve"> אב בי"ד</w:t>
      </w:r>
      <w:r w:rsidRPr="00F25744">
        <w:rPr>
          <w:rFonts w:ascii="David" w:hAnsi="David" w:cs="David" w:hint="cs"/>
          <w:sz w:val="24"/>
          <w:szCs w:val="24"/>
          <w:rtl/>
        </w:rPr>
        <w:t xml:space="preserve">, כמה זמן בממוצע אורכת להערכתך </w:t>
      </w:r>
      <w:r w:rsidRPr="00F25744">
        <w:rPr>
          <w:rFonts w:ascii="David" w:hAnsi="David" w:cs="David" w:hint="cs"/>
          <w:b/>
          <w:bCs/>
          <w:sz w:val="24"/>
          <w:szCs w:val="24"/>
          <w:rtl/>
        </w:rPr>
        <w:t>ההכנה המשותפת בהרכב</w:t>
      </w:r>
      <w:r w:rsidRPr="00F25744">
        <w:rPr>
          <w:rFonts w:ascii="David" w:hAnsi="David" w:cs="David" w:hint="cs"/>
          <w:sz w:val="24"/>
          <w:szCs w:val="24"/>
          <w:rtl/>
        </w:rPr>
        <w:t xml:space="preserve"> (היוועצות של חברי ההרכב לפני הדיון) לקראת כל דיון מהדיונים הבאים:</w:t>
      </w:r>
    </w:p>
    <w:p w14:paraId="00665E2F" w14:textId="77777777" w:rsidR="005E4C22" w:rsidRPr="00F25744" w:rsidRDefault="00E25AE7" w:rsidP="00341018">
      <w:pPr>
        <w:numPr>
          <w:ilvl w:val="1"/>
          <w:numId w:val="33"/>
        </w:numPr>
        <w:spacing w:before="120" w:after="0" w:line="360" w:lineRule="auto"/>
        <w:ind w:left="1133" w:hanging="426"/>
        <w:jc w:val="both"/>
        <w:rPr>
          <w:rFonts w:ascii="David" w:hAnsi="David" w:cs="David"/>
          <w:sz w:val="24"/>
          <w:szCs w:val="24"/>
        </w:rPr>
      </w:pPr>
      <w:r w:rsidRPr="00F25744">
        <w:rPr>
          <w:rFonts w:ascii="David" w:hAnsi="David" w:cs="David" w:hint="cs"/>
          <w:sz w:val="24"/>
          <w:szCs w:val="24"/>
          <w:rtl/>
        </w:rPr>
        <w:t xml:space="preserve">דיון </w:t>
      </w:r>
      <w:r w:rsidRPr="00F25744">
        <w:rPr>
          <w:rFonts w:ascii="David" w:hAnsi="David" w:cs="David" w:hint="cs"/>
          <w:b/>
          <w:bCs/>
          <w:sz w:val="24"/>
          <w:szCs w:val="24"/>
          <w:rtl/>
        </w:rPr>
        <w:t>שאינו</w:t>
      </w:r>
      <w:r w:rsidRPr="00F25744">
        <w:rPr>
          <w:rFonts w:ascii="David" w:hAnsi="David" w:cs="David" w:hint="cs"/>
          <w:sz w:val="24"/>
          <w:szCs w:val="24"/>
          <w:rtl/>
        </w:rPr>
        <w:t xml:space="preserve"> הוכחות (לרבות דיון תזכורת, הקראה וכדומה)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7237DE2E" w14:textId="77777777" w:rsidR="005E4C22" w:rsidRPr="00F25744" w:rsidRDefault="00E25AE7" w:rsidP="00341018">
      <w:pPr>
        <w:numPr>
          <w:ilvl w:val="1"/>
          <w:numId w:val="33"/>
        </w:numPr>
        <w:spacing w:before="120" w:after="0" w:line="360" w:lineRule="auto"/>
        <w:ind w:left="1133" w:hanging="426"/>
        <w:jc w:val="both"/>
        <w:rPr>
          <w:rFonts w:ascii="David" w:hAnsi="David" w:cs="David"/>
          <w:sz w:val="24"/>
          <w:szCs w:val="24"/>
        </w:rPr>
      </w:pPr>
      <w:r w:rsidRPr="00F25744">
        <w:rPr>
          <w:rFonts w:ascii="David" w:hAnsi="David" w:cs="David" w:hint="cs"/>
          <w:sz w:val="24"/>
          <w:szCs w:val="24"/>
          <w:rtl/>
        </w:rPr>
        <w:t xml:space="preserve">דיון </w:t>
      </w:r>
      <w:r w:rsidRPr="00F25744">
        <w:rPr>
          <w:rFonts w:ascii="David" w:hAnsi="David" w:cs="David" w:hint="cs"/>
          <w:b/>
          <w:bCs/>
          <w:sz w:val="24"/>
          <w:szCs w:val="24"/>
          <w:rtl/>
        </w:rPr>
        <w:t>הוכחות</w:t>
      </w:r>
      <w:r w:rsidRPr="00F25744">
        <w:rPr>
          <w:rFonts w:ascii="David" w:hAnsi="David" w:cs="David" w:hint="cs"/>
          <w:sz w:val="24"/>
          <w:szCs w:val="24"/>
          <w:rtl/>
        </w:rPr>
        <w:t xml:space="preserve"> (לרבות דיון שבו נשמעות ראיות/ עדויות או סיכומים בעל פה/ טיעונים לעונש)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645371E3"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 xml:space="preserve">תפ"ח </w:t>
      </w:r>
      <w:r w:rsidRPr="00F25744">
        <w:rPr>
          <w:rFonts w:ascii="David" w:hAnsi="David" w:cs="David"/>
          <w:b/>
          <w:bCs/>
          <w:sz w:val="24"/>
          <w:szCs w:val="24"/>
          <w:u w:val="single"/>
          <w:rtl/>
        </w:rPr>
        <w:t>–</w:t>
      </w:r>
      <w:r w:rsidRPr="00F25744">
        <w:rPr>
          <w:rFonts w:ascii="David" w:hAnsi="David" w:cs="David" w:hint="cs"/>
          <w:b/>
          <w:bCs/>
          <w:sz w:val="24"/>
          <w:szCs w:val="24"/>
          <w:u w:val="single"/>
          <w:rtl/>
        </w:rPr>
        <w:t xml:space="preserve"> אב בי"ד</w:t>
      </w:r>
      <w:r w:rsidRPr="00F25744">
        <w:rPr>
          <w:rFonts w:ascii="David" w:hAnsi="David" w:cs="David" w:hint="cs"/>
          <w:sz w:val="24"/>
          <w:szCs w:val="24"/>
          <w:rtl/>
        </w:rPr>
        <w:t>, כמה זמן בממוצע לוקח לך להערכתך לכתוב</w:t>
      </w:r>
      <w:r w:rsidRPr="00F25744">
        <w:rPr>
          <w:rFonts w:ascii="David" w:hAnsi="David" w:cs="David" w:hint="cs"/>
          <w:b/>
          <w:bCs/>
          <w:sz w:val="24"/>
          <w:szCs w:val="24"/>
          <w:rtl/>
        </w:rPr>
        <w:t xml:space="preserve"> עמוד אחד</w:t>
      </w:r>
      <w:r w:rsidRPr="00F25744">
        <w:rPr>
          <w:rFonts w:ascii="David" w:hAnsi="David" w:cs="David" w:hint="cs"/>
          <w:sz w:val="24"/>
          <w:szCs w:val="24"/>
          <w:rtl/>
        </w:rPr>
        <w:t xml:space="preserve"> של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במסמך עצמאי (לרבות החלטה לאחר סגירה)?</w:t>
      </w:r>
      <w:r w:rsidRPr="00F25744">
        <w:rPr>
          <w:rFonts w:ascii="David" w:hAnsi="David" w:cs="David"/>
          <w:sz w:val="24"/>
          <w:szCs w:val="24"/>
          <w:rtl/>
        </w:rPr>
        <w:t xml:space="preserve"> [עד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7044FE55" w14:textId="77777777" w:rsidR="005E4C22" w:rsidRPr="00F25744" w:rsidRDefault="005E4C22" w:rsidP="005E4C22">
      <w:pPr>
        <w:spacing w:before="120" w:after="0" w:line="240" w:lineRule="auto"/>
        <w:jc w:val="both"/>
        <w:rPr>
          <w:rFonts w:ascii="David" w:hAnsi="David" w:cs="David"/>
          <w:sz w:val="16"/>
          <w:szCs w:val="16"/>
          <w:rtl/>
        </w:rPr>
      </w:pPr>
    </w:p>
    <w:p w14:paraId="21DE0029" w14:textId="77777777" w:rsidR="005E4C22" w:rsidRPr="00F25744" w:rsidRDefault="00E25AE7" w:rsidP="00341018">
      <w:pPr>
        <w:numPr>
          <w:ilvl w:val="0"/>
          <w:numId w:val="35"/>
        </w:numPr>
        <w:spacing w:before="120" w:after="0" w:line="240" w:lineRule="auto"/>
        <w:ind w:left="424" w:hanging="425"/>
        <w:jc w:val="both"/>
        <w:rPr>
          <w:rFonts w:ascii="David" w:hAnsi="David" w:cs="David"/>
          <w:sz w:val="24"/>
          <w:szCs w:val="24"/>
        </w:rPr>
      </w:pPr>
      <w:r w:rsidRPr="00F25744">
        <w:rPr>
          <w:rFonts w:ascii="David" w:hAnsi="David" w:cs="David" w:hint="cs"/>
          <w:b/>
          <w:bCs/>
          <w:sz w:val="24"/>
          <w:szCs w:val="24"/>
          <w:u w:val="single"/>
          <w:rtl/>
        </w:rPr>
        <w:t>היבטים נוספים של העומס</w:t>
      </w:r>
      <w:r w:rsidRPr="00F25744">
        <w:rPr>
          <w:rFonts w:ascii="David" w:hAnsi="David" w:cs="David" w:hint="cs"/>
          <w:sz w:val="24"/>
          <w:szCs w:val="24"/>
          <w:rtl/>
        </w:rPr>
        <w:t xml:space="preserve"> (ראו נספח ב1: כללי)</w:t>
      </w:r>
    </w:p>
    <w:p w14:paraId="5CB8F358" w14:textId="77777777" w:rsidR="005E4C22" w:rsidRPr="00F25744" w:rsidRDefault="00E25AE7" w:rsidP="00341018">
      <w:pPr>
        <w:numPr>
          <w:ilvl w:val="0"/>
          <w:numId w:val="35"/>
        </w:numPr>
        <w:spacing w:before="120" w:after="0" w:line="240" w:lineRule="auto"/>
        <w:ind w:left="424" w:hanging="425"/>
        <w:jc w:val="both"/>
        <w:rPr>
          <w:rFonts w:ascii="David" w:hAnsi="David" w:cs="David"/>
          <w:sz w:val="24"/>
          <w:szCs w:val="24"/>
        </w:rPr>
      </w:pPr>
      <w:r w:rsidRPr="00F25744">
        <w:rPr>
          <w:rFonts w:ascii="David" w:hAnsi="David" w:cs="David" w:hint="cs"/>
          <w:b/>
          <w:bCs/>
          <w:sz w:val="24"/>
          <w:szCs w:val="24"/>
          <w:u w:val="single"/>
          <w:rtl/>
        </w:rPr>
        <w:t>עומס רגשי</w:t>
      </w:r>
      <w:r w:rsidRPr="00F25744">
        <w:rPr>
          <w:rFonts w:ascii="David" w:hAnsi="David" w:cs="David" w:hint="cs"/>
          <w:sz w:val="24"/>
          <w:szCs w:val="24"/>
          <w:rtl/>
        </w:rPr>
        <w:t xml:space="preserve"> (ראו נספח ב1: כללי)</w:t>
      </w:r>
    </w:p>
    <w:p w14:paraId="3E5C57A0" w14:textId="77777777" w:rsidR="005E4C22" w:rsidRPr="00F25744" w:rsidRDefault="00E25AE7" w:rsidP="00341018">
      <w:pPr>
        <w:numPr>
          <w:ilvl w:val="0"/>
          <w:numId w:val="35"/>
        </w:numPr>
        <w:spacing w:before="120" w:after="0" w:line="240" w:lineRule="auto"/>
        <w:ind w:left="424" w:hanging="425"/>
        <w:jc w:val="both"/>
        <w:rPr>
          <w:rFonts w:ascii="David" w:hAnsi="David" w:cs="David"/>
          <w:sz w:val="24"/>
          <w:szCs w:val="24"/>
          <w:rtl/>
        </w:rPr>
      </w:pPr>
      <w:r w:rsidRPr="00F25744">
        <w:rPr>
          <w:rFonts w:ascii="David" w:hAnsi="David" w:cs="David" w:hint="cs"/>
          <w:b/>
          <w:bCs/>
          <w:sz w:val="24"/>
          <w:szCs w:val="24"/>
          <w:u w:val="single"/>
          <w:rtl/>
        </w:rPr>
        <w:t>שאלות פתוחות</w:t>
      </w:r>
      <w:r w:rsidRPr="00F25744">
        <w:rPr>
          <w:rFonts w:ascii="David" w:hAnsi="David" w:cs="David" w:hint="cs"/>
          <w:sz w:val="24"/>
          <w:szCs w:val="24"/>
          <w:rtl/>
        </w:rPr>
        <w:t xml:space="preserve"> (ראו נספח ב1: כללי)</w:t>
      </w:r>
    </w:p>
    <w:p w14:paraId="779A7B19" w14:textId="77777777" w:rsidR="005E4C22" w:rsidRPr="00F25744" w:rsidRDefault="005E4C22" w:rsidP="005E4C22">
      <w:pPr>
        <w:spacing w:before="120" w:after="0" w:line="240" w:lineRule="auto"/>
        <w:jc w:val="right"/>
      </w:pPr>
    </w:p>
    <w:p w14:paraId="7C717673" w14:textId="77777777" w:rsidR="005E4C22" w:rsidRPr="00F25744" w:rsidRDefault="005E4C22" w:rsidP="005E4C22">
      <w:pPr>
        <w:rPr>
          <w:rtl/>
        </w:rPr>
      </w:pPr>
    </w:p>
    <w:p w14:paraId="27DA0A19" w14:textId="77777777" w:rsidR="005E4C22" w:rsidRPr="00F25744" w:rsidRDefault="005E4C22" w:rsidP="005E4C22">
      <w:pPr>
        <w:rPr>
          <w:rtl/>
        </w:rPr>
      </w:pPr>
    </w:p>
    <w:p w14:paraId="72C21F58" w14:textId="77777777" w:rsidR="005E4C22" w:rsidRPr="00F25744" w:rsidRDefault="005E4C22" w:rsidP="005E4C22">
      <w:pPr>
        <w:rPr>
          <w:rtl/>
        </w:rPr>
      </w:pPr>
    </w:p>
    <w:p w14:paraId="1C397100" w14:textId="77777777" w:rsidR="005E4C22" w:rsidRPr="00F25744" w:rsidRDefault="005E4C22" w:rsidP="005E4C22">
      <w:pPr>
        <w:rPr>
          <w:rtl/>
        </w:rPr>
      </w:pPr>
    </w:p>
    <w:p w14:paraId="62B0D48E" w14:textId="77777777" w:rsidR="005E4C22" w:rsidRPr="00F25744" w:rsidRDefault="005E4C22" w:rsidP="005E4C22">
      <w:pPr>
        <w:rPr>
          <w:rtl/>
        </w:rPr>
      </w:pPr>
    </w:p>
    <w:p w14:paraId="34D73755" w14:textId="77777777" w:rsidR="005E4C22" w:rsidRPr="00F25744" w:rsidRDefault="005E4C22" w:rsidP="005E4C22">
      <w:pPr>
        <w:rPr>
          <w:rtl/>
        </w:rPr>
      </w:pPr>
    </w:p>
    <w:p w14:paraId="3F72995C" w14:textId="77777777" w:rsidR="0043255F" w:rsidRPr="00F25744" w:rsidRDefault="0043255F" w:rsidP="0043255F">
      <w:pPr>
        <w:rPr>
          <w:rtl/>
        </w:rPr>
      </w:pPr>
      <w:bookmarkStart w:id="908" w:name="_Toc46412647"/>
      <w:bookmarkStart w:id="909" w:name="_Toc46416520"/>
    </w:p>
    <w:p w14:paraId="2A724453" w14:textId="77777777" w:rsidR="00D22BD3" w:rsidRPr="00F25744" w:rsidRDefault="00D22BD3" w:rsidP="0043255F">
      <w:pPr>
        <w:rPr>
          <w:rtl/>
        </w:rPr>
      </w:pPr>
    </w:p>
    <w:p w14:paraId="2A512AF5" w14:textId="77777777" w:rsidR="00DB5BCC" w:rsidRPr="00DB5BCC" w:rsidRDefault="00DB5BCC">
      <w:pPr>
        <w:bidi w:val="0"/>
        <w:spacing w:after="0" w:line="240" w:lineRule="auto"/>
        <w:rPr>
          <w:rFonts w:asciiTheme="minorHAnsi" w:hAnsiTheme="minorHAnsi" w:cs="David"/>
          <w:b/>
          <w:bCs/>
          <w:sz w:val="24"/>
          <w:szCs w:val="24"/>
        </w:rPr>
      </w:pPr>
      <w:bookmarkStart w:id="910" w:name="_Toc46694213"/>
      <w:bookmarkStart w:id="911" w:name="_Toc49352801"/>
      <w:bookmarkStart w:id="912" w:name="_Toc49429708"/>
      <w:bookmarkStart w:id="913" w:name="_Toc49435937"/>
      <w:bookmarkStart w:id="914" w:name="_Toc74751045"/>
      <w:r>
        <w:rPr>
          <w:rtl/>
        </w:rPr>
        <w:br w:type="page"/>
      </w:r>
    </w:p>
    <w:p w14:paraId="7CB3FF30" w14:textId="2E205B09" w:rsidR="005E4C22" w:rsidRPr="00F25744" w:rsidRDefault="00E25AE7" w:rsidP="007A4292">
      <w:pPr>
        <w:pStyle w:val="3"/>
        <w:numPr>
          <w:ilvl w:val="0"/>
          <w:numId w:val="0"/>
        </w:numPr>
        <w:rPr>
          <w:rtl/>
        </w:rPr>
      </w:pPr>
      <w:r w:rsidRPr="00F25744">
        <w:rPr>
          <w:rFonts w:hint="cs"/>
          <w:rtl/>
        </w:rPr>
        <w:lastRenderedPageBreak/>
        <w:t>נספח ב</w:t>
      </w:r>
      <w:r w:rsidR="007A4292" w:rsidRPr="00F25744">
        <w:rPr>
          <w:rFonts w:hint="cs"/>
          <w:rtl/>
        </w:rPr>
        <w:t>3</w:t>
      </w:r>
      <w:r w:rsidRPr="00F25744">
        <w:rPr>
          <w:rFonts w:hint="cs"/>
          <w:rtl/>
        </w:rPr>
        <w:t>: ערכאת מחוזי אזרחי</w:t>
      </w:r>
      <w:bookmarkEnd w:id="908"/>
      <w:bookmarkEnd w:id="909"/>
      <w:bookmarkEnd w:id="910"/>
      <w:bookmarkEnd w:id="911"/>
      <w:bookmarkEnd w:id="912"/>
      <w:bookmarkEnd w:id="913"/>
      <w:bookmarkEnd w:id="914"/>
    </w:p>
    <w:p w14:paraId="2051C8E1" w14:textId="77777777" w:rsidR="005E4C22" w:rsidRPr="00F25744" w:rsidRDefault="00E25AE7" w:rsidP="005E4C22">
      <w:pPr>
        <w:spacing w:before="120" w:after="0" w:line="360" w:lineRule="auto"/>
        <w:jc w:val="center"/>
        <w:rPr>
          <w:rFonts w:ascii="David" w:hAnsi="David" w:cs="David"/>
          <w:b/>
          <w:bCs/>
          <w:sz w:val="30"/>
          <w:szCs w:val="30"/>
          <w:u w:val="single"/>
          <w:rtl/>
        </w:rPr>
      </w:pPr>
      <w:r w:rsidRPr="00F25744">
        <w:rPr>
          <w:rFonts w:ascii="David" w:hAnsi="David" w:cs="David"/>
          <w:b/>
          <w:bCs/>
          <w:sz w:val="30"/>
          <w:szCs w:val="30"/>
          <w:u w:val="single"/>
          <w:rtl/>
        </w:rPr>
        <w:t>שאלון מסכם</w:t>
      </w:r>
      <w:r w:rsidRPr="00F25744">
        <w:rPr>
          <w:rFonts w:ascii="David" w:hAnsi="David" w:cs="David" w:hint="cs"/>
          <w:b/>
          <w:bCs/>
          <w:sz w:val="30"/>
          <w:szCs w:val="30"/>
          <w:u w:val="single"/>
          <w:rtl/>
        </w:rPr>
        <w:t xml:space="preserve"> למחקר עומס העבודה השיפוטית בערכאת המחוזי - אזרחי</w:t>
      </w:r>
    </w:p>
    <w:p w14:paraId="7C941DB3" w14:textId="77777777" w:rsidR="005E4C22" w:rsidRPr="00F25744" w:rsidRDefault="00E25AE7" w:rsidP="005E4C22">
      <w:pPr>
        <w:spacing w:before="120" w:after="0" w:line="360" w:lineRule="auto"/>
        <w:jc w:val="both"/>
        <w:rPr>
          <w:rFonts w:ascii="David" w:hAnsi="David" w:cs="David"/>
          <w:b/>
          <w:bCs/>
          <w:sz w:val="24"/>
          <w:szCs w:val="24"/>
          <w:rtl/>
        </w:rPr>
      </w:pPr>
      <w:r w:rsidRPr="00F25744">
        <w:rPr>
          <w:rFonts w:ascii="David" w:hAnsi="David" w:cs="David" w:hint="cs"/>
          <w:b/>
          <w:bCs/>
          <w:sz w:val="24"/>
          <w:szCs w:val="24"/>
          <w:rtl/>
        </w:rPr>
        <w:t>שופט/ת, רשם/מת מכובד/ת,</w:t>
      </w:r>
    </w:p>
    <w:p w14:paraId="5944648C" w14:textId="77777777" w:rsidR="005E4C22" w:rsidRPr="00F25744" w:rsidRDefault="00E25AE7" w:rsidP="005E4C22">
      <w:pPr>
        <w:spacing w:before="120" w:after="0" w:line="360" w:lineRule="auto"/>
        <w:jc w:val="both"/>
        <w:rPr>
          <w:rFonts w:ascii="David" w:hAnsi="David" w:cs="David"/>
          <w:sz w:val="24"/>
          <w:szCs w:val="24"/>
          <w:rtl/>
        </w:rPr>
      </w:pPr>
      <w:r w:rsidRPr="00F25744">
        <w:rPr>
          <w:rFonts w:ascii="David" w:hAnsi="David" w:cs="David" w:hint="cs"/>
          <w:sz w:val="24"/>
          <w:szCs w:val="24"/>
          <w:rtl/>
        </w:rPr>
        <w:t>לפניך שאלון חד פעמי שנועד לתקף ולסכם את מחקר עומס העבודה השיפוטית.</w:t>
      </w:r>
    </w:p>
    <w:p w14:paraId="2FD226E7" w14:textId="77777777" w:rsidR="005E4C22" w:rsidRPr="00F25744" w:rsidRDefault="00E25AE7" w:rsidP="005E4C22">
      <w:pPr>
        <w:spacing w:before="120" w:after="0" w:line="360" w:lineRule="auto"/>
        <w:jc w:val="both"/>
        <w:rPr>
          <w:rFonts w:ascii="David" w:hAnsi="David" w:cs="David"/>
          <w:sz w:val="24"/>
          <w:szCs w:val="24"/>
          <w:rtl/>
        </w:rPr>
      </w:pPr>
      <w:r w:rsidRPr="00F25744">
        <w:rPr>
          <w:rFonts w:ascii="David" w:hAnsi="David" w:cs="David" w:hint="cs"/>
          <w:sz w:val="24"/>
          <w:szCs w:val="24"/>
          <w:rtl/>
        </w:rPr>
        <w:t>המעבר בין המסכים מתבצע על ידי לחיצה על כפתור "הבא".</w:t>
      </w:r>
    </w:p>
    <w:p w14:paraId="2C2B2FCE" w14:textId="77777777" w:rsidR="005E4C22" w:rsidRPr="00F25744" w:rsidRDefault="00E25AE7" w:rsidP="0043255F">
      <w:pPr>
        <w:spacing w:before="120" w:after="0" w:line="360" w:lineRule="auto"/>
        <w:jc w:val="both"/>
        <w:rPr>
          <w:rFonts w:ascii="David" w:hAnsi="David" w:cs="David"/>
          <w:sz w:val="24"/>
          <w:szCs w:val="24"/>
          <w:rtl/>
        </w:rPr>
      </w:pPr>
      <w:r w:rsidRPr="00F25744">
        <w:rPr>
          <w:rFonts w:ascii="David" w:hAnsi="David" w:cs="David" w:hint="cs"/>
          <w:sz w:val="24"/>
          <w:szCs w:val="24"/>
          <w:rtl/>
        </w:rPr>
        <w:t>אנא מלא/י את השאלון עד לשליחה הסופית של הנתונים באמצעות כפתור "שלח" וקבלת מסך "אישור".</w:t>
      </w:r>
    </w:p>
    <w:p w14:paraId="0FD5BB0B" w14:textId="77777777" w:rsidR="005E4C22" w:rsidRPr="00F25744" w:rsidRDefault="00E25AE7" w:rsidP="005E4C22">
      <w:pPr>
        <w:spacing w:before="120" w:after="0" w:line="240" w:lineRule="auto"/>
        <w:rPr>
          <w:rFonts w:ascii="David" w:hAnsi="David" w:cs="David"/>
          <w:sz w:val="24"/>
          <w:szCs w:val="24"/>
          <w:rtl/>
        </w:rPr>
      </w:pPr>
      <w:r w:rsidRPr="00F25744">
        <w:rPr>
          <w:rFonts w:ascii="David" w:hAnsi="David" w:cs="David" w:hint="cs"/>
          <w:b/>
          <w:bCs/>
          <w:sz w:val="24"/>
          <w:szCs w:val="24"/>
          <w:rtl/>
        </w:rPr>
        <w:t xml:space="preserve">מחוז: </w:t>
      </w:r>
    </w:p>
    <w:p w14:paraId="15755A3C" w14:textId="77777777" w:rsidR="005E4C22" w:rsidRPr="00F25744" w:rsidRDefault="00E25AE7" w:rsidP="005E4C22">
      <w:pPr>
        <w:spacing w:before="120" w:after="0" w:line="240" w:lineRule="auto"/>
        <w:jc w:val="both"/>
        <w:rPr>
          <w:rFonts w:ascii="David" w:hAnsi="David" w:cs="David"/>
          <w:sz w:val="24"/>
          <w:szCs w:val="24"/>
          <w:rtl/>
        </w:rPr>
      </w:pPr>
      <w:r w:rsidRPr="00F25744">
        <w:rPr>
          <w:rFonts w:ascii="David" w:hAnsi="David" w:cs="David" w:hint="cs"/>
          <w:b/>
          <w:bCs/>
          <w:sz w:val="24"/>
          <w:szCs w:val="24"/>
          <w:rtl/>
        </w:rPr>
        <w:t xml:space="preserve">האם את/ה עוסק/ת בעיקר בתיקים אזרחיים/ פליליים? (אם את/ה עוסק/ת בשניהם, אנא בחר "פלילי") </w:t>
      </w:r>
    </w:p>
    <w:p w14:paraId="52135CFA" w14:textId="77777777" w:rsidR="005E4C22" w:rsidRPr="00F25744" w:rsidRDefault="005E4C22" w:rsidP="005E4C22">
      <w:pPr>
        <w:spacing w:before="120" w:after="0" w:line="240" w:lineRule="auto"/>
        <w:rPr>
          <w:rFonts w:ascii="David" w:hAnsi="David" w:cs="David"/>
          <w:b/>
          <w:bCs/>
          <w:sz w:val="30"/>
          <w:szCs w:val="30"/>
          <w:u w:val="single"/>
          <w:rtl/>
        </w:rPr>
      </w:pPr>
    </w:p>
    <w:p w14:paraId="4BE2D0F7" w14:textId="77777777" w:rsidR="005E4C22" w:rsidRPr="00F25744" w:rsidRDefault="00E25AE7" w:rsidP="00341018">
      <w:pPr>
        <w:numPr>
          <w:ilvl w:val="0"/>
          <w:numId w:val="36"/>
        </w:numPr>
        <w:spacing w:before="120" w:after="0" w:line="360" w:lineRule="auto"/>
        <w:jc w:val="both"/>
        <w:rPr>
          <w:rFonts w:ascii="David" w:hAnsi="David" w:cs="David"/>
          <w:b/>
          <w:bCs/>
          <w:sz w:val="24"/>
          <w:szCs w:val="24"/>
          <w:u w:val="single"/>
          <w:rtl/>
        </w:rPr>
      </w:pPr>
      <w:r w:rsidRPr="00F25744">
        <w:rPr>
          <w:rFonts w:ascii="David" w:hAnsi="David" w:cs="David" w:hint="cs"/>
          <w:b/>
          <w:bCs/>
          <w:sz w:val="24"/>
          <w:szCs w:val="24"/>
          <w:u w:val="single"/>
          <w:rtl/>
        </w:rPr>
        <w:t>דירוג סוגי התיקים</w:t>
      </w:r>
    </w:p>
    <w:p w14:paraId="57776E05" w14:textId="77777777" w:rsidR="005E4C22" w:rsidRPr="00F25744" w:rsidRDefault="00E25AE7" w:rsidP="00341018">
      <w:pPr>
        <w:numPr>
          <w:ilvl w:val="1"/>
          <w:numId w:val="36"/>
        </w:numPr>
        <w:spacing w:before="120" w:after="0" w:line="360" w:lineRule="auto"/>
        <w:jc w:val="both"/>
        <w:rPr>
          <w:rFonts w:ascii="David" w:hAnsi="David" w:cs="David"/>
          <w:sz w:val="24"/>
          <w:szCs w:val="24"/>
        </w:rPr>
      </w:pPr>
      <w:r w:rsidRPr="00F25744">
        <w:rPr>
          <w:rFonts w:ascii="David" w:hAnsi="David" w:cs="David" w:hint="cs"/>
          <w:sz w:val="24"/>
          <w:szCs w:val="24"/>
          <w:rtl/>
        </w:rPr>
        <w:t>לפניך רשימה עדכנית של 35 סוגי תיקים של ערכאת המחוזי, אשר מהווים למעלה מ-97% מהתיקים המוגדרים כאזרחיים במערכת נט המשפט לגבי ערכאת המחוזי, אשר נסגרו בשנת 2019, ואשר בין היתר ב</w:t>
      </w:r>
      <w:r w:rsidRPr="00F25744">
        <w:rPr>
          <w:rFonts w:ascii="David" w:hAnsi="David" w:cs="David"/>
          <w:sz w:val="24"/>
          <w:szCs w:val="24"/>
          <w:rtl/>
        </w:rPr>
        <w:t>עזרת תשובותיך לשאלון זה, נוכל לתת להם משקל מדויק במסגרת המחקר הנוכחי:</w:t>
      </w:r>
    </w:p>
    <w:p w14:paraId="1BC48AF0" w14:textId="77777777" w:rsidR="005E4C22" w:rsidRPr="00F25744" w:rsidRDefault="00E25AE7" w:rsidP="009D01CF">
      <w:pPr>
        <w:spacing w:before="120" w:after="0" w:line="360" w:lineRule="auto"/>
        <w:ind w:left="711"/>
        <w:jc w:val="both"/>
        <w:rPr>
          <w:rFonts w:ascii="David" w:hAnsi="David" w:cs="David"/>
          <w:sz w:val="24"/>
          <w:szCs w:val="24"/>
          <w:rtl/>
        </w:rPr>
      </w:pPr>
      <w:r w:rsidRPr="00F25744">
        <w:rPr>
          <w:rFonts w:ascii="David" w:hAnsi="David" w:cs="David" w:hint="cs"/>
          <w:sz w:val="24"/>
          <w:szCs w:val="24"/>
          <w:rtl/>
        </w:rPr>
        <w:t>רשימת התיקים מורכבת מ-3 סוגי תיקים: ראשית מופיעים סוגי התיקים ה"רגילים", לאחר מכן יופיעו סוגי התיקים שעשויים להישמע בהרכב, בחלוקה לדן יחיד, חבר הרכב ואב בי"ד</w:t>
      </w:r>
      <w:r w:rsidRPr="00F25744">
        <w:rPr>
          <w:rStyle w:val="a6"/>
          <w:rFonts w:ascii="David" w:hAnsi="David" w:cs="David"/>
          <w:sz w:val="24"/>
          <w:szCs w:val="24"/>
          <w:rtl/>
        </w:rPr>
        <w:footnoteReference w:id="46"/>
      </w:r>
      <w:r w:rsidRPr="00F25744">
        <w:rPr>
          <w:rFonts w:ascii="David" w:hAnsi="David" w:cs="David" w:hint="cs"/>
          <w:sz w:val="24"/>
          <w:szCs w:val="24"/>
          <w:rtl/>
        </w:rPr>
        <w:t>, ולבסוף מופיעים סוגי העניין השונים בתיק מסוג ת"א</w:t>
      </w:r>
      <w:r w:rsidRPr="00F25744">
        <w:rPr>
          <w:rStyle w:val="a6"/>
          <w:rFonts w:ascii="David" w:hAnsi="David" w:cs="David"/>
          <w:sz w:val="24"/>
          <w:szCs w:val="24"/>
          <w:rtl/>
        </w:rPr>
        <w:footnoteReference w:id="47"/>
      </w:r>
      <w:r w:rsidRPr="00F25744">
        <w:rPr>
          <w:rFonts w:ascii="David" w:hAnsi="David" w:cs="David" w:hint="cs"/>
          <w:sz w:val="24"/>
          <w:szCs w:val="24"/>
          <w:rtl/>
        </w:rPr>
        <w:t xml:space="preserve"> </w:t>
      </w:r>
    </w:p>
    <w:p w14:paraId="5E12D9D9" w14:textId="77777777" w:rsidR="005E4C22" w:rsidRPr="00F25744" w:rsidRDefault="00E25AE7" w:rsidP="009D01CF">
      <w:pPr>
        <w:spacing w:before="120" w:after="0" w:line="360" w:lineRule="auto"/>
        <w:ind w:left="711"/>
        <w:jc w:val="both"/>
        <w:rPr>
          <w:rFonts w:ascii="David" w:hAnsi="David" w:cs="David"/>
          <w:b/>
          <w:bCs/>
          <w:sz w:val="24"/>
          <w:szCs w:val="24"/>
          <w:rtl/>
        </w:rPr>
      </w:pPr>
      <w:r w:rsidRPr="00F25744">
        <w:rPr>
          <w:rFonts w:ascii="David" w:hAnsi="David" w:cs="David"/>
          <w:b/>
          <w:bCs/>
          <w:sz w:val="24"/>
          <w:szCs w:val="24"/>
          <w:rtl/>
        </w:rPr>
        <w:t>פש"ר</w:t>
      </w:r>
      <w:r w:rsidRPr="00F25744">
        <w:rPr>
          <w:rFonts w:ascii="David" w:hAnsi="David" w:cs="David" w:hint="cs"/>
          <w:b/>
          <w:bCs/>
          <w:sz w:val="24"/>
          <w:szCs w:val="24"/>
          <w:rtl/>
        </w:rPr>
        <w:t xml:space="preserve">; </w:t>
      </w:r>
      <w:r w:rsidRPr="00F25744">
        <w:rPr>
          <w:rFonts w:ascii="David" w:hAnsi="David" w:cs="David"/>
          <w:b/>
          <w:bCs/>
          <w:sz w:val="24"/>
          <w:szCs w:val="24"/>
          <w:rtl/>
        </w:rPr>
        <w:t>ה"פ</w:t>
      </w:r>
      <w:r w:rsidRPr="00F25744">
        <w:rPr>
          <w:rFonts w:ascii="David" w:hAnsi="David" w:cs="David" w:hint="cs"/>
          <w:b/>
          <w:bCs/>
          <w:sz w:val="24"/>
          <w:szCs w:val="24"/>
          <w:rtl/>
        </w:rPr>
        <w:t xml:space="preserve">; </w:t>
      </w:r>
      <w:r w:rsidRPr="00F25744">
        <w:rPr>
          <w:rFonts w:ascii="David" w:hAnsi="David" w:cs="David"/>
          <w:b/>
          <w:bCs/>
          <w:sz w:val="24"/>
          <w:szCs w:val="24"/>
          <w:rtl/>
        </w:rPr>
        <w:t>פר"ק</w:t>
      </w:r>
      <w:r w:rsidRPr="00F25744">
        <w:rPr>
          <w:rFonts w:ascii="David" w:hAnsi="David" w:cs="David" w:hint="cs"/>
          <w:b/>
          <w:bCs/>
          <w:sz w:val="24"/>
          <w:szCs w:val="24"/>
          <w:rtl/>
        </w:rPr>
        <w:t xml:space="preserve">; </w:t>
      </w:r>
      <w:r w:rsidRPr="00F25744">
        <w:rPr>
          <w:rFonts w:ascii="David" w:hAnsi="David" w:cs="David"/>
          <w:b/>
          <w:bCs/>
          <w:sz w:val="24"/>
          <w:szCs w:val="24"/>
          <w:rtl/>
        </w:rPr>
        <w:t>ע"מ</w:t>
      </w:r>
      <w:r w:rsidRPr="00F25744">
        <w:rPr>
          <w:rFonts w:ascii="David" w:hAnsi="David" w:cs="David" w:hint="cs"/>
          <w:b/>
          <w:bCs/>
          <w:sz w:val="24"/>
          <w:szCs w:val="24"/>
          <w:rtl/>
        </w:rPr>
        <w:t xml:space="preserve">; </w:t>
      </w:r>
      <w:r w:rsidRPr="00F25744">
        <w:rPr>
          <w:rFonts w:ascii="David" w:hAnsi="David" w:cs="David"/>
          <w:b/>
          <w:bCs/>
          <w:sz w:val="24"/>
          <w:szCs w:val="24"/>
          <w:rtl/>
        </w:rPr>
        <w:t>הפ"ב</w:t>
      </w:r>
      <w:r w:rsidRPr="00F25744">
        <w:rPr>
          <w:rFonts w:ascii="David" w:hAnsi="David" w:cs="David" w:hint="cs"/>
          <w:b/>
          <w:bCs/>
          <w:sz w:val="24"/>
          <w:szCs w:val="24"/>
          <w:rtl/>
        </w:rPr>
        <w:t xml:space="preserve">; </w:t>
      </w:r>
      <w:r w:rsidRPr="00F25744">
        <w:rPr>
          <w:rFonts w:ascii="David" w:hAnsi="David" w:cs="David"/>
          <w:b/>
          <w:bCs/>
          <w:sz w:val="24"/>
          <w:szCs w:val="24"/>
          <w:rtl/>
        </w:rPr>
        <w:t>ע"ח</w:t>
      </w:r>
      <w:r w:rsidRPr="00F25744">
        <w:rPr>
          <w:rFonts w:ascii="David" w:hAnsi="David" w:cs="David" w:hint="cs"/>
          <w:b/>
          <w:bCs/>
          <w:sz w:val="24"/>
          <w:szCs w:val="24"/>
          <w:rtl/>
        </w:rPr>
        <w:t xml:space="preserve">; </w:t>
      </w:r>
      <w:r w:rsidRPr="00F25744">
        <w:rPr>
          <w:rFonts w:ascii="David" w:hAnsi="David" w:cs="David"/>
          <w:b/>
          <w:bCs/>
          <w:sz w:val="24"/>
          <w:szCs w:val="24"/>
          <w:rtl/>
        </w:rPr>
        <w:t>רת"ק</w:t>
      </w:r>
      <w:r w:rsidRPr="00F25744">
        <w:rPr>
          <w:rFonts w:ascii="David" w:hAnsi="David" w:cs="David" w:hint="cs"/>
          <w:b/>
          <w:bCs/>
          <w:sz w:val="24"/>
          <w:szCs w:val="24"/>
          <w:rtl/>
        </w:rPr>
        <w:t xml:space="preserve">; </w:t>
      </w:r>
      <w:r w:rsidRPr="00F25744">
        <w:rPr>
          <w:rFonts w:ascii="David" w:hAnsi="David" w:cs="David"/>
          <w:b/>
          <w:bCs/>
          <w:sz w:val="24"/>
          <w:szCs w:val="24"/>
          <w:rtl/>
        </w:rPr>
        <w:t>תנ"ג</w:t>
      </w:r>
      <w:r w:rsidRPr="00F25744">
        <w:rPr>
          <w:rFonts w:ascii="David" w:hAnsi="David" w:cs="David" w:hint="cs"/>
          <w:b/>
          <w:bCs/>
          <w:sz w:val="24"/>
          <w:szCs w:val="24"/>
          <w:rtl/>
        </w:rPr>
        <w:t xml:space="preserve">; </w:t>
      </w:r>
      <w:r w:rsidRPr="00F25744">
        <w:rPr>
          <w:rFonts w:ascii="David" w:hAnsi="David" w:cs="David"/>
          <w:b/>
          <w:bCs/>
          <w:sz w:val="24"/>
          <w:szCs w:val="24"/>
          <w:rtl/>
        </w:rPr>
        <w:t>תה"ג</w:t>
      </w:r>
      <w:r w:rsidRPr="00F25744">
        <w:rPr>
          <w:rFonts w:ascii="David" w:hAnsi="David" w:cs="David" w:hint="cs"/>
          <w:b/>
          <w:bCs/>
          <w:sz w:val="24"/>
          <w:szCs w:val="24"/>
          <w:rtl/>
        </w:rPr>
        <w:t xml:space="preserve">; </w:t>
      </w:r>
      <w:r w:rsidRPr="00F25744">
        <w:rPr>
          <w:rFonts w:ascii="David" w:hAnsi="David" w:cs="David"/>
          <w:b/>
          <w:bCs/>
          <w:sz w:val="24"/>
          <w:szCs w:val="24"/>
          <w:rtl/>
        </w:rPr>
        <w:t>ת"כ</w:t>
      </w:r>
      <w:r w:rsidRPr="00F25744">
        <w:rPr>
          <w:rFonts w:ascii="David" w:hAnsi="David" w:cs="David" w:hint="cs"/>
          <w:b/>
          <w:bCs/>
          <w:sz w:val="24"/>
          <w:szCs w:val="24"/>
          <w:rtl/>
        </w:rPr>
        <w:t xml:space="preserve">; </w:t>
      </w:r>
      <w:r w:rsidRPr="00F25744">
        <w:rPr>
          <w:rFonts w:ascii="David" w:hAnsi="David" w:cs="David"/>
          <w:b/>
          <w:bCs/>
          <w:sz w:val="24"/>
          <w:szCs w:val="24"/>
          <w:rtl/>
        </w:rPr>
        <w:t>עת"מ</w:t>
      </w:r>
      <w:r w:rsidRPr="00F25744">
        <w:rPr>
          <w:rFonts w:ascii="David" w:hAnsi="David" w:cs="David" w:hint="cs"/>
          <w:b/>
          <w:bCs/>
          <w:sz w:val="24"/>
          <w:szCs w:val="24"/>
          <w:rtl/>
        </w:rPr>
        <w:t xml:space="preserve">; </w:t>
      </w:r>
      <w:r w:rsidRPr="00F25744">
        <w:rPr>
          <w:rFonts w:ascii="David" w:hAnsi="David" w:cs="David"/>
          <w:b/>
          <w:bCs/>
          <w:sz w:val="24"/>
          <w:szCs w:val="24"/>
          <w:rtl/>
        </w:rPr>
        <w:t>ת"צ</w:t>
      </w:r>
      <w:r w:rsidRPr="00F25744">
        <w:rPr>
          <w:rFonts w:ascii="David" w:hAnsi="David" w:cs="David" w:hint="cs"/>
          <w:b/>
          <w:bCs/>
          <w:sz w:val="24"/>
          <w:szCs w:val="24"/>
          <w:rtl/>
        </w:rPr>
        <w:t xml:space="preserve">; </w:t>
      </w:r>
      <w:r w:rsidRPr="00F25744">
        <w:rPr>
          <w:rFonts w:ascii="David" w:hAnsi="David" w:cs="David"/>
          <w:b/>
          <w:bCs/>
          <w:sz w:val="24"/>
          <w:szCs w:val="24"/>
          <w:rtl/>
        </w:rPr>
        <w:t>עמ"נ</w:t>
      </w:r>
      <w:r w:rsidRPr="00F25744">
        <w:rPr>
          <w:rFonts w:ascii="David" w:hAnsi="David" w:cs="David" w:hint="cs"/>
          <w:b/>
          <w:bCs/>
          <w:sz w:val="24"/>
          <w:szCs w:val="24"/>
          <w:rtl/>
        </w:rPr>
        <w:t xml:space="preserve">; </w:t>
      </w:r>
      <w:r w:rsidRPr="00F25744">
        <w:rPr>
          <w:rFonts w:ascii="David" w:hAnsi="David" w:cs="David"/>
          <w:b/>
          <w:bCs/>
          <w:sz w:val="24"/>
          <w:szCs w:val="24"/>
          <w:rtl/>
        </w:rPr>
        <w:t>ו"ע</w:t>
      </w:r>
      <w:r w:rsidRPr="00F25744">
        <w:rPr>
          <w:rFonts w:ascii="David" w:hAnsi="David" w:cs="David" w:hint="cs"/>
          <w:b/>
          <w:bCs/>
          <w:sz w:val="24"/>
          <w:szCs w:val="24"/>
          <w:rtl/>
        </w:rPr>
        <w:t xml:space="preserve">; </w:t>
      </w:r>
      <w:r w:rsidRPr="00F25744">
        <w:rPr>
          <w:rFonts w:ascii="David" w:hAnsi="David" w:cs="David"/>
          <w:b/>
          <w:bCs/>
          <w:sz w:val="24"/>
          <w:szCs w:val="24"/>
          <w:rtl/>
        </w:rPr>
        <w:t>עש"א</w:t>
      </w:r>
      <w:r w:rsidRPr="00F25744">
        <w:rPr>
          <w:rFonts w:ascii="David" w:hAnsi="David" w:cs="David" w:hint="cs"/>
          <w:b/>
          <w:bCs/>
          <w:sz w:val="24"/>
          <w:szCs w:val="24"/>
          <w:rtl/>
        </w:rPr>
        <w:t>; נע"ד; ע"ו; רמ"ש; רע"א;</w:t>
      </w:r>
    </w:p>
    <w:p w14:paraId="143C50AC" w14:textId="77777777" w:rsidR="005E4C22" w:rsidRPr="00F25744" w:rsidRDefault="00E25AE7" w:rsidP="009D01CF">
      <w:pPr>
        <w:spacing w:before="120" w:after="0" w:line="360" w:lineRule="auto"/>
        <w:ind w:left="711"/>
        <w:jc w:val="both"/>
        <w:rPr>
          <w:rFonts w:ascii="David" w:hAnsi="David" w:cs="David"/>
          <w:b/>
          <w:bCs/>
          <w:strike/>
          <w:sz w:val="24"/>
          <w:szCs w:val="24"/>
          <w:rtl/>
        </w:rPr>
      </w:pPr>
      <w:r w:rsidRPr="00F25744">
        <w:rPr>
          <w:rFonts w:ascii="David" w:hAnsi="David" w:cs="David"/>
          <w:b/>
          <w:bCs/>
          <w:sz w:val="24"/>
          <w:szCs w:val="24"/>
          <w:rtl/>
        </w:rPr>
        <w:t>ע"א-</w:t>
      </w:r>
      <w:r w:rsidRPr="00F25744">
        <w:rPr>
          <w:rFonts w:ascii="David" w:hAnsi="David" w:cs="David" w:hint="cs"/>
          <w:b/>
          <w:bCs/>
          <w:sz w:val="24"/>
          <w:szCs w:val="24"/>
          <w:rtl/>
        </w:rPr>
        <w:t xml:space="preserve">דן יחיד; </w:t>
      </w:r>
      <w:r w:rsidRPr="00F25744">
        <w:rPr>
          <w:rFonts w:ascii="David" w:hAnsi="David" w:cs="David"/>
          <w:b/>
          <w:bCs/>
          <w:sz w:val="24"/>
          <w:szCs w:val="24"/>
          <w:rtl/>
        </w:rPr>
        <w:t>ע"א-חבר בהרכב</w:t>
      </w:r>
      <w:r w:rsidRPr="00F25744">
        <w:rPr>
          <w:rFonts w:ascii="David" w:hAnsi="David" w:cs="David" w:hint="cs"/>
          <w:b/>
          <w:bCs/>
          <w:sz w:val="24"/>
          <w:szCs w:val="24"/>
          <w:rtl/>
        </w:rPr>
        <w:t xml:space="preserve">; </w:t>
      </w:r>
      <w:r w:rsidRPr="00F25744">
        <w:rPr>
          <w:rFonts w:ascii="David" w:hAnsi="David" w:cs="David"/>
          <w:b/>
          <w:bCs/>
          <w:sz w:val="24"/>
          <w:szCs w:val="24"/>
          <w:rtl/>
        </w:rPr>
        <w:t>ע"א-אב בי"ד</w:t>
      </w:r>
      <w:r w:rsidRPr="00F25744">
        <w:rPr>
          <w:rFonts w:ascii="David" w:hAnsi="David" w:cs="David" w:hint="cs"/>
          <w:b/>
          <w:bCs/>
          <w:sz w:val="24"/>
          <w:szCs w:val="24"/>
          <w:rtl/>
        </w:rPr>
        <w:t xml:space="preserve">; </w:t>
      </w:r>
      <w:r w:rsidRPr="00F25744">
        <w:rPr>
          <w:rFonts w:ascii="David" w:hAnsi="David" w:cs="David"/>
          <w:b/>
          <w:bCs/>
          <w:sz w:val="24"/>
          <w:szCs w:val="24"/>
          <w:rtl/>
        </w:rPr>
        <w:t>עמ"ש-חבר בהרכב</w:t>
      </w:r>
      <w:r w:rsidRPr="00F25744">
        <w:rPr>
          <w:rFonts w:ascii="David" w:hAnsi="David" w:cs="David" w:hint="cs"/>
          <w:b/>
          <w:bCs/>
          <w:sz w:val="24"/>
          <w:szCs w:val="24"/>
          <w:rtl/>
        </w:rPr>
        <w:t xml:space="preserve">; </w:t>
      </w:r>
      <w:r w:rsidRPr="00F25744">
        <w:rPr>
          <w:rFonts w:ascii="David" w:hAnsi="David" w:cs="David"/>
          <w:b/>
          <w:bCs/>
          <w:sz w:val="24"/>
          <w:szCs w:val="24"/>
          <w:rtl/>
        </w:rPr>
        <w:t>עמ"ש-אב בי"ד</w:t>
      </w:r>
      <w:r w:rsidRPr="00F25744">
        <w:rPr>
          <w:rFonts w:ascii="David" w:hAnsi="David" w:cs="David" w:hint="cs"/>
          <w:b/>
          <w:bCs/>
          <w:sz w:val="24"/>
          <w:szCs w:val="24"/>
          <w:rtl/>
        </w:rPr>
        <w:t xml:space="preserve">; </w:t>
      </w:r>
      <w:r w:rsidRPr="00F25744">
        <w:rPr>
          <w:rFonts w:ascii="David" w:hAnsi="David" w:cs="David"/>
          <w:b/>
          <w:bCs/>
          <w:sz w:val="24"/>
          <w:szCs w:val="24"/>
          <w:rtl/>
        </w:rPr>
        <w:t>עת"א-</w:t>
      </w:r>
      <w:r w:rsidRPr="00F25744">
        <w:rPr>
          <w:rFonts w:ascii="David" w:hAnsi="David" w:cs="David" w:hint="cs"/>
          <w:b/>
          <w:bCs/>
          <w:sz w:val="24"/>
          <w:szCs w:val="24"/>
          <w:rtl/>
        </w:rPr>
        <w:t xml:space="preserve">דן יחיד; </w:t>
      </w:r>
      <w:r w:rsidRPr="00F25744">
        <w:rPr>
          <w:rFonts w:ascii="David" w:hAnsi="David" w:cs="David"/>
          <w:b/>
          <w:bCs/>
          <w:sz w:val="24"/>
          <w:szCs w:val="24"/>
          <w:rtl/>
        </w:rPr>
        <w:t>עת"א-חבר בהרכב</w:t>
      </w:r>
      <w:r w:rsidRPr="00F25744">
        <w:rPr>
          <w:rFonts w:ascii="David" w:hAnsi="David" w:cs="David" w:hint="cs"/>
          <w:b/>
          <w:bCs/>
          <w:sz w:val="24"/>
          <w:szCs w:val="24"/>
          <w:rtl/>
        </w:rPr>
        <w:t xml:space="preserve">; </w:t>
      </w:r>
      <w:r w:rsidRPr="00F25744">
        <w:rPr>
          <w:rFonts w:ascii="David" w:hAnsi="David" w:cs="David"/>
          <w:b/>
          <w:bCs/>
          <w:sz w:val="24"/>
          <w:szCs w:val="24"/>
          <w:rtl/>
        </w:rPr>
        <w:t>עת"א-אב בי"ד</w:t>
      </w:r>
      <w:r w:rsidRPr="00F25744">
        <w:rPr>
          <w:rFonts w:ascii="David" w:hAnsi="David" w:cs="David" w:hint="cs"/>
          <w:b/>
          <w:bCs/>
          <w:sz w:val="24"/>
          <w:szCs w:val="24"/>
          <w:rtl/>
        </w:rPr>
        <w:t xml:space="preserve">; </w:t>
      </w:r>
    </w:p>
    <w:p w14:paraId="68EF8D1B" w14:textId="77777777" w:rsidR="005E4C22" w:rsidRPr="00F25744" w:rsidRDefault="00E25AE7" w:rsidP="009D01CF">
      <w:pPr>
        <w:spacing w:before="120" w:after="0" w:line="360" w:lineRule="auto"/>
        <w:ind w:left="569"/>
        <w:jc w:val="both"/>
        <w:rPr>
          <w:rFonts w:ascii="David" w:hAnsi="David" w:cs="David"/>
          <w:b/>
          <w:bCs/>
          <w:sz w:val="24"/>
          <w:szCs w:val="24"/>
          <w:rtl/>
        </w:rPr>
      </w:pPr>
      <w:r w:rsidRPr="00F25744">
        <w:rPr>
          <w:rFonts w:ascii="David" w:hAnsi="David" w:cs="David" w:hint="cs"/>
          <w:b/>
          <w:bCs/>
          <w:sz w:val="24"/>
          <w:szCs w:val="24"/>
          <w:rtl/>
        </w:rPr>
        <w:t>ת"א-</w:t>
      </w:r>
      <w:r w:rsidRPr="00F25744">
        <w:rPr>
          <w:rFonts w:ascii="David" w:hAnsi="David" w:cs="David"/>
          <w:b/>
          <w:bCs/>
          <w:sz w:val="24"/>
          <w:szCs w:val="24"/>
          <w:rtl/>
        </w:rPr>
        <w:t>תקנה 3</w:t>
      </w:r>
      <w:r w:rsidRPr="00F25744">
        <w:rPr>
          <w:rFonts w:ascii="David" w:hAnsi="David" w:cs="David" w:hint="cs"/>
          <w:b/>
          <w:bCs/>
          <w:sz w:val="24"/>
          <w:szCs w:val="24"/>
          <w:rtl/>
        </w:rPr>
        <w:t xml:space="preserve"> </w:t>
      </w:r>
      <w:r w:rsidRPr="00F25744">
        <w:rPr>
          <w:rFonts w:ascii="David" w:hAnsi="David" w:cs="David"/>
          <w:b/>
          <w:bCs/>
          <w:sz w:val="24"/>
          <w:szCs w:val="24"/>
          <w:rtl/>
        </w:rPr>
        <w:t>(אגרות)</w:t>
      </w:r>
      <w:r w:rsidRPr="00F25744">
        <w:rPr>
          <w:rFonts w:ascii="David" w:hAnsi="David" w:cs="David" w:hint="cs"/>
          <w:b/>
          <w:bCs/>
          <w:sz w:val="24"/>
          <w:szCs w:val="24"/>
          <w:rtl/>
        </w:rPr>
        <w:t xml:space="preserve">; </w:t>
      </w:r>
      <w:r w:rsidRPr="00F25744">
        <w:rPr>
          <w:rFonts w:ascii="David" w:hAnsi="David" w:cs="David"/>
          <w:b/>
          <w:bCs/>
          <w:sz w:val="24"/>
          <w:szCs w:val="24"/>
          <w:rtl/>
        </w:rPr>
        <w:t>ת"א-תביעה כספית</w:t>
      </w:r>
      <w:r w:rsidRPr="00F25744">
        <w:rPr>
          <w:rFonts w:ascii="David" w:hAnsi="David" w:cs="David" w:hint="cs"/>
          <w:b/>
          <w:bCs/>
          <w:sz w:val="24"/>
          <w:szCs w:val="24"/>
          <w:rtl/>
        </w:rPr>
        <w:t xml:space="preserve">; </w:t>
      </w:r>
      <w:r w:rsidRPr="00F25744">
        <w:rPr>
          <w:rFonts w:ascii="David" w:hAnsi="David" w:cs="David"/>
          <w:b/>
          <w:bCs/>
          <w:sz w:val="24"/>
          <w:szCs w:val="24"/>
          <w:rtl/>
        </w:rPr>
        <w:t>ת"א-מקרקעין</w:t>
      </w:r>
      <w:r w:rsidRPr="00F25744">
        <w:rPr>
          <w:rFonts w:ascii="David" w:hAnsi="David" w:cs="David" w:hint="cs"/>
          <w:b/>
          <w:bCs/>
          <w:sz w:val="24"/>
          <w:szCs w:val="24"/>
          <w:rtl/>
        </w:rPr>
        <w:t xml:space="preserve">; </w:t>
      </w:r>
      <w:r w:rsidRPr="00F25744">
        <w:rPr>
          <w:rFonts w:ascii="David" w:hAnsi="David" w:cs="David"/>
          <w:b/>
          <w:bCs/>
          <w:sz w:val="24"/>
          <w:szCs w:val="24"/>
          <w:rtl/>
        </w:rPr>
        <w:t>ת"א-נזקי גוף-רשלנות רפואית</w:t>
      </w:r>
      <w:r w:rsidRPr="00F25744">
        <w:rPr>
          <w:rFonts w:ascii="David" w:hAnsi="David" w:cs="David" w:hint="cs"/>
          <w:b/>
          <w:bCs/>
          <w:sz w:val="24"/>
          <w:szCs w:val="24"/>
          <w:rtl/>
        </w:rPr>
        <w:t xml:space="preserve">; </w:t>
      </w:r>
      <w:r w:rsidRPr="00F25744">
        <w:rPr>
          <w:rFonts w:ascii="David" w:hAnsi="David" w:cs="David"/>
          <w:b/>
          <w:bCs/>
          <w:sz w:val="24"/>
          <w:szCs w:val="24"/>
          <w:rtl/>
        </w:rPr>
        <w:t>ת"א-נזקי גוף</w:t>
      </w:r>
      <w:r w:rsidRPr="00F25744">
        <w:rPr>
          <w:rFonts w:ascii="David" w:hAnsi="David" w:cs="David" w:hint="cs"/>
          <w:b/>
          <w:bCs/>
          <w:sz w:val="24"/>
          <w:szCs w:val="24"/>
          <w:rtl/>
        </w:rPr>
        <w:t>-</w:t>
      </w:r>
      <w:r w:rsidRPr="00F25744">
        <w:rPr>
          <w:rFonts w:ascii="David" w:hAnsi="David" w:cs="David"/>
          <w:b/>
          <w:bCs/>
          <w:sz w:val="24"/>
          <w:szCs w:val="24"/>
          <w:rtl/>
        </w:rPr>
        <w:t>חבויות</w:t>
      </w:r>
      <w:r w:rsidRPr="00F25744">
        <w:rPr>
          <w:rFonts w:ascii="David" w:hAnsi="David" w:cs="David" w:hint="cs"/>
          <w:b/>
          <w:bCs/>
          <w:sz w:val="24"/>
          <w:szCs w:val="24"/>
          <w:rtl/>
        </w:rPr>
        <w:t xml:space="preserve">; </w:t>
      </w:r>
      <w:r w:rsidRPr="00F25744">
        <w:rPr>
          <w:rFonts w:ascii="David" w:hAnsi="David" w:cs="David"/>
          <w:b/>
          <w:bCs/>
          <w:sz w:val="24"/>
          <w:szCs w:val="24"/>
          <w:rtl/>
        </w:rPr>
        <w:t>ת"א-פלת"ד</w:t>
      </w:r>
      <w:r w:rsidRPr="00F25744">
        <w:rPr>
          <w:rFonts w:ascii="David" w:hAnsi="David" w:cs="David" w:hint="cs"/>
          <w:b/>
          <w:bCs/>
          <w:sz w:val="24"/>
          <w:szCs w:val="24"/>
          <w:rtl/>
        </w:rPr>
        <w:t xml:space="preserve">; </w:t>
      </w:r>
      <w:r w:rsidRPr="00F25744">
        <w:rPr>
          <w:rFonts w:ascii="David" w:hAnsi="David" w:cs="David"/>
          <w:b/>
          <w:bCs/>
          <w:sz w:val="24"/>
          <w:szCs w:val="24"/>
          <w:rtl/>
        </w:rPr>
        <w:t>ת"א-קניין רוחני</w:t>
      </w:r>
      <w:r w:rsidRPr="00F25744">
        <w:rPr>
          <w:rFonts w:ascii="David" w:hAnsi="David" w:cs="David" w:hint="cs"/>
          <w:b/>
          <w:bCs/>
          <w:sz w:val="24"/>
          <w:szCs w:val="24"/>
          <w:rtl/>
        </w:rPr>
        <w:t xml:space="preserve">; </w:t>
      </w:r>
      <w:r w:rsidRPr="00F25744">
        <w:rPr>
          <w:rFonts w:ascii="David" w:hAnsi="David" w:cs="David"/>
          <w:b/>
          <w:bCs/>
          <w:sz w:val="24"/>
          <w:szCs w:val="24"/>
          <w:rtl/>
        </w:rPr>
        <w:t>ת"א-נזיקין שאיננה נזקי גוף</w:t>
      </w:r>
      <w:r w:rsidRPr="00F25744">
        <w:rPr>
          <w:rFonts w:ascii="David" w:hAnsi="David" w:cs="David" w:hint="cs"/>
          <w:b/>
          <w:bCs/>
          <w:sz w:val="24"/>
          <w:szCs w:val="24"/>
          <w:rtl/>
        </w:rPr>
        <w:t xml:space="preserve"> (לשון הרע/ שיבוב וביטוח).</w:t>
      </w:r>
    </w:p>
    <w:p w14:paraId="49052E9B" w14:textId="77777777" w:rsidR="005E4C22" w:rsidRPr="00F25744" w:rsidRDefault="00E25AE7" w:rsidP="005E4C22">
      <w:pPr>
        <w:spacing w:before="120" w:after="0" w:line="360" w:lineRule="auto"/>
        <w:ind w:left="140"/>
        <w:jc w:val="both"/>
        <w:rPr>
          <w:rFonts w:ascii="David" w:hAnsi="David" w:cs="David"/>
          <w:sz w:val="24"/>
          <w:szCs w:val="24"/>
        </w:rPr>
      </w:pPr>
      <w:r w:rsidRPr="00F25744">
        <w:rPr>
          <w:rFonts w:ascii="David" w:hAnsi="David" w:cs="David" w:hint="cs"/>
          <w:sz w:val="24"/>
          <w:szCs w:val="24"/>
          <w:rtl/>
        </w:rPr>
        <w:t xml:space="preserve">אנא סמן/סמני </w:t>
      </w:r>
      <w:r w:rsidRPr="00F25744">
        <w:rPr>
          <w:rFonts w:ascii="David" w:hAnsi="David" w:cs="David" w:hint="cs"/>
          <w:sz w:val="24"/>
          <w:szCs w:val="24"/>
        </w:rPr>
        <w:t>V</w:t>
      </w:r>
      <w:r w:rsidRPr="00F25744">
        <w:rPr>
          <w:rFonts w:ascii="David" w:hAnsi="David" w:cs="David" w:hint="cs"/>
          <w:sz w:val="24"/>
          <w:szCs w:val="24"/>
          <w:rtl/>
        </w:rPr>
        <w:t xml:space="preserve"> לצד כל סוגי התיקים </w:t>
      </w:r>
      <w:r w:rsidRPr="00F25744">
        <w:rPr>
          <w:rFonts w:ascii="David" w:hAnsi="David" w:cs="David" w:hint="cs"/>
          <w:b/>
          <w:bCs/>
          <w:sz w:val="24"/>
          <w:szCs w:val="24"/>
          <w:rtl/>
        </w:rPr>
        <w:t>שבהם טיפלת</w:t>
      </w:r>
      <w:r w:rsidRPr="00F25744">
        <w:rPr>
          <w:rFonts w:ascii="David" w:hAnsi="David" w:cs="David" w:hint="cs"/>
          <w:sz w:val="24"/>
          <w:szCs w:val="24"/>
          <w:rtl/>
        </w:rPr>
        <w:t xml:space="preserve"> במהלך השנתיים האחרונות. לגבי תיקים שעשויים להישמע בהרכב, אנא בחר/י רק את סוגי התיקים שבהם ישבת לאחרונה, כאשר התנהלו כתיקים בדן יחיד, או בתיקי הרכב </w:t>
      </w:r>
      <w:r w:rsidRPr="00F25744">
        <w:rPr>
          <w:rFonts w:ascii="David" w:hAnsi="David" w:cs="David"/>
          <w:sz w:val="24"/>
          <w:szCs w:val="24"/>
          <w:rtl/>
        </w:rPr>
        <w:t>–</w:t>
      </w:r>
      <w:r w:rsidRPr="00F25744">
        <w:rPr>
          <w:rFonts w:ascii="David" w:hAnsi="David" w:cs="David" w:hint="cs"/>
          <w:sz w:val="24"/>
          <w:szCs w:val="24"/>
          <w:rtl/>
        </w:rPr>
        <w:t xml:space="preserve"> אם ישבת בהם כחבר הרכב או כאב ביה"ד.</w:t>
      </w:r>
    </w:p>
    <w:p w14:paraId="66D9DC6E" w14:textId="77777777" w:rsidR="005E4C22" w:rsidRPr="00F25744" w:rsidRDefault="00E25AE7" w:rsidP="00341018">
      <w:pPr>
        <w:numPr>
          <w:ilvl w:val="1"/>
          <w:numId w:val="36"/>
        </w:numPr>
        <w:spacing w:before="120" w:after="0" w:line="360" w:lineRule="auto"/>
        <w:jc w:val="both"/>
        <w:rPr>
          <w:rFonts w:ascii="David" w:hAnsi="David" w:cs="David"/>
          <w:sz w:val="24"/>
          <w:szCs w:val="24"/>
        </w:rPr>
      </w:pPr>
      <w:r w:rsidRPr="00F25744">
        <w:rPr>
          <w:rFonts w:ascii="David" w:hAnsi="David" w:cs="David" w:hint="cs"/>
          <w:sz w:val="24"/>
          <w:szCs w:val="24"/>
          <w:rtl/>
        </w:rPr>
        <w:lastRenderedPageBreak/>
        <w:t xml:space="preserve">ברשימה הימנית שלפניך מופיעים סוגי התיקים שבהם בחרת בשאלה הקודמת. </w:t>
      </w:r>
    </w:p>
    <w:p w14:paraId="4EEA45EC" w14:textId="77777777" w:rsidR="005E4C22" w:rsidRPr="00F25744" w:rsidRDefault="00E25AE7" w:rsidP="005E4C22">
      <w:pPr>
        <w:spacing w:before="120" w:after="0" w:line="360" w:lineRule="auto"/>
        <w:ind w:left="935"/>
        <w:jc w:val="both"/>
        <w:rPr>
          <w:rFonts w:ascii="David" w:hAnsi="David" w:cs="David"/>
          <w:sz w:val="24"/>
          <w:szCs w:val="24"/>
          <w:rtl/>
        </w:rPr>
      </w:pPr>
      <w:r w:rsidRPr="00F25744">
        <w:rPr>
          <w:rFonts w:ascii="David" w:hAnsi="David" w:cs="David" w:hint="cs"/>
          <w:sz w:val="24"/>
          <w:szCs w:val="24"/>
          <w:rtl/>
        </w:rPr>
        <w:t xml:space="preserve">על מנת לתקף את ממצאי המחקר, נבקשך לסדר את סוגי התיקים שבטיפולך </w:t>
      </w:r>
      <w:r w:rsidRPr="00F25744">
        <w:rPr>
          <w:rFonts w:ascii="David" w:hAnsi="David" w:cs="David" w:hint="cs"/>
          <w:b/>
          <w:bCs/>
          <w:sz w:val="24"/>
          <w:szCs w:val="24"/>
          <w:rtl/>
        </w:rPr>
        <w:t>מן הכבד אל הקל</w:t>
      </w:r>
      <w:r w:rsidRPr="00F25744">
        <w:rPr>
          <w:rFonts w:ascii="David" w:hAnsi="David" w:cs="David" w:hint="cs"/>
          <w:sz w:val="24"/>
          <w:szCs w:val="24"/>
          <w:rtl/>
        </w:rPr>
        <w:t xml:space="preserve">. לשם כך עליך לבחור את סוגי התיקים מן הרשימה שבצד ימין </w:t>
      </w:r>
      <w:r w:rsidRPr="00F25744">
        <w:rPr>
          <w:rFonts w:ascii="David" w:hAnsi="David" w:cs="David" w:hint="cs"/>
          <w:b/>
          <w:bCs/>
          <w:sz w:val="24"/>
          <w:szCs w:val="24"/>
          <w:rtl/>
        </w:rPr>
        <w:t>ולגרור</w:t>
      </w:r>
      <w:r w:rsidRPr="00F25744">
        <w:rPr>
          <w:rFonts w:ascii="David" w:hAnsi="David" w:cs="David" w:hint="cs"/>
          <w:sz w:val="24"/>
          <w:szCs w:val="24"/>
          <w:rtl/>
        </w:rPr>
        <w:t xml:space="preserve"> אותם לרשימה הריקה שבצד שמאל. בראש הרשימה השמאלית יש למקם את סוג התיק שלדעתך מצריך את זמן העבודה </w:t>
      </w:r>
      <w:r w:rsidRPr="00F25744">
        <w:rPr>
          <w:rFonts w:ascii="David" w:hAnsi="David" w:cs="David" w:hint="cs"/>
          <w:b/>
          <w:bCs/>
          <w:sz w:val="24"/>
          <w:szCs w:val="24"/>
          <w:rtl/>
        </w:rPr>
        <w:t>הארוך</w:t>
      </w:r>
      <w:r w:rsidRPr="00F25744">
        <w:rPr>
          <w:rFonts w:ascii="David" w:hAnsi="David" w:cs="David" w:hint="cs"/>
          <w:sz w:val="24"/>
          <w:szCs w:val="24"/>
          <w:rtl/>
        </w:rPr>
        <w:t xml:space="preserve"> ביותר עד לסיום הטיפול בו, ולאחר מכן יש למקם בסדר יורד את יתר סוגי התיקים, אשר ביחס לסוג התיק הראשון מצריכים ממך פחות זמן עד לסיום הטיפול בהם. </w:t>
      </w:r>
    </w:p>
    <w:p w14:paraId="0C894009" w14:textId="77777777" w:rsidR="005E4C22" w:rsidRPr="00F25744" w:rsidRDefault="00E25AE7" w:rsidP="00341018">
      <w:pPr>
        <w:numPr>
          <w:ilvl w:val="0"/>
          <w:numId w:val="36"/>
        </w:numPr>
        <w:spacing w:before="120" w:after="0" w:line="360" w:lineRule="auto"/>
        <w:jc w:val="both"/>
        <w:rPr>
          <w:rFonts w:ascii="David" w:hAnsi="David" w:cs="David"/>
          <w:b/>
          <w:bCs/>
          <w:sz w:val="24"/>
          <w:szCs w:val="24"/>
          <w:u w:val="single"/>
        </w:rPr>
      </w:pPr>
      <w:r w:rsidRPr="00F25744">
        <w:rPr>
          <w:rFonts w:ascii="David" w:hAnsi="David" w:cs="David" w:hint="cs"/>
          <w:b/>
          <w:bCs/>
          <w:sz w:val="24"/>
          <w:szCs w:val="24"/>
          <w:u w:val="single"/>
          <w:rtl/>
        </w:rPr>
        <w:t>שאלות כלליות</w:t>
      </w:r>
    </w:p>
    <w:p w14:paraId="086A4FD2" w14:textId="77777777" w:rsidR="005E4C22" w:rsidRPr="00F25744" w:rsidRDefault="00E25AE7" w:rsidP="005E4C22">
      <w:pPr>
        <w:spacing w:before="120" w:after="0" w:line="360" w:lineRule="auto"/>
        <w:ind w:left="360"/>
        <w:jc w:val="both"/>
        <w:rPr>
          <w:rFonts w:ascii="David" w:hAnsi="David" w:cs="David"/>
          <w:b/>
          <w:bCs/>
          <w:sz w:val="24"/>
          <w:szCs w:val="24"/>
          <w:rtl/>
        </w:rPr>
      </w:pPr>
      <w:r w:rsidRPr="00F25744">
        <w:rPr>
          <w:rFonts w:ascii="David" w:hAnsi="David" w:cs="David" w:hint="cs"/>
          <w:b/>
          <w:bCs/>
          <w:sz w:val="24"/>
          <w:szCs w:val="24"/>
          <w:rtl/>
        </w:rPr>
        <w:t>בחלק זה של השאלון נבקש לברר את הערכותיכם לגבי זמנים של פעולות נפוצות במרבית סוגי התיקים שסימנתם, לצורך תיקוף או השלמת פרטים חסרים:</w:t>
      </w:r>
    </w:p>
    <w:p w14:paraId="7184E7C1"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sz w:val="24"/>
          <w:szCs w:val="24"/>
          <w:rtl/>
        </w:rPr>
        <w:t xml:space="preserve">כמה </w:t>
      </w:r>
      <w:r w:rsidRPr="00F25744">
        <w:rPr>
          <w:rFonts w:ascii="David" w:hAnsi="David" w:cs="David" w:hint="cs"/>
          <w:sz w:val="24"/>
          <w:szCs w:val="24"/>
          <w:rtl/>
        </w:rPr>
        <w:t>זמן</w:t>
      </w:r>
      <w:r w:rsidRPr="00F25744">
        <w:rPr>
          <w:rFonts w:ascii="David" w:hAnsi="David" w:cs="David"/>
          <w:sz w:val="24"/>
          <w:szCs w:val="24"/>
          <w:rtl/>
        </w:rPr>
        <w:t xml:space="preserve"> </w:t>
      </w:r>
      <w:r w:rsidRPr="00F25744">
        <w:rPr>
          <w:rFonts w:ascii="David" w:hAnsi="David" w:cs="David" w:hint="cs"/>
          <w:sz w:val="24"/>
          <w:szCs w:val="24"/>
          <w:rtl/>
        </w:rPr>
        <w:t xml:space="preserve">בממוצע </w:t>
      </w:r>
      <w:r w:rsidRPr="00F25744">
        <w:rPr>
          <w:rFonts w:ascii="David" w:hAnsi="David" w:cs="David"/>
          <w:sz w:val="24"/>
          <w:szCs w:val="24"/>
          <w:rtl/>
        </w:rPr>
        <w:t xml:space="preserve">לוקח לך </w:t>
      </w:r>
      <w:r w:rsidRPr="00F25744">
        <w:rPr>
          <w:rFonts w:ascii="David" w:hAnsi="David" w:cs="David" w:hint="cs"/>
          <w:sz w:val="24"/>
          <w:szCs w:val="24"/>
          <w:rtl/>
        </w:rPr>
        <w:t xml:space="preserve">להערכתך </w:t>
      </w:r>
      <w:r w:rsidRPr="00F25744">
        <w:rPr>
          <w:rFonts w:ascii="David" w:hAnsi="David" w:cs="David"/>
          <w:sz w:val="24"/>
          <w:szCs w:val="24"/>
          <w:rtl/>
        </w:rPr>
        <w:t xml:space="preserve">לכתוב </w:t>
      </w:r>
      <w:r w:rsidRPr="00F25744">
        <w:rPr>
          <w:rFonts w:ascii="David" w:hAnsi="David" w:cs="David"/>
          <w:b/>
          <w:bCs/>
          <w:sz w:val="24"/>
          <w:szCs w:val="24"/>
          <w:rtl/>
        </w:rPr>
        <w:t>פתקית</w:t>
      </w:r>
      <w:r w:rsidRPr="00F25744">
        <w:rPr>
          <w:rFonts w:ascii="David" w:hAnsi="David" w:cs="David"/>
          <w:sz w:val="24"/>
          <w:szCs w:val="24"/>
          <w:rtl/>
        </w:rPr>
        <w:t xml:space="preserve"> (מנומקת או לא)</w:t>
      </w:r>
      <w:r w:rsidRPr="00F25744">
        <w:rPr>
          <w:rFonts w:ascii="David" w:hAnsi="David" w:cs="David" w:hint="cs"/>
          <w:sz w:val="24"/>
          <w:szCs w:val="24"/>
          <w:rtl/>
        </w:rPr>
        <w:t xml:space="preserve"> בכל אחד מסוגי התיקים שסימנת?</w:t>
      </w:r>
      <w:r w:rsidRPr="00F25744">
        <w:rPr>
          <w:rFonts w:ascii="David" w:hAnsi="David" w:cs="David"/>
          <w:sz w:val="24"/>
          <w:szCs w:val="24"/>
          <w:rtl/>
        </w:rPr>
        <w:t xml:space="preserve"> [עד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15-20 דקות, מעל 20 דקות/ לא רלבנטי לסוג התיק]</w:t>
      </w:r>
    </w:p>
    <w:p w14:paraId="12BBC75C"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sz w:val="24"/>
          <w:szCs w:val="24"/>
          <w:rtl/>
        </w:rPr>
        <w:t xml:space="preserve">כמה </w:t>
      </w:r>
      <w:r w:rsidRPr="00F25744">
        <w:rPr>
          <w:rFonts w:ascii="David" w:hAnsi="David" w:cs="David" w:hint="cs"/>
          <w:sz w:val="24"/>
          <w:szCs w:val="24"/>
          <w:rtl/>
        </w:rPr>
        <w:t>זמן</w:t>
      </w:r>
      <w:r w:rsidRPr="00F25744">
        <w:rPr>
          <w:rFonts w:ascii="David" w:hAnsi="David" w:cs="David"/>
          <w:sz w:val="24"/>
          <w:szCs w:val="24"/>
          <w:rtl/>
        </w:rPr>
        <w:t xml:space="preserve"> </w:t>
      </w:r>
      <w:r w:rsidRPr="00F25744">
        <w:rPr>
          <w:rFonts w:ascii="David" w:hAnsi="David" w:cs="David" w:hint="cs"/>
          <w:sz w:val="24"/>
          <w:szCs w:val="24"/>
          <w:rtl/>
        </w:rPr>
        <w:t xml:space="preserve">בממוצע </w:t>
      </w:r>
      <w:r w:rsidRPr="00F25744">
        <w:rPr>
          <w:rFonts w:ascii="David" w:hAnsi="David" w:cs="David"/>
          <w:sz w:val="24"/>
          <w:szCs w:val="24"/>
          <w:rtl/>
        </w:rPr>
        <w:t xml:space="preserve">לוקח לך </w:t>
      </w:r>
      <w:r w:rsidRPr="00F25744">
        <w:rPr>
          <w:rFonts w:ascii="David" w:hAnsi="David" w:cs="David" w:hint="cs"/>
          <w:sz w:val="24"/>
          <w:szCs w:val="24"/>
          <w:rtl/>
        </w:rPr>
        <w:t xml:space="preserve">להערכתך לכתוב </w:t>
      </w:r>
      <w:r w:rsidRPr="00F25744">
        <w:rPr>
          <w:rFonts w:ascii="David" w:hAnsi="David" w:cs="David"/>
          <w:b/>
          <w:bCs/>
          <w:sz w:val="24"/>
          <w:szCs w:val="24"/>
          <w:rtl/>
        </w:rPr>
        <w:t>פס</w:t>
      </w:r>
      <w:r w:rsidRPr="00F25744">
        <w:rPr>
          <w:rFonts w:ascii="David" w:hAnsi="David" w:cs="David" w:hint="cs"/>
          <w:b/>
          <w:bCs/>
          <w:sz w:val="24"/>
          <w:szCs w:val="24"/>
          <w:rtl/>
        </w:rPr>
        <w:t>ק דין</w:t>
      </w:r>
      <w:r w:rsidRPr="00F25744">
        <w:rPr>
          <w:rFonts w:ascii="David" w:hAnsi="David" w:cs="David"/>
          <w:sz w:val="24"/>
          <w:szCs w:val="24"/>
          <w:rtl/>
        </w:rPr>
        <w:t xml:space="preserve"> ש</w:t>
      </w:r>
      <w:r w:rsidRPr="00F25744">
        <w:rPr>
          <w:rFonts w:ascii="David" w:hAnsi="David" w:cs="David" w:hint="cs"/>
          <w:sz w:val="24"/>
          <w:szCs w:val="24"/>
          <w:rtl/>
        </w:rPr>
        <w:t xml:space="preserve">ניתן מחמת </w:t>
      </w:r>
      <w:r w:rsidRPr="00F25744">
        <w:rPr>
          <w:rFonts w:ascii="David" w:hAnsi="David" w:cs="David" w:hint="cs"/>
          <w:b/>
          <w:bCs/>
          <w:sz w:val="24"/>
          <w:szCs w:val="24"/>
          <w:rtl/>
        </w:rPr>
        <w:t>חו</w:t>
      </w:r>
      <w:r w:rsidRPr="00F25744">
        <w:rPr>
          <w:rFonts w:ascii="David" w:hAnsi="David" w:cs="David"/>
          <w:b/>
          <w:bCs/>
          <w:sz w:val="24"/>
          <w:szCs w:val="24"/>
          <w:rtl/>
        </w:rPr>
        <w:t>סר מעש</w:t>
      </w:r>
      <w:r w:rsidRPr="00F25744">
        <w:rPr>
          <w:rFonts w:ascii="David" w:hAnsi="David" w:cs="David"/>
          <w:sz w:val="24"/>
          <w:szCs w:val="24"/>
          <w:rtl/>
        </w:rPr>
        <w:t>/ אי תשלום/</w:t>
      </w:r>
      <w:r w:rsidRPr="00F25744">
        <w:rPr>
          <w:rFonts w:ascii="David" w:hAnsi="David" w:cs="David" w:hint="cs"/>
          <w:sz w:val="24"/>
          <w:szCs w:val="24"/>
          <w:rtl/>
        </w:rPr>
        <w:t xml:space="preserve"> </w:t>
      </w:r>
      <w:r w:rsidRPr="00F25744">
        <w:rPr>
          <w:rFonts w:ascii="David" w:hAnsi="David" w:cs="David"/>
          <w:sz w:val="24"/>
          <w:szCs w:val="24"/>
          <w:rtl/>
        </w:rPr>
        <w:t>התליית ההליכים</w:t>
      </w:r>
      <w:r w:rsidRPr="00F25744">
        <w:rPr>
          <w:rFonts w:ascii="David" w:hAnsi="David" w:cs="David" w:hint="cs"/>
          <w:sz w:val="24"/>
          <w:szCs w:val="24"/>
          <w:rtl/>
        </w:rPr>
        <w:t xml:space="preserve">, בכל אחד מסוגי התיקים שסימנת?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15-20 דקות, מעל 20 דקות/ לא רלבנטי לסוג התיק]</w:t>
      </w:r>
    </w:p>
    <w:p w14:paraId="48DBCBCB"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sz w:val="24"/>
          <w:szCs w:val="24"/>
          <w:rtl/>
        </w:rPr>
        <w:t xml:space="preserve">כמה </w:t>
      </w:r>
      <w:r w:rsidRPr="00F25744">
        <w:rPr>
          <w:rFonts w:ascii="David" w:hAnsi="David" w:cs="David" w:hint="cs"/>
          <w:sz w:val="24"/>
          <w:szCs w:val="24"/>
          <w:rtl/>
        </w:rPr>
        <w:t>זמן</w:t>
      </w:r>
      <w:r w:rsidRPr="00F25744">
        <w:rPr>
          <w:rFonts w:ascii="David" w:hAnsi="David" w:cs="David"/>
          <w:sz w:val="24"/>
          <w:szCs w:val="24"/>
          <w:rtl/>
        </w:rPr>
        <w:t xml:space="preserve"> </w:t>
      </w:r>
      <w:r w:rsidRPr="00F25744">
        <w:rPr>
          <w:rFonts w:ascii="David" w:hAnsi="David" w:cs="David" w:hint="cs"/>
          <w:sz w:val="24"/>
          <w:szCs w:val="24"/>
          <w:rtl/>
        </w:rPr>
        <w:t xml:space="preserve">בממוצע </w:t>
      </w:r>
      <w:r w:rsidRPr="00F25744">
        <w:rPr>
          <w:rFonts w:ascii="David" w:hAnsi="David" w:cs="David"/>
          <w:sz w:val="24"/>
          <w:szCs w:val="24"/>
          <w:rtl/>
        </w:rPr>
        <w:t xml:space="preserve">לוקח לך </w:t>
      </w:r>
      <w:r w:rsidRPr="00F25744">
        <w:rPr>
          <w:rFonts w:ascii="David" w:hAnsi="David" w:cs="David" w:hint="cs"/>
          <w:sz w:val="24"/>
          <w:szCs w:val="24"/>
          <w:rtl/>
        </w:rPr>
        <w:t xml:space="preserve">להערכתך לכתוב </w:t>
      </w:r>
      <w:r w:rsidRPr="00F25744">
        <w:rPr>
          <w:rFonts w:ascii="David" w:hAnsi="David" w:cs="David" w:hint="cs"/>
          <w:b/>
          <w:bCs/>
          <w:sz w:val="24"/>
          <w:szCs w:val="24"/>
          <w:rtl/>
        </w:rPr>
        <w:t>פסק דין הנותן תוקף ל</w:t>
      </w:r>
      <w:r w:rsidRPr="00F25744">
        <w:rPr>
          <w:rFonts w:ascii="David" w:hAnsi="David" w:cs="David"/>
          <w:b/>
          <w:bCs/>
          <w:sz w:val="24"/>
          <w:szCs w:val="24"/>
          <w:rtl/>
        </w:rPr>
        <w:t>פשרה</w:t>
      </w:r>
      <w:r w:rsidRPr="00F25744">
        <w:rPr>
          <w:rFonts w:ascii="David" w:hAnsi="David" w:cs="David"/>
          <w:sz w:val="24"/>
          <w:szCs w:val="24"/>
          <w:rtl/>
        </w:rPr>
        <w:t>/</w:t>
      </w:r>
      <w:r w:rsidRPr="00F25744">
        <w:rPr>
          <w:rFonts w:ascii="David" w:hAnsi="David" w:cs="David" w:hint="cs"/>
          <w:sz w:val="24"/>
          <w:szCs w:val="24"/>
          <w:rtl/>
        </w:rPr>
        <w:t xml:space="preserve"> </w:t>
      </w:r>
      <w:r w:rsidRPr="00F25744">
        <w:rPr>
          <w:rFonts w:ascii="David" w:hAnsi="David" w:cs="David"/>
          <w:sz w:val="24"/>
          <w:szCs w:val="24"/>
          <w:rtl/>
        </w:rPr>
        <w:t xml:space="preserve">נדחה </w:t>
      </w:r>
      <w:r w:rsidRPr="00F25744">
        <w:rPr>
          <w:rFonts w:ascii="David" w:hAnsi="David" w:cs="David" w:hint="cs"/>
          <w:sz w:val="24"/>
          <w:szCs w:val="24"/>
          <w:rtl/>
        </w:rPr>
        <w:t xml:space="preserve">או </w:t>
      </w:r>
      <w:r w:rsidRPr="00F25744">
        <w:rPr>
          <w:rFonts w:ascii="David" w:hAnsi="David" w:cs="David"/>
          <w:sz w:val="24"/>
          <w:szCs w:val="24"/>
          <w:rtl/>
        </w:rPr>
        <w:t>נמחק לבקשת צד/</w:t>
      </w:r>
      <w:r w:rsidRPr="00F25744">
        <w:rPr>
          <w:rFonts w:ascii="David" w:hAnsi="David" w:cs="David" w:hint="cs"/>
          <w:sz w:val="24"/>
          <w:szCs w:val="24"/>
          <w:rtl/>
        </w:rPr>
        <w:t xml:space="preserve"> </w:t>
      </w:r>
      <w:r w:rsidRPr="00F25744">
        <w:rPr>
          <w:rFonts w:ascii="David" w:hAnsi="David" w:cs="David"/>
          <w:sz w:val="24"/>
          <w:szCs w:val="24"/>
          <w:rtl/>
        </w:rPr>
        <w:t>עיכוב או מיצוי הליכים</w:t>
      </w:r>
      <w:r w:rsidRPr="00F25744">
        <w:rPr>
          <w:rFonts w:ascii="David" w:hAnsi="David" w:cs="David" w:hint="cs"/>
          <w:sz w:val="24"/>
          <w:szCs w:val="24"/>
          <w:rtl/>
        </w:rPr>
        <w:t>?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15-20 דקות, מעל 20 דקות/ לא רלבנטי לסוג התיק]</w:t>
      </w:r>
    </w:p>
    <w:p w14:paraId="33260D81" w14:textId="77777777" w:rsidR="005E4C22" w:rsidRPr="00F25744" w:rsidRDefault="00E25AE7" w:rsidP="00341018">
      <w:pPr>
        <w:numPr>
          <w:ilvl w:val="0"/>
          <w:numId w:val="36"/>
        </w:numPr>
        <w:spacing w:before="120" w:after="0" w:line="360" w:lineRule="auto"/>
        <w:jc w:val="both"/>
        <w:rPr>
          <w:rFonts w:ascii="David" w:hAnsi="David" w:cs="David"/>
          <w:b/>
          <w:bCs/>
          <w:sz w:val="24"/>
          <w:szCs w:val="24"/>
          <w:u w:val="single"/>
        </w:rPr>
      </w:pPr>
      <w:r w:rsidRPr="00F25744">
        <w:rPr>
          <w:rFonts w:ascii="David" w:hAnsi="David" w:cs="David" w:hint="cs"/>
          <w:b/>
          <w:bCs/>
          <w:sz w:val="24"/>
          <w:szCs w:val="24"/>
          <w:u w:val="single"/>
          <w:rtl/>
        </w:rPr>
        <w:t>שאלות ספציפיות בחלק מסוגי התיקים שסומנו</w:t>
      </w:r>
    </w:p>
    <w:p w14:paraId="55E0D0C6" w14:textId="77777777" w:rsidR="005E4C22" w:rsidRPr="00F25744" w:rsidRDefault="00E25AE7" w:rsidP="005E4C22">
      <w:pPr>
        <w:spacing w:before="120" w:line="360" w:lineRule="auto"/>
        <w:ind w:left="360"/>
        <w:jc w:val="both"/>
        <w:rPr>
          <w:rFonts w:ascii="David" w:hAnsi="David" w:cs="David"/>
          <w:b/>
          <w:bCs/>
          <w:sz w:val="24"/>
          <w:szCs w:val="24"/>
        </w:rPr>
      </w:pPr>
      <w:r w:rsidRPr="00F25744">
        <w:rPr>
          <w:rFonts w:ascii="David" w:hAnsi="David" w:cs="David"/>
          <w:b/>
          <w:bCs/>
          <w:sz w:val="24"/>
          <w:szCs w:val="24"/>
          <w:rtl/>
        </w:rPr>
        <w:t xml:space="preserve">בפרק זה של השאלון נבקש לברר על דרך ההערכה את זמניהם או אורכם של אירועים מסוימים בחלק מהתיקים שסימנתם, אשר לגביהם לא נאספו די נתונים במהלך תקופת המחקר. </w:t>
      </w:r>
    </w:p>
    <w:p w14:paraId="2CB61DA3" w14:textId="77777777" w:rsidR="005E4C22" w:rsidRPr="00F25744" w:rsidRDefault="00E25AE7" w:rsidP="005E4C22">
      <w:pPr>
        <w:spacing w:before="120" w:line="360" w:lineRule="auto"/>
        <w:ind w:left="360"/>
        <w:jc w:val="both"/>
        <w:rPr>
          <w:rFonts w:ascii="David" w:hAnsi="David" w:cs="David"/>
          <w:b/>
          <w:bCs/>
          <w:sz w:val="24"/>
          <w:szCs w:val="24"/>
        </w:rPr>
      </w:pPr>
      <w:r w:rsidRPr="00F25744">
        <w:rPr>
          <w:rFonts w:ascii="David" w:hAnsi="David" w:cs="David"/>
          <w:b/>
          <w:bCs/>
          <w:sz w:val="24"/>
          <w:szCs w:val="24"/>
          <w:rtl/>
        </w:rPr>
        <w:t>על מנת בכל זאת לתת משקל לכמה שיותר סוגי תיקים, במיוחד סוגי התיקים שאותם ביקשו נשיאי ושופטי בתי המשפט המחוזיים כי נמדוד חרף נדירותם, נבקש את סיועכם במענה על השאלות הבאות:</w:t>
      </w:r>
    </w:p>
    <w:p w14:paraId="619BCAA8"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ה"פ</w:t>
      </w:r>
      <w:r w:rsidRPr="00F25744">
        <w:rPr>
          <w:rFonts w:ascii="David" w:hAnsi="David" w:cs="David" w:hint="cs"/>
          <w:sz w:val="24"/>
          <w:szCs w:val="24"/>
          <w:rtl/>
        </w:rPr>
        <w:t xml:space="preserve">, כמה זמן בממוצע לוקח לך להערכתך לכתוב </w:t>
      </w:r>
      <w:r w:rsidRPr="00F25744">
        <w:rPr>
          <w:rFonts w:ascii="David" w:hAnsi="David" w:cs="David" w:hint="cs"/>
          <w:b/>
          <w:bCs/>
          <w:sz w:val="24"/>
          <w:szCs w:val="24"/>
          <w:rtl/>
        </w:rPr>
        <w:t>עמוד אחד</w:t>
      </w:r>
      <w:r w:rsidRPr="00F25744">
        <w:rPr>
          <w:rFonts w:ascii="David" w:hAnsi="David" w:cs="David" w:hint="cs"/>
          <w:sz w:val="24"/>
          <w:szCs w:val="24"/>
          <w:rtl/>
        </w:rPr>
        <w:t xml:space="preserve"> של פסק דין שניתן מחוץ לאולם מכוח </w:t>
      </w:r>
      <w:r w:rsidRPr="00F25744">
        <w:rPr>
          <w:rFonts w:ascii="David" w:hAnsi="David" w:cs="David" w:hint="cs"/>
          <w:b/>
          <w:bCs/>
          <w:sz w:val="24"/>
          <w:szCs w:val="24"/>
          <w:rtl/>
        </w:rPr>
        <w:t>ס' 79א</w:t>
      </w:r>
      <w:r w:rsidRPr="00F25744">
        <w:rPr>
          <w:rFonts w:ascii="David" w:hAnsi="David" w:cs="David" w:hint="cs"/>
          <w:sz w:val="24"/>
          <w:szCs w:val="24"/>
          <w:rtl/>
        </w:rPr>
        <w:t xml:space="preserve">' לחוק בתיהמ"ש?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30BA8412"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ע"ח</w:t>
      </w:r>
      <w:r w:rsidRPr="00F25744">
        <w:rPr>
          <w:rFonts w:ascii="David" w:hAnsi="David" w:cs="David" w:hint="cs"/>
          <w:sz w:val="24"/>
          <w:szCs w:val="24"/>
          <w:rtl/>
        </w:rPr>
        <w:t xml:space="preserve">, כמה זמן בממוצע לוקח לך להערכתך לכתוב </w:t>
      </w:r>
      <w:r w:rsidRPr="00F25744">
        <w:rPr>
          <w:rFonts w:ascii="David" w:hAnsi="David" w:cs="David" w:hint="cs"/>
          <w:b/>
          <w:bCs/>
          <w:sz w:val="24"/>
          <w:szCs w:val="24"/>
          <w:rtl/>
        </w:rPr>
        <w:t>עמוד אחד</w:t>
      </w:r>
      <w:r w:rsidRPr="00F25744">
        <w:rPr>
          <w:rFonts w:ascii="David" w:hAnsi="David" w:cs="David" w:hint="cs"/>
          <w:sz w:val="24"/>
          <w:szCs w:val="24"/>
          <w:rtl/>
        </w:rPr>
        <w:t xml:space="preserve"> של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שניתנת במסמך עצמאי (לרבות החלטה לאחר סגירה)?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7E6975BC"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lastRenderedPageBreak/>
        <w:t xml:space="preserve">בתיק מסוג </w:t>
      </w:r>
      <w:r w:rsidRPr="00F25744">
        <w:rPr>
          <w:rFonts w:ascii="David" w:hAnsi="David" w:cs="David" w:hint="cs"/>
          <w:b/>
          <w:bCs/>
          <w:sz w:val="24"/>
          <w:szCs w:val="24"/>
          <w:u w:val="single"/>
          <w:rtl/>
        </w:rPr>
        <w:t>הפ"ב</w:t>
      </w:r>
      <w:r w:rsidRPr="00F25744">
        <w:rPr>
          <w:rFonts w:ascii="David" w:hAnsi="David" w:cs="David" w:hint="cs"/>
          <w:sz w:val="24"/>
          <w:szCs w:val="24"/>
          <w:rtl/>
        </w:rPr>
        <w:t xml:space="preserve">, </w:t>
      </w:r>
      <w:r w:rsidRPr="00F25744">
        <w:rPr>
          <w:rFonts w:ascii="David" w:hAnsi="David" w:cs="David" w:hint="cs"/>
          <w:b/>
          <w:bCs/>
          <w:sz w:val="24"/>
          <w:szCs w:val="24"/>
          <w:rtl/>
        </w:rPr>
        <w:t>כמה עמודים</w:t>
      </w:r>
      <w:r w:rsidRPr="00F25744">
        <w:rPr>
          <w:rFonts w:ascii="David" w:hAnsi="David" w:cs="David" w:hint="cs"/>
          <w:sz w:val="24"/>
          <w:szCs w:val="24"/>
          <w:rtl/>
        </w:rPr>
        <w:t xml:space="preserve"> בממוצע אורכת להערכתך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שניתנת במסמך עצמאי (לרבות החלטה לאחר סגירה)? [עמוד 1, 2 עמודים, 3 עמודים, 4 עמודים, 5 עמודים, אם מעל 5 עמודים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2ED6AD47"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רת"ק</w:t>
      </w:r>
      <w:r w:rsidRPr="00F25744">
        <w:rPr>
          <w:rFonts w:ascii="David" w:hAnsi="David" w:cs="David" w:hint="cs"/>
          <w:sz w:val="24"/>
          <w:szCs w:val="24"/>
          <w:rtl/>
        </w:rPr>
        <w:t xml:space="preserve">, </w:t>
      </w:r>
      <w:r w:rsidRPr="00F25744">
        <w:rPr>
          <w:rFonts w:ascii="David" w:hAnsi="David" w:cs="David" w:hint="cs"/>
          <w:b/>
          <w:bCs/>
          <w:sz w:val="24"/>
          <w:szCs w:val="24"/>
          <w:rtl/>
        </w:rPr>
        <w:t>כמה עמודים</w:t>
      </w:r>
      <w:r w:rsidRPr="00F25744">
        <w:rPr>
          <w:rFonts w:ascii="David" w:hAnsi="David" w:cs="David" w:hint="cs"/>
          <w:sz w:val="24"/>
          <w:szCs w:val="24"/>
          <w:rtl/>
        </w:rPr>
        <w:t xml:space="preserve"> בממוצע אורכת להערכתך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שניתנת במסמך עצמאי (לרבות החלטה לאחר סגירה)? [עמוד 1, 2 עמודים, 3 עמודים, 4 עמודים, 5 עמודים, אם מעל 5 עמודים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7CC2398E"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עמ"נ</w:t>
      </w:r>
      <w:r w:rsidRPr="00F25744">
        <w:rPr>
          <w:rFonts w:ascii="David" w:hAnsi="David" w:cs="David" w:hint="cs"/>
          <w:b/>
          <w:bCs/>
          <w:sz w:val="24"/>
          <w:szCs w:val="24"/>
          <w:rtl/>
        </w:rPr>
        <w:t>,</w:t>
      </w:r>
      <w:r w:rsidRPr="00F25744">
        <w:rPr>
          <w:rFonts w:ascii="David" w:hAnsi="David" w:cs="David" w:hint="cs"/>
          <w:sz w:val="24"/>
          <w:szCs w:val="24"/>
          <w:rtl/>
        </w:rPr>
        <w:t xml:space="preserve"> </w:t>
      </w:r>
      <w:r w:rsidRPr="00F25744">
        <w:rPr>
          <w:rFonts w:ascii="David" w:hAnsi="David" w:cs="David" w:hint="cs"/>
          <w:b/>
          <w:bCs/>
          <w:sz w:val="24"/>
          <w:szCs w:val="24"/>
          <w:rtl/>
        </w:rPr>
        <w:t>כמה עמודים</w:t>
      </w:r>
      <w:r w:rsidRPr="00F25744">
        <w:rPr>
          <w:rFonts w:ascii="David" w:hAnsi="David" w:cs="David" w:hint="cs"/>
          <w:sz w:val="24"/>
          <w:szCs w:val="24"/>
          <w:rtl/>
        </w:rPr>
        <w:t xml:space="preserve"> בממוצע אורכת להערכתך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שניתנת במסמך עצמאי (לרבות החלטה לאחר סגירה)? [עמוד 1, 2 עמודים, 3 עמודים, 4 עמודים, 5 עמודים, אם מעל 5 עמודים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422708B4"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עש"א</w:t>
      </w:r>
      <w:r w:rsidRPr="00F25744">
        <w:rPr>
          <w:rFonts w:ascii="David" w:hAnsi="David" w:cs="David" w:hint="cs"/>
          <w:sz w:val="24"/>
          <w:szCs w:val="24"/>
          <w:rtl/>
        </w:rPr>
        <w:t xml:space="preserve">, </w:t>
      </w:r>
      <w:r w:rsidRPr="00F25744">
        <w:rPr>
          <w:rFonts w:ascii="David" w:hAnsi="David" w:cs="David" w:hint="cs"/>
          <w:b/>
          <w:bCs/>
          <w:sz w:val="24"/>
          <w:szCs w:val="24"/>
          <w:rtl/>
        </w:rPr>
        <w:t>כמה עמודים</w:t>
      </w:r>
      <w:r w:rsidRPr="00F25744">
        <w:rPr>
          <w:rFonts w:ascii="David" w:hAnsi="David" w:cs="David" w:hint="cs"/>
          <w:sz w:val="24"/>
          <w:szCs w:val="24"/>
          <w:rtl/>
        </w:rPr>
        <w:t xml:space="preserve"> בממוצע אורכת להערכתך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שניתנת במסמך עצמאי (לרבות החלטה לאחר סגירה)? [עמוד 1, 2 עמודים, 3 עמודים, 4 עמודים, 5 עמודים, אם מעל 5 עמודים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6E85AEA4"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תנ"ג</w:t>
      </w:r>
      <w:r w:rsidRPr="00F25744">
        <w:rPr>
          <w:rFonts w:ascii="David" w:hAnsi="David" w:cs="David" w:hint="cs"/>
          <w:sz w:val="24"/>
          <w:szCs w:val="24"/>
          <w:rtl/>
        </w:rPr>
        <w:t xml:space="preserve">, כמה </w:t>
      </w:r>
      <w:r w:rsidRPr="00F25744">
        <w:rPr>
          <w:rFonts w:ascii="David" w:hAnsi="David" w:cs="David" w:hint="cs"/>
          <w:b/>
          <w:bCs/>
          <w:sz w:val="24"/>
          <w:szCs w:val="24"/>
          <w:rtl/>
        </w:rPr>
        <w:t>זמן</w:t>
      </w:r>
      <w:r w:rsidRPr="00F25744">
        <w:rPr>
          <w:rFonts w:ascii="David" w:hAnsi="David" w:cs="David" w:hint="cs"/>
          <w:sz w:val="24"/>
          <w:szCs w:val="24"/>
          <w:rtl/>
        </w:rPr>
        <w:t xml:space="preserve"> בממוצע לוקח לך להערכתך לבצע את הפעולות הבאות:</w:t>
      </w:r>
    </w:p>
    <w:p w14:paraId="1989ADD6" w14:textId="77777777" w:rsidR="005E4C22" w:rsidRPr="00F25744" w:rsidRDefault="00E25AE7" w:rsidP="00341018">
      <w:pPr>
        <w:numPr>
          <w:ilvl w:val="1"/>
          <w:numId w:val="30"/>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t>הכנה</w:t>
      </w:r>
      <w:r w:rsidRPr="00F25744">
        <w:rPr>
          <w:rFonts w:ascii="David" w:hAnsi="David" w:cs="David" w:hint="cs"/>
          <w:sz w:val="24"/>
          <w:szCs w:val="24"/>
          <w:rtl/>
        </w:rPr>
        <w:t xml:space="preserve"> לדיון </w:t>
      </w:r>
      <w:r w:rsidRPr="00F25744">
        <w:rPr>
          <w:rFonts w:ascii="David" w:hAnsi="David" w:cs="David" w:hint="cs"/>
          <w:b/>
          <w:bCs/>
          <w:sz w:val="24"/>
          <w:szCs w:val="24"/>
          <w:rtl/>
        </w:rPr>
        <w:t>שאינו הוכחות</w:t>
      </w:r>
      <w:r w:rsidRPr="00F25744">
        <w:rPr>
          <w:rFonts w:ascii="David" w:hAnsi="David" w:cs="David" w:hint="cs"/>
          <w:sz w:val="24"/>
          <w:szCs w:val="24"/>
          <w:rtl/>
        </w:rPr>
        <w:t xml:space="preserve"> (לרבות דיון קד"מ, דיון בבקשה וכדומה)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51DE9FB7" w14:textId="77777777" w:rsidR="005E4C22" w:rsidRPr="00F25744" w:rsidRDefault="00E25AE7" w:rsidP="00341018">
      <w:pPr>
        <w:numPr>
          <w:ilvl w:val="1"/>
          <w:numId w:val="30"/>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t>הכנה</w:t>
      </w:r>
      <w:r w:rsidRPr="00F25744">
        <w:rPr>
          <w:rFonts w:ascii="David" w:hAnsi="David" w:cs="David" w:hint="cs"/>
          <w:sz w:val="24"/>
          <w:szCs w:val="24"/>
          <w:rtl/>
        </w:rPr>
        <w:t xml:space="preserve"> לדיון </w:t>
      </w:r>
      <w:r w:rsidRPr="00F25744">
        <w:rPr>
          <w:rFonts w:ascii="David" w:hAnsi="David" w:cs="David" w:hint="cs"/>
          <w:b/>
          <w:bCs/>
          <w:sz w:val="24"/>
          <w:szCs w:val="24"/>
          <w:rtl/>
        </w:rPr>
        <w:t>הוכחות</w:t>
      </w:r>
      <w:r w:rsidRPr="00F25744">
        <w:rPr>
          <w:rFonts w:ascii="David" w:hAnsi="David" w:cs="David"/>
          <w:sz w:val="24"/>
          <w:szCs w:val="24"/>
          <w:rtl/>
        </w:rPr>
        <w:t xml:space="preserve"> </w:t>
      </w:r>
      <w:r w:rsidRPr="00F25744">
        <w:rPr>
          <w:rFonts w:ascii="David" w:hAnsi="David" w:cs="David" w:hint="cs"/>
          <w:sz w:val="24"/>
          <w:szCs w:val="24"/>
          <w:rtl/>
        </w:rPr>
        <w:t>(לרבות דיון שבו נשמעות ראיות/ עדויות או סיכומים בעל פה)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64A2196D" w14:textId="77777777" w:rsidR="005E4C22" w:rsidRPr="00F25744" w:rsidRDefault="00E25AE7" w:rsidP="00341018">
      <w:pPr>
        <w:numPr>
          <w:ilvl w:val="1"/>
          <w:numId w:val="30"/>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t>שמיעת</w:t>
      </w:r>
      <w:r w:rsidRPr="00F25744">
        <w:rPr>
          <w:rFonts w:ascii="David" w:hAnsi="David" w:cs="David" w:hint="cs"/>
          <w:sz w:val="24"/>
          <w:szCs w:val="24"/>
          <w:rtl/>
        </w:rPr>
        <w:t xml:space="preserve"> דיון </w:t>
      </w:r>
      <w:r w:rsidRPr="00F25744">
        <w:rPr>
          <w:rFonts w:ascii="David" w:hAnsi="David" w:cs="David" w:hint="cs"/>
          <w:b/>
          <w:bCs/>
          <w:sz w:val="24"/>
          <w:szCs w:val="24"/>
          <w:rtl/>
        </w:rPr>
        <w:t>שאינו הוכחות</w:t>
      </w:r>
      <w:r w:rsidRPr="00F25744">
        <w:rPr>
          <w:rFonts w:ascii="David" w:hAnsi="David" w:cs="David"/>
          <w:sz w:val="24"/>
          <w:szCs w:val="24"/>
          <w:rtl/>
        </w:rPr>
        <w:t xml:space="preserve"> </w:t>
      </w:r>
      <w:r w:rsidRPr="00F25744">
        <w:rPr>
          <w:rFonts w:ascii="David" w:hAnsi="David" w:cs="David" w:hint="cs"/>
          <w:sz w:val="24"/>
          <w:szCs w:val="24"/>
          <w:rtl/>
        </w:rPr>
        <w:t>[</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39B664A8" w14:textId="77777777" w:rsidR="005E4C22" w:rsidRPr="00F25744" w:rsidRDefault="00E25AE7" w:rsidP="00341018">
      <w:pPr>
        <w:numPr>
          <w:ilvl w:val="1"/>
          <w:numId w:val="30"/>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t>שמיעת</w:t>
      </w:r>
      <w:r w:rsidRPr="00F25744">
        <w:rPr>
          <w:rFonts w:ascii="David" w:hAnsi="David" w:cs="David" w:hint="cs"/>
          <w:sz w:val="24"/>
          <w:szCs w:val="24"/>
          <w:rtl/>
        </w:rPr>
        <w:t xml:space="preserve"> דיון </w:t>
      </w:r>
      <w:r w:rsidRPr="00F25744">
        <w:rPr>
          <w:rFonts w:ascii="David" w:hAnsi="David" w:cs="David" w:hint="cs"/>
          <w:b/>
          <w:bCs/>
          <w:sz w:val="24"/>
          <w:szCs w:val="24"/>
          <w:rtl/>
        </w:rPr>
        <w:t>הוכחות</w:t>
      </w:r>
      <w:r w:rsidRPr="00F25744">
        <w:rPr>
          <w:rFonts w:ascii="David" w:hAnsi="David" w:cs="David"/>
          <w:sz w:val="24"/>
          <w:szCs w:val="24"/>
          <w:rtl/>
        </w:rPr>
        <w:t xml:space="preserve"> </w:t>
      </w:r>
      <w:r w:rsidRPr="00F25744">
        <w:rPr>
          <w:rFonts w:ascii="David" w:hAnsi="David" w:cs="David" w:hint="cs"/>
          <w:sz w:val="24"/>
          <w:szCs w:val="24"/>
          <w:rtl/>
        </w:rPr>
        <w:t>[</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254056C0" w14:textId="77777777" w:rsidR="005E4C22" w:rsidRPr="00F25744" w:rsidRDefault="00E25AE7" w:rsidP="00341018">
      <w:pPr>
        <w:numPr>
          <w:ilvl w:val="1"/>
          <w:numId w:val="30"/>
        </w:numPr>
        <w:spacing w:before="120" w:after="0" w:line="360" w:lineRule="auto"/>
        <w:ind w:left="991" w:hanging="284"/>
        <w:jc w:val="both"/>
        <w:rPr>
          <w:rFonts w:ascii="David" w:hAnsi="David" w:cs="David"/>
          <w:sz w:val="24"/>
          <w:szCs w:val="24"/>
        </w:rPr>
      </w:pPr>
      <w:r w:rsidRPr="00F25744">
        <w:rPr>
          <w:rFonts w:ascii="David" w:hAnsi="David" w:cs="David" w:hint="cs"/>
          <w:sz w:val="24"/>
          <w:szCs w:val="24"/>
          <w:rtl/>
        </w:rPr>
        <w:t xml:space="preserve">כתיבת </w:t>
      </w:r>
      <w:r w:rsidRPr="00F25744">
        <w:rPr>
          <w:rFonts w:ascii="David" w:hAnsi="David" w:cs="David" w:hint="cs"/>
          <w:b/>
          <w:bCs/>
          <w:sz w:val="24"/>
          <w:szCs w:val="24"/>
          <w:rtl/>
        </w:rPr>
        <w:t>עמוד אחד</w:t>
      </w:r>
      <w:r w:rsidRPr="00F25744">
        <w:rPr>
          <w:rFonts w:ascii="David" w:hAnsi="David" w:cs="David" w:hint="cs"/>
          <w:sz w:val="24"/>
          <w:szCs w:val="24"/>
          <w:rtl/>
        </w:rPr>
        <w:t xml:space="preserve"> של פסק דין שניתן מחוץ לאולם מכוח </w:t>
      </w:r>
      <w:r w:rsidRPr="00F25744">
        <w:rPr>
          <w:rFonts w:ascii="David" w:hAnsi="David" w:cs="David" w:hint="cs"/>
          <w:b/>
          <w:bCs/>
          <w:sz w:val="24"/>
          <w:szCs w:val="24"/>
          <w:rtl/>
        </w:rPr>
        <w:t>ס' 79א</w:t>
      </w:r>
      <w:r w:rsidRPr="00F25744">
        <w:rPr>
          <w:rFonts w:ascii="David" w:hAnsi="David" w:cs="David" w:hint="cs"/>
          <w:sz w:val="24"/>
          <w:szCs w:val="24"/>
          <w:rtl/>
        </w:rPr>
        <w:t>' לחוק בתיהמ"ש</w:t>
      </w:r>
      <w:r w:rsidRPr="00F25744">
        <w:rPr>
          <w:rFonts w:ascii="David" w:hAnsi="David" w:cs="David"/>
          <w:sz w:val="24"/>
          <w:szCs w:val="24"/>
          <w:rtl/>
        </w:rPr>
        <w:t xml:space="preserve"> </w:t>
      </w:r>
      <w:r w:rsidRPr="00F25744">
        <w:rPr>
          <w:rFonts w:ascii="David" w:hAnsi="David" w:cs="David" w:hint="cs"/>
          <w:sz w:val="24"/>
          <w:szCs w:val="24"/>
          <w:rtl/>
        </w:rPr>
        <w:t>[</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304CD5CC"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תנ"ג</w:t>
      </w:r>
      <w:r w:rsidRPr="00F25744">
        <w:rPr>
          <w:rFonts w:ascii="David" w:hAnsi="David" w:cs="David" w:hint="cs"/>
          <w:sz w:val="24"/>
          <w:szCs w:val="24"/>
          <w:rtl/>
        </w:rPr>
        <w:t xml:space="preserve">, כמה עמודים בממוצע אורכת להערכתך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במסמך עצמאי (לרבות החלטה לאחר סגירה)? [עמוד 1, 2 עמודים, 3 עמודים, 4 עמודים, 5 עמודים, אם מעל 5 עמודים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0EB2C8FB"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תה"ג</w:t>
      </w:r>
      <w:r w:rsidRPr="00F25744">
        <w:rPr>
          <w:rFonts w:ascii="David" w:hAnsi="David" w:cs="David" w:hint="cs"/>
          <w:sz w:val="24"/>
          <w:szCs w:val="24"/>
          <w:rtl/>
        </w:rPr>
        <w:t xml:space="preserve">, כמה </w:t>
      </w:r>
      <w:r w:rsidRPr="00F25744">
        <w:rPr>
          <w:rFonts w:ascii="David" w:hAnsi="David" w:cs="David" w:hint="cs"/>
          <w:b/>
          <w:bCs/>
          <w:sz w:val="24"/>
          <w:szCs w:val="24"/>
          <w:rtl/>
        </w:rPr>
        <w:t>זמן</w:t>
      </w:r>
      <w:r w:rsidRPr="00F25744">
        <w:rPr>
          <w:rFonts w:ascii="David" w:hAnsi="David" w:cs="David" w:hint="cs"/>
          <w:sz w:val="24"/>
          <w:szCs w:val="24"/>
          <w:rtl/>
        </w:rPr>
        <w:t xml:space="preserve"> בממוצע לוקח לך להערכתך לבצע את הפעולות הבאות:</w:t>
      </w:r>
    </w:p>
    <w:p w14:paraId="7BD4FECD" w14:textId="77777777" w:rsidR="005E4C22" w:rsidRPr="00F25744" w:rsidRDefault="00E25AE7" w:rsidP="00341018">
      <w:pPr>
        <w:numPr>
          <w:ilvl w:val="1"/>
          <w:numId w:val="30"/>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lastRenderedPageBreak/>
        <w:t>הכנה</w:t>
      </w:r>
      <w:r w:rsidRPr="00F25744">
        <w:rPr>
          <w:rFonts w:ascii="David" w:hAnsi="David" w:cs="David" w:hint="cs"/>
          <w:sz w:val="24"/>
          <w:szCs w:val="24"/>
          <w:rtl/>
        </w:rPr>
        <w:t xml:space="preserve"> לדיון </w:t>
      </w:r>
      <w:r w:rsidRPr="00F25744">
        <w:rPr>
          <w:rFonts w:ascii="David" w:hAnsi="David" w:cs="David" w:hint="cs"/>
          <w:b/>
          <w:bCs/>
          <w:sz w:val="24"/>
          <w:szCs w:val="24"/>
          <w:rtl/>
        </w:rPr>
        <w:t>שאינו הוכחות</w:t>
      </w:r>
      <w:r w:rsidRPr="00F25744">
        <w:rPr>
          <w:rFonts w:ascii="David" w:hAnsi="David" w:cs="David" w:hint="cs"/>
          <w:sz w:val="24"/>
          <w:szCs w:val="24"/>
          <w:rtl/>
        </w:rPr>
        <w:t xml:space="preserve"> (לרבות דיון קד"מ, דיון בבקשה וכדומה)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353FF276" w14:textId="77777777" w:rsidR="005E4C22" w:rsidRPr="00F25744" w:rsidRDefault="00E25AE7" w:rsidP="00341018">
      <w:pPr>
        <w:numPr>
          <w:ilvl w:val="1"/>
          <w:numId w:val="30"/>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t>הכנה</w:t>
      </w:r>
      <w:r w:rsidRPr="00F25744">
        <w:rPr>
          <w:rFonts w:ascii="David" w:hAnsi="David" w:cs="David" w:hint="cs"/>
          <w:sz w:val="24"/>
          <w:szCs w:val="24"/>
          <w:rtl/>
        </w:rPr>
        <w:t xml:space="preserve"> לדיון </w:t>
      </w:r>
      <w:r w:rsidRPr="00F25744">
        <w:rPr>
          <w:rFonts w:ascii="David" w:hAnsi="David" w:cs="David" w:hint="cs"/>
          <w:b/>
          <w:bCs/>
          <w:sz w:val="24"/>
          <w:szCs w:val="24"/>
          <w:rtl/>
        </w:rPr>
        <w:t>הוכחות</w:t>
      </w:r>
      <w:r w:rsidRPr="00F25744">
        <w:rPr>
          <w:rFonts w:ascii="David" w:hAnsi="David" w:cs="David"/>
          <w:sz w:val="24"/>
          <w:szCs w:val="24"/>
          <w:rtl/>
        </w:rPr>
        <w:t xml:space="preserve"> </w:t>
      </w:r>
      <w:r w:rsidRPr="00F25744">
        <w:rPr>
          <w:rFonts w:ascii="David" w:hAnsi="David" w:cs="David" w:hint="cs"/>
          <w:sz w:val="24"/>
          <w:szCs w:val="24"/>
          <w:rtl/>
        </w:rPr>
        <w:t>(לרבות דיון שבו נשמעות ראיות/ עדויות או סיכומים בעל פה)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71457999" w14:textId="77777777" w:rsidR="005E4C22" w:rsidRPr="00F25744" w:rsidRDefault="00E25AE7" w:rsidP="00341018">
      <w:pPr>
        <w:numPr>
          <w:ilvl w:val="1"/>
          <w:numId w:val="30"/>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t>שמיעת</w:t>
      </w:r>
      <w:r w:rsidRPr="00F25744">
        <w:rPr>
          <w:rFonts w:ascii="David" w:hAnsi="David" w:cs="David" w:hint="cs"/>
          <w:sz w:val="24"/>
          <w:szCs w:val="24"/>
          <w:rtl/>
        </w:rPr>
        <w:t xml:space="preserve"> דיון </w:t>
      </w:r>
      <w:r w:rsidRPr="00F25744">
        <w:rPr>
          <w:rFonts w:ascii="David" w:hAnsi="David" w:cs="David" w:hint="cs"/>
          <w:b/>
          <w:bCs/>
          <w:sz w:val="24"/>
          <w:szCs w:val="24"/>
          <w:rtl/>
        </w:rPr>
        <w:t>שאינו הוכחות</w:t>
      </w:r>
      <w:r w:rsidRPr="00F25744">
        <w:rPr>
          <w:rFonts w:ascii="David" w:hAnsi="David" w:cs="David"/>
          <w:sz w:val="24"/>
          <w:szCs w:val="24"/>
          <w:rtl/>
        </w:rPr>
        <w:t xml:space="preserve"> </w:t>
      </w:r>
      <w:r w:rsidRPr="00F25744">
        <w:rPr>
          <w:rFonts w:ascii="David" w:hAnsi="David" w:cs="David" w:hint="cs"/>
          <w:sz w:val="24"/>
          <w:szCs w:val="24"/>
          <w:rtl/>
        </w:rPr>
        <w:t>[</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1156CF88" w14:textId="77777777" w:rsidR="005E4C22" w:rsidRPr="00F25744" w:rsidRDefault="00E25AE7" w:rsidP="00341018">
      <w:pPr>
        <w:numPr>
          <w:ilvl w:val="1"/>
          <w:numId w:val="30"/>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t>שמיעת</w:t>
      </w:r>
      <w:r w:rsidRPr="00F25744">
        <w:rPr>
          <w:rFonts w:ascii="David" w:hAnsi="David" w:cs="David" w:hint="cs"/>
          <w:sz w:val="24"/>
          <w:szCs w:val="24"/>
          <w:rtl/>
        </w:rPr>
        <w:t xml:space="preserve"> דיון </w:t>
      </w:r>
      <w:r w:rsidRPr="00F25744">
        <w:rPr>
          <w:rFonts w:ascii="David" w:hAnsi="David" w:cs="David" w:hint="cs"/>
          <w:b/>
          <w:bCs/>
          <w:sz w:val="24"/>
          <w:szCs w:val="24"/>
          <w:rtl/>
        </w:rPr>
        <w:t>הוכחות</w:t>
      </w:r>
      <w:r w:rsidRPr="00F25744">
        <w:rPr>
          <w:rFonts w:ascii="David" w:hAnsi="David" w:cs="David"/>
          <w:sz w:val="24"/>
          <w:szCs w:val="24"/>
          <w:rtl/>
        </w:rPr>
        <w:t xml:space="preserve"> </w:t>
      </w:r>
      <w:r w:rsidRPr="00F25744">
        <w:rPr>
          <w:rFonts w:ascii="David" w:hAnsi="David" w:cs="David" w:hint="cs"/>
          <w:sz w:val="24"/>
          <w:szCs w:val="24"/>
          <w:rtl/>
        </w:rPr>
        <w:t>[</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4A644C14" w14:textId="77777777" w:rsidR="005E4C22" w:rsidRPr="00F25744" w:rsidRDefault="00E25AE7" w:rsidP="00341018">
      <w:pPr>
        <w:numPr>
          <w:ilvl w:val="1"/>
          <w:numId w:val="30"/>
        </w:numPr>
        <w:spacing w:before="120" w:after="0" w:line="360" w:lineRule="auto"/>
        <w:ind w:left="991" w:hanging="284"/>
        <w:jc w:val="both"/>
        <w:rPr>
          <w:rFonts w:ascii="David" w:hAnsi="David" w:cs="David"/>
          <w:sz w:val="24"/>
          <w:szCs w:val="24"/>
        </w:rPr>
      </w:pPr>
      <w:r w:rsidRPr="00F25744">
        <w:rPr>
          <w:rFonts w:ascii="David" w:hAnsi="David" w:cs="David" w:hint="cs"/>
          <w:sz w:val="24"/>
          <w:szCs w:val="24"/>
          <w:rtl/>
        </w:rPr>
        <w:t xml:space="preserve">כתיבת </w:t>
      </w:r>
      <w:r w:rsidRPr="00F25744">
        <w:rPr>
          <w:rFonts w:ascii="David" w:hAnsi="David" w:cs="David" w:hint="cs"/>
          <w:b/>
          <w:bCs/>
          <w:sz w:val="24"/>
          <w:szCs w:val="24"/>
          <w:rtl/>
        </w:rPr>
        <w:t>עמוד אחד</w:t>
      </w:r>
      <w:r w:rsidRPr="00F25744">
        <w:rPr>
          <w:rFonts w:ascii="David" w:hAnsi="David" w:cs="David" w:hint="cs"/>
          <w:sz w:val="24"/>
          <w:szCs w:val="24"/>
          <w:rtl/>
        </w:rPr>
        <w:t xml:space="preserve"> של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במסמך עצמאי (לרבות החלטה לאחר סגירה)</w:t>
      </w:r>
      <w:r w:rsidRPr="00F25744">
        <w:rPr>
          <w:rFonts w:ascii="David" w:hAnsi="David" w:cs="David"/>
          <w:sz w:val="24"/>
          <w:szCs w:val="24"/>
          <w:rtl/>
        </w:rPr>
        <w:t xml:space="preserve"> </w:t>
      </w:r>
      <w:r w:rsidRPr="00F25744">
        <w:rPr>
          <w:rFonts w:ascii="David" w:hAnsi="David" w:cs="David" w:hint="cs"/>
          <w:sz w:val="24"/>
          <w:szCs w:val="24"/>
          <w:rtl/>
        </w:rPr>
        <w:t>[</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04C77389"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ת"כ</w:t>
      </w:r>
      <w:r w:rsidRPr="00F25744">
        <w:rPr>
          <w:rFonts w:ascii="David" w:hAnsi="David" w:cs="David" w:hint="cs"/>
          <w:sz w:val="24"/>
          <w:szCs w:val="24"/>
          <w:rtl/>
        </w:rPr>
        <w:t xml:space="preserve">, כמה </w:t>
      </w:r>
      <w:r w:rsidRPr="00F25744">
        <w:rPr>
          <w:rFonts w:ascii="David" w:hAnsi="David" w:cs="David" w:hint="cs"/>
          <w:b/>
          <w:bCs/>
          <w:sz w:val="24"/>
          <w:szCs w:val="24"/>
          <w:rtl/>
        </w:rPr>
        <w:t>זמן</w:t>
      </w:r>
      <w:r w:rsidRPr="00F25744">
        <w:rPr>
          <w:rFonts w:ascii="David" w:hAnsi="David" w:cs="David" w:hint="cs"/>
          <w:sz w:val="24"/>
          <w:szCs w:val="24"/>
          <w:rtl/>
        </w:rPr>
        <w:t xml:space="preserve"> בממוצע לוקח לך להערכתך לבצע את הפעולות הבאות:</w:t>
      </w:r>
    </w:p>
    <w:p w14:paraId="72A80132" w14:textId="77777777" w:rsidR="005E4C22" w:rsidRPr="00F25744" w:rsidRDefault="00E25AE7" w:rsidP="00341018">
      <w:pPr>
        <w:numPr>
          <w:ilvl w:val="1"/>
          <w:numId w:val="30"/>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t>שמיעת</w:t>
      </w:r>
      <w:r w:rsidRPr="00F25744">
        <w:rPr>
          <w:rFonts w:ascii="David" w:hAnsi="David" w:cs="David" w:hint="cs"/>
          <w:sz w:val="24"/>
          <w:szCs w:val="24"/>
          <w:rtl/>
        </w:rPr>
        <w:t xml:space="preserve"> דיון </w:t>
      </w:r>
      <w:r w:rsidRPr="00F25744">
        <w:rPr>
          <w:rFonts w:ascii="David" w:hAnsi="David" w:cs="David" w:hint="cs"/>
          <w:b/>
          <w:bCs/>
          <w:sz w:val="24"/>
          <w:szCs w:val="24"/>
          <w:rtl/>
        </w:rPr>
        <w:t>שאינו הוכחות</w:t>
      </w:r>
      <w:r w:rsidRPr="00F25744">
        <w:rPr>
          <w:rFonts w:ascii="David" w:hAnsi="David" w:cs="David" w:hint="cs"/>
          <w:sz w:val="24"/>
          <w:szCs w:val="24"/>
          <w:rtl/>
        </w:rPr>
        <w:t xml:space="preserve"> (לרבות דיון קד"מ, דיון בבקשה וכדומה) [</w:t>
      </w:r>
      <w:r w:rsidRPr="00F25744">
        <w:rPr>
          <w:rFonts w:ascii="David" w:hAnsi="David" w:cs="David"/>
          <w:sz w:val="24"/>
          <w:szCs w:val="24"/>
          <w:rtl/>
        </w:rPr>
        <w:t>עד</w:t>
      </w:r>
      <w:r w:rsidRPr="00F25744">
        <w:rPr>
          <w:rFonts w:ascii="David" w:hAnsi="David" w:cs="David" w:hint="cs"/>
          <w:sz w:val="24"/>
          <w:szCs w:val="24"/>
          <w:rtl/>
        </w:rPr>
        <w:t xml:space="preserve"> 5 דקות</w:t>
      </w:r>
      <w:r w:rsidRPr="00F25744">
        <w:rPr>
          <w:rFonts w:ascii="David" w:hAnsi="David" w:cs="David"/>
          <w:sz w:val="24"/>
          <w:szCs w:val="24"/>
          <w:rtl/>
        </w:rPr>
        <w:t>,</w:t>
      </w:r>
      <w:r w:rsidRPr="00F25744">
        <w:rPr>
          <w:rFonts w:ascii="David" w:hAnsi="David" w:cs="David" w:hint="cs"/>
          <w:sz w:val="24"/>
          <w:szCs w:val="24"/>
          <w:rtl/>
        </w:rPr>
        <w:t xml:space="preserve"> 5-10 דקות</w:t>
      </w:r>
      <w:r w:rsidRPr="00F25744">
        <w:rPr>
          <w:rFonts w:ascii="David" w:hAnsi="David" w:cs="David"/>
          <w:sz w:val="24"/>
          <w:szCs w:val="24"/>
          <w:rtl/>
        </w:rPr>
        <w:t>,</w:t>
      </w:r>
      <w:r w:rsidRPr="00F25744">
        <w:rPr>
          <w:rFonts w:ascii="David" w:hAnsi="David" w:cs="David" w:hint="cs"/>
          <w:sz w:val="24"/>
          <w:szCs w:val="24"/>
          <w:rtl/>
        </w:rPr>
        <w:t xml:space="preserve"> 10-15 דקות</w:t>
      </w:r>
      <w:r w:rsidRPr="00F25744">
        <w:rPr>
          <w:rFonts w:ascii="David" w:hAnsi="David" w:cs="David"/>
          <w:sz w:val="24"/>
          <w:szCs w:val="24"/>
          <w:rtl/>
        </w:rPr>
        <w:t>,</w:t>
      </w:r>
      <w:r w:rsidRPr="00F25744">
        <w:rPr>
          <w:rFonts w:ascii="David" w:hAnsi="David" w:cs="David" w:hint="cs"/>
          <w:sz w:val="24"/>
          <w:szCs w:val="24"/>
          <w:rtl/>
        </w:rPr>
        <w:t xml:space="preserve"> 15-20 דקות</w:t>
      </w:r>
      <w:r w:rsidRPr="00F25744">
        <w:rPr>
          <w:rFonts w:ascii="David" w:hAnsi="David" w:cs="David"/>
          <w:sz w:val="24"/>
          <w:szCs w:val="24"/>
          <w:rtl/>
        </w:rPr>
        <w:t>,</w:t>
      </w:r>
      <w:r w:rsidRPr="00F25744">
        <w:rPr>
          <w:rFonts w:ascii="David" w:hAnsi="David" w:cs="David" w:hint="cs"/>
          <w:sz w:val="24"/>
          <w:szCs w:val="24"/>
          <w:rtl/>
        </w:rPr>
        <w:t xml:space="preserve"> 20-25 דקות</w:t>
      </w:r>
      <w:r w:rsidRPr="00F25744">
        <w:rPr>
          <w:rFonts w:ascii="David" w:hAnsi="David" w:cs="David"/>
          <w:sz w:val="24"/>
          <w:szCs w:val="24"/>
          <w:rtl/>
        </w:rPr>
        <w:t>,</w:t>
      </w:r>
      <w:r w:rsidRPr="00F25744">
        <w:rPr>
          <w:rFonts w:ascii="David" w:hAnsi="David" w:cs="David" w:hint="cs"/>
          <w:sz w:val="24"/>
          <w:szCs w:val="24"/>
          <w:rtl/>
        </w:rPr>
        <w:t xml:space="preserve"> 25-30 דקות</w:t>
      </w:r>
      <w:r w:rsidRPr="00F25744">
        <w:rPr>
          <w:rFonts w:ascii="David" w:hAnsi="David" w:cs="David"/>
          <w:sz w:val="24"/>
          <w:szCs w:val="24"/>
          <w:rtl/>
        </w:rPr>
        <w:t xml:space="preserve">, </w:t>
      </w:r>
      <w:r w:rsidRPr="00F25744">
        <w:rPr>
          <w:rFonts w:ascii="David" w:hAnsi="David" w:cs="David" w:hint="cs"/>
          <w:sz w:val="24"/>
          <w:szCs w:val="24"/>
          <w:rtl/>
        </w:rPr>
        <w:t xml:space="preserve">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3242BE5F" w14:textId="77777777" w:rsidR="005E4C22" w:rsidRPr="00F25744" w:rsidRDefault="00E25AE7" w:rsidP="00341018">
      <w:pPr>
        <w:numPr>
          <w:ilvl w:val="1"/>
          <w:numId w:val="30"/>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t>שמיעת</w:t>
      </w:r>
      <w:r w:rsidRPr="00F25744">
        <w:rPr>
          <w:rFonts w:ascii="David" w:hAnsi="David" w:cs="David" w:hint="cs"/>
          <w:sz w:val="24"/>
          <w:szCs w:val="24"/>
          <w:rtl/>
        </w:rPr>
        <w:t xml:space="preserve"> דיון </w:t>
      </w:r>
      <w:r w:rsidRPr="00F25744">
        <w:rPr>
          <w:rFonts w:ascii="David" w:hAnsi="David" w:cs="David" w:hint="cs"/>
          <w:b/>
          <w:bCs/>
          <w:sz w:val="24"/>
          <w:szCs w:val="24"/>
          <w:rtl/>
        </w:rPr>
        <w:t>הוכחות</w:t>
      </w:r>
      <w:r w:rsidRPr="00F25744">
        <w:rPr>
          <w:rFonts w:ascii="David" w:hAnsi="David" w:cs="David"/>
          <w:sz w:val="24"/>
          <w:szCs w:val="24"/>
          <w:rtl/>
        </w:rPr>
        <w:t xml:space="preserve"> </w:t>
      </w:r>
      <w:r w:rsidRPr="00F25744">
        <w:rPr>
          <w:rFonts w:ascii="David" w:hAnsi="David" w:cs="David" w:hint="cs"/>
          <w:sz w:val="24"/>
          <w:szCs w:val="24"/>
          <w:rtl/>
        </w:rPr>
        <w:t>(לרבות דיון שבו נשמעות ראיות/ עדויות או סיכומים בעל פה) [</w:t>
      </w:r>
      <w:r w:rsidRPr="00F25744">
        <w:rPr>
          <w:rFonts w:ascii="David" w:hAnsi="David" w:cs="David"/>
          <w:sz w:val="24"/>
          <w:szCs w:val="24"/>
          <w:rtl/>
        </w:rPr>
        <w:t>עד</w:t>
      </w:r>
      <w:r w:rsidRPr="00F25744">
        <w:rPr>
          <w:rFonts w:ascii="David" w:hAnsi="David" w:cs="David" w:hint="cs"/>
          <w:sz w:val="24"/>
          <w:szCs w:val="24"/>
          <w:rtl/>
        </w:rPr>
        <w:t xml:space="preserve"> 5 דקות</w:t>
      </w:r>
      <w:r w:rsidRPr="00F25744">
        <w:rPr>
          <w:rFonts w:ascii="David" w:hAnsi="David" w:cs="David"/>
          <w:sz w:val="24"/>
          <w:szCs w:val="24"/>
          <w:rtl/>
        </w:rPr>
        <w:t>,</w:t>
      </w:r>
      <w:r w:rsidRPr="00F25744">
        <w:rPr>
          <w:rFonts w:ascii="David" w:hAnsi="David" w:cs="David" w:hint="cs"/>
          <w:sz w:val="24"/>
          <w:szCs w:val="24"/>
          <w:rtl/>
        </w:rPr>
        <w:t xml:space="preserve"> 5-10 דקות</w:t>
      </w:r>
      <w:r w:rsidRPr="00F25744">
        <w:rPr>
          <w:rFonts w:ascii="David" w:hAnsi="David" w:cs="David"/>
          <w:sz w:val="24"/>
          <w:szCs w:val="24"/>
          <w:rtl/>
        </w:rPr>
        <w:t>,</w:t>
      </w:r>
      <w:r w:rsidRPr="00F25744">
        <w:rPr>
          <w:rFonts w:ascii="David" w:hAnsi="David" w:cs="David" w:hint="cs"/>
          <w:sz w:val="24"/>
          <w:szCs w:val="24"/>
          <w:rtl/>
        </w:rPr>
        <w:t xml:space="preserve"> 10-15 דקות</w:t>
      </w:r>
      <w:r w:rsidRPr="00F25744">
        <w:rPr>
          <w:rFonts w:ascii="David" w:hAnsi="David" w:cs="David"/>
          <w:sz w:val="24"/>
          <w:szCs w:val="24"/>
          <w:rtl/>
        </w:rPr>
        <w:t>,</w:t>
      </w:r>
      <w:r w:rsidRPr="00F25744">
        <w:rPr>
          <w:rFonts w:ascii="David" w:hAnsi="David" w:cs="David" w:hint="cs"/>
          <w:sz w:val="24"/>
          <w:szCs w:val="24"/>
          <w:rtl/>
        </w:rPr>
        <w:t xml:space="preserve"> 15-20 דקות</w:t>
      </w:r>
      <w:r w:rsidRPr="00F25744">
        <w:rPr>
          <w:rFonts w:ascii="David" w:hAnsi="David" w:cs="David"/>
          <w:sz w:val="24"/>
          <w:szCs w:val="24"/>
          <w:rtl/>
        </w:rPr>
        <w:t>,</w:t>
      </w:r>
      <w:r w:rsidRPr="00F25744">
        <w:rPr>
          <w:rFonts w:ascii="David" w:hAnsi="David" w:cs="David" w:hint="cs"/>
          <w:sz w:val="24"/>
          <w:szCs w:val="24"/>
          <w:rtl/>
        </w:rPr>
        <w:t xml:space="preserve"> 20-25 דקות</w:t>
      </w:r>
      <w:r w:rsidRPr="00F25744">
        <w:rPr>
          <w:rFonts w:ascii="David" w:hAnsi="David" w:cs="David"/>
          <w:sz w:val="24"/>
          <w:szCs w:val="24"/>
          <w:rtl/>
        </w:rPr>
        <w:t>,</w:t>
      </w:r>
      <w:r w:rsidRPr="00F25744">
        <w:rPr>
          <w:rFonts w:ascii="David" w:hAnsi="David" w:cs="David" w:hint="cs"/>
          <w:sz w:val="24"/>
          <w:szCs w:val="24"/>
          <w:rtl/>
        </w:rPr>
        <w:t xml:space="preserve"> 25-30 דקות</w:t>
      </w:r>
      <w:r w:rsidRPr="00F25744">
        <w:rPr>
          <w:rFonts w:ascii="David" w:hAnsi="David" w:cs="David"/>
          <w:sz w:val="24"/>
          <w:szCs w:val="24"/>
          <w:rtl/>
        </w:rPr>
        <w:t xml:space="preserve">, </w:t>
      </w:r>
      <w:r w:rsidRPr="00F25744">
        <w:rPr>
          <w:rFonts w:ascii="David" w:hAnsi="David" w:cs="David" w:hint="cs"/>
          <w:sz w:val="24"/>
          <w:szCs w:val="24"/>
          <w:rtl/>
        </w:rPr>
        <w:t xml:space="preserve">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458E08DF" w14:textId="77777777" w:rsidR="005E4C22" w:rsidRPr="00F25744" w:rsidRDefault="00E25AE7" w:rsidP="00341018">
      <w:pPr>
        <w:numPr>
          <w:ilvl w:val="1"/>
          <w:numId w:val="30"/>
        </w:numPr>
        <w:spacing w:before="120" w:after="0" w:line="360" w:lineRule="auto"/>
        <w:ind w:left="991" w:hanging="284"/>
        <w:jc w:val="both"/>
        <w:rPr>
          <w:rFonts w:ascii="David" w:hAnsi="David" w:cs="David"/>
          <w:sz w:val="24"/>
          <w:szCs w:val="24"/>
        </w:rPr>
      </w:pPr>
      <w:r w:rsidRPr="00F25744">
        <w:rPr>
          <w:rFonts w:ascii="David" w:hAnsi="David" w:cs="David" w:hint="cs"/>
          <w:sz w:val="24"/>
          <w:szCs w:val="24"/>
          <w:rtl/>
        </w:rPr>
        <w:t xml:space="preserve">כתיבת </w:t>
      </w:r>
      <w:r w:rsidRPr="00F25744">
        <w:rPr>
          <w:rFonts w:ascii="David" w:hAnsi="David" w:cs="David" w:hint="cs"/>
          <w:b/>
          <w:bCs/>
          <w:sz w:val="24"/>
          <w:szCs w:val="24"/>
          <w:rtl/>
        </w:rPr>
        <w:t>עמוד אחד</w:t>
      </w:r>
      <w:r w:rsidRPr="00F25744">
        <w:rPr>
          <w:rFonts w:ascii="David" w:hAnsi="David" w:cs="David" w:hint="cs"/>
          <w:sz w:val="24"/>
          <w:szCs w:val="24"/>
          <w:rtl/>
        </w:rPr>
        <w:t xml:space="preserve"> של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במסמך עצמאי (לרבות החלטה לאחר סגירה)</w:t>
      </w:r>
      <w:r w:rsidRPr="00F25744">
        <w:rPr>
          <w:rFonts w:ascii="David" w:hAnsi="David" w:cs="David"/>
          <w:sz w:val="24"/>
          <w:szCs w:val="24"/>
          <w:rtl/>
        </w:rPr>
        <w:t xml:space="preserve"> </w:t>
      </w:r>
      <w:r w:rsidRPr="00F25744">
        <w:rPr>
          <w:rFonts w:ascii="David" w:hAnsi="David" w:cs="David" w:hint="cs"/>
          <w:sz w:val="24"/>
          <w:szCs w:val="24"/>
          <w:rtl/>
        </w:rPr>
        <w:t>[</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74F71BFD" w14:textId="77777777" w:rsidR="005E4C22" w:rsidRPr="00F25744" w:rsidRDefault="00E25AE7" w:rsidP="00341018">
      <w:pPr>
        <w:numPr>
          <w:ilvl w:val="1"/>
          <w:numId w:val="30"/>
        </w:numPr>
        <w:spacing w:before="120" w:after="0" w:line="360" w:lineRule="auto"/>
        <w:ind w:left="991" w:hanging="284"/>
        <w:jc w:val="both"/>
        <w:rPr>
          <w:rFonts w:ascii="David" w:hAnsi="David" w:cs="David"/>
          <w:sz w:val="24"/>
          <w:szCs w:val="24"/>
        </w:rPr>
      </w:pPr>
      <w:r w:rsidRPr="00F25744">
        <w:rPr>
          <w:rFonts w:ascii="David" w:hAnsi="David" w:cs="David" w:hint="cs"/>
          <w:sz w:val="24"/>
          <w:szCs w:val="24"/>
          <w:rtl/>
        </w:rPr>
        <w:t xml:space="preserve">כתיבת </w:t>
      </w:r>
      <w:r w:rsidRPr="00F25744">
        <w:rPr>
          <w:rFonts w:ascii="David" w:hAnsi="David" w:cs="David" w:hint="cs"/>
          <w:b/>
          <w:bCs/>
          <w:sz w:val="24"/>
          <w:szCs w:val="24"/>
          <w:rtl/>
        </w:rPr>
        <w:t>עמוד אחד</w:t>
      </w:r>
      <w:r w:rsidRPr="00F25744">
        <w:rPr>
          <w:rFonts w:ascii="David" w:hAnsi="David" w:cs="David" w:hint="cs"/>
          <w:sz w:val="24"/>
          <w:szCs w:val="24"/>
          <w:rtl/>
        </w:rPr>
        <w:t xml:space="preserve"> של </w:t>
      </w:r>
      <w:r w:rsidRPr="00F25744">
        <w:rPr>
          <w:rFonts w:ascii="David" w:hAnsi="David" w:cs="David" w:hint="cs"/>
          <w:b/>
          <w:bCs/>
          <w:sz w:val="24"/>
          <w:szCs w:val="24"/>
          <w:rtl/>
        </w:rPr>
        <w:t>פסק דין מנומק</w:t>
      </w:r>
      <w:r w:rsidRPr="00F25744">
        <w:rPr>
          <w:rFonts w:ascii="David" w:hAnsi="David" w:cs="David" w:hint="cs"/>
          <w:sz w:val="24"/>
          <w:szCs w:val="24"/>
          <w:rtl/>
        </w:rPr>
        <w:t xml:space="preserve"> במסמך עצמאי (ללא הסכמות הצדדים)</w:t>
      </w:r>
      <w:r w:rsidRPr="00F25744">
        <w:rPr>
          <w:rFonts w:ascii="David" w:hAnsi="David" w:cs="David"/>
          <w:sz w:val="24"/>
          <w:szCs w:val="24"/>
          <w:rtl/>
        </w:rPr>
        <w:t xml:space="preserve"> </w:t>
      </w:r>
      <w:r w:rsidRPr="00F25744">
        <w:rPr>
          <w:rFonts w:ascii="David" w:hAnsi="David" w:cs="David" w:hint="cs"/>
          <w:sz w:val="24"/>
          <w:szCs w:val="24"/>
          <w:rtl/>
        </w:rPr>
        <w:t>[</w:t>
      </w:r>
      <w:r w:rsidRPr="00F25744">
        <w:rPr>
          <w:rFonts w:ascii="David" w:hAnsi="David" w:cs="David"/>
          <w:sz w:val="24"/>
          <w:szCs w:val="24"/>
          <w:rtl/>
        </w:rPr>
        <w:t>עד</w:t>
      </w:r>
      <w:r w:rsidRPr="00F25744">
        <w:rPr>
          <w:rFonts w:ascii="David" w:hAnsi="David" w:cs="David" w:hint="cs"/>
          <w:sz w:val="24"/>
          <w:szCs w:val="24"/>
          <w:rtl/>
        </w:rPr>
        <w:t xml:space="preserve"> 5 דקות</w:t>
      </w:r>
      <w:r w:rsidRPr="00F25744">
        <w:rPr>
          <w:rFonts w:ascii="David" w:hAnsi="David" w:cs="David"/>
          <w:sz w:val="24"/>
          <w:szCs w:val="24"/>
          <w:rtl/>
        </w:rPr>
        <w:t>,</w:t>
      </w:r>
      <w:r w:rsidRPr="00F25744">
        <w:rPr>
          <w:rFonts w:ascii="David" w:hAnsi="David" w:cs="David" w:hint="cs"/>
          <w:sz w:val="24"/>
          <w:szCs w:val="24"/>
          <w:rtl/>
        </w:rPr>
        <w:t xml:space="preserve"> 5-10 דקות</w:t>
      </w:r>
      <w:r w:rsidRPr="00F25744">
        <w:rPr>
          <w:rFonts w:ascii="David" w:hAnsi="David" w:cs="David"/>
          <w:sz w:val="24"/>
          <w:szCs w:val="24"/>
          <w:rtl/>
        </w:rPr>
        <w:t>,</w:t>
      </w:r>
      <w:r w:rsidRPr="00F25744">
        <w:rPr>
          <w:rFonts w:ascii="David" w:hAnsi="David" w:cs="David" w:hint="cs"/>
          <w:sz w:val="24"/>
          <w:szCs w:val="24"/>
          <w:rtl/>
        </w:rPr>
        <w:t xml:space="preserve"> 10-15 דקות</w:t>
      </w:r>
      <w:r w:rsidRPr="00F25744">
        <w:rPr>
          <w:rFonts w:ascii="David" w:hAnsi="David" w:cs="David"/>
          <w:sz w:val="24"/>
          <w:szCs w:val="24"/>
          <w:rtl/>
        </w:rPr>
        <w:t>,</w:t>
      </w:r>
      <w:r w:rsidRPr="00F25744">
        <w:rPr>
          <w:rFonts w:ascii="David" w:hAnsi="David" w:cs="David" w:hint="cs"/>
          <w:sz w:val="24"/>
          <w:szCs w:val="24"/>
          <w:rtl/>
        </w:rPr>
        <w:t xml:space="preserve"> 15-20 דקות</w:t>
      </w:r>
      <w:r w:rsidRPr="00F25744">
        <w:rPr>
          <w:rFonts w:ascii="David" w:hAnsi="David" w:cs="David"/>
          <w:sz w:val="24"/>
          <w:szCs w:val="24"/>
          <w:rtl/>
        </w:rPr>
        <w:t>,</w:t>
      </w:r>
      <w:r w:rsidRPr="00F25744">
        <w:rPr>
          <w:rFonts w:ascii="David" w:hAnsi="David" w:cs="David" w:hint="cs"/>
          <w:sz w:val="24"/>
          <w:szCs w:val="24"/>
          <w:rtl/>
        </w:rPr>
        <w:t xml:space="preserve"> 20-25 דקות</w:t>
      </w:r>
      <w:r w:rsidRPr="00F25744">
        <w:rPr>
          <w:rFonts w:ascii="David" w:hAnsi="David" w:cs="David"/>
          <w:sz w:val="24"/>
          <w:szCs w:val="24"/>
          <w:rtl/>
        </w:rPr>
        <w:t>,</w:t>
      </w:r>
      <w:r w:rsidRPr="00F25744">
        <w:rPr>
          <w:rFonts w:ascii="David" w:hAnsi="David" w:cs="David" w:hint="cs"/>
          <w:sz w:val="24"/>
          <w:szCs w:val="24"/>
          <w:rtl/>
        </w:rPr>
        <w:t xml:space="preserve"> 25-30 דקות</w:t>
      </w:r>
      <w:r w:rsidRPr="00F25744">
        <w:rPr>
          <w:rFonts w:ascii="David" w:hAnsi="David" w:cs="David"/>
          <w:sz w:val="24"/>
          <w:szCs w:val="24"/>
          <w:rtl/>
        </w:rPr>
        <w:t xml:space="preserve">, </w:t>
      </w:r>
      <w:r w:rsidRPr="00F25744">
        <w:rPr>
          <w:rFonts w:ascii="David" w:hAnsi="David" w:cs="David" w:hint="cs"/>
          <w:sz w:val="24"/>
          <w:szCs w:val="24"/>
          <w:rtl/>
        </w:rPr>
        <w:t xml:space="preserve">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46F9B5F7"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ת"כ</w:t>
      </w:r>
      <w:r w:rsidRPr="00F25744">
        <w:rPr>
          <w:rFonts w:ascii="David" w:hAnsi="David" w:cs="David" w:hint="cs"/>
          <w:sz w:val="24"/>
          <w:szCs w:val="24"/>
          <w:rtl/>
        </w:rPr>
        <w:t xml:space="preserve">, כמה עמודים בממוצע אורכת להערכתך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במסמך עצמאי (לרבות החלטה לאחר סגירה)? [עמוד 1, 2 עמודים, 3 עמודים, 4 עמודים, 5 עמודים, אם מעל 5 עמודים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74C6A4B6"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ע"ו</w:t>
      </w:r>
      <w:r w:rsidRPr="00F25744">
        <w:rPr>
          <w:rFonts w:ascii="David" w:hAnsi="David" w:cs="David" w:hint="cs"/>
          <w:sz w:val="24"/>
          <w:szCs w:val="24"/>
          <w:rtl/>
        </w:rPr>
        <w:t xml:space="preserve">, כמה זמן בממוצע לוקח לך להערכתך לכתוב </w:t>
      </w:r>
      <w:r w:rsidRPr="00F25744">
        <w:rPr>
          <w:rFonts w:ascii="David" w:hAnsi="David" w:cs="David" w:hint="cs"/>
          <w:b/>
          <w:bCs/>
          <w:sz w:val="24"/>
          <w:szCs w:val="24"/>
          <w:rtl/>
        </w:rPr>
        <w:t>עמוד אחד</w:t>
      </w:r>
      <w:r w:rsidRPr="00F25744">
        <w:rPr>
          <w:rFonts w:ascii="David" w:hAnsi="David" w:cs="David" w:hint="cs"/>
          <w:sz w:val="24"/>
          <w:szCs w:val="24"/>
          <w:rtl/>
        </w:rPr>
        <w:t xml:space="preserve"> של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שניתנת במסמך עצמאי (לרבות החלטה לאחר סגירה)?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w:t>
      </w:r>
      <w:r w:rsidRPr="00F25744">
        <w:rPr>
          <w:rFonts w:ascii="David" w:hAnsi="David" w:cs="David" w:hint="cs"/>
          <w:sz w:val="24"/>
          <w:szCs w:val="24"/>
          <w:rtl/>
        </w:rPr>
        <w:lastRenderedPageBreak/>
        <w:t>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03A9CE1C"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ע"א-אב בי"ד</w:t>
      </w:r>
      <w:r w:rsidRPr="00F25744">
        <w:rPr>
          <w:rFonts w:ascii="David" w:hAnsi="David" w:cs="David" w:hint="cs"/>
          <w:sz w:val="24"/>
          <w:szCs w:val="24"/>
          <w:rtl/>
        </w:rPr>
        <w:t xml:space="preserve">, כמה זמן בממוצע לוקח לך להערכתך לכתוב </w:t>
      </w:r>
      <w:r w:rsidRPr="00F25744">
        <w:rPr>
          <w:rFonts w:ascii="David" w:hAnsi="David" w:cs="David" w:hint="cs"/>
          <w:b/>
          <w:bCs/>
          <w:sz w:val="24"/>
          <w:szCs w:val="24"/>
          <w:rtl/>
        </w:rPr>
        <w:t>עמוד אחד</w:t>
      </w:r>
      <w:r w:rsidRPr="00F25744">
        <w:rPr>
          <w:rFonts w:ascii="David" w:hAnsi="David" w:cs="David" w:hint="cs"/>
          <w:sz w:val="24"/>
          <w:szCs w:val="24"/>
          <w:rtl/>
        </w:rPr>
        <w:t xml:space="preserve"> של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שניתנת במסמך עצמאי (לרבות החלטה לאחר סגירה)?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2454C28B"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עת"א-דן יחיד</w:t>
      </w:r>
      <w:r w:rsidRPr="00F25744">
        <w:rPr>
          <w:rFonts w:ascii="David" w:hAnsi="David" w:cs="David" w:hint="cs"/>
          <w:sz w:val="24"/>
          <w:szCs w:val="24"/>
          <w:rtl/>
        </w:rPr>
        <w:t>, כמה זמן בממוצע לוקח לך להערכתך לכתוב</w:t>
      </w:r>
      <w:r w:rsidRPr="00F25744">
        <w:rPr>
          <w:rFonts w:ascii="David" w:hAnsi="David" w:cs="David" w:hint="cs"/>
          <w:b/>
          <w:bCs/>
          <w:sz w:val="24"/>
          <w:szCs w:val="24"/>
          <w:rtl/>
        </w:rPr>
        <w:t xml:space="preserve"> עמוד אחד</w:t>
      </w:r>
      <w:r w:rsidRPr="00F25744">
        <w:rPr>
          <w:rFonts w:ascii="David" w:hAnsi="David" w:cs="David" w:hint="cs"/>
          <w:sz w:val="24"/>
          <w:szCs w:val="24"/>
          <w:rtl/>
        </w:rPr>
        <w:t xml:space="preserve"> של </w:t>
      </w:r>
      <w:r w:rsidRPr="00F25744">
        <w:rPr>
          <w:rFonts w:ascii="David" w:hAnsi="David" w:cs="David" w:hint="cs"/>
          <w:b/>
          <w:bCs/>
          <w:sz w:val="24"/>
          <w:szCs w:val="24"/>
          <w:rtl/>
        </w:rPr>
        <w:t>פסק דין מנומק</w:t>
      </w:r>
      <w:r w:rsidRPr="00F25744">
        <w:rPr>
          <w:rFonts w:ascii="David" w:hAnsi="David" w:cs="David"/>
          <w:b/>
          <w:bCs/>
          <w:sz w:val="24"/>
          <w:szCs w:val="24"/>
        </w:rPr>
        <w:t xml:space="preserve"> </w:t>
      </w:r>
      <w:r w:rsidRPr="00F25744">
        <w:rPr>
          <w:rFonts w:ascii="David" w:hAnsi="David" w:cs="David" w:hint="cs"/>
          <w:sz w:val="24"/>
          <w:szCs w:val="24"/>
          <w:rtl/>
        </w:rPr>
        <w:t xml:space="preserve">(ללא הסכמות הצדדים) שניתן מחוץ לאולם (לרבות טיוטה שנכתבה לפני הדיון והוקראה באולם)? [עד 5 דקות, 5-10 דקות, 10-15 דקות, 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62B81514"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עת"א-חבר הרכב</w:t>
      </w:r>
      <w:r w:rsidRPr="00F25744">
        <w:rPr>
          <w:rFonts w:ascii="David" w:hAnsi="David" w:cs="David" w:hint="cs"/>
          <w:sz w:val="24"/>
          <w:szCs w:val="24"/>
          <w:rtl/>
        </w:rPr>
        <w:t xml:space="preserve">, כמה זמן לוקח לך להערכתך לכתוב </w:t>
      </w:r>
      <w:r w:rsidRPr="00F25744">
        <w:rPr>
          <w:rFonts w:ascii="David" w:hAnsi="David" w:cs="David" w:hint="cs"/>
          <w:b/>
          <w:bCs/>
          <w:sz w:val="24"/>
          <w:szCs w:val="24"/>
          <w:rtl/>
        </w:rPr>
        <w:t>עמוד אחד</w:t>
      </w:r>
      <w:r w:rsidRPr="00F25744">
        <w:rPr>
          <w:rFonts w:ascii="David" w:hAnsi="David" w:cs="David" w:hint="cs"/>
          <w:sz w:val="24"/>
          <w:szCs w:val="24"/>
          <w:rtl/>
        </w:rPr>
        <w:t xml:space="preserve"> מהמסמכים הבאים:</w:t>
      </w:r>
    </w:p>
    <w:p w14:paraId="4B0D7E27" w14:textId="77777777" w:rsidR="005E4C22" w:rsidRPr="00F25744" w:rsidRDefault="00E25AE7" w:rsidP="00341018">
      <w:pPr>
        <w:numPr>
          <w:ilvl w:val="1"/>
          <w:numId w:val="30"/>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t>החלטת ביניים</w:t>
      </w:r>
      <w:r w:rsidRPr="00F25744">
        <w:rPr>
          <w:rFonts w:ascii="David" w:hAnsi="David" w:cs="David" w:hint="cs"/>
          <w:sz w:val="24"/>
          <w:szCs w:val="24"/>
          <w:rtl/>
        </w:rPr>
        <w:t xml:space="preserve"> שניתנת במסמך עצמאי (לרבות החלטה לאחר סגירה)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5FAD687F" w14:textId="77777777" w:rsidR="005E4C22" w:rsidRPr="00F25744" w:rsidRDefault="00E25AE7" w:rsidP="00341018">
      <w:pPr>
        <w:numPr>
          <w:ilvl w:val="1"/>
          <w:numId w:val="30"/>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t>פסק דין מנומק</w:t>
      </w:r>
      <w:r w:rsidRPr="00F25744">
        <w:rPr>
          <w:rFonts w:ascii="David" w:hAnsi="David" w:cs="David"/>
          <w:b/>
          <w:bCs/>
          <w:sz w:val="24"/>
          <w:szCs w:val="24"/>
        </w:rPr>
        <w:t xml:space="preserve"> </w:t>
      </w:r>
      <w:r w:rsidRPr="00F25744">
        <w:rPr>
          <w:rFonts w:ascii="David" w:hAnsi="David" w:cs="David" w:hint="cs"/>
          <w:sz w:val="24"/>
          <w:szCs w:val="24"/>
          <w:rtl/>
        </w:rPr>
        <w:t xml:space="preserve">(ללא הסכמות הצדדים) שניתן מחוץ לאולם (לרבות טיוטה שנכתבה לפני הדיון והוקראה באולם) [עד 5 דקות, 5-10 דקות, 10-15 דקות, 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1A8EB12C"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עת"א-אב בי"ד</w:t>
      </w:r>
      <w:r w:rsidRPr="00F25744">
        <w:rPr>
          <w:rFonts w:ascii="David" w:hAnsi="David" w:cs="David" w:hint="cs"/>
          <w:sz w:val="24"/>
          <w:szCs w:val="24"/>
          <w:rtl/>
        </w:rPr>
        <w:t xml:space="preserve">, כמה זמן לוקח לך להערכתך לכתוב </w:t>
      </w:r>
      <w:r w:rsidRPr="00F25744">
        <w:rPr>
          <w:rFonts w:ascii="David" w:hAnsi="David" w:cs="David" w:hint="cs"/>
          <w:b/>
          <w:bCs/>
          <w:sz w:val="24"/>
          <w:szCs w:val="24"/>
          <w:rtl/>
        </w:rPr>
        <w:t>עמוד אחד</w:t>
      </w:r>
      <w:r w:rsidRPr="00F25744">
        <w:rPr>
          <w:rFonts w:ascii="David" w:hAnsi="David" w:cs="David" w:hint="cs"/>
          <w:sz w:val="24"/>
          <w:szCs w:val="24"/>
          <w:rtl/>
        </w:rPr>
        <w:t xml:space="preserve"> מהמסמכים הבאים:</w:t>
      </w:r>
    </w:p>
    <w:p w14:paraId="6F2FA113" w14:textId="77777777" w:rsidR="005E4C22" w:rsidRPr="00F25744" w:rsidRDefault="00E25AE7" w:rsidP="00341018">
      <w:pPr>
        <w:numPr>
          <w:ilvl w:val="1"/>
          <w:numId w:val="30"/>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t>החלטת ביניים</w:t>
      </w:r>
      <w:r w:rsidRPr="00F25744">
        <w:rPr>
          <w:rFonts w:ascii="David" w:hAnsi="David" w:cs="David" w:hint="cs"/>
          <w:sz w:val="24"/>
          <w:szCs w:val="24"/>
          <w:rtl/>
        </w:rPr>
        <w:t xml:space="preserve"> שניתנת במסמך עצמאי (לרבות החלטה לאחר סגירה)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114349AB" w14:textId="77777777" w:rsidR="005E4C22" w:rsidRPr="00F25744" w:rsidRDefault="00E25AE7" w:rsidP="00341018">
      <w:pPr>
        <w:numPr>
          <w:ilvl w:val="1"/>
          <w:numId w:val="30"/>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t>פסק דין מנומק</w:t>
      </w:r>
      <w:r w:rsidRPr="00F25744">
        <w:rPr>
          <w:rFonts w:ascii="David" w:hAnsi="David" w:cs="David"/>
          <w:b/>
          <w:bCs/>
          <w:sz w:val="24"/>
          <w:szCs w:val="24"/>
        </w:rPr>
        <w:t xml:space="preserve"> </w:t>
      </w:r>
      <w:r w:rsidRPr="00F25744">
        <w:rPr>
          <w:rFonts w:ascii="David" w:hAnsi="David" w:cs="David" w:hint="cs"/>
          <w:sz w:val="24"/>
          <w:szCs w:val="24"/>
          <w:rtl/>
        </w:rPr>
        <w:t xml:space="preserve">(ללא הסכמות הצדדים) שניתן מחוץ לאולם (לרבות טיוטה שנכתבה לפני הדיון והוקראה באולם)  [עד 5 דקות, 5-10 דקות, 10-15 דקות, 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5D6DF106"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בתיק מסוג</w:t>
      </w:r>
      <w:r w:rsidRPr="00F25744">
        <w:rPr>
          <w:rFonts w:ascii="David" w:hAnsi="David" w:cs="David" w:hint="cs"/>
          <w:b/>
          <w:bCs/>
          <w:sz w:val="24"/>
          <w:szCs w:val="24"/>
          <w:rtl/>
        </w:rPr>
        <w:t xml:space="preserve"> </w:t>
      </w:r>
      <w:r w:rsidRPr="00F25744">
        <w:rPr>
          <w:rFonts w:ascii="David" w:hAnsi="David" w:cs="David" w:hint="cs"/>
          <w:b/>
          <w:bCs/>
          <w:sz w:val="24"/>
          <w:szCs w:val="24"/>
          <w:u w:val="single"/>
          <w:rtl/>
        </w:rPr>
        <w:t>ת"א</w:t>
      </w:r>
      <w:r w:rsidRPr="00F25744">
        <w:rPr>
          <w:rFonts w:ascii="David" w:hAnsi="David" w:cs="David" w:hint="cs"/>
          <w:b/>
          <w:bCs/>
          <w:sz w:val="24"/>
          <w:szCs w:val="24"/>
          <w:rtl/>
        </w:rPr>
        <w:t xml:space="preserve">, </w:t>
      </w:r>
      <w:r w:rsidRPr="00F25744">
        <w:rPr>
          <w:rFonts w:ascii="David" w:hAnsi="David" w:cs="David" w:hint="cs"/>
          <w:sz w:val="24"/>
          <w:szCs w:val="24"/>
          <w:rtl/>
        </w:rPr>
        <w:t xml:space="preserve">כמה זמן בממוצע לוקח לך להערכתך לכתוב </w:t>
      </w:r>
      <w:r w:rsidRPr="00F25744">
        <w:rPr>
          <w:rFonts w:ascii="David" w:hAnsi="David" w:cs="David" w:hint="cs"/>
          <w:b/>
          <w:bCs/>
          <w:sz w:val="24"/>
          <w:szCs w:val="24"/>
          <w:rtl/>
        </w:rPr>
        <w:t>עמוד אחד</w:t>
      </w:r>
      <w:r w:rsidRPr="00F25744">
        <w:rPr>
          <w:rFonts w:ascii="David" w:hAnsi="David" w:cs="David" w:hint="cs"/>
          <w:sz w:val="24"/>
          <w:szCs w:val="24"/>
          <w:rtl/>
        </w:rPr>
        <w:t xml:space="preserve"> של פסק דין שניתן מחוץ לאולם מכוח </w:t>
      </w:r>
      <w:r w:rsidRPr="00F25744">
        <w:rPr>
          <w:rFonts w:ascii="David" w:hAnsi="David" w:cs="David" w:hint="cs"/>
          <w:b/>
          <w:bCs/>
          <w:sz w:val="24"/>
          <w:szCs w:val="24"/>
          <w:rtl/>
        </w:rPr>
        <w:t>ס' 79א</w:t>
      </w:r>
      <w:r w:rsidRPr="00F25744">
        <w:rPr>
          <w:rFonts w:ascii="David" w:hAnsi="David" w:cs="David" w:hint="cs"/>
          <w:sz w:val="24"/>
          <w:szCs w:val="24"/>
          <w:rtl/>
        </w:rPr>
        <w:t xml:space="preserve">' לחוק בתיהמ"ש, בכל אחד </w:t>
      </w:r>
      <w:r w:rsidRPr="00F25744">
        <w:rPr>
          <w:rFonts w:ascii="David" w:hAnsi="David" w:cs="David" w:hint="cs"/>
          <w:b/>
          <w:bCs/>
          <w:sz w:val="24"/>
          <w:szCs w:val="24"/>
          <w:rtl/>
        </w:rPr>
        <w:t>מסוגי העניין</w:t>
      </w:r>
      <w:r w:rsidRPr="00F25744">
        <w:rPr>
          <w:rFonts w:ascii="David" w:hAnsi="David" w:cs="David" w:hint="cs"/>
          <w:sz w:val="24"/>
          <w:szCs w:val="24"/>
          <w:rtl/>
        </w:rPr>
        <w:t xml:space="preserve"> הבאים:</w:t>
      </w:r>
    </w:p>
    <w:p w14:paraId="5DC44D18" w14:textId="77777777" w:rsidR="005E4C22" w:rsidRPr="00F25744" w:rsidRDefault="00E25AE7" w:rsidP="00341018">
      <w:pPr>
        <w:numPr>
          <w:ilvl w:val="1"/>
          <w:numId w:val="30"/>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t>ת"א-תקנה 3 (אגרות)</w:t>
      </w:r>
      <w:r w:rsidRPr="00F25744">
        <w:rPr>
          <w:rFonts w:ascii="David" w:hAnsi="David" w:cs="David"/>
          <w:sz w:val="24"/>
          <w:szCs w:val="24"/>
          <w:rtl/>
        </w:rPr>
        <w:t xml:space="preserve"> [עד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4ECE6A5C" w14:textId="77777777" w:rsidR="005E4C22" w:rsidRPr="00F25744" w:rsidRDefault="00E25AE7" w:rsidP="00341018">
      <w:pPr>
        <w:numPr>
          <w:ilvl w:val="1"/>
          <w:numId w:val="30"/>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t>ת"א-תביעה כספית</w:t>
      </w:r>
      <w:r w:rsidRPr="00F25744">
        <w:rPr>
          <w:rFonts w:ascii="David" w:hAnsi="David" w:cs="David" w:hint="cs"/>
          <w:sz w:val="24"/>
          <w:szCs w:val="24"/>
          <w:rtl/>
        </w:rPr>
        <w:t xml:space="preserve">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5FD320B0" w14:textId="77777777" w:rsidR="005E4C22" w:rsidRPr="00F25744" w:rsidRDefault="00E25AE7" w:rsidP="00341018">
      <w:pPr>
        <w:numPr>
          <w:ilvl w:val="1"/>
          <w:numId w:val="30"/>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lastRenderedPageBreak/>
        <w:t>ת"א-מקרקעין</w:t>
      </w:r>
      <w:r w:rsidRPr="00F25744">
        <w:rPr>
          <w:rFonts w:ascii="David" w:hAnsi="David" w:cs="David" w:hint="cs"/>
          <w:sz w:val="24"/>
          <w:szCs w:val="24"/>
          <w:rtl/>
        </w:rPr>
        <w:t xml:space="preserve">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4199F4E7" w14:textId="77777777" w:rsidR="005E4C22" w:rsidRPr="00F25744" w:rsidRDefault="00E25AE7" w:rsidP="00341018">
      <w:pPr>
        <w:numPr>
          <w:ilvl w:val="1"/>
          <w:numId w:val="30"/>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t xml:space="preserve">ת"א-נזקי גוף </w:t>
      </w:r>
      <w:r w:rsidRPr="00F25744">
        <w:rPr>
          <w:rFonts w:ascii="David" w:hAnsi="David" w:cs="David"/>
          <w:b/>
          <w:bCs/>
          <w:sz w:val="24"/>
          <w:szCs w:val="24"/>
          <w:rtl/>
        </w:rPr>
        <w:t>–</w:t>
      </w:r>
      <w:r w:rsidRPr="00F25744">
        <w:rPr>
          <w:rFonts w:ascii="David" w:hAnsi="David" w:cs="David" w:hint="cs"/>
          <w:b/>
          <w:bCs/>
          <w:sz w:val="24"/>
          <w:szCs w:val="24"/>
          <w:rtl/>
        </w:rPr>
        <w:t xml:space="preserve"> חבויות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4A550A26" w14:textId="77777777" w:rsidR="005E4C22" w:rsidRPr="00F25744" w:rsidRDefault="00E25AE7" w:rsidP="00341018">
      <w:pPr>
        <w:numPr>
          <w:ilvl w:val="1"/>
          <w:numId w:val="30"/>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t>ת"א-קניין רוחני</w:t>
      </w:r>
      <w:r w:rsidRPr="00F25744">
        <w:rPr>
          <w:rFonts w:ascii="David" w:hAnsi="David" w:cs="David" w:hint="cs"/>
          <w:sz w:val="24"/>
          <w:szCs w:val="24"/>
          <w:rtl/>
        </w:rPr>
        <w:t xml:space="preserve">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3B73318A" w14:textId="77777777" w:rsidR="005E4C22" w:rsidRPr="00F25744" w:rsidRDefault="00E25AE7" w:rsidP="00341018">
      <w:pPr>
        <w:numPr>
          <w:ilvl w:val="1"/>
          <w:numId w:val="30"/>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t xml:space="preserve">ת"א-נזיקין שאיננה נזקי גוף (לשון הרע/ שיבוב וביטוח)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4D405DE3" w14:textId="77777777" w:rsidR="005E4C22" w:rsidRPr="00F25744" w:rsidRDefault="00E25AE7" w:rsidP="00341018">
      <w:pPr>
        <w:numPr>
          <w:ilvl w:val="0"/>
          <w:numId w:val="36"/>
        </w:numPr>
        <w:spacing w:before="120" w:after="0" w:line="360" w:lineRule="auto"/>
        <w:jc w:val="both"/>
        <w:rPr>
          <w:rFonts w:ascii="David" w:hAnsi="David" w:cs="David"/>
          <w:sz w:val="24"/>
          <w:szCs w:val="24"/>
        </w:rPr>
      </w:pPr>
      <w:r w:rsidRPr="00F25744">
        <w:rPr>
          <w:rFonts w:ascii="David" w:hAnsi="David" w:cs="David" w:hint="cs"/>
          <w:b/>
          <w:bCs/>
          <w:sz w:val="24"/>
          <w:szCs w:val="24"/>
          <w:u w:val="single"/>
          <w:rtl/>
        </w:rPr>
        <w:t>היבטים נוספים של העומס</w:t>
      </w:r>
      <w:r w:rsidRPr="00F25744">
        <w:rPr>
          <w:rFonts w:ascii="David" w:hAnsi="David" w:cs="David" w:hint="cs"/>
          <w:sz w:val="24"/>
          <w:szCs w:val="24"/>
          <w:rtl/>
        </w:rPr>
        <w:t xml:space="preserve"> (ראו נספח ב1: כללי)</w:t>
      </w:r>
    </w:p>
    <w:p w14:paraId="395EB6BD" w14:textId="77777777" w:rsidR="005E4C22" w:rsidRPr="00F25744" w:rsidRDefault="00E25AE7" w:rsidP="00341018">
      <w:pPr>
        <w:numPr>
          <w:ilvl w:val="0"/>
          <w:numId w:val="36"/>
        </w:numPr>
        <w:spacing w:before="120" w:after="0" w:line="360" w:lineRule="auto"/>
        <w:jc w:val="both"/>
        <w:rPr>
          <w:rFonts w:ascii="David" w:hAnsi="David" w:cs="David"/>
          <w:sz w:val="24"/>
          <w:szCs w:val="24"/>
        </w:rPr>
      </w:pPr>
      <w:r w:rsidRPr="00F25744">
        <w:rPr>
          <w:rFonts w:ascii="David" w:hAnsi="David" w:cs="David" w:hint="cs"/>
          <w:b/>
          <w:bCs/>
          <w:sz w:val="24"/>
          <w:szCs w:val="24"/>
          <w:u w:val="single"/>
          <w:rtl/>
        </w:rPr>
        <w:t>עומס רגשי</w:t>
      </w:r>
      <w:r w:rsidRPr="00F25744">
        <w:rPr>
          <w:rFonts w:ascii="David" w:hAnsi="David" w:cs="David" w:hint="cs"/>
          <w:sz w:val="24"/>
          <w:szCs w:val="24"/>
          <w:rtl/>
        </w:rPr>
        <w:t xml:space="preserve"> (ראו נספח ב1: כללי)</w:t>
      </w:r>
    </w:p>
    <w:p w14:paraId="0195525F" w14:textId="77777777" w:rsidR="005E4C22" w:rsidRPr="00F25744" w:rsidRDefault="00E25AE7" w:rsidP="00341018">
      <w:pPr>
        <w:numPr>
          <w:ilvl w:val="0"/>
          <w:numId w:val="36"/>
        </w:numPr>
        <w:spacing w:before="120" w:after="0" w:line="360" w:lineRule="auto"/>
        <w:jc w:val="both"/>
        <w:rPr>
          <w:rFonts w:ascii="David" w:hAnsi="David" w:cs="David"/>
          <w:b/>
          <w:bCs/>
          <w:sz w:val="24"/>
          <w:szCs w:val="24"/>
          <w:u w:val="single"/>
        </w:rPr>
      </w:pPr>
      <w:r w:rsidRPr="00F25744">
        <w:rPr>
          <w:rFonts w:ascii="David" w:hAnsi="David" w:cs="David" w:hint="cs"/>
          <w:b/>
          <w:bCs/>
          <w:sz w:val="24"/>
          <w:szCs w:val="24"/>
          <w:u w:val="single"/>
          <w:rtl/>
        </w:rPr>
        <w:t xml:space="preserve">שאלות פתוחות </w:t>
      </w:r>
      <w:r w:rsidRPr="00F25744">
        <w:rPr>
          <w:rFonts w:ascii="David" w:hAnsi="David" w:cs="David" w:hint="cs"/>
          <w:sz w:val="24"/>
          <w:szCs w:val="24"/>
          <w:rtl/>
        </w:rPr>
        <w:t>(ראו נספח ב1: כללי)</w:t>
      </w:r>
      <w:r w:rsidRPr="00F25744">
        <w:rPr>
          <w:rFonts w:ascii="David" w:hAnsi="David" w:cs="David" w:hint="cs"/>
          <w:b/>
          <w:bCs/>
          <w:sz w:val="24"/>
          <w:szCs w:val="24"/>
          <w:u w:val="single"/>
          <w:rtl/>
        </w:rPr>
        <w:t xml:space="preserve"> </w:t>
      </w:r>
    </w:p>
    <w:p w14:paraId="5885B497" w14:textId="77777777" w:rsidR="005E4C22" w:rsidRPr="00F25744" w:rsidRDefault="005E4C22" w:rsidP="005E4C22">
      <w:pPr>
        <w:rPr>
          <w:rtl/>
        </w:rPr>
      </w:pPr>
    </w:p>
    <w:p w14:paraId="1C6DF9E6" w14:textId="6DCD6218" w:rsidR="0043255F" w:rsidRDefault="0043255F" w:rsidP="005E4C22">
      <w:pPr>
        <w:rPr>
          <w:rtl/>
        </w:rPr>
      </w:pPr>
    </w:p>
    <w:p w14:paraId="7B391878" w14:textId="1C4A9721" w:rsidR="00645866" w:rsidRDefault="00645866" w:rsidP="005E4C22">
      <w:pPr>
        <w:rPr>
          <w:rtl/>
        </w:rPr>
      </w:pPr>
    </w:p>
    <w:p w14:paraId="74949E82" w14:textId="421C674F" w:rsidR="00645866" w:rsidRDefault="00645866" w:rsidP="005E4C22">
      <w:pPr>
        <w:rPr>
          <w:rtl/>
        </w:rPr>
      </w:pPr>
    </w:p>
    <w:p w14:paraId="56B41219" w14:textId="69F3EEFF" w:rsidR="00645866" w:rsidRDefault="00645866" w:rsidP="005E4C22">
      <w:pPr>
        <w:rPr>
          <w:rtl/>
        </w:rPr>
      </w:pPr>
    </w:p>
    <w:p w14:paraId="4E249AB5" w14:textId="0C4D2EB1" w:rsidR="00645866" w:rsidRDefault="00645866" w:rsidP="005E4C22">
      <w:pPr>
        <w:rPr>
          <w:rtl/>
        </w:rPr>
      </w:pPr>
    </w:p>
    <w:p w14:paraId="0804EA3C" w14:textId="28FF0495" w:rsidR="00645866" w:rsidRDefault="00645866" w:rsidP="005E4C22">
      <w:pPr>
        <w:rPr>
          <w:rtl/>
        </w:rPr>
      </w:pPr>
    </w:p>
    <w:p w14:paraId="5A5FA244" w14:textId="77777777" w:rsidR="00645866" w:rsidRPr="00F25744" w:rsidRDefault="00645866" w:rsidP="005E4C22">
      <w:pPr>
        <w:rPr>
          <w:rtl/>
        </w:rPr>
      </w:pPr>
    </w:p>
    <w:p w14:paraId="2AD4ADF2" w14:textId="77777777" w:rsidR="00DB5BCC" w:rsidRDefault="00DB5BCC">
      <w:pPr>
        <w:bidi w:val="0"/>
        <w:spacing w:after="0" w:line="240" w:lineRule="auto"/>
        <w:rPr>
          <w:rFonts w:ascii="David" w:hAnsi="David" w:cs="David"/>
          <w:b/>
          <w:bCs/>
          <w:sz w:val="24"/>
          <w:szCs w:val="24"/>
          <w:rtl/>
        </w:rPr>
      </w:pPr>
      <w:bookmarkStart w:id="915" w:name="_Toc46412648"/>
      <w:bookmarkStart w:id="916" w:name="_Toc46416521"/>
      <w:bookmarkStart w:id="917" w:name="_Toc46694214"/>
      <w:bookmarkStart w:id="918" w:name="_Toc49352802"/>
      <w:bookmarkStart w:id="919" w:name="_Toc49429709"/>
      <w:bookmarkStart w:id="920" w:name="_Toc49435938"/>
      <w:bookmarkStart w:id="921" w:name="_Toc74751046"/>
      <w:r>
        <w:rPr>
          <w:rtl/>
        </w:rPr>
        <w:br w:type="page"/>
      </w:r>
    </w:p>
    <w:p w14:paraId="4218A0DB" w14:textId="1DB10334" w:rsidR="005E4C22" w:rsidRPr="00F25744" w:rsidRDefault="00E25AE7" w:rsidP="007A4292">
      <w:pPr>
        <w:pStyle w:val="3"/>
        <w:numPr>
          <w:ilvl w:val="0"/>
          <w:numId w:val="0"/>
        </w:numPr>
        <w:rPr>
          <w:rtl/>
        </w:rPr>
      </w:pPr>
      <w:r w:rsidRPr="00F25744">
        <w:rPr>
          <w:rFonts w:hint="cs"/>
          <w:rtl/>
        </w:rPr>
        <w:lastRenderedPageBreak/>
        <w:t>נספח ב</w:t>
      </w:r>
      <w:r w:rsidR="007A4292" w:rsidRPr="00F25744">
        <w:rPr>
          <w:rFonts w:hint="cs"/>
          <w:rtl/>
        </w:rPr>
        <w:t>4</w:t>
      </w:r>
      <w:r w:rsidRPr="00F25744">
        <w:rPr>
          <w:rFonts w:hint="cs"/>
          <w:rtl/>
        </w:rPr>
        <w:t>: ערכאת שלום פלילי</w:t>
      </w:r>
      <w:bookmarkEnd w:id="915"/>
      <w:bookmarkEnd w:id="916"/>
      <w:bookmarkEnd w:id="917"/>
      <w:bookmarkEnd w:id="918"/>
      <w:bookmarkEnd w:id="919"/>
      <w:bookmarkEnd w:id="920"/>
      <w:bookmarkEnd w:id="921"/>
    </w:p>
    <w:p w14:paraId="45DFC328" w14:textId="77777777" w:rsidR="005E4C22" w:rsidRPr="00F25744" w:rsidRDefault="00E25AE7" w:rsidP="005E4C22">
      <w:pPr>
        <w:spacing w:before="120" w:after="0" w:line="360" w:lineRule="auto"/>
        <w:jc w:val="center"/>
        <w:rPr>
          <w:rFonts w:ascii="David" w:hAnsi="David" w:cs="David"/>
          <w:b/>
          <w:bCs/>
          <w:sz w:val="30"/>
          <w:szCs w:val="30"/>
          <w:u w:val="single"/>
          <w:rtl/>
        </w:rPr>
      </w:pPr>
      <w:r w:rsidRPr="00F25744">
        <w:rPr>
          <w:rFonts w:ascii="David" w:hAnsi="David" w:cs="David"/>
          <w:b/>
          <w:bCs/>
          <w:sz w:val="30"/>
          <w:szCs w:val="30"/>
          <w:u w:val="single"/>
          <w:rtl/>
        </w:rPr>
        <w:t>שאלון מסכם</w:t>
      </w:r>
      <w:r w:rsidRPr="00F25744">
        <w:rPr>
          <w:rFonts w:ascii="David" w:hAnsi="David" w:cs="David" w:hint="cs"/>
          <w:b/>
          <w:bCs/>
          <w:sz w:val="30"/>
          <w:szCs w:val="30"/>
          <w:u w:val="single"/>
          <w:rtl/>
        </w:rPr>
        <w:t xml:space="preserve"> למחקר עומס העבודה השיפוטית בערכאת השלום - פלילי</w:t>
      </w:r>
    </w:p>
    <w:p w14:paraId="344EA7F4" w14:textId="77777777" w:rsidR="005E4C22" w:rsidRPr="00F25744" w:rsidRDefault="00E25AE7" w:rsidP="005E4C22">
      <w:pPr>
        <w:spacing w:before="120" w:after="0" w:line="360" w:lineRule="auto"/>
        <w:jc w:val="both"/>
        <w:rPr>
          <w:rFonts w:ascii="David" w:hAnsi="David" w:cs="David"/>
          <w:b/>
          <w:bCs/>
          <w:sz w:val="24"/>
          <w:szCs w:val="24"/>
          <w:rtl/>
        </w:rPr>
      </w:pPr>
      <w:r w:rsidRPr="00F25744">
        <w:rPr>
          <w:rFonts w:ascii="David" w:hAnsi="David" w:cs="David" w:hint="cs"/>
          <w:b/>
          <w:bCs/>
          <w:sz w:val="24"/>
          <w:szCs w:val="24"/>
          <w:rtl/>
        </w:rPr>
        <w:t>שופט/ת, רשם/מת מכובד/ת,</w:t>
      </w:r>
    </w:p>
    <w:p w14:paraId="488E0DFD" w14:textId="77777777" w:rsidR="005E4C22" w:rsidRPr="00F25744" w:rsidRDefault="00E25AE7" w:rsidP="005E4C22">
      <w:pPr>
        <w:spacing w:before="120" w:after="0" w:line="360" w:lineRule="auto"/>
        <w:jc w:val="both"/>
        <w:rPr>
          <w:rFonts w:ascii="David" w:hAnsi="David" w:cs="David"/>
          <w:sz w:val="24"/>
          <w:szCs w:val="24"/>
          <w:rtl/>
        </w:rPr>
      </w:pPr>
      <w:r w:rsidRPr="00F25744">
        <w:rPr>
          <w:rFonts w:ascii="David" w:hAnsi="David" w:cs="David" w:hint="cs"/>
          <w:sz w:val="24"/>
          <w:szCs w:val="24"/>
          <w:rtl/>
        </w:rPr>
        <w:t>לפניך שאלון חד פעמי שנועד לתקף ולסכם את מחקר עומס העבודה השיפוטית.</w:t>
      </w:r>
    </w:p>
    <w:p w14:paraId="0CBB6E4B" w14:textId="77777777" w:rsidR="005E4C22" w:rsidRPr="00F25744" w:rsidRDefault="00E25AE7" w:rsidP="005E4C22">
      <w:pPr>
        <w:spacing w:before="120" w:after="0" w:line="360" w:lineRule="auto"/>
        <w:jc w:val="both"/>
        <w:rPr>
          <w:rFonts w:ascii="David" w:hAnsi="David" w:cs="David"/>
          <w:sz w:val="24"/>
          <w:szCs w:val="24"/>
          <w:rtl/>
        </w:rPr>
      </w:pPr>
      <w:r w:rsidRPr="00F25744">
        <w:rPr>
          <w:rFonts w:ascii="David" w:hAnsi="David" w:cs="David" w:hint="cs"/>
          <w:sz w:val="24"/>
          <w:szCs w:val="24"/>
          <w:rtl/>
        </w:rPr>
        <w:t>המעבר בין המסכים מתבצע על ידי לחיצה על כפתור "הבא".</w:t>
      </w:r>
    </w:p>
    <w:p w14:paraId="0D82DC63" w14:textId="77777777" w:rsidR="005E4C22" w:rsidRPr="00F25744" w:rsidRDefault="00E25AE7" w:rsidP="005E4C22">
      <w:pPr>
        <w:spacing w:before="120" w:after="0" w:line="360" w:lineRule="auto"/>
        <w:jc w:val="both"/>
        <w:rPr>
          <w:rFonts w:ascii="David" w:hAnsi="David" w:cs="David"/>
          <w:sz w:val="24"/>
          <w:szCs w:val="24"/>
          <w:rtl/>
        </w:rPr>
      </w:pPr>
      <w:r w:rsidRPr="00F25744">
        <w:rPr>
          <w:rFonts w:ascii="David" w:hAnsi="David" w:cs="David" w:hint="cs"/>
          <w:sz w:val="24"/>
          <w:szCs w:val="24"/>
          <w:rtl/>
        </w:rPr>
        <w:t>אנא מלא/י את השאלון עד לשליחה הסופית של הנתונים באמצעות כפתור "שלח" וקבלת מסך "אישור".</w:t>
      </w:r>
    </w:p>
    <w:p w14:paraId="704D6AB9" w14:textId="77777777" w:rsidR="005E4C22" w:rsidRPr="00F25744" w:rsidRDefault="00E25AE7" w:rsidP="00341018">
      <w:pPr>
        <w:numPr>
          <w:ilvl w:val="0"/>
          <w:numId w:val="37"/>
        </w:numPr>
        <w:spacing w:before="120" w:after="0" w:line="240" w:lineRule="auto"/>
        <w:ind w:left="424" w:hanging="425"/>
        <w:rPr>
          <w:rFonts w:ascii="David" w:hAnsi="David" w:cs="David"/>
          <w:sz w:val="24"/>
          <w:szCs w:val="24"/>
          <w:rtl/>
        </w:rPr>
      </w:pPr>
      <w:r w:rsidRPr="00F25744">
        <w:rPr>
          <w:rFonts w:ascii="David" w:hAnsi="David" w:cs="David" w:hint="cs"/>
          <w:b/>
          <w:bCs/>
          <w:sz w:val="24"/>
          <w:szCs w:val="24"/>
          <w:rtl/>
        </w:rPr>
        <w:t xml:space="preserve">מחוז: </w:t>
      </w:r>
      <w:r w:rsidRPr="00F25744">
        <w:rPr>
          <w:rFonts w:ascii="David" w:hAnsi="David" w:cs="David" w:hint="cs"/>
          <w:sz w:val="24"/>
          <w:szCs w:val="24"/>
          <w:rtl/>
        </w:rPr>
        <w:t>................... (צפון/ חיפה/ מרכז/ תל אביב/ ירושלים/ דרום)</w:t>
      </w:r>
    </w:p>
    <w:p w14:paraId="65043437" w14:textId="77777777" w:rsidR="005E4C22" w:rsidRPr="00F25744" w:rsidRDefault="00E25AE7" w:rsidP="00341018">
      <w:pPr>
        <w:numPr>
          <w:ilvl w:val="0"/>
          <w:numId w:val="37"/>
        </w:numPr>
        <w:spacing w:before="120" w:after="0" w:line="240" w:lineRule="auto"/>
        <w:ind w:left="424" w:hanging="425"/>
        <w:rPr>
          <w:rFonts w:ascii="David" w:hAnsi="David" w:cs="David"/>
          <w:sz w:val="24"/>
          <w:szCs w:val="24"/>
          <w:rtl/>
        </w:rPr>
      </w:pPr>
      <w:r w:rsidRPr="00F25744">
        <w:rPr>
          <w:rFonts w:ascii="David" w:hAnsi="David" w:cs="David" w:hint="cs"/>
          <w:b/>
          <w:bCs/>
          <w:sz w:val="24"/>
          <w:szCs w:val="24"/>
          <w:rtl/>
        </w:rPr>
        <w:t>האם את/ה שופט/ת או רשם/מת?</w:t>
      </w:r>
      <w:r w:rsidRPr="00F25744">
        <w:rPr>
          <w:rFonts w:ascii="David" w:hAnsi="David" w:cs="David" w:hint="cs"/>
          <w:sz w:val="24"/>
          <w:szCs w:val="24"/>
          <w:rtl/>
        </w:rPr>
        <w:t xml:space="preserve"> (שופט/ת / רשם/מת)</w:t>
      </w:r>
    </w:p>
    <w:p w14:paraId="6D54094E" w14:textId="77777777" w:rsidR="005E4C22" w:rsidRPr="00F25744" w:rsidRDefault="00E25AE7" w:rsidP="00341018">
      <w:pPr>
        <w:numPr>
          <w:ilvl w:val="0"/>
          <w:numId w:val="37"/>
        </w:numPr>
        <w:spacing w:before="120" w:after="0" w:line="240" w:lineRule="auto"/>
        <w:ind w:left="424" w:hanging="425"/>
        <w:jc w:val="both"/>
        <w:rPr>
          <w:rFonts w:ascii="David" w:hAnsi="David" w:cs="David"/>
          <w:sz w:val="24"/>
          <w:szCs w:val="24"/>
        </w:rPr>
      </w:pPr>
      <w:r w:rsidRPr="00F25744">
        <w:rPr>
          <w:rFonts w:ascii="David" w:hAnsi="David" w:cs="David" w:hint="cs"/>
          <w:b/>
          <w:bCs/>
          <w:sz w:val="24"/>
          <w:szCs w:val="24"/>
          <w:rtl/>
        </w:rPr>
        <w:t xml:space="preserve">האם את/ה עוסק/ת בעיקר בתיקים אזרחיים/ פליליים? (אם את/ה עוסק/ת בשניהם, אנא בחר "פלילי") </w:t>
      </w:r>
      <w:r w:rsidRPr="00F25744">
        <w:rPr>
          <w:rFonts w:ascii="David" w:hAnsi="David" w:cs="David" w:hint="cs"/>
          <w:sz w:val="24"/>
          <w:szCs w:val="24"/>
          <w:rtl/>
        </w:rPr>
        <w:t>(אזרחי/ פלילי)</w:t>
      </w:r>
    </w:p>
    <w:p w14:paraId="4BF5E1AF" w14:textId="77777777" w:rsidR="005E4C22" w:rsidRPr="00F25744" w:rsidRDefault="00E25AE7" w:rsidP="00341018">
      <w:pPr>
        <w:numPr>
          <w:ilvl w:val="0"/>
          <w:numId w:val="37"/>
        </w:numPr>
        <w:spacing w:before="120" w:after="0" w:line="240" w:lineRule="auto"/>
        <w:ind w:left="424" w:hanging="425"/>
        <w:jc w:val="both"/>
        <w:rPr>
          <w:rFonts w:ascii="David" w:hAnsi="David" w:cs="David"/>
          <w:sz w:val="24"/>
          <w:szCs w:val="24"/>
        </w:rPr>
      </w:pPr>
      <w:r w:rsidRPr="00F25744">
        <w:rPr>
          <w:rFonts w:ascii="David" w:hAnsi="David" w:cs="David" w:hint="cs"/>
          <w:b/>
          <w:bCs/>
          <w:sz w:val="24"/>
          <w:szCs w:val="24"/>
          <w:rtl/>
        </w:rPr>
        <w:t xml:space="preserve">(לשופטים שבחרו באופציה "פלילי" בלבד) האם את/ה עוסק/ת </w:t>
      </w:r>
      <w:r w:rsidRPr="00F25744">
        <w:rPr>
          <w:rFonts w:ascii="David" w:hAnsi="David" w:cs="David" w:hint="cs"/>
          <w:b/>
          <w:bCs/>
          <w:sz w:val="24"/>
          <w:szCs w:val="24"/>
          <w:u w:val="single"/>
          <w:rtl/>
        </w:rPr>
        <w:t>בעיקר</w:t>
      </w:r>
      <w:r w:rsidRPr="00F25744">
        <w:rPr>
          <w:rFonts w:ascii="David" w:hAnsi="David" w:cs="David" w:hint="cs"/>
          <w:b/>
          <w:bCs/>
          <w:sz w:val="24"/>
          <w:szCs w:val="24"/>
          <w:rtl/>
        </w:rPr>
        <w:t xml:space="preserve"> בתיקי עמ"ק? כן</w:t>
      </w:r>
      <w:r w:rsidRPr="00F25744">
        <w:rPr>
          <w:rFonts w:ascii="David" w:hAnsi="David" w:cs="David" w:hint="cs"/>
          <w:sz w:val="24"/>
          <w:szCs w:val="24"/>
          <w:rtl/>
        </w:rPr>
        <w:t>/</w:t>
      </w:r>
      <w:r w:rsidRPr="00F25744">
        <w:rPr>
          <w:rFonts w:ascii="David" w:hAnsi="David" w:cs="David" w:hint="cs"/>
          <w:b/>
          <w:bCs/>
          <w:sz w:val="24"/>
          <w:szCs w:val="24"/>
          <w:rtl/>
        </w:rPr>
        <w:t xml:space="preserve">לא </w:t>
      </w:r>
      <w:r w:rsidRPr="00F25744">
        <w:rPr>
          <w:rFonts w:ascii="David" w:hAnsi="David" w:cs="David" w:hint="cs"/>
          <w:sz w:val="24"/>
          <w:szCs w:val="24"/>
          <w:rtl/>
        </w:rPr>
        <w:t xml:space="preserve"> </w:t>
      </w:r>
      <w:r w:rsidRPr="00F25744">
        <w:rPr>
          <w:rFonts w:ascii="David" w:hAnsi="David" w:cs="David" w:hint="cs"/>
          <w:b/>
          <w:bCs/>
          <w:sz w:val="24"/>
          <w:szCs w:val="24"/>
          <w:rtl/>
        </w:rPr>
        <w:t xml:space="preserve">(אם את/ה עוסק/ת בשניהם במידה שווה, אנא בחר "כן") </w:t>
      </w:r>
    </w:p>
    <w:p w14:paraId="32DFC33A" w14:textId="77777777" w:rsidR="005E4C22" w:rsidRPr="00F25744" w:rsidRDefault="005E4C22" w:rsidP="005E4C22">
      <w:pPr>
        <w:spacing w:before="120" w:after="0" w:line="240" w:lineRule="auto"/>
        <w:rPr>
          <w:rFonts w:ascii="David" w:hAnsi="David" w:cs="David"/>
          <w:b/>
          <w:bCs/>
          <w:sz w:val="30"/>
          <w:szCs w:val="30"/>
          <w:u w:val="single"/>
          <w:rtl/>
        </w:rPr>
      </w:pPr>
    </w:p>
    <w:p w14:paraId="4D515AF1" w14:textId="77777777" w:rsidR="005E4C22" w:rsidRPr="00F25744" w:rsidRDefault="00E25AE7" w:rsidP="00341018">
      <w:pPr>
        <w:numPr>
          <w:ilvl w:val="0"/>
          <w:numId w:val="39"/>
        </w:numPr>
        <w:spacing w:before="120" w:after="0" w:line="360" w:lineRule="auto"/>
        <w:jc w:val="both"/>
        <w:rPr>
          <w:rFonts w:ascii="David" w:hAnsi="David" w:cs="David"/>
          <w:b/>
          <w:bCs/>
          <w:sz w:val="24"/>
          <w:szCs w:val="24"/>
          <w:u w:val="single"/>
        </w:rPr>
      </w:pPr>
      <w:r w:rsidRPr="00F25744">
        <w:rPr>
          <w:rFonts w:ascii="David" w:hAnsi="David" w:cs="David" w:hint="cs"/>
          <w:b/>
          <w:bCs/>
          <w:sz w:val="24"/>
          <w:szCs w:val="24"/>
          <w:u w:val="single"/>
          <w:rtl/>
        </w:rPr>
        <w:t xml:space="preserve">דירוג סוגי התיקים </w:t>
      </w:r>
    </w:p>
    <w:p w14:paraId="451AA558" w14:textId="77777777" w:rsidR="005E4C22" w:rsidRPr="00F25744" w:rsidRDefault="00E25AE7" w:rsidP="00341018">
      <w:pPr>
        <w:numPr>
          <w:ilvl w:val="1"/>
          <w:numId w:val="39"/>
        </w:numPr>
        <w:spacing w:before="120" w:after="0" w:line="360" w:lineRule="auto"/>
        <w:jc w:val="both"/>
        <w:rPr>
          <w:rFonts w:ascii="David" w:hAnsi="David" w:cs="David"/>
          <w:sz w:val="24"/>
          <w:szCs w:val="24"/>
          <w:rtl/>
        </w:rPr>
      </w:pPr>
      <w:r w:rsidRPr="00F25744">
        <w:rPr>
          <w:rFonts w:ascii="David" w:hAnsi="David" w:cs="David" w:hint="cs"/>
          <w:sz w:val="24"/>
          <w:szCs w:val="24"/>
          <w:rtl/>
        </w:rPr>
        <w:t>פלילי/עמ"ק</w:t>
      </w:r>
    </w:p>
    <w:p w14:paraId="2A45F9FC" w14:textId="77777777" w:rsidR="005E4C22" w:rsidRPr="00F25744" w:rsidRDefault="00E25AE7" w:rsidP="005E4C22">
      <w:pPr>
        <w:spacing w:before="120" w:after="0" w:line="360" w:lineRule="auto"/>
        <w:ind w:left="360"/>
        <w:jc w:val="both"/>
        <w:rPr>
          <w:rFonts w:ascii="David" w:hAnsi="David" w:cs="David"/>
          <w:b/>
          <w:bCs/>
          <w:sz w:val="24"/>
          <w:szCs w:val="24"/>
          <w:u w:val="single"/>
          <w:rtl/>
        </w:rPr>
      </w:pPr>
      <w:r w:rsidRPr="00F25744">
        <w:rPr>
          <w:rFonts w:ascii="David" w:hAnsi="David" w:cs="David" w:hint="cs"/>
          <w:b/>
          <w:bCs/>
          <w:sz w:val="24"/>
          <w:szCs w:val="24"/>
          <w:u w:val="single"/>
          <w:rtl/>
        </w:rPr>
        <w:t>פלילי</w:t>
      </w:r>
    </w:p>
    <w:p w14:paraId="59940A4B" w14:textId="77777777" w:rsidR="005E4C22" w:rsidRPr="00F25744" w:rsidRDefault="00E25AE7" w:rsidP="005E4C22">
      <w:pPr>
        <w:spacing w:before="120" w:after="0" w:line="360" w:lineRule="auto"/>
        <w:ind w:left="360"/>
        <w:jc w:val="both"/>
        <w:rPr>
          <w:rFonts w:ascii="David" w:hAnsi="David" w:cs="David"/>
          <w:sz w:val="24"/>
          <w:szCs w:val="24"/>
        </w:rPr>
      </w:pPr>
      <w:r w:rsidRPr="00F25744">
        <w:rPr>
          <w:rFonts w:ascii="David" w:hAnsi="David" w:cs="David" w:hint="cs"/>
          <w:sz w:val="24"/>
          <w:szCs w:val="24"/>
          <w:rtl/>
        </w:rPr>
        <w:t>לפניך רשימה עדכנית של 18 סוגי תיקים של ערכאת השלום, אשר מהווים למעלה מ-99% מהתיקים המוגדרים כהליך פלילי במערכת נט המשפט לגבי ערכאת השלום (למעט תיקי עמ"ק), אשר נסגרו בשנת 2019, ואשר בין היתר ב</w:t>
      </w:r>
      <w:r w:rsidRPr="00F25744">
        <w:rPr>
          <w:rFonts w:ascii="David" w:hAnsi="David" w:cs="David"/>
          <w:sz w:val="24"/>
          <w:szCs w:val="24"/>
          <w:rtl/>
        </w:rPr>
        <w:t>עזרת תשובותיך לשאלון זה, נוכל לתת להם משקל מדויק במסגרת המחקר הנוכחי:</w:t>
      </w:r>
    </w:p>
    <w:p w14:paraId="1F5BBF9B" w14:textId="77777777" w:rsidR="005E4C22" w:rsidRPr="00F25744" w:rsidRDefault="00E25AE7" w:rsidP="005E4C22">
      <w:pPr>
        <w:spacing w:before="120" w:after="0" w:line="360" w:lineRule="auto"/>
        <w:ind w:left="935"/>
        <w:jc w:val="both"/>
        <w:rPr>
          <w:rFonts w:ascii="David" w:hAnsi="David" w:cs="David"/>
          <w:b/>
          <w:bCs/>
          <w:sz w:val="24"/>
          <w:szCs w:val="24"/>
          <w:rtl/>
        </w:rPr>
      </w:pPr>
      <w:r w:rsidRPr="00F25744">
        <w:rPr>
          <w:rFonts w:ascii="David" w:hAnsi="David" w:cs="David" w:hint="cs"/>
          <w:b/>
          <w:bCs/>
          <w:sz w:val="24"/>
          <w:szCs w:val="24"/>
          <w:rtl/>
        </w:rPr>
        <w:t>צ</w:t>
      </w:r>
      <w:r w:rsidRPr="00F25744">
        <w:rPr>
          <w:rFonts w:ascii="David" w:hAnsi="David" w:cs="David"/>
          <w:b/>
          <w:bCs/>
          <w:sz w:val="24"/>
          <w:szCs w:val="24"/>
          <w:rtl/>
        </w:rPr>
        <w:t>"א</w:t>
      </w:r>
      <w:r w:rsidRPr="00F25744">
        <w:rPr>
          <w:rFonts w:ascii="David" w:hAnsi="David" w:cs="David" w:hint="cs"/>
          <w:b/>
          <w:bCs/>
          <w:sz w:val="24"/>
          <w:szCs w:val="24"/>
          <w:rtl/>
        </w:rPr>
        <w:t xml:space="preserve">; </w:t>
      </w:r>
      <w:r w:rsidRPr="00F25744">
        <w:rPr>
          <w:rFonts w:ascii="David" w:hAnsi="David" w:cs="David"/>
          <w:b/>
          <w:bCs/>
          <w:sz w:val="24"/>
          <w:szCs w:val="24"/>
          <w:rtl/>
        </w:rPr>
        <w:t>צ"ח</w:t>
      </w:r>
      <w:r w:rsidRPr="00F25744">
        <w:rPr>
          <w:rFonts w:ascii="David" w:hAnsi="David" w:cs="David" w:hint="cs"/>
          <w:b/>
          <w:bCs/>
          <w:sz w:val="24"/>
          <w:szCs w:val="24"/>
          <w:rtl/>
        </w:rPr>
        <w:t xml:space="preserve">; </w:t>
      </w:r>
      <w:r w:rsidRPr="00F25744">
        <w:rPr>
          <w:rFonts w:ascii="David" w:hAnsi="David" w:cs="David"/>
          <w:b/>
          <w:bCs/>
          <w:sz w:val="24"/>
          <w:szCs w:val="24"/>
          <w:rtl/>
        </w:rPr>
        <w:t>ת"פ</w:t>
      </w:r>
      <w:r w:rsidRPr="00F25744">
        <w:rPr>
          <w:rFonts w:ascii="David" w:hAnsi="David" w:cs="David" w:hint="cs"/>
          <w:b/>
          <w:bCs/>
          <w:sz w:val="24"/>
          <w:szCs w:val="24"/>
          <w:rtl/>
        </w:rPr>
        <w:t xml:space="preserve">; </w:t>
      </w:r>
      <w:r w:rsidRPr="00F25744">
        <w:rPr>
          <w:rFonts w:ascii="David" w:hAnsi="David" w:cs="David"/>
          <w:b/>
          <w:bCs/>
          <w:sz w:val="24"/>
          <w:szCs w:val="24"/>
          <w:rtl/>
        </w:rPr>
        <w:t>מ"י</w:t>
      </w:r>
      <w:r w:rsidRPr="00F25744">
        <w:rPr>
          <w:rFonts w:ascii="David" w:hAnsi="David" w:cs="David" w:hint="cs"/>
          <w:b/>
          <w:bCs/>
          <w:sz w:val="24"/>
          <w:szCs w:val="24"/>
          <w:rtl/>
        </w:rPr>
        <w:t xml:space="preserve">; </w:t>
      </w:r>
      <w:r w:rsidRPr="00F25744">
        <w:rPr>
          <w:rFonts w:ascii="David" w:hAnsi="David" w:cs="David"/>
          <w:b/>
          <w:bCs/>
          <w:sz w:val="24"/>
          <w:szCs w:val="24"/>
          <w:rtl/>
        </w:rPr>
        <w:t>מי"ב</w:t>
      </w:r>
      <w:r w:rsidRPr="00F25744">
        <w:rPr>
          <w:rFonts w:ascii="David" w:hAnsi="David" w:cs="David" w:hint="cs"/>
          <w:b/>
          <w:bCs/>
          <w:sz w:val="24"/>
          <w:szCs w:val="24"/>
          <w:rtl/>
        </w:rPr>
        <w:t xml:space="preserve">; </w:t>
      </w:r>
      <w:r w:rsidRPr="00F25744">
        <w:rPr>
          <w:rFonts w:ascii="David" w:hAnsi="David" w:cs="David"/>
          <w:b/>
          <w:bCs/>
          <w:sz w:val="24"/>
          <w:szCs w:val="24"/>
          <w:rtl/>
        </w:rPr>
        <w:t>מ"ת</w:t>
      </w:r>
      <w:r w:rsidRPr="00F25744">
        <w:rPr>
          <w:rFonts w:ascii="David" w:hAnsi="David" w:cs="David" w:hint="cs"/>
          <w:b/>
          <w:bCs/>
          <w:sz w:val="24"/>
          <w:szCs w:val="24"/>
          <w:rtl/>
        </w:rPr>
        <w:t xml:space="preserve">; </w:t>
      </w:r>
      <w:r w:rsidRPr="00F25744">
        <w:rPr>
          <w:rFonts w:ascii="David" w:hAnsi="David" w:cs="David"/>
          <w:b/>
          <w:bCs/>
          <w:sz w:val="24"/>
          <w:szCs w:val="24"/>
          <w:rtl/>
        </w:rPr>
        <w:t>ה"ת</w:t>
      </w:r>
      <w:r w:rsidRPr="00F25744">
        <w:rPr>
          <w:rFonts w:ascii="David" w:hAnsi="David" w:cs="David" w:hint="cs"/>
          <w:b/>
          <w:bCs/>
          <w:sz w:val="24"/>
          <w:szCs w:val="24"/>
          <w:rtl/>
        </w:rPr>
        <w:t xml:space="preserve">; </w:t>
      </w:r>
      <w:r w:rsidRPr="00F25744">
        <w:rPr>
          <w:rFonts w:ascii="David" w:hAnsi="David" w:cs="David"/>
          <w:b/>
          <w:bCs/>
          <w:sz w:val="24"/>
          <w:szCs w:val="24"/>
          <w:rtl/>
        </w:rPr>
        <w:t>בש"ע</w:t>
      </w:r>
      <w:r w:rsidRPr="00F25744">
        <w:rPr>
          <w:rFonts w:ascii="David" w:hAnsi="David" w:cs="David" w:hint="cs"/>
          <w:b/>
          <w:bCs/>
          <w:sz w:val="24"/>
          <w:szCs w:val="24"/>
          <w:rtl/>
        </w:rPr>
        <w:t xml:space="preserve">; </w:t>
      </w:r>
      <w:r w:rsidRPr="00F25744">
        <w:rPr>
          <w:rFonts w:ascii="David" w:hAnsi="David" w:cs="David"/>
          <w:b/>
          <w:bCs/>
          <w:sz w:val="24"/>
          <w:szCs w:val="24"/>
          <w:rtl/>
        </w:rPr>
        <w:t>מק"מ</w:t>
      </w:r>
      <w:r w:rsidRPr="00F25744">
        <w:rPr>
          <w:rFonts w:ascii="David" w:hAnsi="David" w:cs="David" w:hint="cs"/>
          <w:b/>
          <w:bCs/>
          <w:sz w:val="24"/>
          <w:szCs w:val="24"/>
          <w:rtl/>
        </w:rPr>
        <w:t xml:space="preserve">; </w:t>
      </w:r>
      <w:r w:rsidRPr="00F25744">
        <w:rPr>
          <w:rFonts w:ascii="David" w:hAnsi="David" w:cs="David"/>
          <w:b/>
          <w:bCs/>
          <w:sz w:val="24"/>
          <w:szCs w:val="24"/>
          <w:rtl/>
        </w:rPr>
        <w:t>בע"ח</w:t>
      </w:r>
      <w:r w:rsidRPr="00F25744">
        <w:rPr>
          <w:rFonts w:ascii="David" w:hAnsi="David" w:cs="David" w:hint="cs"/>
          <w:b/>
          <w:bCs/>
          <w:sz w:val="24"/>
          <w:szCs w:val="24"/>
          <w:rtl/>
        </w:rPr>
        <w:t xml:space="preserve">; </w:t>
      </w:r>
      <w:r w:rsidRPr="00F25744">
        <w:rPr>
          <w:rFonts w:ascii="David" w:hAnsi="David" w:cs="David"/>
          <w:b/>
          <w:bCs/>
          <w:sz w:val="24"/>
          <w:szCs w:val="24"/>
          <w:rtl/>
        </w:rPr>
        <w:t>ע"ק</w:t>
      </w:r>
      <w:r w:rsidRPr="00F25744">
        <w:rPr>
          <w:rFonts w:ascii="David" w:hAnsi="David" w:cs="David" w:hint="cs"/>
          <w:b/>
          <w:bCs/>
          <w:sz w:val="24"/>
          <w:szCs w:val="24"/>
          <w:rtl/>
        </w:rPr>
        <w:t xml:space="preserve">; </w:t>
      </w:r>
      <w:r w:rsidRPr="00F25744">
        <w:rPr>
          <w:rFonts w:ascii="David" w:hAnsi="David" w:cs="David"/>
          <w:b/>
          <w:bCs/>
          <w:sz w:val="24"/>
          <w:szCs w:val="24"/>
          <w:rtl/>
        </w:rPr>
        <w:t>פ"ר</w:t>
      </w:r>
      <w:r w:rsidRPr="00F25744">
        <w:rPr>
          <w:rFonts w:ascii="David" w:hAnsi="David" w:cs="David" w:hint="cs"/>
          <w:b/>
          <w:bCs/>
          <w:sz w:val="24"/>
          <w:szCs w:val="24"/>
          <w:rtl/>
        </w:rPr>
        <w:t xml:space="preserve">; </w:t>
      </w:r>
      <w:r w:rsidRPr="00F25744">
        <w:rPr>
          <w:rFonts w:ascii="David" w:hAnsi="David" w:cs="David"/>
          <w:b/>
          <w:bCs/>
          <w:sz w:val="24"/>
          <w:szCs w:val="24"/>
          <w:rtl/>
        </w:rPr>
        <w:t>בצה"מ</w:t>
      </w:r>
      <w:r w:rsidRPr="00F25744">
        <w:rPr>
          <w:rFonts w:ascii="David" w:hAnsi="David" w:cs="David" w:hint="cs"/>
          <w:b/>
          <w:bCs/>
          <w:sz w:val="24"/>
          <w:szCs w:val="24"/>
          <w:rtl/>
        </w:rPr>
        <w:t xml:space="preserve">; </w:t>
      </w:r>
      <w:r w:rsidRPr="00F25744">
        <w:rPr>
          <w:rFonts w:ascii="David" w:hAnsi="David" w:cs="David"/>
          <w:b/>
          <w:bCs/>
          <w:sz w:val="24"/>
          <w:szCs w:val="24"/>
          <w:rtl/>
        </w:rPr>
        <w:t>תפ"ק</w:t>
      </w:r>
      <w:r w:rsidRPr="00F25744">
        <w:rPr>
          <w:rFonts w:ascii="David" w:hAnsi="David" w:cs="David" w:hint="cs"/>
          <w:b/>
          <w:bCs/>
          <w:sz w:val="24"/>
          <w:szCs w:val="24"/>
          <w:rtl/>
        </w:rPr>
        <w:t xml:space="preserve">; </w:t>
      </w:r>
      <w:r w:rsidRPr="00F25744">
        <w:rPr>
          <w:rFonts w:ascii="David" w:hAnsi="David" w:cs="David"/>
          <w:b/>
          <w:bCs/>
          <w:sz w:val="24"/>
          <w:szCs w:val="24"/>
          <w:rtl/>
        </w:rPr>
        <w:t>חס"מ</w:t>
      </w:r>
      <w:r w:rsidRPr="00F25744">
        <w:rPr>
          <w:rFonts w:ascii="David" w:hAnsi="David" w:cs="David" w:hint="cs"/>
          <w:b/>
          <w:bCs/>
          <w:sz w:val="24"/>
          <w:szCs w:val="24"/>
          <w:rtl/>
        </w:rPr>
        <w:t xml:space="preserve">; </w:t>
      </w:r>
      <w:r w:rsidRPr="00F25744">
        <w:rPr>
          <w:rFonts w:ascii="David" w:hAnsi="David" w:cs="David"/>
          <w:b/>
          <w:bCs/>
          <w:sz w:val="24"/>
          <w:szCs w:val="24"/>
          <w:rtl/>
        </w:rPr>
        <w:t>ג"פ</w:t>
      </w:r>
      <w:r w:rsidRPr="00F25744">
        <w:rPr>
          <w:rFonts w:ascii="David" w:hAnsi="David" w:cs="David" w:hint="cs"/>
          <w:b/>
          <w:bCs/>
          <w:sz w:val="24"/>
          <w:szCs w:val="24"/>
          <w:rtl/>
        </w:rPr>
        <w:t xml:space="preserve">; </w:t>
      </w:r>
      <w:r w:rsidRPr="00F25744">
        <w:rPr>
          <w:rFonts w:ascii="David" w:hAnsi="David" w:cs="David"/>
          <w:b/>
          <w:bCs/>
          <w:sz w:val="24"/>
          <w:szCs w:val="24"/>
          <w:rtl/>
        </w:rPr>
        <w:t>ק"פ</w:t>
      </w:r>
      <w:r w:rsidRPr="00F25744">
        <w:rPr>
          <w:rFonts w:ascii="David" w:hAnsi="David" w:cs="David" w:hint="cs"/>
          <w:b/>
          <w:bCs/>
          <w:sz w:val="24"/>
          <w:szCs w:val="24"/>
          <w:rtl/>
        </w:rPr>
        <w:t xml:space="preserve">; </w:t>
      </w:r>
      <w:r w:rsidRPr="00F25744">
        <w:rPr>
          <w:rFonts w:ascii="David" w:hAnsi="David" w:cs="David"/>
          <w:b/>
          <w:bCs/>
          <w:sz w:val="24"/>
          <w:szCs w:val="24"/>
          <w:rtl/>
        </w:rPr>
        <w:t>וש"ר</w:t>
      </w:r>
    </w:p>
    <w:p w14:paraId="1DD2676A" w14:textId="77777777" w:rsidR="005E4C22" w:rsidRPr="00F25744" w:rsidRDefault="00E25AE7" w:rsidP="005E4C22">
      <w:pPr>
        <w:spacing w:before="120" w:after="0" w:line="360" w:lineRule="auto"/>
        <w:ind w:left="360"/>
        <w:jc w:val="both"/>
        <w:rPr>
          <w:rFonts w:ascii="David" w:hAnsi="David" w:cs="David"/>
          <w:b/>
          <w:bCs/>
          <w:sz w:val="24"/>
          <w:szCs w:val="24"/>
          <w:u w:val="single"/>
          <w:rtl/>
        </w:rPr>
      </w:pPr>
      <w:r w:rsidRPr="00F25744">
        <w:rPr>
          <w:rFonts w:ascii="David" w:hAnsi="David" w:cs="David" w:hint="cs"/>
          <w:b/>
          <w:bCs/>
          <w:sz w:val="24"/>
          <w:szCs w:val="24"/>
          <w:u w:val="single"/>
          <w:rtl/>
        </w:rPr>
        <w:t>עמ"ק</w:t>
      </w:r>
    </w:p>
    <w:p w14:paraId="2BD619A3" w14:textId="77777777" w:rsidR="005E4C22" w:rsidRPr="00F25744" w:rsidRDefault="00E25AE7" w:rsidP="005E4C22">
      <w:pPr>
        <w:spacing w:before="120" w:after="0" w:line="360" w:lineRule="auto"/>
        <w:ind w:left="360"/>
        <w:jc w:val="both"/>
        <w:rPr>
          <w:rFonts w:ascii="David" w:hAnsi="David" w:cs="David"/>
          <w:sz w:val="24"/>
          <w:szCs w:val="24"/>
        </w:rPr>
      </w:pPr>
      <w:r w:rsidRPr="00F25744">
        <w:rPr>
          <w:rFonts w:ascii="David" w:hAnsi="David" w:cs="David" w:hint="cs"/>
          <w:sz w:val="24"/>
          <w:szCs w:val="24"/>
          <w:rtl/>
        </w:rPr>
        <w:t>לפניך רשימה עדכנית של 9 סוגי תיקים של ערכאת השלום, אשר מהווים למעלה מ-99% מהתיקים המוגדרים כתיקי</w:t>
      </w:r>
      <w:r w:rsidRPr="00F25744">
        <w:rPr>
          <w:rFonts w:ascii="David" w:hAnsi="David" w:cs="David" w:hint="cs"/>
          <w:b/>
          <w:bCs/>
          <w:sz w:val="24"/>
          <w:szCs w:val="24"/>
          <w:rtl/>
        </w:rPr>
        <w:t xml:space="preserve"> עמ"ק</w:t>
      </w:r>
      <w:r w:rsidRPr="00F25744">
        <w:rPr>
          <w:rFonts w:ascii="David" w:hAnsi="David" w:cs="David" w:hint="cs"/>
          <w:sz w:val="24"/>
          <w:szCs w:val="24"/>
          <w:rtl/>
        </w:rPr>
        <w:t xml:space="preserve"> במערכת נט המשפט לגבי ערכאת השלום, אשר נסגרו בשנת 2019, ואשר בין היתר ב</w:t>
      </w:r>
      <w:r w:rsidRPr="00F25744">
        <w:rPr>
          <w:rFonts w:ascii="David" w:hAnsi="David" w:cs="David"/>
          <w:sz w:val="24"/>
          <w:szCs w:val="24"/>
          <w:rtl/>
        </w:rPr>
        <w:t>עזרת תשובותיך לשאלון זה, נוכל לתת להם משקל מדויק במסגרת המחקר הנוכחי:</w:t>
      </w:r>
    </w:p>
    <w:p w14:paraId="4FA24AAB" w14:textId="77777777" w:rsidR="005E4C22" w:rsidRPr="00F25744" w:rsidRDefault="00E25AE7" w:rsidP="005E4C22">
      <w:pPr>
        <w:spacing w:before="120" w:after="0" w:line="360" w:lineRule="auto"/>
        <w:ind w:left="215" w:firstLine="720"/>
        <w:jc w:val="both"/>
        <w:rPr>
          <w:rFonts w:ascii="David" w:hAnsi="David" w:cs="David"/>
          <w:b/>
          <w:bCs/>
          <w:sz w:val="24"/>
          <w:szCs w:val="24"/>
        </w:rPr>
      </w:pPr>
      <w:r w:rsidRPr="00F25744">
        <w:rPr>
          <w:rFonts w:ascii="David" w:hAnsi="David" w:cs="David"/>
          <w:b/>
          <w:bCs/>
          <w:sz w:val="24"/>
          <w:szCs w:val="24"/>
          <w:rtl/>
        </w:rPr>
        <w:t>תו"ב</w:t>
      </w:r>
      <w:r w:rsidRPr="00F25744">
        <w:rPr>
          <w:rFonts w:ascii="David" w:hAnsi="David" w:cs="David" w:hint="cs"/>
          <w:b/>
          <w:bCs/>
          <w:sz w:val="24"/>
          <w:szCs w:val="24"/>
          <w:rtl/>
        </w:rPr>
        <w:t xml:space="preserve">; </w:t>
      </w:r>
      <w:r w:rsidRPr="00F25744">
        <w:rPr>
          <w:rFonts w:ascii="David" w:hAnsi="David" w:cs="David"/>
          <w:b/>
          <w:bCs/>
          <w:sz w:val="24"/>
          <w:szCs w:val="24"/>
          <w:rtl/>
        </w:rPr>
        <w:t>ח"נ</w:t>
      </w:r>
      <w:r w:rsidRPr="00F25744">
        <w:rPr>
          <w:rFonts w:ascii="David" w:hAnsi="David" w:cs="David" w:hint="cs"/>
          <w:b/>
          <w:bCs/>
          <w:sz w:val="24"/>
          <w:szCs w:val="24"/>
          <w:rtl/>
        </w:rPr>
        <w:t xml:space="preserve">; </w:t>
      </w:r>
      <w:r w:rsidRPr="00F25744">
        <w:rPr>
          <w:rFonts w:ascii="David" w:hAnsi="David" w:cs="David"/>
          <w:b/>
          <w:bCs/>
          <w:sz w:val="24"/>
          <w:szCs w:val="24"/>
          <w:rtl/>
        </w:rPr>
        <w:t>חע"מ</w:t>
      </w:r>
      <w:r w:rsidRPr="00F25744">
        <w:rPr>
          <w:rFonts w:ascii="David" w:hAnsi="David" w:cs="David" w:hint="cs"/>
          <w:b/>
          <w:bCs/>
          <w:sz w:val="24"/>
          <w:szCs w:val="24"/>
          <w:rtl/>
        </w:rPr>
        <w:t xml:space="preserve">; </w:t>
      </w:r>
      <w:r w:rsidRPr="00F25744">
        <w:rPr>
          <w:rFonts w:ascii="David" w:hAnsi="David" w:cs="David"/>
          <w:b/>
          <w:bCs/>
          <w:sz w:val="24"/>
          <w:szCs w:val="24"/>
          <w:rtl/>
        </w:rPr>
        <w:t>רע"ס</w:t>
      </w:r>
      <w:r w:rsidRPr="00F25744">
        <w:rPr>
          <w:rFonts w:ascii="David" w:hAnsi="David" w:cs="David" w:hint="cs"/>
          <w:b/>
          <w:bCs/>
          <w:sz w:val="24"/>
          <w:szCs w:val="24"/>
          <w:rtl/>
        </w:rPr>
        <w:t xml:space="preserve">; </w:t>
      </w:r>
      <w:r w:rsidRPr="00F25744">
        <w:rPr>
          <w:rFonts w:ascii="David" w:hAnsi="David" w:cs="David"/>
          <w:b/>
          <w:bCs/>
          <w:sz w:val="24"/>
          <w:szCs w:val="24"/>
          <w:rtl/>
        </w:rPr>
        <w:t>בב"נ</w:t>
      </w:r>
      <w:r w:rsidRPr="00F25744">
        <w:rPr>
          <w:rFonts w:ascii="David" w:hAnsi="David" w:cs="David" w:hint="cs"/>
          <w:b/>
          <w:bCs/>
          <w:sz w:val="24"/>
          <w:szCs w:val="24"/>
          <w:rtl/>
        </w:rPr>
        <w:t xml:space="preserve">; </w:t>
      </w:r>
      <w:r w:rsidRPr="00F25744">
        <w:rPr>
          <w:rFonts w:ascii="David" w:hAnsi="David" w:cs="David"/>
          <w:b/>
          <w:bCs/>
          <w:sz w:val="24"/>
          <w:szCs w:val="24"/>
          <w:rtl/>
        </w:rPr>
        <w:t>חע"ק</w:t>
      </w:r>
      <w:r w:rsidRPr="00F25744">
        <w:rPr>
          <w:rFonts w:ascii="David" w:hAnsi="David" w:cs="David" w:hint="cs"/>
          <w:b/>
          <w:bCs/>
          <w:sz w:val="24"/>
          <w:szCs w:val="24"/>
          <w:rtl/>
        </w:rPr>
        <w:t xml:space="preserve">; צ"ה; </w:t>
      </w:r>
      <w:r w:rsidRPr="00F25744">
        <w:rPr>
          <w:rFonts w:ascii="David" w:hAnsi="David" w:cs="David"/>
          <w:b/>
          <w:bCs/>
          <w:sz w:val="24"/>
          <w:szCs w:val="24"/>
          <w:rtl/>
        </w:rPr>
        <w:t>פק"ח</w:t>
      </w:r>
      <w:r w:rsidRPr="00F25744">
        <w:rPr>
          <w:rFonts w:ascii="David" w:hAnsi="David" w:cs="David" w:hint="cs"/>
          <w:b/>
          <w:bCs/>
          <w:sz w:val="24"/>
          <w:szCs w:val="24"/>
          <w:rtl/>
        </w:rPr>
        <w:t xml:space="preserve">; </w:t>
      </w:r>
      <w:r w:rsidRPr="00F25744">
        <w:rPr>
          <w:rFonts w:ascii="David" w:hAnsi="David" w:cs="David"/>
          <w:b/>
          <w:bCs/>
          <w:sz w:val="24"/>
          <w:szCs w:val="24"/>
          <w:rtl/>
        </w:rPr>
        <w:t>עמ"א</w:t>
      </w:r>
    </w:p>
    <w:p w14:paraId="201774C3" w14:textId="77777777" w:rsidR="005E4C22" w:rsidRPr="00F25744" w:rsidRDefault="00E25AE7" w:rsidP="00341018">
      <w:pPr>
        <w:numPr>
          <w:ilvl w:val="1"/>
          <w:numId w:val="39"/>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ברשימה הימנית שלפניך מופיעים סוגי התיקים שבהם בחרת בשאלה הקודמת. </w:t>
      </w:r>
    </w:p>
    <w:p w14:paraId="3EE7333C" w14:textId="77777777" w:rsidR="005E4C22" w:rsidRPr="00F25744" w:rsidRDefault="00E25AE7" w:rsidP="005E4C22">
      <w:pPr>
        <w:spacing w:before="120" w:after="0" w:line="360" w:lineRule="auto"/>
        <w:ind w:left="935"/>
        <w:jc w:val="both"/>
        <w:rPr>
          <w:rFonts w:ascii="David" w:hAnsi="David" w:cs="David"/>
          <w:sz w:val="24"/>
          <w:szCs w:val="24"/>
          <w:rtl/>
        </w:rPr>
      </w:pPr>
      <w:r w:rsidRPr="00F25744">
        <w:rPr>
          <w:rFonts w:ascii="David" w:hAnsi="David" w:cs="David" w:hint="cs"/>
          <w:sz w:val="24"/>
          <w:szCs w:val="24"/>
          <w:rtl/>
        </w:rPr>
        <w:t xml:space="preserve">על מנת לתקף את ממצאי המחקר, נבקשך לסדר את סוגי התיקים שבטיפולך </w:t>
      </w:r>
      <w:r w:rsidRPr="00F25744">
        <w:rPr>
          <w:rFonts w:ascii="David" w:hAnsi="David" w:cs="David" w:hint="cs"/>
          <w:b/>
          <w:bCs/>
          <w:sz w:val="24"/>
          <w:szCs w:val="24"/>
          <w:rtl/>
        </w:rPr>
        <w:t>מן הכבד אל הקל</w:t>
      </w:r>
      <w:r w:rsidRPr="00F25744">
        <w:rPr>
          <w:rFonts w:ascii="David" w:hAnsi="David" w:cs="David" w:hint="cs"/>
          <w:sz w:val="24"/>
          <w:szCs w:val="24"/>
          <w:rtl/>
        </w:rPr>
        <w:t xml:space="preserve">. לשם כך עליך לבחור את סוגי התיקים מן הרשימה שבצד ימין </w:t>
      </w:r>
      <w:r w:rsidRPr="00F25744">
        <w:rPr>
          <w:rFonts w:ascii="David" w:hAnsi="David" w:cs="David" w:hint="cs"/>
          <w:b/>
          <w:bCs/>
          <w:sz w:val="24"/>
          <w:szCs w:val="24"/>
          <w:rtl/>
        </w:rPr>
        <w:t>ולגרור</w:t>
      </w:r>
      <w:r w:rsidRPr="00F25744">
        <w:rPr>
          <w:rFonts w:ascii="David" w:hAnsi="David" w:cs="David" w:hint="cs"/>
          <w:sz w:val="24"/>
          <w:szCs w:val="24"/>
          <w:rtl/>
        </w:rPr>
        <w:t xml:space="preserve"> אותם לרשימה הריקה שבצד שמאל. בראש הרשימה השמאלית יש למקם את סוג התיק שלדעתך מצריך </w:t>
      </w:r>
      <w:r w:rsidRPr="00F25744">
        <w:rPr>
          <w:rFonts w:ascii="David" w:hAnsi="David" w:cs="David" w:hint="cs"/>
          <w:sz w:val="24"/>
          <w:szCs w:val="24"/>
          <w:rtl/>
        </w:rPr>
        <w:lastRenderedPageBreak/>
        <w:t xml:space="preserve">את זמן העבודה </w:t>
      </w:r>
      <w:r w:rsidRPr="00F25744">
        <w:rPr>
          <w:rFonts w:ascii="David" w:hAnsi="David" w:cs="David" w:hint="cs"/>
          <w:b/>
          <w:bCs/>
          <w:sz w:val="24"/>
          <w:szCs w:val="24"/>
          <w:rtl/>
        </w:rPr>
        <w:t>הארוך</w:t>
      </w:r>
      <w:r w:rsidRPr="00F25744">
        <w:rPr>
          <w:rFonts w:ascii="David" w:hAnsi="David" w:cs="David" w:hint="cs"/>
          <w:sz w:val="24"/>
          <w:szCs w:val="24"/>
          <w:rtl/>
        </w:rPr>
        <w:t xml:space="preserve"> ביותר עד לסיום הטיפול בו, ולאחר מכן יש למקם בסדר יורד את יתר סוגי התיקים, אשר ביחס לסוג התיק הראשון מצריכים ממך פחות זמן עד לסיום הטיפול בהם. </w:t>
      </w:r>
    </w:p>
    <w:p w14:paraId="46A548D5" w14:textId="77777777" w:rsidR="005E4C22" w:rsidRPr="00F25744" w:rsidRDefault="00E25AE7" w:rsidP="00341018">
      <w:pPr>
        <w:numPr>
          <w:ilvl w:val="0"/>
          <w:numId w:val="39"/>
        </w:numPr>
        <w:spacing w:before="120" w:after="0" w:line="360" w:lineRule="auto"/>
        <w:jc w:val="both"/>
        <w:rPr>
          <w:rFonts w:ascii="David" w:hAnsi="David" w:cs="David"/>
          <w:b/>
          <w:bCs/>
          <w:sz w:val="24"/>
          <w:szCs w:val="24"/>
          <w:u w:val="single"/>
        </w:rPr>
      </w:pPr>
      <w:r w:rsidRPr="00F25744">
        <w:rPr>
          <w:rFonts w:ascii="David" w:hAnsi="David" w:cs="David" w:hint="cs"/>
          <w:b/>
          <w:bCs/>
          <w:sz w:val="24"/>
          <w:szCs w:val="24"/>
          <w:u w:val="single"/>
          <w:rtl/>
        </w:rPr>
        <w:t>שאלות כלליות</w:t>
      </w:r>
    </w:p>
    <w:p w14:paraId="4DE7EA85" w14:textId="77777777" w:rsidR="005E4C22" w:rsidRPr="00F25744" w:rsidRDefault="00E25AE7" w:rsidP="005E4C22">
      <w:pPr>
        <w:spacing w:before="120" w:after="0" w:line="360" w:lineRule="auto"/>
        <w:ind w:left="360"/>
        <w:jc w:val="both"/>
        <w:rPr>
          <w:rFonts w:ascii="David" w:hAnsi="David" w:cs="David"/>
          <w:sz w:val="24"/>
          <w:szCs w:val="24"/>
          <w:rtl/>
        </w:rPr>
      </w:pPr>
      <w:r w:rsidRPr="00F25744">
        <w:rPr>
          <w:rFonts w:ascii="David" w:hAnsi="David" w:cs="David" w:hint="cs"/>
          <w:sz w:val="24"/>
          <w:szCs w:val="24"/>
          <w:rtl/>
        </w:rPr>
        <w:t>בחלק זה של השאלון נבקש לברר את הערכותיכם לגבי זמנים של פעולות נפוצות במרבית סוגי התיקים שסימנתם, לצורך תיקוף או השלמת פרטים חסרים:</w:t>
      </w:r>
    </w:p>
    <w:p w14:paraId="551CD3AC"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כמה זמן בממוצע לוקח לך להערכתך</w:t>
      </w:r>
      <w:r w:rsidRPr="00F25744">
        <w:rPr>
          <w:rFonts w:ascii="David" w:hAnsi="David" w:cs="David"/>
          <w:sz w:val="24"/>
          <w:szCs w:val="24"/>
          <w:rtl/>
        </w:rPr>
        <w:t xml:space="preserve"> לכתוב </w:t>
      </w:r>
      <w:r w:rsidRPr="00F25744">
        <w:rPr>
          <w:rFonts w:ascii="David" w:hAnsi="David" w:cs="David"/>
          <w:b/>
          <w:bCs/>
          <w:sz w:val="24"/>
          <w:szCs w:val="24"/>
          <w:rtl/>
        </w:rPr>
        <w:t>פתקית</w:t>
      </w:r>
      <w:r w:rsidRPr="00F25744">
        <w:rPr>
          <w:rFonts w:ascii="David" w:hAnsi="David" w:cs="David"/>
          <w:sz w:val="24"/>
          <w:szCs w:val="24"/>
          <w:rtl/>
        </w:rPr>
        <w:t xml:space="preserve"> (מנומקת או לא)</w:t>
      </w:r>
      <w:r w:rsidRPr="00F25744">
        <w:rPr>
          <w:rFonts w:ascii="David" w:hAnsi="David" w:cs="David" w:hint="cs"/>
          <w:sz w:val="24"/>
          <w:szCs w:val="24"/>
          <w:rtl/>
        </w:rPr>
        <w:t xml:space="preserve"> בכל אחד מסוגי התיקים שסימנת?</w:t>
      </w:r>
      <w:r w:rsidRPr="00F25744">
        <w:rPr>
          <w:rFonts w:ascii="David" w:hAnsi="David" w:cs="David"/>
          <w:sz w:val="24"/>
          <w:szCs w:val="24"/>
          <w:rtl/>
        </w:rPr>
        <w:t xml:space="preserve"> [עד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15-20 דקות, מעל 20 דקות/ לא רלבנטי לסוג התיק]</w:t>
      </w:r>
    </w:p>
    <w:p w14:paraId="4DF141C7"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כמה זמן בממוצע לוקח לך להערכתך לכתוב </w:t>
      </w:r>
      <w:r w:rsidRPr="00F25744">
        <w:rPr>
          <w:rFonts w:ascii="David" w:hAnsi="David" w:cs="David"/>
          <w:b/>
          <w:bCs/>
          <w:sz w:val="24"/>
          <w:szCs w:val="24"/>
          <w:rtl/>
        </w:rPr>
        <w:t>עמוד אחד של פס</w:t>
      </w:r>
      <w:r w:rsidRPr="00F25744">
        <w:rPr>
          <w:rFonts w:ascii="David" w:hAnsi="David" w:cs="David" w:hint="cs"/>
          <w:b/>
          <w:bCs/>
          <w:sz w:val="24"/>
          <w:szCs w:val="24"/>
          <w:rtl/>
        </w:rPr>
        <w:t xml:space="preserve">ק </w:t>
      </w:r>
      <w:r w:rsidRPr="00F25744">
        <w:rPr>
          <w:rFonts w:ascii="David" w:hAnsi="David" w:cs="David"/>
          <w:b/>
          <w:bCs/>
          <w:sz w:val="24"/>
          <w:szCs w:val="24"/>
          <w:rtl/>
        </w:rPr>
        <w:t>ד</w:t>
      </w:r>
      <w:r w:rsidRPr="00F25744">
        <w:rPr>
          <w:rFonts w:ascii="David" w:hAnsi="David" w:cs="David" w:hint="cs"/>
          <w:b/>
          <w:bCs/>
          <w:sz w:val="24"/>
          <w:szCs w:val="24"/>
          <w:rtl/>
        </w:rPr>
        <w:t>ין</w:t>
      </w:r>
      <w:r w:rsidRPr="00F25744">
        <w:rPr>
          <w:rFonts w:ascii="David" w:hAnsi="David" w:cs="David"/>
          <w:sz w:val="24"/>
          <w:szCs w:val="24"/>
          <w:rtl/>
        </w:rPr>
        <w:t xml:space="preserve"> ש</w:t>
      </w:r>
      <w:r w:rsidRPr="00F25744">
        <w:rPr>
          <w:rFonts w:ascii="David" w:hAnsi="David" w:cs="David" w:hint="cs"/>
          <w:sz w:val="24"/>
          <w:szCs w:val="24"/>
          <w:rtl/>
        </w:rPr>
        <w:t xml:space="preserve">ניתן מחמת </w:t>
      </w:r>
      <w:r w:rsidRPr="00F25744">
        <w:rPr>
          <w:rFonts w:ascii="David" w:hAnsi="David" w:cs="David" w:hint="cs"/>
          <w:b/>
          <w:bCs/>
          <w:sz w:val="24"/>
          <w:szCs w:val="24"/>
          <w:rtl/>
        </w:rPr>
        <w:t>חו</w:t>
      </w:r>
      <w:r w:rsidRPr="00F25744">
        <w:rPr>
          <w:rFonts w:ascii="David" w:hAnsi="David" w:cs="David"/>
          <w:b/>
          <w:bCs/>
          <w:sz w:val="24"/>
          <w:szCs w:val="24"/>
          <w:rtl/>
        </w:rPr>
        <w:t>סר מעש</w:t>
      </w:r>
      <w:r w:rsidRPr="00F25744">
        <w:rPr>
          <w:rFonts w:ascii="David" w:hAnsi="David" w:cs="David"/>
          <w:sz w:val="24"/>
          <w:szCs w:val="24"/>
          <w:rtl/>
        </w:rPr>
        <w:t>/ אי תשלום/</w:t>
      </w:r>
      <w:r w:rsidRPr="00F25744">
        <w:rPr>
          <w:rFonts w:ascii="David" w:hAnsi="David" w:cs="David" w:hint="cs"/>
          <w:sz w:val="24"/>
          <w:szCs w:val="24"/>
          <w:rtl/>
        </w:rPr>
        <w:t xml:space="preserve"> </w:t>
      </w:r>
      <w:r w:rsidRPr="00F25744">
        <w:rPr>
          <w:rFonts w:ascii="David" w:hAnsi="David" w:cs="David"/>
          <w:sz w:val="24"/>
          <w:szCs w:val="24"/>
          <w:rtl/>
        </w:rPr>
        <w:t>התליית ההליכים</w:t>
      </w:r>
      <w:r w:rsidRPr="00F25744">
        <w:rPr>
          <w:rFonts w:ascii="David" w:hAnsi="David" w:cs="David" w:hint="cs"/>
          <w:sz w:val="24"/>
          <w:szCs w:val="24"/>
          <w:rtl/>
        </w:rPr>
        <w:t xml:space="preserve">, בכל אחד מסוגי התיקים שסימנת?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15-20 דקות, מעל 20 דקות/ לא רלבנטי לסוג התיק]</w:t>
      </w:r>
    </w:p>
    <w:p w14:paraId="3B755665"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כמה זמן בממוצע לוקח לך להערכתך לכתוב </w:t>
      </w:r>
      <w:r w:rsidRPr="00F25744">
        <w:rPr>
          <w:rFonts w:ascii="David" w:hAnsi="David" w:cs="David" w:hint="cs"/>
          <w:b/>
          <w:bCs/>
          <w:sz w:val="24"/>
          <w:szCs w:val="24"/>
          <w:rtl/>
        </w:rPr>
        <w:t>עמוד אחד</w:t>
      </w:r>
      <w:r w:rsidRPr="00F25744">
        <w:rPr>
          <w:rFonts w:ascii="David" w:hAnsi="David" w:cs="David" w:hint="cs"/>
          <w:sz w:val="24"/>
          <w:szCs w:val="24"/>
          <w:rtl/>
        </w:rPr>
        <w:t xml:space="preserve"> של </w:t>
      </w:r>
      <w:r w:rsidRPr="00F25744">
        <w:rPr>
          <w:rFonts w:ascii="David" w:hAnsi="David" w:cs="David" w:hint="cs"/>
          <w:b/>
          <w:bCs/>
          <w:sz w:val="24"/>
          <w:szCs w:val="24"/>
          <w:rtl/>
        </w:rPr>
        <w:t>פסק דין הנותן תוקף ל</w:t>
      </w:r>
      <w:r w:rsidRPr="00F25744">
        <w:rPr>
          <w:rFonts w:ascii="David" w:hAnsi="David" w:cs="David"/>
          <w:b/>
          <w:bCs/>
          <w:sz w:val="24"/>
          <w:szCs w:val="24"/>
          <w:rtl/>
        </w:rPr>
        <w:t>פשרה</w:t>
      </w:r>
      <w:r w:rsidRPr="00F25744">
        <w:rPr>
          <w:rFonts w:ascii="David" w:hAnsi="David" w:cs="David"/>
          <w:sz w:val="24"/>
          <w:szCs w:val="24"/>
          <w:rtl/>
        </w:rPr>
        <w:t>/</w:t>
      </w:r>
      <w:r w:rsidRPr="00F25744">
        <w:rPr>
          <w:rFonts w:ascii="David" w:hAnsi="David" w:cs="David" w:hint="cs"/>
          <w:sz w:val="24"/>
          <w:szCs w:val="24"/>
          <w:rtl/>
        </w:rPr>
        <w:t xml:space="preserve"> </w:t>
      </w:r>
      <w:r w:rsidRPr="00F25744">
        <w:rPr>
          <w:rFonts w:ascii="David" w:hAnsi="David" w:cs="David"/>
          <w:sz w:val="24"/>
          <w:szCs w:val="24"/>
          <w:rtl/>
        </w:rPr>
        <w:t xml:space="preserve">נדחה </w:t>
      </w:r>
      <w:r w:rsidRPr="00F25744">
        <w:rPr>
          <w:rFonts w:ascii="David" w:hAnsi="David" w:cs="David" w:hint="cs"/>
          <w:sz w:val="24"/>
          <w:szCs w:val="24"/>
          <w:rtl/>
        </w:rPr>
        <w:t xml:space="preserve">או </w:t>
      </w:r>
      <w:r w:rsidRPr="00F25744">
        <w:rPr>
          <w:rFonts w:ascii="David" w:hAnsi="David" w:cs="David"/>
          <w:sz w:val="24"/>
          <w:szCs w:val="24"/>
          <w:rtl/>
        </w:rPr>
        <w:t>נמחק לבקשת צד/</w:t>
      </w:r>
      <w:r w:rsidRPr="00F25744">
        <w:rPr>
          <w:rFonts w:ascii="David" w:hAnsi="David" w:cs="David" w:hint="cs"/>
          <w:sz w:val="24"/>
          <w:szCs w:val="24"/>
          <w:rtl/>
        </w:rPr>
        <w:t xml:space="preserve"> </w:t>
      </w:r>
      <w:r w:rsidRPr="00F25744">
        <w:rPr>
          <w:rFonts w:ascii="David" w:hAnsi="David" w:cs="David"/>
          <w:sz w:val="24"/>
          <w:szCs w:val="24"/>
          <w:rtl/>
        </w:rPr>
        <w:t>עיכוב או מיצוי הליכים</w:t>
      </w:r>
      <w:r w:rsidRPr="00F25744">
        <w:rPr>
          <w:rFonts w:ascii="David" w:hAnsi="David" w:cs="David" w:hint="cs"/>
          <w:sz w:val="24"/>
          <w:szCs w:val="24"/>
          <w:rtl/>
        </w:rPr>
        <w:t xml:space="preserve">, </w:t>
      </w:r>
      <w:r w:rsidRPr="00F25744">
        <w:rPr>
          <w:rFonts w:ascii="David" w:hAnsi="David" w:cs="David" w:hint="cs"/>
          <w:b/>
          <w:bCs/>
          <w:sz w:val="24"/>
          <w:szCs w:val="24"/>
          <w:rtl/>
        </w:rPr>
        <w:t>או</w:t>
      </w:r>
      <w:r w:rsidRPr="00F25744">
        <w:rPr>
          <w:rFonts w:ascii="David" w:hAnsi="David" w:cs="David" w:hint="cs"/>
          <w:sz w:val="24"/>
          <w:szCs w:val="24"/>
          <w:rtl/>
        </w:rPr>
        <w:t xml:space="preserve"> פסק דין המקנה תוקף </w:t>
      </w:r>
      <w:r w:rsidRPr="00F25744">
        <w:rPr>
          <w:rFonts w:ascii="David" w:hAnsi="David" w:cs="David" w:hint="cs"/>
          <w:b/>
          <w:bCs/>
          <w:sz w:val="24"/>
          <w:szCs w:val="24"/>
          <w:rtl/>
        </w:rPr>
        <w:t xml:space="preserve">להסדר טיעון סגור/מלא </w:t>
      </w:r>
      <w:r w:rsidRPr="00F25744">
        <w:rPr>
          <w:rFonts w:ascii="David" w:hAnsi="David" w:cs="David" w:hint="cs"/>
          <w:sz w:val="24"/>
          <w:szCs w:val="24"/>
          <w:rtl/>
        </w:rPr>
        <w:t>(לרבות להסכמה לביטול כתב האישום)?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15-20 דקות, מעל 20 דקות/ לא רלבנטי לסוג התיק]</w:t>
      </w:r>
    </w:p>
    <w:p w14:paraId="1F803823" w14:textId="77777777" w:rsidR="005E4C22" w:rsidRPr="00F25744" w:rsidRDefault="005E4C22" w:rsidP="005E4C22">
      <w:pPr>
        <w:spacing w:before="120" w:after="0" w:line="240" w:lineRule="auto"/>
        <w:ind w:left="360"/>
        <w:jc w:val="both"/>
        <w:rPr>
          <w:rFonts w:ascii="David" w:hAnsi="David" w:cs="David"/>
          <w:b/>
          <w:bCs/>
          <w:sz w:val="24"/>
          <w:szCs w:val="24"/>
          <w:u w:val="single"/>
        </w:rPr>
      </w:pPr>
    </w:p>
    <w:p w14:paraId="14F64938" w14:textId="77777777" w:rsidR="005E4C22" w:rsidRPr="00F25744" w:rsidRDefault="00E25AE7" w:rsidP="00341018">
      <w:pPr>
        <w:numPr>
          <w:ilvl w:val="0"/>
          <w:numId w:val="39"/>
        </w:numPr>
        <w:spacing w:before="120" w:after="0" w:line="360" w:lineRule="auto"/>
        <w:jc w:val="both"/>
        <w:rPr>
          <w:rFonts w:ascii="David" w:hAnsi="David" w:cs="David"/>
          <w:b/>
          <w:bCs/>
          <w:sz w:val="24"/>
          <w:szCs w:val="24"/>
          <w:u w:val="single"/>
        </w:rPr>
      </w:pPr>
      <w:r w:rsidRPr="00F25744">
        <w:rPr>
          <w:rFonts w:ascii="David" w:hAnsi="David" w:cs="David" w:hint="cs"/>
          <w:b/>
          <w:bCs/>
          <w:sz w:val="24"/>
          <w:szCs w:val="24"/>
          <w:u w:val="single"/>
          <w:rtl/>
        </w:rPr>
        <w:t>שאלות ספציפיות בחלק מסוגי התיקים שסומנו</w:t>
      </w:r>
    </w:p>
    <w:p w14:paraId="4763AD27" w14:textId="77777777" w:rsidR="005E4C22" w:rsidRPr="00F25744" w:rsidRDefault="00E25AE7" w:rsidP="005E4C22">
      <w:pPr>
        <w:spacing w:before="120" w:after="0" w:line="360" w:lineRule="auto"/>
        <w:ind w:left="360"/>
        <w:jc w:val="both"/>
        <w:rPr>
          <w:rFonts w:ascii="David" w:hAnsi="David" w:cs="David"/>
          <w:b/>
          <w:bCs/>
          <w:sz w:val="24"/>
          <w:szCs w:val="24"/>
          <w:rtl/>
        </w:rPr>
      </w:pPr>
      <w:r w:rsidRPr="00F25744">
        <w:rPr>
          <w:rFonts w:ascii="David" w:hAnsi="David" w:cs="David" w:hint="cs"/>
          <w:b/>
          <w:bCs/>
          <w:sz w:val="24"/>
          <w:szCs w:val="24"/>
          <w:rtl/>
        </w:rPr>
        <w:t>בפרק זה של השאלון נבקש לברר על דרך ההערכה את זמניהם או אורכם של אירועים מסוימים בחלק מהתיקים שסימנתם, אשר לגביהם לא נאספו די נתונים במהלך תקופת המחקר. על מנת בכל זאת לתת משקל לכמה שיותר סוגי תיקים, במיוחד סוגי התיקים שאותם ביקשו נשיאי ושופטי בתי משפט השלום כי נמדוד חרף נדירותם, נבקש את סיועכם במענה על השאלות הבאות:</w:t>
      </w:r>
    </w:p>
    <w:p w14:paraId="55F699C4" w14:textId="77777777" w:rsidR="005E4C22" w:rsidRPr="00F25744" w:rsidRDefault="00E25AE7" w:rsidP="005E4C22">
      <w:pPr>
        <w:spacing w:before="120" w:after="0" w:line="360" w:lineRule="auto"/>
        <w:jc w:val="both"/>
        <w:rPr>
          <w:rFonts w:ascii="David" w:hAnsi="David" w:cs="David"/>
          <w:b/>
          <w:bCs/>
          <w:sz w:val="24"/>
          <w:szCs w:val="24"/>
          <w:u w:val="single"/>
          <w:rtl/>
        </w:rPr>
      </w:pPr>
      <w:r w:rsidRPr="00F25744">
        <w:rPr>
          <w:rFonts w:ascii="David" w:hAnsi="David" w:cs="David" w:hint="cs"/>
          <w:b/>
          <w:bCs/>
          <w:sz w:val="24"/>
          <w:szCs w:val="24"/>
          <w:u w:val="single"/>
          <w:rtl/>
        </w:rPr>
        <w:t>פלילי</w:t>
      </w:r>
    </w:p>
    <w:p w14:paraId="7075E3EB"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צ"א</w:t>
      </w:r>
      <w:r w:rsidRPr="00F25744">
        <w:rPr>
          <w:rFonts w:ascii="David" w:hAnsi="David" w:cs="David" w:hint="cs"/>
          <w:sz w:val="24"/>
          <w:szCs w:val="24"/>
          <w:rtl/>
        </w:rPr>
        <w:t xml:space="preserve">, כמה זמן בממוצע לוקח לך להערכתך לכתוב </w:t>
      </w:r>
      <w:r w:rsidRPr="00F25744">
        <w:rPr>
          <w:rFonts w:ascii="David" w:hAnsi="David" w:cs="David" w:hint="cs"/>
          <w:b/>
          <w:bCs/>
          <w:sz w:val="24"/>
          <w:szCs w:val="24"/>
          <w:rtl/>
        </w:rPr>
        <w:t>עמוד אחד</w:t>
      </w:r>
      <w:r w:rsidRPr="00F25744">
        <w:rPr>
          <w:rFonts w:ascii="David" w:hAnsi="David" w:cs="David" w:hint="cs"/>
          <w:sz w:val="24"/>
          <w:szCs w:val="24"/>
          <w:rtl/>
        </w:rPr>
        <w:t xml:space="preserve"> של </w:t>
      </w:r>
      <w:r w:rsidRPr="00F25744">
        <w:rPr>
          <w:rFonts w:ascii="David" w:hAnsi="David" w:cs="David" w:hint="cs"/>
          <w:b/>
          <w:bCs/>
          <w:sz w:val="24"/>
          <w:szCs w:val="24"/>
          <w:rtl/>
        </w:rPr>
        <w:t>החלטה</w:t>
      </w:r>
      <w:r w:rsidRPr="00F25744">
        <w:rPr>
          <w:rFonts w:ascii="David" w:hAnsi="David" w:cs="David" w:hint="cs"/>
          <w:sz w:val="24"/>
          <w:szCs w:val="24"/>
          <w:rtl/>
        </w:rPr>
        <w:t xml:space="preserve"> במסמך עצמאי (לרבות החלטה הסוגרת את התיק והחלטה לאחר סגירה)?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75B5A7E7"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צ"ח</w:t>
      </w:r>
      <w:r w:rsidRPr="00F25744">
        <w:rPr>
          <w:rFonts w:ascii="David" w:hAnsi="David" w:cs="David" w:hint="cs"/>
          <w:sz w:val="24"/>
          <w:szCs w:val="24"/>
          <w:rtl/>
        </w:rPr>
        <w:t xml:space="preserve">, כמה זמן בממוצע לוקח לך להערכתך לכתוב </w:t>
      </w:r>
      <w:r w:rsidRPr="00F25744">
        <w:rPr>
          <w:rFonts w:ascii="David" w:hAnsi="David" w:cs="David" w:hint="cs"/>
          <w:b/>
          <w:bCs/>
          <w:sz w:val="24"/>
          <w:szCs w:val="24"/>
          <w:rtl/>
        </w:rPr>
        <w:t>עמוד אחד</w:t>
      </w:r>
      <w:r w:rsidRPr="00F25744">
        <w:rPr>
          <w:rFonts w:ascii="David" w:hAnsi="David" w:cs="David" w:hint="cs"/>
          <w:sz w:val="24"/>
          <w:szCs w:val="24"/>
          <w:rtl/>
        </w:rPr>
        <w:t xml:space="preserve"> של </w:t>
      </w:r>
      <w:r w:rsidRPr="00F25744">
        <w:rPr>
          <w:rFonts w:ascii="David" w:hAnsi="David" w:cs="David" w:hint="cs"/>
          <w:b/>
          <w:bCs/>
          <w:sz w:val="24"/>
          <w:szCs w:val="24"/>
          <w:rtl/>
        </w:rPr>
        <w:t>החלטה</w:t>
      </w:r>
      <w:r w:rsidRPr="00F25744">
        <w:rPr>
          <w:rFonts w:ascii="David" w:hAnsi="David" w:cs="David" w:hint="cs"/>
          <w:sz w:val="24"/>
          <w:szCs w:val="24"/>
          <w:rtl/>
        </w:rPr>
        <w:t xml:space="preserve"> במסמך עצמאי (לרבות החלטה הסוגרת את התיק והחלטה לאחר סגירה)?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54F73ABC"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lastRenderedPageBreak/>
        <w:t xml:space="preserve">בתיק מסוג </w:t>
      </w:r>
      <w:r w:rsidRPr="00F25744">
        <w:rPr>
          <w:rFonts w:ascii="David" w:hAnsi="David" w:cs="David" w:hint="cs"/>
          <w:b/>
          <w:bCs/>
          <w:sz w:val="24"/>
          <w:szCs w:val="24"/>
          <w:u w:val="single"/>
          <w:rtl/>
        </w:rPr>
        <w:t>מי"ב</w:t>
      </w:r>
      <w:r w:rsidRPr="00F25744">
        <w:rPr>
          <w:rFonts w:ascii="David" w:hAnsi="David" w:cs="David" w:hint="cs"/>
          <w:sz w:val="24"/>
          <w:szCs w:val="24"/>
          <w:rtl/>
        </w:rPr>
        <w:t xml:space="preserve">, כמה זמן בממוצע להערכתך </w:t>
      </w:r>
      <w:r w:rsidRPr="00F25744">
        <w:rPr>
          <w:rFonts w:ascii="David" w:hAnsi="David" w:cs="David" w:hint="cs"/>
          <w:b/>
          <w:bCs/>
          <w:sz w:val="24"/>
          <w:szCs w:val="24"/>
          <w:rtl/>
        </w:rPr>
        <w:t>אורך הדיון</w:t>
      </w:r>
      <w:r w:rsidRPr="00F25744">
        <w:rPr>
          <w:rFonts w:ascii="David" w:hAnsi="David" w:cs="David" w:hint="cs"/>
          <w:sz w:val="24"/>
          <w:szCs w:val="24"/>
          <w:rtl/>
        </w:rPr>
        <w:t>?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2B9514D7"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מי"ב</w:t>
      </w:r>
      <w:r w:rsidRPr="00F25744">
        <w:rPr>
          <w:rFonts w:ascii="David" w:hAnsi="David" w:cs="David" w:hint="cs"/>
          <w:sz w:val="24"/>
          <w:szCs w:val="24"/>
          <w:rtl/>
        </w:rPr>
        <w:t xml:space="preserve">, כמה זמן בממוצע לוקח לך להערכתך </w:t>
      </w:r>
      <w:r w:rsidRPr="00F25744">
        <w:rPr>
          <w:rFonts w:ascii="David" w:hAnsi="David" w:cs="David" w:hint="cs"/>
          <w:b/>
          <w:bCs/>
          <w:sz w:val="24"/>
          <w:szCs w:val="24"/>
          <w:rtl/>
        </w:rPr>
        <w:t>להתכונן</w:t>
      </w:r>
      <w:r w:rsidRPr="00F25744">
        <w:rPr>
          <w:rFonts w:ascii="David" w:hAnsi="David" w:cs="David" w:hint="cs"/>
          <w:sz w:val="24"/>
          <w:szCs w:val="24"/>
          <w:rtl/>
        </w:rPr>
        <w:t xml:space="preserve"> לדיון?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114D4E15"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מ"י</w:t>
      </w:r>
      <w:r w:rsidRPr="00F25744">
        <w:rPr>
          <w:rFonts w:ascii="David" w:hAnsi="David" w:cs="David" w:hint="cs"/>
          <w:sz w:val="24"/>
          <w:szCs w:val="24"/>
          <w:rtl/>
        </w:rPr>
        <w:t>, כמה זמן בממוצע אורכות להערכתך הפעולות הבאות:</w:t>
      </w:r>
    </w:p>
    <w:p w14:paraId="5DB9242A" w14:textId="77777777" w:rsidR="005E4C22" w:rsidRPr="00F25744" w:rsidRDefault="00E25AE7" w:rsidP="00341018">
      <w:pPr>
        <w:numPr>
          <w:ilvl w:val="1"/>
          <w:numId w:val="33"/>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t xml:space="preserve">הכנה </w:t>
      </w:r>
      <w:r w:rsidRPr="00F25744">
        <w:rPr>
          <w:rFonts w:ascii="David" w:hAnsi="David" w:cs="David" w:hint="cs"/>
          <w:sz w:val="24"/>
          <w:szCs w:val="24"/>
          <w:rtl/>
        </w:rPr>
        <w:t>לקראת הדיון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22AD435D" w14:textId="77777777" w:rsidR="005E4C22" w:rsidRPr="00F25744" w:rsidRDefault="00E25AE7" w:rsidP="00341018">
      <w:pPr>
        <w:numPr>
          <w:ilvl w:val="1"/>
          <w:numId w:val="33"/>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t>שמיעת הדיון</w:t>
      </w:r>
      <w:r w:rsidRPr="00F25744">
        <w:rPr>
          <w:rFonts w:ascii="David" w:hAnsi="David" w:cs="David" w:hint="cs"/>
          <w:sz w:val="24"/>
          <w:szCs w:val="24"/>
          <w:rtl/>
        </w:rPr>
        <w:t xml:space="preserve">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6BFE1409"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בש"ע</w:t>
      </w:r>
      <w:r w:rsidRPr="00F25744">
        <w:rPr>
          <w:rFonts w:ascii="David" w:hAnsi="David" w:cs="David" w:hint="cs"/>
          <w:sz w:val="24"/>
          <w:szCs w:val="24"/>
          <w:rtl/>
        </w:rPr>
        <w:t xml:space="preserve">, כמה זמן בממוצע לוקח לך להערכתך לכתוב </w:t>
      </w:r>
      <w:r w:rsidRPr="00F25744">
        <w:rPr>
          <w:rFonts w:ascii="David" w:hAnsi="David" w:cs="David" w:hint="cs"/>
          <w:b/>
          <w:bCs/>
          <w:sz w:val="24"/>
          <w:szCs w:val="24"/>
          <w:rtl/>
        </w:rPr>
        <w:t>עמוד אחד</w:t>
      </w:r>
      <w:r w:rsidRPr="00F25744">
        <w:rPr>
          <w:rFonts w:ascii="David" w:hAnsi="David" w:cs="David" w:hint="cs"/>
          <w:sz w:val="24"/>
          <w:szCs w:val="24"/>
          <w:rtl/>
        </w:rPr>
        <w:t xml:space="preserve"> של </w:t>
      </w:r>
      <w:r w:rsidRPr="00F25744">
        <w:rPr>
          <w:rFonts w:ascii="David" w:hAnsi="David" w:cs="David" w:hint="cs"/>
          <w:b/>
          <w:bCs/>
          <w:sz w:val="24"/>
          <w:szCs w:val="24"/>
          <w:rtl/>
        </w:rPr>
        <w:t>החלטה</w:t>
      </w:r>
      <w:r w:rsidRPr="00F25744">
        <w:rPr>
          <w:rFonts w:ascii="David" w:hAnsi="David" w:cs="David" w:hint="cs"/>
          <w:sz w:val="24"/>
          <w:szCs w:val="24"/>
          <w:rtl/>
        </w:rPr>
        <w:t xml:space="preserve"> במסמך עצמאי (לרבות החלטה הסוגרת את התיק והחלטה לאחר סגירה)?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0D538187"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מק"מ</w:t>
      </w:r>
      <w:r w:rsidRPr="00F25744">
        <w:rPr>
          <w:rFonts w:ascii="David" w:hAnsi="David" w:cs="David" w:hint="cs"/>
          <w:sz w:val="24"/>
          <w:szCs w:val="24"/>
          <w:rtl/>
        </w:rPr>
        <w:t xml:space="preserve">, כמה זמן בממוצע לוקח לך להערכתך לכתוב </w:t>
      </w:r>
      <w:r w:rsidRPr="00F25744">
        <w:rPr>
          <w:rFonts w:ascii="David" w:hAnsi="David" w:cs="David" w:hint="cs"/>
          <w:b/>
          <w:bCs/>
          <w:sz w:val="24"/>
          <w:szCs w:val="24"/>
          <w:rtl/>
        </w:rPr>
        <w:t>עמוד אחד</w:t>
      </w:r>
      <w:r w:rsidRPr="00F25744">
        <w:rPr>
          <w:rFonts w:ascii="David" w:hAnsi="David" w:cs="David" w:hint="cs"/>
          <w:sz w:val="24"/>
          <w:szCs w:val="24"/>
          <w:rtl/>
        </w:rPr>
        <w:t xml:space="preserve"> של </w:t>
      </w:r>
      <w:r w:rsidRPr="00F25744">
        <w:rPr>
          <w:rFonts w:ascii="David" w:hAnsi="David" w:cs="David" w:hint="cs"/>
          <w:b/>
          <w:bCs/>
          <w:sz w:val="24"/>
          <w:szCs w:val="24"/>
          <w:rtl/>
        </w:rPr>
        <w:t>החלטה</w:t>
      </w:r>
      <w:r w:rsidRPr="00F25744">
        <w:rPr>
          <w:rFonts w:ascii="David" w:hAnsi="David" w:cs="David" w:hint="cs"/>
          <w:sz w:val="24"/>
          <w:szCs w:val="24"/>
          <w:rtl/>
        </w:rPr>
        <w:t xml:space="preserve"> במסמך עצמאי (לרבות החלטה הסוגרת את התיק והחלטה לאחר סגירה)?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579CCD04"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ע"ק</w:t>
      </w:r>
      <w:r w:rsidRPr="00F25744">
        <w:rPr>
          <w:rFonts w:ascii="David" w:hAnsi="David" w:cs="David" w:hint="cs"/>
          <w:sz w:val="24"/>
          <w:szCs w:val="24"/>
          <w:rtl/>
        </w:rPr>
        <w:t>, כמה זמן בממוצע אורכות להערכתך הפעולות הבאות:</w:t>
      </w:r>
    </w:p>
    <w:p w14:paraId="3571FC67" w14:textId="77777777" w:rsidR="005E4C22" w:rsidRPr="00F25744" w:rsidRDefault="00E25AE7" w:rsidP="00341018">
      <w:pPr>
        <w:numPr>
          <w:ilvl w:val="1"/>
          <w:numId w:val="33"/>
        </w:numPr>
        <w:spacing w:before="120" w:after="0" w:line="360" w:lineRule="auto"/>
        <w:ind w:left="1133" w:hanging="426"/>
        <w:jc w:val="both"/>
        <w:rPr>
          <w:rFonts w:ascii="David" w:hAnsi="David" w:cs="David"/>
          <w:sz w:val="24"/>
          <w:szCs w:val="24"/>
        </w:rPr>
      </w:pPr>
      <w:r w:rsidRPr="00F25744">
        <w:rPr>
          <w:rFonts w:ascii="David" w:hAnsi="David" w:cs="David" w:hint="cs"/>
          <w:b/>
          <w:bCs/>
          <w:sz w:val="24"/>
          <w:szCs w:val="24"/>
          <w:rtl/>
        </w:rPr>
        <w:t>כתיבת עמוד אחד</w:t>
      </w:r>
      <w:r w:rsidRPr="00F25744">
        <w:rPr>
          <w:rFonts w:ascii="David" w:hAnsi="David" w:cs="David" w:hint="cs"/>
          <w:sz w:val="24"/>
          <w:szCs w:val="24"/>
          <w:rtl/>
        </w:rPr>
        <w:t xml:space="preserve"> של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במסמך עצמאי (לרבות החלטה לאחר סגירה)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70ECCF1C" w14:textId="77777777" w:rsidR="005E4C22" w:rsidRPr="00F25744" w:rsidRDefault="00E25AE7" w:rsidP="00341018">
      <w:pPr>
        <w:numPr>
          <w:ilvl w:val="1"/>
          <w:numId w:val="30"/>
        </w:numPr>
        <w:spacing w:before="120" w:after="0" w:line="360" w:lineRule="auto"/>
        <w:ind w:left="1133" w:hanging="426"/>
        <w:jc w:val="both"/>
        <w:rPr>
          <w:rFonts w:ascii="David" w:hAnsi="David" w:cs="David"/>
          <w:sz w:val="24"/>
          <w:szCs w:val="24"/>
        </w:rPr>
      </w:pPr>
      <w:r w:rsidRPr="00F25744">
        <w:rPr>
          <w:rFonts w:ascii="David" w:hAnsi="David" w:cs="David" w:hint="cs"/>
          <w:b/>
          <w:bCs/>
          <w:sz w:val="24"/>
          <w:szCs w:val="24"/>
          <w:rtl/>
        </w:rPr>
        <w:t>כתיבת עמוד אחד</w:t>
      </w:r>
      <w:r w:rsidRPr="00F25744">
        <w:rPr>
          <w:rFonts w:ascii="David" w:hAnsi="David" w:cs="David" w:hint="cs"/>
          <w:sz w:val="24"/>
          <w:szCs w:val="24"/>
          <w:rtl/>
        </w:rPr>
        <w:t xml:space="preserve"> של </w:t>
      </w:r>
      <w:r w:rsidRPr="00F25744">
        <w:rPr>
          <w:rFonts w:ascii="David" w:hAnsi="David" w:cs="David" w:hint="cs"/>
          <w:b/>
          <w:bCs/>
          <w:sz w:val="24"/>
          <w:szCs w:val="24"/>
          <w:rtl/>
        </w:rPr>
        <w:t>פסק דין מנומק</w:t>
      </w:r>
      <w:r w:rsidRPr="00F25744">
        <w:rPr>
          <w:rFonts w:ascii="David" w:hAnsi="David" w:cs="David" w:hint="cs"/>
          <w:sz w:val="24"/>
          <w:szCs w:val="24"/>
          <w:rtl/>
        </w:rPr>
        <w:t xml:space="preserve"> (ללא הסכמות הצדדים) שניתן מחוץ לאולם (לרבות טיוטה שנכתבה טרם הדיון והוקראה באולם) [</w:t>
      </w:r>
      <w:r w:rsidRPr="00F25744">
        <w:rPr>
          <w:rFonts w:ascii="David" w:hAnsi="David" w:cs="David"/>
          <w:sz w:val="24"/>
          <w:szCs w:val="24"/>
          <w:rtl/>
        </w:rPr>
        <w:t>עד</w:t>
      </w:r>
      <w:r w:rsidRPr="00F25744">
        <w:rPr>
          <w:rFonts w:ascii="David" w:hAnsi="David" w:cs="David" w:hint="cs"/>
          <w:sz w:val="24"/>
          <w:szCs w:val="24"/>
          <w:rtl/>
        </w:rPr>
        <w:t xml:space="preserve"> 5 דקות</w:t>
      </w:r>
      <w:r w:rsidRPr="00F25744">
        <w:rPr>
          <w:rFonts w:ascii="David" w:hAnsi="David" w:cs="David"/>
          <w:sz w:val="24"/>
          <w:szCs w:val="24"/>
          <w:rtl/>
        </w:rPr>
        <w:t>,</w:t>
      </w:r>
      <w:r w:rsidRPr="00F25744">
        <w:rPr>
          <w:rFonts w:ascii="David" w:hAnsi="David" w:cs="David" w:hint="cs"/>
          <w:sz w:val="24"/>
          <w:szCs w:val="24"/>
          <w:rtl/>
        </w:rPr>
        <w:t xml:space="preserve"> 5-10 דקות</w:t>
      </w:r>
      <w:r w:rsidRPr="00F25744">
        <w:rPr>
          <w:rFonts w:ascii="David" w:hAnsi="David" w:cs="David"/>
          <w:sz w:val="24"/>
          <w:szCs w:val="24"/>
          <w:rtl/>
        </w:rPr>
        <w:t xml:space="preserve">, </w:t>
      </w:r>
      <w:r w:rsidRPr="00F25744">
        <w:rPr>
          <w:rFonts w:ascii="David" w:hAnsi="David" w:cs="David" w:hint="cs"/>
          <w:sz w:val="24"/>
          <w:szCs w:val="24"/>
          <w:rtl/>
        </w:rPr>
        <w:t>10-15 דקות</w:t>
      </w:r>
      <w:r w:rsidRPr="00F25744">
        <w:rPr>
          <w:rFonts w:ascii="David" w:hAnsi="David" w:cs="David"/>
          <w:sz w:val="24"/>
          <w:szCs w:val="24"/>
          <w:rtl/>
        </w:rPr>
        <w:t xml:space="preserve">, </w:t>
      </w:r>
      <w:r w:rsidRPr="00F25744">
        <w:rPr>
          <w:rFonts w:ascii="David" w:hAnsi="David" w:cs="David" w:hint="cs"/>
          <w:sz w:val="24"/>
          <w:szCs w:val="24"/>
          <w:rtl/>
        </w:rPr>
        <w:t>15-20 דקות</w:t>
      </w:r>
      <w:r w:rsidRPr="00F25744">
        <w:rPr>
          <w:rFonts w:ascii="David" w:hAnsi="David" w:cs="David"/>
          <w:sz w:val="24"/>
          <w:szCs w:val="24"/>
          <w:rtl/>
        </w:rPr>
        <w:t xml:space="preserve">, </w:t>
      </w:r>
      <w:r w:rsidRPr="00F25744">
        <w:rPr>
          <w:rFonts w:ascii="David" w:hAnsi="David" w:cs="David" w:hint="cs"/>
          <w:sz w:val="24"/>
          <w:szCs w:val="24"/>
          <w:rtl/>
        </w:rPr>
        <w:t>20-25 דקות</w:t>
      </w:r>
      <w:r w:rsidRPr="00F25744">
        <w:rPr>
          <w:rFonts w:ascii="David" w:hAnsi="David" w:cs="David"/>
          <w:sz w:val="24"/>
          <w:szCs w:val="24"/>
          <w:rtl/>
        </w:rPr>
        <w:t xml:space="preserve">, </w:t>
      </w:r>
      <w:r w:rsidRPr="00F25744">
        <w:rPr>
          <w:rFonts w:ascii="David" w:hAnsi="David" w:cs="David" w:hint="cs"/>
          <w:sz w:val="24"/>
          <w:szCs w:val="24"/>
          <w:rtl/>
        </w:rPr>
        <w:t xml:space="preserve">25-30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47D26141"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תפ"ק</w:t>
      </w:r>
      <w:r w:rsidRPr="00F25744">
        <w:rPr>
          <w:rFonts w:ascii="David" w:hAnsi="David" w:cs="David" w:hint="cs"/>
          <w:sz w:val="24"/>
          <w:szCs w:val="24"/>
          <w:rtl/>
        </w:rPr>
        <w:t>, כמה זמן בממוצע אורכות להערכתך הפעולות הבאות:</w:t>
      </w:r>
    </w:p>
    <w:p w14:paraId="6CE9CCA8" w14:textId="77777777" w:rsidR="005E4C22" w:rsidRPr="00F25744" w:rsidRDefault="00E25AE7" w:rsidP="00341018">
      <w:pPr>
        <w:numPr>
          <w:ilvl w:val="1"/>
          <w:numId w:val="33"/>
        </w:numPr>
        <w:spacing w:before="120" w:after="0" w:line="360" w:lineRule="auto"/>
        <w:ind w:left="1133" w:hanging="426"/>
        <w:jc w:val="both"/>
        <w:rPr>
          <w:rFonts w:ascii="David" w:hAnsi="David" w:cs="David"/>
          <w:sz w:val="24"/>
          <w:szCs w:val="24"/>
        </w:rPr>
      </w:pPr>
      <w:r w:rsidRPr="00F25744">
        <w:rPr>
          <w:rFonts w:ascii="David" w:hAnsi="David" w:cs="David" w:hint="cs"/>
          <w:b/>
          <w:bCs/>
          <w:sz w:val="24"/>
          <w:szCs w:val="24"/>
          <w:rtl/>
        </w:rPr>
        <w:t>כתיבת עמוד אחד</w:t>
      </w:r>
      <w:r w:rsidRPr="00F25744">
        <w:rPr>
          <w:rFonts w:ascii="David" w:hAnsi="David" w:cs="David" w:hint="cs"/>
          <w:sz w:val="24"/>
          <w:szCs w:val="24"/>
          <w:rtl/>
        </w:rPr>
        <w:t xml:space="preserve"> של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במסמך עצמאי (לרבות החלטה לאחר סגירה)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605D4543" w14:textId="77777777" w:rsidR="005E4C22" w:rsidRPr="00F25744" w:rsidRDefault="00E25AE7" w:rsidP="00341018">
      <w:pPr>
        <w:numPr>
          <w:ilvl w:val="1"/>
          <w:numId w:val="38"/>
        </w:numPr>
        <w:spacing w:before="120" w:after="0" w:line="360" w:lineRule="auto"/>
        <w:ind w:left="1133" w:hanging="426"/>
        <w:jc w:val="both"/>
        <w:rPr>
          <w:rFonts w:ascii="David" w:hAnsi="David" w:cs="David"/>
          <w:sz w:val="24"/>
          <w:szCs w:val="24"/>
        </w:rPr>
      </w:pPr>
      <w:r w:rsidRPr="00F25744">
        <w:rPr>
          <w:rFonts w:ascii="David" w:hAnsi="David" w:cs="David" w:hint="cs"/>
          <w:sz w:val="24"/>
          <w:szCs w:val="24"/>
          <w:rtl/>
        </w:rPr>
        <w:t xml:space="preserve">כתיבת </w:t>
      </w:r>
      <w:r w:rsidRPr="00F25744">
        <w:rPr>
          <w:rFonts w:ascii="David" w:hAnsi="David" w:cs="David" w:hint="cs"/>
          <w:b/>
          <w:bCs/>
          <w:sz w:val="24"/>
          <w:szCs w:val="24"/>
          <w:rtl/>
        </w:rPr>
        <w:t>עמוד אחד</w:t>
      </w:r>
      <w:r w:rsidRPr="00F25744">
        <w:rPr>
          <w:rFonts w:ascii="David" w:hAnsi="David" w:cs="David" w:hint="cs"/>
          <w:sz w:val="24"/>
          <w:szCs w:val="24"/>
          <w:rtl/>
        </w:rPr>
        <w:t xml:space="preserve"> של פסק דין המורכב מהכרעת דין אשר מאשרת הסדר עם </w:t>
      </w:r>
      <w:r w:rsidRPr="00F25744">
        <w:rPr>
          <w:rFonts w:ascii="David" w:hAnsi="David" w:cs="David" w:hint="cs"/>
          <w:b/>
          <w:bCs/>
          <w:sz w:val="24"/>
          <w:szCs w:val="24"/>
          <w:rtl/>
        </w:rPr>
        <w:t>טיעון פתוח</w:t>
      </w:r>
      <w:r w:rsidRPr="00F25744">
        <w:rPr>
          <w:rFonts w:ascii="David" w:hAnsi="David" w:cs="David" w:hint="cs"/>
          <w:sz w:val="24"/>
          <w:szCs w:val="24"/>
          <w:rtl/>
        </w:rPr>
        <w:t xml:space="preserve"> לעונש, וגזר דין מנומק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7536FB78"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lastRenderedPageBreak/>
        <w:t xml:space="preserve">בתיק מסוג </w:t>
      </w:r>
      <w:r w:rsidRPr="00F25744">
        <w:rPr>
          <w:rFonts w:ascii="David" w:hAnsi="David" w:cs="David" w:hint="cs"/>
          <w:b/>
          <w:bCs/>
          <w:sz w:val="24"/>
          <w:szCs w:val="24"/>
          <w:u w:val="single"/>
          <w:rtl/>
        </w:rPr>
        <w:t>בצה"מ</w:t>
      </w:r>
      <w:r w:rsidRPr="00F25744">
        <w:rPr>
          <w:rFonts w:ascii="David" w:hAnsi="David" w:cs="David" w:hint="cs"/>
          <w:sz w:val="24"/>
          <w:szCs w:val="24"/>
          <w:rtl/>
        </w:rPr>
        <w:t>, כמה זמן בממוצע אורכות להערכתך הפעולות הבאות:</w:t>
      </w:r>
    </w:p>
    <w:p w14:paraId="595A2C85" w14:textId="77777777" w:rsidR="005E4C22" w:rsidRPr="00F25744" w:rsidRDefault="00E25AE7" w:rsidP="00341018">
      <w:pPr>
        <w:numPr>
          <w:ilvl w:val="1"/>
          <w:numId w:val="33"/>
        </w:numPr>
        <w:spacing w:before="120" w:after="0" w:line="360" w:lineRule="auto"/>
        <w:ind w:left="1133" w:hanging="426"/>
        <w:jc w:val="both"/>
        <w:rPr>
          <w:rFonts w:ascii="David" w:hAnsi="David" w:cs="David"/>
          <w:sz w:val="24"/>
          <w:szCs w:val="24"/>
        </w:rPr>
      </w:pPr>
      <w:r w:rsidRPr="00F25744">
        <w:rPr>
          <w:rFonts w:ascii="David" w:hAnsi="David" w:cs="David" w:hint="cs"/>
          <w:b/>
          <w:bCs/>
          <w:sz w:val="24"/>
          <w:szCs w:val="24"/>
          <w:rtl/>
        </w:rPr>
        <w:t>הכנה</w:t>
      </w:r>
      <w:r w:rsidRPr="00F25744">
        <w:rPr>
          <w:rFonts w:ascii="David" w:hAnsi="David" w:cs="David" w:hint="cs"/>
          <w:sz w:val="24"/>
          <w:szCs w:val="24"/>
          <w:rtl/>
        </w:rPr>
        <w:t xml:space="preserve"> לדיון </w:t>
      </w:r>
      <w:r w:rsidRPr="00F25744">
        <w:rPr>
          <w:rFonts w:ascii="David" w:hAnsi="David" w:cs="David" w:hint="cs"/>
          <w:b/>
          <w:bCs/>
          <w:sz w:val="24"/>
          <w:szCs w:val="24"/>
          <w:rtl/>
        </w:rPr>
        <w:t>שאינו</w:t>
      </w:r>
      <w:r w:rsidRPr="00F25744">
        <w:rPr>
          <w:rFonts w:ascii="David" w:hAnsi="David" w:cs="David" w:hint="cs"/>
          <w:sz w:val="24"/>
          <w:szCs w:val="24"/>
          <w:rtl/>
        </w:rPr>
        <w:t xml:space="preserve"> הוכחות</w:t>
      </w:r>
      <w:r w:rsidRPr="00F25744">
        <w:rPr>
          <w:rFonts w:ascii="David" w:hAnsi="David" w:cs="David" w:hint="cs"/>
          <w:b/>
          <w:bCs/>
          <w:sz w:val="24"/>
          <w:szCs w:val="24"/>
          <w:rtl/>
        </w:rPr>
        <w:t xml:space="preserve"> </w:t>
      </w:r>
      <w:r w:rsidRPr="00F25744">
        <w:rPr>
          <w:rFonts w:ascii="David" w:hAnsi="David" w:cs="David" w:hint="cs"/>
          <w:sz w:val="24"/>
          <w:szCs w:val="24"/>
          <w:rtl/>
        </w:rPr>
        <w:t xml:space="preserve">(לרבות דיון קד"מ, הקראה וכדומה)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736AC2F4" w14:textId="77777777" w:rsidR="005E4C22" w:rsidRPr="00F25744" w:rsidRDefault="00E25AE7" w:rsidP="00341018">
      <w:pPr>
        <w:numPr>
          <w:ilvl w:val="1"/>
          <w:numId w:val="33"/>
        </w:numPr>
        <w:spacing w:before="120" w:after="0" w:line="360" w:lineRule="auto"/>
        <w:ind w:left="1133" w:hanging="426"/>
        <w:jc w:val="both"/>
        <w:rPr>
          <w:rFonts w:ascii="David" w:hAnsi="David" w:cs="David"/>
          <w:sz w:val="24"/>
          <w:szCs w:val="24"/>
        </w:rPr>
      </w:pPr>
      <w:r w:rsidRPr="00F25744">
        <w:rPr>
          <w:rFonts w:ascii="David" w:hAnsi="David" w:cs="David" w:hint="cs"/>
          <w:b/>
          <w:bCs/>
          <w:sz w:val="24"/>
          <w:szCs w:val="24"/>
          <w:rtl/>
        </w:rPr>
        <w:t>שמיעת</w:t>
      </w:r>
      <w:r w:rsidRPr="00F25744">
        <w:rPr>
          <w:rFonts w:ascii="David" w:hAnsi="David" w:cs="David" w:hint="cs"/>
          <w:sz w:val="24"/>
          <w:szCs w:val="24"/>
          <w:rtl/>
        </w:rPr>
        <w:t xml:space="preserve"> דיון </w:t>
      </w:r>
      <w:r w:rsidRPr="00F25744">
        <w:rPr>
          <w:rFonts w:ascii="David" w:hAnsi="David" w:cs="David" w:hint="cs"/>
          <w:b/>
          <w:bCs/>
          <w:sz w:val="24"/>
          <w:szCs w:val="24"/>
          <w:rtl/>
        </w:rPr>
        <w:t>הוכחות</w:t>
      </w:r>
      <w:r w:rsidRPr="00F25744">
        <w:rPr>
          <w:rFonts w:ascii="David" w:hAnsi="David" w:cs="David" w:hint="cs"/>
          <w:sz w:val="24"/>
          <w:szCs w:val="24"/>
          <w:rtl/>
        </w:rPr>
        <w:t xml:space="preserve"> (לרבות דיון שבו נשמעות ראיות/ עדויות או סיכומים בעל פה/ טיעונים לעונש)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61C60645"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פ"ר</w:t>
      </w:r>
      <w:r w:rsidRPr="00F25744">
        <w:rPr>
          <w:rFonts w:ascii="David" w:hAnsi="David" w:cs="David" w:hint="cs"/>
          <w:sz w:val="24"/>
          <w:szCs w:val="24"/>
          <w:rtl/>
        </w:rPr>
        <w:t xml:space="preserve">, </w:t>
      </w:r>
      <w:r w:rsidRPr="00F25744">
        <w:rPr>
          <w:rFonts w:ascii="David" w:hAnsi="David" w:cs="David" w:hint="cs"/>
          <w:b/>
          <w:bCs/>
          <w:sz w:val="24"/>
          <w:szCs w:val="24"/>
          <w:rtl/>
        </w:rPr>
        <w:t>כמה</w:t>
      </w:r>
      <w:r w:rsidRPr="00F25744">
        <w:rPr>
          <w:rFonts w:ascii="David" w:hAnsi="David" w:cs="David" w:hint="cs"/>
          <w:sz w:val="24"/>
          <w:szCs w:val="24"/>
          <w:rtl/>
        </w:rPr>
        <w:t xml:space="preserve"> </w:t>
      </w:r>
      <w:r w:rsidRPr="00F25744">
        <w:rPr>
          <w:rFonts w:ascii="David" w:hAnsi="David" w:cs="David" w:hint="cs"/>
          <w:b/>
          <w:bCs/>
          <w:sz w:val="24"/>
          <w:szCs w:val="24"/>
          <w:rtl/>
        </w:rPr>
        <w:t xml:space="preserve">החלטות </w:t>
      </w:r>
      <w:r w:rsidRPr="00F25744">
        <w:rPr>
          <w:rFonts w:ascii="David" w:hAnsi="David" w:cs="David" w:hint="cs"/>
          <w:sz w:val="24"/>
          <w:szCs w:val="24"/>
          <w:rtl/>
        </w:rPr>
        <w:t xml:space="preserve">במסמך עצמאי (בין אם החלטות ביניים ובין אם החלטות הסוגרות את התיק) את/ה נותן/נת בממוצע להערכתך בתיק? [החלטה אחת, 2 החלטות, 3 החלטות, 4 החלטות, אם יותר מ-4 </w:t>
      </w:r>
      <w:r w:rsidRPr="00F25744">
        <w:rPr>
          <w:rFonts w:ascii="David" w:hAnsi="David" w:cs="David"/>
          <w:sz w:val="24"/>
          <w:szCs w:val="24"/>
          <w:rtl/>
        </w:rPr>
        <w:t>–</w:t>
      </w:r>
      <w:r w:rsidRPr="00F25744">
        <w:rPr>
          <w:rFonts w:ascii="David" w:hAnsi="David" w:cs="David" w:hint="cs"/>
          <w:sz w:val="24"/>
          <w:szCs w:val="24"/>
          <w:rtl/>
        </w:rPr>
        <w:t xml:space="preserve"> כמה? / לא רלבנטי לסוג התיק]</w:t>
      </w:r>
    </w:p>
    <w:p w14:paraId="04EB7A2F"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פ"ר</w:t>
      </w:r>
      <w:r w:rsidRPr="00F25744">
        <w:rPr>
          <w:rFonts w:ascii="David" w:hAnsi="David" w:cs="David" w:hint="cs"/>
          <w:sz w:val="24"/>
          <w:szCs w:val="24"/>
          <w:rtl/>
        </w:rPr>
        <w:t xml:space="preserve">, כמה זמן בממוצע לוקח לך להערכתך </w:t>
      </w:r>
      <w:r w:rsidRPr="00F25744">
        <w:rPr>
          <w:rFonts w:ascii="David" w:hAnsi="David" w:cs="David" w:hint="cs"/>
          <w:b/>
          <w:bCs/>
          <w:sz w:val="24"/>
          <w:szCs w:val="24"/>
          <w:rtl/>
        </w:rPr>
        <w:t>להתכונן</w:t>
      </w:r>
      <w:r w:rsidRPr="00F25744">
        <w:rPr>
          <w:rFonts w:ascii="David" w:hAnsi="David" w:cs="David" w:hint="cs"/>
          <w:sz w:val="24"/>
          <w:szCs w:val="24"/>
          <w:rtl/>
        </w:rPr>
        <w:t xml:space="preserve"> לדיון?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58BB0CE1"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חס"מ</w:t>
      </w:r>
      <w:r w:rsidRPr="00F25744">
        <w:rPr>
          <w:rFonts w:ascii="David" w:hAnsi="David" w:cs="David" w:hint="cs"/>
          <w:sz w:val="24"/>
          <w:szCs w:val="24"/>
          <w:rtl/>
        </w:rPr>
        <w:t>, כמה זמן בממוצע אורכות להערכתך הפעולות הבאות:</w:t>
      </w:r>
    </w:p>
    <w:p w14:paraId="1AE9E93C" w14:textId="77777777" w:rsidR="005E4C22" w:rsidRPr="00F25744" w:rsidRDefault="00E25AE7" w:rsidP="00341018">
      <w:pPr>
        <w:numPr>
          <w:ilvl w:val="1"/>
          <w:numId w:val="33"/>
        </w:numPr>
        <w:spacing w:before="120" w:after="0" w:line="360" w:lineRule="auto"/>
        <w:ind w:left="1133" w:hanging="426"/>
        <w:jc w:val="both"/>
        <w:rPr>
          <w:rFonts w:ascii="David" w:hAnsi="David" w:cs="David"/>
          <w:sz w:val="24"/>
          <w:szCs w:val="24"/>
        </w:rPr>
      </w:pPr>
      <w:r w:rsidRPr="00F25744">
        <w:rPr>
          <w:rFonts w:ascii="David" w:hAnsi="David" w:cs="David" w:hint="cs"/>
          <w:b/>
          <w:bCs/>
          <w:sz w:val="24"/>
          <w:szCs w:val="24"/>
          <w:rtl/>
        </w:rPr>
        <w:t xml:space="preserve">הכנה </w:t>
      </w:r>
      <w:r w:rsidRPr="00F25744">
        <w:rPr>
          <w:rFonts w:ascii="David" w:hAnsi="David" w:cs="David" w:hint="cs"/>
          <w:sz w:val="24"/>
          <w:szCs w:val="24"/>
          <w:rtl/>
        </w:rPr>
        <w:t xml:space="preserve">לקראת הדיון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1AA55FF1" w14:textId="77777777" w:rsidR="005E4C22" w:rsidRPr="00F25744" w:rsidRDefault="00E25AE7" w:rsidP="00341018">
      <w:pPr>
        <w:numPr>
          <w:ilvl w:val="1"/>
          <w:numId w:val="33"/>
        </w:numPr>
        <w:spacing w:before="120" w:after="0" w:line="360" w:lineRule="auto"/>
        <w:ind w:left="1133" w:hanging="426"/>
        <w:jc w:val="both"/>
        <w:rPr>
          <w:rFonts w:ascii="David" w:hAnsi="David" w:cs="David"/>
          <w:sz w:val="24"/>
          <w:szCs w:val="24"/>
        </w:rPr>
      </w:pPr>
      <w:r w:rsidRPr="00F25744">
        <w:rPr>
          <w:rFonts w:ascii="David" w:hAnsi="David" w:cs="David" w:hint="cs"/>
          <w:sz w:val="24"/>
          <w:szCs w:val="24"/>
          <w:rtl/>
        </w:rPr>
        <w:t xml:space="preserve">כתיבת </w:t>
      </w:r>
      <w:r w:rsidRPr="00F25744">
        <w:rPr>
          <w:rFonts w:ascii="David" w:hAnsi="David" w:cs="David" w:hint="cs"/>
          <w:b/>
          <w:bCs/>
          <w:sz w:val="24"/>
          <w:szCs w:val="24"/>
          <w:rtl/>
        </w:rPr>
        <w:t>עמוד אחד</w:t>
      </w:r>
      <w:r w:rsidRPr="00F25744">
        <w:rPr>
          <w:rFonts w:ascii="David" w:hAnsi="David" w:cs="David" w:hint="cs"/>
          <w:sz w:val="24"/>
          <w:szCs w:val="24"/>
          <w:rtl/>
        </w:rPr>
        <w:t xml:space="preserve"> של </w:t>
      </w:r>
      <w:r w:rsidRPr="00F25744">
        <w:rPr>
          <w:rFonts w:ascii="David" w:hAnsi="David" w:cs="David" w:hint="cs"/>
          <w:b/>
          <w:bCs/>
          <w:sz w:val="24"/>
          <w:szCs w:val="24"/>
          <w:rtl/>
        </w:rPr>
        <w:t>החלטה</w:t>
      </w:r>
      <w:r w:rsidRPr="00F25744">
        <w:rPr>
          <w:rFonts w:ascii="David" w:hAnsi="David" w:cs="David" w:hint="cs"/>
          <w:sz w:val="24"/>
          <w:szCs w:val="24"/>
          <w:rtl/>
        </w:rPr>
        <w:t xml:space="preserve"> במסמך עצמאי (לרבות החלטה הסוגרת את התיק והחלטה לאחר סגירה)?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555E5C6B"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ק"פ</w:t>
      </w:r>
      <w:r w:rsidRPr="00F25744">
        <w:rPr>
          <w:rFonts w:ascii="David" w:hAnsi="David" w:cs="David" w:hint="cs"/>
          <w:sz w:val="24"/>
          <w:szCs w:val="24"/>
          <w:rtl/>
        </w:rPr>
        <w:t>, כמה זמן בממוצע אורכות להערכתך הפעולות הבאות:</w:t>
      </w:r>
    </w:p>
    <w:p w14:paraId="200C53BC" w14:textId="77777777" w:rsidR="005E4C22" w:rsidRPr="00F25744" w:rsidRDefault="00E25AE7" w:rsidP="00341018">
      <w:pPr>
        <w:numPr>
          <w:ilvl w:val="1"/>
          <w:numId w:val="33"/>
        </w:numPr>
        <w:spacing w:before="120" w:after="0" w:line="360" w:lineRule="auto"/>
        <w:ind w:left="1133" w:hanging="426"/>
        <w:jc w:val="both"/>
        <w:rPr>
          <w:rFonts w:ascii="David" w:hAnsi="David" w:cs="David"/>
          <w:sz w:val="24"/>
          <w:szCs w:val="24"/>
        </w:rPr>
      </w:pPr>
      <w:r w:rsidRPr="00F25744">
        <w:rPr>
          <w:rFonts w:ascii="David" w:hAnsi="David" w:cs="David" w:hint="cs"/>
          <w:b/>
          <w:bCs/>
          <w:sz w:val="24"/>
          <w:szCs w:val="24"/>
          <w:rtl/>
        </w:rPr>
        <w:t>הכנה לדיון</w:t>
      </w:r>
      <w:r w:rsidRPr="00F25744">
        <w:rPr>
          <w:rFonts w:ascii="David" w:hAnsi="David" w:cs="David" w:hint="cs"/>
          <w:sz w:val="24"/>
          <w:szCs w:val="24"/>
          <w:rtl/>
        </w:rPr>
        <w:t xml:space="preserve"> מסוג </w:t>
      </w:r>
      <w:r w:rsidRPr="00F25744">
        <w:rPr>
          <w:rFonts w:ascii="David" w:hAnsi="David" w:cs="David" w:hint="cs"/>
          <w:b/>
          <w:bCs/>
          <w:sz w:val="24"/>
          <w:szCs w:val="24"/>
          <w:rtl/>
        </w:rPr>
        <w:t xml:space="preserve">הוכחות </w:t>
      </w:r>
      <w:r w:rsidRPr="00F25744">
        <w:rPr>
          <w:rFonts w:ascii="David" w:hAnsi="David" w:cs="David" w:hint="cs"/>
          <w:sz w:val="24"/>
          <w:szCs w:val="24"/>
          <w:rtl/>
        </w:rPr>
        <w:t xml:space="preserve">(לרבות דיון שבו נשמעות ראיות/ עדויות או סיכומים בעל פה/ טיעונים לעונש)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13F50521" w14:textId="77777777" w:rsidR="005E4C22" w:rsidRPr="00F25744" w:rsidRDefault="00E25AE7" w:rsidP="00341018">
      <w:pPr>
        <w:numPr>
          <w:ilvl w:val="1"/>
          <w:numId w:val="33"/>
        </w:numPr>
        <w:spacing w:before="120" w:after="0" w:line="360" w:lineRule="auto"/>
        <w:ind w:left="1133" w:hanging="426"/>
        <w:jc w:val="both"/>
        <w:rPr>
          <w:rFonts w:ascii="David" w:hAnsi="David" w:cs="David"/>
          <w:sz w:val="24"/>
          <w:szCs w:val="24"/>
        </w:rPr>
      </w:pPr>
      <w:r w:rsidRPr="00F25744">
        <w:rPr>
          <w:rFonts w:ascii="David" w:hAnsi="David" w:cs="David" w:hint="cs"/>
          <w:b/>
          <w:bCs/>
          <w:sz w:val="24"/>
          <w:szCs w:val="24"/>
          <w:rtl/>
        </w:rPr>
        <w:t>הכנה</w:t>
      </w:r>
      <w:r w:rsidRPr="00F25744">
        <w:rPr>
          <w:rFonts w:ascii="David" w:hAnsi="David" w:cs="David" w:hint="cs"/>
          <w:sz w:val="24"/>
          <w:szCs w:val="24"/>
          <w:rtl/>
        </w:rPr>
        <w:t xml:space="preserve"> לדיון </w:t>
      </w:r>
      <w:r w:rsidRPr="00F25744">
        <w:rPr>
          <w:rFonts w:ascii="David" w:hAnsi="David" w:cs="David" w:hint="cs"/>
          <w:b/>
          <w:bCs/>
          <w:sz w:val="24"/>
          <w:szCs w:val="24"/>
          <w:rtl/>
        </w:rPr>
        <w:t>שאינו</w:t>
      </w:r>
      <w:r w:rsidRPr="00F25744">
        <w:rPr>
          <w:rFonts w:ascii="David" w:hAnsi="David" w:cs="David" w:hint="cs"/>
          <w:sz w:val="24"/>
          <w:szCs w:val="24"/>
          <w:rtl/>
        </w:rPr>
        <w:t xml:space="preserve"> הוכחות</w:t>
      </w:r>
      <w:r w:rsidRPr="00F25744">
        <w:rPr>
          <w:rFonts w:ascii="David" w:hAnsi="David" w:cs="David" w:hint="cs"/>
          <w:b/>
          <w:bCs/>
          <w:sz w:val="24"/>
          <w:szCs w:val="24"/>
          <w:rtl/>
        </w:rPr>
        <w:t xml:space="preserve"> </w:t>
      </w:r>
      <w:r w:rsidRPr="00F25744">
        <w:rPr>
          <w:rFonts w:ascii="David" w:hAnsi="David" w:cs="David" w:hint="cs"/>
          <w:sz w:val="24"/>
          <w:szCs w:val="24"/>
          <w:rtl/>
        </w:rPr>
        <w:t xml:space="preserve">(לרבות דיון קד"מ, הקראה וכדומה)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39D26E73" w14:textId="77777777" w:rsidR="005E4C22" w:rsidRPr="00F25744" w:rsidRDefault="00E25AE7" w:rsidP="00341018">
      <w:pPr>
        <w:numPr>
          <w:ilvl w:val="1"/>
          <w:numId w:val="33"/>
        </w:numPr>
        <w:spacing w:before="120" w:after="0" w:line="360" w:lineRule="auto"/>
        <w:ind w:left="1133" w:hanging="426"/>
        <w:jc w:val="both"/>
        <w:rPr>
          <w:rFonts w:ascii="David" w:hAnsi="David" w:cs="David"/>
          <w:sz w:val="24"/>
          <w:szCs w:val="24"/>
        </w:rPr>
      </w:pPr>
      <w:r w:rsidRPr="00F25744">
        <w:rPr>
          <w:rFonts w:ascii="David" w:hAnsi="David" w:cs="David" w:hint="cs"/>
          <w:b/>
          <w:bCs/>
          <w:sz w:val="24"/>
          <w:szCs w:val="24"/>
          <w:rtl/>
        </w:rPr>
        <w:t>כתיבת עמוד אחד</w:t>
      </w:r>
      <w:r w:rsidRPr="00F25744">
        <w:rPr>
          <w:rFonts w:ascii="David" w:hAnsi="David" w:cs="David" w:hint="cs"/>
          <w:sz w:val="24"/>
          <w:szCs w:val="24"/>
          <w:rtl/>
        </w:rPr>
        <w:t xml:space="preserve"> של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במסמך עצמאי (לרבות החלטה לאחר סגירה)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58E3F2BD" w14:textId="77777777" w:rsidR="005E4C22" w:rsidRPr="00F25744" w:rsidRDefault="00E25AE7" w:rsidP="00341018">
      <w:pPr>
        <w:numPr>
          <w:ilvl w:val="1"/>
          <w:numId w:val="33"/>
        </w:numPr>
        <w:spacing w:before="120" w:after="0" w:line="360" w:lineRule="auto"/>
        <w:ind w:left="1133" w:hanging="426"/>
        <w:jc w:val="both"/>
        <w:rPr>
          <w:rFonts w:ascii="David" w:hAnsi="David" w:cs="David"/>
          <w:sz w:val="24"/>
          <w:szCs w:val="24"/>
        </w:rPr>
      </w:pPr>
      <w:r w:rsidRPr="00F25744">
        <w:rPr>
          <w:rFonts w:ascii="David" w:hAnsi="David" w:cs="David" w:hint="cs"/>
          <w:b/>
          <w:bCs/>
          <w:sz w:val="24"/>
          <w:szCs w:val="24"/>
          <w:rtl/>
        </w:rPr>
        <w:t>כתיבת עמוד אחד</w:t>
      </w:r>
      <w:r w:rsidRPr="00F25744">
        <w:rPr>
          <w:rFonts w:ascii="David" w:hAnsi="David" w:cs="David" w:hint="cs"/>
          <w:sz w:val="24"/>
          <w:szCs w:val="24"/>
          <w:rtl/>
        </w:rPr>
        <w:t xml:space="preserve"> של </w:t>
      </w:r>
      <w:r w:rsidRPr="00F25744">
        <w:rPr>
          <w:rFonts w:ascii="David" w:hAnsi="David" w:cs="David" w:hint="cs"/>
          <w:b/>
          <w:bCs/>
          <w:sz w:val="24"/>
          <w:szCs w:val="24"/>
          <w:rtl/>
        </w:rPr>
        <w:t>פסק דין מנומק</w:t>
      </w:r>
      <w:r w:rsidRPr="00F25744">
        <w:rPr>
          <w:rFonts w:ascii="David" w:hAnsi="David" w:cs="David" w:hint="cs"/>
          <w:sz w:val="24"/>
          <w:szCs w:val="24"/>
          <w:rtl/>
        </w:rPr>
        <w:t xml:space="preserve"> (ללא הסכמות הצדדים) שניתן מחוץ לאולם (לרבות טיוטה שנכתבה טרם הדיון והוקראה באולם) [</w:t>
      </w:r>
      <w:r w:rsidRPr="00F25744">
        <w:rPr>
          <w:rFonts w:ascii="David" w:hAnsi="David" w:cs="David"/>
          <w:sz w:val="24"/>
          <w:szCs w:val="24"/>
          <w:rtl/>
        </w:rPr>
        <w:t>עד</w:t>
      </w:r>
      <w:r w:rsidRPr="00F25744">
        <w:rPr>
          <w:rFonts w:ascii="David" w:hAnsi="David" w:cs="David" w:hint="cs"/>
          <w:sz w:val="24"/>
          <w:szCs w:val="24"/>
          <w:rtl/>
        </w:rPr>
        <w:t xml:space="preserve"> 5 דקות</w:t>
      </w:r>
      <w:r w:rsidRPr="00F25744">
        <w:rPr>
          <w:rFonts w:ascii="David" w:hAnsi="David" w:cs="David"/>
          <w:sz w:val="24"/>
          <w:szCs w:val="24"/>
          <w:rtl/>
        </w:rPr>
        <w:t>,</w:t>
      </w:r>
      <w:r w:rsidRPr="00F25744">
        <w:rPr>
          <w:rFonts w:ascii="David" w:hAnsi="David" w:cs="David" w:hint="cs"/>
          <w:sz w:val="24"/>
          <w:szCs w:val="24"/>
          <w:rtl/>
        </w:rPr>
        <w:t xml:space="preserve"> 5-10 דקות</w:t>
      </w:r>
      <w:r w:rsidRPr="00F25744">
        <w:rPr>
          <w:rFonts w:ascii="David" w:hAnsi="David" w:cs="David"/>
          <w:sz w:val="24"/>
          <w:szCs w:val="24"/>
          <w:rtl/>
        </w:rPr>
        <w:t xml:space="preserve">, </w:t>
      </w:r>
      <w:r w:rsidRPr="00F25744">
        <w:rPr>
          <w:rFonts w:ascii="David" w:hAnsi="David" w:cs="David" w:hint="cs"/>
          <w:sz w:val="24"/>
          <w:szCs w:val="24"/>
          <w:rtl/>
        </w:rPr>
        <w:t>10-15 דקות</w:t>
      </w:r>
      <w:r w:rsidRPr="00F25744">
        <w:rPr>
          <w:rFonts w:ascii="David" w:hAnsi="David" w:cs="David"/>
          <w:sz w:val="24"/>
          <w:szCs w:val="24"/>
          <w:rtl/>
        </w:rPr>
        <w:t xml:space="preserve">, </w:t>
      </w:r>
      <w:r w:rsidRPr="00F25744">
        <w:rPr>
          <w:rFonts w:ascii="David" w:hAnsi="David" w:cs="David" w:hint="cs"/>
          <w:sz w:val="24"/>
          <w:szCs w:val="24"/>
          <w:rtl/>
        </w:rPr>
        <w:t>15-20 דקות</w:t>
      </w:r>
      <w:r w:rsidRPr="00F25744">
        <w:rPr>
          <w:rFonts w:ascii="David" w:hAnsi="David" w:cs="David"/>
          <w:sz w:val="24"/>
          <w:szCs w:val="24"/>
          <w:rtl/>
        </w:rPr>
        <w:t xml:space="preserve">, </w:t>
      </w:r>
      <w:r w:rsidRPr="00F25744">
        <w:rPr>
          <w:rFonts w:ascii="David" w:hAnsi="David" w:cs="David" w:hint="cs"/>
          <w:sz w:val="24"/>
          <w:szCs w:val="24"/>
          <w:rtl/>
        </w:rPr>
        <w:t>20-25 דקות</w:t>
      </w:r>
      <w:r w:rsidRPr="00F25744">
        <w:rPr>
          <w:rFonts w:ascii="David" w:hAnsi="David" w:cs="David"/>
          <w:sz w:val="24"/>
          <w:szCs w:val="24"/>
          <w:rtl/>
        </w:rPr>
        <w:t xml:space="preserve">, </w:t>
      </w:r>
      <w:r w:rsidRPr="00F25744">
        <w:rPr>
          <w:rFonts w:ascii="David" w:hAnsi="David" w:cs="David" w:hint="cs"/>
          <w:sz w:val="24"/>
          <w:szCs w:val="24"/>
          <w:rtl/>
        </w:rPr>
        <w:t xml:space="preserve">25-30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3BE42902"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lastRenderedPageBreak/>
        <w:t xml:space="preserve">בתיק מסוג </w:t>
      </w:r>
      <w:r w:rsidRPr="00F25744">
        <w:rPr>
          <w:rFonts w:ascii="David" w:hAnsi="David" w:cs="David" w:hint="cs"/>
          <w:b/>
          <w:bCs/>
          <w:sz w:val="24"/>
          <w:szCs w:val="24"/>
          <w:u w:val="single"/>
          <w:rtl/>
        </w:rPr>
        <w:t>ק"פ</w:t>
      </w:r>
      <w:r w:rsidRPr="00F25744">
        <w:rPr>
          <w:rFonts w:ascii="David" w:hAnsi="David" w:cs="David" w:hint="cs"/>
          <w:sz w:val="24"/>
          <w:szCs w:val="24"/>
          <w:rtl/>
        </w:rPr>
        <w:t xml:space="preserve">, </w:t>
      </w:r>
      <w:r w:rsidRPr="00F25744">
        <w:rPr>
          <w:rFonts w:ascii="David" w:hAnsi="David" w:cs="David" w:hint="cs"/>
          <w:b/>
          <w:bCs/>
          <w:sz w:val="24"/>
          <w:szCs w:val="24"/>
          <w:rtl/>
        </w:rPr>
        <w:t>כמה עמודים</w:t>
      </w:r>
      <w:r w:rsidRPr="00F25744">
        <w:rPr>
          <w:rFonts w:ascii="David" w:hAnsi="David" w:cs="David" w:hint="cs"/>
          <w:sz w:val="24"/>
          <w:szCs w:val="24"/>
          <w:rtl/>
        </w:rPr>
        <w:t xml:space="preserve"> בממוצע אורכת להערכתך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במסמך עצמאי? [עמוד 1, 2 עמודים, 3 עמודים, 4 עמודים, 5 עמודים, אם יותר מ-5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3B05FE3B"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ג"פ</w:t>
      </w:r>
      <w:r w:rsidRPr="00F25744">
        <w:rPr>
          <w:rFonts w:ascii="David" w:hAnsi="David" w:cs="David" w:hint="cs"/>
          <w:sz w:val="24"/>
          <w:szCs w:val="24"/>
          <w:rtl/>
        </w:rPr>
        <w:t>, כמה זמן בממוצע אורכות להערכתך הפעולות הבאות:</w:t>
      </w:r>
    </w:p>
    <w:p w14:paraId="6FF6E25D" w14:textId="77777777" w:rsidR="005E4C22" w:rsidRPr="00F25744" w:rsidRDefault="00E25AE7" w:rsidP="00341018">
      <w:pPr>
        <w:numPr>
          <w:ilvl w:val="1"/>
          <w:numId w:val="33"/>
        </w:numPr>
        <w:spacing w:before="120" w:after="0" w:line="360" w:lineRule="auto"/>
        <w:ind w:left="1133" w:hanging="426"/>
        <w:jc w:val="both"/>
        <w:rPr>
          <w:rFonts w:ascii="David" w:hAnsi="David" w:cs="David"/>
          <w:sz w:val="24"/>
          <w:szCs w:val="24"/>
        </w:rPr>
      </w:pPr>
      <w:r w:rsidRPr="00F25744">
        <w:rPr>
          <w:rFonts w:ascii="David" w:hAnsi="David" w:cs="David" w:hint="cs"/>
          <w:b/>
          <w:bCs/>
          <w:sz w:val="24"/>
          <w:szCs w:val="24"/>
          <w:rtl/>
        </w:rPr>
        <w:t xml:space="preserve">הכנה </w:t>
      </w:r>
      <w:r w:rsidRPr="00F25744">
        <w:rPr>
          <w:rFonts w:ascii="David" w:hAnsi="David" w:cs="David" w:hint="cs"/>
          <w:sz w:val="24"/>
          <w:szCs w:val="24"/>
          <w:rtl/>
        </w:rPr>
        <w:t xml:space="preserve">לקראת הדיון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6D570E2E" w14:textId="77777777" w:rsidR="005E4C22" w:rsidRPr="00F25744" w:rsidRDefault="00E25AE7" w:rsidP="00341018">
      <w:pPr>
        <w:numPr>
          <w:ilvl w:val="1"/>
          <w:numId w:val="33"/>
        </w:numPr>
        <w:spacing w:before="120" w:after="0" w:line="360" w:lineRule="auto"/>
        <w:ind w:left="1133" w:hanging="426"/>
        <w:jc w:val="both"/>
        <w:rPr>
          <w:rFonts w:ascii="David" w:hAnsi="David" w:cs="David"/>
          <w:sz w:val="24"/>
          <w:szCs w:val="24"/>
        </w:rPr>
      </w:pPr>
      <w:r w:rsidRPr="00F25744">
        <w:rPr>
          <w:rFonts w:ascii="David" w:hAnsi="David" w:cs="David" w:hint="cs"/>
          <w:sz w:val="24"/>
          <w:szCs w:val="24"/>
          <w:rtl/>
        </w:rPr>
        <w:t xml:space="preserve">כתיבת </w:t>
      </w:r>
      <w:r w:rsidRPr="00F25744">
        <w:rPr>
          <w:rFonts w:ascii="David" w:hAnsi="David" w:cs="David" w:hint="cs"/>
          <w:b/>
          <w:bCs/>
          <w:sz w:val="24"/>
          <w:szCs w:val="24"/>
          <w:rtl/>
        </w:rPr>
        <w:t>עמוד אחד</w:t>
      </w:r>
      <w:r w:rsidRPr="00F25744">
        <w:rPr>
          <w:rFonts w:ascii="David" w:hAnsi="David" w:cs="David" w:hint="cs"/>
          <w:sz w:val="24"/>
          <w:szCs w:val="24"/>
          <w:rtl/>
        </w:rPr>
        <w:t xml:space="preserve"> של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במסמך עצמאי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3FC7F96A"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וש"ר</w:t>
      </w:r>
      <w:r w:rsidRPr="00F25744">
        <w:rPr>
          <w:rFonts w:ascii="David" w:hAnsi="David" w:cs="David" w:hint="cs"/>
          <w:sz w:val="24"/>
          <w:szCs w:val="24"/>
          <w:rtl/>
        </w:rPr>
        <w:t xml:space="preserve">, כמה זמן בממוצע לוקח לך להערכתך </w:t>
      </w:r>
      <w:r w:rsidRPr="00F25744">
        <w:rPr>
          <w:rFonts w:ascii="David" w:hAnsi="David" w:cs="David" w:hint="cs"/>
          <w:b/>
          <w:bCs/>
          <w:sz w:val="24"/>
          <w:szCs w:val="24"/>
          <w:rtl/>
        </w:rPr>
        <w:t>להתכונן לקראת הדיון</w:t>
      </w:r>
      <w:r w:rsidRPr="00F25744">
        <w:rPr>
          <w:rFonts w:ascii="David" w:hAnsi="David" w:cs="David" w:hint="cs"/>
          <w:sz w:val="24"/>
          <w:szCs w:val="24"/>
          <w:rtl/>
        </w:rPr>
        <w:t xml:space="preserve">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75B83757" w14:textId="77777777" w:rsidR="005E4C22" w:rsidRPr="00F25744" w:rsidRDefault="00E25AE7" w:rsidP="005E4C22">
      <w:pPr>
        <w:spacing w:before="120" w:after="0" w:line="360" w:lineRule="auto"/>
        <w:jc w:val="both"/>
        <w:rPr>
          <w:rFonts w:ascii="David" w:hAnsi="David" w:cs="David"/>
          <w:b/>
          <w:bCs/>
          <w:sz w:val="24"/>
          <w:szCs w:val="24"/>
          <w:u w:val="single"/>
        </w:rPr>
      </w:pPr>
      <w:r w:rsidRPr="00F25744">
        <w:rPr>
          <w:rFonts w:ascii="David" w:hAnsi="David" w:cs="David" w:hint="cs"/>
          <w:b/>
          <w:bCs/>
          <w:sz w:val="24"/>
          <w:szCs w:val="24"/>
          <w:u w:val="single"/>
          <w:rtl/>
        </w:rPr>
        <w:t>תיקי עמ"ק:</w:t>
      </w:r>
    </w:p>
    <w:p w14:paraId="372FEAA9"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חע"מ</w:t>
      </w:r>
      <w:r w:rsidRPr="00F25744">
        <w:rPr>
          <w:rFonts w:ascii="David" w:hAnsi="David" w:cs="David" w:hint="cs"/>
          <w:sz w:val="24"/>
          <w:szCs w:val="24"/>
          <w:rtl/>
        </w:rPr>
        <w:t>, כמה זמן בממוצע אורכות להערכתך הפעולות הבאות:</w:t>
      </w:r>
    </w:p>
    <w:p w14:paraId="444A1828" w14:textId="77777777" w:rsidR="005E4C22" w:rsidRPr="00F25744" w:rsidRDefault="00E25AE7" w:rsidP="00341018">
      <w:pPr>
        <w:numPr>
          <w:ilvl w:val="1"/>
          <w:numId w:val="33"/>
        </w:numPr>
        <w:spacing w:before="120" w:after="0" w:line="360" w:lineRule="auto"/>
        <w:ind w:left="1133" w:hanging="426"/>
        <w:jc w:val="both"/>
        <w:rPr>
          <w:rFonts w:ascii="David" w:hAnsi="David" w:cs="David"/>
          <w:sz w:val="24"/>
          <w:szCs w:val="24"/>
        </w:rPr>
      </w:pPr>
      <w:r w:rsidRPr="00F25744">
        <w:rPr>
          <w:rFonts w:ascii="David" w:hAnsi="David" w:cs="David" w:hint="cs"/>
          <w:b/>
          <w:bCs/>
          <w:sz w:val="24"/>
          <w:szCs w:val="24"/>
          <w:rtl/>
        </w:rPr>
        <w:t>הכנה לדיון</w:t>
      </w:r>
      <w:r w:rsidRPr="00F25744">
        <w:rPr>
          <w:rFonts w:ascii="David" w:hAnsi="David" w:cs="David" w:hint="cs"/>
          <w:sz w:val="24"/>
          <w:szCs w:val="24"/>
          <w:rtl/>
        </w:rPr>
        <w:t xml:space="preserve"> מסוג </w:t>
      </w:r>
      <w:r w:rsidRPr="00F25744">
        <w:rPr>
          <w:rFonts w:ascii="David" w:hAnsi="David" w:cs="David" w:hint="cs"/>
          <w:b/>
          <w:bCs/>
          <w:sz w:val="24"/>
          <w:szCs w:val="24"/>
          <w:rtl/>
        </w:rPr>
        <w:t xml:space="preserve">הוכחות </w:t>
      </w:r>
      <w:r w:rsidRPr="00F25744">
        <w:rPr>
          <w:rFonts w:ascii="David" w:hAnsi="David" w:cs="David" w:hint="cs"/>
          <w:sz w:val="24"/>
          <w:szCs w:val="24"/>
          <w:rtl/>
        </w:rPr>
        <w:t xml:space="preserve">(לרבות דיון שבו נשמעות ראיות/ עדויות או סיכומים בעל פה/ טיעונים לעונש)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698D8A4D" w14:textId="77777777" w:rsidR="005E4C22" w:rsidRPr="00F25744" w:rsidRDefault="00E25AE7" w:rsidP="00341018">
      <w:pPr>
        <w:numPr>
          <w:ilvl w:val="1"/>
          <w:numId w:val="33"/>
        </w:numPr>
        <w:spacing w:before="120" w:after="0" w:line="360" w:lineRule="auto"/>
        <w:ind w:left="1133" w:hanging="426"/>
        <w:jc w:val="both"/>
        <w:rPr>
          <w:rFonts w:ascii="David" w:hAnsi="David" w:cs="David"/>
          <w:sz w:val="24"/>
          <w:szCs w:val="24"/>
        </w:rPr>
      </w:pPr>
      <w:r w:rsidRPr="00F25744">
        <w:rPr>
          <w:rFonts w:ascii="David" w:hAnsi="David" w:cs="David" w:hint="cs"/>
          <w:b/>
          <w:bCs/>
          <w:sz w:val="24"/>
          <w:szCs w:val="24"/>
          <w:rtl/>
        </w:rPr>
        <w:t>כתיבת עמוד אחד</w:t>
      </w:r>
      <w:r w:rsidRPr="00F25744">
        <w:rPr>
          <w:rFonts w:ascii="David" w:hAnsi="David" w:cs="David" w:hint="cs"/>
          <w:sz w:val="24"/>
          <w:szCs w:val="24"/>
          <w:rtl/>
        </w:rPr>
        <w:t xml:space="preserve"> של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במסמך עצמאי (לרבות החלטה לאחר סגירה)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 xml:space="preserve">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75FF88A8" w14:textId="77777777" w:rsidR="005E4C22" w:rsidRPr="00F25744" w:rsidRDefault="00E25AE7" w:rsidP="00341018">
      <w:pPr>
        <w:numPr>
          <w:ilvl w:val="1"/>
          <w:numId w:val="33"/>
        </w:numPr>
        <w:spacing w:before="120" w:after="0" w:line="360" w:lineRule="auto"/>
        <w:ind w:left="1133" w:hanging="426"/>
        <w:jc w:val="both"/>
        <w:rPr>
          <w:rFonts w:ascii="David" w:hAnsi="David" w:cs="David"/>
          <w:sz w:val="24"/>
          <w:szCs w:val="24"/>
        </w:rPr>
      </w:pPr>
      <w:r w:rsidRPr="00F25744">
        <w:rPr>
          <w:rFonts w:ascii="David" w:hAnsi="David" w:cs="David" w:hint="cs"/>
          <w:b/>
          <w:bCs/>
          <w:sz w:val="24"/>
          <w:szCs w:val="24"/>
          <w:rtl/>
        </w:rPr>
        <w:t>כתיבת עמוד אחד</w:t>
      </w:r>
      <w:r w:rsidRPr="00F25744">
        <w:rPr>
          <w:rFonts w:ascii="David" w:hAnsi="David" w:cs="David" w:hint="cs"/>
          <w:sz w:val="24"/>
          <w:szCs w:val="24"/>
          <w:rtl/>
        </w:rPr>
        <w:t xml:space="preserve"> של </w:t>
      </w:r>
      <w:r w:rsidRPr="00F25744">
        <w:rPr>
          <w:rFonts w:ascii="David" w:hAnsi="David" w:cs="David" w:hint="cs"/>
          <w:b/>
          <w:bCs/>
          <w:sz w:val="24"/>
          <w:szCs w:val="24"/>
          <w:rtl/>
        </w:rPr>
        <w:t>פסק דין מנומק</w:t>
      </w:r>
      <w:r w:rsidRPr="00F25744">
        <w:rPr>
          <w:rFonts w:ascii="David" w:hAnsi="David" w:cs="David" w:hint="cs"/>
          <w:sz w:val="24"/>
          <w:szCs w:val="24"/>
          <w:rtl/>
        </w:rPr>
        <w:t xml:space="preserve"> (ללא הסכמות הצדדים) שניתן מחוץ לאולם (לרבות טיוטה שנכתבה טרם הדיון והוקראה באולם) [</w:t>
      </w:r>
      <w:r w:rsidRPr="00F25744">
        <w:rPr>
          <w:rFonts w:ascii="David" w:hAnsi="David" w:cs="David"/>
          <w:sz w:val="24"/>
          <w:szCs w:val="24"/>
          <w:rtl/>
        </w:rPr>
        <w:t>עד</w:t>
      </w:r>
      <w:r w:rsidRPr="00F25744">
        <w:rPr>
          <w:rFonts w:ascii="David" w:hAnsi="David" w:cs="David" w:hint="cs"/>
          <w:sz w:val="24"/>
          <w:szCs w:val="24"/>
          <w:rtl/>
        </w:rPr>
        <w:t xml:space="preserve"> 5 דקות</w:t>
      </w:r>
      <w:r w:rsidRPr="00F25744">
        <w:rPr>
          <w:rFonts w:ascii="David" w:hAnsi="David" w:cs="David"/>
          <w:sz w:val="24"/>
          <w:szCs w:val="24"/>
          <w:rtl/>
        </w:rPr>
        <w:t>,</w:t>
      </w:r>
      <w:r w:rsidRPr="00F25744">
        <w:rPr>
          <w:rFonts w:ascii="David" w:hAnsi="David" w:cs="David" w:hint="cs"/>
          <w:sz w:val="24"/>
          <w:szCs w:val="24"/>
          <w:rtl/>
        </w:rPr>
        <w:t xml:space="preserve"> 5-10 דקות</w:t>
      </w:r>
      <w:r w:rsidRPr="00F25744">
        <w:rPr>
          <w:rFonts w:ascii="David" w:hAnsi="David" w:cs="David"/>
          <w:sz w:val="24"/>
          <w:szCs w:val="24"/>
          <w:rtl/>
        </w:rPr>
        <w:t xml:space="preserve">, </w:t>
      </w:r>
      <w:r w:rsidRPr="00F25744">
        <w:rPr>
          <w:rFonts w:ascii="David" w:hAnsi="David" w:cs="David" w:hint="cs"/>
          <w:sz w:val="24"/>
          <w:szCs w:val="24"/>
          <w:rtl/>
        </w:rPr>
        <w:t>10-15 דקות</w:t>
      </w:r>
      <w:r w:rsidRPr="00F25744">
        <w:rPr>
          <w:rFonts w:ascii="David" w:hAnsi="David" w:cs="David"/>
          <w:sz w:val="24"/>
          <w:szCs w:val="24"/>
          <w:rtl/>
        </w:rPr>
        <w:t xml:space="preserve">, </w:t>
      </w:r>
      <w:r w:rsidRPr="00F25744">
        <w:rPr>
          <w:rFonts w:ascii="David" w:hAnsi="David" w:cs="David" w:hint="cs"/>
          <w:sz w:val="24"/>
          <w:szCs w:val="24"/>
          <w:rtl/>
        </w:rPr>
        <w:t>15-20 דקות</w:t>
      </w:r>
      <w:r w:rsidRPr="00F25744">
        <w:rPr>
          <w:rFonts w:ascii="David" w:hAnsi="David" w:cs="David"/>
          <w:sz w:val="24"/>
          <w:szCs w:val="24"/>
          <w:rtl/>
        </w:rPr>
        <w:t xml:space="preserve">, </w:t>
      </w:r>
      <w:r w:rsidRPr="00F25744">
        <w:rPr>
          <w:rFonts w:ascii="David" w:hAnsi="David" w:cs="David" w:hint="cs"/>
          <w:sz w:val="24"/>
          <w:szCs w:val="24"/>
          <w:rtl/>
        </w:rPr>
        <w:t>20-25 דקות</w:t>
      </w:r>
      <w:r w:rsidRPr="00F25744">
        <w:rPr>
          <w:rFonts w:ascii="David" w:hAnsi="David" w:cs="David"/>
          <w:sz w:val="24"/>
          <w:szCs w:val="24"/>
          <w:rtl/>
        </w:rPr>
        <w:t xml:space="preserve">, </w:t>
      </w:r>
      <w:r w:rsidRPr="00F25744">
        <w:rPr>
          <w:rFonts w:ascii="David" w:hAnsi="David" w:cs="David" w:hint="cs"/>
          <w:sz w:val="24"/>
          <w:szCs w:val="24"/>
          <w:rtl/>
        </w:rPr>
        <w:t xml:space="preserve">25-30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672A8951"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חע"ק</w:t>
      </w:r>
      <w:r w:rsidRPr="00F25744">
        <w:rPr>
          <w:rFonts w:ascii="David" w:hAnsi="David" w:cs="David" w:hint="cs"/>
          <w:sz w:val="24"/>
          <w:szCs w:val="24"/>
          <w:rtl/>
        </w:rPr>
        <w:t>, כמה זמן בממוצע אורכות להערכתך הפעולות הבאות:</w:t>
      </w:r>
    </w:p>
    <w:p w14:paraId="65E2E508" w14:textId="77777777" w:rsidR="005E4C22" w:rsidRPr="00F25744" w:rsidRDefault="00E25AE7" w:rsidP="00341018">
      <w:pPr>
        <w:numPr>
          <w:ilvl w:val="1"/>
          <w:numId w:val="33"/>
        </w:numPr>
        <w:spacing w:before="120" w:after="0" w:line="360" w:lineRule="auto"/>
        <w:ind w:left="1133" w:hanging="426"/>
        <w:jc w:val="both"/>
        <w:rPr>
          <w:rFonts w:ascii="David" w:hAnsi="David" w:cs="David"/>
          <w:sz w:val="24"/>
          <w:szCs w:val="24"/>
        </w:rPr>
      </w:pPr>
      <w:r w:rsidRPr="00F25744">
        <w:rPr>
          <w:rFonts w:ascii="David" w:hAnsi="David" w:cs="David" w:hint="cs"/>
          <w:b/>
          <w:bCs/>
          <w:sz w:val="24"/>
          <w:szCs w:val="24"/>
          <w:rtl/>
        </w:rPr>
        <w:t>הכנה לדיון</w:t>
      </w:r>
      <w:r w:rsidRPr="00F25744">
        <w:rPr>
          <w:rFonts w:ascii="David" w:hAnsi="David" w:cs="David" w:hint="cs"/>
          <w:sz w:val="24"/>
          <w:szCs w:val="24"/>
          <w:rtl/>
        </w:rPr>
        <w:t xml:space="preserve"> מסוג </w:t>
      </w:r>
      <w:r w:rsidRPr="00F25744">
        <w:rPr>
          <w:rFonts w:ascii="David" w:hAnsi="David" w:cs="David" w:hint="cs"/>
          <w:b/>
          <w:bCs/>
          <w:sz w:val="24"/>
          <w:szCs w:val="24"/>
          <w:rtl/>
        </w:rPr>
        <w:t xml:space="preserve">הוכחות </w:t>
      </w:r>
      <w:r w:rsidRPr="00F25744">
        <w:rPr>
          <w:rFonts w:ascii="David" w:hAnsi="David" w:cs="David" w:hint="cs"/>
          <w:sz w:val="24"/>
          <w:szCs w:val="24"/>
          <w:rtl/>
        </w:rPr>
        <w:t xml:space="preserve">(לרבות דיון שבו נשמעות ראיות/ עדויות או סיכומים בעל פה/ טיעונים לעונש)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4C79405E" w14:textId="77777777" w:rsidR="005E4C22" w:rsidRPr="00F25744" w:rsidRDefault="00E25AE7" w:rsidP="00341018">
      <w:pPr>
        <w:numPr>
          <w:ilvl w:val="1"/>
          <w:numId w:val="33"/>
        </w:numPr>
        <w:spacing w:before="120" w:after="0" w:line="360" w:lineRule="auto"/>
        <w:ind w:left="1133" w:hanging="426"/>
        <w:jc w:val="both"/>
        <w:rPr>
          <w:rFonts w:ascii="David" w:hAnsi="David" w:cs="David"/>
          <w:sz w:val="24"/>
          <w:szCs w:val="24"/>
        </w:rPr>
      </w:pPr>
      <w:r w:rsidRPr="00F25744">
        <w:rPr>
          <w:rFonts w:ascii="David" w:hAnsi="David" w:cs="David" w:hint="cs"/>
          <w:b/>
          <w:bCs/>
          <w:sz w:val="24"/>
          <w:szCs w:val="24"/>
          <w:rtl/>
        </w:rPr>
        <w:t>הכנה</w:t>
      </w:r>
      <w:r w:rsidRPr="00F25744">
        <w:rPr>
          <w:rFonts w:ascii="David" w:hAnsi="David" w:cs="David" w:hint="cs"/>
          <w:sz w:val="24"/>
          <w:szCs w:val="24"/>
          <w:rtl/>
        </w:rPr>
        <w:t xml:space="preserve"> לדיון </w:t>
      </w:r>
      <w:r w:rsidRPr="00F25744">
        <w:rPr>
          <w:rFonts w:ascii="David" w:hAnsi="David" w:cs="David" w:hint="cs"/>
          <w:b/>
          <w:bCs/>
          <w:sz w:val="24"/>
          <w:szCs w:val="24"/>
          <w:rtl/>
        </w:rPr>
        <w:t>שאינו</w:t>
      </w:r>
      <w:r w:rsidRPr="00F25744">
        <w:rPr>
          <w:rFonts w:ascii="David" w:hAnsi="David" w:cs="David" w:hint="cs"/>
          <w:sz w:val="24"/>
          <w:szCs w:val="24"/>
          <w:rtl/>
        </w:rPr>
        <w:t xml:space="preserve"> הוכחות</w:t>
      </w:r>
      <w:r w:rsidRPr="00F25744">
        <w:rPr>
          <w:rFonts w:ascii="David" w:hAnsi="David" w:cs="David" w:hint="cs"/>
          <w:b/>
          <w:bCs/>
          <w:sz w:val="24"/>
          <w:szCs w:val="24"/>
          <w:rtl/>
        </w:rPr>
        <w:t xml:space="preserve"> </w:t>
      </w:r>
      <w:r w:rsidRPr="00F25744">
        <w:rPr>
          <w:rFonts w:ascii="David" w:hAnsi="David" w:cs="David" w:hint="cs"/>
          <w:sz w:val="24"/>
          <w:szCs w:val="24"/>
          <w:rtl/>
        </w:rPr>
        <w:t xml:space="preserve">(לרבות דיון קד"מ, הקראה וכדומה)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62A73588" w14:textId="77777777" w:rsidR="005E4C22" w:rsidRPr="00F25744" w:rsidRDefault="00E25AE7" w:rsidP="00341018">
      <w:pPr>
        <w:numPr>
          <w:ilvl w:val="1"/>
          <w:numId w:val="33"/>
        </w:numPr>
        <w:spacing w:before="120" w:after="0" w:line="360" w:lineRule="auto"/>
        <w:ind w:left="1133" w:hanging="426"/>
        <w:jc w:val="both"/>
        <w:rPr>
          <w:rFonts w:ascii="David" w:hAnsi="David" w:cs="David"/>
          <w:sz w:val="24"/>
          <w:szCs w:val="24"/>
        </w:rPr>
      </w:pPr>
      <w:r w:rsidRPr="00F25744">
        <w:rPr>
          <w:rFonts w:ascii="David" w:hAnsi="David" w:cs="David" w:hint="cs"/>
          <w:b/>
          <w:bCs/>
          <w:sz w:val="24"/>
          <w:szCs w:val="24"/>
          <w:rtl/>
        </w:rPr>
        <w:t xml:space="preserve">שמיעת </w:t>
      </w:r>
      <w:r w:rsidRPr="00F25744">
        <w:rPr>
          <w:rFonts w:ascii="David" w:hAnsi="David" w:cs="David" w:hint="cs"/>
          <w:sz w:val="24"/>
          <w:szCs w:val="24"/>
          <w:rtl/>
        </w:rPr>
        <w:t xml:space="preserve">דיון מסוג </w:t>
      </w:r>
      <w:r w:rsidRPr="00F25744">
        <w:rPr>
          <w:rFonts w:ascii="David" w:hAnsi="David" w:cs="David" w:hint="cs"/>
          <w:b/>
          <w:bCs/>
          <w:sz w:val="24"/>
          <w:szCs w:val="24"/>
          <w:rtl/>
        </w:rPr>
        <w:t xml:space="preserve">הוכחות </w:t>
      </w:r>
      <w:r w:rsidRPr="00F25744">
        <w:rPr>
          <w:rFonts w:ascii="David" w:hAnsi="David" w:cs="David" w:hint="cs"/>
          <w:sz w:val="24"/>
          <w:szCs w:val="24"/>
          <w:rtl/>
        </w:rPr>
        <w:t xml:space="preserve">(לרבות דיון שבו נשמעות ראיות/ עדויות או סיכומים בעל פה/ טיעונים לעונש)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43BD8503" w14:textId="77777777" w:rsidR="005E4C22" w:rsidRPr="00F25744" w:rsidRDefault="00E25AE7" w:rsidP="00341018">
      <w:pPr>
        <w:numPr>
          <w:ilvl w:val="1"/>
          <w:numId w:val="33"/>
        </w:numPr>
        <w:spacing w:before="120" w:after="0" w:line="360" w:lineRule="auto"/>
        <w:ind w:left="1133" w:hanging="426"/>
        <w:jc w:val="both"/>
        <w:rPr>
          <w:rFonts w:ascii="David" w:hAnsi="David" w:cs="David"/>
          <w:sz w:val="24"/>
          <w:szCs w:val="24"/>
        </w:rPr>
      </w:pPr>
      <w:r w:rsidRPr="00F25744">
        <w:rPr>
          <w:rFonts w:ascii="David" w:hAnsi="David" w:cs="David" w:hint="cs"/>
          <w:b/>
          <w:bCs/>
          <w:sz w:val="24"/>
          <w:szCs w:val="24"/>
          <w:rtl/>
        </w:rPr>
        <w:lastRenderedPageBreak/>
        <w:t>שמיעת</w:t>
      </w:r>
      <w:r w:rsidRPr="00F25744">
        <w:rPr>
          <w:rFonts w:ascii="David" w:hAnsi="David" w:cs="David" w:hint="cs"/>
          <w:sz w:val="24"/>
          <w:szCs w:val="24"/>
          <w:rtl/>
        </w:rPr>
        <w:t xml:space="preserve"> דיון </w:t>
      </w:r>
      <w:r w:rsidRPr="00F25744">
        <w:rPr>
          <w:rFonts w:ascii="David" w:hAnsi="David" w:cs="David" w:hint="cs"/>
          <w:b/>
          <w:bCs/>
          <w:sz w:val="24"/>
          <w:szCs w:val="24"/>
          <w:rtl/>
        </w:rPr>
        <w:t>שאינו</w:t>
      </w:r>
      <w:r w:rsidRPr="00F25744">
        <w:rPr>
          <w:rFonts w:ascii="David" w:hAnsi="David" w:cs="David" w:hint="cs"/>
          <w:sz w:val="24"/>
          <w:szCs w:val="24"/>
          <w:rtl/>
        </w:rPr>
        <w:t xml:space="preserve"> הוכחות</w:t>
      </w:r>
      <w:r w:rsidRPr="00F25744">
        <w:rPr>
          <w:rFonts w:ascii="David" w:hAnsi="David" w:cs="David" w:hint="cs"/>
          <w:b/>
          <w:bCs/>
          <w:sz w:val="24"/>
          <w:szCs w:val="24"/>
          <w:rtl/>
        </w:rPr>
        <w:t xml:space="preserve"> </w:t>
      </w:r>
      <w:r w:rsidRPr="00F25744">
        <w:rPr>
          <w:rFonts w:ascii="David" w:hAnsi="David" w:cs="David" w:hint="cs"/>
          <w:sz w:val="24"/>
          <w:szCs w:val="24"/>
          <w:rtl/>
        </w:rPr>
        <w:t xml:space="preserve">(לרבות דיון קד"מ, הקראה וכדומה)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58A49F6D"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צ"ה</w:t>
      </w:r>
      <w:r w:rsidRPr="00F25744">
        <w:rPr>
          <w:rFonts w:ascii="David" w:hAnsi="David" w:cs="David" w:hint="cs"/>
          <w:sz w:val="24"/>
          <w:szCs w:val="24"/>
          <w:rtl/>
        </w:rPr>
        <w:t>, כמה זמן בממוצע אורכות להערכתך הפעולות הבאות:</w:t>
      </w:r>
    </w:p>
    <w:p w14:paraId="3E85028C" w14:textId="77777777" w:rsidR="005E4C22" w:rsidRPr="00F25744" w:rsidRDefault="00E25AE7" w:rsidP="00341018">
      <w:pPr>
        <w:numPr>
          <w:ilvl w:val="1"/>
          <w:numId w:val="33"/>
        </w:numPr>
        <w:spacing w:before="120" w:after="0" w:line="360" w:lineRule="auto"/>
        <w:ind w:left="1133" w:hanging="426"/>
        <w:jc w:val="both"/>
        <w:rPr>
          <w:rFonts w:ascii="David" w:hAnsi="David" w:cs="David"/>
          <w:sz w:val="24"/>
          <w:szCs w:val="24"/>
        </w:rPr>
      </w:pPr>
      <w:r w:rsidRPr="00F25744">
        <w:rPr>
          <w:rFonts w:ascii="David" w:hAnsi="David" w:cs="David" w:hint="cs"/>
          <w:b/>
          <w:bCs/>
          <w:sz w:val="24"/>
          <w:szCs w:val="24"/>
          <w:rtl/>
        </w:rPr>
        <w:t xml:space="preserve">שמיעת </w:t>
      </w:r>
      <w:r w:rsidRPr="00F25744">
        <w:rPr>
          <w:rFonts w:ascii="David" w:hAnsi="David" w:cs="David" w:hint="cs"/>
          <w:sz w:val="24"/>
          <w:szCs w:val="24"/>
          <w:rtl/>
        </w:rPr>
        <w:t xml:space="preserve">דיון מסוג </w:t>
      </w:r>
      <w:r w:rsidRPr="00F25744">
        <w:rPr>
          <w:rFonts w:ascii="David" w:hAnsi="David" w:cs="David" w:hint="cs"/>
          <w:b/>
          <w:bCs/>
          <w:sz w:val="24"/>
          <w:szCs w:val="24"/>
          <w:rtl/>
        </w:rPr>
        <w:t xml:space="preserve">הוכחות </w:t>
      </w:r>
      <w:r w:rsidRPr="00F25744">
        <w:rPr>
          <w:rFonts w:ascii="David" w:hAnsi="David" w:cs="David" w:hint="cs"/>
          <w:sz w:val="24"/>
          <w:szCs w:val="24"/>
          <w:rtl/>
        </w:rPr>
        <w:t xml:space="preserve">(לרבות דיון שבו נשמעות ראיות/ עדויות או סיכומים בעל פה/ טיעונים לעונש)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0FBF888F" w14:textId="77777777" w:rsidR="005E4C22" w:rsidRPr="00F25744" w:rsidRDefault="00E25AE7" w:rsidP="00341018">
      <w:pPr>
        <w:numPr>
          <w:ilvl w:val="1"/>
          <w:numId w:val="33"/>
        </w:numPr>
        <w:spacing w:before="120" w:after="0" w:line="360" w:lineRule="auto"/>
        <w:ind w:left="1133" w:hanging="426"/>
        <w:jc w:val="both"/>
        <w:rPr>
          <w:rFonts w:ascii="David" w:hAnsi="David" w:cs="David"/>
          <w:sz w:val="24"/>
          <w:szCs w:val="24"/>
        </w:rPr>
      </w:pPr>
      <w:r w:rsidRPr="00F25744">
        <w:rPr>
          <w:rFonts w:ascii="David" w:hAnsi="David" w:cs="David" w:hint="cs"/>
          <w:b/>
          <w:bCs/>
          <w:sz w:val="24"/>
          <w:szCs w:val="24"/>
          <w:rtl/>
        </w:rPr>
        <w:t>שמיעת</w:t>
      </w:r>
      <w:r w:rsidRPr="00F25744">
        <w:rPr>
          <w:rFonts w:ascii="David" w:hAnsi="David" w:cs="David" w:hint="cs"/>
          <w:sz w:val="24"/>
          <w:szCs w:val="24"/>
          <w:rtl/>
        </w:rPr>
        <w:t xml:space="preserve"> דיון </w:t>
      </w:r>
      <w:r w:rsidRPr="00F25744">
        <w:rPr>
          <w:rFonts w:ascii="David" w:hAnsi="David" w:cs="David" w:hint="cs"/>
          <w:b/>
          <w:bCs/>
          <w:sz w:val="24"/>
          <w:szCs w:val="24"/>
          <w:rtl/>
        </w:rPr>
        <w:t>שאינו</w:t>
      </w:r>
      <w:r w:rsidRPr="00F25744">
        <w:rPr>
          <w:rFonts w:ascii="David" w:hAnsi="David" w:cs="David" w:hint="cs"/>
          <w:sz w:val="24"/>
          <w:szCs w:val="24"/>
          <w:rtl/>
        </w:rPr>
        <w:t xml:space="preserve"> הוכחות</w:t>
      </w:r>
      <w:r w:rsidRPr="00F25744">
        <w:rPr>
          <w:rFonts w:ascii="David" w:hAnsi="David" w:cs="David" w:hint="cs"/>
          <w:b/>
          <w:bCs/>
          <w:sz w:val="24"/>
          <w:szCs w:val="24"/>
          <w:rtl/>
        </w:rPr>
        <w:t xml:space="preserve"> </w:t>
      </w:r>
      <w:r w:rsidRPr="00F25744">
        <w:rPr>
          <w:rFonts w:ascii="David" w:hAnsi="David" w:cs="David" w:hint="cs"/>
          <w:sz w:val="24"/>
          <w:szCs w:val="24"/>
          <w:rtl/>
        </w:rPr>
        <w:t xml:space="preserve">(לרבות דיון קד"מ, הקראה וכדומה)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41E6854E"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פק"ח</w:t>
      </w:r>
      <w:r w:rsidRPr="00F25744">
        <w:rPr>
          <w:rFonts w:ascii="David" w:hAnsi="David" w:cs="David" w:hint="cs"/>
          <w:sz w:val="24"/>
          <w:szCs w:val="24"/>
          <w:rtl/>
        </w:rPr>
        <w:t>, כמה זמן בממוצע אורכות להערכתך הפעולות הבאות:</w:t>
      </w:r>
    </w:p>
    <w:p w14:paraId="4394D362" w14:textId="77777777" w:rsidR="005E4C22" w:rsidRPr="00F25744" w:rsidRDefault="00E25AE7" w:rsidP="00341018">
      <w:pPr>
        <w:numPr>
          <w:ilvl w:val="1"/>
          <w:numId w:val="33"/>
        </w:numPr>
        <w:spacing w:before="120" w:after="0" w:line="360" w:lineRule="auto"/>
        <w:ind w:left="1133" w:hanging="426"/>
        <w:jc w:val="both"/>
        <w:rPr>
          <w:rFonts w:ascii="David" w:hAnsi="David" w:cs="David"/>
          <w:sz w:val="24"/>
          <w:szCs w:val="24"/>
        </w:rPr>
      </w:pPr>
      <w:r w:rsidRPr="00F25744">
        <w:rPr>
          <w:rFonts w:ascii="David" w:hAnsi="David" w:cs="David" w:hint="cs"/>
          <w:b/>
          <w:bCs/>
          <w:sz w:val="24"/>
          <w:szCs w:val="24"/>
          <w:rtl/>
        </w:rPr>
        <w:t>הכנה לדיון</w:t>
      </w:r>
      <w:r w:rsidRPr="00F25744">
        <w:rPr>
          <w:rFonts w:ascii="David" w:hAnsi="David" w:cs="David" w:hint="cs"/>
          <w:sz w:val="24"/>
          <w:szCs w:val="24"/>
          <w:rtl/>
        </w:rPr>
        <w:t xml:space="preserve"> מסוג </w:t>
      </w:r>
      <w:r w:rsidRPr="00F25744">
        <w:rPr>
          <w:rFonts w:ascii="David" w:hAnsi="David" w:cs="David" w:hint="cs"/>
          <w:b/>
          <w:bCs/>
          <w:sz w:val="24"/>
          <w:szCs w:val="24"/>
          <w:rtl/>
        </w:rPr>
        <w:t xml:space="preserve">הוכחות </w:t>
      </w:r>
      <w:r w:rsidRPr="00F25744">
        <w:rPr>
          <w:rFonts w:ascii="David" w:hAnsi="David" w:cs="David" w:hint="cs"/>
          <w:sz w:val="24"/>
          <w:szCs w:val="24"/>
          <w:rtl/>
        </w:rPr>
        <w:t xml:space="preserve">(לרבות דיון שבו נשמעות ראיות/ עדויות או סיכומים בעל פה/ טיעונים לעונש)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3F7E2C78" w14:textId="77777777" w:rsidR="005E4C22" w:rsidRPr="00F25744" w:rsidRDefault="00E25AE7" w:rsidP="00341018">
      <w:pPr>
        <w:numPr>
          <w:ilvl w:val="1"/>
          <w:numId w:val="33"/>
        </w:numPr>
        <w:spacing w:before="120" w:after="0" w:line="360" w:lineRule="auto"/>
        <w:ind w:left="1133" w:hanging="426"/>
        <w:jc w:val="both"/>
        <w:rPr>
          <w:rFonts w:ascii="David" w:hAnsi="David" w:cs="David"/>
          <w:sz w:val="24"/>
          <w:szCs w:val="24"/>
        </w:rPr>
      </w:pPr>
      <w:r w:rsidRPr="00F25744">
        <w:rPr>
          <w:rFonts w:ascii="David" w:hAnsi="David" w:cs="David" w:hint="cs"/>
          <w:b/>
          <w:bCs/>
          <w:sz w:val="24"/>
          <w:szCs w:val="24"/>
          <w:rtl/>
        </w:rPr>
        <w:t>הכנה</w:t>
      </w:r>
      <w:r w:rsidRPr="00F25744">
        <w:rPr>
          <w:rFonts w:ascii="David" w:hAnsi="David" w:cs="David" w:hint="cs"/>
          <w:sz w:val="24"/>
          <w:szCs w:val="24"/>
          <w:rtl/>
        </w:rPr>
        <w:t xml:space="preserve"> לדיון </w:t>
      </w:r>
      <w:r w:rsidRPr="00F25744">
        <w:rPr>
          <w:rFonts w:ascii="David" w:hAnsi="David" w:cs="David" w:hint="cs"/>
          <w:b/>
          <w:bCs/>
          <w:sz w:val="24"/>
          <w:szCs w:val="24"/>
          <w:rtl/>
        </w:rPr>
        <w:t>שאינו</w:t>
      </w:r>
      <w:r w:rsidRPr="00F25744">
        <w:rPr>
          <w:rFonts w:ascii="David" w:hAnsi="David" w:cs="David" w:hint="cs"/>
          <w:sz w:val="24"/>
          <w:szCs w:val="24"/>
          <w:rtl/>
        </w:rPr>
        <w:t xml:space="preserve"> הוכחות</w:t>
      </w:r>
      <w:r w:rsidRPr="00F25744">
        <w:rPr>
          <w:rFonts w:ascii="David" w:hAnsi="David" w:cs="David" w:hint="cs"/>
          <w:b/>
          <w:bCs/>
          <w:sz w:val="24"/>
          <w:szCs w:val="24"/>
          <w:rtl/>
        </w:rPr>
        <w:t xml:space="preserve"> </w:t>
      </w:r>
      <w:r w:rsidRPr="00F25744">
        <w:rPr>
          <w:rFonts w:ascii="David" w:hAnsi="David" w:cs="David" w:hint="cs"/>
          <w:sz w:val="24"/>
          <w:szCs w:val="24"/>
          <w:rtl/>
        </w:rPr>
        <w:t xml:space="preserve">(לרבות דיון קד"מ, הקראה וכדומה)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667CD793" w14:textId="77777777" w:rsidR="005E4C22" w:rsidRPr="00F25744" w:rsidRDefault="00E25AE7" w:rsidP="00341018">
      <w:pPr>
        <w:numPr>
          <w:ilvl w:val="1"/>
          <w:numId w:val="33"/>
        </w:numPr>
        <w:spacing w:before="120" w:after="0" w:line="360" w:lineRule="auto"/>
        <w:ind w:left="1133" w:hanging="426"/>
        <w:jc w:val="both"/>
        <w:rPr>
          <w:rFonts w:ascii="David" w:hAnsi="David" w:cs="David"/>
          <w:sz w:val="24"/>
          <w:szCs w:val="24"/>
        </w:rPr>
      </w:pPr>
      <w:r w:rsidRPr="00F25744">
        <w:rPr>
          <w:rFonts w:ascii="David" w:hAnsi="David" w:cs="David" w:hint="cs"/>
          <w:b/>
          <w:bCs/>
          <w:sz w:val="24"/>
          <w:szCs w:val="24"/>
          <w:rtl/>
        </w:rPr>
        <w:t xml:space="preserve">שמיעת </w:t>
      </w:r>
      <w:r w:rsidRPr="00F25744">
        <w:rPr>
          <w:rFonts w:ascii="David" w:hAnsi="David" w:cs="David" w:hint="cs"/>
          <w:sz w:val="24"/>
          <w:szCs w:val="24"/>
          <w:rtl/>
        </w:rPr>
        <w:t xml:space="preserve">דיון מסוג </w:t>
      </w:r>
      <w:r w:rsidRPr="00F25744">
        <w:rPr>
          <w:rFonts w:ascii="David" w:hAnsi="David" w:cs="David" w:hint="cs"/>
          <w:b/>
          <w:bCs/>
          <w:sz w:val="24"/>
          <w:szCs w:val="24"/>
          <w:rtl/>
        </w:rPr>
        <w:t xml:space="preserve">הוכחות </w:t>
      </w:r>
      <w:r w:rsidRPr="00F25744">
        <w:rPr>
          <w:rFonts w:ascii="David" w:hAnsi="David" w:cs="David" w:hint="cs"/>
          <w:sz w:val="24"/>
          <w:szCs w:val="24"/>
          <w:rtl/>
        </w:rPr>
        <w:t xml:space="preserve">(לרבות דיון שבו נשמעות ראיות/ עדויות או סיכומים בעל פה/ טיעונים לעונש)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5E671664" w14:textId="77777777" w:rsidR="005E4C22" w:rsidRPr="00F25744" w:rsidRDefault="00E25AE7" w:rsidP="00341018">
      <w:pPr>
        <w:numPr>
          <w:ilvl w:val="0"/>
          <w:numId w:val="39"/>
        </w:numPr>
        <w:spacing w:before="120" w:after="0" w:line="360" w:lineRule="auto"/>
        <w:jc w:val="both"/>
        <w:rPr>
          <w:rFonts w:ascii="David" w:hAnsi="David" w:cs="David"/>
          <w:sz w:val="24"/>
          <w:szCs w:val="24"/>
        </w:rPr>
      </w:pPr>
      <w:r w:rsidRPr="00F25744">
        <w:rPr>
          <w:rFonts w:ascii="David" w:hAnsi="David" w:cs="David" w:hint="cs"/>
          <w:b/>
          <w:bCs/>
          <w:sz w:val="24"/>
          <w:szCs w:val="24"/>
          <w:u w:val="single"/>
          <w:rtl/>
        </w:rPr>
        <w:t>היבטים נוספים של העומס</w:t>
      </w:r>
      <w:r w:rsidRPr="00F25744">
        <w:rPr>
          <w:rFonts w:ascii="David" w:hAnsi="David" w:cs="David" w:hint="cs"/>
          <w:sz w:val="24"/>
          <w:szCs w:val="24"/>
          <w:rtl/>
        </w:rPr>
        <w:t xml:space="preserve"> (ראו נספח ב1: כללי)</w:t>
      </w:r>
    </w:p>
    <w:p w14:paraId="33D2DB10" w14:textId="77777777" w:rsidR="005E4C22" w:rsidRPr="00F25744" w:rsidRDefault="00E25AE7" w:rsidP="00341018">
      <w:pPr>
        <w:numPr>
          <w:ilvl w:val="0"/>
          <w:numId w:val="39"/>
        </w:numPr>
        <w:spacing w:before="120" w:after="0" w:line="360" w:lineRule="auto"/>
        <w:jc w:val="both"/>
        <w:rPr>
          <w:rFonts w:ascii="David" w:hAnsi="David" w:cs="David"/>
          <w:sz w:val="24"/>
          <w:szCs w:val="24"/>
        </w:rPr>
      </w:pPr>
      <w:r w:rsidRPr="00F25744">
        <w:rPr>
          <w:rFonts w:ascii="David" w:hAnsi="David" w:cs="David" w:hint="cs"/>
          <w:b/>
          <w:bCs/>
          <w:sz w:val="24"/>
          <w:szCs w:val="24"/>
          <w:u w:val="single"/>
          <w:rtl/>
        </w:rPr>
        <w:t>עומס רגשי</w:t>
      </w:r>
      <w:r w:rsidRPr="00F25744">
        <w:rPr>
          <w:rFonts w:ascii="David" w:hAnsi="David" w:cs="David" w:hint="cs"/>
          <w:sz w:val="24"/>
          <w:szCs w:val="24"/>
          <w:rtl/>
        </w:rPr>
        <w:t xml:space="preserve"> (ראו נספח ב1: כללי)</w:t>
      </w:r>
    </w:p>
    <w:p w14:paraId="3B2ABB65" w14:textId="77777777" w:rsidR="005E4C22" w:rsidRPr="00F25744" w:rsidRDefault="00E25AE7" w:rsidP="00341018">
      <w:pPr>
        <w:numPr>
          <w:ilvl w:val="0"/>
          <w:numId w:val="39"/>
        </w:numPr>
        <w:spacing w:before="120" w:after="0" w:line="360" w:lineRule="auto"/>
        <w:jc w:val="both"/>
        <w:rPr>
          <w:rFonts w:ascii="David" w:hAnsi="David" w:cs="David"/>
          <w:sz w:val="24"/>
          <w:szCs w:val="24"/>
          <w:rtl/>
        </w:rPr>
      </w:pPr>
      <w:r w:rsidRPr="00F25744">
        <w:rPr>
          <w:rFonts w:ascii="David" w:hAnsi="David" w:cs="David" w:hint="cs"/>
          <w:b/>
          <w:bCs/>
          <w:sz w:val="24"/>
          <w:szCs w:val="24"/>
          <w:u w:val="single"/>
          <w:rtl/>
        </w:rPr>
        <w:t>שאלות פתוחות</w:t>
      </w:r>
      <w:r w:rsidRPr="00F25744">
        <w:rPr>
          <w:rFonts w:ascii="David" w:hAnsi="David" w:cs="David" w:hint="cs"/>
          <w:b/>
          <w:bCs/>
          <w:sz w:val="24"/>
          <w:szCs w:val="24"/>
          <w:rtl/>
        </w:rPr>
        <w:t xml:space="preserve"> </w:t>
      </w:r>
      <w:r w:rsidRPr="00F25744">
        <w:rPr>
          <w:rFonts w:ascii="David" w:hAnsi="David" w:cs="David" w:hint="cs"/>
          <w:sz w:val="24"/>
          <w:szCs w:val="24"/>
          <w:rtl/>
        </w:rPr>
        <w:t xml:space="preserve">(ראו נספח ב1: כללי) </w:t>
      </w:r>
    </w:p>
    <w:p w14:paraId="7163EF93" w14:textId="77777777" w:rsidR="0043255F" w:rsidRPr="00F25744" w:rsidRDefault="0043255F" w:rsidP="005E4C22">
      <w:pPr>
        <w:rPr>
          <w:rtl/>
        </w:rPr>
      </w:pPr>
    </w:p>
    <w:p w14:paraId="21EACB19" w14:textId="77777777" w:rsidR="00D22BD3" w:rsidRPr="00F25744" w:rsidRDefault="00D22BD3" w:rsidP="005E4C22">
      <w:pPr>
        <w:rPr>
          <w:rtl/>
        </w:rPr>
      </w:pPr>
    </w:p>
    <w:p w14:paraId="68958EED" w14:textId="77777777" w:rsidR="00DB5BCC" w:rsidRDefault="00DB5BCC">
      <w:pPr>
        <w:bidi w:val="0"/>
        <w:spacing w:after="0" w:line="240" w:lineRule="auto"/>
        <w:rPr>
          <w:rFonts w:ascii="David" w:hAnsi="David" w:cs="David"/>
          <w:b/>
          <w:bCs/>
          <w:sz w:val="24"/>
          <w:szCs w:val="24"/>
          <w:rtl/>
        </w:rPr>
      </w:pPr>
      <w:bookmarkStart w:id="922" w:name="_Toc46412649"/>
      <w:bookmarkStart w:id="923" w:name="_Toc46416522"/>
      <w:bookmarkStart w:id="924" w:name="_Toc46694215"/>
      <w:bookmarkStart w:id="925" w:name="_Toc49352803"/>
      <w:bookmarkStart w:id="926" w:name="_Toc49429710"/>
      <w:bookmarkStart w:id="927" w:name="_Toc49435939"/>
      <w:bookmarkStart w:id="928" w:name="_Toc74751047"/>
      <w:r>
        <w:rPr>
          <w:rtl/>
        </w:rPr>
        <w:br w:type="page"/>
      </w:r>
    </w:p>
    <w:p w14:paraId="477E38C0" w14:textId="7C872B50" w:rsidR="005E4C22" w:rsidRPr="00F25744" w:rsidRDefault="00E25AE7" w:rsidP="00470BAF">
      <w:pPr>
        <w:pStyle w:val="3"/>
        <w:numPr>
          <w:ilvl w:val="0"/>
          <w:numId w:val="0"/>
        </w:numPr>
        <w:rPr>
          <w:rtl/>
        </w:rPr>
      </w:pPr>
      <w:r w:rsidRPr="00F25744">
        <w:rPr>
          <w:rFonts w:hint="cs"/>
          <w:rtl/>
        </w:rPr>
        <w:lastRenderedPageBreak/>
        <w:t>נספח ב5: ערכאת שלום אזרחי</w:t>
      </w:r>
      <w:bookmarkEnd w:id="922"/>
      <w:bookmarkEnd w:id="923"/>
      <w:bookmarkEnd w:id="924"/>
      <w:bookmarkEnd w:id="925"/>
      <w:bookmarkEnd w:id="926"/>
      <w:bookmarkEnd w:id="927"/>
      <w:bookmarkEnd w:id="928"/>
    </w:p>
    <w:p w14:paraId="50540035" w14:textId="77777777" w:rsidR="005E4C22" w:rsidRPr="00F25744" w:rsidRDefault="00E25AE7" w:rsidP="005E4C22">
      <w:pPr>
        <w:spacing w:before="120" w:after="0" w:line="360" w:lineRule="auto"/>
        <w:jc w:val="center"/>
        <w:rPr>
          <w:rFonts w:ascii="David" w:hAnsi="David" w:cs="David"/>
          <w:b/>
          <w:bCs/>
          <w:sz w:val="30"/>
          <w:szCs w:val="30"/>
          <w:u w:val="single"/>
          <w:rtl/>
        </w:rPr>
      </w:pPr>
      <w:r w:rsidRPr="00F25744">
        <w:rPr>
          <w:rFonts w:ascii="David" w:hAnsi="David" w:cs="David"/>
          <w:b/>
          <w:bCs/>
          <w:sz w:val="30"/>
          <w:szCs w:val="30"/>
          <w:u w:val="single"/>
          <w:rtl/>
        </w:rPr>
        <w:t>שאלון מסכם</w:t>
      </w:r>
      <w:r w:rsidRPr="00F25744">
        <w:rPr>
          <w:rFonts w:ascii="David" w:hAnsi="David" w:cs="David" w:hint="cs"/>
          <w:b/>
          <w:bCs/>
          <w:sz w:val="30"/>
          <w:szCs w:val="30"/>
          <w:u w:val="single"/>
          <w:rtl/>
        </w:rPr>
        <w:t xml:space="preserve"> למחקר עומס העבודה השיפוטית בערכאת השלום - אזרחי</w:t>
      </w:r>
    </w:p>
    <w:p w14:paraId="4198BEA8" w14:textId="77777777" w:rsidR="005E4C22" w:rsidRPr="00F25744" w:rsidRDefault="00E25AE7" w:rsidP="005E4C22">
      <w:pPr>
        <w:spacing w:before="120" w:after="0" w:line="360" w:lineRule="auto"/>
        <w:jc w:val="both"/>
        <w:rPr>
          <w:rFonts w:ascii="David" w:hAnsi="David" w:cs="David"/>
          <w:sz w:val="24"/>
          <w:szCs w:val="24"/>
          <w:rtl/>
        </w:rPr>
      </w:pPr>
      <w:r w:rsidRPr="00F25744">
        <w:rPr>
          <w:rFonts w:ascii="David" w:hAnsi="David" w:cs="David" w:hint="cs"/>
          <w:sz w:val="24"/>
          <w:szCs w:val="24"/>
          <w:rtl/>
        </w:rPr>
        <w:t>שופט/ת, רשם/מת מכובד/ת,</w:t>
      </w:r>
    </w:p>
    <w:p w14:paraId="1BD6FEDC" w14:textId="77777777" w:rsidR="005E4C22" w:rsidRPr="00F25744" w:rsidRDefault="00E25AE7" w:rsidP="005E4C22">
      <w:pPr>
        <w:spacing w:before="120" w:after="0" w:line="360" w:lineRule="auto"/>
        <w:jc w:val="both"/>
        <w:rPr>
          <w:rFonts w:ascii="David" w:hAnsi="David" w:cs="David"/>
          <w:sz w:val="24"/>
          <w:szCs w:val="24"/>
          <w:rtl/>
        </w:rPr>
      </w:pPr>
      <w:r w:rsidRPr="00F25744">
        <w:rPr>
          <w:rFonts w:ascii="David" w:hAnsi="David" w:cs="David" w:hint="cs"/>
          <w:sz w:val="24"/>
          <w:szCs w:val="24"/>
          <w:rtl/>
        </w:rPr>
        <w:t>לפניך שאלון חד פעמי שנועד לתקף ולסכם את מחקר עומס העבודה השיפוטית.</w:t>
      </w:r>
    </w:p>
    <w:p w14:paraId="21FC10DF" w14:textId="77777777" w:rsidR="005E4C22" w:rsidRPr="00F25744" w:rsidRDefault="00E25AE7" w:rsidP="005E4C22">
      <w:pPr>
        <w:spacing w:before="120" w:after="0" w:line="360" w:lineRule="auto"/>
        <w:jc w:val="both"/>
        <w:rPr>
          <w:rFonts w:ascii="David" w:hAnsi="David" w:cs="David"/>
          <w:sz w:val="24"/>
          <w:szCs w:val="24"/>
          <w:rtl/>
        </w:rPr>
      </w:pPr>
      <w:r w:rsidRPr="00F25744">
        <w:rPr>
          <w:rFonts w:ascii="David" w:hAnsi="David" w:cs="David" w:hint="cs"/>
          <w:sz w:val="24"/>
          <w:szCs w:val="24"/>
          <w:rtl/>
        </w:rPr>
        <w:t>המעבר בין המסכים מתבצע על ידי לחיצה על כפתור "הבא".</w:t>
      </w:r>
    </w:p>
    <w:p w14:paraId="5E1FF168" w14:textId="77777777" w:rsidR="005E4C22" w:rsidRPr="00F25744" w:rsidRDefault="00E25AE7" w:rsidP="005E4C22">
      <w:pPr>
        <w:spacing w:before="120" w:after="0" w:line="360" w:lineRule="auto"/>
        <w:jc w:val="both"/>
        <w:rPr>
          <w:rFonts w:ascii="David" w:hAnsi="David" w:cs="David"/>
          <w:sz w:val="24"/>
          <w:szCs w:val="24"/>
          <w:rtl/>
        </w:rPr>
      </w:pPr>
      <w:r w:rsidRPr="00F25744">
        <w:rPr>
          <w:rFonts w:ascii="David" w:hAnsi="David" w:cs="David" w:hint="cs"/>
          <w:sz w:val="24"/>
          <w:szCs w:val="24"/>
          <w:rtl/>
        </w:rPr>
        <w:t>אנא מלא/י את השאלון עד לשליחה הסופית של הנתונים באמצעות כפתור "שלח" וקבלת מסך "אישור".</w:t>
      </w:r>
    </w:p>
    <w:p w14:paraId="0A7D1E0B" w14:textId="77777777" w:rsidR="005E4C22" w:rsidRPr="00F25744" w:rsidRDefault="005E4C22" w:rsidP="005E4C22">
      <w:pPr>
        <w:spacing w:before="120" w:after="0" w:line="240" w:lineRule="auto"/>
        <w:jc w:val="both"/>
        <w:rPr>
          <w:rFonts w:ascii="David" w:hAnsi="David" w:cs="David"/>
          <w:sz w:val="16"/>
          <w:szCs w:val="16"/>
          <w:rtl/>
        </w:rPr>
      </w:pPr>
    </w:p>
    <w:p w14:paraId="7CF637C0" w14:textId="77777777" w:rsidR="005E4C22" w:rsidRPr="00F25744" w:rsidRDefault="00E25AE7" w:rsidP="00341018">
      <w:pPr>
        <w:numPr>
          <w:ilvl w:val="0"/>
          <w:numId w:val="37"/>
        </w:numPr>
        <w:spacing w:before="120" w:after="0" w:line="240" w:lineRule="auto"/>
        <w:ind w:left="424" w:hanging="425"/>
        <w:rPr>
          <w:rFonts w:ascii="David" w:hAnsi="David" w:cs="David"/>
          <w:sz w:val="24"/>
          <w:szCs w:val="24"/>
          <w:rtl/>
        </w:rPr>
      </w:pPr>
      <w:r w:rsidRPr="00F25744">
        <w:rPr>
          <w:rFonts w:ascii="David" w:hAnsi="David" w:cs="David" w:hint="cs"/>
          <w:b/>
          <w:bCs/>
          <w:sz w:val="24"/>
          <w:szCs w:val="24"/>
          <w:rtl/>
        </w:rPr>
        <w:t xml:space="preserve">מחוז: </w:t>
      </w:r>
      <w:r w:rsidRPr="00F25744">
        <w:rPr>
          <w:rFonts w:ascii="David" w:hAnsi="David" w:cs="David" w:hint="cs"/>
          <w:sz w:val="24"/>
          <w:szCs w:val="24"/>
          <w:rtl/>
        </w:rPr>
        <w:t>(צפון/ חיפה/ מרכז/ תל אביב/ ירושלים/ דרום)</w:t>
      </w:r>
    </w:p>
    <w:p w14:paraId="0CC5C3F4" w14:textId="77777777" w:rsidR="005E4C22" w:rsidRPr="00F25744" w:rsidRDefault="00E25AE7" w:rsidP="00341018">
      <w:pPr>
        <w:numPr>
          <w:ilvl w:val="0"/>
          <w:numId w:val="37"/>
        </w:numPr>
        <w:spacing w:before="120" w:after="0" w:line="240" w:lineRule="auto"/>
        <w:ind w:left="424" w:hanging="425"/>
        <w:rPr>
          <w:rFonts w:ascii="David" w:hAnsi="David" w:cs="David"/>
          <w:sz w:val="24"/>
          <w:szCs w:val="24"/>
          <w:rtl/>
        </w:rPr>
      </w:pPr>
      <w:r w:rsidRPr="00F25744">
        <w:rPr>
          <w:rFonts w:ascii="David" w:hAnsi="David" w:cs="David" w:hint="cs"/>
          <w:b/>
          <w:bCs/>
          <w:sz w:val="24"/>
          <w:szCs w:val="24"/>
          <w:rtl/>
        </w:rPr>
        <w:t>האם את/ה שופט/ת או רשם/מת?</w:t>
      </w:r>
      <w:r w:rsidRPr="00F25744">
        <w:rPr>
          <w:rFonts w:ascii="David" w:hAnsi="David" w:cs="David" w:hint="cs"/>
          <w:sz w:val="24"/>
          <w:szCs w:val="24"/>
          <w:rtl/>
        </w:rPr>
        <w:t xml:space="preserve"> (שופט/ת / רשם/מת)</w:t>
      </w:r>
    </w:p>
    <w:p w14:paraId="19FB1D38" w14:textId="77777777" w:rsidR="005E4C22" w:rsidRPr="00F25744" w:rsidRDefault="00E25AE7" w:rsidP="00341018">
      <w:pPr>
        <w:numPr>
          <w:ilvl w:val="0"/>
          <w:numId w:val="37"/>
        </w:numPr>
        <w:spacing w:before="120" w:after="0" w:line="240" w:lineRule="auto"/>
        <w:ind w:left="424" w:hanging="425"/>
        <w:jc w:val="both"/>
        <w:rPr>
          <w:rFonts w:ascii="David" w:hAnsi="David" w:cs="David"/>
          <w:sz w:val="24"/>
          <w:szCs w:val="24"/>
          <w:rtl/>
        </w:rPr>
      </w:pPr>
      <w:r w:rsidRPr="00F25744">
        <w:rPr>
          <w:rFonts w:ascii="David" w:hAnsi="David" w:cs="David" w:hint="cs"/>
          <w:b/>
          <w:bCs/>
          <w:sz w:val="24"/>
          <w:szCs w:val="24"/>
          <w:rtl/>
        </w:rPr>
        <w:t xml:space="preserve">האם את/ה עוסק/ת בעיקר בתיקים אזרחיים/ פליליים? (אם את/ה עוסק/ת בשניהם, אנא בחר "פלילי") </w:t>
      </w:r>
      <w:r w:rsidRPr="00F25744">
        <w:rPr>
          <w:rFonts w:ascii="David" w:hAnsi="David" w:cs="David" w:hint="cs"/>
          <w:sz w:val="24"/>
          <w:szCs w:val="24"/>
          <w:rtl/>
        </w:rPr>
        <w:t>(אזרחי/ פלילי)</w:t>
      </w:r>
    </w:p>
    <w:p w14:paraId="519C9BF3" w14:textId="77777777" w:rsidR="005E4C22" w:rsidRPr="00F25744" w:rsidRDefault="005E4C22" w:rsidP="005E4C22">
      <w:pPr>
        <w:spacing w:before="120" w:after="0" w:line="240" w:lineRule="auto"/>
        <w:rPr>
          <w:rFonts w:ascii="David" w:hAnsi="David" w:cs="David"/>
          <w:b/>
          <w:bCs/>
          <w:sz w:val="30"/>
          <w:szCs w:val="30"/>
          <w:u w:val="single"/>
          <w:rtl/>
        </w:rPr>
      </w:pPr>
    </w:p>
    <w:p w14:paraId="0017925F" w14:textId="77777777" w:rsidR="005E4C22" w:rsidRPr="00F25744" w:rsidRDefault="00E25AE7" w:rsidP="00341018">
      <w:pPr>
        <w:numPr>
          <w:ilvl w:val="0"/>
          <w:numId w:val="40"/>
        </w:numPr>
        <w:spacing w:before="120" w:after="0" w:line="360" w:lineRule="auto"/>
        <w:jc w:val="both"/>
        <w:rPr>
          <w:rFonts w:ascii="David" w:hAnsi="David" w:cs="David"/>
          <w:b/>
          <w:bCs/>
          <w:sz w:val="24"/>
          <w:szCs w:val="24"/>
          <w:u w:val="single"/>
          <w:rtl/>
        </w:rPr>
      </w:pPr>
      <w:r w:rsidRPr="00F25744">
        <w:rPr>
          <w:rFonts w:ascii="David" w:hAnsi="David" w:cs="David" w:hint="cs"/>
          <w:b/>
          <w:bCs/>
          <w:sz w:val="24"/>
          <w:szCs w:val="24"/>
          <w:u w:val="single"/>
          <w:rtl/>
        </w:rPr>
        <w:t>דירוג סוגי התיקים</w:t>
      </w:r>
    </w:p>
    <w:p w14:paraId="2356F8DE" w14:textId="77777777" w:rsidR="005E4C22" w:rsidRPr="00F25744" w:rsidRDefault="00E25AE7" w:rsidP="00341018">
      <w:pPr>
        <w:numPr>
          <w:ilvl w:val="1"/>
          <w:numId w:val="40"/>
        </w:numPr>
        <w:spacing w:before="120" w:after="0" w:line="360" w:lineRule="auto"/>
        <w:jc w:val="both"/>
        <w:rPr>
          <w:rFonts w:ascii="David" w:hAnsi="David" w:cs="David"/>
          <w:sz w:val="24"/>
          <w:szCs w:val="24"/>
        </w:rPr>
      </w:pPr>
      <w:r w:rsidRPr="00F25744">
        <w:rPr>
          <w:rFonts w:ascii="David" w:hAnsi="David" w:cs="David" w:hint="cs"/>
          <w:sz w:val="24"/>
          <w:szCs w:val="24"/>
          <w:rtl/>
        </w:rPr>
        <w:t>לפניך רשימה עדכנית של 36 סוגי תיקים של ערכאת השלום, אשר מהווים למעלה מ-99% מהתיקים המוגדרים כאזרחיים במערכת נט המשפט לגבי ערכאת השלום, אשר נסגרו בשנת 2019, ואשר בין היתר ב</w:t>
      </w:r>
      <w:r w:rsidRPr="00F25744">
        <w:rPr>
          <w:rFonts w:ascii="David" w:hAnsi="David" w:cs="David"/>
          <w:sz w:val="24"/>
          <w:szCs w:val="24"/>
          <w:rtl/>
        </w:rPr>
        <w:t>עזרת תשובותיך לשאלון זה, נוכל לתת להם משקל מדויק במסגרת המחקר הנוכחי:</w:t>
      </w:r>
    </w:p>
    <w:p w14:paraId="5A961286" w14:textId="77777777" w:rsidR="005E4C22" w:rsidRPr="00F25744" w:rsidRDefault="00E25AE7" w:rsidP="005E4C22">
      <w:pPr>
        <w:spacing w:before="120" w:after="0" w:line="360" w:lineRule="auto"/>
        <w:ind w:left="935"/>
        <w:jc w:val="both"/>
        <w:rPr>
          <w:rFonts w:ascii="David" w:hAnsi="David" w:cs="David"/>
          <w:sz w:val="24"/>
          <w:szCs w:val="24"/>
          <w:rtl/>
        </w:rPr>
      </w:pPr>
      <w:r w:rsidRPr="00F25744">
        <w:rPr>
          <w:rFonts w:ascii="David" w:hAnsi="David" w:cs="David" w:hint="cs"/>
          <w:sz w:val="24"/>
          <w:szCs w:val="24"/>
          <w:rtl/>
        </w:rPr>
        <w:t xml:space="preserve">רשימת התיקים מורכבת כך: ראשית מופיעים סוגי התיקים האזרחיים השונים, לאחר מכן מופיע תיק </w:t>
      </w:r>
      <w:r w:rsidRPr="00F25744">
        <w:rPr>
          <w:rFonts w:ascii="David" w:hAnsi="David" w:cs="David" w:hint="cs"/>
          <w:b/>
          <w:bCs/>
          <w:sz w:val="24"/>
          <w:szCs w:val="24"/>
          <w:rtl/>
        </w:rPr>
        <w:t>תא"מ</w:t>
      </w:r>
      <w:r w:rsidRPr="00F25744">
        <w:rPr>
          <w:rFonts w:ascii="David" w:hAnsi="David" w:cs="David" w:hint="cs"/>
          <w:sz w:val="24"/>
          <w:szCs w:val="24"/>
          <w:rtl/>
        </w:rPr>
        <w:t xml:space="preserve"> בחלוקה לשני סוגים (תא"מ </w:t>
      </w:r>
      <w:r w:rsidRPr="00F25744">
        <w:rPr>
          <w:rFonts w:ascii="David" w:hAnsi="David" w:cs="David"/>
          <w:sz w:val="24"/>
          <w:szCs w:val="24"/>
          <w:rtl/>
        </w:rPr>
        <w:t>–</w:t>
      </w:r>
      <w:r w:rsidRPr="00F25744">
        <w:rPr>
          <w:rFonts w:ascii="David" w:hAnsi="David" w:cs="David" w:hint="cs"/>
          <w:sz w:val="24"/>
          <w:szCs w:val="24"/>
          <w:rtl/>
        </w:rPr>
        <w:t xml:space="preserve"> רכב ותא"מ </w:t>
      </w:r>
      <w:r w:rsidRPr="00F25744">
        <w:rPr>
          <w:rFonts w:ascii="David" w:hAnsi="David" w:cs="David"/>
          <w:sz w:val="24"/>
          <w:szCs w:val="24"/>
          <w:rtl/>
        </w:rPr>
        <w:t>–</w:t>
      </w:r>
      <w:r w:rsidRPr="00F25744">
        <w:rPr>
          <w:rFonts w:ascii="David" w:hAnsi="David" w:cs="David" w:hint="cs"/>
          <w:sz w:val="24"/>
          <w:szCs w:val="24"/>
          <w:rtl/>
        </w:rPr>
        <w:t xml:space="preserve"> אחר), ולבסוף מופיע תיק </w:t>
      </w:r>
      <w:r w:rsidRPr="00F25744">
        <w:rPr>
          <w:rFonts w:ascii="David" w:hAnsi="David" w:cs="David" w:hint="cs"/>
          <w:b/>
          <w:bCs/>
          <w:sz w:val="24"/>
          <w:szCs w:val="24"/>
          <w:rtl/>
        </w:rPr>
        <w:t>ת"א</w:t>
      </w:r>
      <w:r w:rsidRPr="00F25744">
        <w:rPr>
          <w:rFonts w:ascii="David" w:hAnsi="David" w:cs="David" w:hint="cs"/>
          <w:sz w:val="24"/>
          <w:szCs w:val="24"/>
          <w:rtl/>
        </w:rPr>
        <w:t xml:space="preserve"> בחלוקה לסוגי העניין השונים</w:t>
      </w:r>
      <w:r w:rsidRPr="00F25744">
        <w:rPr>
          <w:rStyle w:val="a6"/>
          <w:rFonts w:ascii="David" w:hAnsi="David" w:cs="David"/>
          <w:sz w:val="24"/>
          <w:szCs w:val="24"/>
          <w:rtl/>
        </w:rPr>
        <w:footnoteReference w:id="48"/>
      </w:r>
      <w:r w:rsidRPr="00F25744">
        <w:rPr>
          <w:rFonts w:ascii="David" w:hAnsi="David" w:cs="David" w:hint="cs"/>
          <w:sz w:val="24"/>
          <w:szCs w:val="24"/>
          <w:rtl/>
        </w:rPr>
        <w:t xml:space="preserve"> :</w:t>
      </w:r>
    </w:p>
    <w:p w14:paraId="4A5176CC" w14:textId="77777777" w:rsidR="005E4C22" w:rsidRPr="00F25744" w:rsidRDefault="00E25AE7" w:rsidP="005E4C22">
      <w:pPr>
        <w:spacing w:before="120" w:after="0" w:line="360" w:lineRule="auto"/>
        <w:ind w:left="935"/>
        <w:jc w:val="both"/>
        <w:rPr>
          <w:rFonts w:ascii="David" w:hAnsi="David" w:cs="David"/>
          <w:b/>
          <w:bCs/>
          <w:sz w:val="24"/>
          <w:szCs w:val="24"/>
          <w:rtl/>
        </w:rPr>
      </w:pPr>
      <w:r w:rsidRPr="00F25744">
        <w:rPr>
          <w:rFonts w:ascii="David" w:hAnsi="David" w:cs="David" w:hint="cs"/>
          <w:b/>
          <w:bCs/>
          <w:sz w:val="24"/>
          <w:szCs w:val="24"/>
          <w:rtl/>
        </w:rPr>
        <w:t xml:space="preserve">ת"ק; תא"ק; ה"ט; ת"ט; ת"ת; תא"ח; ה"פ; ו"ע; עש"א; ע"נ; רע"צ; הפ"ב; בת"ת; בע"ק; ת"צ; ע"ר; עמ"ח; עמ"נ; צ"מ; </w:t>
      </w:r>
    </w:p>
    <w:p w14:paraId="32473AF7" w14:textId="77777777" w:rsidR="005E4C22" w:rsidRPr="00F25744" w:rsidRDefault="00E25AE7" w:rsidP="005E4C22">
      <w:pPr>
        <w:spacing w:before="120" w:after="0" w:line="360" w:lineRule="auto"/>
        <w:ind w:left="935"/>
        <w:jc w:val="both"/>
        <w:rPr>
          <w:rFonts w:ascii="David" w:hAnsi="David" w:cs="David"/>
          <w:b/>
          <w:bCs/>
          <w:sz w:val="24"/>
          <w:szCs w:val="24"/>
          <w:rtl/>
        </w:rPr>
      </w:pPr>
      <w:r w:rsidRPr="00F25744">
        <w:rPr>
          <w:rFonts w:ascii="David" w:hAnsi="David" w:cs="David" w:hint="cs"/>
          <w:b/>
          <w:bCs/>
          <w:sz w:val="24"/>
          <w:szCs w:val="24"/>
          <w:rtl/>
        </w:rPr>
        <w:t xml:space="preserve">תא"מ </w:t>
      </w:r>
      <w:r w:rsidRPr="00F25744">
        <w:rPr>
          <w:rFonts w:ascii="David" w:hAnsi="David" w:cs="David"/>
          <w:b/>
          <w:bCs/>
          <w:sz w:val="24"/>
          <w:szCs w:val="24"/>
          <w:rtl/>
        </w:rPr>
        <w:t>–</w:t>
      </w:r>
      <w:r w:rsidRPr="00F25744">
        <w:rPr>
          <w:rFonts w:ascii="David" w:hAnsi="David" w:cs="David" w:hint="cs"/>
          <w:b/>
          <w:bCs/>
          <w:sz w:val="24"/>
          <w:szCs w:val="24"/>
          <w:rtl/>
        </w:rPr>
        <w:t xml:space="preserve"> נזקי רכוש רכב; תא"מ </w:t>
      </w:r>
      <w:r w:rsidRPr="00F25744">
        <w:rPr>
          <w:rFonts w:ascii="David" w:hAnsi="David" w:cs="David"/>
          <w:b/>
          <w:bCs/>
          <w:sz w:val="24"/>
          <w:szCs w:val="24"/>
          <w:rtl/>
        </w:rPr>
        <w:t>–</w:t>
      </w:r>
      <w:r w:rsidRPr="00F25744">
        <w:rPr>
          <w:rFonts w:ascii="David" w:hAnsi="David" w:cs="David" w:hint="cs"/>
          <w:b/>
          <w:bCs/>
          <w:sz w:val="24"/>
          <w:szCs w:val="24"/>
          <w:rtl/>
        </w:rPr>
        <w:t xml:space="preserve"> אחר;</w:t>
      </w:r>
    </w:p>
    <w:p w14:paraId="71ADDAD0" w14:textId="77777777" w:rsidR="005E4C22" w:rsidRPr="00F25744" w:rsidRDefault="00E25AE7" w:rsidP="005E4C22">
      <w:pPr>
        <w:spacing w:before="120" w:after="0" w:line="360" w:lineRule="auto"/>
        <w:ind w:left="935"/>
        <w:jc w:val="both"/>
        <w:rPr>
          <w:rFonts w:ascii="David" w:hAnsi="David" w:cs="David"/>
          <w:b/>
          <w:bCs/>
          <w:sz w:val="24"/>
          <w:szCs w:val="24"/>
        </w:rPr>
      </w:pPr>
      <w:r w:rsidRPr="00F25744">
        <w:rPr>
          <w:rFonts w:ascii="David" w:hAnsi="David" w:cs="David" w:hint="cs"/>
          <w:b/>
          <w:bCs/>
          <w:sz w:val="24"/>
          <w:szCs w:val="24"/>
          <w:rtl/>
        </w:rPr>
        <w:t>ת"א-פלת"ד; ת"א-נזקי גוף-חבויות; ת"א-תביעה כספית; ת"א-תקנה 3 (אגרות); ת"א-מקרקעין (כולל פינוי סילוק ואחר); ת"א-נזקי גוף-רשלנות רפואית; ת"א-שיבוב וביטוח; ת"א-לשון הרע; ת"א-נזקי גוף ביטוח (פוליסה); ת"א-נזקי רכוש-רכב; ת"א-התנגדות לביצוע שטר/ביצוע תביעה; ת"א-מקרקעין פירוק שיתוף; ת"א-מקרקעין ליקויי בנייה; ת"א-קניין רוחני; ת"א-בנקים ואשראי.</w:t>
      </w:r>
    </w:p>
    <w:tbl>
      <w:tblPr>
        <w:bidiVisual/>
        <w:tblW w:w="3593" w:type="dxa"/>
        <w:tblInd w:w="113" w:type="dxa"/>
        <w:tblLook w:val="04A0" w:firstRow="1" w:lastRow="0" w:firstColumn="1" w:lastColumn="0" w:noHBand="0" w:noVBand="1"/>
      </w:tblPr>
      <w:tblGrid>
        <w:gridCol w:w="3593"/>
      </w:tblGrid>
      <w:tr w:rsidR="00E0162E" w:rsidRPr="00F25744" w14:paraId="4701DCDE" w14:textId="77777777" w:rsidTr="00770E84">
        <w:trPr>
          <w:trHeight w:val="300"/>
        </w:trPr>
        <w:tc>
          <w:tcPr>
            <w:tcW w:w="3593" w:type="dxa"/>
            <w:tcBorders>
              <w:top w:val="nil"/>
              <w:left w:val="nil"/>
              <w:bottom w:val="nil"/>
              <w:right w:val="nil"/>
            </w:tcBorders>
            <w:shd w:val="clear" w:color="auto" w:fill="auto"/>
            <w:noWrap/>
            <w:vAlign w:val="bottom"/>
            <w:hideMark/>
          </w:tcPr>
          <w:p w14:paraId="35B04989" w14:textId="77777777" w:rsidR="005E4C22" w:rsidRPr="00F25744" w:rsidRDefault="005E4C22" w:rsidP="00770E84">
            <w:pPr>
              <w:spacing w:after="0" w:line="240" w:lineRule="auto"/>
              <w:rPr>
                <w:rFonts w:ascii="Arial" w:eastAsia="Times New Roman" w:hAnsi="Arial"/>
                <w:b/>
                <w:bCs/>
                <w:sz w:val="16"/>
                <w:szCs w:val="16"/>
                <w:rtl/>
              </w:rPr>
            </w:pPr>
          </w:p>
        </w:tc>
      </w:tr>
    </w:tbl>
    <w:p w14:paraId="2D831128" w14:textId="77777777" w:rsidR="005E4C22" w:rsidRPr="00F25744" w:rsidRDefault="00E25AE7" w:rsidP="005E4C22">
      <w:pPr>
        <w:spacing w:before="120" w:after="0" w:line="360" w:lineRule="auto"/>
        <w:ind w:left="140"/>
        <w:jc w:val="both"/>
        <w:rPr>
          <w:rFonts w:ascii="David" w:hAnsi="David" w:cs="David"/>
          <w:sz w:val="24"/>
          <w:szCs w:val="24"/>
        </w:rPr>
      </w:pPr>
      <w:r w:rsidRPr="00F25744">
        <w:rPr>
          <w:rFonts w:ascii="David" w:hAnsi="David" w:cs="David" w:hint="cs"/>
          <w:sz w:val="24"/>
          <w:szCs w:val="24"/>
          <w:rtl/>
        </w:rPr>
        <w:t xml:space="preserve">אנא סמן/סמני </w:t>
      </w:r>
      <w:r w:rsidRPr="00F25744">
        <w:rPr>
          <w:rFonts w:ascii="David" w:hAnsi="David" w:cs="David" w:hint="cs"/>
          <w:sz w:val="24"/>
          <w:szCs w:val="24"/>
        </w:rPr>
        <w:t>V</w:t>
      </w:r>
      <w:r w:rsidRPr="00F25744">
        <w:rPr>
          <w:rFonts w:ascii="David" w:hAnsi="David" w:cs="David" w:hint="cs"/>
          <w:sz w:val="24"/>
          <w:szCs w:val="24"/>
          <w:rtl/>
        </w:rPr>
        <w:t xml:space="preserve"> לצד כל סוגי התיקים </w:t>
      </w:r>
      <w:r w:rsidRPr="00F25744">
        <w:rPr>
          <w:rFonts w:ascii="David" w:hAnsi="David" w:cs="David" w:hint="cs"/>
          <w:b/>
          <w:bCs/>
          <w:sz w:val="24"/>
          <w:szCs w:val="24"/>
          <w:rtl/>
        </w:rPr>
        <w:t>שבהם טיפלת</w:t>
      </w:r>
      <w:r w:rsidRPr="00F25744">
        <w:rPr>
          <w:rFonts w:ascii="David" w:hAnsi="David" w:cs="David" w:hint="cs"/>
          <w:sz w:val="24"/>
          <w:szCs w:val="24"/>
          <w:rtl/>
        </w:rPr>
        <w:t xml:space="preserve"> במהלך השנתיים האחרונות.</w:t>
      </w:r>
    </w:p>
    <w:p w14:paraId="18360393" w14:textId="77777777" w:rsidR="005E4C22" w:rsidRPr="00F25744" w:rsidRDefault="00E25AE7" w:rsidP="00341018">
      <w:pPr>
        <w:numPr>
          <w:ilvl w:val="1"/>
          <w:numId w:val="4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ברשימה הימנית שלפניך מופיעים סוגי התיקים שבהם בחרת בשאלה הקודמת. </w:t>
      </w:r>
    </w:p>
    <w:p w14:paraId="6B33E249" w14:textId="77777777" w:rsidR="005E4C22" w:rsidRPr="00F25744" w:rsidRDefault="00E25AE7" w:rsidP="005E4C22">
      <w:pPr>
        <w:spacing w:before="120" w:after="0" w:line="360" w:lineRule="auto"/>
        <w:ind w:left="935"/>
        <w:jc w:val="both"/>
        <w:rPr>
          <w:rFonts w:ascii="David" w:hAnsi="David" w:cs="David"/>
          <w:sz w:val="24"/>
          <w:szCs w:val="24"/>
          <w:rtl/>
        </w:rPr>
      </w:pPr>
      <w:r w:rsidRPr="00F25744">
        <w:rPr>
          <w:rFonts w:ascii="David" w:hAnsi="David" w:cs="David" w:hint="cs"/>
          <w:sz w:val="24"/>
          <w:szCs w:val="24"/>
          <w:rtl/>
        </w:rPr>
        <w:t xml:space="preserve">על מנת לתקף את ממצאי המחקר, נבקשך לסדר את סוגי התיקים שבטיפולך </w:t>
      </w:r>
      <w:r w:rsidRPr="00F25744">
        <w:rPr>
          <w:rFonts w:ascii="David" w:hAnsi="David" w:cs="David" w:hint="cs"/>
          <w:b/>
          <w:bCs/>
          <w:sz w:val="24"/>
          <w:szCs w:val="24"/>
          <w:rtl/>
        </w:rPr>
        <w:t>מן הכבד אל הקל</w:t>
      </w:r>
      <w:r w:rsidRPr="00F25744">
        <w:rPr>
          <w:rFonts w:ascii="David" w:hAnsi="David" w:cs="David" w:hint="cs"/>
          <w:sz w:val="24"/>
          <w:szCs w:val="24"/>
          <w:rtl/>
        </w:rPr>
        <w:t xml:space="preserve">. לשם כך עליך לבחור את סוגי התיקים מן הרשימה שבצד ימין </w:t>
      </w:r>
      <w:r w:rsidRPr="00F25744">
        <w:rPr>
          <w:rFonts w:ascii="David" w:hAnsi="David" w:cs="David" w:hint="cs"/>
          <w:b/>
          <w:bCs/>
          <w:sz w:val="24"/>
          <w:szCs w:val="24"/>
          <w:rtl/>
        </w:rPr>
        <w:t>ולגרור</w:t>
      </w:r>
      <w:r w:rsidRPr="00F25744">
        <w:rPr>
          <w:rFonts w:ascii="David" w:hAnsi="David" w:cs="David" w:hint="cs"/>
          <w:sz w:val="24"/>
          <w:szCs w:val="24"/>
          <w:rtl/>
        </w:rPr>
        <w:t xml:space="preserve"> אותם לרשימה הריקה שבצד שמאל. בראש הרשימה השמאלית יש למקם את סוג התיק שלדעתך מצריך את זמן העבודה </w:t>
      </w:r>
      <w:r w:rsidRPr="00F25744">
        <w:rPr>
          <w:rFonts w:ascii="David" w:hAnsi="David" w:cs="David" w:hint="cs"/>
          <w:b/>
          <w:bCs/>
          <w:sz w:val="24"/>
          <w:szCs w:val="24"/>
          <w:rtl/>
        </w:rPr>
        <w:t>הארוך</w:t>
      </w:r>
      <w:r w:rsidRPr="00F25744">
        <w:rPr>
          <w:rFonts w:ascii="David" w:hAnsi="David" w:cs="David" w:hint="cs"/>
          <w:sz w:val="24"/>
          <w:szCs w:val="24"/>
          <w:rtl/>
        </w:rPr>
        <w:t xml:space="preserve"> ביותר עד לסיום הטיפול בו, ולאחר מכן יש למקם בסדר יורד את יתר סוגי התיקים, אשר ביחס לסוג התיק הראשון מצריכים ממך פחות זמן עד לסיום הטיפול בהם. </w:t>
      </w:r>
    </w:p>
    <w:p w14:paraId="407CFA17" w14:textId="77777777" w:rsidR="005E4C22" w:rsidRPr="00F25744" w:rsidRDefault="00E25AE7" w:rsidP="00341018">
      <w:pPr>
        <w:numPr>
          <w:ilvl w:val="0"/>
          <w:numId w:val="40"/>
        </w:numPr>
        <w:spacing w:before="120" w:after="0" w:line="360" w:lineRule="auto"/>
        <w:jc w:val="both"/>
        <w:rPr>
          <w:rFonts w:ascii="David" w:hAnsi="David" w:cs="David"/>
          <w:b/>
          <w:bCs/>
          <w:sz w:val="24"/>
          <w:szCs w:val="24"/>
          <w:u w:val="single"/>
        </w:rPr>
      </w:pPr>
      <w:r w:rsidRPr="00F25744">
        <w:rPr>
          <w:rFonts w:ascii="David" w:hAnsi="David" w:cs="David" w:hint="cs"/>
          <w:b/>
          <w:bCs/>
          <w:sz w:val="24"/>
          <w:szCs w:val="24"/>
          <w:u w:val="single"/>
          <w:rtl/>
        </w:rPr>
        <w:t>שאלות כלליות</w:t>
      </w:r>
    </w:p>
    <w:p w14:paraId="159309AB" w14:textId="77777777" w:rsidR="005E4C22" w:rsidRPr="00F25744" w:rsidRDefault="00E25AE7" w:rsidP="005E4C22">
      <w:pPr>
        <w:spacing w:before="120" w:after="0" w:line="360" w:lineRule="auto"/>
        <w:ind w:left="360"/>
        <w:jc w:val="both"/>
        <w:rPr>
          <w:rFonts w:ascii="David" w:hAnsi="David" w:cs="David"/>
          <w:sz w:val="24"/>
          <w:szCs w:val="24"/>
          <w:rtl/>
        </w:rPr>
      </w:pPr>
      <w:r w:rsidRPr="00F25744">
        <w:rPr>
          <w:rFonts w:ascii="David" w:hAnsi="David" w:cs="David" w:hint="cs"/>
          <w:sz w:val="24"/>
          <w:szCs w:val="24"/>
          <w:rtl/>
        </w:rPr>
        <w:t>בחלק זה של השאלון נבקש לברר את הערכותיכם לגבי זמנים של פעולות נפוצות במרבית סוגי התיקים שסימנתם, לצורך תיקוף או השלמת פרטים חסרים:</w:t>
      </w:r>
    </w:p>
    <w:p w14:paraId="44E69945"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כמה זמן בממוצע לוקח לך להערכתך</w:t>
      </w:r>
      <w:r w:rsidRPr="00F25744">
        <w:rPr>
          <w:rFonts w:ascii="David" w:hAnsi="David" w:cs="David"/>
          <w:sz w:val="24"/>
          <w:szCs w:val="24"/>
          <w:rtl/>
        </w:rPr>
        <w:t xml:space="preserve"> לכתוב </w:t>
      </w:r>
      <w:r w:rsidRPr="00F25744">
        <w:rPr>
          <w:rFonts w:ascii="David" w:hAnsi="David" w:cs="David"/>
          <w:b/>
          <w:bCs/>
          <w:sz w:val="24"/>
          <w:szCs w:val="24"/>
          <w:rtl/>
        </w:rPr>
        <w:t>פתקית</w:t>
      </w:r>
      <w:r w:rsidRPr="00F25744">
        <w:rPr>
          <w:rFonts w:ascii="David" w:hAnsi="David" w:cs="David"/>
          <w:sz w:val="24"/>
          <w:szCs w:val="24"/>
          <w:rtl/>
        </w:rPr>
        <w:t xml:space="preserve"> (מנומקת או לא)</w:t>
      </w:r>
      <w:r w:rsidRPr="00F25744">
        <w:rPr>
          <w:rFonts w:ascii="David" w:hAnsi="David" w:cs="David" w:hint="cs"/>
          <w:sz w:val="24"/>
          <w:szCs w:val="24"/>
          <w:rtl/>
        </w:rPr>
        <w:t xml:space="preserve"> בכל אחד מסוגי התיקים שסימנת?</w:t>
      </w:r>
      <w:r w:rsidRPr="00F25744">
        <w:rPr>
          <w:rFonts w:ascii="David" w:hAnsi="David" w:cs="David"/>
          <w:sz w:val="24"/>
          <w:szCs w:val="24"/>
          <w:rtl/>
        </w:rPr>
        <w:t xml:space="preserve"> [עד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15-20 דקות, מעל 20 דקות/ לא רלבנטי לסוג התיק]</w:t>
      </w:r>
    </w:p>
    <w:p w14:paraId="5D92D617"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כמה זמן בממוצע לוקח לך להערכתך לכתוב </w:t>
      </w:r>
      <w:r w:rsidRPr="00F25744">
        <w:rPr>
          <w:rFonts w:ascii="David" w:hAnsi="David" w:cs="David"/>
          <w:b/>
          <w:bCs/>
          <w:sz w:val="24"/>
          <w:szCs w:val="24"/>
          <w:rtl/>
        </w:rPr>
        <w:t>עמוד אחד של פס</w:t>
      </w:r>
      <w:r w:rsidRPr="00F25744">
        <w:rPr>
          <w:rFonts w:ascii="David" w:hAnsi="David" w:cs="David" w:hint="cs"/>
          <w:b/>
          <w:bCs/>
          <w:sz w:val="24"/>
          <w:szCs w:val="24"/>
          <w:rtl/>
        </w:rPr>
        <w:t xml:space="preserve">ק </w:t>
      </w:r>
      <w:r w:rsidRPr="00F25744">
        <w:rPr>
          <w:rFonts w:ascii="David" w:hAnsi="David" w:cs="David"/>
          <w:b/>
          <w:bCs/>
          <w:sz w:val="24"/>
          <w:szCs w:val="24"/>
          <w:rtl/>
        </w:rPr>
        <w:t>ד</w:t>
      </w:r>
      <w:r w:rsidRPr="00F25744">
        <w:rPr>
          <w:rFonts w:ascii="David" w:hAnsi="David" w:cs="David" w:hint="cs"/>
          <w:b/>
          <w:bCs/>
          <w:sz w:val="24"/>
          <w:szCs w:val="24"/>
          <w:rtl/>
        </w:rPr>
        <w:t>ין</w:t>
      </w:r>
      <w:r w:rsidRPr="00F25744">
        <w:rPr>
          <w:rFonts w:ascii="David" w:hAnsi="David" w:cs="David"/>
          <w:sz w:val="24"/>
          <w:szCs w:val="24"/>
          <w:rtl/>
        </w:rPr>
        <w:t xml:space="preserve"> ש</w:t>
      </w:r>
      <w:r w:rsidRPr="00F25744">
        <w:rPr>
          <w:rFonts w:ascii="David" w:hAnsi="David" w:cs="David" w:hint="cs"/>
          <w:sz w:val="24"/>
          <w:szCs w:val="24"/>
          <w:rtl/>
        </w:rPr>
        <w:t xml:space="preserve">ניתן מחמת </w:t>
      </w:r>
      <w:r w:rsidRPr="00F25744">
        <w:rPr>
          <w:rFonts w:ascii="David" w:hAnsi="David" w:cs="David" w:hint="cs"/>
          <w:b/>
          <w:bCs/>
          <w:sz w:val="24"/>
          <w:szCs w:val="24"/>
          <w:rtl/>
        </w:rPr>
        <w:t>חו</w:t>
      </w:r>
      <w:r w:rsidRPr="00F25744">
        <w:rPr>
          <w:rFonts w:ascii="David" w:hAnsi="David" w:cs="David"/>
          <w:b/>
          <w:bCs/>
          <w:sz w:val="24"/>
          <w:szCs w:val="24"/>
          <w:rtl/>
        </w:rPr>
        <w:t>סר מעש</w:t>
      </w:r>
      <w:r w:rsidRPr="00F25744">
        <w:rPr>
          <w:rFonts w:ascii="David" w:hAnsi="David" w:cs="David"/>
          <w:sz w:val="24"/>
          <w:szCs w:val="24"/>
          <w:rtl/>
        </w:rPr>
        <w:t>/ אי תשלום/</w:t>
      </w:r>
      <w:r w:rsidRPr="00F25744">
        <w:rPr>
          <w:rFonts w:ascii="David" w:hAnsi="David" w:cs="David" w:hint="cs"/>
          <w:sz w:val="24"/>
          <w:szCs w:val="24"/>
          <w:rtl/>
        </w:rPr>
        <w:t xml:space="preserve"> </w:t>
      </w:r>
      <w:r w:rsidRPr="00F25744">
        <w:rPr>
          <w:rFonts w:ascii="David" w:hAnsi="David" w:cs="David"/>
          <w:sz w:val="24"/>
          <w:szCs w:val="24"/>
          <w:rtl/>
        </w:rPr>
        <w:t>התליית ההליכים</w:t>
      </w:r>
      <w:r w:rsidRPr="00F25744">
        <w:rPr>
          <w:rFonts w:ascii="David" w:hAnsi="David" w:cs="David" w:hint="cs"/>
          <w:sz w:val="24"/>
          <w:szCs w:val="24"/>
          <w:rtl/>
        </w:rPr>
        <w:t xml:space="preserve">, בכל אחד מסוגי התיקים שסימנת?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15-20 דקות, מעל 20 דקות/ לא רלבנטי לסוג התיק]</w:t>
      </w:r>
    </w:p>
    <w:p w14:paraId="652C0B04"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כמה זמן בממוצע לוקח לך להערכתך לכתוב </w:t>
      </w:r>
      <w:r w:rsidRPr="00F25744">
        <w:rPr>
          <w:rFonts w:ascii="David" w:hAnsi="David" w:cs="David" w:hint="cs"/>
          <w:b/>
          <w:bCs/>
          <w:sz w:val="24"/>
          <w:szCs w:val="24"/>
          <w:rtl/>
        </w:rPr>
        <w:t>עמוד אחד</w:t>
      </w:r>
      <w:r w:rsidRPr="00F25744">
        <w:rPr>
          <w:rFonts w:ascii="David" w:hAnsi="David" w:cs="David" w:hint="cs"/>
          <w:sz w:val="24"/>
          <w:szCs w:val="24"/>
          <w:rtl/>
        </w:rPr>
        <w:t xml:space="preserve"> של </w:t>
      </w:r>
      <w:r w:rsidRPr="00F25744">
        <w:rPr>
          <w:rFonts w:ascii="David" w:hAnsi="David" w:cs="David" w:hint="cs"/>
          <w:b/>
          <w:bCs/>
          <w:sz w:val="24"/>
          <w:szCs w:val="24"/>
          <w:rtl/>
        </w:rPr>
        <w:t>פסק דין הנותן תוקף ל</w:t>
      </w:r>
      <w:r w:rsidRPr="00F25744">
        <w:rPr>
          <w:rFonts w:ascii="David" w:hAnsi="David" w:cs="David"/>
          <w:b/>
          <w:bCs/>
          <w:sz w:val="24"/>
          <w:szCs w:val="24"/>
          <w:rtl/>
        </w:rPr>
        <w:t>פשרה</w:t>
      </w:r>
      <w:r w:rsidRPr="00F25744">
        <w:rPr>
          <w:rFonts w:ascii="David" w:hAnsi="David" w:cs="David"/>
          <w:sz w:val="24"/>
          <w:szCs w:val="24"/>
          <w:rtl/>
        </w:rPr>
        <w:t>/</w:t>
      </w:r>
      <w:r w:rsidRPr="00F25744">
        <w:rPr>
          <w:rFonts w:ascii="David" w:hAnsi="David" w:cs="David" w:hint="cs"/>
          <w:sz w:val="24"/>
          <w:szCs w:val="24"/>
          <w:rtl/>
        </w:rPr>
        <w:t xml:space="preserve"> </w:t>
      </w:r>
      <w:r w:rsidRPr="00F25744">
        <w:rPr>
          <w:rFonts w:ascii="David" w:hAnsi="David" w:cs="David"/>
          <w:sz w:val="24"/>
          <w:szCs w:val="24"/>
          <w:rtl/>
        </w:rPr>
        <w:t xml:space="preserve">נדחה </w:t>
      </w:r>
      <w:r w:rsidRPr="00F25744">
        <w:rPr>
          <w:rFonts w:ascii="David" w:hAnsi="David" w:cs="David" w:hint="cs"/>
          <w:sz w:val="24"/>
          <w:szCs w:val="24"/>
          <w:rtl/>
        </w:rPr>
        <w:t xml:space="preserve">או </w:t>
      </w:r>
      <w:r w:rsidRPr="00F25744">
        <w:rPr>
          <w:rFonts w:ascii="David" w:hAnsi="David" w:cs="David"/>
          <w:sz w:val="24"/>
          <w:szCs w:val="24"/>
          <w:rtl/>
        </w:rPr>
        <w:t>נמחק לבקשת צד/</w:t>
      </w:r>
      <w:r w:rsidRPr="00F25744">
        <w:rPr>
          <w:rFonts w:ascii="David" w:hAnsi="David" w:cs="David" w:hint="cs"/>
          <w:sz w:val="24"/>
          <w:szCs w:val="24"/>
          <w:rtl/>
        </w:rPr>
        <w:t xml:space="preserve"> </w:t>
      </w:r>
      <w:r w:rsidRPr="00F25744">
        <w:rPr>
          <w:rFonts w:ascii="David" w:hAnsi="David" w:cs="David"/>
          <w:sz w:val="24"/>
          <w:szCs w:val="24"/>
          <w:rtl/>
        </w:rPr>
        <w:t>עיכוב או מיצוי הליכים</w:t>
      </w:r>
      <w:r w:rsidRPr="00F25744">
        <w:rPr>
          <w:rFonts w:ascii="David" w:hAnsi="David" w:cs="David" w:hint="cs"/>
          <w:sz w:val="24"/>
          <w:szCs w:val="24"/>
          <w:rtl/>
        </w:rPr>
        <w:t>?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15-20 דקות, מעל 20 דקות/ לא רלבנטי לסוג התיק]</w:t>
      </w:r>
    </w:p>
    <w:p w14:paraId="65AF9069"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כמה זמן בממוצע לוקח לך להערכתך לכתוב </w:t>
      </w:r>
      <w:r w:rsidRPr="00F25744">
        <w:rPr>
          <w:rFonts w:ascii="David" w:hAnsi="David" w:cs="David" w:hint="cs"/>
          <w:b/>
          <w:bCs/>
          <w:sz w:val="24"/>
          <w:szCs w:val="24"/>
          <w:rtl/>
        </w:rPr>
        <w:t>עמוד אחד</w:t>
      </w:r>
      <w:r w:rsidRPr="00F25744">
        <w:rPr>
          <w:rFonts w:ascii="David" w:hAnsi="David" w:cs="David" w:hint="cs"/>
          <w:sz w:val="24"/>
          <w:szCs w:val="24"/>
          <w:rtl/>
        </w:rPr>
        <w:t xml:space="preserve"> של פסק דין לפי</w:t>
      </w:r>
      <w:r w:rsidRPr="00F25744">
        <w:rPr>
          <w:rFonts w:ascii="David" w:hAnsi="David" w:cs="David" w:hint="cs"/>
          <w:b/>
          <w:bCs/>
          <w:sz w:val="24"/>
          <w:szCs w:val="24"/>
          <w:rtl/>
        </w:rPr>
        <w:t xml:space="preserve"> ס' 79א' </w:t>
      </w:r>
      <w:r w:rsidRPr="00F25744">
        <w:rPr>
          <w:rFonts w:ascii="David" w:hAnsi="David" w:cs="David" w:hint="cs"/>
          <w:sz w:val="24"/>
          <w:szCs w:val="24"/>
          <w:rtl/>
        </w:rPr>
        <w:t>לחוק בתיהמ"ש (שנכתב מחוץ לאולם)?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15-20 דקות, מעל 20 דקות/ לא רלבנטי לסוג התיק]</w:t>
      </w:r>
    </w:p>
    <w:p w14:paraId="1B4404EE" w14:textId="77777777" w:rsidR="005E4C22" w:rsidRPr="00F25744" w:rsidRDefault="005E4C22" w:rsidP="005E4C22">
      <w:pPr>
        <w:spacing w:before="120" w:after="0" w:line="240" w:lineRule="auto"/>
        <w:ind w:left="728"/>
        <w:jc w:val="both"/>
        <w:rPr>
          <w:rFonts w:ascii="David" w:hAnsi="David" w:cs="David"/>
          <w:sz w:val="24"/>
          <w:szCs w:val="24"/>
          <w:rtl/>
        </w:rPr>
      </w:pPr>
    </w:p>
    <w:p w14:paraId="498C0094" w14:textId="77777777" w:rsidR="005E4C22" w:rsidRPr="00F25744" w:rsidRDefault="00E25AE7" w:rsidP="00341018">
      <w:pPr>
        <w:numPr>
          <w:ilvl w:val="0"/>
          <w:numId w:val="40"/>
        </w:numPr>
        <w:spacing w:before="120" w:after="0" w:line="360" w:lineRule="auto"/>
        <w:jc w:val="both"/>
        <w:rPr>
          <w:rFonts w:ascii="David" w:hAnsi="David" w:cs="David"/>
          <w:b/>
          <w:bCs/>
          <w:sz w:val="24"/>
          <w:szCs w:val="24"/>
          <w:u w:val="single"/>
        </w:rPr>
      </w:pPr>
      <w:r w:rsidRPr="00F25744">
        <w:rPr>
          <w:rFonts w:ascii="David" w:hAnsi="David" w:cs="David" w:hint="cs"/>
          <w:b/>
          <w:bCs/>
          <w:sz w:val="24"/>
          <w:szCs w:val="24"/>
          <w:u w:val="single"/>
          <w:rtl/>
        </w:rPr>
        <w:t>שאלות ספציפיות בחלק מסוגי התיקים שסומנו</w:t>
      </w:r>
    </w:p>
    <w:p w14:paraId="1AFEFD44" w14:textId="77777777" w:rsidR="005E4C22" w:rsidRPr="00F25744" w:rsidRDefault="00E25AE7" w:rsidP="005E4C22">
      <w:pPr>
        <w:spacing w:before="120" w:after="0" w:line="360" w:lineRule="auto"/>
        <w:ind w:left="360"/>
        <w:jc w:val="both"/>
        <w:rPr>
          <w:rFonts w:ascii="David" w:hAnsi="David" w:cs="David"/>
          <w:b/>
          <w:bCs/>
          <w:sz w:val="24"/>
          <w:szCs w:val="24"/>
          <w:rtl/>
        </w:rPr>
      </w:pPr>
      <w:r w:rsidRPr="00F25744">
        <w:rPr>
          <w:rFonts w:ascii="David" w:hAnsi="David" w:cs="David" w:hint="cs"/>
          <w:b/>
          <w:bCs/>
          <w:sz w:val="24"/>
          <w:szCs w:val="24"/>
          <w:rtl/>
        </w:rPr>
        <w:t>בפרק זה של השאלון נבקש לברר על דרך ההערכה את זמניהם או אורכם של אירועים מסוימים בחלק מהתיקים שסימנתם, אשר לגביהם לא נאספו די נתונים במהלך תקופת המחקר. על מנת בכל זאת לתת משקל לכמה שיותר סוגי תיקים, במיוחד סוגי התיקים שאותם ביקשו נשיאי ושופטי בתי משפט השלום כי נמדוד חרף נדירותם, נבקש את סיועכם במענה על השאלות הבאות:</w:t>
      </w:r>
    </w:p>
    <w:p w14:paraId="4346E8D4"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lastRenderedPageBreak/>
        <w:t xml:space="preserve">בתיק מסוג </w:t>
      </w:r>
      <w:r w:rsidRPr="00F25744">
        <w:rPr>
          <w:rFonts w:ascii="David" w:hAnsi="David" w:cs="David" w:hint="cs"/>
          <w:b/>
          <w:bCs/>
          <w:sz w:val="24"/>
          <w:szCs w:val="24"/>
          <w:u w:val="single"/>
          <w:rtl/>
        </w:rPr>
        <w:t>רע"צ</w:t>
      </w:r>
      <w:r w:rsidRPr="00F25744">
        <w:rPr>
          <w:rFonts w:ascii="David" w:hAnsi="David" w:cs="David" w:hint="cs"/>
          <w:sz w:val="24"/>
          <w:szCs w:val="24"/>
          <w:rtl/>
        </w:rPr>
        <w:t xml:space="preserve">, </w:t>
      </w:r>
      <w:r w:rsidRPr="00F25744">
        <w:rPr>
          <w:rFonts w:ascii="David" w:hAnsi="David" w:cs="David" w:hint="cs"/>
          <w:b/>
          <w:bCs/>
          <w:sz w:val="24"/>
          <w:szCs w:val="24"/>
          <w:rtl/>
        </w:rPr>
        <w:t>כמה עמודים</w:t>
      </w:r>
      <w:r w:rsidRPr="00F25744">
        <w:rPr>
          <w:rFonts w:ascii="David" w:hAnsi="David" w:cs="David" w:hint="cs"/>
          <w:sz w:val="24"/>
          <w:szCs w:val="24"/>
          <w:rtl/>
        </w:rPr>
        <w:t xml:space="preserve"> בממוצע אורכת להערכתך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במסמך עצמאי (לרבות החלטה לאחר סגירה)? (עמוד 1, 2 עמודים, 3 עמודים, 4 עמודים, 5 עמודים, אם יותר מ-5 עמודים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125EDFAA"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הפ"ב</w:t>
      </w:r>
      <w:r w:rsidRPr="00F25744">
        <w:rPr>
          <w:rFonts w:ascii="David" w:hAnsi="David" w:cs="David" w:hint="cs"/>
          <w:sz w:val="24"/>
          <w:szCs w:val="24"/>
          <w:rtl/>
        </w:rPr>
        <w:t xml:space="preserve">, </w:t>
      </w:r>
      <w:r w:rsidRPr="00F25744">
        <w:rPr>
          <w:rFonts w:ascii="David" w:hAnsi="David" w:cs="David" w:hint="cs"/>
          <w:b/>
          <w:bCs/>
          <w:sz w:val="24"/>
          <w:szCs w:val="24"/>
          <w:rtl/>
        </w:rPr>
        <w:t>כמה עמודים</w:t>
      </w:r>
      <w:r w:rsidRPr="00F25744">
        <w:rPr>
          <w:rFonts w:ascii="David" w:hAnsi="David" w:cs="David" w:hint="cs"/>
          <w:sz w:val="24"/>
          <w:szCs w:val="24"/>
          <w:rtl/>
        </w:rPr>
        <w:t xml:space="preserve"> בממוצע אורכת להערכתך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במסמך עצמאי (לרבות החלטה לאחר סגירה)? (עמוד 1, 2 עמודים, 3 עמודים, 4 עמודים, 5 עמודים, אם יותר מ-5 עמודים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5CB73DA5"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הפ"ב</w:t>
      </w:r>
      <w:r w:rsidRPr="00F25744">
        <w:rPr>
          <w:rFonts w:ascii="David" w:hAnsi="David" w:cs="David" w:hint="cs"/>
          <w:sz w:val="24"/>
          <w:szCs w:val="24"/>
          <w:rtl/>
        </w:rPr>
        <w:t>, כמה זמן בממוצע לוקח לך להערכתך לכתוב</w:t>
      </w:r>
      <w:r w:rsidRPr="00F25744">
        <w:rPr>
          <w:rFonts w:ascii="David" w:hAnsi="David" w:cs="David" w:hint="cs"/>
          <w:b/>
          <w:bCs/>
          <w:sz w:val="24"/>
          <w:szCs w:val="24"/>
          <w:rtl/>
        </w:rPr>
        <w:t xml:space="preserve"> עמוד אחד</w:t>
      </w:r>
      <w:r w:rsidRPr="00F25744">
        <w:rPr>
          <w:rFonts w:ascii="David" w:hAnsi="David" w:cs="David" w:hint="cs"/>
          <w:sz w:val="24"/>
          <w:szCs w:val="24"/>
          <w:rtl/>
        </w:rPr>
        <w:t xml:space="preserve"> של </w:t>
      </w:r>
      <w:r w:rsidRPr="00F25744">
        <w:rPr>
          <w:rFonts w:ascii="David" w:hAnsi="David" w:cs="David" w:hint="cs"/>
          <w:b/>
          <w:bCs/>
          <w:sz w:val="24"/>
          <w:szCs w:val="24"/>
          <w:rtl/>
        </w:rPr>
        <w:t>פסק דין מנומק</w:t>
      </w:r>
      <w:r w:rsidRPr="00F25744">
        <w:rPr>
          <w:rFonts w:ascii="David" w:hAnsi="David" w:cs="David"/>
          <w:b/>
          <w:bCs/>
          <w:sz w:val="24"/>
          <w:szCs w:val="24"/>
        </w:rPr>
        <w:t xml:space="preserve"> </w:t>
      </w:r>
      <w:r w:rsidRPr="00F25744">
        <w:rPr>
          <w:rFonts w:ascii="David" w:hAnsi="David" w:cs="David" w:hint="cs"/>
          <w:sz w:val="24"/>
          <w:szCs w:val="24"/>
          <w:rtl/>
        </w:rPr>
        <w:t>(ללא הסכמות הצדדים) שניתן מחוץ לאולם (לרבות טיוטה שנכתבה לפני הדיון והוקראה באולם)? [</w:t>
      </w:r>
      <w:r w:rsidRPr="00F25744">
        <w:rPr>
          <w:rFonts w:ascii="David" w:hAnsi="David" w:cs="David"/>
          <w:sz w:val="24"/>
          <w:szCs w:val="24"/>
          <w:rtl/>
        </w:rPr>
        <w:t>עד</w:t>
      </w:r>
      <w:r w:rsidRPr="00F25744">
        <w:rPr>
          <w:rFonts w:ascii="David" w:hAnsi="David" w:cs="David" w:hint="cs"/>
          <w:sz w:val="24"/>
          <w:szCs w:val="24"/>
          <w:rtl/>
        </w:rPr>
        <w:t xml:space="preserve"> 5 דקות</w:t>
      </w:r>
      <w:r w:rsidRPr="00F25744">
        <w:rPr>
          <w:rFonts w:ascii="David" w:hAnsi="David" w:cs="David"/>
          <w:sz w:val="24"/>
          <w:szCs w:val="24"/>
          <w:rtl/>
        </w:rPr>
        <w:t>,</w:t>
      </w:r>
      <w:r w:rsidRPr="00F25744">
        <w:rPr>
          <w:rFonts w:ascii="David" w:hAnsi="David" w:cs="David" w:hint="cs"/>
          <w:sz w:val="24"/>
          <w:szCs w:val="24"/>
          <w:rtl/>
        </w:rPr>
        <w:t xml:space="preserve"> 5-10 דקות</w:t>
      </w:r>
      <w:r w:rsidRPr="00F25744">
        <w:rPr>
          <w:rFonts w:ascii="David" w:hAnsi="David" w:cs="David"/>
          <w:sz w:val="24"/>
          <w:szCs w:val="24"/>
          <w:rtl/>
        </w:rPr>
        <w:t xml:space="preserve">, </w:t>
      </w:r>
      <w:r w:rsidRPr="00F25744">
        <w:rPr>
          <w:rFonts w:ascii="David" w:hAnsi="David" w:cs="David" w:hint="cs"/>
          <w:sz w:val="24"/>
          <w:szCs w:val="24"/>
          <w:rtl/>
        </w:rPr>
        <w:t>10-15 דקות</w:t>
      </w:r>
      <w:r w:rsidRPr="00F25744">
        <w:rPr>
          <w:rFonts w:ascii="David" w:hAnsi="David" w:cs="David"/>
          <w:sz w:val="24"/>
          <w:szCs w:val="24"/>
          <w:rtl/>
        </w:rPr>
        <w:t xml:space="preserve">, </w:t>
      </w:r>
      <w:r w:rsidRPr="00F25744">
        <w:rPr>
          <w:rFonts w:ascii="David" w:hAnsi="David" w:cs="David" w:hint="cs"/>
          <w:sz w:val="24"/>
          <w:szCs w:val="24"/>
          <w:rtl/>
        </w:rPr>
        <w:t>15-20 דקות</w:t>
      </w:r>
      <w:r w:rsidRPr="00F25744">
        <w:rPr>
          <w:rFonts w:ascii="David" w:hAnsi="David" w:cs="David"/>
          <w:sz w:val="24"/>
          <w:szCs w:val="24"/>
          <w:rtl/>
        </w:rPr>
        <w:t xml:space="preserve">, </w:t>
      </w:r>
      <w:r w:rsidRPr="00F25744">
        <w:rPr>
          <w:rFonts w:ascii="David" w:hAnsi="David" w:cs="David" w:hint="cs"/>
          <w:sz w:val="24"/>
          <w:szCs w:val="24"/>
          <w:rtl/>
        </w:rPr>
        <w:t>20-25 דקות</w:t>
      </w:r>
      <w:r w:rsidRPr="00F25744">
        <w:rPr>
          <w:rFonts w:ascii="David" w:hAnsi="David" w:cs="David"/>
          <w:sz w:val="24"/>
          <w:szCs w:val="24"/>
          <w:rtl/>
        </w:rPr>
        <w:t xml:space="preserve">, </w:t>
      </w:r>
      <w:r w:rsidRPr="00F25744">
        <w:rPr>
          <w:rFonts w:ascii="David" w:hAnsi="David" w:cs="David" w:hint="cs"/>
          <w:sz w:val="24"/>
          <w:szCs w:val="24"/>
          <w:rtl/>
        </w:rPr>
        <w:t xml:space="preserve">25-30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7CC4C851"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ת"צ</w:t>
      </w:r>
      <w:r w:rsidRPr="00F25744">
        <w:rPr>
          <w:rFonts w:ascii="David" w:hAnsi="David" w:cs="David" w:hint="cs"/>
          <w:sz w:val="24"/>
          <w:szCs w:val="24"/>
          <w:rtl/>
        </w:rPr>
        <w:t xml:space="preserve">, כמה </w:t>
      </w:r>
      <w:r w:rsidRPr="00F25744">
        <w:rPr>
          <w:rFonts w:ascii="David" w:hAnsi="David" w:cs="David" w:hint="cs"/>
          <w:b/>
          <w:bCs/>
          <w:sz w:val="24"/>
          <w:szCs w:val="24"/>
          <w:rtl/>
        </w:rPr>
        <w:t>זמן</w:t>
      </w:r>
      <w:r w:rsidRPr="00F25744">
        <w:rPr>
          <w:rFonts w:ascii="David" w:hAnsi="David" w:cs="David" w:hint="cs"/>
          <w:sz w:val="24"/>
          <w:szCs w:val="24"/>
          <w:rtl/>
        </w:rPr>
        <w:t xml:space="preserve"> בממוצע לוקח לך להערכתך לבצע את הפעולות הבאות:</w:t>
      </w:r>
    </w:p>
    <w:p w14:paraId="2445C26A" w14:textId="77777777" w:rsidR="005E4C22" w:rsidRPr="00F25744" w:rsidRDefault="00E25AE7" w:rsidP="00341018">
      <w:pPr>
        <w:numPr>
          <w:ilvl w:val="1"/>
          <w:numId w:val="33"/>
        </w:numPr>
        <w:spacing w:before="120" w:after="0" w:line="360" w:lineRule="auto"/>
        <w:ind w:left="1274" w:hanging="425"/>
        <w:jc w:val="both"/>
        <w:rPr>
          <w:rFonts w:ascii="David" w:hAnsi="David" w:cs="David"/>
          <w:sz w:val="24"/>
          <w:szCs w:val="24"/>
        </w:rPr>
      </w:pPr>
      <w:r w:rsidRPr="00F25744">
        <w:rPr>
          <w:rFonts w:ascii="David" w:hAnsi="David" w:cs="David" w:hint="cs"/>
          <w:b/>
          <w:bCs/>
          <w:sz w:val="24"/>
          <w:szCs w:val="24"/>
          <w:rtl/>
        </w:rPr>
        <w:t>הכנה</w:t>
      </w:r>
      <w:r w:rsidRPr="00F25744">
        <w:rPr>
          <w:rFonts w:ascii="David" w:hAnsi="David" w:cs="David" w:hint="cs"/>
          <w:sz w:val="24"/>
          <w:szCs w:val="24"/>
          <w:rtl/>
        </w:rPr>
        <w:t xml:space="preserve"> לדיון </w:t>
      </w:r>
      <w:r w:rsidRPr="00F25744">
        <w:rPr>
          <w:rFonts w:ascii="David" w:hAnsi="David" w:cs="David" w:hint="cs"/>
          <w:b/>
          <w:bCs/>
          <w:sz w:val="24"/>
          <w:szCs w:val="24"/>
          <w:rtl/>
        </w:rPr>
        <w:t>הוכחות</w:t>
      </w:r>
      <w:r w:rsidRPr="00F25744">
        <w:rPr>
          <w:rFonts w:ascii="David" w:hAnsi="David" w:cs="David" w:hint="cs"/>
          <w:sz w:val="24"/>
          <w:szCs w:val="24"/>
          <w:rtl/>
        </w:rPr>
        <w:t xml:space="preserve"> (לרבות דיון שבו נשמעות ראיות/ עדויות או סיכומים בעל פה), [עד 10 דקות, 10-20 דקות, 20-30 דקות, 30-40 דקות, 40-50 דקות, אם מעל 50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23402112" w14:textId="77777777" w:rsidR="005E4C22" w:rsidRPr="00F25744" w:rsidRDefault="00E25AE7" w:rsidP="00341018">
      <w:pPr>
        <w:numPr>
          <w:ilvl w:val="1"/>
          <w:numId w:val="33"/>
        </w:numPr>
        <w:spacing w:before="120" w:after="0" w:line="360" w:lineRule="auto"/>
        <w:ind w:left="1274" w:hanging="425"/>
        <w:jc w:val="both"/>
        <w:rPr>
          <w:rFonts w:ascii="David" w:hAnsi="David" w:cs="David"/>
          <w:sz w:val="24"/>
          <w:szCs w:val="24"/>
        </w:rPr>
      </w:pPr>
      <w:r w:rsidRPr="00F25744">
        <w:rPr>
          <w:rFonts w:ascii="David" w:hAnsi="David" w:cs="David" w:hint="cs"/>
          <w:b/>
          <w:bCs/>
          <w:sz w:val="24"/>
          <w:szCs w:val="24"/>
          <w:rtl/>
        </w:rPr>
        <w:t>שמיעת</w:t>
      </w:r>
      <w:r w:rsidRPr="00F25744">
        <w:rPr>
          <w:rFonts w:ascii="David" w:hAnsi="David" w:cs="David" w:hint="cs"/>
          <w:sz w:val="24"/>
          <w:szCs w:val="24"/>
          <w:rtl/>
        </w:rPr>
        <w:t xml:space="preserve"> דיון </w:t>
      </w:r>
      <w:r w:rsidRPr="00F25744">
        <w:rPr>
          <w:rFonts w:ascii="David" w:hAnsi="David" w:cs="David" w:hint="cs"/>
          <w:b/>
          <w:bCs/>
          <w:sz w:val="24"/>
          <w:szCs w:val="24"/>
          <w:rtl/>
        </w:rPr>
        <w:t>הוכחות</w:t>
      </w:r>
      <w:r w:rsidRPr="00F25744">
        <w:rPr>
          <w:rFonts w:ascii="David" w:hAnsi="David" w:cs="David" w:hint="cs"/>
          <w:sz w:val="24"/>
          <w:szCs w:val="24"/>
          <w:rtl/>
        </w:rPr>
        <w:t xml:space="preserve"> (לרבות דיון שבו נשמעות ראיות/ עדויות או סיכומים בעל פה), [עד 10 דקות, 10-20 דקות, 20-30 דקות, 30-40 דקות, 40-50 דקות, אם מעל 50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6E416ABB"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בתיק מסוג</w:t>
      </w:r>
      <w:r w:rsidRPr="00F25744">
        <w:rPr>
          <w:rFonts w:ascii="David" w:hAnsi="David" w:cs="David" w:hint="cs"/>
          <w:b/>
          <w:bCs/>
          <w:sz w:val="24"/>
          <w:szCs w:val="24"/>
          <w:rtl/>
        </w:rPr>
        <w:t xml:space="preserve"> </w:t>
      </w:r>
      <w:r w:rsidRPr="00F25744">
        <w:rPr>
          <w:rFonts w:ascii="David" w:hAnsi="David" w:cs="David" w:hint="cs"/>
          <w:b/>
          <w:bCs/>
          <w:sz w:val="24"/>
          <w:szCs w:val="24"/>
          <w:u w:val="single"/>
          <w:rtl/>
        </w:rPr>
        <w:t>ת"צ</w:t>
      </w:r>
      <w:r w:rsidRPr="00F25744">
        <w:rPr>
          <w:rFonts w:ascii="David" w:hAnsi="David" w:cs="David" w:hint="cs"/>
          <w:b/>
          <w:bCs/>
          <w:sz w:val="24"/>
          <w:szCs w:val="24"/>
          <w:rtl/>
        </w:rPr>
        <w:t>, כמה עמודים</w:t>
      </w:r>
      <w:r w:rsidRPr="00F25744">
        <w:rPr>
          <w:rFonts w:ascii="David" w:hAnsi="David" w:cs="David" w:hint="cs"/>
          <w:sz w:val="24"/>
          <w:szCs w:val="24"/>
          <w:rtl/>
        </w:rPr>
        <w:t xml:space="preserve"> בממוצע אורכת להערכתך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במסמך עצמאי (לרבות החלטה לאחר סגירה)? (עמוד 1, 2 עמודים, 3 עמודים, 4 עמודים, 5 עמודים, אם יותר מ-5 עמודים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5EA874CE"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ע"ר</w:t>
      </w:r>
      <w:r w:rsidRPr="00F25744">
        <w:rPr>
          <w:rFonts w:ascii="David" w:hAnsi="David" w:cs="David" w:hint="cs"/>
          <w:sz w:val="24"/>
          <w:szCs w:val="24"/>
          <w:rtl/>
        </w:rPr>
        <w:t xml:space="preserve">, כמה </w:t>
      </w:r>
      <w:r w:rsidRPr="00F25744">
        <w:rPr>
          <w:rFonts w:ascii="David" w:hAnsi="David" w:cs="David" w:hint="cs"/>
          <w:b/>
          <w:bCs/>
          <w:sz w:val="24"/>
          <w:szCs w:val="24"/>
          <w:rtl/>
        </w:rPr>
        <w:t>זמן</w:t>
      </w:r>
      <w:r w:rsidRPr="00F25744">
        <w:rPr>
          <w:rFonts w:ascii="David" w:hAnsi="David" w:cs="David" w:hint="cs"/>
          <w:sz w:val="24"/>
          <w:szCs w:val="24"/>
          <w:rtl/>
        </w:rPr>
        <w:t xml:space="preserve"> בממוצע לוקח לך להערכתך לבצע את הפעולות הבאות:</w:t>
      </w:r>
    </w:p>
    <w:p w14:paraId="7F95D9D3" w14:textId="77777777" w:rsidR="005E4C22" w:rsidRPr="00F25744" w:rsidRDefault="00E25AE7" w:rsidP="00341018">
      <w:pPr>
        <w:numPr>
          <w:ilvl w:val="1"/>
          <w:numId w:val="33"/>
        </w:numPr>
        <w:spacing w:before="120" w:after="0" w:line="360" w:lineRule="auto"/>
        <w:ind w:left="1274" w:hanging="425"/>
        <w:jc w:val="both"/>
        <w:rPr>
          <w:rFonts w:ascii="David" w:hAnsi="David" w:cs="David"/>
          <w:sz w:val="24"/>
          <w:szCs w:val="24"/>
        </w:rPr>
      </w:pPr>
      <w:r w:rsidRPr="00F25744">
        <w:rPr>
          <w:rFonts w:ascii="David" w:hAnsi="David" w:cs="David" w:hint="cs"/>
          <w:b/>
          <w:bCs/>
          <w:sz w:val="24"/>
          <w:szCs w:val="24"/>
          <w:rtl/>
        </w:rPr>
        <w:t>הכנה לדיון</w:t>
      </w:r>
      <w:r w:rsidRPr="00F25744">
        <w:rPr>
          <w:rFonts w:ascii="David" w:hAnsi="David" w:cs="David" w:hint="cs"/>
          <w:sz w:val="24"/>
          <w:szCs w:val="24"/>
          <w:rtl/>
        </w:rPr>
        <w:t xml:space="preserve"> [עד 10 דקות, 10-20 דקות, 20-30 דקות, 30-40 דקות, 40-50 דקות, אם מעל 50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32D26F6F" w14:textId="77777777" w:rsidR="005E4C22" w:rsidRPr="00F25744" w:rsidRDefault="00E25AE7" w:rsidP="00341018">
      <w:pPr>
        <w:numPr>
          <w:ilvl w:val="1"/>
          <w:numId w:val="30"/>
        </w:numPr>
        <w:spacing w:before="120" w:after="0" w:line="360" w:lineRule="auto"/>
        <w:ind w:left="1274" w:hanging="425"/>
        <w:jc w:val="both"/>
        <w:rPr>
          <w:rFonts w:ascii="David" w:hAnsi="David" w:cs="David"/>
          <w:sz w:val="24"/>
          <w:szCs w:val="24"/>
        </w:rPr>
      </w:pPr>
      <w:r w:rsidRPr="00F25744">
        <w:rPr>
          <w:rFonts w:ascii="David" w:hAnsi="David" w:cs="David" w:hint="cs"/>
          <w:sz w:val="24"/>
          <w:szCs w:val="24"/>
          <w:rtl/>
        </w:rPr>
        <w:t>כתיבת</w:t>
      </w:r>
      <w:r w:rsidRPr="00F25744">
        <w:rPr>
          <w:rFonts w:ascii="David" w:hAnsi="David" w:cs="David" w:hint="cs"/>
          <w:b/>
          <w:bCs/>
          <w:sz w:val="24"/>
          <w:szCs w:val="24"/>
          <w:rtl/>
        </w:rPr>
        <w:t xml:space="preserve"> עמוד אחד</w:t>
      </w:r>
      <w:r w:rsidRPr="00F25744">
        <w:rPr>
          <w:rFonts w:ascii="David" w:hAnsi="David" w:cs="David" w:hint="cs"/>
          <w:sz w:val="24"/>
          <w:szCs w:val="24"/>
          <w:rtl/>
        </w:rPr>
        <w:t xml:space="preserve"> של</w:t>
      </w:r>
      <w:r w:rsidRPr="00F25744">
        <w:rPr>
          <w:rFonts w:ascii="David" w:hAnsi="David" w:cs="David" w:hint="cs"/>
          <w:b/>
          <w:bCs/>
          <w:sz w:val="24"/>
          <w:szCs w:val="24"/>
          <w:rtl/>
        </w:rPr>
        <w:t xml:space="preserve"> החלטת ביניים</w:t>
      </w:r>
      <w:r w:rsidRPr="00F25744">
        <w:rPr>
          <w:rFonts w:ascii="David" w:hAnsi="David" w:cs="David" w:hint="cs"/>
          <w:sz w:val="24"/>
          <w:szCs w:val="24"/>
          <w:rtl/>
        </w:rPr>
        <w:t xml:space="preserve"> במסמך עצמאי (לרבות החלטה לאחר סגירה)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15-20 דקות, מעל 20 דקות/ לא רלבנטי לסוג התיק]</w:t>
      </w:r>
    </w:p>
    <w:p w14:paraId="4E09D1DC" w14:textId="77777777" w:rsidR="005E4C22" w:rsidRPr="00F25744" w:rsidRDefault="00E25AE7" w:rsidP="00341018">
      <w:pPr>
        <w:numPr>
          <w:ilvl w:val="1"/>
          <w:numId w:val="33"/>
        </w:numPr>
        <w:spacing w:before="120" w:after="0" w:line="360" w:lineRule="auto"/>
        <w:ind w:left="1274" w:hanging="425"/>
        <w:jc w:val="both"/>
        <w:rPr>
          <w:rFonts w:ascii="David" w:hAnsi="David" w:cs="David"/>
          <w:sz w:val="24"/>
          <w:szCs w:val="24"/>
        </w:rPr>
      </w:pPr>
      <w:r w:rsidRPr="00F25744">
        <w:rPr>
          <w:rFonts w:ascii="David" w:hAnsi="David" w:cs="David" w:hint="cs"/>
          <w:sz w:val="24"/>
          <w:szCs w:val="24"/>
          <w:rtl/>
        </w:rPr>
        <w:t>כתיבת</w:t>
      </w:r>
      <w:r w:rsidRPr="00F25744">
        <w:rPr>
          <w:rFonts w:ascii="David" w:hAnsi="David" w:cs="David" w:hint="cs"/>
          <w:b/>
          <w:bCs/>
          <w:sz w:val="24"/>
          <w:szCs w:val="24"/>
          <w:rtl/>
        </w:rPr>
        <w:t xml:space="preserve"> עמוד אחד</w:t>
      </w:r>
      <w:r w:rsidRPr="00F25744">
        <w:rPr>
          <w:rFonts w:ascii="David" w:hAnsi="David" w:cs="David" w:hint="cs"/>
          <w:sz w:val="24"/>
          <w:szCs w:val="24"/>
          <w:rtl/>
        </w:rPr>
        <w:t xml:space="preserve"> של</w:t>
      </w:r>
      <w:r w:rsidRPr="00F25744">
        <w:rPr>
          <w:rFonts w:ascii="David" w:hAnsi="David" w:cs="David" w:hint="cs"/>
          <w:b/>
          <w:bCs/>
          <w:sz w:val="24"/>
          <w:szCs w:val="24"/>
          <w:rtl/>
        </w:rPr>
        <w:t xml:space="preserve"> פסק דין</w:t>
      </w:r>
      <w:r w:rsidRPr="00F25744">
        <w:rPr>
          <w:rFonts w:ascii="David" w:hAnsi="David" w:cs="David" w:hint="cs"/>
          <w:sz w:val="24"/>
          <w:szCs w:val="24"/>
          <w:rtl/>
        </w:rPr>
        <w:t xml:space="preserve"> </w:t>
      </w:r>
      <w:r w:rsidRPr="00F25744">
        <w:rPr>
          <w:rFonts w:ascii="David" w:hAnsi="David" w:cs="David" w:hint="cs"/>
          <w:b/>
          <w:bCs/>
          <w:sz w:val="24"/>
          <w:szCs w:val="24"/>
          <w:rtl/>
        </w:rPr>
        <w:t>מנומק</w:t>
      </w:r>
      <w:r w:rsidRPr="00F25744">
        <w:rPr>
          <w:rFonts w:ascii="David" w:hAnsi="David" w:cs="David" w:hint="cs"/>
          <w:sz w:val="24"/>
          <w:szCs w:val="24"/>
          <w:rtl/>
        </w:rPr>
        <w:t xml:space="preserve"> (ללא הסכמות הצדדים) שניתן מחוץ לאולם (לרבות טיוטה שנכתבה לפני הדיון והוקראה באולם) [עד 10 דקות, 10-20 דקות, 20-30 דקות, 30-40 דקות, 40-50 דקות, אם מעל 50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69C4CB46"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ע"ר</w:t>
      </w:r>
      <w:r w:rsidRPr="00F25744">
        <w:rPr>
          <w:rFonts w:ascii="David" w:hAnsi="David" w:cs="David" w:hint="cs"/>
          <w:sz w:val="24"/>
          <w:szCs w:val="24"/>
          <w:rtl/>
        </w:rPr>
        <w:t xml:space="preserve">, </w:t>
      </w:r>
      <w:r w:rsidRPr="00F25744">
        <w:rPr>
          <w:rFonts w:ascii="David" w:hAnsi="David" w:cs="David" w:hint="cs"/>
          <w:b/>
          <w:bCs/>
          <w:sz w:val="24"/>
          <w:szCs w:val="24"/>
          <w:rtl/>
        </w:rPr>
        <w:t>כמה עמודים</w:t>
      </w:r>
      <w:r w:rsidRPr="00F25744">
        <w:rPr>
          <w:rFonts w:ascii="David" w:hAnsi="David" w:cs="David" w:hint="cs"/>
          <w:sz w:val="24"/>
          <w:szCs w:val="24"/>
          <w:rtl/>
        </w:rPr>
        <w:t xml:space="preserve"> בממוצע אורכת להערכתך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במסמך עצמאי (לרבות החלטה לאחר סגירה)? (עמוד 1, 2 עמודים, 3 עמודים, 4 עמודים, 5 עמודים, אם יותר מ-5 עמודים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3DB71AEA"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lastRenderedPageBreak/>
        <w:t xml:space="preserve">בתיק מסוג </w:t>
      </w:r>
      <w:r w:rsidRPr="00F25744">
        <w:rPr>
          <w:rFonts w:ascii="David" w:hAnsi="David" w:cs="David" w:hint="cs"/>
          <w:b/>
          <w:bCs/>
          <w:sz w:val="24"/>
          <w:szCs w:val="24"/>
          <w:u w:val="single"/>
          <w:rtl/>
        </w:rPr>
        <w:t>עמ"ח</w:t>
      </w:r>
      <w:r w:rsidRPr="00F25744">
        <w:rPr>
          <w:rFonts w:ascii="David" w:hAnsi="David" w:cs="David" w:hint="cs"/>
          <w:sz w:val="24"/>
          <w:szCs w:val="24"/>
          <w:rtl/>
        </w:rPr>
        <w:t xml:space="preserve">, כמה </w:t>
      </w:r>
      <w:r w:rsidRPr="00F25744">
        <w:rPr>
          <w:rFonts w:ascii="David" w:hAnsi="David" w:cs="David" w:hint="cs"/>
          <w:b/>
          <w:bCs/>
          <w:sz w:val="24"/>
          <w:szCs w:val="24"/>
          <w:rtl/>
        </w:rPr>
        <w:t>זמן</w:t>
      </w:r>
      <w:r w:rsidRPr="00F25744">
        <w:rPr>
          <w:rFonts w:ascii="David" w:hAnsi="David" w:cs="David" w:hint="cs"/>
          <w:sz w:val="24"/>
          <w:szCs w:val="24"/>
          <w:rtl/>
        </w:rPr>
        <w:t xml:space="preserve"> בממוצע לוקח לך להערכתך לבצע את הפעולות הבאות:</w:t>
      </w:r>
    </w:p>
    <w:p w14:paraId="34905EB9" w14:textId="77777777" w:rsidR="005E4C22" w:rsidRPr="00F25744" w:rsidRDefault="00E25AE7" w:rsidP="00341018">
      <w:pPr>
        <w:numPr>
          <w:ilvl w:val="1"/>
          <w:numId w:val="33"/>
        </w:numPr>
        <w:spacing w:before="120" w:after="0" w:line="360" w:lineRule="auto"/>
        <w:ind w:left="1274" w:hanging="425"/>
        <w:jc w:val="both"/>
        <w:rPr>
          <w:rFonts w:ascii="David" w:hAnsi="David" w:cs="David"/>
          <w:sz w:val="24"/>
          <w:szCs w:val="24"/>
        </w:rPr>
      </w:pPr>
      <w:r w:rsidRPr="00F25744">
        <w:rPr>
          <w:rFonts w:ascii="David" w:hAnsi="David" w:cs="David" w:hint="cs"/>
          <w:b/>
          <w:bCs/>
          <w:sz w:val="24"/>
          <w:szCs w:val="24"/>
          <w:rtl/>
        </w:rPr>
        <w:t>הכנה לדיון</w:t>
      </w:r>
      <w:r w:rsidRPr="00F25744">
        <w:rPr>
          <w:rFonts w:ascii="David" w:hAnsi="David" w:cs="David" w:hint="cs"/>
          <w:sz w:val="24"/>
          <w:szCs w:val="24"/>
          <w:rtl/>
        </w:rPr>
        <w:t xml:space="preserve"> [עד 10 דקות, 10-20 דקות, 20-30 דקות, 30-40 דקות, 40-50 דקות, אם מעל 50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218E9F46" w14:textId="77777777" w:rsidR="005E4C22" w:rsidRPr="00F25744" w:rsidRDefault="00E25AE7" w:rsidP="00341018">
      <w:pPr>
        <w:numPr>
          <w:ilvl w:val="1"/>
          <w:numId w:val="30"/>
        </w:numPr>
        <w:spacing w:before="120" w:after="0" w:line="360" w:lineRule="auto"/>
        <w:ind w:left="1274" w:hanging="425"/>
        <w:jc w:val="both"/>
        <w:rPr>
          <w:rFonts w:ascii="David" w:hAnsi="David" w:cs="David"/>
          <w:sz w:val="24"/>
          <w:szCs w:val="24"/>
        </w:rPr>
      </w:pPr>
      <w:r w:rsidRPr="00F25744">
        <w:rPr>
          <w:rFonts w:ascii="David" w:hAnsi="David" w:cs="David" w:hint="cs"/>
          <w:sz w:val="24"/>
          <w:szCs w:val="24"/>
          <w:rtl/>
        </w:rPr>
        <w:t>כתיבת</w:t>
      </w:r>
      <w:r w:rsidRPr="00F25744">
        <w:rPr>
          <w:rFonts w:ascii="David" w:hAnsi="David" w:cs="David" w:hint="cs"/>
          <w:b/>
          <w:bCs/>
          <w:sz w:val="24"/>
          <w:szCs w:val="24"/>
          <w:rtl/>
        </w:rPr>
        <w:t xml:space="preserve"> עמוד אחד</w:t>
      </w:r>
      <w:r w:rsidRPr="00F25744">
        <w:rPr>
          <w:rFonts w:ascii="David" w:hAnsi="David" w:cs="David" w:hint="cs"/>
          <w:sz w:val="24"/>
          <w:szCs w:val="24"/>
          <w:rtl/>
        </w:rPr>
        <w:t xml:space="preserve"> של</w:t>
      </w:r>
      <w:r w:rsidRPr="00F25744">
        <w:rPr>
          <w:rFonts w:ascii="David" w:hAnsi="David" w:cs="David" w:hint="cs"/>
          <w:b/>
          <w:bCs/>
          <w:sz w:val="24"/>
          <w:szCs w:val="24"/>
          <w:rtl/>
        </w:rPr>
        <w:t xml:space="preserve"> החלטת ביניים</w:t>
      </w:r>
      <w:r w:rsidRPr="00F25744">
        <w:rPr>
          <w:rFonts w:ascii="David" w:hAnsi="David" w:cs="David" w:hint="cs"/>
          <w:sz w:val="24"/>
          <w:szCs w:val="24"/>
          <w:rtl/>
        </w:rPr>
        <w:t xml:space="preserve"> במסמך עצמאי (לרבות החלטה לאחר סגירה)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15-20 דקות, מעל 20 דקות/ לא רלבנטי לסוג התיק]</w:t>
      </w:r>
    </w:p>
    <w:p w14:paraId="7780FF84" w14:textId="77777777" w:rsidR="005E4C22" w:rsidRPr="00F25744" w:rsidRDefault="00E25AE7" w:rsidP="00341018">
      <w:pPr>
        <w:numPr>
          <w:ilvl w:val="1"/>
          <w:numId w:val="33"/>
        </w:numPr>
        <w:spacing w:before="120" w:after="0" w:line="360" w:lineRule="auto"/>
        <w:ind w:left="1274" w:hanging="425"/>
        <w:jc w:val="both"/>
        <w:rPr>
          <w:rFonts w:ascii="David" w:hAnsi="David" w:cs="David"/>
          <w:sz w:val="24"/>
          <w:szCs w:val="24"/>
        </w:rPr>
      </w:pPr>
      <w:r w:rsidRPr="00F25744">
        <w:rPr>
          <w:rFonts w:ascii="David" w:hAnsi="David" w:cs="David" w:hint="cs"/>
          <w:sz w:val="24"/>
          <w:szCs w:val="24"/>
          <w:rtl/>
        </w:rPr>
        <w:t>כתיבת</w:t>
      </w:r>
      <w:r w:rsidRPr="00F25744">
        <w:rPr>
          <w:rFonts w:ascii="David" w:hAnsi="David" w:cs="David" w:hint="cs"/>
          <w:b/>
          <w:bCs/>
          <w:sz w:val="24"/>
          <w:szCs w:val="24"/>
          <w:rtl/>
        </w:rPr>
        <w:t xml:space="preserve"> עמוד אחד</w:t>
      </w:r>
      <w:r w:rsidRPr="00F25744">
        <w:rPr>
          <w:rFonts w:ascii="David" w:hAnsi="David" w:cs="David" w:hint="cs"/>
          <w:sz w:val="24"/>
          <w:szCs w:val="24"/>
          <w:rtl/>
        </w:rPr>
        <w:t xml:space="preserve"> של </w:t>
      </w:r>
      <w:r w:rsidRPr="00F25744">
        <w:rPr>
          <w:rFonts w:ascii="David" w:hAnsi="David" w:cs="David" w:hint="cs"/>
          <w:b/>
          <w:bCs/>
          <w:sz w:val="24"/>
          <w:szCs w:val="24"/>
          <w:rtl/>
        </w:rPr>
        <w:t>פסק דין</w:t>
      </w:r>
      <w:r w:rsidRPr="00F25744">
        <w:rPr>
          <w:rFonts w:ascii="David" w:hAnsi="David" w:cs="David" w:hint="cs"/>
          <w:sz w:val="24"/>
          <w:szCs w:val="24"/>
          <w:rtl/>
        </w:rPr>
        <w:t xml:space="preserve"> מנומק (ללא הסכמות הצדדים) שניתן מחוץ לאולם (לרבות טיוטה שנכתבה לפני הדיון והוקראה באולם) [עד 10 דקות, 10-20 דקות, 20-30 דקות, 30-40 דקות, 40-50 דקות, אם מעל 50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2AD768E9"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בת"ת</w:t>
      </w:r>
      <w:r w:rsidRPr="00F25744">
        <w:rPr>
          <w:rFonts w:ascii="David" w:hAnsi="David" w:cs="David" w:hint="cs"/>
          <w:sz w:val="24"/>
          <w:szCs w:val="24"/>
          <w:rtl/>
        </w:rPr>
        <w:t xml:space="preserve">, כמה </w:t>
      </w:r>
      <w:r w:rsidRPr="00F25744">
        <w:rPr>
          <w:rFonts w:ascii="David" w:hAnsi="David" w:cs="David" w:hint="cs"/>
          <w:b/>
          <w:bCs/>
          <w:sz w:val="24"/>
          <w:szCs w:val="24"/>
          <w:rtl/>
        </w:rPr>
        <w:t>זמן</w:t>
      </w:r>
      <w:r w:rsidRPr="00F25744">
        <w:rPr>
          <w:rFonts w:ascii="David" w:hAnsi="David" w:cs="David" w:hint="cs"/>
          <w:sz w:val="24"/>
          <w:szCs w:val="24"/>
          <w:rtl/>
        </w:rPr>
        <w:t xml:space="preserve"> בממוצע לוקח לך להערכתך לבצע את הפעולות הבאות:</w:t>
      </w:r>
    </w:p>
    <w:p w14:paraId="24E07329" w14:textId="77777777" w:rsidR="005E4C22" w:rsidRPr="00F25744" w:rsidRDefault="00E25AE7" w:rsidP="00341018">
      <w:pPr>
        <w:numPr>
          <w:ilvl w:val="1"/>
          <w:numId w:val="33"/>
        </w:numPr>
        <w:spacing w:before="120" w:after="0" w:line="360" w:lineRule="auto"/>
        <w:ind w:left="1274" w:hanging="425"/>
        <w:jc w:val="both"/>
        <w:rPr>
          <w:rFonts w:ascii="David" w:hAnsi="David" w:cs="David"/>
          <w:sz w:val="24"/>
          <w:szCs w:val="24"/>
        </w:rPr>
      </w:pPr>
      <w:r w:rsidRPr="00F25744">
        <w:rPr>
          <w:rFonts w:ascii="David" w:hAnsi="David" w:cs="David" w:hint="cs"/>
          <w:b/>
          <w:bCs/>
          <w:sz w:val="24"/>
          <w:szCs w:val="24"/>
          <w:rtl/>
        </w:rPr>
        <w:t>הכנה לדיון</w:t>
      </w:r>
      <w:r w:rsidRPr="00F25744">
        <w:rPr>
          <w:rFonts w:ascii="David" w:hAnsi="David" w:cs="David" w:hint="cs"/>
          <w:sz w:val="24"/>
          <w:szCs w:val="24"/>
          <w:rtl/>
        </w:rPr>
        <w:t xml:space="preserve"> [עד 10 דקות, 10-20 דקות, 20-30 דקות, 30-40 דקות, 40-50 דקות, אם מעל 50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51AEAE6E" w14:textId="77777777" w:rsidR="005E4C22" w:rsidRPr="00F25744" w:rsidRDefault="00E25AE7" w:rsidP="00341018">
      <w:pPr>
        <w:numPr>
          <w:ilvl w:val="1"/>
          <w:numId w:val="33"/>
        </w:numPr>
        <w:spacing w:before="120" w:after="0" w:line="360" w:lineRule="auto"/>
        <w:ind w:left="1274" w:hanging="425"/>
        <w:jc w:val="both"/>
        <w:rPr>
          <w:rFonts w:ascii="David" w:hAnsi="David" w:cs="David"/>
          <w:sz w:val="24"/>
          <w:szCs w:val="24"/>
        </w:rPr>
      </w:pPr>
      <w:r w:rsidRPr="00F25744">
        <w:rPr>
          <w:rFonts w:ascii="David" w:hAnsi="David" w:cs="David" w:hint="cs"/>
          <w:b/>
          <w:bCs/>
          <w:sz w:val="24"/>
          <w:szCs w:val="24"/>
          <w:rtl/>
        </w:rPr>
        <w:t>שמיעת</w:t>
      </w:r>
      <w:r w:rsidRPr="00F25744">
        <w:rPr>
          <w:rFonts w:ascii="David" w:hAnsi="David" w:cs="David" w:hint="cs"/>
          <w:sz w:val="24"/>
          <w:szCs w:val="24"/>
          <w:rtl/>
        </w:rPr>
        <w:t xml:space="preserve"> הדיון [עד 10 דקות, 10-20 דקות, 20-30 דקות, 30-40 דקות, 40-50 דקות, אם מעל 50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35669731" w14:textId="77777777" w:rsidR="005E4C22" w:rsidRPr="00F25744" w:rsidRDefault="00E25AE7" w:rsidP="00341018">
      <w:pPr>
        <w:numPr>
          <w:ilvl w:val="1"/>
          <w:numId w:val="30"/>
        </w:numPr>
        <w:spacing w:before="120" w:after="0" w:line="360" w:lineRule="auto"/>
        <w:ind w:left="1274" w:hanging="425"/>
        <w:jc w:val="both"/>
        <w:rPr>
          <w:rFonts w:ascii="David" w:hAnsi="David" w:cs="David"/>
          <w:sz w:val="24"/>
          <w:szCs w:val="24"/>
        </w:rPr>
      </w:pPr>
      <w:r w:rsidRPr="00F25744">
        <w:rPr>
          <w:rFonts w:ascii="David" w:hAnsi="David" w:cs="David" w:hint="cs"/>
          <w:sz w:val="24"/>
          <w:szCs w:val="24"/>
          <w:rtl/>
        </w:rPr>
        <w:t>כתיבת</w:t>
      </w:r>
      <w:r w:rsidRPr="00F25744">
        <w:rPr>
          <w:rFonts w:ascii="David" w:hAnsi="David" w:cs="David" w:hint="cs"/>
          <w:b/>
          <w:bCs/>
          <w:sz w:val="24"/>
          <w:szCs w:val="24"/>
          <w:rtl/>
        </w:rPr>
        <w:t xml:space="preserve"> עמוד אחד</w:t>
      </w:r>
      <w:r w:rsidRPr="00F25744">
        <w:rPr>
          <w:rFonts w:ascii="David" w:hAnsi="David" w:cs="David" w:hint="cs"/>
          <w:sz w:val="24"/>
          <w:szCs w:val="24"/>
          <w:rtl/>
        </w:rPr>
        <w:t xml:space="preserve"> של</w:t>
      </w:r>
      <w:r w:rsidRPr="00F25744">
        <w:rPr>
          <w:rFonts w:ascii="David" w:hAnsi="David" w:cs="David" w:hint="cs"/>
          <w:b/>
          <w:bCs/>
          <w:sz w:val="24"/>
          <w:szCs w:val="24"/>
          <w:rtl/>
        </w:rPr>
        <w:t xml:space="preserve"> החלטת ביניים</w:t>
      </w:r>
      <w:r w:rsidRPr="00F25744">
        <w:rPr>
          <w:rFonts w:ascii="David" w:hAnsi="David" w:cs="David" w:hint="cs"/>
          <w:sz w:val="24"/>
          <w:szCs w:val="24"/>
          <w:rtl/>
        </w:rPr>
        <w:t xml:space="preserve"> במסמך עצמאי (לרבות החלטה לאחר סגירה)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15-20 דקות, מעל 20 דקות/ לא רלבנטי לסוג התיק]</w:t>
      </w:r>
    </w:p>
    <w:p w14:paraId="3BC2F57D" w14:textId="77777777" w:rsidR="005E4C22" w:rsidRPr="00F25744" w:rsidRDefault="00E25AE7" w:rsidP="00341018">
      <w:pPr>
        <w:numPr>
          <w:ilvl w:val="1"/>
          <w:numId w:val="33"/>
        </w:numPr>
        <w:spacing w:before="120" w:after="0" w:line="360" w:lineRule="auto"/>
        <w:ind w:left="1274" w:hanging="425"/>
        <w:jc w:val="both"/>
        <w:rPr>
          <w:rFonts w:ascii="David" w:hAnsi="David" w:cs="David"/>
          <w:sz w:val="24"/>
          <w:szCs w:val="24"/>
        </w:rPr>
      </w:pPr>
      <w:r w:rsidRPr="00F25744">
        <w:rPr>
          <w:rFonts w:ascii="David" w:hAnsi="David" w:cs="David" w:hint="cs"/>
          <w:sz w:val="24"/>
          <w:szCs w:val="24"/>
          <w:rtl/>
        </w:rPr>
        <w:t>כתיבת</w:t>
      </w:r>
      <w:r w:rsidRPr="00F25744">
        <w:rPr>
          <w:rFonts w:ascii="David" w:hAnsi="David" w:cs="David" w:hint="cs"/>
          <w:b/>
          <w:bCs/>
          <w:sz w:val="24"/>
          <w:szCs w:val="24"/>
          <w:rtl/>
        </w:rPr>
        <w:t xml:space="preserve"> עמוד אחד</w:t>
      </w:r>
      <w:r w:rsidRPr="00F25744">
        <w:rPr>
          <w:rFonts w:ascii="David" w:hAnsi="David" w:cs="David" w:hint="cs"/>
          <w:sz w:val="24"/>
          <w:szCs w:val="24"/>
          <w:rtl/>
        </w:rPr>
        <w:t xml:space="preserve"> של </w:t>
      </w:r>
      <w:r w:rsidRPr="00F25744">
        <w:rPr>
          <w:rFonts w:ascii="David" w:hAnsi="David" w:cs="David" w:hint="cs"/>
          <w:b/>
          <w:bCs/>
          <w:sz w:val="24"/>
          <w:szCs w:val="24"/>
          <w:rtl/>
        </w:rPr>
        <w:t>החלטה מנומקת הסוגרת את התיק</w:t>
      </w:r>
      <w:r w:rsidRPr="00F25744">
        <w:rPr>
          <w:rFonts w:ascii="David" w:hAnsi="David" w:cs="David" w:hint="cs"/>
          <w:sz w:val="24"/>
          <w:szCs w:val="24"/>
          <w:rtl/>
        </w:rPr>
        <w:t xml:space="preserve"> (ללא הסכמות הצדדים) שניתנת מחוץ לאולם (לרבות טיוטה שנכתבה לפני הדיון והוקראה באולם) [עד 10 דקות, 10-20 דקות, 20-30 דקות, 30-40 דקות, 40-50 דקות, אם מעל 50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41508936"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בת"ת</w:t>
      </w:r>
      <w:r w:rsidRPr="00F25744">
        <w:rPr>
          <w:rFonts w:ascii="David" w:hAnsi="David" w:cs="David" w:hint="cs"/>
          <w:sz w:val="24"/>
          <w:szCs w:val="24"/>
          <w:rtl/>
        </w:rPr>
        <w:t xml:space="preserve">, </w:t>
      </w:r>
      <w:r w:rsidRPr="00F25744">
        <w:rPr>
          <w:rFonts w:ascii="David" w:hAnsi="David" w:cs="David" w:hint="cs"/>
          <w:b/>
          <w:bCs/>
          <w:sz w:val="24"/>
          <w:szCs w:val="24"/>
          <w:rtl/>
        </w:rPr>
        <w:t>כמה עמודים</w:t>
      </w:r>
      <w:r w:rsidRPr="00F25744">
        <w:rPr>
          <w:rFonts w:ascii="David" w:hAnsi="David" w:cs="David" w:hint="cs"/>
          <w:sz w:val="24"/>
          <w:szCs w:val="24"/>
          <w:rtl/>
        </w:rPr>
        <w:t xml:space="preserve"> בממוצע אורכת להערכתך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במסמך עצמאי (לרבות החלטה לאחר סגירה)? (עמוד 1, 2 עמודים, 3 עמודים, 4 עמודים, 5 עמודים, אם יותר מ-5 עמודים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49ACBD6D"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בע"ק</w:t>
      </w:r>
      <w:r w:rsidRPr="00F25744">
        <w:rPr>
          <w:rFonts w:ascii="David" w:hAnsi="David" w:cs="David" w:hint="cs"/>
          <w:sz w:val="24"/>
          <w:szCs w:val="24"/>
          <w:rtl/>
        </w:rPr>
        <w:t xml:space="preserve">, כמה </w:t>
      </w:r>
      <w:r w:rsidRPr="00F25744">
        <w:rPr>
          <w:rFonts w:ascii="David" w:hAnsi="David" w:cs="David" w:hint="cs"/>
          <w:b/>
          <w:bCs/>
          <w:sz w:val="24"/>
          <w:szCs w:val="24"/>
          <w:rtl/>
        </w:rPr>
        <w:t>זמן</w:t>
      </w:r>
      <w:r w:rsidRPr="00F25744">
        <w:rPr>
          <w:rFonts w:ascii="David" w:hAnsi="David" w:cs="David" w:hint="cs"/>
          <w:sz w:val="24"/>
          <w:szCs w:val="24"/>
          <w:rtl/>
        </w:rPr>
        <w:t xml:space="preserve"> בממוצע לוקח לך להערכתך לבצע את הפעולות הבאות:</w:t>
      </w:r>
    </w:p>
    <w:p w14:paraId="02EBCC27" w14:textId="77777777" w:rsidR="005E4C22" w:rsidRPr="00F25744" w:rsidRDefault="00E25AE7" w:rsidP="00341018">
      <w:pPr>
        <w:numPr>
          <w:ilvl w:val="1"/>
          <w:numId w:val="33"/>
        </w:numPr>
        <w:spacing w:before="120" w:after="0" w:line="360" w:lineRule="auto"/>
        <w:ind w:left="1274" w:hanging="425"/>
        <w:jc w:val="both"/>
        <w:rPr>
          <w:rFonts w:ascii="David" w:hAnsi="David" w:cs="David"/>
          <w:sz w:val="24"/>
          <w:szCs w:val="24"/>
        </w:rPr>
      </w:pPr>
      <w:r w:rsidRPr="00F25744">
        <w:rPr>
          <w:rFonts w:ascii="David" w:hAnsi="David" w:cs="David" w:hint="cs"/>
          <w:b/>
          <w:bCs/>
          <w:sz w:val="24"/>
          <w:szCs w:val="24"/>
          <w:rtl/>
        </w:rPr>
        <w:t>הכנה לדיון</w:t>
      </w:r>
      <w:r w:rsidRPr="00F25744">
        <w:rPr>
          <w:rFonts w:ascii="David" w:hAnsi="David" w:cs="David" w:hint="cs"/>
          <w:sz w:val="24"/>
          <w:szCs w:val="24"/>
          <w:rtl/>
        </w:rPr>
        <w:t xml:space="preserve"> [עד 10 דקות, 10-20 דקות, 20-30 דקות, 30-40 דקות, 40-50 דקות, אם מעל 50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2B03A792" w14:textId="77777777" w:rsidR="005E4C22" w:rsidRPr="00F25744" w:rsidRDefault="00E25AE7" w:rsidP="00341018">
      <w:pPr>
        <w:numPr>
          <w:ilvl w:val="1"/>
          <w:numId w:val="33"/>
        </w:numPr>
        <w:spacing w:before="120" w:after="0" w:line="360" w:lineRule="auto"/>
        <w:ind w:left="1274" w:hanging="425"/>
        <w:jc w:val="both"/>
        <w:rPr>
          <w:rFonts w:ascii="David" w:hAnsi="David" w:cs="David"/>
          <w:sz w:val="24"/>
          <w:szCs w:val="24"/>
        </w:rPr>
      </w:pPr>
      <w:r w:rsidRPr="00F25744">
        <w:rPr>
          <w:rFonts w:ascii="David" w:hAnsi="David" w:cs="David" w:hint="cs"/>
          <w:b/>
          <w:bCs/>
          <w:sz w:val="24"/>
          <w:szCs w:val="24"/>
          <w:rtl/>
        </w:rPr>
        <w:t>שמיעת</w:t>
      </w:r>
      <w:r w:rsidRPr="00F25744">
        <w:rPr>
          <w:rFonts w:ascii="David" w:hAnsi="David" w:cs="David" w:hint="cs"/>
          <w:sz w:val="24"/>
          <w:szCs w:val="24"/>
          <w:rtl/>
        </w:rPr>
        <w:t xml:space="preserve"> הדיון [עד 10 דקות, 10-20 דקות, 20-30 דקות, 30-40 דקות, 40-50 דקות, אם מעל 50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464056BF" w14:textId="77777777" w:rsidR="005E4C22" w:rsidRPr="00F25744" w:rsidRDefault="00E25AE7" w:rsidP="00341018">
      <w:pPr>
        <w:numPr>
          <w:ilvl w:val="1"/>
          <w:numId w:val="30"/>
        </w:numPr>
        <w:spacing w:before="120" w:after="0" w:line="360" w:lineRule="auto"/>
        <w:ind w:left="1274" w:hanging="425"/>
        <w:jc w:val="both"/>
        <w:rPr>
          <w:rFonts w:ascii="David" w:hAnsi="David" w:cs="David"/>
          <w:sz w:val="24"/>
          <w:szCs w:val="24"/>
        </w:rPr>
      </w:pPr>
      <w:r w:rsidRPr="00F25744">
        <w:rPr>
          <w:rFonts w:ascii="David" w:hAnsi="David" w:cs="David" w:hint="cs"/>
          <w:sz w:val="24"/>
          <w:szCs w:val="24"/>
          <w:rtl/>
        </w:rPr>
        <w:t>כתיבת</w:t>
      </w:r>
      <w:r w:rsidRPr="00F25744">
        <w:rPr>
          <w:rFonts w:ascii="David" w:hAnsi="David" w:cs="David" w:hint="cs"/>
          <w:b/>
          <w:bCs/>
          <w:sz w:val="24"/>
          <w:szCs w:val="24"/>
          <w:rtl/>
        </w:rPr>
        <w:t xml:space="preserve"> עמוד אחד</w:t>
      </w:r>
      <w:r w:rsidRPr="00F25744">
        <w:rPr>
          <w:rFonts w:ascii="David" w:hAnsi="David" w:cs="David" w:hint="cs"/>
          <w:sz w:val="24"/>
          <w:szCs w:val="24"/>
          <w:rtl/>
        </w:rPr>
        <w:t xml:space="preserve"> של</w:t>
      </w:r>
      <w:r w:rsidRPr="00F25744">
        <w:rPr>
          <w:rFonts w:ascii="David" w:hAnsi="David" w:cs="David" w:hint="cs"/>
          <w:b/>
          <w:bCs/>
          <w:sz w:val="24"/>
          <w:szCs w:val="24"/>
          <w:rtl/>
        </w:rPr>
        <w:t xml:space="preserve"> החלטת ביניים</w:t>
      </w:r>
      <w:r w:rsidRPr="00F25744">
        <w:rPr>
          <w:rFonts w:ascii="David" w:hAnsi="David" w:cs="David" w:hint="cs"/>
          <w:sz w:val="24"/>
          <w:szCs w:val="24"/>
          <w:rtl/>
        </w:rPr>
        <w:t xml:space="preserve"> במסמך עצמאי (לרבות החלטה לאחר סגירה)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15-20 דקות, מעל 20 דקות/ לא רלבנטי לסוג התיק]</w:t>
      </w:r>
    </w:p>
    <w:p w14:paraId="2D4CAB8A" w14:textId="77777777" w:rsidR="005E4C22" w:rsidRPr="00F25744" w:rsidRDefault="00E25AE7" w:rsidP="00341018">
      <w:pPr>
        <w:numPr>
          <w:ilvl w:val="1"/>
          <w:numId w:val="33"/>
        </w:numPr>
        <w:spacing w:before="120" w:after="0" w:line="360" w:lineRule="auto"/>
        <w:ind w:left="1274" w:hanging="425"/>
        <w:jc w:val="both"/>
        <w:rPr>
          <w:rFonts w:ascii="David" w:hAnsi="David" w:cs="David"/>
          <w:sz w:val="24"/>
          <w:szCs w:val="24"/>
        </w:rPr>
      </w:pPr>
      <w:r w:rsidRPr="00F25744">
        <w:rPr>
          <w:rFonts w:ascii="David" w:hAnsi="David" w:cs="David" w:hint="cs"/>
          <w:sz w:val="24"/>
          <w:szCs w:val="24"/>
          <w:rtl/>
        </w:rPr>
        <w:lastRenderedPageBreak/>
        <w:t>כתיבת</w:t>
      </w:r>
      <w:r w:rsidRPr="00F25744">
        <w:rPr>
          <w:rFonts w:ascii="David" w:hAnsi="David" w:cs="David" w:hint="cs"/>
          <w:b/>
          <w:bCs/>
          <w:sz w:val="24"/>
          <w:szCs w:val="24"/>
          <w:rtl/>
        </w:rPr>
        <w:t xml:space="preserve"> עמוד אחד</w:t>
      </w:r>
      <w:r w:rsidRPr="00F25744">
        <w:rPr>
          <w:rFonts w:ascii="David" w:hAnsi="David" w:cs="David" w:hint="cs"/>
          <w:sz w:val="24"/>
          <w:szCs w:val="24"/>
          <w:rtl/>
        </w:rPr>
        <w:t xml:space="preserve"> של </w:t>
      </w:r>
      <w:r w:rsidRPr="00F25744">
        <w:rPr>
          <w:rFonts w:ascii="David" w:hAnsi="David" w:cs="David" w:hint="cs"/>
          <w:b/>
          <w:bCs/>
          <w:sz w:val="24"/>
          <w:szCs w:val="24"/>
          <w:rtl/>
        </w:rPr>
        <w:t>החלטה מנומקת הסוגרת את התיק</w:t>
      </w:r>
      <w:r w:rsidRPr="00F25744">
        <w:rPr>
          <w:rFonts w:ascii="David" w:hAnsi="David" w:cs="David" w:hint="cs"/>
          <w:sz w:val="24"/>
          <w:szCs w:val="24"/>
          <w:rtl/>
        </w:rPr>
        <w:t xml:space="preserve"> (ללא הסכמות הצדדים) שניתנת מחוץ לאולם (לרבות טיוטה שנכתבה לפני הדיון והוקראה באולם) [עד 10 דקות, 10-20 דקות, 20-30 דקות, 30-40 דקות, 40-50 דקות, אם מעל 50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715D91EA"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בע"ק</w:t>
      </w:r>
      <w:r w:rsidRPr="00F25744">
        <w:rPr>
          <w:rFonts w:ascii="David" w:hAnsi="David" w:cs="David" w:hint="cs"/>
          <w:sz w:val="24"/>
          <w:szCs w:val="24"/>
          <w:rtl/>
        </w:rPr>
        <w:t xml:space="preserve">, </w:t>
      </w:r>
      <w:r w:rsidRPr="00F25744">
        <w:rPr>
          <w:rFonts w:ascii="David" w:hAnsi="David" w:cs="David" w:hint="cs"/>
          <w:b/>
          <w:bCs/>
          <w:sz w:val="24"/>
          <w:szCs w:val="24"/>
          <w:rtl/>
        </w:rPr>
        <w:t>כמה עמודים</w:t>
      </w:r>
      <w:r w:rsidRPr="00F25744">
        <w:rPr>
          <w:rFonts w:ascii="David" w:hAnsi="David" w:cs="David" w:hint="cs"/>
          <w:sz w:val="24"/>
          <w:szCs w:val="24"/>
          <w:rtl/>
        </w:rPr>
        <w:t xml:space="preserve"> בממוצע אורכת להערכתך </w:t>
      </w:r>
      <w:r w:rsidRPr="00F25744">
        <w:rPr>
          <w:rFonts w:ascii="David" w:hAnsi="David" w:cs="David" w:hint="cs"/>
          <w:b/>
          <w:bCs/>
          <w:sz w:val="24"/>
          <w:szCs w:val="24"/>
          <w:rtl/>
        </w:rPr>
        <w:t>החלטת ביניים</w:t>
      </w:r>
      <w:r w:rsidRPr="00F25744">
        <w:rPr>
          <w:rFonts w:ascii="David" w:hAnsi="David" w:cs="David" w:hint="cs"/>
          <w:sz w:val="24"/>
          <w:szCs w:val="24"/>
          <w:rtl/>
        </w:rPr>
        <w:t xml:space="preserve"> במסמך עצמאי (לרבות החלטה לאחר סגירה)? (עמוד 1, 2 עמודים, 3 עמודים, 4 עמודים, 5 עמודים, אם יותר מ-5 עמודים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2DB3B479"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צ"מ</w:t>
      </w:r>
      <w:r w:rsidRPr="00F25744">
        <w:rPr>
          <w:rFonts w:ascii="David" w:hAnsi="David" w:cs="David" w:hint="cs"/>
          <w:sz w:val="24"/>
          <w:szCs w:val="24"/>
          <w:rtl/>
        </w:rPr>
        <w:t xml:space="preserve">, כמה </w:t>
      </w:r>
      <w:r w:rsidRPr="00F25744">
        <w:rPr>
          <w:rFonts w:ascii="David" w:hAnsi="David" w:cs="David" w:hint="cs"/>
          <w:b/>
          <w:bCs/>
          <w:sz w:val="24"/>
          <w:szCs w:val="24"/>
          <w:rtl/>
        </w:rPr>
        <w:t>זמן</w:t>
      </w:r>
      <w:r w:rsidRPr="00F25744">
        <w:rPr>
          <w:rFonts w:ascii="David" w:hAnsi="David" w:cs="David" w:hint="cs"/>
          <w:sz w:val="24"/>
          <w:szCs w:val="24"/>
          <w:rtl/>
        </w:rPr>
        <w:t xml:space="preserve"> בממוצע לוקח לך להערכתך לבצע את הפעולות הבאות:</w:t>
      </w:r>
    </w:p>
    <w:p w14:paraId="621F402D" w14:textId="77777777" w:rsidR="005E4C22" w:rsidRPr="00F25744" w:rsidRDefault="00E25AE7" w:rsidP="00341018">
      <w:pPr>
        <w:numPr>
          <w:ilvl w:val="1"/>
          <w:numId w:val="33"/>
        </w:numPr>
        <w:spacing w:before="120" w:after="0" w:line="360" w:lineRule="auto"/>
        <w:ind w:left="1274" w:hanging="425"/>
        <w:jc w:val="both"/>
        <w:rPr>
          <w:rFonts w:ascii="David" w:hAnsi="David" w:cs="David"/>
          <w:sz w:val="24"/>
          <w:szCs w:val="24"/>
        </w:rPr>
      </w:pPr>
      <w:r w:rsidRPr="00F25744">
        <w:rPr>
          <w:rFonts w:ascii="David" w:hAnsi="David" w:cs="David" w:hint="cs"/>
          <w:b/>
          <w:bCs/>
          <w:sz w:val="24"/>
          <w:szCs w:val="24"/>
          <w:rtl/>
        </w:rPr>
        <w:t>שמיעת</w:t>
      </w:r>
      <w:r w:rsidRPr="00F25744">
        <w:rPr>
          <w:rFonts w:ascii="David" w:hAnsi="David" w:cs="David" w:hint="cs"/>
          <w:sz w:val="24"/>
          <w:szCs w:val="24"/>
          <w:rtl/>
        </w:rPr>
        <w:t xml:space="preserve"> הדיון [עד 10 דקות, 10-20 דקות, 20-30 דקות, 30-40 דקות, 40-50 דקות, אם מעל 50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63EDDD5B" w14:textId="77777777" w:rsidR="005E4C22" w:rsidRPr="00F25744" w:rsidRDefault="00E25AE7" w:rsidP="00341018">
      <w:pPr>
        <w:numPr>
          <w:ilvl w:val="1"/>
          <w:numId w:val="30"/>
        </w:numPr>
        <w:spacing w:before="120" w:after="0" w:line="360" w:lineRule="auto"/>
        <w:ind w:left="1274" w:hanging="425"/>
        <w:jc w:val="both"/>
        <w:rPr>
          <w:rFonts w:ascii="David" w:hAnsi="David" w:cs="David"/>
          <w:sz w:val="24"/>
          <w:szCs w:val="24"/>
        </w:rPr>
      </w:pPr>
      <w:r w:rsidRPr="00F25744">
        <w:rPr>
          <w:rFonts w:ascii="David" w:hAnsi="David" w:cs="David" w:hint="cs"/>
          <w:sz w:val="24"/>
          <w:szCs w:val="24"/>
          <w:rtl/>
        </w:rPr>
        <w:t xml:space="preserve">כתיבת </w:t>
      </w:r>
      <w:r w:rsidRPr="00F25744">
        <w:rPr>
          <w:rFonts w:ascii="David" w:hAnsi="David" w:cs="David" w:hint="cs"/>
          <w:b/>
          <w:bCs/>
          <w:sz w:val="24"/>
          <w:szCs w:val="24"/>
          <w:rtl/>
        </w:rPr>
        <w:t>עמוד אחד</w:t>
      </w:r>
      <w:r w:rsidRPr="00F25744">
        <w:rPr>
          <w:rFonts w:ascii="David" w:hAnsi="David" w:cs="David" w:hint="cs"/>
          <w:sz w:val="24"/>
          <w:szCs w:val="24"/>
          <w:rtl/>
        </w:rPr>
        <w:t xml:space="preserve"> של</w:t>
      </w:r>
      <w:r w:rsidRPr="00F25744">
        <w:rPr>
          <w:rFonts w:ascii="David" w:hAnsi="David" w:cs="David" w:hint="cs"/>
          <w:b/>
          <w:bCs/>
          <w:sz w:val="24"/>
          <w:szCs w:val="24"/>
          <w:rtl/>
        </w:rPr>
        <w:t xml:space="preserve"> החלטת ביניים</w:t>
      </w:r>
      <w:r w:rsidRPr="00F25744">
        <w:rPr>
          <w:rFonts w:ascii="David" w:hAnsi="David" w:cs="David" w:hint="cs"/>
          <w:sz w:val="24"/>
          <w:szCs w:val="24"/>
          <w:rtl/>
        </w:rPr>
        <w:t xml:space="preserve"> במסמך עצמאי (לרבות החלטה לאחר סגירה)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xml:space="preserve">, </w:t>
      </w:r>
      <w:r w:rsidRPr="00F25744">
        <w:rPr>
          <w:rFonts w:ascii="David" w:hAnsi="David" w:cs="David" w:hint="cs"/>
          <w:sz w:val="24"/>
          <w:szCs w:val="24"/>
          <w:rtl/>
        </w:rPr>
        <w:t>15-20 דקות, מעל 20 דקות/ לא רלבנטי לסוג התיק]</w:t>
      </w:r>
    </w:p>
    <w:p w14:paraId="3751D230" w14:textId="77777777" w:rsidR="005E4C22" w:rsidRPr="00F25744" w:rsidRDefault="00E25AE7" w:rsidP="00341018">
      <w:pPr>
        <w:numPr>
          <w:ilvl w:val="1"/>
          <w:numId w:val="33"/>
        </w:numPr>
        <w:spacing w:before="120" w:after="0" w:line="360" w:lineRule="auto"/>
        <w:ind w:left="1274" w:hanging="425"/>
        <w:jc w:val="both"/>
        <w:rPr>
          <w:rFonts w:ascii="David" w:hAnsi="David" w:cs="David"/>
          <w:sz w:val="24"/>
          <w:szCs w:val="24"/>
        </w:rPr>
      </w:pPr>
      <w:r w:rsidRPr="00F25744">
        <w:rPr>
          <w:rFonts w:ascii="David" w:hAnsi="David" w:cs="David" w:hint="cs"/>
          <w:sz w:val="24"/>
          <w:szCs w:val="24"/>
          <w:rtl/>
        </w:rPr>
        <w:t>כתיבת</w:t>
      </w:r>
      <w:r w:rsidRPr="00F25744">
        <w:rPr>
          <w:rFonts w:ascii="David" w:hAnsi="David" w:cs="David" w:hint="cs"/>
          <w:b/>
          <w:bCs/>
          <w:sz w:val="24"/>
          <w:szCs w:val="24"/>
          <w:rtl/>
        </w:rPr>
        <w:t xml:space="preserve"> עמוד אחד</w:t>
      </w:r>
      <w:r w:rsidRPr="00F25744">
        <w:rPr>
          <w:rFonts w:ascii="David" w:hAnsi="David" w:cs="David" w:hint="cs"/>
          <w:sz w:val="24"/>
          <w:szCs w:val="24"/>
          <w:rtl/>
        </w:rPr>
        <w:t xml:space="preserve"> של </w:t>
      </w:r>
      <w:r w:rsidRPr="00F25744">
        <w:rPr>
          <w:rFonts w:ascii="David" w:hAnsi="David" w:cs="David" w:hint="cs"/>
          <w:b/>
          <w:bCs/>
          <w:sz w:val="24"/>
          <w:szCs w:val="24"/>
          <w:rtl/>
        </w:rPr>
        <w:t>החלטה מנומקת הסוגרת את התיק</w:t>
      </w:r>
      <w:r w:rsidRPr="00F25744">
        <w:rPr>
          <w:rFonts w:ascii="David" w:hAnsi="David" w:cs="David" w:hint="cs"/>
          <w:sz w:val="24"/>
          <w:szCs w:val="24"/>
          <w:rtl/>
        </w:rPr>
        <w:t xml:space="preserve"> (ללא הסכמות הצדדים) שניתנת מחוץ לאולם (לרבות טיוטה שנכתבה לפני הדיון והוקראה באולם) [עד 10 דקות, 10-20 דקות, 20-30 דקות, 30-40 דקות, 40-50 דקות, אם מעל 50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58F94504" w14:textId="77777777" w:rsidR="005E4C22" w:rsidRPr="00F25744" w:rsidRDefault="00E25AE7" w:rsidP="00341018">
      <w:pPr>
        <w:numPr>
          <w:ilvl w:val="0"/>
          <w:numId w:val="3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ת"א</w:t>
      </w:r>
      <w:r w:rsidRPr="00F25744">
        <w:rPr>
          <w:rFonts w:ascii="David" w:hAnsi="David" w:cs="David" w:hint="cs"/>
          <w:sz w:val="24"/>
          <w:szCs w:val="24"/>
          <w:rtl/>
        </w:rPr>
        <w:t xml:space="preserve">, כמה זמן בממוצע לוקח לך להערכתך </w:t>
      </w:r>
      <w:r w:rsidRPr="00F25744">
        <w:rPr>
          <w:rFonts w:ascii="David" w:hAnsi="David" w:cs="David" w:hint="cs"/>
          <w:b/>
          <w:bCs/>
          <w:sz w:val="24"/>
          <w:szCs w:val="24"/>
          <w:rtl/>
        </w:rPr>
        <w:t xml:space="preserve">לשמוע דיון הוכחות </w:t>
      </w:r>
      <w:r w:rsidRPr="00F25744">
        <w:rPr>
          <w:rFonts w:ascii="David" w:hAnsi="David" w:cs="David" w:hint="cs"/>
          <w:sz w:val="24"/>
          <w:szCs w:val="24"/>
          <w:rtl/>
        </w:rPr>
        <w:t xml:space="preserve">(לרבות דיון שבו נשמעות ראיות/ עדויות או סיכומים בעל פה), </w:t>
      </w:r>
      <w:r w:rsidRPr="00F25744">
        <w:rPr>
          <w:rFonts w:ascii="David" w:hAnsi="David" w:cs="David" w:hint="cs"/>
          <w:b/>
          <w:bCs/>
          <w:sz w:val="24"/>
          <w:szCs w:val="24"/>
          <w:rtl/>
        </w:rPr>
        <w:t>בסוגי העניין</w:t>
      </w:r>
      <w:r w:rsidRPr="00F25744">
        <w:rPr>
          <w:rFonts w:ascii="David" w:hAnsi="David" w:cs="David" w:hint="cs"/>
          <w:sz w:val="24"/>
          <w:szCs w:val="24"/>
          <w:rtl/>
        </w:rPr>
        <w:t xml:space="preserve"> הבאים:</w:t>
      </w:r>
    </w:p>
    <w:p w14:paraId="6DD99287" w14:textId="77777777" w:rsidR="005E4C22" w:rsidRPr="00F25744" w:rsidRDefault="00E25AE7" w:rsidP="00341018">
      <w:pPr>
        <w:numPr>
          <w:ilvl w:val="1"/>
          <w:numId w:val="33"/>
        </w:numPr>
        <w:spacing w:before="120" w:after="0" w:line="360" w:lineRule="auto"/>
        <w:ind w:left="1274" w:hanging="425"/>
        <w:jc w:val="both"/>
        <w:rPr>
          <w:rFonts w:ascii="David" w:hAnsi="David" w:cs="David"/>
          <w:sz w:val="24"/>
          <w:szCs w:val="24"/>
        </w:rPr>
      </w:pPr>
      <w:r w:rsidRPr="00F25744">
        <w:rPr>
          <w:rFonts w:ascii="David" w:hAnsi="David" w:cs="David" w:hint="cs"/>
          <w:b/>
          <w:bCs/>
          <w:sz w:val="24"/>
          <w:szCs w:val="24"/>
          <w:u w:val="single"/>
          <w:rtl/>
        </w:rPr>
        <w:t>ת"א-בנקים ואשראי</w:t>
      </w:r>
      <w:r w:rsidRPr="00F25744">
        <w:rPr>
          <w:rFonts w:ascii="David" w:hAnsi="David" w:cs="David" w:hint="cs"/>
          <w:sz w:val="24"/>
          <w:szCs w:val="24"/>
          <w:rtl/>
        </w:rPr>
        <w:t xml:space="preserve"> [עד 10 דקות, 10-20 דקות, 20-30 דקות, 30-40 דקות, 40-50 דקות, אם מעל 50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4ED72A58" w14:textId="77777777" w:rsidR="005E4C22" w:rsidRPr="00F25744" w:rsidRDefault="00E25AE7" w:rsidP="00341018">
      <w:pPr>
        <w:numPr>
          <w:ilvl w:val="1"/>
          <w:numId w:val="33"/>
        </w:numPr>
        <w:spacing w:before="120" w:after="0" w:line="360" w:lineRule="auto"/>
        <w:ind w:left="1274" w:hanging="425"/>
        <w:jc w:val="both"/>
        <w:rPr>
          <w:rFonts w:ascii="David" w:hAnsi="David" w:cs="David"/>
          <w:sz w:val="24"/>
          <w:szCs w:val="24"/>
        </w:rPr>
      </w:pPr>
      <w:r w:rsidRPr="00F25744">
        <w:rPr>
          <w:rFonts w:ascii="David" w:hAnsi="David" w:cs="David" w:hint="cs"/>
          <w:b/>
          <w:bCs/>
          <w:sz w:val="24"/>
          <w:szCs w:val="24"/>
          <w:u w:val="single"/>
          <w:rtl/>
        </w:rPr>
        <w:t>ת"א-פירוק שיתוף</w:t>
      </w:r>
      <w:r w:rsidRPr="00F25744">
        <w:rPr>
          <w:rFonts w:ascii="David" w:hAnsi="David" w:cs="David" w:hint="cs"/>
          <w:sz w:val="24"/>
          <w:szCs w:val="24"/>
          <w:rtl/>
        </w:rPr>
        <w:t xml:space="preserve"> [עד 10 דקות, 10-20 דקות, 20-30 דקות, 30-40 דקות, 40-50 דקות, אם מעל 50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2F8061FD" w14:textId="77777777" w:rsidR="005E4C22" w:rsidRPr="00F25744" w:rsidRDefault="00E25AE7" w:rsidP="00341018">
      <w:pPr>
        <w:numPr>
          <w:ilvl w:val="1"/>
          <w:numId w:val="33"/>
        </w:numPr>
        <w:spacing w:before="120" w:after="0" w:line="360" w:lineRule="auto"/>
        <w:ind w:left="1274" w:hanging="425"/>
        <w:jc w:val="both"/>
        <w:rPr>
          <w:rFonts w:ascii="David" w:hAnsi="David" w:cs="David"/>
          <w:sz w:val="24"/>
          <w:szCs w:val="24"/>
        </w:rPr>
      </w:pPr>
      <w:r w:rsidRPr="00F25744">
        <w:rPr>
          <w:rFonts w:ascii="David" w:hAnsi="David" w:cs="David" w:hint="cs"/>
          <w:b/>
          <w:bCs/>
          <w:sz w:val="24"/>
          <w:szCs w:val="24"/>
          <w:u w:val="single"/>
          <w:rtl/>
        </w:rPr>
        <w:t>ת"א-קניין רוחני</w:t>
      </w:r>
      <w:r w:rsidRPr="00F25744">
        <w:rPr>
          <w:rFonts w:ascii="David" w:hAnsi="David" w:cs="David" w:hint="cs"/>
          <w:sz w:val="24"/>
          <w:szCs w:val="24"/>
          <w:rtl/>
        </w:rPr>
        <w:t xml:space="preserve"> [עד 10 דקות, 10-20 דקות, 20-30 דקות, 30-40 דקות, 40-50 דקות, אם מעל 50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6B3BEF97" w14:textId="77777777" w:rsidR="005E4C22" w:rsidRPr="00F25744" w:rsidRDefault="00E25AE7" w:rsidP="00341018">
      <w:pPr>
        <w:numPr>
          <w:ilvl w:val="0"/>
          <w:numId w:val="40"/>
        </w:numPr>
        <w:spacing w:before="120" w:after="0" w:line="360" w:lineRule="auto"/>
        <w:jc w:val="both"/>
        <w:rPr>
          <w:rFonts w:ascii="David" w:hAnsi="David" w:cs="David"/>
          <w:b/>
          <w:bCs/>
          <w:sz w:val="24"/>
          <w:szCs w:val="24"/>
          <w:u w:val="single"/>
        </w:rPr>
      </w:pPr>
      <w:r w:rsidRPr="00F25744">
        <w:rPr>
          <w:rFonts w:ascii="David" w:hAnsi="David" w:cs="David" w:hint="cs"/>
          <w:b/>
          <w:bCs/>
          <w:sz w:val="24"/>
          <w:szCs w:val="24"/>
          <w:u w:val="single"/>
          <w:rtl/>
        </w:rPr>
        <w:t>היבטים נוספים של העומס</w:t>
      </w:r>
      <w:r w:rsidRPr="00F25744">
        <w:rPr>
          <w:rFonts w:ascii="David" w:hAnsi="David" w:cs="David" w:hint="cs"/>
          <w:b/>
          <w:bCs/>
          <w:sz w:val="24"/>
          <w:szCs w:val="24"/>
          <w:rtl/>
        </w:rPr>
        <w:t xml:space="preserve"> </w:t>
      </w:r>
      <w:r w:rsidRPr="00F25744">
        <w:rPr>
          <w:rFonts w:ascii="David" w:hAnsi="David" w:cs="David" w:hint="cs"/>
          <w:sz w:val="24"/>
          <w:szCs w:val="24"/>
          <w:rtl/>
        </w:rPr>
        <w:t>(ראו נספח ב1: כללי)</w:t>
      </w:r>
    </w:p>
    <w:p w14:paraId="75635509" w14:textId="77777777" w:rsidR="005E4C22" w:rsidRPr="00F25744" w:rsidRDefault="00E25AE7" w:rsidP="00341018">
      <w:pPr>
        <w:numPr>
          <w:ilvl w:val="0"/>
          <w:numId w:val="40"/>
        </w:numPr>
        <w:spacing w:before="120" w:after="0" w:line="360" w:lineRule="auto"/>
        <w:jc w:val="both"/>
        <w:rPr>
          <w:rFonts w:ascii="David" w:hAnsi="David" w:cs="David"/>
          <w:b/>
          <w:bCs/>
          <w:sz w:val="24"/>
          <w:szCs w:val="24"/>
          <w:u w:val="single"/>
        </w:rPr>
      </w:pPr>
      <w:r w:rsidRPr="00F25744">
        <w:rPr>
          <w:rFonts w:ascii="David" w:hAnsi="David" w:cs="David" w:hint="cs"/>
          <w:b/>
          <w:bCs/>
          <w:sz w:val="24"/>
          <w:szCs w:val="24"/>
          <w:u w:val="single"/>
          <w:rtl/>
        </w:rPr>
        <w:t xml:space="preserve">עומס רגשי </w:t>
      </w:r>
      <w:r w:rsidRPr="00F25744">
        <w:rPr>
          <w:rFonts w:ascii="David" w:hAnsi="David" w:cs="David" w:hint="cs"/>
          <w:sz w:val="24"/>
          <w:szCs w:val="24"/>
          <w:rtl/>
        </w:rPr>
        <w:t>(ראו נספח ב1: כללי)</w:t>
      </w:r>
    </w:p>
    <w:p w14:paraId="7EC22ABC" w14:textId="77777777" w:rsidR="005E4C22" w:rsidRPr="00F25744" w:rsidRDefault="00E25AE7" w:rsidP="00341018">
      <w:pPr>
        <w:numPr>
          <w:ilvl w:val="0"/>
          <w:numId w:val="40"/>
        </w:numPr>
        <w:spacing w:before="120" w:after="0" w:line="360" w:lineRule="auto"/>
        <w:jc w:val="both"/>
        <w:rPr>
          <w:rFonts w:ascii="David" w:hAnsi="David" w:cs="David"/>
          <w:b/>
          <w:bCs/>
          <w:sz w:val="24"/>
          <w:szCs w:val="24"/>
          <w:u w:val="single"/>
          <w:rtl/>
        </w:rPr>
      </w:pPr>
      <w:r w:rsidRPr="00F25744">
        <w:rPr>
          <w:rFonts w:ascii="David" w:hAnsi="David" w:cs="David" w:hint="cs"/>
          <w:b/>
          <w:bCs/>
          <w:sz w:val="24"/>
          <w:szCs w:val="24"/>
          <w:u w:val="single"/>
          <w:rtl/>
        </w:rPr>
        <w:t xml:space="preserve">שאלות פתוחות </w:t>
      </w:r>
      <w:r w:rsidRPr="00F25744">
        <w:rPr>
          <w:rFonts w:ascii="David" w:hAnsi="David" w:cs="David" w:hint="cs"/>
          <w:sz w:val="24"/>
          <w:szCs w:val="24"/>
          <w:rtl/>
        </w:rPr>
        <w:t>(ראו נספח ב1: כללי)</w:t>
      </w:r>
      <w:r w:rsidRPr="00F25744">
        <w:rPr>
          <w:rFonts w:ascii="David" w:hAnsi="David" w:cs="David" w:hint="cs"/>
          <w:b/>
          <w:bCs/>
          <w:sz w:val="24"/>
          <w:szCs w:val="24"/>
          <w:u w:val="single"/>
          <w:rtl/>
        </w:rPr>
        <w:t xml:space="preserve"> </w:t>
      </w:r>
    </w:p>
    <w:p w14:paraId="79EE60DC" w14:textId="77777777" w:rsidR="005E4C22" w:rsidRPr="00F25744" w:rsidRDefault="005E4C22" w:rsidP="005E4C22">
      <w:pPr>
        <w:spacing w:before="120" w:after="0" w:line="240" w:lineRule="auto"/>
        <w:jc w:val="right"/>
      </w:pPr>
    </w:p>
    <w:p w14:paraId="4906CDC9" w14:textId="77777777" w:rsidR="005E4C22" w:rsidRPr="00F25744" w:rsidRDefault="005E4C22" w:rsidP="005E4C22"/>
    <w:p w14:paraId="25116739" w14:textId="77777777" w:rsidR="005E4C22" w:rsidRPr="00F25744" w:rsidRDefault="005E4C22" w:rsidP="005E4C22">
      <w:pPr>
        <w:rPr>
          <w:rtl/>
        </w:rPr>
      </w:pPr>
    </w:p>
    <w:p w14:paraId="27B1A8F6" w14:textId="77777777" w:rsidR="005E4C22" w:rsidRPr="00F25744" w:rsidRDefault="005E4C22" w:rsidP="005E4C22">
      <w:pPr>
        <w:rPr>
          <w:rtl/>
        </w:rPr>
      </w:pPr>
    </w:p>
    <w:p w14:paraId="23838A24" w14:textId="77777777" w:rsidR="005E4C22" w:rsidRPr="00F25744" w:rsidRDefault="00E25AE7" w:rsidP="00470BAF">
      <w:pPr>
        <w:pStyle w:val="3"/>
        <w:numPr>
          <w:ilvl w:val="0"/>
          <w:numId w:val="0"/>
        </w:numPr>
        <w:rPr>
          <w:rtl/>
        </w:rPr>
      </w:pPr>
      <w:bookmarkStart w:id="929" w:name="_Toc46412650"/>
      <w:bookmarkStart w:id="930" w:name="_Toc46416523"/>
      <w:bookmarkStart w:id="931" w:name="_Toc46694216"/>
      <w:bookmarkStart w:id="932" w:name="_Toc49352804"/>
      <w:bookmarkStart w:id="933" w:name="_Toc49429711"/>
      <w:bookmarkStart w:id="934" w:name="_Toc49435940"/>
      <w:bookmarkStart w:id="935" w:name="_Toc74751048"/>
      <w:r w:rsidRPr="00F25744">
        <w:rPr>
          <w:rFonts w:hint="cs"/>
          <w:rtl/>
        </w:rPr>
        <w:lastRenderedPageBreak/>
        <w:t>נספח ב6: ערכאת תעבורה</w:t>
      </w:r>
      <w:bookmarkEnd w:id="929"/>
      <w:bookmarkEnd w:id="930"/>
      <w:bookmarkEnd w:id="931"/>
      <w:bookmarkEnd w:id="932"/>
      <w:bookmarkEnd w:id="933"/>
      <w:bookmarkEnd w:id="934"/>
      <w:bookmarkEnd w:id="935"/>
    </w:p>
    <w:p w14:paraId="08575C5A" w14:textId="77777777" w:rsidR="005E4C22" w:rsidRPr="00F25744" w:rsidRDefault="00E25AE7" w:rsidP="005E4C22">
      <w:pPr>
        <w:spacing w:before="120" w:after="0" w:line="360" w:lineRule="auto"/>
        <w:jc w:val="center"/>
        <w:rPr>
          <w:rFonts w:ascii="David" w:hAnsi="David" w:cs="David"/>
          <w:b/>
          <w:bCs/>
          <w:sz w:val="30"/>
          <w:szCs w:val="30"/>
          <w:u w:val="single"/>
          <w:rtl/>
        </w:rPr>
      </w:pPr>
      <w:r w:rsidRPr="00F25744">
        <w:rPr>
          <w:rFonts w:ascii="David" w:hAnsi="David" w:cs="David"/>
          <w:b/>
          <w:bCs/>
          <w:sz w:val="30"/>
          <w:szCs w:val="30"/>
          <w:u w:val="single"/>
          <w:rtl/>
        </w:rPr>
        <w:t>שאלון מסכם</w:t>
      </w:r>
      <w:r w:rsidRPr="00F25744">
        <w:rPr>
          <w:rFonts w:ascii="David" w:hAnsi="David" w:cs="David" w:hint="cs"/>
          <w:b/>
          <w:bCs/>
          <w:sz w:val="30"/>
          <w:szCs w:val="30"/>
          <w:u w:val="single"/>
          <w:rtl/>
        </w:rPr>
        <w:t xml:space="preserve"> למחקר עומס העבודה השיפוטית - ערכאת התעבורה</w:t>
      </w:r>
    </w:p>
    <w:p w14:paraId="1A7E90EF" w14:textId="77777777" w:rsidR="005E4C22" w:rsidRPr="00F25744" w:rsidRDefault="00E25AE7" w:rsidP="005E4C22">
      <w:pPr>
        <w:spacing w:before="120" w:after="0" w:line="360" w:lineRule="auto"/>
        <w:jc w:val="both"/>
        <w:rPr>
          <w:rFonts w:ascii="David" w:hAnsi="David" w:cs="David"/>
          <w:b/>
          <w:bCs/>
          <w:sz w:val="24"/>
          <w:szCs w:val="24"/>
          <w:rtl/>
        </w:rPr>
      </w:pPr>
      <w:r w:rsidRPr="00F25744">
        <w:rPr>
          <w:rFonts w:ascii="David" w:hAnsi="David" w:cs="David" w:hint="cs"/>
          <w:b/>
          <w:bCs/>
          <w:sz w:val="24"/>
          <w:szCs w:val="24"/>
          <w:rtl/>
        </w:rPr>
        <w:t>שופט/ת, רשם/מת מכובד/ת,</w:t>
      </w:r>
    </w:p>
    <w:p w14:paraId="048AE90F" w14:textId="77777777" w:rsidR="005E4C22" w:rsidRPr="00F25744" w:rsidRDefault="00E25AE7" w:rsidP="005E4C22">
      <w:pPr>
        <w:spacing w:before="120" w:after="0" w:line="360" w:lineRule="auto"/>
        <w:jc w:val="both"/>
        <w:rPr>
          <w:rFonts w:ascii="David" w:hAnsi="David" w:cs="David"/>
          <w:sz w:val="24"/>
          <w:szCs w:val="24"/>
          <w:rtl/>
        </w:rPr>
      </w:pPr>
      <w:r w:rsidRPr="00F25744">
        <w:rPr>
          <w:rFonts w:ascii="David" w:hAnsi="David" w:cs="David" w:hint="cs"/>
          <w:sz w:val="24"/>
          <w:szCs w:val="24"/>
          <w:rtl/>
        </w:rPr>
        <w:t>לפניך שאלון חד פעמי שנועד לתקף ולסכם את מחקר עומס העבודה השיפוטית.</w:t>
      </w:r>
    </w:p>
    <w:p w14:paraId="601B9BD2" w14:textId="77777777" w:rsidR="005E4C22" w:rsidRPr="00F25744" w:rsidRDefault="00E25AE7" w:rsidP="005E4C22">
      <w:pPr>
        <w:spacing w:before="120" w:after="0" w:line="360" w:lineRule="auto"/>
        <w:jc w:val="both"/>
        <w:rPr>
          <w:rFonts w:ascii="David" w:hAnsi="David" w:cs="David"/>
          <w:sz w:val="24"/>
          <w:szCs w:val="24"/>
          <w:rtl/>
        </w:rPr>
      </w:pPr>
      <w:r w:rsidRPr="00F25744">
        <w:rPr>
          <w:rFonts w:ascii="David" w:hAnsi="David" w:cs="David" w:hint="cs"/>
          <w:sz w:val="24"/>
          <w:szCs w:val="24"/>
          <w:rtl/>
        </w:rPr>
        <w:t>המעבר בין המסכים מתבצע על ידי לחיצה על כפתור "הבא".</w:t>
      </w:r>
    </w:p>
    <w:p w14:paraId="1E35AA0C" w14:textId="77777777" w:rsidR="005E4C22" w:rsidRPr="00F25744" w:rsidRDefault="00E25AE7" w:rsidP="005E4C22">
      <w:pPr>
        <w:spacing w:before="120" w:after="0" w:line="360" w:lineRule="auto"/>
        <w:jc w:val="both"/>
        <w:rPr>
          <w:rFonts w:ascii="David" w:hAnsi="David" w:cs="David"/>
          <w:sz w:val="24"/>
          <w:szCs w:val="24"/>
          <w:rtl/>
        </w:rPr>
      </w:pPr>
      <w:r w:rsidRPr="00F25744">
        <w:rPr>
          <w:rFonts w:ascii="David" w:hAnsi="David" w:cs="David" w:hint="cs"/>
          <w:sz w:val="24"/>
          <w:szCs w:val="24"/>
          <w:rtl/>
        </w:rPr>
        <w:t>אנא מלא/י את השאלון עד לשליחה הסופית של הנתונים באמצעות כפתור "שלח" וקבלת מסך "אישור".</w:t>
      </w:r>
    </w:p>
    <w:p w14:paraId="0BC95146" w14:textId="77777777" w:rsidR="005E4C22" w:rsidRPr="00F25744" w:rsidRDefault="005E4C22" w:rsidP="005E4C22">
      <w:pPr>
        <w:spacing w:before="120" w:after="0" w:line="240" w:lineRule="auto"/>
        <w:jc w:val="both"/>
        <w:rPr>
          <w:rFonts w:ascii="David" w:hAnsi="David" w:cs="David"/>
          <w:sz w:val="24"/>
          <w:szCs w:val="24"/>
          <w:rtl/>
        </w:rPr>
      </w:pPr>
    </w:p>
    <w:p w14:paraId="453FA5C6" w14:textId="77777777" w:rsidR="005E4C22" w:rsidRPr="00F25744" w:rsidRDefault="00E25AE7" w:rsidP="005E4C22">
      <w:pPr>
        <w:spacing w:before="120" w:after="0" w:line="240" w:lineRule="auto"/>
        <w:rPr>
          <w:rFonts w:ascii="David" w:hAnsi="David" w:cs="David"/>
          <w:sz w:val="24"/>
          <w:szCs w:val="24"/>
          <w:rtl/>
        </w:rPr>
      </w:pPr>
      <w:r w:rsidRPr="00F25744">
        <w:rPr>
          <w:rFonts w:ascii="David" w:hAnsi="David" w:cs="David" w:hint="cs"/>
          <w:b/>
          <w:bCs/>
          <w:sz w:val="24"/>
          <w:szCs w:val="24"/>
          <w:rtl/>
        </w:rPr>
        <w:t xml:space="preserve">מחוז: </w:t>
      </w:r>
      <w:r w:rsidRPr="00F25744">
        <w:rPr>
          <w:rFonts w:ascii="David" w:hAnsi="David" w:cs="David" w:hint="cs"/>
          <w:sz w:val="24"/>
          <w:szCs w:val="24"/>
          <w:rtl/>
        </w:rPr>
        <w:t>(צפון/ חיפה/ מרכז/ תל אביב/ ירושלים/ דרום)</w:t>
      </w:r>
    </w:p>
    <w:p w14:paraId="35C77160" w14:textId="77777777" w:rsidR="005E4C22" w:rsidRPr="00F25744" w:rsidRDefault="005E4C22" w:rsidP="005E4C22">
      <w:pPr>
        <w:spacing w:before="120" w:after="0" w:line="240" w:lineRule="auto"/>
        <w:rPr>
          <w:rFonts w:ascii="David" w:hAnsi="David" w:cs="David"/>
          <w:b/>
          <w:bCs/>
          <w:sz w:val="30"/>
          <w:szCs w:val="30"/>
          <w:u w:val="single"/>
          <w:rtl/>
        </w:rPr>
      </w:pPr>
    </w:p>
    <w:p w14:paraId="3F553E8D" w14:textId="77777777" w:rsidR="005E4C22" w:rsidRPr="00F25744" w:rsidRDefault="00E25AE7" w:rsidP="00341018">
      <w:pPr>
        <w:numPr>
          <w:ilvl w:val="0"/>
          <w:numId w:val="41"/>
        </w:numPr>
        <w:spacing w:before="120" w:after="0" w:line="360" w:lineRule="auto"/>
        <w:jc w:val="both"/>
        <w:rPr>
          <w:rFonts w:ascii="David" w:hAnsi="David" w:cs="David"/>
          <w:b/>
          <w:bCs/>
          <w:sz w:val="24"/>
          <w:szCs w:val="24"/>
          <w:u w:val="single"/>
          <w:rtl/>
        </w:rPr>
      </w:pPr>
      <w:r w:rsidRPr="00F25744">
        <w:rPr>
          <w:rFonts w:ascii="David" w:hAnsi="David" w:cs="David" w:hint="cs"/>
          <w:b/>
          <w:bCs/>
          <w:sz w:val="24"/>
          <w:szCs w:val="24"/>
          <w:u w:val="single"/>
          <w:rtl/>
        </w:rPr>
        <w:t>דירוג סוגי התיקים</w:t>
      </w:r>
    </w:p>
    <w:p w14:paraId="444D766C" w14:textId="77777777" w:rsidR="005E4C22" w:rsidRPr="00F25744" w:rsidRDefault="00E25AE7" w:rsidP="00341018">
      <w:pPr>
        <w:numPr>
          <w:ilvl w:val="1"/>
          <w:numId w:val="41"/>
        </w:numPr>
        <w:spacing w:before="120" w:after="0" w:line="360" w:lineRule="auto"/>
        <w:jc w:val="both"/>
        <w:rPr>
          <w:rFonts w:ascii="David" w:hAnsi="David" w:cs="David"/>
          <w:sz w:val="24"/>
          <w:szCs w:val="24"/>
        </w:rPr>
      </w:pPr>
      <w:r w:rsidRPr="00F25744">
        <w:rPr>
          <w:rFonts w:ascii="David" w:hAnsi="David" w:cs="David" w:hint="cs"/>
          <w:sz w:val="24"/>
          <w:szCs w:val="24"/>
          <w:rtl/>
        </w:rPr>
        <w:t>לפניך רשימה עדכנית של 16 סוגי תיקים של ערכאת התעבורה, אשר מהווים למעלה מ-98% מכלל תיקי התעבורה אשר נסגרו בשנת 2019, ואשר יש בידי מחלקת המחקר די נתונים על מנת לתת להם משקל במסגרת המחקר הנוכחי:</w:t>
      </w:r>
    </w:p>
    <w:p w14:paraId="6AC4E6D9" w14:textId="77777777" w:rsidR="005E4C22" w:rsidRPr="00F25744" w:rsidRDefault="00E25AE7" w:rsidP="005E4C22">
      <w:pPr>
        <w:spacing w:before="120" w:after="0" w:line="360" w:lineRule="auto"/>
        <w:ind w:left="935"/>
        <w:jc w:val="both"/>
        <w:rPr>
          <w:rFonts w:ascii="David" w:hAnsi="David" w:cs="David"/>
          <w:b/>
          <w:bCs/>
          <w:sz w:val="24"/>
          <w:szCs w:val="24"/>
        </w:rPr>
      </w:pPr>
      <w:r w:rsidRPr="00F25744">
        <w:rPr>
          <w:rFonts w:ascii="David" w:hAnsi="David" w:cs="David" w:hint="cs"/>
          <w:b/>
          <w:bCs/>
          <w:sz w:val="24"/>
          <w:szCs w:val="24"/>
          <w:rtl/>
        </w:rPr>
        <w:t>תת"ע; המ"ש; ת"ד; בפ"מ; בפ"ת; פ"ל; תתע"א; בא"ש; פל"א; מ"ת; נ"ב; בע"ח; נב"א; גמ"ר; תד"א; צ"א</w:t>
      </w:r>
    </w:p>
    <w:p w14:paraId="1ED8F5F7" w14:textId="77777777" w:rsidR="005E4C22" w:rsidRPr="00F25744" w:rsidRDefault="00E25AE7" w:rsidP="005E4C22">
      <w:pPr>
        <w:spacing w:before="120" w:after="0" w:line="360" w:lineRule="auto"/>
        <w:ind w:left="935"/>
        <w:jc w:val="both"/>
        <w:rPr>
          <w:rFonts w:ascii="David" w:hAnsi="David" w:cs="David"/>
          <w:sz w:val="24"/>
          <w:szCs w:val="24"/>
          <w:rtl/>
        </w:rPr>
      </w:pPr>
      <w:r w:rsidRPr="00F25744">
        <w:rPr>
          <w:rFonts w:ascii="David" w:hAnsi="David" w:cs="David" w:hint="cs"/>
          <w:sz w:val="24"/>
          <w:szCs w:val="24"/>
          <w:rtl/>
        </w:rPr>
        <w:t xml:space="preserve">אנא סמן/סמני </w:t>
      </w:r>
      <w:r w:rsidRPr="00F25744">
        <w:rPr>
          <w:rFonts w:ascii="David" w:hAnsi="David" w:cs="David" w:hint="cs"/>
          <w:sz w:val="24"/>
          <w:szCs w:val="24"/>
        </w:rPr>
        <w:t>V</w:t>
      </w:r>
      <w:r w:rsidRPr="00F25744">
        <w:rPr>
          <w:rFonts w:ascii="David" w:hAnsi="David" w:cs="David" w:hint="cs"/>
          <w:sz w:val="24"/>
          <w:szCs w:val="24"/>
          <w:rtl/>
        </w:rPr>
        <w:t xml:space="preserve"> לצד כל סוגי התיקים </w:t>
      </w:r>
      <w:r w:rsidRPr="00F25744">
        <w:rPr>
          <w:rFonts w:ascii="David" w:hAnsi="David" w:cs="David" w:hint="cs"/>
          <w:b/>
          <w:bCs/>
          <w:sz w:val="24"/>
          <w:szCs w:val="24"/>
          <w:rtl/>
        </w:rPr>
        <w:t>שבהם טיפלת</w:t>
      </w:r>
      <w:r w:rsidRPr="00F25744">
        <w:rPr>
          <w:rFonts w:ascii="David" w:hAnsi="David" w:cs="David" w:hint="cs"/>
          <w:sz w:val="24"/>
          <w:szCs w:val="24"/>
          <w:rtl/>
        </w:rPr>
        <w:t xml:space="preserve"> במהלך השנתיים האחרונות. </w:t>
      </w:r>
      <w:r w:rsidRPr="00F25744">
        <w:rPr>
          <w:rFonts w:ascii="David" w:hAnsi="David" w:cs="David"/>
          <w:sz w:val="24"/>
          <w:szCs w:val="24"/>
          <w:rtl/>
        </w:rPr>
        <w:t xml:space="preserve"> </w:t>
      </w:r>
    </w:p>
    <w:p w14:paraId="0460C433" w14:textId="77777777" w:rsidR="005E4C22" w:rsidRPr="00F25744" w:rsidRDefault="00E25AE7" w:rsidP="00341018">
      <w:pPr>
        <w:numPr>
          <w:ilvl w:val="1"/>
          <w:numId w:val="41"/>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ברשימה הימנית שלפניך מופיעים סוגי התיקים שבהם בחרת בשאלה הקודמת. </w:t>
      </w:r>
    </w:p>
    <w:p w14:paraId="0F53863D" w14:textId="77777777" w:rsidR="005E4C22" w:rsidRPr="00F25744" w:rsidRDefault="00E25AE7" w:rsidP="005E4C22">
      <w:pPr>
        <w:spacing w:before="120" w:after="0" w:line="360" w:lineRule="auto"/>
        <w:ind w:left="935"/>
        <w:jc w:val="both"/>
        <w:rPr>
          <w:rFonts w:ascii="David" w:hAnsi="David" w:cs="David"/>
          <w:sz w:val="24"/>
          <w:szCs w:val="24"/>
          <w:rtl/>
        </w:rPr>
      </w:pPr>
      <w:r w:rsidRPr="00F25744">
        <w:rPr>
          <w:rFonts w:ascii="David" w:hAnsi="David" w:cs="David" w:hint="cs"/>
          <w:sz w:val="24"/>
          <w:szCs w:val="24"/>
          <w:rtl/>
        </w:rPr>
        <w:t xml:space="preserve">על מנת לתקף את ממצאי המחקר, נבקשך לסדר את סוגי התיקים שבטיפולך </w:t>
      </w:r>
      <w:r w:rsidRPr="00F25744">
        <w:rPr>
          <w:rFonts w:ascii="David" w:hAnsi="David" w:cs="David" w:hint="cs"/>
          <w:b/>
          <w:bCs/>
          <w:sz w:val="24"/>
          <w:szCs w:val="24"/>
          <w:rtl/>
        </w:rPr>
        <w:t>מן הכבד אל הקל</w:t>
      </w:r>
      <w:r w:rsidRPr="00F25744">
        <w:rPr>
          <w:rFonts w:ascii="David" w:hAnsi="David" w:cs="David" w:hint="cs"/>
          <w:sz w:val="24"/>
          <w:szCs w:val="24"/>
          <w:rtl/>
        </w:rPr>
        <w:t xml:space="preserve">. לשם כך עליך לבחור את סוגי התיקים מן הרשימה שבצד ימין </w:t>
      </w:r>
      <w:r w:rsidRPr="00F25744">
        <w:rPr>
          <w:rFonts w:ascii="David" w:hAnsi="David" w:cs="David" w:hint="cs"/>
          <w:b/>
          <w:bCs/>
          <w:sz w:val="24"/>
          <w:szCs w:val="24"/>
          <w:rtl/>
        </w:rPr>
        <w:t>ולגרור</w:t>
      </w:r>
      <w:r w:rsidRPr="00F25744">
        <w:rPr>
          <w:rFonts w:ascii="David" w:hAnsi="David" w:cs="David" w:hint="cs"/>
          <w:sz w:val="24"/>
          <w:szCs w:val="24"/>
          <w:rtl/>
        </w:rPr>
        <w:t xml:space="preserve"> אותם לרשימה הריקה שבצד שמאל. בראש הרשימה השמאלית יש למקם את סוג התיק שלדעתך מצריך את זמן העבודה </w:t>
      </w:r>
      <w:r w:rsidRPr="00F25744">
        <w:rPr>
          <w:rFonts w:ascii="David" w:hAnsi="David" w:cs="David" w:hint="cs"/>
          <w:b/>
          <w:bCs/>
          <w:sz w:val="24"/>
          <w:szCs w:val="24"/>
          <w:rtl/>
        </w:rPr>
        <w:t>הארוך</w:t>
      </w:r>
      <w:r w:rsidRPr="00F25744">
        <w:rPr>
          <w:rFonts w:ascii="David" w:hAnsi="David" w:cs="David" w:hint="cs"/>
          <w:sz w:val="24"/>
          <w:szCs w:val="24"/>
          <w:rtl/>
        </w:rPr>
        <w:t xml:space="preserve"> ביותר עד לסיום הטיפול בו, ולאחר מכן יש למקם בסדר יורד את יתר סוגי התיקים, אשר ביחס לסוג התיק הראשון מצריכים ממך פחות זמן עד לסיום הטיפול בהם. </w:t>
      </w:r>
    </w:p>
    <w:p w14:paraId="12517DFF" w14:textId="77777777" w:rsidR="005E4C22" w:rsidRPr="00F25744" w:rsidRDefault="00E25AE7" w:rsidP="00341018">
      <w:pPr>
        <w:numPr>
          <w:ilvl w:val="0"/>
          <w:numId w:val="41"/>
        </w:numPr>
        <w:spacing w:before="120" w:after="0" w:line="360" w:lineRule="auto"/>
        <w:jc w:val="both"/>
        <w:rPr>
          <w:rFonts w:ascii="David" w:hAnsi="David" w:cs="David"/>
          <w:b/>
          <w:bCs/>
          <w:sz w:val="24"/>
          <w:szCs w:val="24"/>
          <w:u w:val="single"/>
        </w:rPr>
      </w:pPr>
      <w:r w:rsidRPr="00F25744">
        <w:rPr>
          <w:rFonts w:ascii="David" w:hAnsi="David" w:cs="David" w:hint="cs"/>
          <w:b/>
          <w:bCs/>
          <w:sz w:val="24"/>
          <w:szCs w:val="24"/>
          <w:u w:val="single"/>
          <w:rtl/>
        </w:rPr>
        <w:t>שאלות כלליות</w:t>
      </w:r>
    </w:p>
    <w:p w14:paraId="5B5B5D14" w14:textId="77777777" w:rsidR="005E4C22" w:rsidRPr="00F25744" w:rsidRDefault="00E25AE7" w:rsidP="005E4C22">
      <w:pPr>
        <w:spacing w:before="120" w:after="0" w:line="360" w:lineRule="auto"/>
        <w:ind w:left="360"/>
        <w:jc w:val="both"/>
        <w:rPr>
          <w:rFonts w:ascii="David" w:hAnsi="David" w:cs="David"/>
          <w:sz w:val="24"/>
          <w:szCs w:val="24"/>
          <w:rtl/>
        </w:rPr>
      </w:pPr>
      <w:r w:rsidRPr="00F25744">
        <w:rPr>
          <w:rFonts w:cs="David" w:hint="cs"/>
          <w:sz w:val="24"/>
          <w:szCs w:val="24"/>
          <w:rtl/>
        </w:rPr>
        <w:t>בחלק זה של השאלון נבקש לברר את הערכותיכם לגבי זמנים של פעולות נפוצות במרבית סוגי התיקים שסימנתם, לצורך תיקוף או השלמת פרטים חסרים:</w:t>
      </w:r>
      <w:r w:rsidRPr="00F25744">
        <w:rPr>
          <w:rFonts w:ascii="David" w:hAnsi="David" w:cs="David" w:hint="cs"/>
          <w:sz w:val="24"/>
          <w:szCs w:val="24"/>
          <w:rtl/>
        </w:rPr>
        <w:t xml:space="preserve"> </w:t>
      </w:r>
    </w:p>
    <w:p w14:paraId="5B0EA001"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b/>
          <w:bCs/>
          <w:sz w:val="24"/>
          <w:szCs w:val="24"/>
          <w:rtl/>
        </w:rPr>
        <w:t>באיזה אחוז</w:t>
      </w:r>
      <w:r w:rsidRPr="00F25744">
        <w:rPr>
          <w:rFonts w:ascii="David" w:hAnsi="David" w:cs="David" w:hint="cs"/>
          <w:sz w:val="24"/>
          <w:szCs w:val="24"/>
          <w:rtl/>
        </w:rPr>
        <w:t xml:space="preserve"> מן התיקים מכל סוג תיק את/ה נדרש/ת להקדיש זמן ל</w:t>
      </w:r>
      <w:r w:rsidRPr="00F25744">
        <w:rPr>
          <w:rFonts w:ascii="David" w:hAnsi="David" w:cs="David" w:hint="cs"/>
          <w:b/>
          <w:bCs/>
          <w:sz w:val="24"/>
          <w:szCs w:val="24"/>
          <w:rtl/>
        </w:rPr>
        <w:t>הכנה לקראת הדיון</w:t>
      </w:r>
      <w:r w:rsidRPr="00F25744">
        <w:rPr>
          <w:rFonts w:ascii="David" w:hAnsi="David" w:cs="David" w:hint="cs"/>
          <w:sz w:val="24"/>
          <w:szCs w:val="24"/>
          <w:rtl/>
        </w:rPr>
        <w:t>? (בכלל לא, עד 10%, 10-20%, 20-30%, יותר מ-30%/ לא רלבנטי לסוג התיק)</w:t>
      </w:r>
    </w:p>
    <w:p w14:paraId="5B1D3B1A"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כמה זמן בממוצע לוקח לך להערכתך לכתוב </w:t>
      </w:r>
      <w:r w:rsidRPr="00F25744">
        <w:rPr>
          <w:rFonts w:ascii="David" w:hAnsi="David" w:cs="David" w:hint="cs"/>
          <w:b/>
          <w:bCs/>
          <w:sz w:val="24"/>
          <w:szCs w:val="24"/>
          <w:rtl/>
        </w:rPr>
        <w:t>עמוד אחד בהחלטת ביניים שניתנת במסמך עצמאי</w:t>
      </w:r>
      <w:r w:rsidRPr="00F25744">
        <w:rPr>
          <w:rFonts w:ascii="David" w:hAnsi="David" w:cs="David" w:hint="cs"/>
          <w:sz w:val="24"/>
          <w:szCs w:val="24"/>
          <w:rtl/>
        </w:rPr>
        <w:t xml:space="preserve"> (לרבות החלטה לאחר סגירה) בכל אחד מסוגי התיקים שסימנת?</w:t>
      </w:r>
      <w:r w:rsidRPr="00F25744">
        <w:rPr>
          <w:rFonts w:ascii="David" w:hAnsi="David" w:cs="David"/>
          <w:sz w:val="24"/>
          <w:szCs w:val="24"/>
          <w:rtl/>
        </w:rPr>
        <w:t xml:space="preserve"> </w:t>
      </w:r>
      <w:r w:rsidRPr="00F25744">
        <w:rPr>
          <w:rFonts w:ascii="David" w:hAnsi="David" w:cs="David" w:hint="cs"/>
          <w:sz w:val="24"/>
          <w:szCs w:val="24"/>
          <w:rtl/>
        </w:rPr>
        <w:t>[</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w:t>
      </w:r>
      <w:r w:rsidRPr="00F25744">
        <w:rPr>
          <w:rFonts w:ascii="David" w:hAnsi="David" w:cs="David" w:hint="cs"/>
          <w:sz w:val="24"/>
          <w:szCs w:val="24"/>
          <w:rtl/>
        </w:rPr>
        <w:lastRenderedPageBreak/>
        <w:t>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15-20</w:t>
      </w:r>
      <w:r w:rsidRPr="00F25744">
        <w:rPr>
          <w:rFonts w:ascii="David" w:hAnsi="David" w:cs="David" w:hint="cs"/>
          <w:sz w:val="24"/>
          <w:szCs w:val="24"/>
          <w:rtl/>
        </w:rPr>
        <w:t xml:space="preserve"> דקות, מעל 20 דקות/ לא רלבנטי לסוג התיק]</w:t>
      </w:r>
    </w:p>
    <w:p w14:paraId="0B712E23"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כמה זמן בממוצע לוקח לך להערכתך לכתוב </w:t>
      </w:r>
      <w:r w:rsidRPr="00F25744">
        <w:rPr>
          <w:rFonts w:ascii="David" w:hAnsi="David" w:cs="David"/>
          <w:b/>
          <w:bCs/>
          <w:sz w:val="24"/>
          <w:szCs w:val="24"/>
          <w:rtl/>
        </w:rPr>
        <w:t>פתקית</w:t>
      </w:r>
      <w:r w:rsidRPr="00F25744">
        <w:rPr>
          <w:rFonts w:ascii="David" w:hAnsi="David" w:cs="David"/>
          <w:sz w:val="24"/>
          <w:szCs w:val="24"/>
          <w:rtl/>
        </w:rPr>
        <w:t xml:space="preserve"> (מנומקת או לא)</w:t>
      </w:r>
      <w:r w:rsidRPr="00F25744">
        <w:rPr>
          <w:rFonts w:ascii="David" w:hAnsi="David" w:cs="David" w:hint="cs"/>
          <w:sz w:val="24"/>
          <w:szCs w:val="24"/>
          <w:rtl/>
        </w:rPr>
        <w:t xml:space="preserve"> בכל אחד מסוגי התיקים שסימנת?</w:t>
      </w:r>
      <w:r w:rsidRPr="00F25744">
        <w:rPr>
          <w:rFonts w:ascii="David" w:hAnsi="David" w:cs="David"/>
          <w:sz w:val="24"/>
          <w:szCs w:val="24"/>
          <w:rtl/>
        </w:rPr>
        <w:t xml:space="preserve"> [עד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מעל 15 דקות/ לא רלבנטי לסוג התיק]</w:t>
      </w:r>
    </w:p>
    <w:p w14:paraId="1003B874"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כמה זמן בממוצע לוקח לך להערכתך לכתוב </w:t>
      </w:r>
      <w:r w:rsidRPr="00F25744">
        <w:rPr>
          <w:rFonts w:ascii="David" w:hAnsi="David" w:cs="David"/>
          <w:b/>
          <w:bCs/>
          <w:sz w:val="24"/>
          <w:szCs w:val="24"/>
          <w:rtl/>
        </w:rPr>
        <w:t>עמוד אחד של פס"ד</w:t>
      </w:r>
      <w:r w:rsidRPr="00F25744">
        <w:rPr>
          <w:rFonts w:ascii="David" w:hAnsi="David" w:cs="David"/>
          <w:sz w:val="24"/>
          <w:szCs w:val="24"/>
          <w:rtl/>
        </w:rPr>
        <w:t xml:space="preserve"> ש</w:t>
      </w:r>
      <w:r w:rsidRPr="00F25744">
        <w:rPr>
          <w:rFonts w:ascii="David" w:hAnsi="David" w:cs="David" w:hint="cs"/>
          <w:sz w:val="24"/>
          <w:szCs w:val="24"/>
          <w:rtl/>
        </w:rPr>
        <w:t>ניתן מחמת חו</w:t>
      </w:r>
      <w:r w:rsidRPr="00F25744">
        <w:rPr>
          <w:rFonts w:ascii="David" w:hAnsi="David" w:cs="David"/>
          <w:sz w:val="24"/>
          <w:szCs w:val="24"/>
          <w:rtl/>
        </w:rPr>
        <w:t>סר מעש/ אי תשלום/</w:t>
      </w:r>
      <w:r w:rsidRPr="00F25744">
        <w:rPr>
          <w:rFonts w:ascii="David" w:hAnsi="David" w:cs="David" w:hint="cs"/>
          <w:sz w:val="24"/>
          <w:szCs w:val="24"/>
          <w:rtl/>
        </w:rPr>
        <w:t xml:space="preserve"> </w:t>
      </w:r>
      <w:r w:rsidRPr="00F25744">
        <w:rPr>
          <w:rFonts w:ascii="David" w:hAnsi="David" w:cs="David"/>
          <w:sz w:val="24"/>
          <w:szCs w:val="24"/>
          <w:rtl/>
        </w:rPr>
        <w:t>התליית ההליכים/</w:t>
      </w:r>
      <w:r w:rsidRPr="00F25744">
        <w:rPr>
          <w:rFonts w:ascii="David" w:hAnsi="David" w:cs="David" w:hint="cs"/>
          <w:sz w:val="24"/>
          <w:szCs w:val="24"/>
          <w:rtl/>
        </w:rPr>
        <w:t xml:space="preserve"> </w:t>
      </w:r>
      <w:r w:rsidRPr="00F25744">
        <w:rPr>
          <w:rFonts w:ascii="David" w:hAnsi="David" w:cs="David"/>
          <w:sz w:val="24"/>
          <w:szCs w:val="24"/>
          <w:rtl/>
        </w:rPr>
        <w:t>הת</w:t>
      </w:r>
      <w:r w:rsidRPr="00F25744">
        <w:rPr>
          <w:rFonts w:ascii="David" w:hAnsi="David" w:cs="David" w:hint="cs"/>
          <w:sz w:val="24"/>
          <w:szCs w:val="24"/>
          <w:rtl/>
        </w:rPr>
        <w:t>י</w:t>
      </w:r>
      <w:r w:rsidRPr="00F25744">
        <w:rPr>
          <w:rFonts w:ascii="David" w:hAnsi="David" w:cs="David"/>
          <w:sz w:val="24"/>
          <w:szCs w:val="24"/>
          <w:rtl/>
        </w:rPr>
        <w:t>יתרות ההליך מחמת גביית עדות מוקדמת</w:t>
      </w:r>
      <w:r w:rsidRPr="00F25744">
        <w:rPr>
          <w:rFonts w:ascii="David" w:hAnsi="David" w:cs="David" w:hint="cs"/>
          <w:sz w:val="24"/>
          <w:szCs w:val="24"/>
          <w:rtl/>
        </w:rPr>
        <w:t xml:space="preserve">, בכל אחד מסוגי התיקים שסימנת?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15-20</w:t>
      </w:r>
      <w:r w:rsidRPr="00F25744">
        <w:rPr>
          <w:rFonts w:ascii="David" w:hAnsi="David" w:cs="David" w:hint="cs"/>
          <w:sz w:val="24"/>
          <w:szCs w:val="24"/>
          <w:rtl/>
        </w:rPr>
        <w:t xml:space="preserve"> דקות, מעל 20 דקות/ לא רלבנטי לסוג התיק]</w:t>
      </w:r>
    </w:p>
    <w:p w14:paraId="79C7F568" w14:textId="77777777" w:rsidR="005E4C22" w:rsidRPr="00F25744" w:rsidRDefault="005E4C22" w:rsidP="005E4C22">
      <w:pPr>
        <w:spacing w:before="120" w:after="0" w:line="240" w:lineRule="auto"/>
        <w:ind w:left="728"/>
        <w:jc w:val="both"/>
        <w:rPr>
          <w:rFonts w:ascii="David" w:hAnsi="David" w:cs="David"/>
          <w:sz w:val="24"/>
          <w:szCs w:val="24"/>
        </w:rPr>
      </w:pPr>
    </w:p>
    <w:p w14:paraId="071E8AA0" w14:textId="77777777" w:rsidR="005E4C22" w:rsidRPr="00F25744" w:rsidRDefault="00E25AE7" w:rsidP="00341018">
      <w:pPr>
        <w:numPr>
          <w:ilvl w:val="0"/>
          <w:numId w:val="41"/>
        </w:numPr>
        <w:spacing w:before="120" w:after="0" w:line="360" w:lineRule="auto"/>
        <w:jc w:val="both"/>
        <w:rPr>
          <w:rFonts w:ascii="David" w:hAnsi="David" w:cs="David"/>
          <w:b/>
          <w:bCs/>
          <w:sz w:val="24"/>
          <w:szCs w:val="24"/>
          <w:u w:val="single"/>
        </w:rPr>
      </w:pPr>
      <w:r w:rsidRPr="00F25744">
        <w:rPr>
          <w:rFonts w:ascii="David" w:hAnsi="David" w:cs="David" w:hint="cs"/>
          <w:b/>
          <w:bCs/>
          <w:sz w:val="24"/>
          <w:szCs w:val="24"/>
          <w:u w:val="single"/>
          <w:rtl/>
        </w:rPr>
        <w:t>שאלות ספציפיות בחלק מסוגי התיקים שסומנו</w:t>
      </w:r>
    </w:p>
    <w:p w14:paraId="39B8C8B5" w14:textId="77777777" w:rsidR="005E4C22" w:rsidRPr="00F25744" w:rsidRDefault="00E25AE7" w:rsidP="005E4C22">
      <w:pPr>
        <w:spacing w:before="120" w:after="0" w:line="360" w:lineRule="auto"/>
        <w:jc w:val="both"/>
        <w:rPr>
          <w:rFonts w:ascii="David" w:hAnsi="David" w:cs="David"/>
          <w:sz w:val="24"/>
          <w:szCs w:val="24"/>
          <w:rtl/>
        </w:rPr>
      </w:pPr>
      <w:r w:rsidRPr="00F25744">
        <w:rPr>
          <w:rFonts w:ascii="David" w:hAnsi="David" w:cs="David" w:hint="cs"/>
          <w:sz w:val="24"/>
          <w:szCs w:val="24"/>
          <w:rtl/>
        </w:rPr>
        <w:t>מהנתונים שנאספו עד כה לגבי ערכאת התעבורה, עלה כי ישנם מעט סוגי תיקים המהווים את מרבית נפח העבודה בערכאה זו, בעוד שרוב סוגי התיקים מופיעים בתדירות נמוכה הרבה יותר. עוד נמצא, כי מרבית הפעילות השיפוטית בערכאת התעבורה מתקיימת בזמן הדיונים, ופחות בהכנה לקראת הדיונים ובכתיבה. לפיכך, על מנת שנוכל לתת משקל מדויק לכמה שיותר סוגי תיקים, נבקש במסגרת חלק זה של השאלון לבדוק את הערכותיכם לגבי אירועים מסוימים בתיקים. לפיכך נודה לכם אם תוכלו להשיב על השאלות הבאות:</w:t>
      </w:r>
    </w:p>
    <w:p w14:paraId="00F8A485" w14:textId="77777777" w:rsidR="005E4C22" w:rsidRPr="00F25744" w:rsidRDefault="00E25AE7" w:rsidP="00341018">
      <w:pPr>
        <w:numPr>
          <w:ilvl w:val="0"/>
          <w:numId w:val="29"/>
        </w:numPr>
        <w:spacing w:before="120" w:after="0" w:line="360" w:lineRule="auto"/>
        <w:ind w:left="651" w:hanging="283"/>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בע"ח</w:t>
      </w:r>
      <w:r w:rsidRPr="00F25744">
        <w:rPr>
          <w:rFonts w:ascii="David" w:hAnsi="David" w:cs="David" w:hint="cs"/>
          <w:sz w:val="24"/>
          <w:szCs w:val="24"/>
          <w:rtl/>
        </w:rPr>
        <w:t xml:space="preserve">, כמה זמן בממוצע לוקח לך להערכתך לכתוב </w:t>
      </w:r>
      <w:r w:rsidRPr="00F25744">
        <w:rPr>
          <w:rFonts w:ascii="David" w:hAnsi="David" w:cs="David" w:hint="cs"/>
          <w:b/>
          <w:bCs/>
          <w:sz w:val="24"/>
          <w:szCs w:val="24"/>
          <w:rtl/>
        </w:rPr>
        <w:t>עמוד אחד</w:t>
      </w:r>
      <w:r w:rsidRPr="00F25744">
        <w:rPr>
          <w:rFonts w:ascii="David" w:hAnsi="David" w:cs="David" w:hint="cs"/>
          <w:sz w:val="24"/>
          <w:szCs w:val="24"/>
          <w:rtl/>
        </w:rPr>
        <w:t xml:space="preserve"> של </w:t>
      </w:r>
      <w:r w:rsidRPr="00F25744">
        <w:rPr>
          <w:rFonts w:ascii="David" w:hAnsi="David" w:cs="David" w:hint="cs"/>
          <w:b/>
          <w:bCs/>
          <w:sz w:val="24"/>
          <w:szCs w:val="24"/>
          <w:rtl/>
        </w:rPr>
        <w:t>החלטה הסוגרת את התיק</w:t>
      </w:r>
      <w:r w:rsidRPr="00F25744">
        <w:rPr>
          <w:rFonts w:ascii="David" w:hAnsi="David" w:cs="David" w:hint="cs"/>
          <w:sz w:val="24"/>
          <w:szCs w:val="24"/>
          <w:rtl/>
        </w:rPr>
        <w:t>, מנומקת וללא הסכמת הצדדים, שניתנת במסמך עצמאי (מחוץ לאולם)?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5DCC30D8" w14:textId="77777777" w:rsidR="005E4C22" w:rsidRPr="00F25744" w:rsidRDefault="00E25AE7" w:rsidP="00341018">
      <w:pPr>
        <w:numPr>
          <w:ilvl w:val="0"/>
          <w:numId w:val="29"/>
        </w:numPr>
        <w:spacing w:before="120" w:after="0" w:line="360" w:lineRule="auto"/>
        <w:ind w:left="651" w:hanging="283"/>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פ"ל</w:t>
      </w:r>
      <w:r w:rsidRPr="00F25744">
        <w:rPr>
          <w:rFonts w:ascii="David" w:hAnsi="David" w:cs="David" w:hint="cs"/>
          <w:b/>
          <w:bCs/>
          <w:sz w:val="24"/>
          <w:szCs w:val="24"/>
          <w:rtl/>
        </w:rPr>
        <w:t>,</w:t>
      </w:r>
      <w:r w:rsidRPr="00F25744">
        <w:rPr>
          <w:rFonts w:ascii="David" w:hAnsi="David" w:cs="David" w:hint="cs"/>
          <w:sz w:val="24"/>
          <w:szCs w:val="24"/>
          <w:rtl/>
        </w:rPr>
        <w:t xml:space="preserve"> כמה זמן בממוצע לוקח לך להערכתך לכתוב </w:t>
      </w:r>
      <w:r w:rsidRPr="00F25744">
        <w:rPr>
          <w:rFonts w:ascii="David" w:hAnsi="David" w:cs="David" w:hint="cs"/>
          <w:b/>
          <w:bCs/>
          <w:sz w:val="24"/>
          <w:szCs w:val="24"/>
          <w:rtl/>
        </w:rPr>
        <w:t>עמוד אחד</w:t>
      </w:r>
      <w:r w:rsidRPr="00F25744">
        <w:rPr>
          <w:rFonts w:ascii="David" w:hAnsi="David" w:cs="David" w:hint="cs"/>
          <w:sz w:val="24"/>
          <w:szCs w:val="24"/>
          <w:rtl/>
        </w:rPr>
        <w:t xml:space="preserve"> של פסק דין מסוגי פסקי הדין הבאים (מפסקי הדין שנכתבים </w:t>
      </w:r>
      <w:r w:rsidRPr="00F25744">
        <w:rPr>
          <w:rFonts w:ascii="David" w:hAnsi="David" w:cs="David" w:hint="cs"/>
          <w:b/>
          <w:bCs/>
          <w:sz w:val="24"/>
          <w:szCs w:val="24"/>
          <w:rtl/>
        </w:rPr>
        <w:t>מחוץ</w:t>
      </w:r>
      <w:r w:rsidRPr="00F25744">
        <w:rPr>
          <w:rFonts w:ascii="David" w:hAnsi="David" w:cs="David" w:hint="cs"/>
          <w:sz w:val="24"/>
          <w:szCs w:val="24"/>
          <w:rtl/>
        </w:rPr>
        <w:t xml:space="preserve"> לאולם):</w:t>
      </w:r>
    </w:p>
    <w:p w14:paraId="7D7AC6F4" w14:textId="77777777" w:rsidR="005E4C22" w:rsidRPr="00F25744" w:rsidRDefault="00E25AE7" w:rsidP="00341018">
      <w:pPr>
        <w:numPr>
          <w:ilvl w:val="1"/>
          <w:numId w:val="29"/>
        </w:numPr>
        <w:spacing w:before="120" w:after="0" w:line="360" w:lineRule="auto"/>
        <w:ind w:left="1076" w:hanging="425"/>
        <w:jc w:val="both"/>
        <w:rPr>
          <w:rFonts w:ascii="David" w:hAnsi="David" w:cs="David"/>
          <w:sz w:val="24"/>
          <w:szCs w:val="24"/>
        </w:rPr>
      </w:pPr>
      <w:r w:rsidRPr="00F25744">
        <w:rPr>
          <w:rFonts w:ascii="David" w:hAnsi="David" w:cs="David" w:hint="cs"/>
          <w:sz w:val="24"/>
          <w:szCs w:val="24"/>
          <w:rtl/>
        </w:rPr>
        <w:t xml:space="preserve">פסק דין המקנה תוקף </w:t>
      </w:r>
      <w:r w:rsidRPr="00F25744">
        <w:rPr>
          <w:rFonts w:ascii="David" w:hAnsi="David" w:cs="David" w:hint="cs"/>
          <w:b/>
          <w:bCs/>
          <w:sz w:val="24"/>
          <w:szCs w:val="24"/>
          <w:rtl/>
        </w:rPr>
        <w:t>להסדר טיעון סגור/מלא</w:t>
      </w:r>
      <w:r w:rsidRPr="00F25744">
        <w:rPr>
          <w:rFonts w:ascii="David" w:hAnsi="David" w:cs="David" w:hint="cs"/>
          <w:sz w:val="24"/>
          <w:szCs w:val="24"/>
          <w:rtl/>
        </w:rPr>
        <w:t xml:space="preserve"> (לרבות להסכמה לביטול כתב האישום)?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אם מעל 15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6A2F66F0" w14:textId="77777777" w:rsidR="005E4C22" w:rsidRPr="00F25744" w:rsidRDefault="00E25AE7" w:rsidP="00341018">
      <w:pPr>
        <w:numPr>
          <w:ilvl w:val="1"/>
          <w:numId w:val="29"/>
        </w:numPr>
        <w:spacing w:before="120" w:after="0" w:line="360" w:lineRule="auto"/>
        <w:ind w:left="1076" w:hanging="425"/>
        <w:jc w:val="both"/>
        <w:rPr>
          <w:rFonts w:ascii="David" w:hAnsi="David" w:cs="David"/>
          <w:sz w:val="24"/>
          <w:szCs w:val="24"/>
        </w:rPr>
      </w:pPr>
      <w:r w:rsidRPr="00F25744">
        <w:rPr>
          <w:rFonts w:ascii="David" w:hAnsi="David" w:cs="David" w:hint="cs"/>
          <w:sz w:val="24"/>
          <w:szCs w:val="24"/>
          <w:rtl/>
        </w:rPr>
        <w:t xml:space="preserve">פסק דין המורכב מהכרעת דין אשר מאשרת הסדר עם </w:t>
      </w:r>
      <w:r w:rsidRPr="00F25744">
        <w:rPr>
          <w:rFonts w:ascii="David" w:hAnsi="David" w:cs="David" w:hint="cs"/>
          <w:b/>
          <w:bCs/>
          <w:sz w:val="24"/>
          <w:szCs w:val="24"/>
          <w:rtl/>
        </w:rPr>
        <w:t>טיעון פתוח</w:t>
      </w:r>
      <w:r w:rsidRPr="00F25744">
        <w:rPr>
          <w:rFonts w:ascii="David" w:hAnsi="David" w:cs="David" w:hint="cs"/>
          <w:sz w:val="24"/>
          <w:szCs w:val="24"/>
          <w:rtl/>
        </w:rPr>
        <w:t xml:space="preserve"> לעונש, וגזר דין מנומק?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אם מעל 15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378CFF65" w14:textId="77777777" w:rsidR="005E4C22" w:rsidRPr="00F25744" w:rsidRDefault="00E25AE7" w:rsidP="00341018">
      <w:pPr>
        <w:numPr>
          <w:ilvl w:val="0"/>
          <w:numId w:val="29"/>
        </w:numPr>
        <w:spacing w:before="120" w:after="0" w:line="360" w:lineRule="auto"/>
        <w:ind w:left="651" w:hanging="283"/>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נב"א</w:t>
      </w:r>
      <w:r w:rsidRPr="00F25744">
        <w:rPr>
          <w:rFonts w:ascii="David" w:hAnsi="David" w:cs="David" w:hint="cs"/>
          <w:sz w:val="24"/>
          <w:szCs w:val="24"/>
          <w:rtl/>
        </w:rPr>
        <w:t>, כמה זמן בממוצע לוקח לך להערכתך לבצע את הפעולות הבאות:</w:t>
      </w:r>
    </w:p>
    <w:p w14:paraId="372EA959" w14:textId="77777777" w:rsidR="005E4C22" w:rsidRPr="00F25744" w:rsidRDefault="00E25AE7" w:rsidP="00341018">
      <w:pPr>
        <w:numPr>
          <w:ilvl w:val="1"/>
          <w:numId w:val="29"/>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t>הכנה לדיון</w:t>
      </w:r>
      <w:r w:rsidRPr="00F25744">
        <w:rPr>
          <w:rFonts w:ascii="David" w:hAnsi="David" w:cs="David" w:hint="cs"/>
          <w:sz w:val="24"/>
          <w:szCs w:val="24"/>
          <w:rtl/>
        </w:rPr>
        <w:t xml:space="preserve"> מסוג </w:t>
      </w:r>
      <w:r w:rsidRPr="00F25744">
        <w:rPr>
          <w:rFonts w:ascii="David" w:hAnsi="David" w:cs="David" w:hint="cs"/>
          <w:b/>
          <w:bCs/>
          <w:sz w:val="24"/>
          <w:szCs w:val="24"/>
          <w:rtl/>
        </w:rPr>
        <w:t xml:space="preserve">הוכחות </w:t>
      </w:r>
      <w:r w:rsidRPr="00F25744">
        <w:rPr>
          <w:rFonts w:ascii="David" w:hAnsi="David" w:cs="David" w:hint="cs"/>
          <w:sz w:val="24"/>
          <w:szCs w:val="24"/>
          <w:rtl/>
        </w:rPr>
        <w:t xml:space="preserve">(לרבות דיון שבו נשמעות ראיות/ עדויות או סיכומים בעל פה/ טיעונים לעונש)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14238524" w14:textId="77777777" w:rsidR="005E4C22" w:rsidRPr="00F25744" w:rsidRDefault="00E25AE7" w:rsidP="00341018">
      <w:pPr>
        <w:numPr>
          <w:ilvl w:val="1"/>
          <w:numId w:val="29"/>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lastRenderedPageBreak/>
        <w:t>הכנה</w:t>
      </w:r>
      <w:r w:rsidRPr="00F25744">
        <w:rPr>
          <w:rFonts w:ascii="David" w:hAnsi="David" w:cs="David" w:hint="cs"/>
          <w:sz w:val="24"/>
          <w:szCs w:val="24"/>
          <w:rtl/>
        </w:rPr>
        <w:t xml:space="preserve"> לדיון </w:t>
      </w:r>
      <w:r w:rsidRPr="00F25744">
        <w:rPr>
          <w:rFonts w:ascii="David" w:hAnsi="David" w:cs="David" w:hint="cs"/>
          <w:b/>
          <w:bCs/>
          <w:sz w:val="24"/>
          <w:szCs w:val="24"/>
          <w:rtl/>
        </w:rPr>
        <w:t>שאינו</w:t>
      </w:r>
      <w:r w:rsidRPr="00F25744">
        <w:rPr>
          <w:rFonts w:ascii="David" w:hAnsi="David" w:cs="David" w:hint="cs"/>
          <w:sz w:val="24"/>
          <w:szCs w:val="24"/>
          <w:rtl/>
        </w:rPr>
        <w:t xml:space="preserve"> הוכחות</w:t>
      </w:r>
      <w:r w:rsidRPr="00F25744">
        <w:rPr>
          <w:rFonts w:ascii="David" w:hAnsi="David" w:cs="David" w:hint="cs"/>
          <w:b/>
          <w:bCs/>
          <w:sz w:val="24"/>
          <w:szCs w:val="24"/>
          <w:rtl/>
        </w:rPr>
        <w:t xml:space="preserve"> </w:t>
      </w:r>
      <w:r w:rsidRPr="00F25744">
        <w:rPr>
          <w:rFonts w:ascii="David" w:hAnsi="David" w:cs="David" w:hint="cs"/>
          <w:sz w:val="24"/>
          <w:szCs w:val="24"/>
          <w:rtl/>
        </w:rPr>
        <w:t xml:space="preserve">(לרבות דיון קד"מ, הקראה וכדומה)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31B76655" w14:textId="77777777" w:rsidR="005E4C22" w:rsidRPr="00F25744" w:rsidRDefault="00E25AE7" w:rsidP="00341018">
      <w:pPr>
        <w:numPr>
          <w:ilvl w:val="1"/>
          <w:numId w:val="29"/>
        </w:numPr>
        <w:spacing w:before="120" w:after="0" w:line="360" w:lineRule="auto"/>
        <w:ind w:left="991" w:hanging="284"/>
        <w:jc w:val="both"/>
        <w:rPr>
          <w:rFonts w:ascii="David" w:hAnsi="David" w:cs="David"/>
          <w:sz w:val="24"/>
          <w:szCs w:val="24"/>
        </w:rPr>
      </w:pPr>
      <w:r w:rsidRPr="00F25744">
        <w:rPr>
          <w:rFonts w:ascii="David" w:hAnsi="David" w:cs="David" w:hint="cs"/>
          <w:sz w:val="24"/>
          <w:szCs w:val="24"/>
          <w:rtl/>
        </w:rPr>
        <w:t xml:space="preserve">כתיבת עמוד אחד בפסק דין שנכתב </w:t>
      </w:r>
      <w:r w:rsidRPr="00F25744">
        <w:rPr>
          <w:rFonts w:ascii="David" w:hAnsi="David" w:cs="David" w:hint="cs"/>
          <w:b/>
          <w:bCs/>
          <w:sz w:val="24"/>
          <w:szCs w:val="24"/>
          <w:rtl/>
        </w:rPr>
        <w:t>מחוץ</w:t>
      </w:r>
      <w:r w:rsidRPr="00F25744">
        <w:rPr>
          <w:rFonts w:ascii="David" w:hAnsi="David" w:cs="David" w:hint="cs"/>
          <w:sz w:val="24"/>
          <w:szCs w:val="24"/>
          <w:rtl/>
        </w:rPr>
        <w:t xml:space="preserve"> לאולם, המקנה תוקף </w:t>
      </w:r>
      <w:r w:rsidRPr="00F25744">
        <w:rPr>
          <w:rFonts w:ascii="David" w:hAnsi="David" w:cs="David" w:hint="cs"/>
          <w:b/>
          <w:bCs/>
          <w:sz w:val="24"/>
          <w:szCs w:val="24"/>
          <w:rtl/>
        </w:rPr>
        <w:t>להסדר טיעון סגור/מלא</w:t>
      </w:r>
      <w:r w:rsidRPr="00F25744">
        <w:rPr>
          <w:rFonts w:ascii="David" w:hAnsi="David" w:cs="David" w:hint="cs"/>
          <w:sz w:val="24"/>
          <w:szCs w:val="24"/>
          <w:rtl/>
        </w:rPr>
        <w:t xml:space="preserve"> (לרבות להסכמה לביטול כתב האישום)?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63DDA3D1" w14:textId="77777777" w:rsidR="005E4C22" w:rsidRPr="00F25744" w:rsidRDefault="00E25AE7" w:rsidP="00341018">
      <w:pPr>
        <w:numPr>
          <w:ilvl w:val="0"/>
          <w:numId w:val="29"/>
        </w:numPr>
        <w:spacing w:before="120" w:after="0" w:line="360" w:lineRule="auto"/>
        <w:ind w:left="651" w:hanging="283"/>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פל"א</w:t>
      </w:r>
      <w:r w:rsidRPr="00F25744">
        <w:rPr>
          <w:rFonts w:ascii="David" w:hAnsi="David" w:cs="David" w:hint="cs"/>
          <w:sz w:val="24"/>
          <w:szCs w:val="24"/>
          <w:rtl/>
        </w:rPr>
        <w:t xml:space="preserve">, כמה זמן בממוצע לוקח לך להערכתך לכתוב עמוד אחד בפסק דין שנכתב </w:t>
      </w:r>
      <w:r w:rsidRPr="00F25744">
        <w:rPr>
          <w:rFonts w:ascii="David" w:hAnsi="David" w:cs="David" w:hint="cs"/>
          <w:b/>
          <w:bCs/>
          <w:sz w:val="24"/>
          <w:szCs w:val="24"/>
          <w:rtl/>
        </w:rPr>
        <w:t>מחוץ</w:t>
      </w:r>
      <w:r w:rsidRPr="00F25744">
        <w:rPr>
          <w:rFonts w:ascii="David" w:hAnsi="David" w:cs="David" w:hint="cs"/>
          <w:sz w:val="24"/>
          <w:szCs w:val="24"/>
          <w:rtl/>
        </w:rPr>
        <w:t xml:space="preserve"> לאולם, המקנה תוקף </w:t>
      </w:r>
      <w:r w:rsidRPr="00F25744">
        <w:rPr>
          <w:rFonts w:ascii="David" w:hAnsi="David" w:cs="David" w:hint="cs"/>
          <w:b/>
          <w:bCs/>
          <w:sz w:val="24"/>
          <w:szCs w:val="24"/>
          <w:rtl/>
        </w:rPr>
        <w:t>להסדר טיעון סגור/מלא</w:t>
      </w:r>
      <w:r w:rsidRPr="00F25744">
        <w:rPr>
          <w:rFonts w:ascii="David" w:hAnsi="David" w:cs="David" w:hint="cs"/>
          <w:sz w:val="24"/>
          <w:szCs w:val="24"/>
          <w:rtl/>
        </w:rPr>
        <w:t xml:space="preserve"> (לרבות להסכמה לביטול כתב האישום)?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אם מעל 15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48E27A11" w14:textId="77777777" w:rsidR="005E4C22" w:rsidRPr="00F25744" w:rsidRDefault="00E25AE7" w:rsidP="00341018">
      <w:pPr>
        <w:numPr>
          <w:ilvl w:val="0"/>
          <w:numId w:val="29"/>
        </w:numPr>
        <w:spacing w:before="120" w:after="0" w:line="360" w:lineRule="auto"/>
        <w:ind w:left="707" w:hanging="425"/>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תד"א</w:t>
      </w:r>
      <w:r w:rsidRPr="00F25744">
        <w:rPr>
          <w:rFonts w:ascii="David" w:hAnsi="David" w:cs="David" w:hint="cs"/>
          <w:sz w:val="24"/>
          <w:szCs w:val="24"/>
          <w:rtl/>
        </w:rPr>
        <w:t xml:space="preserve">, כמה זמן בממוצע לוקח לך להערכתך לכתוב </w:t>
      </w:r>
      <w:r w:rsidRPr="00F25744">
        <w:rPr>
          <w:rFonts w:ascii="David" w:hAnsi="David" w:cs="David" w:hint="cs"/>
          <w:b/>
          <w:bCs/>
          <w:sz w:val="24"/>
          <w:szCs w:val="24"/>
          <w:rtl/>
        </w:rPr>
        <w:t>עמוד אחד</w:t>
      </w:r>
      <w:r w:rsidRPr="00F25744">
        <w:rPr>
          <w:rFonts w:ascii="David" w:hAnsi="David" w:cs="David" w:hint="cs"/>
          <w:sz w:val="24"/>
          <w:szCs w:val="24"/>
          <w:rtl/>
        </w:rPr>
        <w:t xml:space="preserve"> של פסק דין שניתן מחוץ לאולם, המקנה תוקף </w:t>
      </w:r>
      <w:r w:rsidRPr="00F25744">
        <w:rPr>
          <w:rFonts w:ascii="David" w:hAnsi="David" w:cs="David" w:hint="cs"/>
          <w:b/>
          <w:bCs/>
          <w:sz w:val="24"/>
          <w:szCs w:val="24"/>
          <w:rtl/>
        </w:rPr>
        <w:t>להסדר טיעון סגור/מלא</w:t>
      </w:r>
      <w:r w:rsidRPr="00F25744">
        <w:rPr>
          <w:rFonts w:ascii="David" w:hAnsi="David" w:cs="David" w:hint="cs"/>
          <w:sz w:val="24"/>
          <w:szCs w:val="24"/>
          <w:rtl/>
        </w:rPr>
        <w:t xml:space="preserve"> (לרבות להסכמה לביטול כתב האישום)?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3371C2A8" w14:textId="77777777" w:rsidR="005E4C22" w:rsidRPr="00F25744" w:rsidRDefault="00E25AE7" w:rsidP="00341018">
      <w:pPr>
        <w:numPr>
          <w:ilvl w:val="0"/>
          <w:numId w:val="29"/>
        </w:numPr>
        <w:spacing w:before="120" w:after="0" w:line="360" w:lineRule="auto"/>
        <w:ind w:left="651" w:hanging="283"/>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ת"ד</w:t>
      </w:r>
      <w:r w:rsidRPr="00F25744">
        <w:rPr>
          <w:rFonts w:ascii="David" w:hAnsi="David" w:cs="David" w:hint="cs"/>
          <w:sz w:val="24"/>
          <w:szCs w:val="24"/>
          <w:rtl/>
        </w:rPr>
        <w:t xml:space="preserve">, כמה זמן בממוצע לוקח לך להערכתך לכתוב </w:t>
      </w:r>
      <w:r w:rsidRPr="00F25744">
        <w:rPr>
          <w:rFonts w:ascii="David" w:hAnsi="David" w:cs="David" w:hint="cs"/>
          <w:b/>
          <w:bCs/>
          <w:sz w:val="24"/>
          <w:szCs w:val="24"/>
          <w:rtl/>
        </w:rPr>
        <w:t>עמוד אחד</w:t>
      </w:r>
      <w:r w:rsidRPr="00F25744">
        <w:rPr>
          <w:rFonts w:ascii="David" w:hAnsi="David" w:cs="David" w:hint="cs"/>
          <w:sz w:val="24"/>
          <w:szCs w:val="24"/>
          <w:rtl/>
        </w:rPr>
        <w:t xml:space="preserve"> של פסק דין מהסוגים הבאים (מפסקי הדין שנכתבים </w:t>
      </w:r>
      <w:r w:rsidRPr="00F25744">
        <w:rPr>
          <w:rFonts w:ascii="David" w:hAnsi="David" w:cs="David" w:hint="cs"/>
          <w:b/>
          <w:bCs/>
          <w:sz w:val="24"/>
          <w:szCs w:val="24"/>
          <w:rtl/>
        </w:rPr>
        <w:t>מחוץ</w:t>
      </w:r>
      <w:r w:rsidRPr="00F25744">
        <w:rPr>
          <w:rFonts w:ascii="David" w:hAnsi="David" w:cs="David" w:hint="cs"/>
          <w:sz w:val="24"/>
          <w:szCs w:val="24"/>
          <w:rtl/>
        </w:rPr>
        <w:t xml:space="preserve"> לאולם):</w:t>
      </w:r>
    </w:p>
    <w:p w14:paraId="2E4570C3" w14:textId="77777777" w:rsidR="005E4C22" w:rsidRPr="00F25744" w:rsidRDefault="00E25AE7" w:rsidP="00341018">
      <w:pPr>
        <w:numPr>
          <w:ilvl w:val="1"/>
          <w:numId w:val="29"/>
        </w:numPr>
        <w:spacing w:before="120" w:after="0" w:line="360" w:lineRule="auto"/>
        <w:ind w:left="1076" w:hanging="425"/>
        <w:jc w:val="both"/>
        <w:rPr>
          <w:rFonts w:ascii="David" w:hAnsi="David" w:cs="David"/>
          <w:sz w:val="24"/>
          <w:szCs w:val="24"/>
        </w:rPr>
      </w:pPr>
      <w:r w:rsidRPr="00F25744">
        <w:rPr>
          <w:rFonts w:ascii="David" w:hAnsi="David" w:cs="David" w:hint="cs"/>
          <w:sz w:val="24"/>
          <w:szCs w:val="24"/>
          <w:rtl/>
        </w:rPr>
        <w:t xml:space="preserve">פסק דין המורכב מהכרעת דין אשר מאשרת הסדר עם </w:t>
      </w:r>
      <w:r w:rsidRPr="00F25744">
        <w:rPr>
          <w:rFonts w:ascii="David" w:hAnsi="David" w:cs="David" w:hint="cs"/>
          <w:b/>
          <w:bCs/>
          <w:sz w:val="24"/>
          <w:szCs w:val="24"/>
          <w:rtl/>
        </w:rPr>
        <w:t>טיעון פתוח</w:t>
      </w:r>
      <w:r w:rsidRPr="00F25744">
        <w:rPr>
          <w:rFonts w:ascii="David" w:hAnsi="David" w:cs="David" w:hint="cs"/>
          <w:sz w:val="24"/>
          <w:szCs w:val="24"/>
          <w:rtl/>
        </w:rPr>
        <w:t xml:space="preserve"> לעונש, וגזר דין מנומק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3903B87D" w14:textId="77777777" w:rsidR="005E4C22" w:rsidRPr="00F25744" w:rsidRDefault="00E25AE7" w:rsidP="00341018">
      <w:pPr>
        <w:numPr>
          <w:ilvl w:val="1"/>
          <w:numId w:val="29"/>
        </w:numPr>
        <w:spacing w:before="120" w:after="0" w:line="360" w:lineRule="auto"/>
        <w:ind w:left="1076" w:hanging="425"/>
        <w:jc w:val="both"/>
        <w:rPr>
          <w:rFonts w:ascii="David" w:hAnsi="David" w:cs="David"/>
          <w:sz w:val="24"/>
          <w:szCs w:val="24"/>
        </w:rPr>
      </w:pPr>
      <w:r w:rsidRPr="00F25744">
        <w:rPr>
          <w:rFonts w:ascii="David" w:hAnsi="David" w:cs="David" w:hint="cs"/>
          <w:sz w:val="24"/>
          <w:szCs w:val="24"/>
          <w:rtl/>
        </w:rPr>
        <w:t xml:space="preserve">פסק דין המקנה תוקף </w:t>
      </w:r>
      <w:r w:rsidRPr="00F25744">
        <w:rPr>
          <w:rFonts w:ascii="David" w:hAnsi="David" w:cs="David" w:hint="cs"/>
          <w:b/>
          <w:bCs/>
          <w:sz w:val="24"/>
          <w:szCs w:val="24"/>
          <w:rtl/>
        </w:rPr>
        <w:t>להסדר טיעון סגור/מלא</w:t>
      </w:r>
      <w:r w:rsidRPr="00F25744">
        <w:rPr>
          <w:rFonts w:ascii="David" w:hAnsi="David" w:cs="David" w:hint="cs"/>
          <w:sz w:val="24"/>
          <w:szCs w:val="24"/>
          <w:rtl/>
        </w:rPr>
        <w:t xml:space="preserve"> (לרבות להסכמה לביטול כתב האישום)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5EC97078" w14:textId="77777777" w:rsidR="005E4C22" w:rsidRPr="00F25744" w:rsidRDefault="00E25AE7" w:rsidP="00341018">
      <w:pPr>
        <w:numPr>
          <w:ilvl w:val="1"/>
          <w:numId w:val="29"/>
        </w:numPr>
        <w:spacing w:before="120" w:after="0" w:line="360" w:lineRule="auto"/>
        <w:ind w:left="1076" w:hanging="425"/>
        <w:jc w:val="both"/>
        <w:rPr>
          <w:rFonts w:ascii="David" w:hAnsi="David" w:cs="David"/>
          <w:sz w:val="24"/>
          <w:szCs w:val="24"/>
        </w:rPr>
      </w:pPr>
      <w:r w:rsidRPr="00F25744">
        <w:rPr>
          <w:rFonts w:ascii="David" w:hAnsi="David" w:cs="David" w:hint="cs"/>
          <w:sz w:val="24"/>
          <w:szCs w:val="24"/>
          <w:rtl/>
        </w:rPr>
        <w:t xml:space="preserve">פסק דין </w:t>
      </w:r>
      <w:r w:rsidRPr="00F25744">
        <w:rPr>
          <w:rFonts w:ascii="David" w:hAnsi="David" w:cs="David" w:hint="cs"/>
          <w:b/>
          <w:bCs/>
          <w:sz w:val="24"/>
          <w:szCs w:val="24"/>
          <w:rtl/>
        </w:rPr>
        <w:t>מנומק</w:t>
      </w:r>
      <w:r w:rsidRPr="00F25744">
        <w:rPr>
          <w:rFonts w:ascii="David" w:hAnsi="David" w:cs="David" w:hint="cs"/>
          <w:sz w:val="24"/>
          <w:szCs w:val="24"/>
          <w:rtl/>
        </w:rPr>
        <w:t xml:space="preserve"> שניתן ללא הסכמת הצדדים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70EC9C5C" w14:textId="77777777" w:rsidR="005E4C22" w:rsidRPr="00F25744" w:rsidRDefault="00E25AE7" w:rsidP="00341018">
      <w:pPr>
        <w:numPr>
          <w:ilvl w:val="0"/>
          <w:numId w:val="29"/>
        </w:numPr>
        <w:spacing w:before="120" w:after="0" w:line="360" w:lineRule="auto"/>
        <w:ind w:left="651" w:hanging="283"/>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תת"ע</w:t>
      </w:r>
      <w:r w:rsidRPr="00F25744">
        <w:rPr>
          <w:rFonts w:ascii="David" w:hAnsi="David" w:cs="David" w:hint="cs"/>
          <w:sz w:val="24"/>
          <w:szCs w:val="24"/>
          <w:rtl/>
        </w:rPr>
        <w:t xml:space="preserve">, כמה זמן בממוצע לוקח לך להערכתך לכתוב </w:t>
      </w:r>
      <w:r w:rsidRPr="00F25744">
        <w:rPr>
          <w:rFonts w:ascii="David" w:hAnsi="David" w:cs="David" w:hint="cs"/>
          <w:b/>
          <w:bCs/>
          <w:sz w:val="24"/>
          <w:szCs w:val="24"/>
          <w:rtl/>
        </w:rPr>
        <w:t>עמוד אחד</w:t>
      </w:r>
      <w:r w:rsidRPr="00F25744">
        <w:rPr>
          <w:rFonts w:ascii="David" w:hAnsi="David" w:cs="David" w:hint="cs"/>
          <w:sz w:val="24"/>
          <w:szCs w:val="24"/>
          <w:rtl/>
        </w:rPr>
        <w:t xml:space="preserve"> של פסק דין מהסוגים הבאים (מפסקי הדין שנכתבים </w:t>
      </w:r>
      <w:r w:rsidRPr="00F25744">
        <w:rPr>
          <w:rFonts w:ascii="David" w:hAnsi="David" w:cs="David" w:hint="cs"/>
          <w:b/>
          <w:bCs/>
          <w:sz w:val="24"/>
          <w:szCs w:val="24"/>
          <w:rtl/>
        </w:rPr>
        <w:t>מחוץ</w:t>
      </w:r>
      <w:r w:rsidRPr="00F25744">
        <w:rPr>
          <w:rFonts w:ascii="David" w:hAnsi="David" w:cs="David" w:hint="cs"/>
          <w:sz w:val="24"/>
          <w:szCs w:val="24"/>
          <w:rtl/>
        </w:rPr>
        <w:t xml:space="preserve"> לאולם):</w:t>
      </w:r>
    </w:p>
    <w:p w14:paraId="40375D6C" w14:textId="77777777" w:rsidR="005E4C22" w:rsidRPr="00F25744" w:rsidRDefault="00E25AE7" w:rsidP="00341018">
      <w:pPr>
        <w:numPr>
          <w:ilvl w:val="1"/>
          <w:numId w:val="29"/>
        </w:numPr>
        <w:spacing w:before="120" w:after="0" w:line="360" w:lineRule="auto"/>
        <w:ind w:left="1076" w:hanging="425"/>
        <w:jc w:val="both"/>
        <w:rPr>
          <w:rFonts w:ascii="David" w:hAnsi="David" w:cs="David"/>
          <w:sz w:val="24"/>
          <w:szCs w:val="24"/>
        </w:rPr>
      </w:pPr>
      <w:r w:rsidRPr="00F25744">
        <w:rPr>
          <w:rFonts w:ascii="David" w:hAnsi="David" w:cs="David" w:hint="cs"/>
          <w:sz w:val="24"/>
          <w:szCs w:val="24"/>
          <w:rtl/>
        </w:rPr>
        <w:t xml:space="preserve">פסק דין המקנה תוקף </w:t>
      </w:r>
      <w:r w:rsidRPr="00F25744">
        <w:rPr>
          <w:rFonts w:ascii="David" w:hAnsi="David" w:cs="David" w:hint="cs"/>
          <w:b/>
          <w:bCs/>
          <w:sz w:val="24"/>
          <w:szCs w:val="24"/>
          <w:rtl/>
        </w:rPr>
        <w:t>להסדר טיעון סגור/מלא</w:t>
      </w:r>
      <w:r w:rsidRPr="00F25744">
        <w:rPr>
          <w:rFonts w:ascii="David" w:hAnsi="David" w:cs="David" w:hint="cs"/>
          <w:sz w:val="24"/>
          <w:szCs w:val="24"/>
          <w:rtl/>
        </w:rPr>
        <w:t xml:space="preserve"> (לרבות להסכמה לביטול כתב האישום)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2707D692" w14:textId="77777777" w:rsidR="005E4C22" w:rsidRPr="00F25744" w:rsidRDefault="00E25AE7" w:rsidP="00341018">
      <w:pPr>
        <w:numPr>
          <w:ilvl w:val="1"/>
          <w:numId w:val="29"/>
        </w:numPr>
        <w:spacing w:before="120" w:after="0" w:line="360" w:lineRule="auto"/>
        <w:ind w:left="1076" w:hanging="425"/>
        <w:jc w:val="both"/>
        <w:rPr>
          <w:rFonts w:ascii="David" w:hAnsi="David" w:cs="David"/>
          <w:sz w:val="24"/>
          <w:szCs w:val="24"/>
        </w:rPr>
      </w:pPr>
      <w:r w:rsidRPr="00F25744">
        <w:rPr>
          <w:rFonts w:ascii="David" w:hAnsi="David" w:cs="David" w:hint="cs"/>
          <w:sz w:val="24"/>
          <w:szCs w:val="24"/>
          <w:rtl/>
        </w:rPr>
        <w:t xml:space="preserve">פסק דין </w:t>
      </w:r>
      <w:r w:rsidRPr="00F25744">
        <w:rPr>
          <w:rFonts w:ascii="David" w:hAnsi="David" w:cs="David" w:hint="cs"/>
          <w:b/>
          <w:bCs/>
          <w:sz w:val="24"/>
          <w:szCs w:val="24"/>
          <w:rtl/>
        </w:rPr>
        <w:t>מנומק</w:t>
      </w:r>
      <w:r w:rsidRPr="00F25744">
        <w:rPr>
          <w:rFonts w:ascii="David" w:hAnsi="David" w:cs="David" w:hint="cs"/>
          <w:sz w:val="24"/>
          <w:szCs w:val="24"/>
          <w:rtl/>
        </w:rPr>
        <w:t xml:space="preserve"> שניתן ללא הסכמת הצדדים?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15-20 דקות, 20-30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72BF6CD0" w14:textId="77777777" w:rsidR="005E4C22" w:rsidRPr="00F25744" w:rsidRDefault="00E25AE7" w:rsidP="00341018">
      <w:pPr>
        <w:numPr>
          <w:ilvl w:val="0"/>
          <w:numId w:val="29"/>
        </w:numPr>
        <w:spacing w:before="120" w:after="0" w:line="360" w:lineRule="auto"/>
        <w:ind w:left="651" w:hanging="283"/>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תתע"א</w:t>
      </w:r>
      <w:r w:rsidRPr="00F25744">
        <w:rPr>
          <w:rFonts w:ascii="David" w:hAnsi="David" w:cs="David" w:hint="cs"/>
          <w:sz w:val="24"/>
          <w:szCs w:val="24"/>
          <w:rtl/>
        </w:rPr>
        <w:t>, כמה זמן בממוצע לוקח לך להערכתך לבצע את הפעולות הבאות:</w:t>
      </w:r>
    </w:p>
    <w:p w14:paraId="34BE563C" w14:textId="77777777" w:rsidR="005E4C22" w:rsidRPr="00F25744" w:rsidRDefault="00E25AE7" w:rsidP="00341018">
      <w:pPr>
        <w:numPr>
          <w:ilvl w:val="1"/>
          <w:numId w:val="29"/>
        </w:numPr>
        <w:spacing w:before="120" w:after="0" w:line="360" w:lineRule="auto"/>
        <w:ind w:left="991" w:hanging="284"/>
        <w:jc w:val="both"/>
        <w:rPr>
          <w:rFonts w:ascii="David" w:hAnsi="David" w:cs="David"/>
          <w:sz w:val="24"/>
          <w:szCs w:val="24"/>
        </w:rPr>
      </w:pPr>
      <w:r w:rsidRPr="00F25744">
        <w:rPr>
          <w:rFonts w:ascii="David" w:hAnsi="David" w:cs="David" w:hint="cs"/>
          <w:sz w:val="24"/>
          <w:szCs w:val="24"/>
          <w:rtl/>
        </w:rPr>
        <w:lastRenderedPageBreak/>
        <w:t xml:space="preserve">הכנה לדיון מסוג </w:t>
      </w:r>
      <w:r w:rsidRPr="00F25744">
        <w:rPr>
          <w:rFonts w:ascii="David" w:hAnsi="David" w:cs="David" w:hint="cs"/>
          <w:b/>
          <w:bCs/>
          <w:sz w:val="24"/>
          <w:szCs w:val="24"/>
          <w:rtl/>
        </w:rPr>
        <w:t>הוכחות</w:t>
      </w:r>
      <w:r w:rsidRPr="00F25744">
        <w:rPr>
          <w:rFonts w:ascii="David" w:hAnsi="David" w:cs="David" w:hint="cs"/>
          <w:sz w:val="24"/>
          <w:szCs w:val="24"/>
          <w:rtl/>
        </w:rPr>
        <w:t xml:space="preserve"> (לרבות דיון שבו נשמעות ראיות/ עדויות או סיכומים בעל פה/ טיעונים לעונש)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04FEFA37" w14:textId="77777777" w:rsidR="005E4C22" w:rsidRPr="00F25744" w:rsidRDefault="00E25AE7" w:rsidP="00341018">
      <w:pPr>
        <w:numPr>
          <w:ilvl w:val="1"/>
          <w:numId w:val="29"/>
        </w:numPr>
        <w:spacing w:before="120" w:after="0" w:line="360" w:lineRule="auto"/>
        <w:ind w:left="991" w:hanging="284"/>
        <w:jc w:val="both"/>
        <w:rPr>
          <w:rFonts w:ascii="David" w:hAnsi="David" w:cs="David"/>
          <w:sz w:val="24"/>
          <w:szCs w:val="24"/>
        </w:rPr>
      </w:pPr>
      <w:r w:rsidRPr="00F25744">
        <w:rPr>
          <w:rFonts w:ascii="David" w:hAnsi="David" w:cs="David" w:hint="cs"/>
          <w:sz w:val="24"/>
          <w:szCs w:val="24"/>
          <w:rtl/>
        </w:rPr>
        <w:t xml:space="preserve">כתיבת </w:t>
      </w:r>
      <w:r w:rsidRPr="00F25744">
        <w:rPr>
          <w:rFonts w:ascii="David" w:hAnsi="David" w:cs="David" w:hint="cs"/>
          <w:b/>
          <w:bCs/>
          <w:sz w:val="24"/>
          <w:szCs w:val="24"/>
          <w:rtl/>
        </w:rPr>
        <w:t>עמוד אחד</w:t>
      </w:r>
      <w:r w:rsidRPr="00F25744">
        <w:rPr>
          <w:rFonts w:ascii="David" w:hAnsi="David" w:cs="David" w:hint="cs"/>
          <w:sz w:val="24"/>
          <w:szCs w:val="24"/>
          <w:rtl/>
        </w:rPr>
        <w:t xml:space="preserve"> של פסק דין </w:t>
      </w:r>
      <w:r w:rsidRPr="00F25744">
        <w:rPr>
          <w:rFonts w:ascii="David" w:hAnsi="David" w:cs="David" w:hint="cs"/>
          <w:b/>
          <w:bCs/>
          <w:sz w:val="24"/>
          <w:szCs w:val="24"/>
          <w:rtl/>
        </w:rPr>
        <w:t>מנומק,</w:t>
      </w:r>
      <w:r w:rsidRPr="00F25744">
        <w:rPr>
          <w:rFonts w:ascii="David" w:hAnsi="David" w:cs="David" w:hint="cs"/>
          <w:sz w:val="24"/>
          <w:szCs w:val="24"/>
          <w:rtl/>
        </w:rPr>
        <w:t xml:space="preserve"> שניתן ללא הסכמת הצדדים, מחוץ לאולם?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44D1CF38" w14:textId="77777777" w:rsidR="005E4C22" w:rsidRPr="00F25744" w:rsidRDefault="00E25AE7" w:rsidP="00341018">
      <w:pPr>
        <w:numPr>
          <w:ilvl w:val="0"/>
          <w:numId w:val="29"/>
        </w:numPr>
        <w:spacing w:before="120" w:after="0" w:line="360" w:lineRule="auto"/>
        <w:ind w:left="651" w:hanging="283"/>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גמ"ר</w:t>
      </w:r>
      <w:r w:rsidRPr="00F25744">
        <w:rPr>
          <w:rFonts w:ascii="David" w:hAnsi="David" w:cs="David" w:hint="cs"/>
          <w:sz w:val="24"/>
          <w:szCs w:val="24"/>
          <w:rtl/>
        </w:rPr>
        <w:t>, כמה זמן בממוצע לוקח לך להערכתך לבצע את הפעולות הבאות:</w:t>
      </w:r>
    </w:p>
    <w:p w14:paraId="40077CDF" w14:textId="77777777" w:rsidR="005E4C22" w:rsidRPr="00F25744" w:rsidRDefault="00E25AE7" w:rsidP="00341018">
      <w:pPr>
        <w:numPr>
          <w:ilvl w:val="1"/>
          <w:numId w:val="29"/>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t>הכנה לדיון</w:t>
      </w:r>
      <w:r w:rsidRPr="00F25744">
        <w:rPr>
          <w:rFonts w:ascii="David" w:hAnsi="David" w:cs="David" w:hint="cs"/>
          <w:sz w:val="24"/>
          <w:szCs w:val="24"/>
          <w:rtl/>
        </w:rPr>
        <w:t xml:space="preserve"> מסוג </w:t>
      </w:r>
      <w:r w:rsidRPr="00F25744">
        <w:rPr>
          <w:rFonts w:ascii="David" w:hAnsi="David" w:cs="David" w:hint="cs"/>
          <w:b/>
          <w:bCs/>
          <w:sz w:val="24"/>
          <w:szCs w:val="24"/>
          <w:rtl/>
        </w:rPr>
        <w:t xml:space="preserve">הוכחות </w:t>
      </w:r>
      <w:r w:rsidRPr="00F25744">
        <w:rPr>
          <w:rFonts w:ascii="David" w:hAnsi="David" w:cs="David" w:hint="cs"/>
          <w:sz w:val="24"/>
          <w:szCs w:val="24"/>
          <w:rtl/>
        </w:rPr>
        <w:t xml:space="preserve">(לרבות דיון שבו נשמעות ראיות/ עדויות או סיכומים בעל פה/ טיעונים לעונש)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7A4E5591" w14:textId="77777777" w:rsidR="005E4C22" w:rsidRPr="00F25744" w:rsidRDefault="00E25AE7" w:rsidP="00341018">
      <w:pPr>
        <w:numPr>
          <w:ilvl w:val="1"/>
          <w:numId w:val="29"/>
        </w:numPr>
        <w:spacing w:before="120" w:after="0" w:line="360" w:lineRule="auto"/>
        <w:ind w:left="991" w:hanging="284"/>
        <w:jc w:val="both"/>
        <w:rPr>
          <w:rFonts w:ascii="David" w:hAnsi="David" w:cs="David"/>
          <w:sz w:val="24"/>
          <w:szCs w:val="24"/>
        </w:rPr>
      </w:pPr>
      <w:r w:rsidRPr="00F25744">
        <w:rPr>
          <w:rFonts w:ascii="David" w:hAnsi="David" w:cs="David" w:hint="cs"/>
          <w:b/>
          <w:bCs/>
          <w:sz w:val="24"/>
          <w:szCs w:val="24"/>
          <w:rtl/>
        </w:rPr>
        <w:t>הכנה</w:t>
      </w:r>
      <w:r w:rsidRPr="00F25744">
        <w:rPr>
          <w:rFonts w:ascii="David" w:hAnsi="David" w:cs="David" w:hint="cs"/>
          <w:sz w:val="24"/>
          <w:szCs w:val="24"/>
          <w:rtl/>
        </w:rPr>
        <w:t xml:space="preserve"> לדיון </w:t>
      </w:r>
      <w:r w:rsidRPr="00F25744">
        <w:rPr>
          <w:rFonts w:ascii="David" w:hAnsi="David" w:cs="David" w:hint="cs"/>
          <w:b/>
          <w:bCs/>
          <w:sz w:val="24"/>
          <w:szCs w:val="24"/>
          <w:rtl/>
        </w:rPr>
        <w:t>שאינו</w:t>
      </w:r>
      <w:r w:rsidRPr="00F25744">
        <w:rPr>
          <w:rFonts w:ascii="David" w:hAnsi="David" w:cs="David" w:hint="cs"/>
          <w:sz w:val="24"/>
          <w:szCs w:val="24"/>
          <w:rtl/>
        </w:rPr>
        <w:t xml:space="preserve"> הוכחות</w:t>
      </w:r>
      <w:r w:rsidRPr="00F25744">
        <w:rPr>
          <w:rFonts w:ascii="David" w:hAnsi="David" w:cs="David" w:hint="cs"/>
          <w:b/>
          <w:bCs/>
          <w:sz w:val="24"/>
          <w:szCs w:val="24"/>
          <w:rtl/>
        </w:rPr>
        <w:t xml:space="preserve"> </w:t>
      </w:r>
      <w:r w:rsidRPr="00F25744">
        <w:rPr>
          <w:rFonts w:ascii="David" w:hAnsi="David" w:cs="David" w:hint="cs"/>
          <w:sz w:val="24"/>
          <w:szCs w:val="24"/>
          <w:rtl/>
        </w:rPr>
        <w:t xml:space="preserve">(לרבות דיון קד"מ, הקראה וכדומה)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2A35A4B9" w14:textId="77777777" w:rsidR="005E4C22" w:rsidRPr="00F25744" w:rsidRDefault="005E4C22" w:rsidP="005E4C22">
      <w:pPr>
        <w:spacing w:before="120" w:after="0" w:line="240" w:lineRule="auto"/>
        <w:ind w:left="651"/>
        <w:jc w:val="both"/>
        <w:rPr>
          <w:rFonts w:ascii="David" w:hAnsi="David" w:cs="David"/>
          <w:sz w:val="24"/>
          <w:szCs w:val="24"/>
        </w:rPr>
      </w:pPr>
    </w:p>
    <w:p w14:paraId="66FD0939" w14:textId="77777777" w:rsidR="005E4C22" w:rsidRPr="00F25744" w:rsidRDefault="00E25AE7" w:rsidP="00341018">
      <w:pPr>
        <w:numPr>
          <w:ilvl w:val="0"/>
          <w:numId w:val="41"/>
        </w:numPr>
        <w:spacing w:before="120" w:after="0" w:line="240" w:lineRule="auto"/>
        <w:jc w:val="both"/>
        <w:rPr>
          <w:rFonts w:ascii="David" w:hAnsi="David" w:cs="David"/>
          <w:b/>
          <w:bCs/>
          <w:sz w:val="24"/>
          <w:szCs w:val="24"/>
        </w:rPr>
      </w:pPr>
      <w:r w:rsidRPr="00F25744">
        <w:rPr>
          <w:rFonts w:ascii="David" w:hAnsi="David" w:cs="David" w:hint="cs"/>
          <w:b/>
          <w:bCs/>
          <w:sz w:val="24"/>
          <w:szCs w:val="24"/>
          <w:u w:val="single"/>
          <w:rtl/>
        </w:rPr>
        <w:t>היבטים נוספים של העומס</w:t>
      </w:r>
      <w:r w:rsidRPr="00F25744">
        <w:rPr>
          <w:rFonts w:ascii="David" w:hAnsi="David" w:cs="David" w:hint="cs"/>
          <w:b/>
          <w:bCs/>
          <w:sz w:val="24"/>
          <w:szCs w:val="24"/>
          <w:rtl/>
        </w:rPr>
        <w:t xml:space="preserve"> </w:t>
      </w:r>
      <w:r w:rsidRPr="00F25744">
        <w:rPr>
          <w:rFonts w:ascii="David" w:hAnsi="David" w:cs="David" w:hint="cs"/>
          <w:sz w:val="24"/>
          <w:szCs w:val="24"/>
          <w:rtl/>
        </w:rPr>
        <w:t>(ראו נספח ב1: כללי)</w:t>
      </w:r>
    </w:p>
    <w:p w14:paraId="1457BC82" w14:textId="77777777" w:rsidR="005E4C22" w:rsidRPr="00F25744" w:rsidRDefault="00E25AE7" w:rsidP="00341018">
      <w:pPr>
        <w:numPr>
          <w:ilvl w:val="0"/>
          <w:numId w:val="41"/>
        </w:numPr>
        <w:spacing w:before="120" w:after="0" w:line="240" w:lineRule="auto"/>
        <w:jc w:val="both"/>
        <w:rPr>
          <w:rFonts w:ascii="David" w:hAnsi="David" w:cs="David"/>
          <w:b/>
          <w:bCs/>
          <w:sz w:val="24"/>
          <w:szCs w:val="24"/>
        </w:rPr>
      </w:pPr>
      <w:r w:rsidRPr="00F25744">
        <w:rPr>
          <w:rFonts w:ascii="David" w:hAnsi="David" w:cs="David" w:hint="cs"/>
          <w:b/>
          <w:bCs/>
          <w:sz w:val="24"/>
          <w:szCs w:val="24"/>
          <w:u w:val="single"/>
          <w:rtl/>
        </w:rPr>
        <w:t>עומס רגשי</w:t>
      </w:r>
      <w:r w:rsidRPr="00F25744">
        <w:rPr>
          <w:rFonts w:ascii="David" w:hAnsi="David" w:cs="David" w:hint="cs"/>
          <w:b/>
          <w:bCs/>
          <w:sz w:val="24"/>
          <w:szCs w:val="24"/>
          <w:rtl/>
        </w:rPr>
        <w:t xml:space="preserve"> </w:t>
      </w:r>
      <w:r w:rsidRPr="00F25744">
        <w:rPr>
          <w:rFonts w:ascii="David" w:hAnsi="David" w:cs="David" w:hint="cs"/>
          <w:sz w:val="24"/>
          <w:szCs w:val="24"/>
          <w:rtl/>
        </w:rPr>
        <w:t>(ראו נספח ב1: כללי)</w:t>
      </w:r>
    </w:p>
    <w:p w14:paraId="04E770D1" w14:textId="77777777" w:rsidR="005E4C22" w:rsidRPr="00F25744" w:rsidRDefault="00E25AE7" w:rsidP="00341018">
      <w:pPr>
        <w:numPr>
          <w:ilvl w:val="0"/>
          <w:numId w:val="41"/>
        </w:numPr>
        <w:spacing w:before="120" w:after="0" w:line="240" w:lineRule="auto"/>
        <w:jc w:val="both"/>
        <w:rPr>
          <w:rFonts w:ascii="David" w:hAnsi="David" w:cs="David"/>
          <w:b/>
          <w:bCs/>
          <w:sz w:val="24"/>
          <w:szCs w:val="24"/>
          <w:rtl/>
        </w:rPr>
      </w:pPr>
      <w:r w:rsidRPr="00F25744">
        <w:rPr>
          <w:rFonts w:ascii="David" w:hAnsi="David" w:cs="David" w:hint="cs"/>
          <w:b/>
          <w:bCs/>
          <w:sz w:val="24"/>
          <w:szCs w:val="24"/>
          <w:u w:val="single"/>
          <w:rtl/>
        </w:rPr>
        <w:t>שאלות פתוחות</w:t>
      </w:r>
      <w:r w:rsidRPr="00F25744">
        <w:rPr>
          <w:rFonts w:ascii="David" w:hAnsi="David" w:cs="David" w:hint="cs"/>
          <w:b/>
          <w:bCs/>
          <w:sz w:val="24"/>
          <w:szCs w:val="24"/>
          <w:rtl/>
        </w:rPr>
        <w:t xml:space="preserve"> </w:t>
      </w:r>
      <w:r w:rsidRPr="00F25744">
        <w:rPr>
          <w:rFonts w:ascii="David" w:hAnsi="David" w:cs="David" w:hint="cs"/>
          <w:sz w:val="24"/>
          <w:szCs w:val="24"/>
          <w:rtl/>
        </w:rPr>
        <w:t>(ראו נספח ב1: כללי)</w:t>
      </w:r>
    </w:p>
    <w:p w14:paraId="3DDFAE22" w14:textId="77777777" w:rsidR="005E4C22" w:rsidRPr="00F25744" w:rsidRDefault="005E4C22" w:rsidP="005E4C22">
      <w:pPr>
        <w:spacing w:before="120" w:after="0" w:line="240" w:lineRule="auto"/>
        <w:jc w:val="right"/>
      </w:pPr>
    </w:p>
    <w:p w14:paraId="49282EA2" w14:textId="77777777" w:rsidR="005E4C22" w:rsidRPr="00F25744" w:rsidRDefault="005E4C22" w:rsidP="005E4C22">
      <w:pPr>
        <w:spacing w:before="120" w:after="0" w:line="240" w:lineRule="auto"/>
      </w:pPr>
    </w:p>
    <w:p w14:paraId="2591E65A" w14:textId="77777777" w:rsidR="005E4C22" w:rsidRPr="00F25744" w:rsidRDefault="005E4C22" w:rsidP="005E4C22">
      <w:pPr>
        <w:rPr>
          <w:rtl/>
        </w:rPr>
      </w:pPr>
    </w:p>
    <w:p w14:paraId="693EDAF1" w14:textId="77777777" w:rsidR="005E4C22" w:rsidRPr="00F25744" w:rsidRDefault="005E4C22" w:rsidP="005E4C22">
      <w:pPr>
        <w:rPr>
          <w:rtl/>
        </w:rPr>
      </w:pPr>
    </w:p>
    <w:p w14:paraId="2B623DFF" w14:textId="77777777" w:rsidR="0043255F" w:rsidRPr="00F25744" w:rsidRDefault="0043255F" w:rsidP="005E4C22">
      <w:pPr>
        <w:rPr>
          <w:rtl/>
        </w:rPr>
      </w:pPr>
    </w:p>
    <w:p w14:paraId="72F12F6F" w14:textId="35DB33FE" w:rsidR="00D22BD3" w:rsidRDefault="00D22BD3" w:rsidP="005E4C22">
      <w:pPr>
        <w:rPr>
          <w:rtl/>
        </w:rPr>
      </w:pPr>
    </w:p>
    <w:p w14:paraId="3566558A" w14:textId="47ABE2B0" w:rsidR="00645866" w:rsidRDefault="00645866" w:rsidP="005E4C22">
      <w:pPr>
        <w:rPr>
          <w:rtl/>
        </w:rPr>
      </w:pPr>
    </w:p>
    <w:p w14:paraId="282451D5" w14:textId="77777777" w:rsidR="00645866" w:rsidRPr="00F25744" w:rsidRDefault="00645866" w:rsidP="005E4C22">
      <w:pPr>
        <w:rPr>
          <w:rtl/>
        </w:rPr>
      </w:pPr>
    </w:p>
    <w:p w14:paraId="445568BA" w14:textId="77777777" w:rsidR="00DB5BCC" w:rsidRDefault="00DB5BCC">
      <w:pPr>
        <w:bidi w:val="0"/>
        <w:spacing w:after="0" w:line="240" w:lineRule="auto"/>
        <w:rPr>
          <w:rFonts w:ascii="David" w:hAnsi="David" w:cs="David"/>
          <w:b/>
          <w:bCs/>
          <w:sz w:val="24"/>
          <w:szCs w:val="24"/>
          <w:rtl/>
        </w:rPr>
      </w:pPr>
      <w:bookmarkStart w:id="936" w:name="_Toc46412651"/>
      <w:bookmarkStart w:id="937" w:name="_Toc46416524"/>
      <w:bookmarkStart w:id="938" w:name="_Toc46694217"/>
      <w:bookmarkStart w:id="939" w:name="_Toc49352805"/>
      <w:bookmarkStart w:id="940" w:name="_Toc49429712"/>
      <w:bookmarkStart w:id="941" w:name="_Toc49435941"/>
      <w:bookmarkStart w:id="942" w:name="_Toc74751049"/>
      <w:r>
        <w:rPr>
          <w:rtl/>
        </w:rPr>
        <w:br w:type="page"/>
      </w:r>
    </w:p>
    <w:p w14:paraId="29B5A053" w14:textId="4D580219" w:rsidR="005E4C22" w:rsidRPr="00F25744" w:rsidRDefault="00E25AE7" w:rsidP="00470BAF">
      <w:pPr>
        <w:pStyle w:val="3"/>
        <w:numPr>
          <w:ilvl w:val="0"/>
          <w:numId w:val="0"/>
        </w:numPr>
        <w:rPr>
          <w:rtl/>
        </w:rPr>
      </w:pPr>
      <w:r w:rsidRPr="00F25744">
        <w:rPr>
          <w:rFonts w:hint="cs"/>
          <w:rtl/>
        </w:rPr>
        <w:lastRenderedPageBreak/>
        <w:t>נספח ב7: ערכאת משפחה</w:t>
      </w:r>
      <w:bookmarkEnd w:id="936"/>
      <w:bookmarkEnd w:id="937"/>
      <w:bookmarkEnd w:id="938"/>
      <w:bookmarkEnd w:id="939"/>
      <w:bookmarkEnd w:id="940"/>
      <w:bookmarkEnd w:id="941"/>
      <w:bookmarkEnd w:id="942"/>
    </w:p>
    <w:p w14:paraId="37D45251" w14:textId="77777777" w:rsidR="005E4C22" w:rsidRPr="00F25744" w:rsidRDefault="00E25AE7" w:rsidP="005E4C22">
      <w:pPr>
        <w:spacing w:before="120" w:after="0" w:line="360" w:lineRule="auto"/>
        <w:jc w:val="center"/>
        <w:rPr>
          <w:rFonts w:ascii="David" w:hAnsi="David" w:cs="David"/>
          <w:b/>
          <w:bCs/>
          <w:sz w:val="28"/>
          <w:szCs w:val="28"/>
          <w:u w:val="single"/>
          <w:rtl/>
        </w:rPr>
      </w:pPr>
      <w:r w:rsidRPr="00F25744">
        <w:rPr>
          <w:rFonts w:ascii="David" w:hAnsi="David" w:cs="David" w:hint="cs"/>
          <w:b/>
          <w:bCs/>
          <w:sz w:val="28"/>
          <w:szCs w:val="28"/>
          <w:u w:val="single"/>
          <w:rtl/>
        </w:rPr>
        <w:t xml:space="preserve">שאלון מסכם למחקר עומס העבודה השיפוטית </w:t>
      </w:r>
      <w:r w:rsidRPr="00F25744">
        <w:rPr>
          <w:rFonts w:ascii="David" w:hAnsi="David" w:cs="David"/>
          <w:b/>
          <w:bCs/>
          <w:sz w:val="28"/>
          <w:szCs w:val="28"/>
          <w:u w:val="single"/>
          <w:rtl/>
        </w:rPr>
        <w:t>–</w:t>
      </w:r>
      <w:r w:rsidRPr="00F25744">
        <w:rPr>
          <w:rFonts w:ascii="David" w:hAnsi="David" w:cs="David" w:hint="cs"/>
          <w:b/>
          <w:bCs/>
          <w:sz w:val="28"/>
          <w:szCs w:val="28"/>
          <w:u w:val="single"/>
          <w:rtl/>
        </w:rPr>
        <w:t xml:space="preserve"> ערכאת המשפחה</w:t>
      </w:r>
    </w:p>
    <w:p w14:paraId="6766AFCF" w14:textId="77777777" w:rsidR="005E4C22" w:rsidRPr="00F25744" w:rsidRDefault="00E25AE7" w:rsidP="005E4C22">
      <w:pPr>
        <w:spacing w:before="120" w:after="0" w:line="360" w:lineRule="auto"/>
        <w:jc w:val="both"/>
        <w:rPr>
          <w:rFonts w:ascii="David" w:hAnsi="David" w:cs="David"/>
          <w:sz w:val="24"/>
          <w:szCs w:val="24"/>
          <w:rtl/>
        </w:rPr>
      </w:pPr>
      <w:r w:rsidRPr="00F25744">
        <w:rPr>
          <w:rFonts w:ascii="David" w:hAnsi="David" w:cs="David" w:hint="cs"/>
          <w:sz w:val="24"/>
          <w:szCs w:val="24"/>
          <w:rtl/>
        </w:rPr>
        <w:t>שופט/ת, רשם/מת מכובד/ת,</w:t>
      </w:r>
    </w:p>
    <w:p w14:paraId="697395DA" w14:textId="77777777" w:rsidR="005E4C22" w:rsidRPr="00F25744" w:rsidRDefault="00E25AE7" w:rsidP="005E4C22">
      <w:pPr>
        <w:spacing w:before="120" w:after="0" w:line="360" w:lineRule="auto"/>
        <w:jc w:val="both"/>
        <w:rPr>
          <w:rFonts w:ascii="David" w:hAnsi="David" w:cs="David"/>
          <w:sz w:val="24"/>
          <w:szCs w:val="24"/>
          <w:rtl/>
        </w:rPr>
      </w:pPr>
      <w:r w:rsidRPr="00F25744">
        <w:rPr>
          <w:rFonts w:ascii="David" w:hAnsi="David" w:cs="David" w:hint="cs"/>
          <w:sz w:val="24"/>
          <w:szCs w:val="24"/>
          <w:rtl/>
        </w:rPr>
        <w:t>לפניך שאלון חד פעמי שנועד לתקף ולסכם את מחקר עומס העבודה השיפוטית.</w:t>
      </w:r>
    </w:p>
    <w:p w14:paraId="1248BD7D" w14:textId="77777777" w:rsidR="005E4C22" w:rsidRPr="00F25744" w:rsidRDefault="00E25AE7" w:rsidP="005E4C22">
      <w:pPr>
        <w:spacing w:before="120" w:after="0" w:line="360" w:lineRule="auto"/>
        <w:jc w:val="both"/>
        <w:rPr>
          <w:rFonts w:ascii="David" w:hAnsi="David" w:cs="David"/>
          <w:sz w:val="24"/>
          <w:szCs w:val="24"/>
          <w:rtl/>
        </w:rPr>
      </w:pPr>
      <w:r w:rsidRPr="00F25744">
        <w:rPr>
          <w:rFonts w:ascii="David" w:hAnsi="David" w:cs="David" w:hint="cs"/>
          <w:sz w:val="24"/>
          <w:szCs w:val="24"/>
          <w:rtl/>
        </w:rPr>
        <w:t>המעבר בין המסכים מתבצע על ידי לחיצה על כפתור "הבא".</w:t>
      </w:r>
    </w:p>
    <w:p w14:paraId="0B9A3077" w14:textId="77777777" w:rsidR="005E4C22" w:rsidRPr="00F25744" w:rsidRDefault="00E25AE7" w:rsidP="005E4C22">
      <w:pPr>
        <w:spacing w:before="120" w:after="0" w:line="360" w:lineRule="auto"/>
        <w:jc w:val="both"/>
        <w:rPr>
          <w:rFonts w:ascii="David" w:hAnsi="David" w:cs="David"/>
          <w:sz w:val="24"/>
          <w:szCs w:val="24"/>
          <w:rtl/>
        </w:rPr>
      </w:pPr>
      <w:r w:rsidRPr="00F25744">
        <w:rPr>
          <w:rFonts w:ascii="David" w:hAnsi="David" w:cs="David" w:hint="cs"/>
          <w:sz w:val="24"/>
          <w:szCs w:val="24"/>
          <w:rtl/>
        </w:rPr>
        <w:t>אנא מלא/י את השאלון עד לשליחה הסופית של הנתונים באמצעות כפתור "שלח" וקבלת מסך "אישור".</w:t>
      </w:r>
    </w:p>
    <w:p w14:paraId="354206B8" w14:textId="77777777" w:rsidR="005E4C22" w:rsidRPr="00F25744" w:rsidRDefault="005E4C22" w:rsidP="005E4C22">
      <w:pPr>
        <w:spacing w:before="120" w:after="0" w:line="240" w:lineRule="auto"/>
        <w:jc w:val="both"/>
        <w:rPr>
          <w:rFonts w:ascii="David" w:hAnsi="David" w:cs="David"/>
          <w:sz w:val="24"/>
          <w:szCs w:val="24"/>
          <w:rtl/>
        </w:rPr>
      </w:pPr>
    </w:p>
    <w:p w14:paraId="4108913E" w14:textId="77777777" w:rsidR="005E4C22" w:rsidRPr="00F25744" w:rsidRDefault="00E25AE7" w:rsidP="005E4C22">
      <w:pPr>
        <w:spacing w:before="120" w:after="0" w:line="240" w:lineRule="auto"/>
        <w:rPr>
          <w:rFonts w:ascii="David" w:hAnsi="David" w:cs="David"/>
          <w:sz w:val="24"/>
          <w:szCs w:val="24"/>
          <w:rtl/>
        </w:rPr>
      </w:pPr>
      <w:r w:rsidRPr="00F25744">
        <w:rPr>
          <w:rFonts w:ascii="David" w:hAnsi="David" w:cs="David" w:hint="cs"/>
          <w:b/>
          <w:bCs/>
          <w:sz w:val="24"/>
          <w:szCs w:val="24"/>
          <w:rtl/>
        </w:rPr>
        <w:t xml:space="preserve">מחוז: .................. </w:t>
      </w:r>
      <w:r w:rsidRPr="00F25744">
        <w:rPr>
          <w:rFonts w:ascii="David" w:hAnsi="David" w:cs="David" w:hint="cs"/>
          <w:sz w:val="24"/>
          <w:szCs w:val="24"/>
          <w:rtl/>
        </w:rPr>
        <w:t>(צפון/ חיפה/ מרכז/ תל אביב/ ירושלים/ דרום)</w:t>
      </w:r>
    </w:p>
    <w:p w14:paraId="00B8CD8C" w14:textId="77777777" w:rsidR="005E4C22" w:rsidRPr="00F25744" w:rsidRDefault="005E4C22" w:rsidP="005E4C22">
      <w:pPr>
        <w:spacing w:before="120" w:after="0" w:line="240" w:lineRule="auto"/>
        <w:jc w:val="both"/>
        <w:rPr>
          <w:rFonts w:ascii="David" w:hAnsi="David" w:cs="David"/>
          <w:b/>
          <w:bCs/>
          <w:sz w:val="24"/>
          <w:szCs w:val="24"/>
          <w:rtl/>
        </w:rPr>
      </w:pPr>
    </w:p>
    <w:p w14:paraId="4CB2150D" w14:textId="77777777" w:rsidR="005E4C22" w:rsidRPr="00F25744" w:rsidRDefault="00E25AE7" w:rsidP="00341018">
      <w:pPr>
        <w:numPr>
          <w:ilvl w:val="0"/>
          <w:numId w:val="42"/>
        </w:numPr>
        <w:spacing w:before="120" w:after="0" w:line="240" w:lineRule="auto"/>
        <w:jc w:val="both"/>
        <w:rPr>
          <w:rFonts w:ascii="David" w:hAnsi="David" w:cs="David"/>
          <w:b/>
          <w:bCs/>
          <w:sz w:val="24"/>
          <w:szCs w:val="24"/>
          <w:u w:val="single"/>
          <w:rtl/>
        </w:rPr>
      </w:pPr>
      <w:r w:rsidRPr="00F25744">
        <w:rPr>
          <w:rFonts w:ascii="David" w:hAnsi="David" w:cs="David" w:hint="cs"/>
          <w:b/>
          <w:bCs/>
          <w:sz w:val="24"/>
          <w:szCs w:val="24"/>
          <w:u w:val="single"/>
          <w:rtl/>
        </w:rPr>
        <w:t>דירוג סוגי התיקים</w:t>
      </w:r>
    </w:p>
    <w:p w14:paraId="66DE7F78" w14:textId="77777777" w:rsidR="005E4C22" w:rsidRPr="00F25744" w:rsidRDefault="00E25AE7" w:rsidP="00341018">
      <w:pPr>
        <w:numPr>
          <w:ilvl w:val="1"/>
          <w:numId w:val="42"/>
        </w:numPr>
        <w:spacing w:before="120" w:after="0" w:line="360" w:lineRule="auto"/>
        <w:jc w:val="both"/>
        <w:rPr>
          <w:rFonts w:ascii="David" w:hAnsi="David" w:cs="David"/>
          <w:b/>
          <w:bCs/>
          <w:sz w:val="24"/>
          <w:szCs w:val="24"/>
        </w:rPr>
      </w:pPr>
      <w:r w:rsidRPr="00F25744">
        <w:rPr>
          <w:rFonts w:ascii="David" w:hAnsi="David" w:cs="David" w:hint="cs"/>
          <w:sz w:val="24"/>
          <w:szCs w:val="24"/>
          <w:rtl/>
        </w:rPr>
        <w:t>לפניך רשימה עדכנית של 12 סוגי תיקים של ערכאת המשפחה, אשר מהווים יחד למעלה מ-99% מכלל תיקי המשפחה אשר נסגרו בשנת 2019, ואשר בין היתר ב</w:t>
      </w:r>
      <w:r w:rsidRPr="00F25744">
        <w:rPr>
          <w:rFonts w:ascii="David" w:hAnsi="David" w:cs="David"/>
          <w:sz w:val="24"/>
          <w:szCs w:val="24"/>
          <w:rtl/>
        </w:rPr>
        <w:t>עזרת תשובותיך לשאלון זה, נוכל לתת להם משקל מדויק במסגרת המחקר הנוכחי:</w:t>
      </w:r>
    </w:p>
    <w:p w14:paraId="00CD0B8B" w14:textId="77777777" w:rsidR="005E4C22" w:rsidRPr="00F25744" w:rsidRDefault="00E25AE7" w:rsidP="005E4C22">
      <w:pPr>
        <w:spacing w:before="120" w:after="0" w:line="360" w:lineRule="auto"/>
        <w:ind w:left="935"/>
        <w:jc w:val="both"/>
        <w:rPr>
          <w:rFonts w:ascii="David" w:hAnsi="David" w:cs="David"/>
          <w:b/>
          <w:bCs/>
          <w:sz w:val="24"/>
          <w:szCs w:val="24"/>
        </w:rPr>
      </w:pPr>
      <w:r w:rsidRPr="00F25744">
        <w:rPr>
          <w:rFonts w:ascii="David" w:hAnsi="David" w:cs="David" w:hint="cs"/>
          <w:b/>
          <w:bCs/>
          <w:sz w:val="24"/>
          <w:szCs w:val="24"/>
          <w:rtl/>
        </w:rPr>
        <w:t>א"פ; י"ס; תלה"מ; תמ"ש; ה"ט; תה"ס; ת"ע; תה"ן; אמ"ץ; ע"ר; תנ"ז; ה"נ</w:t>
      </w:r>
    </w:p>
    <w:p w14:paraId="55408B04" w14:textId="77777777" w:rsidR="005E4C22" w:rsidRPr="00F25744" w:rsidRDefault="00E25AE7" w:rsidP="005E4C22">
      <w:pPr>
        <w:spacing w:before="120" w:after="0" w:line="360" w:lineRule="auto"/>
        <w:ind w:left="935"/>
        <w:jc w:val="both"/>
        <w:rPr>
          <w:rFonts w:ascii="David" w:hAnsi="David" w:cs="David"/>
          <w:sz w:val="24"/>
          <w:szCs w:val="24"/>
          <w:rtl/>
        </w:rPr>
      </w:pPr>
      <w:r w:rsidRPr="00F25744">
        <w:rPr>
          <w:rFonts w:ascii="David" w:hAnsi="David" w:cs="David" w:hint="cs"/>
          <w:sz w:val="24"/>
          <w:szCs w:val="24"/>
          <w:rtl/>
        </w:rPr>
        <w:t xml:space="preserve">אנא סמן/סמני </w:t>
      </w:r>
      <w:r w:rsidRPr="00F25744">
        <w:rPr>
          <w:rFonts w:ascii="David" w:hAnsi="David" w:cs="David" w:hint="cs"/>
          <w:sz w:val="24"/>
          <w:szCs w:val="24"/>
        </w:rPr>
        <w:t>V</w:t>
      </w:r>
      <w:r w:rsidRPr="00F25744">
        <w:rPr>
          <w:rFonts w:ascii="David" w:hAnsi="David" w:cs="David" w:hint="cs"/>
          <w:sz w:val="24"/>
          <w:szCs w:val="24"/>
          <w:rtl/>
        </w:rPr>
        <w:t xml:space="preserve"> לצד כל סוגי התיקים </w:t>
      </w:r>
      <w:r w:rsidRPr="00F25744">
        <w:rPr>
          <w:rFonts w:ascii="David" w:hAnsi="David" w:cs="David" w:hint="cs"/>
          <w:b/>
          <w:bCs/>
          <w:sz w:val="24"/>
          <w:szCs w:val="24"/>
          <w:rtl/>
        </w:rPr>
        <w:t>שבהם טיפלת</w:t>
      </w:r>
      <w:r w:rsidRPr="00F25744">
        <w:rPr>
          <w:rFonts w:ascii="David" w:hAnsi="David" w:cs="David" w:hint="cs"/>
          <w:sz w:val="24"/>
          <w:szCs w:val="24"/>
          <w:rtl/>
        </w:rPr>
        <w:t xml:space="preserve"> במהלך השנתיים האחרונות. </w:t>
      </w:r>
      <w:r w:rsidRPr="00F25744">
        <w:rPr>
          <w:rFonts w:ascii="David" w:hAnsi="David" w:cs="David"/>
          <w:sz w:val="24"/>
          <w:szCs w:val="24"/>
          <w:rtl/>
        </w:rPr>
        <w:t xml:space="preserve"> </w:t>
      </w:r>
    </w:p>
    <w:p w14:paraId="28220926" w14:textId="77777777" w:rsidR="005E4C22" w:rsidRPr="00F25744" w:rsidRDefault="00E25AE7" w:rsidP="00341018">
      <w:pPr>
        <w:numPr>
          <w:ilvl w:val="1"/>
          <w:numId w:val="42"/>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ברשימה הימנית שלפניך מופיעים סוגי התיקים שבהם בחרת בשאלה הקודמת. </w:t>
      </w:r>
    </w:p>
    <w:p w14:paraId="3CC5BCF0" w14:textId="77777777" w:rsidR="005E4C22" w:rsidRPr="00F25744" w:rsidRDefault="00E25AE7" w:rsidP="005E4C22">
      <w:pPr>
        <w:spacing w:before="120" w:after="0" w:line="360" w:lineRule="auto"/>
        <w:ind w:left="935"/>
        <w:jc w:val="both"/>
        <w:rPr>
          <w:rFonts w:ascii="David" w:hAnsi="David" w:cs="David"/>
          <w:sz w:val="24"/>
          <w:szCs w:val="24"/>
          <w:rtl/>
        </w:rPr>
      </w:pPr>
      <w:r w:rsidRPr="00F25744">
        <w:rPr>
          <w:rFonts w:ascii="David" w:hAnsi="David" w:cs="David" w:hint="cs"/>
          <w:sz w:val="24"/>
          <w:szCs w:val="24"/>
          <w:rtl/>
        </w:rPr>
        <w:t xml:space="preserve">על מנת לתקף את ממצאי המחקר, נבקשך לסדר את סוגי התיקים שבטיפולך </w:t>
      </w:r>
      <w:r w:rsidRPr="00F25744">
        <w:rPr>
          <w:rFonts w:ascii="David" w:hAnsi="David" w:cs="David" w:hint="cs"/>
          <w:b/>
          <w:bCs/>
          <w:sz w:val="24"/>
          <w:szCs w:val="24"/>
          <w:rtl/>
        </w:rPr>
        <w:t>מן הכבד אל הקל</w:t>
      </w:r>
      <w:r w:rsidRPr="00F25744">
        <w:rPr>
          <w:rFonts w:ascii="David" w:hAnsi="David" w:cs="David" w:hint="cs"/>
          <w:sz w:val="24"/>
          <w:szCs w:val="24"/>
          <w:rtl/>
        </w:rPr>
        <w:t xml:space="preserve">. לשם כך עליך לבחור את סוגי התיקים מן הרשימה שבצד ימין </w:t>
      </w:r>
      <w:r w:rsidRPr="00F25744">
        <w:rPr>
          <w:rFonts w:ascii="David" w:hAnsi="David" w:cs="David" w:hint="cs"/>
          <w:b/>
          <w:bCs/>
          <w:sz w:val="24"/>
          <w:szCs w:val="24"/>
          <w:rtl/>
        </w:rPr>
        <w:t>ולגרור</w:t>
      </w:r>
      <w:r w:rsidRPr="00F25744">
        <w:rPr>
          <w:rFonts w:ascii="David" w:hAnsi="David" w:cs="David" w:hint="cs"/>
          <w:sz w:val="24"/>
          <w:szCs w:val="24"/>
          <w:rtl/>
        </w:rPr>
        <w:t xml:space="preserve"> אותם לרשימה הריקה שבצד שמאל. בראש הרשימה השמאלית יש למקם את סוג התיק שלדעתך מצריך את זמן העבודה </w:t>
      </w:r>
      <w:r w:rsidRPr="00F25744">
        <w:rPr>
          <w:rFonts w:ascii="David" w:hAnsi="David" w:cs="David" w:hint="cs"/>
          <w:b/>
          <w:bCs/>
          <w:sz w:val="24"/>
          <w:szCs w:val="24"/>
          <w:rtl/>
        </w:rPr>
        <w:t>הארוך</w:t>
      </w:r>
      <w:r w:rsidRPr="00F25744">
        <w:rPr>
          <w:rFonts w:ascii="David" w:hAnsi="David" w:cs="David" w:hint="cs"/>
          <w:sz w:val="24"/>
          <w:szCs w:val="24"/>
          <w:rtl/>
        </w:rPr>
        <w:t xml:space="preserve"> ביותר עד לסיום הטיפול בו, ולאחר מכן יש למקם בסדר יורד את יתר סוגי התיקים, אשר ביחס לסוג התיק הראשון מצריכים ממך פחות זמן עד לסיום הטיפול בהם. </w:t>
      </w:r>
    </w:p>
    <w:p w14:paraId="08EE1DA1" w14:textId="77777777" w:rsidR="005E4C22" w:rsidRPr="00F25744" w:rsidRDefault="005E4C22" w:rsidP="005E4C22">
      <w:pPr>
        <w:spacing w:before="120" w:after="0" w:line="240" w:lineRule="auto"/>
        <w:jc w:val="both"/>
        <w:rPr>
          <w:rFonts w:ascii="David" w:hAnsi="David"/>
          <w:sz w:val="24"/>
        </w:rPr>
      </w:pPr>
    </w:p>
    <w:p w14:paraId="31F3662E" w14:textId="77777777" w:rsidR="005E4C22" w:rsidRPr="00F25744" w:rsidRDefault="00E25AE7" w:rsidP="00341018">
      <w:pPr>
        <w:numPr>
          <w:ilvl w:val="0"/>
          <w:numId w:val="42"/>
        </w:numPr>
        <w:spacing w:before="120" w:after="0" w:line="240" w:lineRule="auto"/>
        <w:jc w:val="both"/>
        <w:rPr>
          <w:rFonts w:ascii="David" w:hAnsi="David" w:cs="David"/>
          <w:b/>
          <w:bCs/>
          <w:sz w:val="24"/>
          <w:szCs w:val="24"/>
          <w:u w:val="single"/>
        </w:rPr>
      </w:pPr>
      <w:r w:rsidRPr="00F25744">
        <w:rPr>
          <w:rFonts w:ascii="David" w:hAnsi="David" w:cs="David" w:hint="cs"/>
          <w:b/>
          <w:bCs/>
          <w:sz w:val="24"/>
          <w:szCs w:val="24"/>
          <w:u w:val="single"/>
          <w:rtl/>
        </w:rPr>
        <w:t>שאלות כלליות</w:t>
      </w:r>
    </w:p>
    <w:p w14:paraId="61A3D17E"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כמה זמן בממוצע לוקח לך להערכתך לכתוב </w:t>
      </w:r>
      <w:r w:rsidRPr="00F25744">
        <w:rPr>
          <w:rFonts w:ascii="David" w:hAnsi="David" w:cs="David"/>
          <w:b/>
          <w:bCs/>
          <w:sz w:val="24"/>
          <w:szCs w:val="24"/>
          <w:rtl/>
        </w:rPr>
        <w:t>עמוד אחד של פס"ד</w:t>
      </w:r>
      <w:r w:rsidRPr="00F25744">
        <w:rPr>
          <w:rFonts w:ascii="David" w:hAnsi="David" w:cs="David"/>
          <w:sz w:val="24"/>
          <w:szCs w:val="24"/>
          <w:rtl/>
        </w:rPr>
        <w:t xml:space="preserve"> ש</w:t>
      </w:r>
      <w:r w:rsidRPr="00F25744">
        <w:rPr>
          <w:rFonts w:ascii="David" w:hAnsi="David" w:cs="David" w:hint="cs"/>
          <w:sz w:val="24"/>
          <w:szCs w:val="24"/>
          <w:rtl/>
        </w:rPr>
        <w:t xml:space="preserve">נותן </w:t>
      </w:r>
      <w:r w:rsidRPr="00F25744">
        <w:rPr>
          <w:rFonts w:ascii="David" w:hAnsi="David" w:cs="David" w:hint="cs"/>
          <w:b/>
          <w:bCs/>
          <w:sz w:val="24"/>
          <w:szCs w:val="24"/>
          <w:rtl/>
        </w:rPr>
        <w:t>תוקף להסכמות הצדדים</w:t>
      </w:r>
      <w:r w:rsidRPr="00F25744">
        <w:rPr>
          <w:rFonts w:ascii="David" w:hAnsi="David" w:cs="David" w:hint="cs"/>
          <w:sz w:val="24"/>
          <w:szCs w:val="24"/>
          <w:rtl/>
        </w:rPr>
        <w:t xml:space="preserve">/ </w:t>
      </w:r>
      <w:r w:rsidRPr="00F25744">
        <w:rPr>
          <w:rFonts w:ascii="David" w:hAnsi="David" w:cs="David"/>
          <w:sz w:val="24"/>
          <w:szCs w:val="24"/>
          <w:rtl/>
        </w:rPr>
        <w:t>נדחה נמחק לבקשת צד/עיכוב או מיצוי הליכים</w:t>
      </w:r>
      <w:r w:rsidRPr="00F25744">
        <w:rPr>
          <w:rFonts w:ascii="David" w:hAnsi="David" w:cs="David" w:hint="cs"/>
          <w:sz w:val="24"/>
          <w:szCs w:val="24"/>
          <w:rtl/>
        </w:rPr>
        <w:t xml:space="preserve"> (שניתן מחוץ לאולם), בכל אחד מסוגי התיקים שסימנת?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15-20</w:t>
      </w:r>
      <w:r w:rsidRPr="00F25744">
        <w:rPr>
          <w:rFonts w:ascii="David" w:hAnsi="David" w:cs="David" w:hint="cs"/>
          <w:sz w:val="24"/>
          <w:szCs w:val="24"/>
          <w:rtl/>
        </w:rPr>
        <w:t xml:space="preserve"> דקות, מעל 20 דקות/ לא רלבנטי לסוג התיק]</w:t>
      </w:r>
    </w:p>
    <w:p w14:paraId="64A8C65B"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כמה זמן בממוצע לוקח לך להערכתך לכתוב </w:t>
      </w:r>
      <w:r w:rsidRPr="00F25744">
        <w:rPr>
          <w:rFonts w:ascii="David" w:hAnsi="David" w:cs="David"/>
          <w:b/>
          <w:bCs/>
          <w:sz w:val="24"/>
          <w:szCs w:val="24"/>
          <w:rtl/>
        </w:rPr>
        <w:t>עמוד אחד של פס"ד</w:t>
      </w:r>
      <w:r w:rsidRPr="00F25744">
        <w:rPr>
          <w:rFonts w:ascii="David" w:hAnsi="David" w:cs="David"/>
          <w:sz w:val="24"/>
          <w:szCs w:val="24"/>
          <w:rtl/>
        </w:rPr>
        <w:t xml:space="preserve"> ש</w:t>
      </w:r>
      <w:r w:rsidRPr="00F25744">
        <w:rPr>
          <w:rFonts w:ascii="David" w:hAnsi="David" w:cs="David" w:hint="cs"/>
          <w:sz w:val="24"/>
          <w:szCs w:val="24"/>
          <w:rtl/>
        </w:rPr>
        <w:t xml:space="preserve">ניתן מחמת </w:t>
      </w:r>
      <w:r w:rsidRPr="00F25744">
        <w:rPr>
          <w:rFonts w:ascii="David" w:hAnsi="David" w:cs="David" w:hint="cs"/>
          <w:b/>
          <w:bCs/>
          <w:sz w:val="24"/>
          <w:szCs w:val="24"/>
          <w:rtl/>
        </w:rPr>
        <w:t>חו</w:t>
      </w:r>
      <w:r w:rsidRPr="00F25744">
        <w:rPr>
          <w:rFonts w:ascii="David" w:hAnsi="David" w:cs="David"/>
          <w:b/>
          <w:bCs/>
          <w:sz w:val="24"/>
          <w:szCs w:val="24"/>
          <w:rtl/>
        </w:rPr>
        <w:t>סר מעש</w:t>
      </w:r>
      <w:r w:rsidRPr="00F25744">
        <w:rPr>
          <w:rFonts w:ascii="David" w:hAnsi="David" w:cs="David"/>
          <w:sz w:val="24"/>
          <w:szCs w:val="24"/>
          <w:rtl/>
        </w:rPr>
        <w:t>/ אי תשלום</w:t>
      </w:r>
      <w:r w:rsidRPr="00F25744">
        <w:rPr>
          <w:rFonts w:ascii="David" w:hAnsi="David" w:cs="David" w:hint="cs"/>
          <w:sz w:val="24"/>
          <w:szCs w:val="24"/>
          <w:rtl/>
        </w:rPr>
        <w:t xml:space="preserve"> בכל אחד מסוגי התיקים שסימנת?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15-20</w:t>
      </w:r>
      <w:r w:rsidRPr="00F25744">
        <w:rPr>
          <w:rFonts w:ascii="David" w:hAnsi="David" w:cs="David" w:hint="cs"/>
          <w:sz w:val="24"/>
          <w:szCs w:val="24"/>
          <w:rtl/>
        </w:rPr>
        <w:t xml:space="preserve"> דקות, מעל 20 דקות/ לא רלבנטי לסוג התיק]</w:t>
      </w:r>
    </w:p>
    <w:p w14:paraId="39CE8D5E"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sz w:val="24"/>
          <w:szCs w:val="24"/>
          <w:rtl/>
        </w:rPr>
        <w:lastRenderedPageBreak/>
        <w:t xml:space="preserve">כמה </w:t>
      </w:r>
      <w:r w:rsidRPr="00F25744">
        <w:rPr>
          <w:rFonts w:ascii="David" w:hAnsi="David" w:cs="David" w:hint="cs"/>
          <w:sz w:val="24"/>
          <w:szCs w:val="24"/>
          <w:rtl/>
        </w:rPr>
        <w:t>זמן</w:t>
      </w:r>
      <w:r w:rsidRPr="00F25744">
        <w:rPr>
          <w:rFonts w:ascii="David" w:hAnsi="David" w:cs="David"/>
          <w:sz w:val="24"/>
          <w:szCs w:val="24"/>
          <w:rtl/>
        </w:rPr>
        <w:t xml:space="preserve"> </w:t>
      </w:r>
      <w:r w:rsidRPr="00F25744">
        <w:rPr>
          <w:rFonts w:ascii="David" w:hAnsi="David" w:cs="David" w:hint="cs"/>
          <w:sz w:val="24"/>
          <w:szCs w:val="24"/>
          <w:rtl/>
        </w:rPr>
        <w:t xml:space="preserve">בממוצע </w:t>
      </w:r>
      <w:r w:rsidRPr="00F25744">
        <w:rPr>
          <w:rFonts w:ascii="David" w:hAnsi="David" w:cs="David"/>
          <w:sz w:val="24"/>
          <w:szCs w:val="24"/>
          <w:rtl/>
        </w:rPr>
        <w:t xml:space="preserve">לוקח לך </w:t>
      </w:r>
      <w:r w:rsidRPr="00F25744">
        <w:rPr>
          <w:rFonts w:ascii="David" w:hAnsi="David" w:cs="David" w:hint="cs"/>
          <w:sz w:val="24"/>
          <w:szCs w:val="24"/>
          <w:rtl/>
        </w:rPr>
        <w:t xml:space="preserve">להערכתך </w:t>
      </w:r>
      <w:r w:rsidRPr="00F25744">
        <w:rPr>
          <w:rFonts w:ascii="David" w:hAnsi="David" w:cs="David"/>
          <w:sz w:val="24"/>
          <w:szCs w:val="24"/>
          <w:rtl/>
        </w:rPr>
        <w:t xml:space="preserve">לכתוב </w:t>
      </w:r>
      <w:r w:rsidRPr="00F25744">
        <w:rPr>
          <w:rFonts w:ascii="David" w:hAnsi="David" w:cs="David"/>
          <w:b/>
          <w:bCs/>
          <w:sz w:val="24"/>
          <w:szCs w:val="24"/>
          <w:rtl/>
        </w:rPr>
        <w:t>פתקית</w:t>
      </w:r>
      <w:r w:rsidRPr="00F25744">
        <w:rPr>
          <w:rFonts w:ascii="David" w:hAnsi="David" w:cs="David"/>
          <w:sz w:val="24"/>
          <w:szCs w:val="24"/>
          <w:rtl/>
        </w:rPr>
        <w:t xml:space="preserve"> (מנומקת או לא)</w:t>
      </w:r>
      <w:r w:rsidRPr="00F25744">
        <w:rPr>
          <w:rFonts w:ascii="David" w:hAnsi="David" w:cs="David" w:hint="cs"/>
          <w:sz w:val="24"/>
          <w:szCs w:val="24"/>
          <w:rtl/>
        </w:rPr>
        <w:t xml:space="preserve"> בכל אחד מסוגי התיקים שסימנת?</w:t>
      </w:r>
      <w:r w:rsidRPr="00F25744">
        <w:rPr>
          <w:rFonts w:ascii="David" w:hAnsi="David" w:cs="David"/>
          <w:sz w:val="24"/>
          <w:szCs w:val="24"/>
          <w:rtl/>
        </w:rPr>
        <w:t xml:space="preserve"> [עד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15-20</w:t>
      </w:r>
      <w:r w:rsidRPr="00F25744">
        <w:rPr>
          <w:rFonts w:ascii="David" w:hAnsi="David" w:cs="David" w:hint="cs"/>
          <w:sz w:val="24"/>
          <w:szCs w:val="24"/>
          <w:rtl/>
        </w:rPr>
        <w:t xml:space="preserve"> דקות, מעל 20 דקות/ לא רלבנטי לסוג התיק]</w:t>
      </w:r>
    </w:p>
    <w:p w14:paraId="44120FBD" w14:textId="77777777" w:rsidR="005E4C22" w:rsidRPr="00F25744" w:rsidRDefault="005E4C22" w:rsidP="005E4C22">
      <w:pPr>
        <w:spacing w:before="120" w:after="0" w:line="240" w:lineRule="auto"/>
        <w:ind w:left="728"/>
        <w:jc w:val="both"/>
        <w:rPr>
          <w:rFonts w:ascii="David" w:hAnsi="David" w:cs="David"/>
          <w:sz w:val="24"/>
          <w:szCs w:val="24"/>
        </w:rPr>
      </w:pPr>
    </w:p>
    <w:p w14:paraId="03F28F2B" w14:textId="77777777" w:rsidR="005E4C22" w:rsidRPr="00F25744" w:rsidRDefault="00E25AE7" w:rsidP="00341018">
      <w:pPr>
        <w:numPr>
          <w:ilvl w:val="0"/>
          <w:numId w:val="42"/>
        </w:numPr>
        <w:spacing w:before="120" w:after="0" w:line="240" w:lineRule="auto"/>
        <w:jc w:val="both"/>
        <w:rPr>
          <w:rFonts w:ascii="David" w:hAnsi="David" w:cs="David"/>
          <w:b/>
          <w:bCs/>
          <w:sz w:val="24"/>
          <w:szCs w:val="24"/>
          <w:u w:val="single"/>
          <w:rtl/>
        </w:rPr>
      </w:pPr>
      <w:r w:rsidRPr="00F25744">
        <w:rPr>
          <w:rFonts w:ascii="David" w:hAnsi="David" w:cs="David" w:hint="cs"/>
          <w:b/>
          <w:bCs/>
          <w:sz w:val="24"/>
          <w:szCs w:val="24"/>
          <w:u w:val="single"/>
          <w:rtl/>
        </w:rPr>
        <w:t>שאלות ספציפיות בחלק מסוגי התיקים שסומנו</w:t>
      </w:r>
    </w:p>
    <w:p w14:paraId="0B6B1F5E" w14:textId="77777777" w:rsidR="005E4C22" w:rsidRPr="00F25744" w:rsidRDefault="00E25AE7" w:rsidP="005E4C22">
      <w:pPr>
        <w:spacing w:before="120" w:after="0" w:line="360" w:lineRule="auto"/>
        <w:ind w:left="360"/>
        <w:jc w:val="both"/>
        <w:rPr>
          <w:rFonts w:ascii="David" w:hAnsi="David" w:cs="David"/>
          <w:b/>
          <w:bCs/>
          <w:sz w:val="24"/>
          <w:szCs w:val="24"/>
          <w:rtl/>
        </w:rPr>
      </w:pPr>
      <w:r w:rsidRPr="00F25744">
        <w:rPr>
          <w:rFonts w:ascii="David" w:hAnsi="David" w:cs="David" w:hint="cs"/>
          <w:b/>
          <w:bCs/>
          <w:sz w:val="24"/>
          <w:szCs w:val="24"/>
          <w:rtl/>
        </w:rPr>
        <w:t>בפרק זה של השאלון נבקש לברר, על דרך ההערכה, את זמניהם או אורכם של אירועים מסוימים בחלק מהתיקים שסימנתם, אשר לגביהם לא נאספו די נתונים במהלך תקופת המחקר. על מנת בכל זאת לתת משקל לכמה שיותר סוגי תיקים, במיוחד סוגי התיקים שאותם ביקשו נשיאי ושופטי ערכאת המשפחה כי נמדוד חרף נדירותם, נבקש את סיועכם במענה על השאלות הבאות:</w:t>
      </w:r>
    </w:p>
    <w:p w14:paraId="279F1C36" w14:textId="77777777" w:rsidR="005E4C22" w:rsidRPr="00F25744" w:rsidRDefault="00E25AE7" w:rsidP="00341018">
      <w:pPr>
        <w:pStyle w:val="a3"/>
        <w:numPr>
          <w:ilvl w:val="1"/>
          <w:numId w:val="42"/>
        </w:numPr>
        <w:bidi/>
        <w:spacing w:before="120" w:after="0" w:line="360" w:lineRule="auto"/>
        <w:ind w:left="793" w:hanging="425"/>
        <w:rPr>
          <w:rFonts w:ascii="David" w:hAnsi="David" w:cs="David"/>
          <w:sz w:val="24"/>
          <w:szCs w:val="24"/>
        </w:rPr>
      </w:pPr>
      <w:r w:rsidRPr="00F25744">
        <w:rPr>
          <w:rFonts w:ascii="David" w:hAnsi="David" w:cs="David" w:hint="cs"/>
          <w:b/>
          <w:bCs/>
          <w:sz w:val="24"/>
          <w:szCs w:val="24"/>
          <w:rtl/>
        </w:rPr>
        <w:t>תיקי אמ"ץ</w:t>
      </w:r>
      <w:r w:rsidRPr="00F25744">
        <w:rPr>
          <w:rFonts w:ascii="David" w:hAnsi="David" w:cs="David" w:hint="cs"/>
          <w:sz w:val="24"/>
          <w:szCs w:val="24"/>
          <w:rtl/>
        </w:rPr>
        <w:t xml:space="preserve"> </w:t>
      </w:r>
      <w:r w:rsidRPr="00F25744">
        <w:rPr>
          <w:rFonts w:ascii="David" w:hAnsi="David" w:cs="David"/>
          <w:sz w:val="24"/>
          <w:szCs w:val="24"/>
          <w:rtl/>
        </w:rPr>
        <w:t>–</w:t>
      </w:r>
      <w:r w:rsidRPr="00F25744">
        <w:rPr>
          <w:rFonts w:ascii="David" w:hAnsi="David" w:cs="David" w:hint="cs"/>
          <w:sz w:val="24"/>
          <w:szCs w:val="24"/>
          <w:rtl/>
        </w:rPr>
        <w:t xml:space="preserve"> מכיוון שתיקים מסוג אמ"ץ חסויים ואינם מתנהלים בנט המשפט אלא בתיק נייר בלבד, חסרים למחלקת המחקר נתוני מחשב עליהם. על מנת שנוכל בכל זאת לתת משקל לתיקים מסוג זה, לבקשת שופטים רבים מערכאת המשפחה, נודה לכם אם תוכלו לסמן את הערכתכם לגבי הנתונים הבאים:</w:t>
      </w:r>
    </w:p>
    <w:p w14:paraId="1E0A0CE6" w14:textId="77777777" w:rsidR="005E4C22" w:rsidRPr="00F25744" w:rsidRDefault="00E25AE7" w:rsidP="00341018">
      <w:pPr>
        <w:pStyle w:val="a3"/>
        <w:numPr>
          <w:ilvl w:val="0"/>
          <w:numId w:val="30"/>
        </w:numPr>
        <w:bidi/>
        <w:spacing w:before="120" w:after="0" w:line="360" w:lineRule="auto"/>
        <w:ind w:left="1218" w:hanging="425"/>
        <w:rPr>
          <w:rFonts w:ascii="David" w:hAnsi="David" w:cs="David"/>
          <w:sz w:val="24"/>
          <w:szCs w:val="24"/>
        </w:rPr>
      </w:pPr>
      <w:r w:rsidRPr="00F25744">
        <w:rPr>
          <w:rFonts w:ascii="David" w:hAnsi="David" w:cs="David" w:hint="cs"/>
          <w:sz w:val="24"/>
          <w:szCs w:val="24"/>
          <w:rtl/>
        </w:rPr>
        <w:t xml:space="preserve">להערכתך, כמה דיונים </w:t>
      </w:r>
      <w:r w:rsidRPr="00F25744">
        <w:rPr>
          <w:rFonts w:ascii="David" w:hAnsi="David" w:cs="David" w:hint="cs"/>
          <w:b/>
          <w:bCs/>
          <w:sz w:val="24"/>
          <w:szCs w:val="24"/>
          <w:rtl/>
        </w:rPr>
        <w:t>שאינם</w:t>
      </w:r>
      <w:r w:rsidRPr="00F25744">
        <w:rPr>
          <w:rFonts w:ascii="David" w:hAnsi="David" w:cs="David" w:hint="cs"/>
          <w:sz w:val="24"/>
          <w:szCs w:val="24"/>
          <w:rtl/>
        </w:rPr>
        <w:t xml:space="preserve"> הוכחות (לרבות דיון קד"מ, דיון בבקשה וכדומה) מתקיימים בתיק אמ"ץ ממוצע? (אין, דיון 1, 2 דיונים, 3 דיונים, אם יותר מ-3 דיונים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029D9FC3" w14:textId="77777777" w:rsidR="005E4C22" w:rsidRPr="00F25744" w:rsidRDefault="00E25AE7" w:rsidP="00341018">
      <w:pPr>
        <w:pStyle w:val="a3"/>
        <w:numPr>
          <w:ilvl w:val="0"/>
          <w:numId w:val="30"/>
        </w:numPr>
        <w:bidi/>
        <w:spacing w:before="120" w:after="0" w:line="360" w:lineRule="auto"/>
        <w:ind w:left="1218" w:hanging="425"/>
        <w:rPr>
          <w:rFonts w:ascii="David" w:hAnsi="David" w:cs="David"/>
          <w:sz w:val="24"/>
          <w:szCs w:val="24"/>
        </w:rPr>
      </w:pPr>
      <w:r w:rsidRPr="00F25744">
        <w:rPr>
          <w:rFonts w:ascii="David" w:hAnsi="David" w:cs="David" w:hint="cs"/>
          <w:sz w:val="24"/>
          <w:szCs w:val="24"/>
          <w:rtl/>
        </w:rPr>
        <w:t xml:space="preserve">להערכתך, כמה דיונים מסוג </w:t>
      </w:r>
      <w:r w:rsidRPr="00F25744">
        <w:rPr>
          <w:rFonts w:ascii="David" w:hAnsi="David" w:cs="David" w:hint="cs"/>
          <w:b/>
          <w:bCs/>
          <w:sz w:val="24"/>
          <w:szCs w:val="24"/>
          <w:rtl/>
        </w:rPr>
        <w:t>הוכחות</w:t>
      </w:r>
      <w:r w:rsidRPr="00F25744">
        <w:rPr>
          <w:rFonts w:ascii="David" w:hAnsi="David" w:cs="David" w:hint="cs"/>
          <w:sz w:val="24"/>
          <w:szCs w:val="24"/>
          <w:rtl/>
        </w:rPr>
        <w:t xml:space="preserve"> (לרבות דיון שבו נשמעות ראיות/ עדויות או סיכומים בעל פה) מתקיימים בתיק אמ"ץ ממוצע? (אין, דיון 1, 2 דיונים, 3 דיונים, אם יותר מ-3 דיונים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7406A4E6" w14:textId="77777777" w:rsidR="005E4C22" w:rsidRPr="00F25744" w:rsidRDefault="00E25AE7" w:rsidP="00341018">
      <w:pPr>
        <w:pStyle w:val="a3"/>
        <w:numPr>
          <w:ilvl w:val="0"/>
          <w:numId w:val="29"/>
        </w:numPr>
        <w:bidi/>
        <w:spacing w:before="120" w:after="0" w:line="360" w:lineRule="auto"/>
        <w:ind w:left="1218" w:hanging="425"/>
        <w:rPr>
          <w:rFonts w:ascii="David" w:hAnsi="David" w:cs="David"/>
          <w:sz w:val="24"/>
          <w:szCs w:val="24"/>
        </w:rPr>
      </w:pPr>
      <w:r w:rsidRPr="00F25744">
        <w:rPr>
          <w:rFonts w:ascii="David" w:hAnsi="David" w:cs="David" w:hint="cs"/>
          <w:sz w:val="24"/>
          <w:szCs w:val="24"/>
          <w:rtl/>
        </w:rPr>
        <w:t xml:space="preserve">כמה זמן בממוצע לוקח לך להערכתך לכתוב עמוד אחד </w:t>
      </w:r>
      <w:r w:rsidRPr="00F25744">
        <w:rPr>
          <w:rFonts w:ascii="David" w:hAnsi="David" w:cs="David" w:hint="cs"/>
          <w:b/>
          <w:bCs/>
          <w:sz w:val="24"/>
          <w:szCs w:val="24"/>
          <w:rtl/>
        </w:rPr>
        <w:t>בהחלטת ביניים</w:t>
      </w:r>
      <w:r w:rsidRPr="00F25744">
        <w:rPr>
          <w:rFonts w:ascii="David" w:hAnsi="David" w:cs="David" w:hint="cs"/>
          <w:sz w:val="24"/>
          <w:szCs w:val="24"/>
          <w:rtl/>
        </w:rPr>
        <w:t xml:space="preserve"> (לרבות החלטות לאחר סגירה) </w:t>
      </w:r>
      <w:r w:rsidRPr="00F25744">
        <w:rPr>
          <w:rFonts w:ascii="David" w:hAnsi="David" w:cs="David" w:hint="cs"/>
          <w:b/>
          <w:bCs/>
          <w:sz w:val="24"/>
          <w:szCs w:val="24"/>
          <w:rtl/>
        </w:rPr>
        <w:t>במסמך עצמאי</w:t>
      </w:r>
      <w:r w:rsidRPr="00F25744">
        <w:rPr>
          <w:rFonts w:ascii="David" w:hAnsi="David" w:cs="David" w:hint="cs"/>
          <w:sz w:val="24"/>
          <w:szCs w:val="24"/>
          <w:rtl/>
        </w:rPr>
        <w:t>?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15-20 דקות, אם מעל 20 דקות </w:t>
      </w:r>
      <w:r w:rsidRPr="00F25744">
        <w:rPr>
          <w:rFonts w:ascii="David" w:hAnsi="David" w:cs="David"/>
          <w:sz w:val="24"/>
          <w:szCs w:val="24"/>
          <w:rtl/>
        </w:rPr>
        <w:t>–</w:t>
      </w:r>
      <w:r w:rsidRPr="00F25744">
        <w:rPr>
          <w:rFonts w:ascii="David" w:hAnsi="David" w:cs="David" w:hint="cs"/>
          <w:sz w:val="24"/>
          <w:szCs w:val="24"/>
          <w:rtl/>
        </w:rPr>
        <w:t xml:space="preserve"> כמה?]</w:t>
      </w:r>
    </w:p>
    <w:p w14:paraId="3DF0FA14" w14:textId="77777777" w:rsidR="005E4C22" w:rsidRPr="00F25744" w:rsidRDefault="00E25AE7" w:rsidP="00341018">
      <w:pPr>
        <w:pStyle w:val="a3"/>
        <w:numPr>
          <w:ilvl w:val="0"/>
          <w:numId w:val="29"/>
        </w:numPr>
        <w:bidi/>
        <w:spacing w:before="120" w:after="0" w:line="360" w:lineRule="auto"/>
        <w:ind w:left="1218" w:hanging="425"/>
        <w:rPr>
          <w:rFonts w:ascii="David" w:hAnsi="David" w:cs="David"/>
          <w:sz w:val="24"/>
          <w:szCs w:val="24"/>
        </w:rPr>
      </w:pPr>
      <w:r w:rsidRPr="00F25744">
        <w:rPr>
          <w:rFonts w:ascii="David" w:hAnsi="David" w:cs="David" w:hint="cs"/>
          <w:sz w:val="24"/>
          <w:szCs w:val="24"/>
          <w:rtl/>
        </w:rPr>
        <w:t xml:space="preserve">כמה זמן בממוצע לוקח לך להערכתך לכתוב </w:t>
      </w:r>
      <w:r w:rsidRPr="00F25744">
        <w:rPr>
          <w:rFonts w:ascii="David" w:hAnsi="David" w:cs="David" w:hint="cs"/>
          <w:b/>
          <w:bCs/>
          <w:sz w:val="24"/>
          <w:szCs w:val="24"/>
          <w:rtl/>
        </w:rPr>
        <w:t>עמוד אחד</w:t>
      </w:r>
      <w:r w:rsidRPr="00F25744">
        <w:rPr>
          <w:rFonts w:ascii="David" w:hAnsi="David" w:cs="David" w:hint="cs"/>
          <w:sz w:val="24"/>
          <w:szCs w:val="24"/>
          <w:rtl/>
        </w:rPr>
        <w:t xml:space="preserve"> מסוגי פסקי הדין הבאים (שנכתבים מחוץ לאולם):</w:t>
      </w:r>
    </w:p>
    <w:p w14:paraId="60B698AC" w14:textId="77777777" w:rsidR="005E4C22" w:rsidRPr="00F25744" w:rsidRDefault="00E25AE7" w:rsidP="00341018">
      <w:pPr>
        <w:numPr>
          <w:ilvl w:val="1"/>
          <w:numId w:val="30"/>
        </w:numPr>
        <w:spacing w:before="120" w:after="0" w:line="360" w:lineRule="auto"/>
        <w:ind w:left="1700" w:hanging="426"/>
        <w:jc w:val="both"/>
        <w:rPr>
          <w:rFonts w:ascii="David" w:hAnsi="David" w:cs="David"/>
          <w:sz w:val="24"/>
          <w:szCs w:val="24"/>
        </w:rPr>
      </w:pPr>
      <w:r w:rsidRPr="00F25744">
        <w:rPr>
          <w:rFonts w:ascii="David" w:hAnsi="David" w:cs="David" w:hint="cs"/>
          <w:sz w:val="24"/>
          <w:szCs w:val="24"/>
          <w:rtl/>
        </w:rPr>
        <w:t xml:space="preserve">     פסק דין </w:t>
      </w:r>
      <w:r w:rsidRPr="00F25744">
        <w:rPr>
          <w:rFonts w:ascii="David" w:hAnsi="David" w:cs="David" w:hint="cs"/>
          <w:b/>
          <w:bCs/>
          <w:sz w:val="24"/>
          <w:szCs w:val="24"/>
          <w:rtl/>
        </w:rPr>
        <w:t>מנומק</w:t>
      </w:r>
      <w:r w:rsidRPr="00F25744">
        <w:rPr>
          <w:rFonts w:ascii="David" w:hAnsi="David" w:cs="David" w:hint="cs"/>
          <w:sz w:val="24"/>
          <w:szCs w:val="24"/>
          <w:rtl/>
        </w:rPr>
        <w:t xml:space="preserve"> (ללא הסכמת הצדדים)? [</w:t>
      </w:r>
      <w:r w:rsidRPr="00F25744">
        <w:rPr>
          <w:rFonts w:ascii="David" w:hAnsi="David" w:cs="David"/>
          <w:sz w:val="24"/>
          <w:szCs w:val="24"/>
          <w:rtl/>
        </w:rPr>
        <w:t>עד</w:t>
      </w:r>
      <w:r w:rsidRPr="00F25744">
        <w:rPr>
          <w:rFonts w:ascii="David" w:hAnsi="David" w:cs="David" w:hint="cs"/>
          <w:sz w:val="24"/>
          <w:szCs w:val="24"/>
          <w:rtl/>
        </w:rPr>
        <w:t xml:space="preserve"> 5 דקות</w:t>
      </w:r>
      <w:r w:rsidRPr="00F25744">
        <w:rPr>
          <w:rFonts w:ascii="David" w:hAnsi="David" w:cs="David"/>
          <w:sz w:val="24"/>
          <w:szCs w:val="24"/>
          <w:rtl/>
        </w:rPr>
        <w:t>,</w:t>
      </w:r>
      <w:r w:rsidRPr="00F25744">
        <w:rPr>
          <w:rFonts w:ascii="David" w:hAnsi="David" w:cs="David" w:hint="cs"/>
          <w:sz w:val="24"/>
          <w:szCs w:val="24"/>
          <w:rtl/>
        </w:rPr>
        <w:t xml:space="preserve"> 5-10 דקות</w:t>
      </w:r>
      <w:r w:rsidRPr="00F25744">
        <w:rPr>
          <w:rFonts w:ascii="David" w:hAnsi="David" w:cs="David"/>
          <w:sz w:val="24"/>
          <w:szCs w:val="24"/>
          <w:rtl/>
        </w:rPr>
        <w:t xml:space="preserve">, </w:t>
      </w:r>
      <w:r w:rsidRPr="00F25744">
        <w:rPr>
          <w:rFonts w:ascii="David" w:hAnsi="David" w:cs="David" w:hint="cs"/>
          <w:sz w:val="24"/>
          <w:szCs w:val="24"/>
          <w:rtl/>
        </w:rPr>
        <w:t>10-15 דקות</w:t>
      </w:r>
      <w:r w:rsidRPr="00F25744">
        <w:rPr>
          <w:rFonts w:ascii="David" w:hAnsi="David" w:cs="David"/>
          <w:sz w:val="24"/>
          <w:szCs w:val="24"/>
          <w:rtl/>
        </w:rPr>
        <w:t xml:space="preserve">, </w:t>
      </w:r>
      <w:r w:rsidRPr="00F25744">
        <w:rPr>
          <w:rFonts w:ascii="David" w:hAnsi="David" w:cs="David" w:hint="cs"/>
          <w:sz w:val="24"/>
          <w:szCs w:val="24"/>
          <w:rtl/>
        </w:rPr>
        <w:t>15-20 דקות</w:t>
      </w:r>
      <w:r w:rsidRPr="00F25744">
        <w:rPr>
          <w:rFonts w:ascii="David" w:hAnsi="David" w:cs="David"/>
          <w:sz w:val="24"/>
          <w:szCs w:val="24"/>
          <w:rtl/>
        </w:rPr>
        <w:t xml:space="preserve">, </w:t>
      </w:r>
      <w:r w:rsidRPr="00F25744">
        <w:rPr>
          <w:rFonts w:ascii="David" w:hAnsi="David" w:cs="David" w:hint="cs"/>
          <w:sz w:val="24"/>
          <w:szCs w:val="24"/>
          <w:rtl/>
        </w:rPr>
        <w:t>20-25 דקות</w:t>
      </w:r>
      <w:r w:rsidRPr="00F25744">
        <w:rPr>
          <w:rFonts w:ascii="David" w:hAnsi="David" w:cs="David"/>
          <w:sz w:val="24"/>
          <w:szCs w:val="24"/>
          <w:rtl/>
        </w:rPr>
        <w:t xml:space="preserve">, </w:t>
      </w:r>
      <w:r w:rsidRPr="00F25744">
        <w:rPr>
          <w:rFonts w:ascii="David" w:hAnsi="David" w:cs="David" w:hint="cs"/>
          <w:sz w:val="24"/>
          <w:szCs w:val="24"/>
          <w:rtl/>
        </w:rPr>
        <w:t xml:space="preserve">25-30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 לסוג התיק]</w:t>
      </w:r>
    </w:p>
    <w:p w14:paraId="580BDC4B" w14:textId="77777777" w:rsidR="005E4C22" w:rsidRPr="00F25744" w:rsidRDefault="00E25AE7" w:rsidP="00341018">
      <w:pPr>
        <w:pStyle w:val="a3"/>
        <w:numPr>
          <w:ilvl w:val="1"/>
          <w:numId w:val="29"/>
        </w:numPr>
        <w:bidi/>
        <w:spacing w:before="120" w:after="0" w:line="360" w:lineRule="auto"/>
        <w:ind w:left="1700" w:hanging="426"/>
        <w:rPr>
          <w:rFonts w:ascii="David" w:hAnsi="David" w:cs="David"/>
          <w:sz w:val="24"/>
          <w:szCs w:val="24"/>
        </w:rPr>
      </w:pPr>
      <w:r w:rsidRPr="00F25744">
        <w:rPr>
          <w:rFonts w:ascii="David" w:hAnsi="David" w:cs="David" w:hint="cs"/>
          <w:sz w:val="24"/>
          <w:szCs w:val="24"/>
          <w:rtl/>
        </w:rPr>
        <w:t xml:space="preserve">    פסק דין המקנה </w:t>
      </w:r>
      <w:r w:rsidRPr="00F25744">
        <w:rPr>
          <w:rFonts w:ascii="David" w:hAnsi="David" w:cs="David" w:hint="cs"/>
          <w:b/>
          <w:bCs/>
          <w:sz w:val="24"/>
          <w:szCs w:val="24"/>
          <w:rtl/>
        </w:rPr>
        <w:t>תוקף ל</w:t>
      </w:r>
      <w:r w:rsidRPr="00F25744">
        <w:rPr>
          <w:rFonts w:ascii="David" w:hAnsi="David" w:cs="David"/>
          <w:b/>
          <w:bCs/>
          <w:sz w:val="24"/>
          <w:szCs w:val="24"/>
          <w:rtl/>
        </w:rPr>
        <w:t>פשרה</w:t>
      </w:r>
      <w:r w:rsidRPr="00F25744">
        <w:rPr>
          <w:rFonts w:ascii="David" w:hAnsi="David" w:cs="David"/>
          <w:sz w:val="24"/>
          <w:szCs w:val="24"/>
          <w:rtl/>
        </w:rPr>
        <w:t>/</w:t>
      </w:r>
      <w:r w:rsidRPr="00F25744">
        <w:rPr>
          <w:rFonts w:ascii="David" w:hAnsi="David" w:cs="David" w:hint="cs"/>
          <w:sz w:val="24"/>
          <w:szCs w:val="24"/>
          <w:rtl/>
        </w:rPr>
        <w:t xml:space="preserve"> </w:t>
      </w:r>
      <w:r w:rsidRPr="00F25744">
        <w:rPr>
          <w:rFonts w:ascii="David" w:hAnsi="David" w:cs="David"/>
          <w:sz w:val="24"/>
          <w:szCs w:val="24"/>
          <w:rtl/>
        </w:rPr>
        <w:t>נדחה</w:t>
      </w:r>
      <w:r w:rsidRPr="00F25744">
        <w:rPr>
          <w:rFonts w:ascii="David" w:hAnsi="David" w:cs="David" w:hint="cs"/>
          <w:sz w:val="24"/>
          <w:szCs w:val="24"/>
          <w:rtl/>
        </w:rPr>
        <w:t xml:space="preserve"> או</w:t>
      </w:r>
      <w:r w:rsidRPr="00F25744">
        <w:rPr>
          <w:rFonts w:ascii="David" w:hAnsi="David" w:cs="David"/>
          <w:sz w:val="24"/>
          <w:szCs w:val="24"/>
          <w:rtl/>
        </w:rPr>
        <w:t xml:space="preserve"> נמחק לבקשת צד/</w:t>
      </w:r>
      <w:r w:rsidRPr="00F25744">
        <w:rPr>
          <w:rFonts w:ascii="David" w:hAnsi="David" w:cs="David" w:hint="cs"/>
          <w:sz w:val="24"/>
          <w:szCs w:val="24"/>
          <w:rtl/>
        </w:rPr>
        <w:t xml:space="preserve"> </w:t>
      </w:r>
      <w:r w:rsidRPr="00F25744">
        <w:rPr>
          <w:rFonts w:ascii="David" w:hAnsi="David" w:cs="David"/>
          <w:sz w:val="24"/>
          <w:szCs w:val="24"/>
          <w:rtl/>
        </w:rPr>
        <w:t>עיכוב או מיצוי הליכים</w:t>
      </w:r>
      <w:r w:rsidRPr="00F25744">
        <w:rPr>
          <w:rFonts w:ascii="David" w:hAnsi="David" w:cs="David" w:hint="cs"/>
          <w:sz w:val="24"/>
          <w:szCs w:val="24"/>
          <w:rtl/>
        </w:rPr>
        <w:t>?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אם מעל 15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5A0F12F8" w14:textId="77777777" w:rsidR="005E4C22" w:rsidRPr="00F25744" w:rsidRDefault="00E25AE7" w:rsidP="00341018">
      <w:pPr>
        <w:pStyle w:val="a3"/>
        <w:numPr>
          <w:ilvl w:val="0"/>
          <w:numId w:val="29"/>
        </w:numPr>
        <w:bidi/>
        <w:spacing w:before="120" w:after="0" w:line="360" w:lineRule="auto"/>
        <w:ind w:left="1218" w:hanging="425"/>
        <w:rPr>
          <w:rFonts w:ascii="David" w:hAnsi="David" w:cs="David"/>
          <w:sz w:val="24"/>
          <w:szCs w:val="24"/>
        </w:rPr>
      </w:pPr>
      <w:r w:rsidRPr="00F25744">
        <w:rPr>
          <w:rFonts w:ascii="David" w:hAnsi="David" w:cs="David" w:hint="cs"/>
          <w:b/>
          <w:bCs/>
          <w:sz w:val="24"/>
          <w:szCs w:val="24"/>
          <w:rtl/>
        </w:rPr>
        <w:t>איזה אחוז</w:t>
      </w:r>
      <w:r w:rsidRPr="00F25744">
        <w:rPr>
          <w:rFonts w:ascii="David" w:hAnsi="David" w:cs="David" w:hint="cs"/>
          <w:sz w:val="24"/>
          <w:szCs w:val="24"/>
          <w:rtl/>
        </w:rPr>
        <w:t xml:space="preserve"> להערכתך מכלל התיקים מסוג </w:t>
      </w:r>
      <w:r w:rsidRPr="00F25744">
        <w:rPr>
          <w:rFonts w:ascii="David" w:hAnsi="David" w:cs="David" w:hint="cs"/>
          <w:b/>
          <w:bCs/>
          <w:sz w:val="24"/>
          <w:szCs w:val="24"/>
          <w:u w:val="single"/>
          <w:rtl/>
        </w:rPr>
        <w:t>אמ"ץ</w:t>
      </w:r>
      <w:r w:rsidRPr="00F25744">
        <w:rPr>
          <w:rFonts w:ascii="David" w:hAnsi="David" w:cs="David" w:hint="cs"/>
          <w:sz w:val="24"/>
          <w:szCs w:val="24"/>
          <w:rtl/>
        </w:rPr>
        <w:t xml:space="preserve"> נסגרים מכל אחת מסיבות הסגירה הבאות:</w:t>
      </w:r>
    </w:p>
    <w:p w14:paraId="0F579940" w14:textId="77777777" w:rsidR="005E4C22" w:rsidRPr="00F25744" w:rsidRDefault="00E25AE7" w:rsidP="00341018">
      <w:pPr>
        <w:pStyle w:val="a3"/>
        <w:numPr>
          <w:ilvl w:val="1"/>
          <w:numId w:val="29"/>
        </w:numPr>
        <w:bidi/>
        <w:spacing w:before="120" w:after="0" w:line="360" w:lineRule="auto"/>
        <w:ind w:left="1643" w:hanging="425"/>
        <w:rPr>
          <w:rFonts w:ascii="David" w:hAnsi="David" w:cs="David"/>
          <w:sz w:val="24"/>
          <w:szCs w:val="24"/>
        </w:rPr>
      </w:pPr>
      <w:r w:rsidRPr="00F25744">
        <w:rPr>
          <w:rFonts w:ascii="David" w:hAnsi="David" w:cs="David" w:hint="cs"/>
          <w:sz w:val="24"/>
          <w:szCs w:val="24"/>
          <w:rtl/>
        </w:rPr>
        <w:t xml:space="preserve">    בפסק דין </w:t>
      </w:r>
      <w:r w:rsidRPr="00F25744">
        <w:rPr>
          <w:rFonts w:ascii="David" w:hAnsi="David" w:cs="David" w:hint="cs"/>
          <w:b/>
          <w:bCs/>
          <w:sz w:val="24"/>
          <w:szCs w:val="24"/>
          <w:rtl/>
        </w:rPr>
        <w:t>מנומק</w:t>
      </w:r>
      <w:r w:rsidRPr="00F25744">
        <w:rPr>
          <w:rFonts w:ascii="David" w:hAnsi="David" w:cs="David" w:hint="cs"/>
          <w:sz w:val="24"/>
          <w:szCs w:val="24"/>
          <w:rtl/>
        </w:rPr>
        <w:t>, ללא הסכמת הצדדים (עד 10% מהתיקים, 10-20%, 20-30%, 30-40%, 40-50%, אם מעל 50% - כמה?)</w:t>
      </w:r>
    </w:p>
    <w:p w14:paraId="2E9EE7F8" w14:textId="77777777" w:rsidR="005E4C22" w:rsidRPr="00F25744" w:rsidRDefault="00E25AE7" w:rsidP="00341018">
      <w:pPr>
        <w:pStyle w:val="a3"/>
        <w:numPr>
          <w:ilvl w:val="1"/>
          <w:numId w:val="29"/>
        </w:numPr>
        <w:bidi/>
        <w:spacing w:before="120" w:after="0" w:line="360" w:lineRule="auto"/>
        <w:ind w:left="1643" w:hanging="425"/>
        <w:rPr>
          <w:rFonts w:ascii="David" w:hAnsi="David" w:cs="David"/>
          <w:sz w:val="24"/>
          <w:szCs w:val="24"/>
        </w:rPr>
      </w:pPr>
      <w:r w:rsidRPr="00F25744">
        <w:rPr>
          <w:rFonts w:ascii="David" w:hAnsi="David" w:cs="David" w:hint="cs"/>
          <w:sz w:val="24"/>
          <w:szCs w:val="24"/>
          <w:rtl/>
        </w:rPr>
        <w:lastRenderedPageBreak/>
        <w:t xml:space="preserve">    בפסק דין</w:t>
      </w:r>
      <w:r w:rsidRPr="00F25744">
        <w:rPr>
          <w:rFonts w:ascii="David" w:hAnsi="David" w:cs="David" w:hint="cs"/>
          <w:b/>
          <w:bCs/>
          <w:sz w:val="24"/>
          <w:szCs w:val="24"/>
          <w:rtl/>
        </w:rPr>
        <w:t xml:space="preserve"> </w:t>
      </w:r>
      <w:r w:rsidRPr="00F25744">
        <w:rPr>
          <w:rFonts w:ascii="David" w:hAnsi="David" w:cs="David"/>
          <w:sz w:val="24"/>
          <w:szCs w:val="24"/>
          <w:rtl/>
        </w:rPr>
        <w:t>ש</w:t>
      </w:r>
      <w:r w:rsidRPr="00F25744">
        <w:rPr>
          <w:rFonts w:ascii="David" w:hAnsi="David" w:cs="David" w:hint="cs"/>
          <w:sz w:val="24"/>
          <w:szCs w:val="24"/>
          <w:rtl/>
        </w:rPr>
        <w:t xml:space="preserve">ניתן מחמת </w:t>
      </w:r>
      <w:r w:rsidRPr="00F25744">
        <w:rPr>
          <w:rFonts w:ascii="David" w:hAnsi="David" w:cs="David" w:hint="cs"/>
          <w:b/>
          <w:bCs/>
          <w:sz w:val="24"/>
          <w:szCs w:val="24"/>
          <w:rtl/>
        </w:rPr>
        <w:t>חו</w:t>
      </w:r>
      <w:r w:rsidRPr="00F25744">
        <w:rPr>
          <w:rFonts w:ascii="David" w:hAnsi="David" w:cs="David"/>
          <w:b/>
          <w:bCs/>
          <w:sz w:val="24"/>
          <w:szCs w:val="24"/>
          <w:rtl/>
        </w:rPr>
        <w:t>סר מעש</w:t>
      </w:r>
      <w:r w:rsidRPr="00F25744">
        <w:rPr>
          <w:rFonts w:ascii="David" w:hAnsi="David" w:cs="David"/>
          <w:sz w:val="24"/>
          <w:szCs w:val="24"/>
          <w:rtl/>
        </w:rPr>
        <w:t>/ אי תשלום</w:t>
      </w:r>
      <w:r w:rsidRPr="00F25744">
        <w:rPr>
          <w:rFonts w:ascii="David" w:hAnsi="David" w:cs="David" w:hint="cs"/>
          <w:sz w:val="24"/>
          <w:szCs w:val="24"/>
          <w:rtl/>
        </w:rPr>
        <w:t xml:space="preserve"> (עד 10% מהתיקים, 10-20%, 20-30%, 30-40%, 40-50%, אם מעל 50% - כמה? / לא רלבנטי)</w:t>
      </w:r>
    </w:p>
    <w:p w14:paraId="2135E605" w14:textId="77777777" w:rsidR="005E4C22" w:rsidRPr="00F25744" w:rsidRDefault="00E25AE7" w:rsidP="00341018">
      <w:pPr>
        <w:pStyle w:val="a3"/>
        <w:numPr>
          <w:ilvl w:val="1"/>
          <w:numId w:val="29"/>
        </w:numPr>
        <w:bidi/>
        <w:spacing w:before="120" w:after="0" w:line="360" w:lineRule="auto"/>
        <w:ind w:left="1643" w:hanging="425"/>
        <w:rPr>
          <w:rFonts w:ascii="David" w:hAnsi="David" w:cs="David"/>
          <w:sz w:val="24"/>
          <w:szCs w:val="24"/>
        </w:rPr>
      </w:pPr>
      <w:r w:rsidRPr="00F25744">
        <w:rPr>
          <w:rFonts w:ascii="David" w:hAnsi="David" w:cs="David" w:hint="cs"/>
          <w:sz w:val="24"/>
          <w:szCs w:val="24"/>
          <w:rtl/>
        </w:rPr>
        <w:t xml:space="preserve">    בפסק דין המקנה </w:t>
      </w:r>
      <w:r w:rsidRPr="00F25744">
        <w:rPr>
          <w:rFonts w:ascii="David" w:hAnsi="David" w:cs="David" w:hint="cs"/>
          <w:b/>
          <w:bCs/>
          <w:sz w:val="24"/>
          <w:szCs w:val="24"/>
          <w:rtl/>
        </w:rPr>
        <w:t>תוקף ל</w:t>
      </w:r>
      <w:r w:rsidRPr="00F25744">
        <w:rPr>
          <w:rFonts w:ascii="David" w:hAnsi="David" w:cs="David"/>
          <w:b/>
          <w:bCs/>
          <w:sz w:val="24"/>
          <w:szCs w:val="24"/>
          <w:rtl/>
        </w:rPr>
        <w:t>פשרה</w:t>
      </w:r>
      <w:r w:rsidRPr="00F25744">
        <w:rPr>
          <w:rFonts w:ascii="David" w:hAnsi="David" w:cs="David"/>
          <w:sz w:val="24"/>
          <w:szCs w:val="24"/>
          <w:rtl/>
        </w:rPr>
        <w:t>/</w:t>
      </w:r>
      <w:r w:rsidRPr="00F25744">
        <w:rPr>
          <w:rFonts w:ascii="David" w:hAnsi="David" w:cs="David" w:hint="cs"/>
          <w:sz w:val="24"/>
          <w:szCs w:val="24"/>
          <w:rtl/>
        </w:rPr>
        <w:t xml:space="preserve"> </w:t>
      </w:r>
      <w:r w:rsidRPr="00F25744">
        <w:rPr>
          <w:rFonts w:ascii="David" w:hAnsi="David" w:cs="David"/>
          <w:sz w:val="24"/>
          <w:szCs w:val="24"/>
          <w:rtl/>
        </w:rPr>
        <w:t>נדחה</w:t>
      </w:r>
      <w:r w:rsidRPr="00F25744">
        <w:rPr>
          <w:rFonts w:ascii="David" w:hAnsi="David" w:cs="David" w:hint="cs"/>
          <w:sz w:val="24"/>
          <w:szCs w:val="24"/>
          <w:rtl/>
        </w:rPr>
        <w:t xml:space="preserve"> או</w:t>
      </w:r>
      <w:r w:rsidRPr="00F25744">
        <w:rPr>
          <w:rFonts w:ascii="David" w:hAnsi="David" w:cs="David"/>
          <w:sz w:val="24"/>
          <w:szCs w:val="24"/>
          <w:rtl/>
        </w:rPr>
        <w:t xml:space="preserve"> נמחק לבקשת צד/</w:t>
      </w:r>
      <w:r w:rsidRPr="00F25744">
        <w:rPr>
          <w:rFonts w:ascii="David" w:hAnsi="David" w:cs="David" w:hint="cs"/>
          <w:sz w:val="24"/>
          <w:szCs w:val="24"/>
          <w:rtl/>
        </w:rPr>
        <w:t xml:space="preserve"> </w:t>
      </w:r>
      <w:r w:rsidRPr="00F25744">
        <w:rPr>
          <w:rFonts w:ascii="David" w:hAnsi="David" w:cs="David"/>
          <w:sz w:val="24"/>
          <w:szCs w:val="24"/>
          <w:rtl/>
        </w:rPr>
        <w:t>עיכוב או מיצוי הליכים</w:t>
      </w:r>
      <w:r w:rsidRPr="00F25744">
        <w:rPr>
          <w:rFonts w:ascii="David" w:hAnsi="David" w:cs="David" w:hint="cs"/>
          <w:sz w:val="24"/>
          <w:szCs w:val="24"/>
          <w:rtl/>
        </w:rPr>
        <w:t xml:space="preserve"> (עד 10% מהתיקים, 10-20%, 20-30%, 30-40%, 40-50%, אם מעל 50% - כמה? / לא רלבנטי)</w:t>
      </w:r>
    </w:p>
    <w:p w14:paraId="2BC607E3" w14:textId="77777777" w:rsidR="005E4C22" w:rsidRPr="00F25744" w:rsidRDefault="00E25AE7" w:rsidP="00341018">
      <w:pPr>
        <w:pStyle w:val="a3"/>
        <w:numPr>
          <w:ilvl w:val="0"/>
          <w:numId w:val="29"/>
        </w:numPr>
        <w:bidi/>
        <w:spacing w:before="120" w:after="0" w:line="360" w:lineRule="auto"/>
        <w:ind w:left="1218" w:hanging="425"/>
        <w:rPr>
          <w:rFonts w:ascii="David" w:hAnsi="David" w:cs="David"/>
          <w:sz w:val="24"/>
          <w:szCs w:val="24"/>
        </w:rPr>
      </w:pPr>
      <w:r w:rsidRPr="00F25744">
        <w:rPr>
          <w:rFonts w:ascii="David" w:hAnsi="David" w:cs="David" w:hint="cs"/>
          <w:b/>
          <w:bCs/>
          <w:sz w:val="24"/>
          <w:szCs w:val="24"/>
          <w:rtl/>
        </w:rPr>
        <w:t>כמה עמודים</w:t>
      </w:r>
      <w:r w:rsidRPr="00F25744">
        <w:rPr>
          <w:rFonts w:ascii="David" w:hAnsi="David" w:cs="David" w:hint="cs"/>
          <w:sz w:val="24"/>
          <w:szCs w:val="24"/>
          <w:rtl/>
        </w:rPr>
        <w:t xml:space="preserve"> בממוצע להערכתך אורך כל אחד מסוגי פסקי הדין בתיק מסוג אמ"ץ?</w:t>
      </w:r>
    </w:p>
    <w:p w14:paraId="67296089" w14:textId="77777777" w:rsidR="005E4C22" w:rsidRPr="00F25744" w:rsidRDefault="00E25AE7" w:rsidP="00341018">
      <w:pPr>
        <w:pStyle w:val="a3"/>
        <w:numPr>
          <w:ilvl w:val="1"/>
          <w:numId w:val="29"/>
        </w:numPr>
        <w:bidi/>
        <w:spacing w:before="120" w:after="0" w:line="360" w:lineRule="auto"/>
        <w:ind w:left="1643" w:hanging="425"/>
        <w:rPr>
          <w:rFonts w:ascii="David" w:hAnsi="David" w:cs="David"/>
          <w:sz w:val="24"/>
          <w:szCs w:val="24"/>
        </w:rPr>
      </w:pPr>
      <w:r w:rsidRPr="00F25744">
        <w:rPr>
          <w:rFonts w:ascii="David" w:hAnsi="David" w:cs="David" w:hint="cs"/>
          <w:sz w:val="24"/>
          <w:szCs w:val="24"/>
          <w:rtl/>
        </w:rPr>
        <w:t xml:space="preserve">   פסק דין </w:t>
      </w:r>
      <w:r w:rsidRPr="00F25744">
        <w:rPr>
          <w:rFonts w:ascii="David" w:hAnsi="David" w:cs="David" w:hint="cs"/>
          <w:b/>
          <w:bCs/>
          <w:sz w:val="24"/>
          <w:szCs w:val="24"/>
          <w:rtl/>
        </w:rPr>
        <w:t>מנומק</w:t>
      </w:r>
      <w:r w:rsidRPr="00F25744">
        <w:rPr>
          <w:rFonts w:ascii="David" w:hAnsi="David" w:cs="David" w:hint="cs"/>
          <w:sz w:val="24"/>
          <w:szCs w:val="24"/>
          <w:rtl/>
        </w:rPr>
        <w:t>, ללא הסכמת הצדדים (עד 5 עמודים, 5-10 עמודים, 10-15 עמודים, 15-20 עמודים, 20-25 עמודים, 25-30 עמודים, אם מעל 30 - כמה?)</w:t>
      </w:r>
    </w:p>
    <w:p w14:paraId="39695624" w14:textId="77777777" w:rsidR="005E4C22" w:rsidRPr="00F25744" w:rsidRDefault="00E25AE7" w:rsidP="00341018">
      <w:pPr>
        <w:pStyle w:val="a3"/>
        <w:numPr>
          <w:ilvl w:val="1"/>
          <w:numId w:val="29"/>
        </w:numPr>
        <w:bidi/>
        <w:spacing w:before="120" w:after="0" w:line="360" w:lineRule="auto"/>
        <w:ind w:left="1643" w:hanging="425"/>
        <w:rPr>
          <w:rFonts w:ascii="David" w:hAnsi="David" w:cs="David"/>
          <w:sz w:val="24"/>
          <w:szCs w:val="24"/>
        </w:rPr>
      </w:pPr>
      <w:r w:rsidRPr="00F25744">
        <w:rPr>
          <w:rFonts w:ascii="David" w:hAnsi="David" w:cs="David" w:hint="cs"/>
          <w:sz w:val="24"/>
          <w:szCs w:val="24"/>
          <w:rtl/>
        </w:rPr>
        <w:t xml:space="preserve">   פסק דין</w:t>
      </w:r>
      <w:r w:rsidRPr="00F25744">
        <w:rPr>
          <w:rFonts w:ascii="David" w:hAnsi="David" w:cs="David" w:hint="cs"/>
          <w:b/>
          <w:bCs/>
          <w:sz w:val="24"/>
          <w:szCs w:val="24"/>
          <w:rtl/>
        </w:rPr>
        <w:t xml:space="preserve"> </w:t>
      </w:r>
      <w:r w:rsidRPr="00F25744">
        <w:rPr>
          <w:rFonts w:ascii="David" w:hAnsi="David" w:cs="David"/>
          <w:sz w:val="24"/>
          <w:szCs w:val="24"/>
          <w:rtl/>
        </w:rPr>
        <w:t>ש</w:t>
      </w:r>
      <w:r w:rsidRPr="00F25744">
        <w:rPr>
          <w:rFonts w:ascii="David" w:hAnsi="David" w:cs="David" w:hint="cs"/>
          <w:sz w:val="24"/>
          <w:szCs w:val="24"/>
          <w:rtl/>
        </w:rPr>
        <w:t xml:space="preserve">ניתן מחמת </w:t>
      </w:r>
      <w:r w:rsidRPr="00F25744">
        <w:rPr>
          <w:rFonts w:ascii="David" w:hAnsi="David" w:cs="David" w:hint="cs"/>
          <w:b/>
          <w:bCs/>
          <w:sz w:val="24"/>
          <w:szCs w:val="24"/>
          <w:rtl/>
        </w:rPr>
        <w:t>חו</w:t>
      </w:r>
      <w:r w:rsidRPr="00F25744">
        <w:rPr>
          <w:rFonts w:ascii="David" w:hAnsi="David" w:cs="David"/>
          <w:b/>
          <w:bCs/>
          <w:sz w:val="24"/>
          <w:szCs w:val="24"/>
          <w:rtl/>
        </w:rPr>
        <w:t>סר מעש</w:t>
      </w:r>
      <w:r w:rsidRPr="00F25744">
        <w:rPr>
          <w:rFonts w:ascii="David" w:hAnsi="David" w:cs="David"/>
          <w:sz w:val="24"/>
          <w:szCs w:val="24"/>
          <w:rtl/>
        </w:rPr>
        <w:t>/ אי תשלום</w:t>
      </w:r>
      <w:r w:rsidRPr="00F25744">
        <w:rPr>
          <w:rFonts w:ascii="David" w:hAnsi="David" w:cs="David" w:hint="cs"/>
          <w:sz w:val="24"/>
          <w:szCs w:val="24"/>
          <w:rtl/>
        </w:rPr>
        <w:t xml:space="preserve"> (עמוד 1, 2 עמודים, 3 עמודים, 4 עמודים, 5 עמודים, אם מעל 5 - כמה? / לא רלבנטי)</w:t>
      </w:r>
    </w:p>
    <w:p w14:paraId="191A6BE9" w14:textId="77777777" w:rsidR="005E4C22" w:rsidRPr="00F25744" w:rsidRDefault="00E25AE7" w:rsidP="00341018">
      <w:pPr>
        <w:pStyle w:val="a3"/>
        <w:numPr>
          <w:ilvl w:val="1"/>
          <w:numId w:val="29"/>
        </w:numPr>
        <w:bidi/>
        <w:spacing w:before="120" w:after="0" w:line="360" w:lineRule="auto"/>
        <w:ind w:left="1643" w:hanging="425"/>
        <w:rPr>
          <w:rFonts w:ascii="David" w:hAnsi="David" w:cs="David"/>
          <w:sz w:val="24"/>
          <w:szCs w:val="24"/>
        </w:rPr>
      </w:pPr>
      <w:r w:rsidRPr="00F25744">
        <w:rPr>
          <w:rFonts w:ascii="David" w:hAnsi="David" w:cs="David" w:hint="cs"/>
          <w:sz w:val="24"/>
          <w:szCs w:val="24"/>
          <w:rtl/>
        </w:rPr>
        <w:t xml:space="preserve">   פסק דין המקנה </w:t>
      </w:r>
      <w:r w:rsidRPr="00F25744">
        <w:rPr>
          <w:rFonts w:ascii="David" w:hAnsi="David" w:cs="David" w:hint="cs"/>
          <w:b/>
          <w:bCs/>
          <w:sz w:val="24"/>
          <w:szCs w:val="24"/>
          <w:rtl/>
        </w:rPr>
        <w:t>תוקף ל</w:t>
      </w:r>
      <w:r w:rsidRPr="00F25744">
        <w:rPr>
          <w:rFonts w:ascii="David" w:hAnsi="David" w:cs="David"/>
          <w:b/>
          <w:bCs/>
          <w:sz w:val="24"/>
          <w:szCs w:val="24"/>
          <w:rtl/>
        </w:rPr>
        <w:t>פשרה</w:t>
      </w:r>
      <w:r w:rsidRPr="00F25744">
        <w:rPr>
          <w:rFonts w:ascii="David" w:hAnsi="David" w:cs="David"/>
          <w:sz w:val="24"/>
          <w:szCs w:val="24"/>
          <w:rtl/>
        </w:rPr>
        <w:t>/</w:t>
      </w:r>
      <w:r w:rsidRPr="00F25744">
        <w:rPr>
          <w:rFonts w:ascii="David" w:hAnsi="David" w:cs="David" w:hint="cs"/>
          <w:sz w:val="24"/>
          <w:szCs w:val="24"/>
          <w:rtl/>
        </w:rPr>
        <w:t xml:space="preserve"> </w:t>
      </w:r>
      <w:r w:rsidRPr="00F25744">
        <w:rPr>
          <w:rFonts w:ascii="David" w:hAnsi="David" w:cs="David"/>
          <w:sz w:val="24"/>
          <w:szCs w:val="24"/>
          <w:rtl/>
        </w:rPr>
        <w:t>נדחה</w:t>
      </w:r>
      <w:r w:rsidRPr="00F25744">
        <w:rPr>
          <w:rFonts w:ascii="David" w:hAnsi="David" w:cs="David" w:hint="cs"/>
          <w:sz w:val="24"/>
          <w:szCs w:val="24"/>
          <w:rtl/>
        </w:rPr>
        <w:t xml:space="preserve"> או</w:t>
      </w:r>
      <w:r w:rsidRPr="00F25744">
        <w:rPr>
          <w:rFonts w:ascii="David" w:hAnsi="David" w:cs="David"/>
          <w:sz w:val="24"/>
          <w:szCs w:val="24"/>
          <w:rtl/>
        </w:rPr>
        <w:t xml:space="preserve"> נמחק לבקשת צד/</w:t>
      </w:r>
      <w:r w:rsidRPr="00F25744">
        <w:rPr>
          <w:rFonts w:ascii="David" w:hAnsi="David" w:cs="David" w:hint="cs"/>
          <w:sz w:val="24"/>
          <w:szCs w:val="24"/>
          <w:rtl/>
        </w:rPr>
        <w:t xml:space="preserve"> </w:t>
      </w:r>
      <w:r w:rsidRPr="00F25744">
        <w:rPr>
          <w:rFonts w:ascii="David" w:hAnsi="David" w:cs="David"/>
          <w:sz w:val="24"/>
          <w:szCs w:val="24"/>
          <w:rtl/>
        </w:rPr>
        <w:t>עיכוב או מיצוי הליכים</w:t>
      </w:r>
      <w:r w:rsidRPr="00F25744">
        <w:rPr>
          <w:rFonts w:ascii="David" w:hAnsi="David" w:cs="David" w:hint="cs"/>
          <w:sz w:val="24"/>
          <w:szCs w:val="24"/>
          <w:rtl/>
        </w:rPr>
        <w:t xml:space="preserve"> (עמוד 1, 2 עמודים, 3 עמודים, 4 עמודים, 5 עמודים, אם מעל 5 - כמה? / לא רלבנטי)</w:t>
      </w:r>
    </w:p>
    <w:p w14:paraId="25AA9267" w14:textId="77777777" w:rsidR="005E4C22" w:rsidRPr="00F25744" w:rsidRDefault="00E25AE7" w:rsidP="00341018">
      <w:pPr>
        <w:pStyle w:val="a3"/>
        <w:numPr>
          <w:ilvl w:val="1"/>
          <w:numId w:val="42"/>
        </w:numPr>
        <w:bidi/>
        <w:spacing w:before="120" w:after="0" w:line="360" w:lineRule="auto"/>
        <w:ind w:left="793" w:hanging="425"/>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ה"נ</w:t>
      </w:r>
      <w:r w:rsidRPr="00F25744">
        <w:rPr>
          <w:rFonts w:ascii="David" w:hAnsi="David" w:cs="David" w:hint="cs"/>
          <w:sz w:val="24"/>
          <w:szCs w:val="24"/>
          <w:rtl/>
        </w:rPr>
        <w:t xml:space="preserve">, אנא סמן כמה </w:t>
      </w:r>
      <w:r w:rsidRPr="00F25744">
        <w:rPr>
          <w:rFonts w:ascii="David" w:hAnsi="David" w:cs="David" w:hint="cs"/>
          <w:b/>
          <w:bCs/>
          <w:sz w:val="24"/>
          <w:szCs w:val="24"/>
          <w:rtl/>
        </w:rPr>
        <w:t>זמן</w:t>
      </w:r>
      <w:r w:rsidRPr="00F25744">
        <w:rPr>
          <w:rFonts w:ascii="David" w:hAnsi="David" w:cs="David" w:hint="cs"/>
          <w:sz w:val="24"/>
          <w:szCs w:val="24"/>
          <w:rtl/>
        </w:rPr>
        <w:t xml:space="preserve"> בממוצע אורכות להערכתך הפעולות הבאות:</w:t>
      </w:r>
    </w:p>
    <w:p w14:paraId="1BBF3B35" w14:textId="77777777" w:rsidR="005E4C22" w:rsidRPr="00F25744" w:rsidRDefault="00E25AE7" w:rsidP="00341018">
      <w:pPr>
        <w:pStyle w:val="a3"/>
        <w:numPr>
          <w:ilvl w:val="0"/>
          <w:numId w:val="29"/>
        </w:numPr>
        <w:bidi/>
        <w:spacing w:before="120" w:after="0" w:line="360" w:lineRule="auto"/>
        <w:ind w:left="1218" w:hanging="425"/>
        <w:rPr>
          <w:rFonts w:ascii="David" w:hAnsi="David" w:cs="David"/>
          <w:sz w:val="24"/>
          <w:szCs w:val="24"/>
        </w:rPr>
      </w:pPr>
      <w:r w:rsidRPr="00F25744">
        <w:rPr>
          <w:rFonts w:ascii="David" w:hAnsi="David" w:cs="David" w:hint="cs"/>
          <w:b/>
          <w:bCs/>
          <w:sz w:val="24"/>
          <w:szCs w:val="24"/>
          <w:rtl/>
        </w:rPr>
        <w:t>הכנה</w:t>
      </w:r>
      <w:r w:rsidRPr="00F25744">
        <w:rPr>
          <w:rFonts w:ascii="David" w:hAnsi="David" w:cs="David" w:hint="cs"/>
          <w:sz w:val="24"/>
          <w:szCs w:val="24"/>
          <w:rtl/>
        </w:rPr>
        <w:t xml:space="preserve"> לדיון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124F262A" w14:textId="77777777" w:rsidR="005E4C22" w:rsidRPr="00F25744" w:rsidRDefault="00E25AE7" w:rsidP="00341018">
      <w:pPr>
        <w:pStyle w:val="a3"/>
        <w:numPr>
          <w:ilvl w:val="0"/>
          <w:numId w:val="29"/>
        </w:numPr>
        <w:bidi/>
        <w:spacing w:before="120" w:after="0" w:line="360" w:lineRule="auto"/>
        <w:ind w:left="1218" w:hanging="425"/>
        <w:rPr>
          <w:rFonts w:ascii="David" w:hAnsi="David" w:cs="David"/>
          <w:sz w:val="24"/>
          <w:szCs w:val="24"/>
        </w:rPr>
      </w:pPr>
      <w:r w:rsidRPr="00F25744">
        <w:rPr>
          <w:rFonts w:ascii="David" w:hAnsi="David" w:cs="David" w:hint="cs"/>
          <w:sz w:val="24"/>
          <w:szCs w:val="24"/>
          <w:rtl/>
        </w:rPr>
        <w:t xml:space="preserve">כתיבת </w:t>
      </w:r>
      <w:r w:rsidRPr="00F25744">
        <w:rPr>
          <w:rFonts w:ascii="David" w:hAnsi="David" w:cs="David" w:hint="cs"/>
          <w:b/>
          <w:bCs/>
          <w:sz w:val="24"/>
          <w:szCs w:val="24"/>
          <w:rtl/>
        </w:rPr>
        <w:t xml:space="preserve">עמוד אחד בהחלטת ביניים </w:t>
      </w:r>
      <w:r w:rsidRPr="00F25744">
        <w:rPr>
          <w:rFonts w:ascii="David" w:hAnsi="David" w:cs="David" w:hint="cs"/>
          <w:sz w:val="24"/>
          <w:szCs w:val="24"/>
          <w:rtl/>
        </w:rPr>
        <w:t>שניתנת</w:t>
      </w:r>
      <w:r w:rsidRPr="00F25744">
        <w:rPr>
          <w:rFonts w:ascii="David" w:hAnsi="David" w:cs="David" w:hint="cs"/>
          <w:b/>
          <w:bCs/>
          <w:sz w:val="24"/>
          <w:szCs w:val="24"/>
          <w:rtl/>
        </w:rPr>
        <w:t xml:space="preserve"> במסמך עצמאי</w:t>
      </w:r>
      <w:r w:rsidRPr="00F25744">
        <w:rPr>
          <w:rFonts w:ascii="David" w:hAnsi="David" w:cs="David" w:hint="cs"/>
          <w:sz w:val="24"/>
          <w:szCs w:val="24"/>
          <w:rtl/>
        </w:rPr>
        <w:t xml:space="preserve"> (לרבות החלטה לאחר סגירה) [1-3 דקות, 3-5 דקות, 5-7 דקות, 7-10 דקות, 10-15 דקות, אם מעל 15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0177DECC" w14:textId="77777777" w:rsidR="005E4C22" w:rsidRPr="00F25744" w:rsidRDefault="00E25AE7" w:rsidP="00341018">
      <w:pPr>
        <w:pStyle w:val="a3"/>
        <w:numPr>
          <w:ilvl w:val="0"/>
          <w:numId w:val="29"/>
        </w:numPr>
        <w:bidi/>
        <w:spacing w:before="120" w:after="0" w:line="360" w:lineRule="auto"/>
        <w:ind w:left="1218" w:hanging="425"/>
        <w:rPr>
          <w:rFonts w:ascii="David" w:hAnsi="David" w:cs="David"/>
          <w:sz w:val="24"/>
          <w:szCs w:val="24"/>
        </w:rPr>
      </w:pPr>
      <w:r w:rsidRPr="00F25744">
        <w:rPr>
          <w:rFonts w:ascii="David" w:hAnsi="David" w:cs="David" w:hint="cs"/>
          <w:sz w:val="24"/>
          <w:szCs w:val="24"/>
          <w:rtl/>
        </w:rPr>
        <w:t xml:space="preserve">כתיבת </w:t>
      </w:r>
      <w:r w:rsidRPr="00F25744">
        <w:rPr>
          <w:rFonts w:ascii="David" w:hAnsi="David" w:cs="David" w:hint="cs"/>
          <w:b/>
          <w:bCs/>
          <w:sz w:val="24"/>
          <w:szCs w:val="24"/>
          <w:rtl/>
        </w:rPr>
        <w:t>עמוד אחד בפסק דין מנומק</w:t>
      </w:r>
      <w:r w:rsidRPr="00F25744">
        <w:rPr>
          <w:rFonts w:ascii="David" w:hAnsi="David" w:cs="David" w:hint="cs"/>
          <w:sz w:val="24"/>
          <w:szCs w:val="24"/>
          <w:rtl/>
        </w:rPr>
        <w:t xml:space="preserve"> (שניתן מחוץ לאולם, ללא הסכמות הצדדים)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6EAADACC" w14:textId="77777777" w:rsidR="005E4C22" w:rsidRPr="00F25744" w:rsidRDefault="00E25AE7" w:rsidP="00341018">
      <w:pPr>
        <w:pStyle w:val="a3"/>
        <w:numPr>
          <w:ilvl w:val="1"/>
          <w:numId w:val="42"/>
        </w:numPr>
        <w:bidi/>
        <w:spacing w:before="120" w:after="0" w:line="360" w:lineRule="auto"/>
        <w:ind w:left="793" w:hanging="425"/>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תה"ן</w:t>
      </w:r>
      <w:r w:rsidRPr="00F25744">
        <w:rPr>
          <w:rFonts w:ascii="David" w:hAnsi="David" w:cs="David" w:hint="cs"/>
          <w:b/>
          <w:bCs/>
          <w:sz w:val="24"/>
          <w:szCs w:val="24"/>
          <w:rtl/>
        </w:rPr>
        <w:t>,</w:t>
      </w:r>
      <w:r w:rsidRPr="00F25744">
        <w:rPr>
          <w:rFonts w:ascii="David" w:hAnsi="David" w:cs="David" w:hint="cs"/>
          <w:sz w:val="24"/>
          <w:szCs w:val="24"/>
          <w:rtl/>
        </w:rPr>
        <w:t xml:space="preserve"> אנא סמן כמה </w:t>
      </w:r>
      <w:r w:rsidRPr="00F25744">
        <w:rPr>
          <w:rFonts w:ascii="David" w:hAnsi="David" w:cs="David" w:hint="cs"/>
          <w:b/>
          <w:bCs/>
          <w:sz w:val="24"/>
          <w:szCs w:val="24"/>
          <w:rtl/>
        </w:rPr>
        <w:t>זמן</w:t>
      </w:r>
      <w:r w:rsidRPr="00F25744">
        <w:rPr>
          <w:rFonts w:ascii="David" w:hAnsi="David" w:cs="David" w:hint="cs"/>
          <w:sz w:val="24"/>
          <w:szCs w:val="24"/>
          <w:rtl/>
        </w:rPr>
        <w:t xml:space="preserve"> בממוצע אורכות להערכתך הפעולות הבאות:</w:t>
      </w:r>
    </w:p>
    <w:p w14:paraId="2B98C823" w14:textId="77777777" w:rsidR="005E4C22" w:rsidRPr="00F25744" w:rsidRDefault="00E25AE7" w:rsidP="00341018">
      <w:pPr>
        <w:pStyle w:val="a3"/>
        <w:numPr>
          <w:ilvl w:val="0"/>
          <w:numId w:val="29"/>
        </w:numPr>
        <w:bidi/>
        <w:spacing w:before="120" w:after="0" w:line="360" w:lineRule="auto"/>
        <w:ind w:left="1218" w:hanging="425"/>
        <w:rPr>
          <w:rFonts w:ascii="David" w:hAnsi="David" w:cs="David"/>
          <w:sz w:val="24"/>
          <w:szCs w:val="24"/>
        </w:rPr>
      </w:pPr>
      <w:r w:rsidRPr="00F25744">
        <w:rPr>
          <w:rFonts w:ascii="David" w:hAnsi="David" w:cs="David" w:hint="cs"/>
          <w:sz w:val="24"/>
          <w:szCs w:val="24"/>
          <w:rtl/>
        </w:rPr>
        <w:t xml:space="preserve">כתיבת </w:t>
      </w:r>
      <w:r w:rsidRPr="00F25744">
        <w:rPr>
          <w:rFonts w:ascii="David" w:hAnsi="David" w:cs="David" w:hint="cs"/>
          <w:b/>
          <w:bCs/>
          <w:sz w:val="24"/>
          <w:szCs w:val="24"/>
          <w:rtl/>
        </w:rPr>
        <w:t xml:space="preserve">עמוד אחד בהחלטת ביניים </w:t>
      </w:r>
      <w:r w:rsidRPr="00F25744">
        <w:rPr>
          <w:rFonts w:ascii="David" w:hAnsi="David" w:cs="David" w:hint="cs"/>
          <w:sz w:val="24"/>
          <w:szCs w:val="24"/>
          <w:rtl/>
        </w:rPr>
        <w:t>שניתנת</w:t>
      </w:r>
      <w:r w:rsidRPr="00F25744">
        <w:rPr>
          <w:rFonts w:ascii="David" w:hAnsi="David" w:cs="David" w:hint="cs"/>
          <w:b/>
          <w:bCs/>
          <w:sz w:val="24"/>
          <w:szCs w:val="24"/>
          <w:rtl/>
        </w:rPr>
        <w:t xml:space="preserve"> במסמך עצמאי</w:t>
      </w:r>
      <w:r w:rsidRPr="00F25744">
        <w:rPr>
          <w:rFonts w:ascii="David" w:hAnsi="David" w:cs="David" w:hint="cs"/>
          <w:sz w:val="24"/>
          <w:szCs w:val="24"/>
          <w:rtl/>
        </w:rPr>
        <w:t xml:space="preserve"> (לרבות החלטה לאחר סגירה) [1-3 דקות, 3-5 דקות, 5-7 דקות, 7-10 דקות, 10-15 דקות, אם מעל 15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1F42A7AE" w14:textId="77777777" w:rsidR="005E4C22" w:rsidRPr="00F25744" w:rsidRDefault="00E25AE7" w:rsidP="00341018">
      <w:pPr>
        <w:pStyle w:val="a3"/>
        <w:numPr>
          <w:ilvl w:val="0"/>
          <w:numId w:val="29"/>
        </w:numPr>
        <w:bidi/>
        <w:spacing w:before="120" w:after="0" w:line="360" w:lineRule="auto"/>
        <w:ind w:left="1218" w:hanging="425"/>
        <w:rPr>
          <w:rFonts w:ascii="David" w:hAnsi="David" w:cs="David"/>
          <w:sz w:val="24"/>
          <w:szCs w:val="24"/>
        </w:rPr>
      </w:pPr>
      <w:r w:rsidRPr="00F25744">
        <w:rPr>
          <w:rFonts w:ascii="David" w:hAnsi="David" w:cs="David" w:hint="cs"/>
          <w:sz w:val="24"/>
          <w:szCs w:val="24"/>
          <w:rtl/>
        </w:rPr>
        <w:t xml:space="preserve">כתיבת </w:t>
      </w:r>
      <w:r w:rsidRPr="00F25744">
        <w:rPr>
          <w:rFonts w:ascii="David" w:hAnsi="David" w:cs="David" w:hint="cs"/>
          <w:b/>
          <w:bCs/>
          <w:sz w:val="24"/>
          <w:szCs w:val="24"/>
          <w:rtl/>
        </w:rPr>
        <w:t>עמוד אחד בפסק דין מנומק</w:t>
      </w:r>
      <w:r w:rsidRPr="00F25744">
        <w:rPr>
          <w:rFonts w:ascii="David" w:hAnsi="David" w:cs="David" w:hint="cs"/>
          <w:sz w:val="24"/>
          <w:szCs w:val="24"/>
          <w:rtl/>
        </w:rPr>
        <w:t xml:space="preserve"> (שניתן מחוץ לאולם, ללא הסכמות הצדדים)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5B278431" w14:textId="77777777" w:rsidR="005E4C22" w:rsidRPr="00F25744" w:rsidRDefault="00E25AE7" w:rsidP="00341018">
      <w:pPr>
        <w:pStyle w:val="a3"/>
        <w:numPr>
          <w:ilvl w:val="1"/>
          <w:numId w:val="42"/>
        </w:numPr>
        <w:bidi/>
        <w:spacing w:before="120" w:after="0" w:line="360" w:lineRule="auto"/>
        <w:ind w:left="793" w:hanging="425"/>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תנ"ז</w:t>
      </w:r>
      <w:r w:rsidRPr="00F25744">
        <w:rPr>
          <w:rFonts w:ascii="David" w:hAnsi="David" w:cs="David" w:hint="cs"/>
          <w:b/>
          <w:bCs/>
          <w:sz w:val="24"/>
          <w:szCs w:val="24"/>
          <w:rtl/>
        </w:rPr>
        <w:t>,</w:t>
      </w:r>
      <w:r w:rsidRPr="00F25744">
        <w:rPr>
          <w:rFonts w:ascii="David" w:hAnsi="David" w:cs="David" w:hint="cs"/>
          <w:sz w:val="24"/>
          <w:szCs w:val="24"/>
          <w:rtl/>
        </w:rPr>
        <w:t xml:space="preserve"> אנא סמן את האפשרות המתאימה ביותר לדעתך לגבי הנתונים הבאים:</w:t>
      </w:r>
    </w:p>
    <w:p w14:paraId="16073EAB" w14:textId="77777777" w:rsidR="005E4C22" w:rsidRPr="00F25744" w:rsidRDefault="00E25AE7" w:rsidP="00341018">
      <w:pPr>
        <w:pStyle w:val="a3"/>
        <w:numPr>
          <w:ilvl w:val="0"/>
          <w:numId w:val="29"/>
        </w:numPr>
        <w:bidi/>
        <w:spacing w:before="120" w:after="0" w:line="360" w:lineRule="auto"/>
        <w:ind w:left="1218" w:hanging="425"/>
        <w:rPr>
          <w:rFonts w:ascii="David" w:hAnsi="David" w:cs="David"/>
          <w:sz w:val="24"/>
          <w:szCs w:val="24"/>
        </w:rPr>
      </w:pPr>
      <w:r w:rsidRPr="00F25744">
        <w:rPr>
          <w:rFonts w:ascii="David" w:hAnsi="David" w:cs="David" w:hint="cs"/>
          <w:sz w:val="24"/>
          <w:szCs w:val="24"/>
          <w:rtl/>
        </w:rPr>
        <w:t xml:space="preserve">כמה עמודים להערכתך אורכת </w:t>
      </w:r>
      <w:r w:rsidRPr="00F25744">
        <w:rPr>
          <w:rFonts w:ascii="David" w:hAnsi="David" w:cs="David" w:hint="cs"/>
          <w:b/>
          <w:bCs/>
          <w:sz w:val="24"/>
          <w:szCs w:val="24"/>
          <w:rtl/>
        </w:rPr>
        <w:t>החלטת ביניים במסמך עצמאי</w:t>
      </w:r>
      <w:r w:rsidRPr="00F25744">
        <w:rPr>
          <w:rFonts w:ascii="David" w:hAnsi="David" w:cs="David" w:hint="cs"/>
          <w:sz w:val="24"/>
          <w:szCs w:val="24"/>
          <w:rtl/>
        </w:rPr>
        <w:t xml:space="preserve"> (לרבות החלטה לאחר סגירה) (עמוד 1, 2 עמודים, 3 עמודים, 4 עמודים, 5 עמודים, אם יותר מ-5, כמה?)</w:t>
      </w:r>
    </w:p>
    <w:p w14:paraId="2EFBEB0E" w14:textId="77777777" w:rsidR="005E4C22" w:rsidRPr="00F25744" w:rsidRDefault="00E25AE7" w:rsidP="00341018">
      <w:pPr>
        <w:pStyle w:val="a3"/>
        <w:numPr>
          <w:ilvl w:val="0"/>
          <w:numId w:val="29"/>
        </w:numPr>
        <w:bidi/>
        <w:spacing w:before="120" w:after="0" w:line="360" w:lineRule="auto"/>
        <w:ind w:left="1218" w:hanging="425"/>
        <w:rPr>
          <w:rFonts w:ascii="David" w:hAnsi="David" w:cs="David"/>
          <w:sz w:val="24"/>
          <w:szCs w:val="24"/>
        </w:rPr>
      </w:pPr>
      <w:r w:rsidRPr="00F25744">
        <w:rPr>
          <w:rFonts w:ascii="David" w:hAnsi="David" w:cs="David" w:hint="cs"/>
          <w:sz w:val="24"/>
          <w:szCs w:val="24"/>
          <w:rtl/>
        </w:rPr>
        <w:t xml:space="preserve">כמה זמן להערכתך לוקח לך לכתוב </w:t>
      </w:r>
      <w:r w:rsidRPr="00F25744">
        <w:rPr>
          <w:rFonts w:ascii="David" w:hAnsi="David" w:cs="David" w:hint="cs"/>
          <w:b/>
          <w:bCs/>
          <w:sz w:val="24"/>
          <w:szCs w:val="24"/>
          <w:rtl/>
        </w:rPr>
        <w:t>עמוד בודד בפסק דין מנומק</w:t>
      </w:r>
      <w:r w:rsidRPr="00F25744">
        <w:rPr>
          <w:rFonts w:ascii="David" w:hAnsi="David" w:cs="David" w:hint="cs"/>
          <w:sz w:val="24"/>
          <w:szCs w:val="24"/>
          <w:rtl/>
        </w:rPr>
        <w:t xml:space="preserve"> (שניתן מחוץ לאולם, ללא הסכמות הצדדים)?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w:t>
      </w:r>
    </w:p>
    <w:p w14:paraId="11755620" w14:textId="77777777" w:rsidR="005E4C22" w:rsidRPr="00F25744" w:rsidRDefault="00E25AE7" w:rsidP="00341018">
      <w:pPr>
        <w:pStyle w:val="a3"/>
        <w:numPr>
          <w:ilvl w:val="1"/>
          <w:numId w:val="42"/>
        </w:numPr>
        <w:bidi/>
        <w:spacing w:before="120" w:after="0" w:line="360" w:lineRule="auto"/>
        <w:ind w:left="793" w:hanging="425"/>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תה"ס</w:t>
      </w:r>
      <w:r w:rsidRPr="00F25744">
        <w:rPr>
          <w:rFonts w:ascii="David" w:hAnsi="David" w:cs="David" w:hint="cs"/>
          <w:b/>
          <w:bCs/>
          <w:sz w:val="24"/>
          <w:szCs w:val="24"/>
          <w:rtl/>
        </w:rPr>
        <w:t>,</w:t>
      </w:r>
      <w:r w:rsidRPr="00F25744">
        <w:rPr>
          <w:rFonts w:ascii="David" w:hAnsi="David" w:cs="David" w:hint="cs"/>
          <w:sz w:val="24"/>
          <w:szCs w:val="24"/>
          <w:rtl/>
        </w:rPr>
        <w:t xml:space="preserve"> אנא סמן כמה </w:t>
      </w:r>
      <w:r w:rsidRPr="00F25744">
        <w:rPr>
          <w:rFonts w:ascii="David" w:hAnsi="David" w:cs="David" w:hint="cs"/>
          <w:b/>
          <w:bCs/>
          <w:sz w:val="24"/>
          <w:szCs w:val="24"/>
          <w:rtl/>
        </w:rPr>
        <w:t>זמן</w:t>
      </w:r>
      <w:r w:rsidRPr="00F25744">
        <w:rPr>
          <w:rFonts w:ascii="David" w:hAnsi="David" w:cs="David" w:hint="cs"/>
          <w:sz w:val="24"/>
          <w:szCs w:val="24"/>
          <w:rtl/>
        </w:rPr>
        <w:t xml:space="preserve"> בממוצע אורכות להערכתך הפעולות הבאות:</w:t>
      </w:r>
    </w:p>
    <w:p w14:paraId="5D75BB87" w14:textId="77777777" w:rsidR="005E4C22" w:rsidRPr="00F25744" w:rsidRDefault="00E25AE7" w:rsidP="00341018">
      <w:pPr>
        <w:pStyle w:val="a3"/>
        <w:numPr>
          <w:ilvl w:val="0"/>
          <w:numId w:val="29"/>
        </w:numPr>
        <w:bidi/>
        <w:spacing w:before="120" w:after="0" w:line="360" w:lineRule="auto"/>
        <w:ind w:left="1218" w:hanging="425"/>
        <w:rPr>
          <w:rFonts w:ascii="David" w:hAnsi="David" w:cs="David"/>
          <w:sz w:val="24"/>
          <w:szCs w:val="24"/>
        </w:rPr>
      </w:pPr>
      <w:r w:rsidRPr="00F25744">
        <w:rPr>
          <w:rFonts w:ascii="David" w:hAnsi="David" w:cs="David" w:hint="cs"/>
          <w:sz w:val="24"/>
          <w:szCs w:val="24"/>
          <w:rtl/>
        </w:rPr>
        <w:lastRenderedPageBreak/>
        <w:t xml:space="preserve">כתיבת </w:t>
      </w:r>
      <w:r w:rsidRPr="00F25744">
        <w:rPr>
          <w:rFonts w:ascii="David" w:hAnsi="David" w:cs="David" w:hint="cs"/>
          <w:b/>
          <w:bCs/>
          <w:sz w:val="24"/>
          <w:szCs w:val="24"/>
          <w:rtl/>
        </w:rPr>
        <w:t xml:space="preserve">עמוד אחד בהחלטת ביניים </w:t>
      </w:r>
      <w:r w:rsidRPr="00F25744">
        <w:rPr>
          <w:rFonts w:ascii="David" w:hAnsi="David" w:cs="David" w:hint="cs"/>
          <w:sz w:val="24"/>
          <w:szCs w:val="24"/>
          <w:rtl/>
        </w:rPr>
        <w:t>שניתנת</w:t>
      </w:r>
      <w:r w:rsidRPr="00F25744">
        <w:rPr>
          <w:rFonts w:ascii="David" w:hAnsi="David" w:cs="David" w:hint="cs"/>
          <w:b/>
          <w:bCs/>
          <w:sz w:val="24"/>
          <w:szCs w:val="24"/>
          <w:rtl/>
        </w:rPr>
        <w:t xml:space="preserve"> במסמך עצמאי </w:t>
      </w:r>
      <w:r w:rsidRPr="00F25744">
        <w:rPr>
          <w:rFonts w:ascii="David" w:hAnsi="David" w:cs="David" w:hint="cs"/>
          <w:sz w:val="24"/>
          <w:szCs w:val="24"/>
          <w:rtl/>
        </w:rPr>
        <w:t xml:space="preserve">(לרבות החלטה לאחר סגירה) [1-3 דקות, 3-5 דקות, 5-7 דקות, 7-10 דקות, 10-15 דקות, אם מעל 15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08A802D6" w14:textId="77777777" w:rsidR="005E4C22" w:rsidRPr="00F25744" w:rsidRDefault="00E25AE7" w:rsidP="00341018">
      <w:pPr>
        <w:pStyle w:val="a3"/>
        <w:numPr>
          <w:ilvl w:val="0"/>
          <w:numId w:val="29"/>
        </w:numPr>
        <w:bidi/>
        <w:spacing w:before="120" w:after="0" w:line="360" w:lineRule="auto"/>
        <w:ind w:left="1218" w:hanging="425"/>
        <w:rPr>
          <w:rFonts w:ascii="David" w:hAnsi="David" w:cs="David"/>
          <w:sz w:val="24"/>
          <w:szCs w:val="24"/>
        </w:rPr>
      </w:pPr>
      <w:r w:rsidRPr="00F25744">
        <w:rPr>
          <w:rFonts w:ascii="David" w:hAnsi="David" w:cs="David" w:hint="cs"/>
          <w:sz w:val="24"/>
          <w:szCs w:val="24"/>
          <w:rtl/>
        </w:rPr>
        <w:t xml:space="preserve">כתיבת </w:t>
      </w:r>
      <w:r w:rsidRPr="00F25744">
        <w:rPr>
          <w:rFonts w:ascii="David" w:hAnsi="David" w:cs="David" w:hint="cs"/>
          <w:b/>
          <w:bCs/>
          <w:sz w:val="24"/>
          <w:szCs w:val="24"/>
          <w:rtl/>
        </w:rPr>
        <w:t>עמוד אחד בפסק דין מנומק</w:t>
      </w:r>
      <w:r w:rsidRPr="00F25744">
        <w:rPr>
          <w:rFonts w:ascii="David" w:hAnsi="David" w:cs="David" w:hint="cs"/>
          <w:sz w:val="24"/>
          <w:szCs w:val="24"/>
          <w:rtl/>
        </w:rPr>
        <w:t xml:space="preserve"> (שניתן מחוץ לאולם, ללא הסכמות הצדדים)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30818896" w14:textId="77777777" w:rsidR="005E4C22" w:rsidRPr="00F25744" w:rsidRDefault="00E25AE7" w:rsidP="00341018">
      <w:pPr>
        <w:numPr>
          <w:ilvl w:val="0"/>
          <w:numId w:val="42"/>
        </w:numPr>
        <w:spacing w:before="120" w:after="0" w:line="240" w:lineRule="auto"/>
        <w:jc w:val="both"/>
        <w:rPr>
          <w:rFonts w:ascii="David" w:hAnsi="David" w:cs="David"/>
          <w:b/>
          <w:bCs/>
          <w:sz w:val="24"/>
          <w:szCs w:val="24"/>
          <w:u w:val="single"/>
        </w:rPr>
      </w:pPr>
      <w:r w:rsidRPr="00F25744">
        <w:rPr>
          <w:rFonts w:ascii="David" w:hAnsi="David" w:cs="David" w:hint="cs"/>
          <w:b/>
          <w:bCs/>
          <w:sz w:val="24"/>
          <w:szCs w:val="24"/>
          <w:u w:val="single"/>
          <w:rtl/>
        </w:rPr>
        <w:t xml:space="preserve">היבטים נוספים של העומס </w:t>
      </w:r>
      <w:r w:rsidRPr="00F25744">
        <w:rPr>
          <w:rFonts w:ascii="David" w:hAnsi="David" w:cs="David" w:hint="cs"/>
          <w:sz w:val="24"/>
          <w:szCs w:val="24"/>
          <w:rtl/>
        </w:rPr>
        <w:t>(ראו נספח ב1: כללי)</w:t>
      </w:r>
    </w:p>
    <w:p w14:paraId="7461A8D9" w14:textId="77777777" w:rsidR="005E4C22" w:rsidRPr="00F25744" w:rsidRDefault="00E25AE7" w:rsidP="00341018">
      <w:pPr>
        <w:numPr>
          <w:ilvl w:val="0"/>
          <w:numId w:val="42"/>
        </w:numPr>
        <w:spacing w:before="120" w:after="0" w:line="240" w:lineRule="auto"/>
        <w:jc w:val="both"/>
        <w:rPr>
          <w:rFonts w:ascii="David" w:hAnsi="David" w:cs="David"/>
          <w:b/>
          <w:bCs/>
          <w:sz w:val="24"/>
          <w:szCs w:val="24"/>
          <w:u w:val="single"/>
        </w:rPr>
      </w:pPr>
      <w:r w:rsidRPr="00F25744">
        <w:rPr>
          <w:rFonts w:ascii="David" w:hAnsi="David" w:cs="David" w:hint="cs"/>
          <w:b/>
          <w:bCs/>
          <w:sz w:val="24"/>
          <w:szCs w:val="24"/>
          <w:u w:val="single"/>
          <w:rtl/>
        </w:rPr>
        <w:t>עומס רגשי</w:t>
      </w:r>
      <w:r w:rsidRPr="00F25744">
        <w:rPr>
          <w:rFonts w:ascii="David" w:hAnsi="David" w:cs="David" w:hint="cs"/>
          <w:b/>
          <w:bCs/>
          <w:sz w:val="24"/>
          <w:szCs w:val="24"/>
          <w:rtl/>
        </w:rPr>
        <w:t xml:space="preserve"> </w:t>
      </w:r>
      <w:r w:rsidRPr="00F25744">
        <w:rPr>
          <w:rFonts w:ascii="David" w:hAnsi="David" w:cs="David" w:hint="cs"/>
          <w:sz w:val="24"/>
          <w:szCs w:val="24"/>
          <w:rtl/>
        </w:rPr>
        <w:t>(ראו נספח ב1: כללי)</w:t>
      </w:r>
    </w:p>
    <w:p w14:paraId="61977C2C" w14:textId="77777777" w:rsidR="005E4C22" w:rsidRPr="00F25744" w:rsidRDefault="00E25AE7" w:rsidP="00341018">
      <w:pPr>
        <w:numPr>
          <w:ilvl w:val="0"/>
          <w:numId w:val="42"/>
        </w:numPr>
        <w:spacing w:before="120" w:after="0" w:line="240" w:lineRule="auto"/>
        <w:jc w:val="both"/>
        <w:rPr>
          <w:rFonts w:ascii="David" w:hAnsi="David" w:cs="David"/>
          <w:b/>
          <w:bCs/>
          <w:sz w:val="24"/>
          <w:szCs w:val="24"/>
          <w:u w:val="single"/>
        </w:rPr>
      </w:pPr>
      <w:r w:rsidRPr="00F25744">
        <w:rPr>
          <w:rFonts w:ascii="David" w:hAnsi="David" w:cs="David" w:hint="cs"/>
          <w:b/>
          <w:bCs/>
          <w:sz w:val="24"/>
          <w:szCs w:val="24"/>
          <w:u w:val="single"/>
          <w:rtl/>
        </w:rPr>
        <w:t>שאלות פתוחות</w:t>
      </w:r>
      <w:r w:rsidRPr="00F25744">
        <w:rPr>
          <w:rFonts w:ascii="David" w:hAnsi="David" w:cs="David" w:hint="cs"/>
          <w:b/>
          <w:bCs/>
          <w:sz w:val="24"/>
          <w:szCs w:val="24"/>
          <w:rtl/>
        </w:rPr>
        <w:t xml:space="preserve"> </w:t>
      </w:r>
      <w:r w:rsidRPr="00F25744">
        <w:rPr>
          <w:rFonts w:ascii="David" w:hAnsi="David" w:cs="David" w:hint="cs"/>
          <w:sz w:val="24"/>
          <w:szCs w:val="24"/>
          <w:rtl/>
        </w:rPr>
        <w:t>(ראו נספח ב1: כללי)</w:t>
      </w:r>
    </w:p>
    <w:p w14:paraId="0B83A131" w14:textId="77777777" w:rsidR="005E4C22" w:rsidRPr="00F25744" w:rsidRDefault="005E4C22" w:rsidP="005E4C22">
      <w:pPr>
        <w:rPr>
          <w:rtl/>
        </w:rPr>
      </w:pPr>
    </w:p>
    <w:p w14:paraId="53CB9C48" w14:textId="77777777" w:rsidR="005E4C22" w:rsidRPr="00F25744" w:rsidRDefault="005E4C22" w:rsidP="005E4C22">
      <w:pPr>
        <w:rPr>
          <w:rtl/>
        </w:rPr>
      </w:pPr>
    </w:p>
    <w:p w14:paraId="45375AEF" w14:textId="77777777" w:rsidR="005E4C22" w:rsidRPr="00F25744" w:rsidRDefault="005E4C22" w:rsidP="005E4C22">
      <w:pPr>
        <w:rPr>
          <w:rtl/>
        </w:rPr>
      </w:pPr>
    </w:p>
    <w:p w14:paraId="77A8686D" w14:textId="77777777" w:rsidR="005E4C22" w:rsidRPr="00F25744" w:rsidRDefault="005E4C22" w:rsidP="005E4C22">
      <w:pPr>
        <w:rPr>
          <w:rtl/>
        </w:rPr>
      </w:pPr>
    </w:p>
    <w:p w14:paraId="12BB0321" w14:textId="77777777" w:rsidR="005E4C22" w:rsidRPr="00F25744" w:rsidRDefault="005E4C22" w:rsidP="005E4C22">
      <w:pPr>
        <w:rPr>
          <w:rtl/>
        </w:rPr>
      </w:pPr>
    </w:p>
    <w:p w14:paraId="2B73C143" w14:textId="77777777" w:rsidR="005E4C22" w:rsidRPr="00F25744" w:rsidRDefault="005E4C22" w:rsidP="005E4C22">
      <w:pPr>
        <w:rPr>
          <w:rtl/>
        </w:rPr>
      </w:pPr>
    </w:p>
    <w:p w14:paraId="12C9EAA1" w14:textId="77777777" w:rsidR="005E4C22" w:rsidRPr="00F25744" w:rsidRDefault="005E4C22" w:rsidP="005E4C22">
      <w:pPr>
        <w:rPr>
          <w:rtl/>
        </w:rPr>
      </w:pPr>
    </w:p>
    <w:p w14:paraId="673ADA4F" w14:textId="77777777" w:rsidR="005E4C22" w:rsidRPr="00F25744" w:rsidRDefault="005E4C22" w:rsidP="005E4C22">
      <w:pPr>
        <w:rPr>
          <w:rtl/>
        </w:rPr>
      </w:pPr>
    </w:p>
    <w:p w14:paraId="57D5EEE6" w14:textId="77777777" w:rsidR="005E4C22" w:rsidRPr="00F25744" w:rsidRDefault="005E4C22" w:rsidP="005E4C22">
      <w:pPr>
        <w:rPr>
          <w:rtl/>
        </w:rPr>
      </w:pPr>
    </w:p>
    <w:p w14:paraId="453AE477" w14:textId="77777777" w:rsidR="005E4C22" w:rsidRPr="00F25744" w:rsidRDefault="005E4C22" w:rsidP="005E4C22">
      <w:pPr>
        <w:rPr>
          <w:rtl/>
        </w:rPr>
      </w:pPr>
    </w:p>
    <w:p w14:paraId="7F5B8D2E" w14:textId="77777777" w:rsidR="005E4C22" w:rsidRPr="00F25744" w:rsidRDefault="005E4C22" w:rsidP="005E4C22">
      <w:pPr>
        <w:rPr>
          <w:rtl/>
        </w:rPr>
      </w:pPr>
    </w:p>
    <w:p w14:paraId="764429C0" w14:textId="77777777" w:rsidR="005E4C22" w:rsidRPr="00F25744" w:rsidRDefault="005E4C22" w:rsidP="005E4C22">
      <w:pPr>
        <w:rPr>
          <w:rtl/>
        </w:rPr>
      </w:pPr>
    </w:p>
    <w:p w14:paraId="30029753" w14:textId="77777777" w:rsidR="005E4C22" w:rsidRPr="00F25744" w:rsidRDefault="005E4C22" w:rsidP="005E4C22">
      <w:pPr>
        <w:rPr>
          <w:rtl/>
        </w:rPr>
      </w:pPr>
    </w:p>
    <w:p w14:paraId="6E740645" w14:textId="77777777" w:rsidR="000B27AF" w:rsidRPr="00F25744" w:rsidRDefault="000B27AF">
      <w:pPr>
        <w:bidi w:val="0"/>
        <w:spacing w:after="0" w:line="240" w:lineRule="auto"/>
        <w:rPr>
          <w:rFonts w:ascii="David" w:hAnsi="David" w:cs="David"/>
          <w:b/>
          <w:bCs/>
          <w:sz w:val="24"/>
          <w:szCs w:val="24"/>
          <w:rtl/>
        </w:rPr>
      </w:pPr>
      <w:bookmarkStart w:id="943" w:name="_Toc46412652"/>
      <w:bookmarkStart w:id="944" w:name="_Toc46416525"/>
      <w:bookmarkStart w:id="945" w:name="_Toc46694218"/>
      <w:bookmarkStart w:id="946" w:name="_Toc49352806"/>
      <w:bookmarkStart w:id="947" w:name="_Toc49429713"/>
      <w:bookmarkStart w:id="948" w:name="_Toc49435942"/>
      <w:r w:rsidRPr="00F25744">
        <w:rPr>
          <w:rtl/>
        </w:rPr>
        <w:br w:type="page"/>
      </w:r>
    </w:p>
    <w:p w14:paraId="74216AF7" w14:textId="77777777" w:rsidR="005E4C22" w:rsidRPr="00F25744" w:rsidRDefault="00E25AE7" w:rsidP="00470BAF">
      <w:pPr>
        <w:pStyle w:val="3"/>
        <w:numPr>
          <w:ilvl w:val="0"/>
          <w:numId w:val="0"/>
        </w:numPr>
        <w:rPr>
          <w:rtl/>
        </w:rPr>
      </w:pPr>
      <w:bookmarkStart w:id="949" w:name="_Toc74751050"/>
      <w:r w:rsidRPr="00F25744">
        <w:rPr>
          <w:rFonts w:hint="cs"/>
          <w:rtl/>
        </w:rPr>
        <w:lastRenderedPageBreak/>
        <w:t>נספח ב8: ערכאת נוער</w:t>
      </w:r>
      <w:bookmarkEnd w:id="943"/>
      <w:bookmarkEnd w:id="944"/>
      <w:bookmarkEnd w:id="945"/>
      <w:bookmarkEnd w:id="946"/>
      <w:bookmarkEnd w:id="947"/>
      <w:bookmarkEnd w:id="948"/>
      <w:bookmarkEnd w:id="949"/>
    </w:p>
    <w:p w14:paraId="41118722" w14:textId="77777777" w:rsidR="005E4C22" w:rsidRPr="00F25744" w:rsidRDefault="00E25AE7" w:rsidP="005E4C22">
      <w:pPr>
        <w:spacing w:before="120" w:after="0" w:line="360" w:lineRule="auto"/>
        <w:jc w:val="center"/>
        <w:rPr>
          <w:rFonts w:ascii="David" w:hAnsi="David" w:cs="David"/>
          <w:b/>
          <w:bCs/>
          <w:sz w:val="30"/>
          <w:szCs w:val="30"/>
          <w:u w:val="single"/>
          <w:rtl/>
        </w:rPr>
      </w:pPr>
      <w:r w:rsidRPr="00F25744">
        <w:rPr>
          <w:rFonts w:ascii="David" w:hAnsi="David" w:cs="David"/>
          <w:b/>
          <w:bCs/>
          <w:sz w:val="30"/>
          <w:szCs w:val="30"/>
          <w:u w:val="single"/>
          <w:rtl/>
        </w:rPr>
        <w:t>שאלון מסכם</w:t>
      </w:r>
      <w:r w:rsidRPr="00F25744">
        <w:rPr>
          <w:rFonts w:ascii="David" w:hAnsi="David" w:cs="David" w:hint="cs"/>
          <w:b/>
          <w:bCs/>
          <w:sz w:val="30"/>
          <w:szCs w:val="30"/>
          <w:u w:val="single"/>
          <w:rtl/>
        </w:rPr>
        <w:t xml:space="preserve"> למחקר עומס עבודה שיפוטית בערכאת הנוער</w:t>
      </w:r>
    </w:p>
    <w:p w14:paraId="5879F180" w14:textId="77777777" w:rsidR="005E4C22" w:rsidRPr="00F25744" w:rsidRDefault="00E25AE7" w:rsidP="005E4C22">
      <w:pPr>
        <w:spacing w:before="120" w:after="0" w:line="360" w:lineRule="auto"/>
        <w:jc w:val="both"/>
        <w:rPr>
          <w:rFonts w:ascii="David" w:hAnsi="David" w:cs="David"/>
          <w:sz w:val="24"/>
          <w:szCs w:val="24"/>
          <w:rtl/>
        </w:rPr>
      </w:pPr>
      <w:r w:rsidRPr="00F25744">
        <w:rPr>
          <w:rFonts w:ascii="David" w:hAnsi="David" w:cs="David" w:hint="cs"/>
          <w:sz w:val="24"/>
          <w:szCs w:val="24"/>
          <w:rtl/>
        </w:rPr>
        <w:t>שופט/ת, רשם/מת מכובד/ת,</w:t>
      </w:r>
    </w:p>
    <w:p w14:paraId="5932A6A5" w14:textId="77777777" w:rsidR="005E4C22" w:rsidRPr="00F25744" w:rsidRDefault="00E25AE7" w:rsidP="005E4C22">
      <w:pPr>
        <w:spacing w:before="120" w:after="0" w:line="360" w:lineRule="auto"/>
        <w:jc w:val="both"/>
        <w:rPr>
          <w:rFonts w:ascii="David" w:hAnsi="David" w:cs="David"/>
          <w:sz w:val="24"/>
          <w:szCs w:val="24"/>
          <w:rtl/>
        </w:rPr>
      </w:pPr>
      <w:r w:rsidRPr="00F25744">
        <w:rPr>
          <w:rFonts w:ascii="David" w:hAnsi="David" w:cs="David" w:hint="cs"/>
          <w:sz w:val="24"/>
          <w:szCs w:val="24"/>
          <w:rtl/>
        </w:rPr>
        <w:t>לפניך שאלון חד פעמי שנועד לתקף ולסכם את מחקר עומס העבודה השיפוטית.</w:t>
      </w:r>
    </w:p>
    <w:p w14:paraId="072FFE68" w14:textId="77777777" w:rsidR="005E4C22" w:rsidRPr="00F25744" w:rsidRDefault="00E25AE7" w:rsidP="005E4C22">
      <w:pPr>
        <w:spacing w:before="120" w:after="0" w:line="360" w:lineRule="auto"/>
        <w:jc w:val="both"/>
        <w:rPr>
          <w:rFonts w:ascii="David" w:hAnsi="David" w:cs="David"/>
          <w:sz w:val="24"/>
          <w:szCs w:val="24"/>
          <w:rtl/>
        </w:rPr>
      </w:pPr>
      <w:r w:rsidRPr="00F25744">
        <w:rPr>
          <w:rFonts w:ascii="David" w:hAnsi="David" w:cs="David" w:hint="cs"/>
          <w:sz w:val="24"/>
          <w:szCs w:val="24"/>
          <w:rtl/>
        </w:rPr>
        <w:t>המעבר בין המסכים מתבצע על ידי לחיצה על כפתור "הבא".</w:t>
      </w:r>
    </w:p>
    <w:p w14:paraId="573F95ED" w14:textId="77777777" w:rsidR="005E4C22" w:rsidRPr="00F25744" w:rsidRDefault="00E25AE7" w:rsidP="005E4C22">
      <w:pPr>
        <w:spacing w:before="120" w:after="0" w:line="360" w:lineRule="auto"/>
        <w:jc w:val="both"/>
        <w:rPr>
          <w:rFonts w:ascii="David" w:hAnsi="David" w:cs="David"/>
          <w:sz w:val="24"/>
          <w:szCs w:val="24"/>
          <w:rtl/>
        </w:rPr>
      </w:pPr>
      <w:r w:rsidRPr="00F25744">
        <w:rPr>
          <w:rFonts w:ascii="David" w:hAnsi="David" w:cs="David" w:hint="cs"/>
          <w:sz w:val="24"/>
          <w:szCs w:val="24"/>
          <w:rtl/>
        </w:rPr>
        <w:t>אנא מלא/י את השאלון עד לשליחה הסופית של הנתונים באמצעות כפתור "שלח" וקבלת מסך "אישור".</w:t>
      </w:r>
    </w:p>
    <w:p w14:paraId="3D677D24" w14:textId="77777777" w:rsidR="005E4C22" w:rsidRPr="00F25744" w:rsidRDefault="00E25AE7" w:rsidP="00341018">
      <w:pPr>
        <w:numPr>
          <w:ilvl w:val="0"/>
          <w:numId w:val="43"/>
        </w:numPr>
        <w:spacing w:before="120" w:after="0" w:line="360" w:lineRule="auto"/>
        <w:jc w:val="both"/>
        <w:rPr>
          <w:rFonts w:ascii="David" w:hAnsi="David" w:cs="David"/>
          <w:b/>
          <w:bCs/>
          <w:sz w:val="24"/>
          <w:szCs w:val="24"/>
          <w:u w:val="single"/>
          <w:rtl/>
        </w:rPr>
      </w:pPr>
      <w:r w:rsidRPr="00F25744">
        <w:rPr>
          <w:rFonts w:ascii="David" w:hAnsi="David" w:cs="David" w:hint="cs"/>
          <w:b/>
          <w:bCs/>
          <w:sz w:val="24"/>
          <w:szCs w:val="24"/>
          <w:u w:val="single"/>
          <w:rtl/>
        </w:rPr>
        <w:t>דירוג סוגי התיקים</w:t>
      </w:r>
    </w:p>
    <w:p w14:paraId="463891F7" w14:textId="77777777" w:rsidR="005E4C22" w:rsidRPr="00F25744" w:rsidRDefault="00E25AE7" w:rsidP="00341018">
      <w:pPr>
        <w:numPr>
          <w:ilvl w:val="1"/>
          <w:numId w:val="43"/>
        </w:numPr>
        <w:spacing w:before="120" w:after="0" w:line="360" w:lineRule="auto"/>
        <w:jc w:val="both"/>
        <w:rPr>
          <w:rFonts w:ascii="David" w:hAnsi="David" w:cs="David"/>
          <w:sz w:val="24"/>
          <w:szCs w:val="24"/>
        </w:rPr>
      </w:pPr>
      <w:r w:rsidRPr="00F25744">
        <w:rPr>
          <w:rFonts w:ascii="David" w:hAnsi="David" w:cs="David" w:hint="cs"/>
          <w:sz w:val="24"/>
          <w:szCs w:val="24"/>
          <w:rtl/>
        </w:rPr>
        <w:t>לפניך רשימה עדכנית של 12 סוגי תיקים של ערכאת הנוער, אשר מהווים כ-98% מכלל תיקי הנוער אשר נסגרו בשנת 2019, ואשר יש בידי מחלקת המחקר די נתונים על מנת לתת להם משקל במסגרת המחקר הנוכחי:</w:t>
      </w:r>
    </w:p>
    <w:p w14:paraId="034479F0" w14:textId="77777777" w:rsidR="005E4C22" w:rsidRPr="00F25744" w:rsidRDefault="00E25AE7" w:rsidP="005E4C22">
      <w:pPr>
        <w:spacing w:before="120" w:after="0" w:line="360" w:lineRule="auto"/>
        <w:ind w:left="935"/>
        <w:jc w:val="both"/>
        <w:rPr>
          <w:rFonts w:ascii="David" w:hAnsi="David" w:cs="David"/>
          <w:b/>
          <w:bCs/>
          <w:sz w:val="24"/>
          <w:szCs w:val="24"/>
          <w:rtl/>
        </w:rPr>
      </w:pPr>
      <w:r w:rsidRPr="00F25744">
        <w:rPr>
          <w:rFonts w:ascii="David" w:hAnsi="David" w:cs="David" w:hint="cs"/>
          <w:b/>
          <w:bCs/>
          <w:sz w:val="24"/>
          <w:szCs w:val="24"/>
          <w:rtl/>
        </w:rPr>
        <w:t>ת"פ; תנ"ז; צב"ן; מ"י; מי"ב; מ"ת; תת"ע; צ"א; צ"ח</w:t>
      </w:r>
      <w:r w:rsidRPr="00F25744">
        <w:rPr>
          <w:rFonts w:ascii="David" w:hAnsi="David" w:cs="David" w:hint="cs"/>
          <w:sz w:val="24"/>
          <w:szCs w:val="24"/>
          <w:rtl/>
        </w:rPr>
        <w:t xml:space="preserve">; </w:t>
      </w:r>
      <w:r w:rsidRPr="00F25744">
        <w:rPr>
          <w:rFonts w:ascii="David" w:hAnsi="David" w:cs="David" w:hint="cs"/>
          <w:b/>
          <w:bCs/>
          <w:sz w:val="24"/>
          <w:szCs w:val="24"/>
          <w:rtl/>
        </w:rPr>
        <w:t>מ"ס; מס"ט; וש"ר</w:t>
      </w:r>
    </w:p>
    <w:p w14:paraId="7506B16B" w14:textId="77777777" w:rsidR="005E4C22" w:rsidRPr="00F25744" w:rsidRDefault="00E25AE7" w:rsidP="005E4C22">
      <w:pPr>
        <w:spacing w:before="120" w:after="0" w:line="360" w:lineRule="auto"/>
        <w:ind w:left="935"/>
        <w:jc w:val="both"/>
        <w:rPr>
          <w:rFonts w:ascii="David" w:hAnsi="David" w:cs="David"/>
          <w:sz w:val="24"/>
          <w:szCs w:val="24"/>
          <w:rtl/>
        </w:rPr>
      </w:pPr>
      <w:r w:rsidRPr="00F25744">
        <w:rPr>
          <w:rFonts w:ascii="David" w:hAnsi="David" w:cs="David" w:hint="cs"/>
          <w:sz w:val="24"/>
          <w:szCs w:val="24"/>
          <w:rtl/>
        </w:rPr>
        <w:t xml:space="preserve">אנא סמן/סמני </w:t>
      </w:r>
      <w:r w:rsidRPr="00F25744">
        <w:rPr>
          <w:rFonts w:ascii="David" w:hAnsi="David" w:cs="David" w:hint="cs"/>
          <w:sz w:val="24"/>
          <w:szCs w:val="24"/>
        </w:rPr>
        <w:t>V</w:t>
      </w:r>
      <w:r w:rsidRPr="00F25744">
        <w:rPr>
          <w:rFonts w:ascii="David" w:hAnsi="David" w:cs="David" w:hint="cs"/>
          <w:sz w:val="24"/>
          <w:szCs w:val="24"/>
          <w:rtl/>
        </w:rPr>
        <w:t xml:space="preserve"> לצד כל סוגי התיקים </w:t>
      </w:r>
      <w:r w:rsidRPr="00F25744">
        <w:rPr>
          <w:rFonts w:ascii="David" w:hAnsi="David" w:cs="David" w:hint="cs"/>
          <w:b/>
          <w:bCs/>
          <w:sz w:val="24"/>
          <w:szCs w:val="24"/>
          <w:rtl/>
        </w:rPr>
        <w:t>שבהם טיפלת</w:t>
      </w:r>
      <w:r w:rsidRPr="00F25744">
        <w:rPr>
          <w:rFonts w:ascii="David" w:hAnsi="David" w:cs="David" w:hint="cs"/>
          <w:sz w:val="24"/>
          <w:szCs w:val="24"/>
          <w:rtl/>
        </w:rPr>
        <w:t xml:space="preserve"> במהלך השנתיים האחרונות. </w:t>
      </w:r>
      <w:r w:rsidRPr="00F25744">
        <w:rPr>
          <w:rFonts w:ascii="David" w:hAnsi="David" w:cs="David"/>
          <w:sz w:val="24"/>
          <w:szCs w:val="24"/>
          <w:rtl/>
        </w:rPr>
        <w:t xml:space="preserve"> </w:t>
      </w:r>
    </w:p>
    <w:p w14:paraId="1CD14FC9" w14:textId="77777777" w:rsidR="005E4C22" w:rsidRPr="00F25744" w:rsidRDefault="00E25AE7" w:rsidP="00341018">
      <w:pPr>
        <w:numPr>
          <w:ilvl w:val="1"/>
          <w:numId w:val="43"/>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ברשימה הימנית שלפניך מופיעים סוגי התיקים שבהם בחרת בשאלה הקודמת. </w:t>
      </w:r>
    </w:p>
    <w:p w14:paraId="24EE8A71" w14:textId="77777777" w:rsidR="005E4C22" w:rsidRPr="00F25744" w:rsidRDefault="00E25AE7" w:rsidP="005E4C22">
      <w:pPr>
        <w:spacing w:before="120" w:after="0" w:line="360" w:lineRule="auto"/>
        <w:ind w:left="935"/>
        <w:jc w:val="both"/>
        <w:rPr>
          <w:rFonts w:ascii="David" w:hAnsi="David" w:cs="David"/>
          <w:sz w:val="24"/>
          <w:szCs w:val="24"/>
          <w:rtl/>
        </w:rPr>
      </w:pPr>
      <w:r w:rsidRPr="00F25744">
        <w:rPr>
          <w:rFonts w:ascii="David" w:hAnsi="David" w:cs="David" w:hint="cs"/>
          <w:sz w:val="24"/>
          <w:szCs w:val="24"/>
          <w:rtl/>
        </w:rPr>
        <w:t xml:space="preserve">על מנת לתקף את ממצאי המחקר, נבקשך לסדר את סוגי התיקים שבטיפולך </w:t>
      </w:r>
      <w:r w:rsidRPr="00F25744">
        <w:rPr>
          <w:rFonts w:ascii="David" w:hAnsi="David" w:cs="David" w:hint="cs"/>
          <w:b/>
          <w:bCs/>
          <w:sz w:val="24"/>
          <w:szCs w:val="24"/>
          <w:rtl/>
        </w:rPr>
        <w:t>מן הכבד אל הקל</w:t>
      </w:r>
      <w:r w:rsidRPr="00F25744">
        <w:rPr>
          <w:rFonts w:ascii="David" w:hAnsi="David" w:cs="David" w:hint="cs"/>
          <w:sz w:val="24"/>
          <w:szCs w:val="24"/>
          <w:rtl/>
        </w:rPr>
        <w:t xml:space="preserve">. לשם כך עליך לבחור את סוגי התיקים מן הרשימה שבצד ימין </w:t>
      </w:r>
      <w:r w:rsidRPr="00F25744">
        <w:rPr>
          <w:rFonts w:ascii="David" w:hAnsi="David" w:cs="David" w:hint="cs"/>
          <w:b/>
          <w:bCs/>
          <w:sz w:val="24"/>
          <w:szCs w:val="24"/>
          <w:rtl/>
        </w:rPr>
        <w:t>ולגרור</w:t>
      </w:r>
      <w:r w:rsidRPr="00F25744">
        <w:rPr>
          <w:rFonts w:ascii="David" w:hAnsi="David" w:cs="David" w:hint="cs"/>
          <w:sz w:val="24"/>
          <w:szCs w:val="24"/>
          <w:rtl/>
        </w:rPr>
        <w:t xml:space="preserve"> אותם לרשימה הריקה שבצד שמאל. בראש הרשימה השמאלית יש למקם את סוג התיק שלדעתך מצריך את זמן העבודה </w:t>
      </w:r>
      <w:r w:rsidRPr="00F25744">
        <w:rPr>
          <w:rFonts w:ascii="David" w:hAnsi="David" w:cs="David" w:hint="cs"/>
          <w:b/>
          <w:bCs/>
          <w:sz w:val="24"/>
          <w:szCs w:val="24"/>
          <w:rtl/>
        </w:rPr>
        <w:t>הארוך</w:t>
      </w:r>
      <w:r w:rsidRPr="00F25744">
        <w:rPr>
          <w:rFonts w:ascii="David" w:hAnsi="David" w:cs="David" w:hint="cs"/>
          <w:sz w:val="24"/>
          <w:szCs w:val="24"/>
          <w:rtl/>
        </w:rPr>
        <w:t xml:space="preserve"> ביותר עד לסיום הטיפול בו, ולאחר מכן יש למקם בסדר יורד את יתר סוגי התיקים, אשר ביחס לסוג התיק הראשון מצריכים ממך פחות זמן עד לסיום הטיפול בהם. </w:t>
      </w:r>
    </w:p>
    <w:p w14:paraId="6E41E245" w14:textId="77777777" w:rsidR="005E4C22" w:rsidRPr="00F25744" w:rsidRDefault="00E25AE7" w:rsidP="00341018">
      <w:pPr>
        <w:numPr>
          <w:ilvl w:val="0"/>
          <w:numId w:val="43"/>
        </w:numPr>
        <w:spacing w:before="120" w:after="0" w:line="360" w:lineRule="auto"/>
        <w:jc w:val="both"/>
        <w:rPr>
          <w:rFonts w:ascii="David" w:hAnsi="David" w:cs="David"/>
          <w:b/>
          <w:bCs/>
          <w:sz w:val="24"/>
          <w:szCs w:val="24"/>
          <w:u w:val="single"/>
        </w:rPr>
      </w:pPr>
      <w:r w:rsidRPr="00F25744">
        <w:rPr>
          <w:rFonts w:ascii="David" w:hAnsi="David" w:cs="David" w:hint="cs"/>
          <w:b/>
          <w:bCs/>
          <w:sz w:val="24"/>
          <w:szCs w:val="24"/>
          <w:u w:val="single"/>
          <w:rtl/>
        </w:rPr>
        <w:t>שאלות כלליות</w:t>
      </w:r>
    </w:p>
    <w:p w14:paraId="70926D5F" w14:textId="77777777" w:rsidR="005E4C22" w:rsidRPr="00F25744"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hint="cs"/>
          <w:sz w:val="24"/>
          <w:szCs w:val="24"/>
          <w:rtl/>
        </w:rPr>
        <w:t xml:space="preserve">כמה זמן לוקח לך בממוצע לכתוב </w:t>
      </w:r>
      <w:r w:rsidRPr="00F25744">
        <w:rPr>
          <w:rFonts w:ascii="David" w:hAnsi="David" w:cs="David"/>
          <w:b/>
          <w:bCs/>
          <w:sz w:val="24"/>
          <w:szCs w:val="24"/>
          <w:rtl/>
        </w:rPr>
        <w:t>עמוד אחד של פס"ד</w:t>
      </w:r>
      <w:r w:rsidRPr="00F25744">
        <w:rPr>
          <w:rFonts w:ascii="David" w:hAnsi="David" w:cs="David"/>
          <w:sz w:val="24"/>
          <w:szCs w:val="24"/>
          <w:rtl/>
        </w:rPr>
        <w:t xml:space="preserve"> ש</w:t>
      </w:r>
      <w:r w:rsidRPr="00F25744">
        <w:rPr>
          <w:rFonts w:ascii="David" w:hAnsi="David" w:cs="David" w:hint="cs"/>
          <w:sz w:val="24"/>
          <w:szCs w:val="24"/>
          <w:rtl/>
        </w:rPr>
        <w:t>ניתן מחמת חו</w:t>
      </w:r>
      <w:r w:rsidRPr="00F25744">
        <w:rPr>
          <w:rFonts w:ascii="David" w:hAnsi="David" w:cs="David"/>
          <w:sz w:val="24"/>
          <w:szCs w:val="24"/>
          <w:rtl/>
        </w:rPr>
        <w:t>סר מעש/ אי תשלום/</w:t>
      </w:r>
      <w:r w:rsidRPr="00F25744">
        <w:rPr>
          <w:rFonts w:ascii="David" w:hAnsi="David" w:cs="David" w:hint="cs"/>
          <w:sz w:val="24"/>
          <w:szCs w:val="24"/>
          <w:rtl/>
        </w:rPr>
        <w:t xml:space="preserve"> </w:t>
      </w:r>
      <w:r w:rsidRPr="00F25744">
        <w:rPr>
          <w:rFonts w:ascii="David" w:hAnsi="David" w:cs="David"/>
          <w:sz w:val="24"/>
          <w:szCs w:val="24"/>
          <w:rtl/>
        </w:rPr>
        <w:t>התליית ההליכים/</w:t>
      </w:r>
      <w:r w:rsidRPr="00F25744">
        <w:rPr>
          <w:rFonts w:ascii="David" w:hAnsi="David" w:cs="David" w:hint="cs"/>
          <w:sz w:val="24"/>
          <w:szCs w:val="24"/>
          <w:rtl/>
        </w:rPr>
        <w:t xml:space="preserve"> </w:t>
      </w:r>
      <w:r w:rsidRPr="00F25744">
        <w:rPr>
          <w:rFonts w:ascii="David" w:hAnsi="David" w:cs="David"/>
          <w:sz w:val="24"/>
          <w:szCs w:val="24"/>
          <w:rtl/>
        </w:rPr>
        <w:t>הת</w:t>
      </w:r>
      <w:r w:rsidRPr="00F25744">
        <w:rPr>
          <w:rFonts w:ascii="David" w:hAnsi="David" w:cs="David" w:hint="cs"/>
          <w:sz w:val="24"/>
          <w:szCs w:val="24"/>
          <w:rtl/>
        </w:rPr>
        <w:t>י</w:t>
      </w:r>
      <w:r w:rsidRPr="00F25744">
        <w:rPr>
          <w:rFonts w:ascii="David" w:hAnsi="David" w:cs="David"/>
          <w:sz w:val="24"/>
          <w:szCs w:val="24"/>
          <w:rtl/>
        </w:rPr>
        <w:t>יתרות ההליך מחמת גביית עדות מוקדמת</w:t>
      </w:r>
      <w:r w:rsidRPr="00F25744">
        <w:rPr>
          <w:rFonts w:ascii="David" w:hAnsi="David" w:cs="David" w:hint="cs"/>
          <w:sz w:val="24"/>
          <w:szCs w:val="24"/>
          <w:rtl/>
        </w:rPr>
        <w:t xml:space="preserve">, בכל אחד מסוגי התיקים שסימנת?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15-20</w:t>
      </w:r>
      <w:r w:rsidRPr="00F25744">
        <w:rPr>
          <w:rFonts w:ascii="David" w:hAnsi="David" w:cs="David" w:hint="cs"/>
          <w:sz w:val="24"/>
          <w:szCs w:val="24"/>
          <w:rtl/>
        </w:rPr>
        <w:t xml:space="preserve"> דקות, מעל 20 דקות, לא רלבנטי לסוג התיק]</w:t>
      </w:r>
    </w:p>
    <w:p w14:paraId="3C7ABC8A" w14:textId="7E38DC2A" w:rsidR="005E4C22" w:rsidRDefault="00E25AE7" w:rsidP="00341018">
      <w:pPr>
        <w:numPr>
          <w:ilvl w:val="0"/>
          <w:numId w:val="30"/>
        </w:numPr>
        <w:spacing w:before="120" w:after="0" w:line="360" w:lineRule="auto"/>
        <w:jc w:val="both"/>
        <w:rPr>
          <w:rFonts w:ascii="David" w:hAnsi="David" w:cs="David"/>
          <w:sz w:val="24"/>
          <w:szCs w:val="24"/>
        </w:rPr>
      </w:pPr>
      <w:r w:rsidRPr="00F25744">
        <w:rPr>
          <w:rFonts w:ascii="David" w:hAnsi="David" w:cs="David"/>
          <w:sz w:val="24"/>
          <w:szCs w:val="24"/>
          <w:rtl/>
        </w:rPr>
        <w:t xml:space="preserve">כמה </w:t>
      </w:r>
      <w:r w:rsidRPr="00F25744">
        <w:rPr>
          <w:rFonts w:ascii="David" w:hAnsi="David" w:cs="David" w:hint="cs"/>
          <w:sz w:val="24"/>
          <w:szCs w:val="24"/>
          <w:rtl/>
        </w:rPr>
        <w:t>דקות</w:t>
      </w:r>
      <w:r w:rsidRPr="00F25744">
        <w:rPr>
          <w:rFonts w:ascii="David" w:hAnsi="David" w:cs="David"/>
          <w:sz w:val="24"/>
          <w:szCs w:val="24"/>
          <w:rtl/>
        </w:rPr>
        <w:t xml:space="preserve"> </w:t>
      </w:r>
      <w:r w:rsidRPr="00F25744">
        <w:rPr>
          <w:rFonts w:ascii="David" w:hAnsi="David" w:cs="David" w:hint="cs"/>
          <w:sz w:val="24"/>
          <w:szCs w:val="24"/>
          <w:rtl/>
        </w:rPr>
        <w:t xml:space="preserve">בממוצע </w:t>
      </w:r>
      <w:r w:rsidRPr="00F25744">
        <w:rPr>
          <w:rFonts w:ascii="David" w:hAnsi="David" w:cs="David"/>
          <w:sz w:val="24"/>
          <w:szCs w:val="24"/>
          <w:rtl/>
        </w:rPr>
        <w:t xml:space="preserve">לוקח לך לכתוב </w:t>
      </w:r>
      <w:r w:rsidRPr="00F25744">
        <w:rPr>
          <w:rFonts w:ascii="David" w:hAnsi="David" w:cs="David"/>
          <w:b/>
          <w:bCs/>
          <w:sz w:val="24"/>
          <w:szCs w:val="24"/>
          <w:rtl/>
        </w:rPr>
        <w:t>פתקית</w:t>
      </w:r>
      <w:r w:rsidRPr="00F25744">
        <w:rPr>
          <w:rFonts w:ascii="David" w:hAnsi="David" w:cs="David"/>
          <w:sz w:val="24"/>
          <w:szCs w:val="24"/>
          <w:rtl/>
        </w:rPr>
        <w:t xml:space="preserve"> (מנומקת או לא)</w:t>
      </w:r>
      <w:r w:rsidRPr="00F25744">
        <w:rPr>
          <w:rFonts w:ascii="David" w:hAnsi="David" w:cs="David" w:hint="cs"/>
          <w:sz w:val="24"/>
          <w:szCs w:val="24"/>
          <w:rtl/>
        </w:rPr>
        <w:t xml:space="preserve"> בכל אחד מסוגי התיקים שסימנת?</w:t>
      </w:r>
      <w:r w:rsidRPr="00F25744">
        <w:rPr>
          <w:rFonts w:ascii="David" w:hAnsi="David" w:cs="David"/>
          <w:sz w:val="24"/>
          <w:szCs w:val="24"/>
          <w:rtl/>
        </w:rPr>
        <w:t xml:space="preserve"> [עד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w:t>
      </w:r>
      <w:r w:rsidRPr="00F25744">
        <w:rPr>
          <w:rFonts w:ascii="David" w:hAnsi="David" w:cs="David"/>
          <w:sz w:val="24"/>
          <w:szCs w:val="24"/>
          <w:rtl/>
        </w:rPr>
        <w:t>, 15-20</w:t>
      </w:r>
      <w:r w:rsidRPr="00F25744">
        <w:rPr>
          <w:rFonts w:ascii="David" w:hAnsi="David" w:cs="David" w:hint="cs"/>
          <w:sz w:val="24"/>
          <w:szCs w:val="24"/>
          <w:rtl/>
        </w:rPr>
        <w:t xml:space="preserve"> דקות, מעל 20 דקות, לא רלבנטי לסוג התיק]</w:t>
      </w:r>
    </w:p>
    <w:p w14:paraId="66633057" w14:textId="07E8D4B8" w:rsidR="003E67B5" w:rsidRDefault="003E67B5" w:rsidP="003E67B5">
      <w:pPr>
        <w:spacing w:before="120" w:after="0" w:line="360" w:lineRule="auto"/>
        <w:ind w:left="728"/>
        <w:jc w:val="both"/>
        <w:rPr>
          <w:rFonts w:ascii="David" w:hAnsi="David" w:cs="David"/>
          <w:sz w:val="24"/>
          <w:szCs w:val="24"/>
          <w:rtl/>
        </w:rPr>
      </w:pPr>
    </w:p>
    <w:p w14:paraId="0A355051" w14:textId="43B01528" w:rsidR="00DB5BCC" w:rsidRDefault="00DB5BCC" w:rsidP="003E67B5">
      <w:pPr>
        <w:spacing w:before="120" w:after="0" w:line="360" w:lineRule="auto"/>
        <w:ind w:left="728"/>
        <w:jc w:val="both"/>
        <w:rPr>
          <w:rFonts w:ascii="David" w:hAnsi="David" w:cs="David"/>
          <w:sz w:val="24"/>
          <w:szCs w:val="24"/>
          <w:rtl/>
        </w:rPr>
      </w:pPr>
    </w:p>
    <w:p w14:paraId="55288762" w14:textId="77777777" w:rsidR="00DB5BCC" w:rsidRPr="00F25744" w:rsidRDefault="00DB5BCC" w:rsidP="003E67B5">
      <w:pPr>
        <w:spacing w:before="120" w:after="0" w:line="360" w:lineRule="auto"/>
        <w:ind w:left="728"/>
        <w:jc w:val="both"/>
        <w:rPr>
          <w:rFonts w:ascii="David" w:hAnsi="David" w:cs="David"/>
          <w:sz w:val="24"/>
          <w:szCs w:val="24"/>
        </w:rPr>
      </w:pPr>
    </w:p>
    <w:p w14:paraId="4B9FCAAE" w14:textId="77777777" w:rsidR="005E4C22" w:rsidRPr="00F25744" w:rsidRDefault="00E25AE7" w:rsidP="00341018">
      <w:pPr>
        <w:numPr>
          <w:ilvl w:val="0"/>
          <w:numId w:val="43"/>
        </w:numPr>
        <w:spacing w:before="120" w:after="0" w:line="360" w:lineRule="auto"/>
        <w:jc w:val="both"/>
        <w:rPr>
          <w:rFonts w:ascii="David" w:hAnsi="David" w:cs="David"/>
          <w:b/>
          <w:bCs/>
          <w:sz w:val="24"/>
          <w:szCs w:val="24"/>
          <w:u w:val="single"/>
          <w:rtl/>
        </w:rPr>
      </w:pPr>
      <w:r w:rsidRPr="00F25744">
        <w:rPr>
          <w:rFonts w:ascii="David" w:hAnsi="David" w:cs="David" w:hint="cs"/>
          <w:b/>
          <w:bCs/>
          <w:sz w:val="24"/>
          <w:szCs w:val="24"/>
          <w:u w:val="single"/>
          <w:rtl/>
        </w:rPr>
        <w:lastRenderedPageBreak/>
        <w:t>שאלות ספציפיות בחלק מסוגי התיקים שסומנו</w:t>
      </w:r>
    </w:p>
    <w:p w14:paraId="4C2F592A" w14:textId="77777777" w:rsidR="005E4C22" w:rsidRPr="00F25744" w:rsidRDefault="00E25AE7" w:rsidP="00341018">
      <w:pPr>
        <w:numPr>
          <w:ilvl w:val="0"/>
          <w:numId w:val="38"/>
        </w:numPr>
        <w:spacing w:before="120" w:after="0" w:line="360" w:lineRule="auto"/>
        <w:ind w:left="707" w:hanging="283"/>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ת"פ</w:t>
      </w:r>
      <w:r w:rsidRPr="00F25744">
        <w:rPr>
          <w:rFonts w:ascii="David" w:hAnsi="David" w:cs="David" w:hint="cs"/>
          <w:sz w:val="24"/>
          <w:szCs w:val="24"/>
          <w:rtl/>
        </w:rPr>
        <w:t xml:space="preserve">, כמה זמן בממוצע לוקח לך להערכתך לכתוב </w:t>
      </w:r>
      <w:r w:rsidRPr="00F25744">
        <w:rPr>
          <w:rFonts w:ascii="David" w:hAnsi="David" w:cs="David" w:hint="cs"/>
          <w:b/>
          <w:bCs/>
          <w:sz w:val="24"/>
          <w:szCs w:val="24"/>
          <w:rtl/>
        </w:rPr>
        <w:t>עמוד אחד</w:t>
      </w:r>
      <w:r w:rsidRPr="00F25744">
        <w:rPr>
          <w:rFonts w:ascii="David" w:hAnsi="David" w:cs="David" w:hint="cs"/>
          <w:sz w:val="24"/>
          <w:szCs w:val="24"/>
          <w:rtl/>
        </w:rPr>
        <w:t xml:space="preserve"> של </w:t>
      </w:r>
      <w:r w:rsidRPr="00F25744">
        <w:rPr>
          <w:rFonts w:ascii="David" w:hAnsi="David" w:cs="David" w:hint="cs"/>
          <w:b/>
          <w:bCs/>
          <w:sz w:val="24"/>
          <w:szCs w:val="24"/>
          <w:rtl/>
        </w:rPr>
        <w:t>פסק דין בהסדר טיעון</w:t>
      </w:r>
      <w:r w:rsidRPr="00F25744">
        <w:rPr>
          <w:rFonts w:ascii="David" w:hAnsi="David" w:cs="David" w:hint="cs"/>
          <w:sz w:val="24"/>
          <w:szCs w:val="24"/>
          <w:rtl/>
        </w:rPr>
        <w:t xml:space="preserve"> </w:t>
      </w:r>
      <w:r w:rsidRPr="00F25744">
        <w:rPr>
          <w:rFonts w:ascii="David" w:hAnsi="David" w:cs="David" w:hint="cs"/>
          <w:b/>
          <w:bCs/>
          <w:sz w:val="24"/>
          <w:szCs w:val="24"/>
          <w:rtl/>
        </w:rPr>
        <w:t>סגור/מלא</w:t>
      </w:r>
      <w:r w:rsidRPr="00F25744">
        <w:rPr>
          <w:rFonts w:ascii="David" w:hAnsi="David" w:cs="David" w:hint="cs"/>
          <w:sz w:val="24"/>
          <w:szCs w:val="24"/>
          <w:rtl/>
        </w:rPr>
        <w:t xml:space="preserve"> שניתן </w:t>
      </w:r>
      <w:r w:rsidRPr="00F25744">
        <w:rPr>
          <w:rFonts w:ascii="David" w:hAnsi="David" w:cs="David" w:hint="cs"/>
          <w:b/>
          <w:bCs/>
          <w:sz w:val="24"/>
          <w:szCs w:val="24"/>
          <w:rtl/>
        </w:rPr>
        <w:t>מחוץ לאולם</w:t>
      </w:r>
      <w:r w:rsidRPr="00F25744">
        <w:rPr>
          <w:rFonts w:ascii="David" w:hAnsi="David" w:cs="David" w:hint="cs"/>
          <w:sz w:val="24"/>
          <w:szCs w:val="24"/>
          <w:rtl/>
        </w:rPr>
        <w:t xml:space="preserve"> (לרבות טיוטה </w:t>
      </w:r>
      <w:r w:rsidRPr="00F25744">
        <w:rPr>
          <w:rFonts w:ascii="David" w:hAnsi="David" w:cs="David" w:hint="cs"/>
          <w:b/>
          <w:bCs/>
          <w:sz w:val="24"/>
          <w:szCs w:val="24"/>
          <w:rtl/>
        </w:rPr>
        <w:t>שנכתבה לפני הדיון</w:t>
      </w:r>
      <w:r w:rsidRPr="00F25744">
        <w:rPr>
          <w:rFonts w:ascii="David" w:hAnsi="David" w:cs="David" w:hint="cs"/>
          <w:sz w:val="24"/>
          <w:szCs w:val="24"/>
          <w:rtl/>
        </w:rPr>
        <w:t xml:space="preserve"> והוקראה באולם)?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אם מעל 15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4F7C85EF" w14:textId="77777777" w:rsidR="005E4C22" w:rsidRPr="00F25744" w:rsidRDefault="00E25AE7" w:rsidP="00341018">
      <w:pPr>
        <w:numPr>
          <w:ilvl w:val="0"/>
          <w:numId w:val="38"/>
        </w:numPr>
        <w:spacing w:before="120" w:after="0" w:line="360" w:lineRule="auto"/>
        <w:ind w:left="651" w:hanging="283"/>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צ"א</w:t>
      </w:r>
      <w:r w:rsidRPr="00F25744">
        <w:rPr>
          <w:rFonts w:ascii="David" w:hAnsi="David" w:cs="David" w:hint="cs"/>
          <w:sz w:val="24"/>
          <w:szCs w:val="24"/>
          <w:rtl/>
        </w:rPr>
        <w:t xml:space="preserve">, כמה זמן בממוצע להערכתך אורך </w:t>
      </w:r>
      <w:r w:rsidRPr="00F25744">
        <w:rPr>
          <w:rFonts w:ascii="David" w:hAnsi="David" w:cs="David" w:hint="cs"/>
          <w:b/>
          <w:bCs/>
          <w:sz w:val="24"/>
          <w:szCs w:val="24"/>
          <w:rtl/>
        </w:rPr>
        <w:t>דיון</w:t>
      </w:r>
      <w:r w:rsidRPr="00F25744">
        <w:rPr>
          <w:rFonts w:ascii="David" w:hAnsi="David" w:cs="David" w:hint="cs"/>
          <w:sz w:val="24"/>
          <w:szCs w:val="24"/>
          <w:rtl/>
        </w:rPr>
        <w:t>?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אם מעל 15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772B0E51" w14:textId="77777777" w:rsidR="005E4C22" w:rsidRPr="00F25744" w:rsidRDefault="00E25AE7" w:rsidP="00341018">
      <w:pPr>
        <w:numPr>
          <w:ilvl w:val="0"/>
          <w:numId w:val="38"/>
        </w:numPr>
        <w:spacing w:before="120" w:after="0" w:line="360" w:lineRule="auto"/>
        <w:ind w:left="651" w:hanging="283"/>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מי"ב</w:t>
      </w:r>
      <w:r w:rsidRPr="00F25744">
        <w:rPr>
          <w:rFonts w:ascii="David" w:hAnsi="David" w:cs="David" w:hint="cs"/>
          <w:b/>
          <w:bCs/>
          <w:sz w:val="24"/>
          <w:szCs w:val="24"/>
          <w:rtl/>
        </w:rPr>
        <w:t>,</w:t>
      </w:r>
      <w:r w:rsidRPr="00F25744">
        <w:rPr>
          <w:rFonts w:ascii="David" w:hAnsi="David" w:cs="David" w:hint="cs"/>
          <w:sz w:val="24"/>
          <w:szCs w:val="24"/>
          <w:rtl/>
        </w:rPr>
        <w:t xml:space="preserve"> אנא סמן כמה זמן בממוצע להערכתך אורכות הפעולות הבאות:</w:t>
      </w:r>
    </w:p>
    <w:p w14:paraId="49D13A3A" w14:textId="77777777" w:rsidR="005E4C22" w:rsidRPr="00F25744" w:rsidRDefault="00E25AE7" w:rsidP="00341018">
      <w:pPr>
        <w:numPr>
          <w:ilvl w:val="1"/>
          <w:numId w:val="38"/>
        </w:numPr>
        <w:spacing w:before="120" w:after="0" w:line="360" w:lineRule="auto"/>
        <w:ind w:left="1133" w:hanging="426"/>
        <w:jc w:val="both"/>
        <w:rPr>
          <w:rFonts w:ascii="David" w:hAnsi="David" w:cs="David"/>
          <w:sz w:val="24"/>
          <w:szCs w:val="24"/>
        </w:rPr>
      </w:pPr>
      <w:r w:rsidRPr="00F25744">
        <w:rPr>
          <w:rFonts w:ascii="David" w:hAnsi="David" w:cs="David" w:hint="cs"/>
          <w:sz w:val="24"/>
          <w:szCs w:val="24"/>
          <w:rtl/>
        </w:rPr>
        <w:t xml:space="preserve">שמיעת </w:t>
      </w:r>
      <w:r w:rsidRPr="00F25744">
        <w:rPr>
          <w:rFonts w:ascii="David" w:hAnsi="David" w:cs="David" w:hint="cs"/>
          <w:b/>
          <w:bCs/>
          <w:sz w:val="24"/>
          <w:szCs w:val="24"/>
          <w:rtl/>
        </w:rPr>
        <w:t>דיון</w:t>
      </w:r>
      <w:r w:rsidRPr="00F25744">
        <w:rPr>
          <w:rFonts w:ascii="David" w:hAnsi="David" w:cs="David" w:hint="cs"/>
          <w:sz w:val="24"/>
          <w:szCs w:val="24"/>
          <w:rtl/>
        </w:rPr>
        <w:t xml:space="preserve">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אם מעל 15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7AB3A632" w14:textId="77777777" w:rsidR="005E4C22" w:rsidRPr="00F25744" w:rsidRDefault="00E25AE7" w:rsidP="00341018">
      <w:pPr>
        <w:numPr>
          <w:ilvl w:val="1"/>
          <w:numId w:val="38"/>
        </w:numPr>
        <w:spacing w:before="120" w:after="0" w:line="360" w:lineRule="auto"/>
        <w:ind w:left="1133" w:hanging="426"/>
        <w:jc w:val="both"/>
        <w:rPr>
          <w:rFonts w:ascii="David" w:hAnsi="David" w:cs="David"/>
          <w:sz w:val="24"/>
          <w:szCs w:val="24"/>
        </w:rPr>
      </w:pPr>
      <w:r w:rsidRPr="00F25744">
        <w:rPr>
          <w:rFonts w:ascii="David" w:hAnsi="David" w:cs="David" w:hint="cs"/>
          <w:sz w:val="24"/>
          <w:szCs w:val="24"/>
          <w:rtl/>
        </w:rPr>
        <w:t xml:space="preserve">כתיבת </w:t>
      </w:r>
      <w:r w:rsidRPr="00F25744">
        <w:rPr>
          <w:rFonts w:ascii="David" w:hAnsi="David" w:cs="David" w:hint="cs"/>
          <w:b/>
          <w:bCs/>
          <w:sz w:val="24"/>
          <w:szCs w:val="24"/>
          <w:rtl/>
        </w:rPr>
        <w:t>עמוד אחד</w:t>
      </w:r>
      <w:r w:rsidRPr="00F25744">
        <w:rPr>
          <w:rFonts w:ascii="David" w:hAnsi="David" w:cs="David" w:hint="cs"/>
          <w:sz w:val="24"/>
          <w:szCs w:val="24"/>
          <w:rtl/>
        </w:rPr>
        <w:t xml:space="preserve"> של </w:t>
      </w:r>
      <w:r w:rsidRPr="00F25744">
        <w:rPr>
          <w:rFonts w:ascii="David" w:hAnsi="David" w:cs="David" w:hint="cs"/>
          <w:b/>
          <w:bCs/>
          <w:sz w:val="24"/>
          <w:szCs w:val="24"/>
          <w:rtl/>
        </w:rPr>
        <w:t>החלטה שניתנת במסמך עצמאי</w:t>
      </w:r>
      <w:r w:rsidRPr="00F25744">
        <w:rPr>
          <w:rFonts w:ascii="David" w:hAnsi="David" w:cs="David" w:hint="cs"/>
          <w:sz w:val="24"/>
          <w:szCs w:val="24"/>
          <w:rtl/>
        </w:rPr>
        <w:t xml:space="preserve">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אם מעל 15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58FBD847" w14:textId="77777777" w:rsidR="005E4C22" w:rsidRPr="00F25744" w:rsidRDefault="00E25AE7" w:rsidP="00341018">
      <w:pPr>
        <w:numPr>
          <w:ilvl w:val="0"/>
          <w:numId w:val="38"/>
        </w:numPr>
        <w:spacing w:before="120" w:after="0" w:line="360" w:lineRule="auto"/>
        <w:ind w:left="651" w:hanging="283"/>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תנ"ז</w:t>
      </w:r>
      <w:r w:rsidRPr="00F25744">
        <w:rPr>
          <w:rFonts w:ascii="David" w:hAnsi="David" w:cs="David" w:hint="cs"/>
          <w:b/>
          <w:bCs/>
          <w:sz w:val="24"/>
          <w:szCs w:val="24"/>
          <w:rtl/>
        </w:rPr>
        <w:t>,</w:t>
      </w:r>
      <w:r w:rsidRPr="00F25744">
        <w:rPr>
          <w:rFonts w:ascii="David" w:hAnsi="David" w:cs="David" w:hint="cs"/>
          <w:sz w:val="24"/>
          <w:szCs w:val="24"/>
          <w:rtl/>
        </w:rPr>
        <w:t xml:space="preserve"> אנא סמן כמה זמן בממוצע להערכתך אורכות הפעולות הבאות:</w:t>
      </w:r>
    </w:p>
    <w:p w14:paraId="50A50F68" w14:textId="77777777" w:rsidR="005E4C22" w:rsidRPr="00F25744" w:rsidRDefault="00E25AE7" w:rsidP="00341018">
      <w:pPr>
        <w:numPr>
          <w:ilvl w:val="1"/>
          <w:numId w:val="38"/>
        </w:numPr>
        <w:spacing w:before="120" w:after="0" w:line="360" w:lineRule="auto"/>
        <w:ind w:left="1133" w:hanging="426"/>
        <w:jc w:val="both"/>
        <w:rPr>
          <w:rFonts w:ascii="David" w:hAnsi="David" w:cs="David"/>
          <w:sz w:val="24"/>
          <w:szCs w:val="24"/>
        </w:rPr>
      </w:pPr>
      <w:r w:rsidRPr="00F25744">
        <w:rPr>
          <w:rFonts w:ascii="David" w:hAnsi="David" w:cs="David" w:hint="cs"/>
          <w:b/>
          <w:bCs/>
          <w:sz w:val="24"/>
          <w:szCs w:val="24"/>
          <w:rtl/>
        </w:rPr>
        <w:t>הכנה</w:t>
      </w:r>
      <w:r w:rsidRPr="00F25744">
        <w:rPr>
          <w:rFonts w:ascii="David" w:hAnsi="David" w:cs="David" w:hint="cs"/>
          <w:sz w:val="24"/>
          <w:szCs w:val="24"/>
          <w:rtl/>
        </w:rPr>
        <w:t xml:space="preserve"> לדיון </w:t>
      </w:r>
      <w:r w:rsidRPr="00F25744">
        <w:rPr>
          <w:rFonts w:ascii="David" w:hAnsi="David" w:cs="David" w:hint="cs"/>
          <w:b/>
          <w:bCs/>
          <w:sz w:val="24"/>
          <w:szCs w:val="24"/>
          <w:rtl/>
        </w:rPr>
        <w:t>הוכחות</w:t>
      </w:r>
      <w:r w:rsidRPr="00F25744">
        <w:rPr>
          <w:rFonts w:ascii="David" w:hAnsi="David" w:cs="David" w:hint="cs"/>
          <w:sz w:val="24"/>
          <w:szCs w:val="24"/>
          <w:rtl/>
        </w:rPr>
        <w:t xml:space="preserve"> (לרבות דיון שבו נשמעות ראיות/ עדויות או סיכומים בעל פה)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674CED09" w14:textId="77777777" w:rsidR="005E4C22" w:rsidRPr="00F25744" w:rsidRDefault="00E25AE7" w:rsidP="00341018">
      <w:pPr>
        <w:numPr>
          <w:ilvl w:val="1"/>
          <w:numId w:val="38"/>
        </w:numPr>
        <w:spacing w:before="120" w:after="0" w:line="360" w:lineRule="auto"/>
        <w:ind w:left="1133" w:hanging="426"/>
        <w:jc w:val="both"/>
        <w:rPr>
          <w:rFonts w:ascii="David" w:hAnsi="David" w:cs="David"/>
          <w:sz w:val="24"/>
          <w:szCs w:val="24"/>
        </w:rPr>
      </w:pPr>
      <w:r w:rsidRPr="00F25744">
        <w:rPr>
          <w:rFonts w:ascii="David" w:hAnsi="David" w:cs="David" w:hint="cs"/>
          <w:b/>
          <w:bCs/>
          <w:sz w:val="24"/>
          <w:szCs w:val="24"/>
          <w:rtl/>
        </w:rPr>
        <w:t xml:space="preserve">שמיעת דיון </w:t>
      </w:r>
      <w:r w:rsidRPr="00F25744">
        <w:rPr>
          <w:rFonts w:ascii="David" w:hAnsi="David" w:cs="David" w:hint="cs"/>
          <w:sz w:val="24"/>
          <w:szCs w:val="24"/>
          <w:rtl/>
        </w:rPr>
        <w:t>מסוג</w:t>
      </w:r>
      <w:r w:rsidRPr="00F25744">
        <w:rPr>
          <w:rFonts w:ascii="David" w:hAnsi="David" w:cs="David" w:hint="cs"/>
          <w:b/>
          <w:bCs/>
          <w:sz w:val="24"/>
          <w:szCs w:val="24"/>
          <w:rtl/>
        </w:rPr>
        <w:t xml:space="preserve"> הוכחות</w:t>
      </w:r>
      <w:r w:rsidRPr="00F25744">
        <w:rPr>
          <w:rFonts w:ascii="David" w:hAnsi="David" w:cs="David" w:hint="cs"/>
          <w:sz w:val="24"/>
          <w:szCs w:val="24"/>
          <w:rtl/>
        </w:rPr>
        <w:t xml:space="preserve">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0D2E4D76" w14:textId="77777777" w:rsidR="005E4C22" w:rsidRPr="00F25744" w:rsidRDefault="00E25AE7" w:rsidP="00341018">
      <w:pPr>
        <w:numPr>
          <w:ilvl w:val="1"/>
          <w:numId w:val="38"/>
        </w:numPr>
        <w:spacing w:before="120" w:after="0" w:line="360" w:lineRule="auto"/>
        <w:ind w:left="1133" w:hanging="426"/>
        <w:jc w:val="both"/>
        <w:rPr>
          <w:rFonts w:ascii="David" w:hAnsi="David" w:cs="David"/>
          <w:sz w:val="24"/>
          <w:szCs w:val="24"/>
        </w:rPr>
      </w:pPr>
      <w:r w:rsidRPr="00F25744">
        <w:rPr>
          <w:rFonts w:ascii="David" w:hAnsi="David" w:cs="David" w:hint="cs"/>
          <w:sz w:val="24"/>
          <w:szCs w:val="24"/>
          <w:rtl/>
        </w:rPr>
        <w:t xml:space="preserve">כתיבת </w:t>
      </w:r>
      <w:r w:rsidRPr="00F25744">
        <w:rPr>
          <w:rFonts w:ascii="David" w:hAnsi="David" w:cs="David" w:hint="cs"/>
          <w:b/>
          <w:bCs/>
          <w:sz w:val="24"/>
          <w:szCs w:val="24"/>
          <w:rtl/>
        </w:rPr>
        <w:t>עמוד אחד בפסק דין</w:t>
      </w:r>
      <w:r w:rsidRPr="00F25744">
        <w:rPr>
          <w:rFonts w:ascii="David" w:hAnsi="David" w:cs="David" w:hint="cs"/>
          <w:sz w:val="24"/>
          <w:szCs w:val="24"/>
          <w:rtl/>
        </w:rPr>
        <w:t xml:space="preserve"> שנותן </w:t>
      </w:r>
      <w:r w:rsidRPr="00F25744">
        <w:rPr>
          <w:rFonts w:ascii="David" w:hAnsi="David" w:cs="David" w:hint="cs"/>
          <w:b/>
          <w:bCs/>
          <w:sz w:val="24"/>
          <w:szCs w:val="24"/>
          <w:rtl/>
        </w:rPr>
        <w:t>תוקף להסכמות הצדדים</w:t>
      </w:r>
      <w:r w:rsidRPr="00F25744">
        <w:rPr>
          <w:rFonts w:ascii="David" w:hAnsi="David" w:cs="David"/>
          <w:sz w:val="24"/>
          <w:szCs w:val="24"/>
          <w:rtl/>
        </w:rPr>
        <w:t>/</w:t>
      </w:r>
      <w:r w:rsidRPr="00F25744">
        <w:rPr>
          <w:rFonts w:ascii="David" w:hAnsi="David" w:cs="David" w:hint="cs"/>
          <w:sz w:val="24"/>
          <w:szCs w:val="24"/>
          <w:rtl/>
        </w:rPr>
        <w:t xml:space="preserve"> </w:t>
      </w:r>
      <w:r w:rsidRPr="00F25744">
        <w:rPr>
          <w:rFonts w:ascii="David" w:hAnsi="David" w:cs="David"/>
          <w:sz w:val="24"/>
          <w:szCs w:val="24"/>
          <w:rtl/>
        </w:rPr>
        <w:t>נדחה</w:t>
      </w:r>
      <w:r w:rsidRPr="00F25744">
        <w:rPr>
          <w:rFonts w:ascii="David" w:hAnsi="David" w:cs="David" w:hint="cs"/>
          <w:sz w:val="24"/>
          <w:szCs w:val="24"/>
          <w:rtl/>
        </w:rPr>
        <w:t xml:space="preserve"> או</w:t>
      </w:r>
      <w:r w:rsidRPr="00F25744">
        <w:rPr>
          <w:rFonts w:ascii="David" w:hAnsi="David" w:cs="David"/>
          <w:sz w:val="24"/>
          <w:szCs w:val="24"/>
          <w:rtl/>
        </w:rPr>
        <w:t xml:space="preserve"> נמחק לבקשת צד/</w:t>
      </w:r>
      <w:r w:rsidRPr="00F25744">
        <w:rPr>
          <w:rFonts w:ascii="David" w:hAnsi="David" w:cs="David" w:hint="cs"/>
          <w:sz w:val="24"/>
          <w:szCs w:val="24"/>
          <w:rtl/>
        </w:rPr>
        <w:t xml:space="preserve"> </w:t>
      </w:r>
      <w:r w:rsidRPr="00F25744">
        <w:rPr>
          <w:rFonts w:ascii="David" w:hAnsi="David" w:cs="David"/>
          <w:sz w:val="24"/>
          <w:szCs w:val="24"/>
          <w:rtl/>
        </w:rPr>
        <w:t>עיכוב או מיצוי הליכים</w:t>
      </w:r>
      <w:r w:rsidRPr="00F25744">
        <w:rPr>
          <w:rFonts w:ascii="David" w:hAnsi="David" w:cs="David" w:hint="cs"/>
          <w:sz w:val="24"/>
          <w:szCs w:val="24"/>
          <w:rtl/>
        </w:rPr>
        <w:t xml:space="preserve">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אם מעל 15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445E5D84" w14:textId="77777777" w:rsidR="005E4C22" w:rsidRPr="00F25744" w:rsidRDefault="00E25AE7" w:rsidP="00341018">
      <w:pPr>
        <w:numPr>
          <w:ilvl w:val="0"/>
          <w:numId w:val="38"/>
        </w:numPr>
        <w:spacing w:before="120" w:after="0" w:line="360" w:lineRule="auto"/>
        <w:ind w:left="651" w:hanging="283"/>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צב"ן</w:t>
      </w:r>
      <w:r w:rsidRPr="00F25744">
        <w:rPr>
          <w:rFonts w:ascii="David" w:hAnsi="David" w:cs="David" w:hint="cs"/>
          <w:b/>
          <w:bCs/>
          <w:sz w:val="24"/>
          <w:szCs w:val="24"/>
          <w:rtl/>
        </w:rPr>
        <w:t>,</w:t>
      </w:r>
      <w:r w:rsidRPr="00F25744">
        <w:rPr>
          <w:rFonts w:ascii="David" w:hAnsi="David" w:cs="David" w:hint="cs"/>
          <w:sz w:val="24"/>
          <w:szCs w:val="24"/>
          <w:rtl/>
        </w:rPr>
        <w:t xml:space="preserve"> אנא סמן כמה זמן בממוצע להערכתך אורכות הפעולות הבאות:</w:t>
      </w:r>
    </w:p>
    <w:p w14:paraId="73366CE3" w14:textId="77777777" w:rsidR="005E4C22" w:rsidRPr="00F25744" w:rsidRDefault="00E25AE7" w:rsidP="00341018">
      <w:pPr>
        <w:numPr>
          <w:ilvl w:val="1"/>
          <w:numId w:val="38"/>
        </w:numPr>
        <w:spacing w:before="120" w:after="0" w:line="360" w:lineRule="auto"/>
        <w:ind w:left="1133" w:hanging="426"/>
        <w:jc w:val="both"/>
        <w:rPr>
          <w:rFonts w:ascii="David" w:hAnsi="David" w:cs="David"/>
          <w:sz w:val="24"/>
          <w:szCs w:val="24"/>
        </w:rPr>
      </w:pPr>
      <w:r w:rsidRPr="00F25744">
        <w:rPr>
          <w:rFonts w:ascii="David" w:hAnsi="David" w:cs="David" w:hint="cs"/>
          <w:b/>
          <w:bCs/>
          <w:sz w:val="24"/>
          <w:szCs w:val="24"/>
          <w:rtl/>
        </w:rPr>
        <w:t>הכנה</w:t>
      </w:r>
      <w:r w:rsidRPr="00F25744">
        <w:rPr>
          <w:rFonts w:ascii="David" w:hAnsi="David" w:cs="David" w:hint="cs"/>
          <w:sz w:val="24"/>
          <w:szCs w:val="24"/>
          <w:rtl/>
        </w:rPr>
        <w:t xml:space="preserve"> לדיון </w:t>
      </w:r>
      <w:r w:rsidRPr="00F25744">
        <w:rPr>
          <w:rFonts w:ascii="David" w:hAnsi="David" w:cs="David" w:hint="cs"/>
          <w:b/>
          <w:bCs/>
          <w:sz w:val="24"/>
          <w:szCs w:val="24"/>
          <w:rtl/>
        </w:rPr>
        <w:t>הוכחות</w:t>
      </w:r>
      <w:r w:rsidRPr="00F25744">
        <w:rPr>
          <w:rFonts w:ascii="David" w:hAnsi="David" w:cs="David" w:hint="cs"/>
          <w:sz w:val="24"/>
          <w:szCs w:val="24"/>
          <w:rtl/>
        </w:rPr>
        <w:t xml:space="preserve"> (לרבות דיון שבו נשמעות ראיות/ עדויות או סיכומים בעל פה)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09FC3BCD" w14:textId="77777777" w:rsidR="005E4C22" w:rsidRPr="00F25744" w:rsidRDefault="00E25AE7" w:rsidP="00341018">
      <w:pPr>
        <w:numPr>
          <w:ilvl w:val="1"/>
          <w:numId w:val="38"/>
        </w:numPr>
        <w:spacing w:before="120" w:after="0" w:line="360" w:lineRule="auto"/>
        <w:ind w:left="1133" w:hanging="426"/>
        <w:jc w:val="both"/>
        <w:rPr>
          <w:rFonts w:ascii="David" w:hAnsi="David" w:cs="David"/>
          <w:sz w:val="24"/>
          <w:szCs w:val="24"/>
        </w:rPr>
      </w:pPr>
      <w:r w:rsidRPr="00F25744">
        <w:rPr>
          <w:rFonts w:ascii="David" w:hAnsi="David" w:cs="David" w:hint="cs"/>
          <w:sz w:val="24"/>
          <w:szCs w:val="24"/>
          <w:rtl/>
        </w:rPr>
        <w:t xml:space="preserve">שמיעת </w:t>
      </w:r>
      <w:r w:rsidRPr="00F25744">
        <w:rPr>
          <w:rFonts w:ascii="David" w:hAnsi="David" w:cs="David" w:hint="cs"/>
          <w:b/>
          <w:bCs/>
          <w:sz w:val="24"/>
          <w:szCs w:val="24"/>
          <w:rtl/>
        </w:rPr>
        <w:t>דיון מסוג הוכחות</w:t>
      </w:r>
      <w:r w:rsidRPr="00F25744">
        <w:rPr>
          <w:rFonts w:ascii="David" w:hAnsi="David" w:cs="David" w:hint="cs"/>
          <w:sz w:val="24"/>
          <w:szCs w:val="24"/>
          <w:rtl/>
        </w:rPr>
        <w:t xml:space="preserve">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2C8EDA5A" w14:textId="77777777" w:rsidR="005E4C22" w:rsidRPr="00F25744" w:rsidRDefault="00E25AE7" w:rsidP="00341018">
      <w:pPr>
        <w:numPr>
          <w:ilvl w:val="1"/>
          <w:numId w:val="38"/>
        </w:numPr>
        <w:spacing w:before="120" w:after="0" w:line="360" w:lineRule="auto"/>
        <w:ind w:left="1133" w:hanging="426"/>
        <w:jc w:val="both"/>
        <w:rPr>
          <w:rFonts w:ascii="David" w:hAnsi="David" w:cs="David"/>
          <w:sz w:val="24"/>
          <w:szCs w:val="24"/>
        </w:rPr>
      </w:pPr>
      <w:r w:rsidRPr="00F25744">
        <w:rPr>
          <w:rFonts w:ascii="David" w:hAnsi="David" w:cs="David" w:hint="cs"/>
          <w:sz w:val="24"/>
          <w:szCs w:val="24"/>
          <w:rtl/>
        </w:rPr>
        <w:t xml:space="preserve">כתיבת </w:t>
      </w:r>
      <w:r w:rsidRPr="00F25744">
        <w:rPr>
          <w:rFonts w:ascii="David" w:hAnsi="David" w:cs="David" w:hint="cs"/>
          <w:b/>
          <w:bCs/>
          <w:sz w:val="24"/>
          <w:szCs w:val="24"/>
          <w:rtl/>
        </w:rPr>
        <w:t>עמוד אחד בפסק דין</w:t>
      </w:r>
      <w:r w:rsidRPr="00F25744">
        <w:rPr>
          <w:rFonts w:ascii="David" w:hAnsi="David" w:cs="David" w:hint="cs"/>
          <w:sz w:val="24"/>
          <w:szCs w:val="24"/>
          <w:rtl/>
        </w:rPr>
        <w:t xml:space="preserve"> שנותן </w:t>
      </w:r>
      <w:r w:rsidRPr="00F25744">
        <w:rPr>
          <w:rFonts w:ascii="David" w:hAnsi="David" w:cs="David" w:hint="cs"/>
          <w:b/>
          <w:bCs/>
          <w:sz w:val="24"/>
          <w:szCs w:val="24"/>
          <w:rtl/>
        </w:rPr>
        <w:t>תוקף להסכמות הצדדים</w:t>
      </w:r>
      <w:r w:rsidRPr="00F25744">
        <w:rPr>
          <w:rFonts w:ascii="David" w:hAnsi="David" w:cs="David"/>
          <w:sz w:val="24"/>
          <w:szCs w:val="24"/>
          <w:rtl/>
        </w:rPr>
        <w:t>/</w:t>
      </w:r>
      <w:r w:rsidRPr="00F25744">
        <w:rPr>
          <w:rFonts w:ascii="David" w:hAnsi="David" w:cs="David" w:hint="cs"/>
          <w:sz w:val="24"/>
          <w:szCs w:val="24"/>
          <w:rtl/>
        </w:rPr>
        <w:t xml:space="preserve"> </w:t>
      </w:r>
      <w:r w:rsidRPr="00F25744">
        <w:rPr>
          <w:rFonts w:ascii="David" w:hAnsi="David" w:cs="David"/>
          <w:sz w:val="24"/>
          <w:szCs w:val="24"/>
          <w:rtl/>
        </w:rPr>
        <w:t>נדחה נמחק לבקשת צד/</w:t>
      </w:r>
      <w:r w:rsidRPr="00F25744">
        <w:rPr>
          <w:rFonts w:ascii="David" w:hAnsi="David" w:cs="David" w:hint="cs"/>
          <w:sz w:val="24"/>
          <w:szCs w:val="24"/>
          <w:rtl/>
        </w:rPr>
        <w:t xml:space="preserve"> </w:t>
      </w:r>
      <w:r w:rsidRPr="00F25744">
        <w:rPr>
          <w:rFonts w:ascii="David" w:hAnsi="David" w:cs="David"/>
          <w:sz w:val="24"/>
          <w:szCs w:val="24"/>
          <w:rtl/>
        </w:rPr>
        <w:t>עיכוב או מיצוי הליכים</w:t>
      </w:r>
      <w:r w:rsidRPr="00F25744">
        <w:rPr>
          <w:rFonts w:ascii="David" w:hAnsi="David" w:cs="David" w:hint="cs"/>
          <w:sz w:val="24"/>
          <w:szCs w:val="24"/>
          <w:rtl/>
        </w:rPr>
        <w:t xml:space="preserve">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אם מעל 15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7F5B6EFB" w14:textId="77777777" w:rsidR="005E4C22" w:rsidRPr="00F25744" w:rsidRDefault="00E25AE7" w:rsidP="00341018">
      <w:pPr>
        <w:numPr>
          <w:ilvl w:val="0"/>
          <w:numId w:val="38"/>
        </w:numPr>
        <w:spacing w:before="120" w:after="0" w:line="360" w:lineRule="auto"/>
        <w:ind w:left="651" w:hanging="283"/>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תת"ע,</w:t>
      </w:r>
      <w:r w:rsidRPr="00F25744">
        <w:rPr>
          <w:rFonts w:ascii="David" w:hAnsi="David" w:cs="David" w:hint="cs"/>
          <w:sz w:val="24"/>
          <w:szCs w:val="24"/>
          <w:rtl/>
        </w:rPr>
        <w:t xml:space="preserve"> אנא סמן כמה זמן בממוצע להערכתך אורכות הפעולות הבאות:</w:t>
      </w:r>
    </w:p>
    <w:p w14:paraId="71BD8D8A" w14:textId="77777777" w:rsidR="005E4C22" w:rsidRPr="00F25744" w:rsidRDefault="00E25AE7" w:rsidP="00341018">
      <w:pPr>
        <w:numPr>
          <w:ilvl w:val="1"/>
          <w:numId w:val="38"/>
        </w:numPr>
        <w:spacing w:before="120" w:after="0" w:line="360" w:lineRule="auto"/>
        <w:ind w:left="1133" w:hanging="426"/>
        <w:jc w:val="both"/>
        <w:rPr>
          <w:rFonts w:ascii="David" w:hAnsi="David" w:cs="David"/>
          <w:sz w:val="24"/>
          <w:szCs w:val="24"/>
        </w:rPr>
      </w:pPr>
      <w:r w:rsidRPr="00F25744">
        <w:rPr>
          <w:rFonts w:ascii="David" w:hAnsi="David" w:cs="David" w:hint="cs"/>
          <w:sz w:val="24"/>
          <w:szCs w:val="24"/>
          <w:rtl/>
        </w:rPr>
        <w:t xml:space="preserve">הכנה לדיון </w:t>
      </w:r>
      <w:r w:rsidRPr="00F25744">
        <w:rPr>
          <w:rFonts w:ascii="David" w:hAnsi="David" w:cs="David" w:hint="cs"/>
          <w:b/>
          <w:bCs/>
          <w:sz w:val="24"/>
          <w:szCs w:val="24"/>
          <w:rtl/>
        </w:rPr>
        <w:t xml:space="preserve">שאינו </w:t>
      </w:r>
      <w:r w:rsidRPr="00F25744">
        <w:rPr>
          <w:rFonts w:ascii="David" w:hAnsi="David" w:cs="David" w:hint="cs"/>
          <w:sz w:val="24"/>
          <w:szCs w:val="24"/>
          <w:rtl/>
        </w:rPr>
        <w:t xml:space="preserve">הוכחות (לרבות דיון קד"מ, הקראה וכדומה)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0FEBD8CD" w14:textId="77777777" w:rsidR="005E4C22" w:rsidRPr="00F25744" w:rsidRDefault="00E25AE7" w:rsidP="00341018">
      <w:pPr>
        <w:numPr>
          <w:ilvl w:val="1"/>
          <w:numId w:val="38"/>
        </w:numPr>
        <w:spacing w:before="120" w:after="0" w:line="360" w:lineRule="auto"/>
        <w:ind w:left="1133" w:hanging="426"/>
        <w:jc w:val="both"/>
        <w:rPr>
          <w:rFonts w:ascii="David" w:hAnsi="David" w:cs="David"/>
          <w:sz w:val="24"/>
          <w:szCs w:val="24"/>
        </w:rPr>
      </w:pPr>
      <w:r w:rsidRPr="00F25744">
        <w:rPr>
          <w:rFonts w:ascii="David" w:hAnsi="David" w:cs="David" w:hint="cs"/>
          <w:sz w:val="24"/>
          <w:szCs w:val="24"/>
          <w:rtl/>
        </w:rPr>
        <w:lastRenderedPageBreak/>
        <w:t xml:space="preserve">כתיבת </w:t>
      </w:r>
      <w:r w:rsidRPr="00F25744">
        <w:rPr>
          <w:rFonts w:ascii="David" w:hAnsi="David" w:cs="David" w:hint="cs"/>
          <w:b/>
          <w:bCs/>
          <w:sz w:val="24"/>
          <w:szCs w:val="24"/>
          <w:rtl/>
        </w:rPr>
        <w:t>עמוד אחד</w:t>
      </w:r>
      <w:r w:rsidRPr="00F25744">
        <w:rPr>
          <w:rFonts w:ascii="David" w:hAnsi="David" w:cs="David" w:hint="cs"/>
          <w:sz w:val="24"/>
          <w:szCs w:val="24"/>
          <w:rtl/>
        </w:rPr>
        <w:t xml:space="preserve"> </w:t>
      </w:r>
      <w:r w:rsidRPr="00F25744">
        <w:rPr>
          <w:rFonts w:ascii="David" w:hAnsi="David" w:cs="David" w:hint="cs"/>
          <w:b/>
          <w:bCs/>
          <w:sz w:val="24"/>
          <w:szCs w:val="24"/>
          <w:rtl/>
        </w:rPr>
        <w:t>בהחלטת ביניים</w:t>
      </w:r>
      <w:r w:rsidRPr="00F25744">
        <w:rPr>
          <w:rFonts w:ascii="David" w:hAnsi="David" w:cs="David" w:hint="cs"/>
          <w:sz w:val="24"/>
          <w:szCs w:val="24"/>
          <w:rtl/>
        </w:rPr>
        <w:t xml:space="preserve"> (לרבות החלטות לאחר סגירה) במסמך עצמאי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אם מעל 15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65E8F914" w14:textId="77777777" w:rsidR="005E4C22" w:rsidRPr="00F25744" w:rsidRDefault="00E25AE7" w:rsidP="00341018">
      <w:pPr>
        <w:numPr>
          <w:ilvl w:val="1"/>
          <w:numId w:val="29"/>
        </w:numPr>
        <w:spacing w:before="120" w:after="0" w:line="360" w:lineRule="auto"/>
        <w:ind w:left="1076" w:hanging="425"/>
        <w:jc w:val="both"/>
        <w:rPr>
          <w:rFonts w:ascii="David" w:hAnsi="David" w:cs="David"/>
          <w:sz w:val="24"/>
          <w:szCs w:val="24"/>
        </w:rPr>
      </w:pPr>
      <w:r w:rsidRPr="00F25744">
        <w:rPr>
          <w:rFonts w:ascii="David" w:hAnsi="David" w:cs="David" w:hint="cs"/>
          <w:sz w:val="24"/>
          <w:szCs w:val="24"/>
          <w:rtl/>
        </w:rPr>
        <w:t xml:space="preserve">כתיבת </w:t>
      </w:r>
      <w:r w:rsidRPr="00F25744">
        <w:rPr>
          <w:rFonts w:ascii="David" w:hAnsi="David" w:cs="David" w:hint="cs"/>
          <w:b/>
          <w:bCs/>
          <w:sz w:val="24"/>
          <w:szCs w:val="24"/>
          <w:rtl/>
        </w:rPr>
        <w:t>עמוד אחד</w:t>
      </w:r>
      <w:r w:rsidRPr="00F25744">
        <w:rPr>
          <w:rFonts w:ascii="David" w:hAnsi="David" w:cs="David" w:hint="cs"/>
          <w:sz w:val="24"/>
          <w:szCs w:val="24"/>
          <w:rtl/>
        </w:rPr>
        <w:t xml:space="preserve"> של פסק דין המקנה תוקף </w:t>
      </w:r>
      <w:r w:rsidRPr="00F25744">
        <w:rPr>
          <w:rFonts w:ascii="David" w:hAnsi="David" w:cs="David" w:hint="cs"/>
          <w:b/>
          <w:bCs/>
          <w:sz w:val="24"/>
          <w:szCs w:val="24"/>
          <w:rtl/>
        </w:rPr>
        <w:t>להסדר טיעון סגור/מלא</w:t>
      </w:r>
      <w:r w:rsidRPr="00F25744">
        <w:rPr>
          <w:rFonts w:ascii="David" w:hAnsi="David" w:cs="David" w:hint="cs"/>
          <w:sz w:val="24"/>
          <w:szCs w:val="24"/>
          <w:rtl/>
        </w:rPr>
        <w:t xml:space="preserve"> (לרבות להסכמה לביטול כתב האישום)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אם מעל 15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35A84E7B" w14:textId="77777777" w:rsidR="005E4C22" w:rsidRPr="00F25744" w:rsidRDefault="00E25AE7" w:rsidP="00341018">
      <w:pPr>
        <w:numPr>
          <w:ilvl w:val="1"/>
          <w:numId w:val="29"/>
        </w:numPr>
        <w:spacing w:before="120" w:after="0" w:line="360" w:lineRule="auto"/>
        <w:ind w:left="1076" w:hanging="425"/>
        <w:jc w:val="both"/>
        <w:rPr>
          <w:rFonts w:ascii="David" w:hAnsi="David" w:cs="David"/>
          <w:sz w:val="24"/>
          <w:szCs w:val="24"/>
        </w:rPr>
      </w:pPr>
      <w:r w:rsidRPr="00F25744">
        <w:rPr>
          <w:rFonts w:ascii="David" w:hAnsi="David" w:cs="David" w:hint="cs"/>
          <w:sz w:val="24"/>
          <w:szCs w:val="24"/>
          <w:rtl/>
        </w:rPr>
        <w:t xml:space="preserve">כתיבת </w:t>
      </w:r>
      <w:r w:rsidRPr="00F25744">
        <w:rPr>
          <w:rFonts w:ascii="David" w:hAnsi="David" w:cs="David" w:hint="cs"/>
          <w:b/>
          <w:bCs/>
          <w:sz w:val="24"/>
          <w:szCs w:val="24"/>
          <w:rtl/>
        </w:rPr>
        <w:t>עמוד אחד</w:t>
      </w:r>
      <w:r w:rsidRPr="00F25744">
        <w:rPr>
          <w:rFonts w:ascii="David" w:hAnsi="David" w:cs="David" w:hint="cs"/>
          <w:sz w:val="24"/>
          <w:szCs w:val="24"/>
          <w:rtl/>
        </w:rPr>
        <w:t xml:space="preserve"> של פסק דין המורכב מהכרעת דין אשר מאשרת הסדר עם </w:t>
      </w:r>
      <w:r w:rsidRPr="00F25744">
        <w:rPr>
          <w:rFonts w:ascii="David" w:hAnsi="David" w:cs="David" w:hint="cs"/>
          <w:b/>
          <w:bCs/>
          <w:sz w:val="24"/>
          <w:szCs w:val="24"/>
          <w:rtl/>
        </w:rPr>
        <w:t>טיעון פתוח</w:t>
      </w:r>
      <w:r w:rsidRPr="00F25744">
        <w:rPr>
          <w:rFonts w:ascii="David" w:hAnsi="David" w:cs="David" w:hint="cs"/>
          <w:sz w:val="24"/>
          <w:szCs w:val="24"/>
          <w:rtl/>
        </w:rPr>
        <w:t xml:space="preserve"> לעונש, וגזר דין מנומק [</w:t>
      </w:r>
      <w:r w:rsidRPr="00F25744">
        <w:rPr>
          <w:rFonts w:ascii="David" w:hAnsi="David" w:cs="David"/>
          <w:sz w:val="24"/>
          <w:szCs w:val="24"/>
          <w:rtl/>
        </w:rPr>
        <w:t>עד</w:t>
      </w:r>
      <w:r w:rsidRPr="00F25744">
        <w:rPr>
          <w:rFonts w:ascii="David" w:hAnsi="David" w:cs="David" w:hint="cs"/>
          <w:sz w:val="24"/>
          <w:szCs w:val="24"/>
          <w:rtl/>
        </w:rPr>
        <w:t xml:space="preserve"> 3 דקות</w:t>
      </w:r>
      <w:r w:rsidRPr="00F25744">
        <w:rPr>
          <w:rFonts w:ascii="David" w:hAnsi="David" w:cs="David"/>
          <w:sz w:val="24"/>
          <w:szCs w:val="24"/>
          <w:rtl/>
        </w:rPr>
        <w:t>, 3-5</w:t>
      </w:r>
      <w:r w:rsidRPr="00F25744">
        <w:rPr>
          <w:rFonts w:ascii="David" w:hAnsi="David" w:cs="David" w:hint="cs"/>
          <w:sz w:val="24"/>
          <w:szCs w:val="24"/>
          <w:rtl/>
        </w:rPr>
        <w:t xml:space="preserve"> דקות</w:t>
      </w:r>
      <w:r w:rsidRPr="00F25744">
        <w:rPr>
          <w:rFonts w:ascii="David" w:hAnsi="David" w:cs="David"/>
          <w:sz w:val="24"/>
          <w:szCs w:val="24"/>
          <w:rtl/>
        </w:rPr>
        <w:t>, 5-7</w:t>
      </w:r>
      <w:r w:rsidRPr="00F25744">
        <w:rPr>
          <w:rFonts w:ascii="David" w:hAnsi="David" w:cs="David" w:hint="cs"/>
          <w:sz w:val="24"/>
          <w:szCs w:val="24"/>
          <w:rtl/>
        </w:rPr>
        <w:t xml:space="preserve"> דקות</w:t>
      </w:r>
      <w:r w:rsidRPr="00F25744">
        <w:rPr>
          <w:rFonts w:ascii="David" w:hAnsi="David" w:cs="David"/>
          <w:sz w:val="24"/>
          <w:szCs w:val="24"/>
          <w:rtl/>
        </w:rPr>
        <w:t>, 7-9</w:t>
      </w:r>
      <w:r w:rsidRPr="00F25744">
        <w:rPr>
          <w:rFonts w:ascii="David" w:hAnsi="David" w:cs="David" w:hint="cs"/>
          <w:sz w:val="24"/>
          <w:szCs w:val="24"/>
          <w:rtl/>
        </w:rPr>
        <w:t xml:space="preserve"> דקות</w:t>
      </w:r>
      <w:r w:rsidRPr="00F25744">
        <w:rPr>
          <w:rFonts w:ascii="David" w:hAnsi="David" w:cs="David"/>
          <w:sz w:val="24"/>
          <w:szCs w:val="24"/>
          <w:rtl/>
        </w:rPr>
        <w:t>, 9-11</w:t>
      </w:r>
      <w:r w:rsidRPr="00F25744">
        <w:rPr>
          <w:rFonts w:ascii="David" w:hAnsi="David" w:cs="David" w:hint="cs"/>
          <w:sz w:val="24"/>
          <w:szCs w:val="24"/>
          <w:rtl/>
        </w:rPr>
        <w:t xml:space="preserve"> דקות</w:t>
      </w:r>
      <w:r w:rsidRPr="00F25744">
        <w:rPr>
          <w:rFonts w:ascii="David" w:hAnsi="David" w:cs="David"/>
          <w:sz w:val="24"/>
          <w:szCs w:val="24"/>
          <w:rtl/>
        </w:rPr>
        <w:t>, 11-15</w:t>
      </w:r>
      <w:r w:rsidRPr="00F25744">
        <w:rPr>
          <w:rFonts w:ascii="David" w:hAnsi="David" w:cs="David" w:hint="cs"/>
          <w:sz w:val="24"/>
          <w:szCs w:val="24"/>
          <w:rtl/>
        </w:rPr>
        <w:t xml:space="preserve"> דקות, אם מעל 15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14D792D6" w14:textId="77777777" w:rsidR="005E4C22" w:rsidRPr="00F25744" w:rsidRDefault="00E25AE7" w:rsidP="00341018">
      <w:pPr>
        <w:numPr>
          <w:ilvl w:val="0"/>
          <w:numId w:val="38"/>
        </w:numPr>
        <w:spacing w:before="120" w:after="0" w:line="360" w:lineRule="auto"/>
        <w:ind w:left="651" w:hanging="283"/>
        <w:jc w:val="both"/>
        <w:rPr>
          <w:rFonts w:ascii="David" w:hAnsi="David" w:cs="David"/>
          <w:sz w:val="24"/>
          <w:szCs w:val="24"/>
        </w:rPr>
      </w:pPr>
      <w:r w:rsidRPr="00F25744">
        <w:rPr>
          <w:rFonts w:ascii="David" w:hAnsi="David" w:cs="David" w:hint="cs"/>
          <w:sz w:val="24"/>
          <w:szCs w:val="24"/>
          <w:rtl/>
        </w:rPr>
        <w:t xml:space="preserve">בתיק מסוג </w:t>
      </w:r>
      <w:r w:rsidRPr="00F25744">
        <w:rPr>
          <w:rFonts w:ascii="David" w:hAnsi="David" w:cs="David" w:hint="cs"/>
          <w:b/>
          <w:bCs/>
          <w:sz w:val="24"/>
          <w:szCs w:val="24"/>
          <w:u w:val="single"/>
          <w:rtl/>
        </w:rPr>
        <w:t>וש"ר</w:t>
      </w:r>
      <w:r w:rsidRPr="00F25744">
        <w:rPr>
          <w:rFonts w:ascii="David" w:hAnsi="David" w:cs="David" w:hint="cs"/>
          <w:sz w:val="24"/>
          <w:szCs w:val="24"/>
          <w:rtl/>
        </w:rPr>
        <w:t>, אנא סמן כמה זמן בממוצע להערכתך אורכות הפעולות הבאות:</w:t>
      </w:r>
    </w:p>
    <w:p w14:paraId="2D28E087" w14:textId="77777777" w:rsidR="005E4C22" w:rsidRPr="00F25744" w:rsidRDefault="00E25AE7" w:rsidP="00341018">
      <w:pPr>
        <w:numPr>
          <w:ilvl w:val="1"/>
          <w:numId w:val="29"/>
        </w:numPr>
        <w:spacing w:before="120" w:after="0" w:line="360" w:lineRule="auto"/>
        <w:ind w:left="1133" w:hanging="426"/>
        <w:jc w:val="both"/>
        <w:rPr>
          <w:rFonts w:ascii="David" w:hAnsi="David" w:cs="David"/>
          <w:sz w:val="24"/>
          <w:szCs w:val="24"/>
        </w:rPr>
      </w:pPr>
      <w:r w:rsidRPr="00F25744">
        <w:rPr>
          <w:rFonts w:ascii="David" w:hAnsi="David" w:cs="David" w:hint="cs"/>
          <w:b/>
          <w:bCs/>
          <w:sz w:val="24"/>
          <w:szCs w:val="24"/>
          <w:rtl/>
        </w:rPr>
        <w:t xml:space="preserve">הכנה </w:t>
      </w:r>
      <w:r w:rsidRPr="00F25744">
        <w:rPr>
          <w:rFonts w:ascii="David" w:hAnsi="David" w:cs="David" w:hint="cs"/>
          <w:sz w:val="24"/>
          <w:szCs w:val="24"/>
          <w:rtl/>
        </w:rPr>
        <w:t xml:space="preserve">לקראת הדיון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143A6B25" w14:textId="77777777" w:rsidR="005E4C22" w:rsidRPr="00F25744" w:rsidRDefault="00E25AE7" w:rsidP="00341018">
      <w:pPr>
        <w:numPr>
          <w:ilvl w:val="1"/>
          <w:numId w:val="29"/>
        </w:numPr>
        <w:spacing w:before="120" w:after="0" w:line="360" w:lineRule="auto"/>
        <w:ind w:left="1133" w:hanging="426"/>
        <w:jc w:val="both"/>
        <w:rPr>
          <w:rFonts w:ascii="David" w:hAnsi="David" w:cs="David"/>
          <w:sz w:val="24"/>
          <w:szCs w:val="24"/>
        </w:rPr>
      </w:pPr>
      <w:r w:rsidRPr="00F25744">
        <w:rPr>
          <w:rFonts w:ascii="David" w:hAnsi="David" w:cs="David" w:hint="cs"/>
          <w:b/>
          <w:bCs/>
          <w:sz w:val="24"/>
          <w:szCs w:val="24"/>
          <w:rtl/>
        </w:rPr>
        <w:t xml:space="preserve">שמיעת </w:t>
      </w:r>
      <w:r w:rsidRPr="00F25744">
        <w:rPr>
          <w:rFonts w:ascii="David" w:hAnsi="David" w:cs="David" w:hint="cs"/>
          <w:sz w:val="24"/>
          <w:szCs w:val="24"/>
          <w:rtl/>
        </w:rPr>
        <w:t xml:space="preserve">הדיון [עד 5 דקות, 5-10 דקות, 10-20 דקות, 20- 30 דקות, אם מעל 30 דקות </w:t>
      </w:r>
      <w:r w:rsidRPr="00F25744">
        <w:rPr>
          <w:rFonts w:ascii="David" w:hAnsi="David" w:cs="David"/>
          <w:sz w:val="24"/>
          <w:szCs w:val="24"/>
          <w:rtl/>
        </w:rPr>
        <w:t>–</w:t>
      </w:r>
      <w:r w:rsidRPr="00F25744">
        <w:rPr>
          <w:rFonts w:ascii="David" w:hAnsi="David" w:cs="David" w:hint="cs"/>
          <w:sz w:val="24"/>
          <w:szCs w:val="24"/>
          <w:rtl/>
        </w:rPr>
        <w:t xml:space="preserve"> כמה?/ לא רלבנטי]</w:t>
      </w:r>
    </w:p>
    <w:p w14:paraId="202D2497" w14:textId="77777777" w:rsidR="005E4C22" w:rsidRPr="00F25744" w:rsidRDefault="00E25AE7" w:rsidP="00341018">
      <w:pPr>
        <w:numPr>
          <w:ilvl w:val="0"/>
          <w:numId w:val="43"/>
        </w:numPr>
        <w:spacing w:before="120" w:after="0" w:line="360" w:lineRule="auto"/>
        <w:jc w:val="both"/>
        <w:rPr>
          <w:rFonts w:ascii="David" w:hAnsi="David" w:cs="David"/>
          <w:b/>
          <w:bCs/>
          <w:sz w:val="24"/>
          <w:szCs w:val="24"/>
          <w:u w:val="single"/>
        </w:rPr>
      </w:pPr>
      <w:r w:rsidRPr="00F25744">
        <w:rPr>
          <w:rFonts w:ascii="David" w:hAnsi="David" w:cs="David" w:hint="cs"/>
          <w:b/>
          <w:bCs/>
          <w:sz w:val="24"/>
          <w:szCs w:val="24"/>
          <w:u w:val="single"/>
          <w:rtl/>
        </w:rPr>
        <w:t>היבטים נוספים של העומס</w:t>
      </w:r>
      <w:r w:rsidRPr="00F25744">
        <w:rPr>
          <w:rFonts w:ascii="David" w:hAnsi="David" w:cs="David" w:hint="cs"/>
          <w:b/>
          <w:bCs/>
          <w:sz w:val="24"/>
          <w:szCs w:val="24"/>
          <w:rtl/>
        </w:rPr>
        <w:t xml:space="preserve"> </w:t>
      </w:r>
      <w:r w:rsidRPr="00F25744">
        <w:rPr>
          <w:rFonts w:ascii="David" w:hAnsi="David" w:cs="David" w:hint="cs"/>
          <w:sz w:val="24"/>
          <w:szCs w:val="24"/>
          <w:rtl/>
        </w:rPr>
        <w:t>(ראו נספח ב1: כללי)</w:t>
      </w:r>
    </w:p>
    <w:p w14:paraId="7EE16688" w14:textId="77777777" w:rsidR="005E4C22" w:rsidRPr="00F25744" w:rsidRDefault="00E25AE7" w:rsidP="00341018">
      <w:pPr>
        <w:numPr>
          <w:ilvl w:val="0"/>
          <w:numId w:val="43"/>
        </w:numPr>
        <w:spacing w:before="120" w:after="0" w:line="360" w:lineRule="auto"/>
        <w:jc w:val="both"/>
        <w:rPr>
          <w:rFonts w:ascii="David" w:hAnsi="David" w:cs="David"/>
          <w:b/>
          <w:bCs/>
          <w:sz w:val="24"/>
          <w:szCs w:val="24"/>
          <w:u w:val="single"/>
        </w:rPr>
      </w:pPr>
      <w:r w:rsidRPr="00F25744">
        <w:rPr>
          <w:rFonts w:ascii="David" w:hAnsi="David" w:cs="David" w:hint="cs"/>
          <w:b/>
          <w:bCs/>
          <w:sz w:val="24"/>
          <w:szCs w:val="24"/>
          <w:u w:val="single"/>
          <w:rtl/>
        </w:rPr>
        <w:t>עומס רגשי</w:t>
      </w:r>
      <w:r w:rsidRPr="00F25744">
        <w:rPr>
          <w:rFonts w:ascii="David" w:hAnsi="David" w:cs="David" w:hint="cs"/>
          <w:b/>
          <w:bCs/>
          <w:sz w:val="24"/>
          <w:szCs w:val="24"/>
          <w:rtl/>
        </w:rPr>
        <w:t xml:space="preserve"> </w:t>
      </w:r>
      <w:r w:rsidRPr="00F25744">
        <w:rPr>
          <w:rFonts w:ascii="David" w:hAnsi="David" w:cs="David" w:hint="cs"/>
          <w:sz w:val="24"/>
          <w:szCs w:val="24"/>
          <w:rtl/>
        </w:rPr>
        <w:t>(ראו נספח ב1: כללי)</w:t>
      </w:r>
    </w:p>
    <w:p w14:paraId="282759A8" w14:textId="77777777" w:rsidR="005E4C22" w:rsidRPr="00F25744" w:rsidRDefault="00E25AE7" w:rsidP="00341018">
      <w:pPr>
        <w:numPr>
          <w:ilvl w:val="0"/>
          <w:numId w:val="43"/>
        </w:numPr>
        <w:spacing w:before="120" w:after="0" w:line="360" w:lineRule="auto"/>
        <w:jc w:val="both"/>
        <w:rPr>
          <w:rFonts w:ascii="David" w:hAnsi="David" w:cs="David"/>
          <w:b/>
          <w:bCs/>
          <w:sz w:val="24"/>
          <w:szCs w:val="24"/>
          <w:u w:val="single"/>
        </w:rPr>
      </w:pPr>
      <w:r w:rsidRPr="00F25744">
        <w:rPr>
          <w:rFonts w:ascii="David" w:hAnsi="David" w:cs="David" w:hint="cs"/>
          <w:b/>
          <w:bCs/>
          <w:sz w:val="24"/>
          <w:szCs w:val="24"/>
          <w:u w:val="single"/>
          <w:rtl/>
        </w:rPr>
        <w:t xml:space="preserve">שאלות פתוחות </w:t>
      </w:r>
      <w:r w:rsidRPr="00F25744">
        <w:rPr>
          <w:rFonts w:ascii="David" w:hAnsi="David" w:cs="David" w:hint="cs"/>
          <w:sz w:val="24"/>
          <w:szCs w:val="24"/>
          <w:rtl/>
        </w:rPr>
        <w:t>(ראו נספח ב1: כללי)</w:t>
      </w:r>
    </w:p>
    <w:p w14:paraId="08A74B64" w14:textId="77777777" w:rsidR="005E4C22" w:rsidRPr="00F25744" w:rsidRDefault="005E4C22" w:rsidP="005E4C22">
      <w:pPr>
        <w:spacing w:before="120" w:after="0" w:line="360" w:lineRule="auto"/>
        <w:jc w:val="both"/>
        <w:rPr>
          <w:rFonts w:ascii="David" w:hAnsi="David" w:cs="David"/>
          <w:sz w:val="24"/>
          <w:szCs w:val="24"/>
        </w:rPr>
      </w:pPr>
    </w:p>
    <w:p w14:paraId="1503E823" w14:textId="77777777" w:rsidR="007A4292" w:rsidRPr="00F25744" w:rsidRDefault="007A4292" w:rsidP="00470BAF">
      <w:pPr>
        <w:pStyle w:val="2"/>
        <w:numPr>
          <w:ilvl w:val="0"/>
          <w:numId w:val="0"/>
        </w:numPr>
        <w:rPr>
          <w:rtl/>
        </w:rPr>
      </w:pPr>
      <w:bookmarkStart w:id="950" w:name="_Toc46412653"/>
      <w:bookmarkStart w:id="951" w:name="_Toc46416526"/>
    </w:p>
    <w:p w14:paraId="51ED5204" w14:textId="77777777" w:rsidR="007A4292" w:rsidRPr="00F25744" w:rsidRDefault="007A4292" w:rsidP="00470BAF">
      <w:pPr>
        <w:pStyle w:val="2"/>
        <w:numPr>
          <w:ilvl w:val="0"/>
          <w:numId w:val="0"/>
        </w:numPr>
        <w:rPr>
          <w:rtl/>
        </w:rPr>
      </w:pPr>
    </w:p>
    <w:p w14:paraId="1870525A" w14:textId="77777777" w:rsidR="007A4292" w:rsidRPr="00F25744" w:rsidRDefault="007A4292" w:rsidP="00470BAF">
      <w:pPr>
        <w:pStyle w:val="2"/>
        <w:numPr>
          <w:ilvl w:val="0"/>
          <w:numId w:val="0"/>
        </w:numPr>
        <w:rPr>
          <w:rtl/>
        </w:rPr>
      </w:pPr>
    </w:p>
    <w:p w14:paraId="2813F394" w14:textId="77777777" w:rsidR="007A4292" w:rsidRPr="00F25744" w:rsidRDefault="007A4292" w:rsidP="00470BAF">
      <w:pPr>
        <w:pStyle w:val="2"/>
        <w:numPr>
          <w:ilvl w:val="0"/>
          <w:numId w:val="0"/>
        </w:numPr>
        <w:rPr>
          <w:rtl/>
        </w:rPr>
      </w:pPr>
    </w:p>
    <w:p w14:paraId="2074470A" w14:textId="77777777" w:rsidR="000B27AF" w:rsidRPr="00F25744" w:rsidRDefault="000B27AF">
      <w:pPr>
        <w:bidi w:val="0"/>
        <w:spacing w:after="0" w:line="240" w:lineRule="auto"/>
        <w:rPr>
          <w:rFonts w:ascii="David" w:hAnsi="David" w:cs="David"/>
          <w:b/>
          <w:bCs/>
          <w:sz w:val="24"/>
          <w:szCs w:val="24"/>
          <w:u w:val="single"/>
          <w:rtl/>
        </w:rPr>
      </w:pPr>
      <w:bookmarkStart w:id="952" w:name="_Toc46694219"/>
      <w:bookmarkStart w:id="953" w:name="_Toc49352807"/>
      <w:bookmarkStart w:id="954" w:name="_Toc49429714"/>
      <w:bookmarkStart w:id="955" w:name="_Toc49435943"/>
      <w:r w:rsidRPr="00F25744">
        <w:rPr>
          <w:rtl/>
        </w:rPr>
        <w:br w:type="page"/>
      </w:r>
    </w:p>
    <w:p w14:paraId="27D60F0B" w14:textId="77777777" w:rsidR="005E4C22" w:rsidRPr="00F25744" w:rsidRDefault="00E25AE7" w:rsidP="007A4292">
      <w:pPr>
        <w:pStyle w:val="2"/>
        <w:numPr>
          <w:ilvl w:val="0"/>
          <w:numId w:val="0"/>
        </w:numPr>
        <w:jc w:val="center"/>
        <w:rPr>
          <w:rtl/>
        </w:rPr>
      </w:pPr>
      <w:bookmarkStart w:id="956" w:name="_Toc74751051"/>
      <w:r w:rsidRPr="00F25744">
        <w:rPr>
          <w:rFonts w:hint="cs"/>
          <w:rtl/>
        </w:rPr>
        <w:lastRenderedPageBreak/>
        <w:t>נספח ג': טופס הסכמה לדוגמה</w:t>
      </w:r>
      <w:bookmarkEnd w:id="950"/>
      <w:bookmarkEnd w:id="951"/>
      <w:bookmarkEnd w:id="952"/>
      <w:bookmarkEnd w:id="953"/>
      <w:bookmarkEnd w:id="954"/>
      <w:bookmarkEnd w:id="955"/>
      <w:bookmarkEnd w:id="956"/>
    </w:p>
    <w:p w14:paraId="5A0BEC9D" w14:textId="77777777" w:rsidR="005E4C22" w:rsidRPr="00F25744" w:rsidRDefault="00E25AE7" w:rsidP="007A4292">
      <w:pPr>
        <w:rPr>
          <w:rtl/>
        </w:rPr>
      </w:pPr>
      <w:r w:rsidRPr="00F25744">
        <w:rPr>
          <w:noProof/>
          <w:rtl/>
        </w:rPr>
        <w:drawing>
          <wp:anchor distT="0" distB="0" distL="114300" distR="114300" simplePos="0" relativeHeight="251673600" behindDoc="0" locked="0" layoutInCell="1" allowOverlap="1" wp14:anchorId="15264973" wp14:editId="78DC6FD4">
            <wp:simplePos x="0" y="0"/>
            <wp:positionH relativeFrom="column">
              <wp:posOffset>85725</wp:posOffset>
            </wp:positionH>
            <wp:positionV relativeFrom="paragraph">
              <wp:posOffset>4445</wp:posOffset>
            </wp:positionV>
            <wp:extent cx="5273675" cy="7251700"/>
            <wp:effectExtent l="19050" t="19050" r="3175" b="6350"/>
            <wp:wrapNone/>
            <wp:docPr id="46"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953423" name="תמונה 1"/>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bwMode="auto">
                    <a:xfrm>
                      <a:off x="0" y="0"/>
                      <a:ext cx="5273675" cy="72517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16813827" w14:textId="77777777" w:rsidR="005E4C22" w:rsidRPr="00F25744" w:rsidRDefault="005E4C22" w:rsidP="005E4C22">
      <w:pPr>
        <w:rPr>
          <w:rtl/>
        </w:rPr>
      </w:pPr>
    </w:p>
    <w:p w14:paraId="7653DFF8" w14:textId="77777777" w:rsidR="005E4C22" w:rsidRPr="00F25744" w:rsidRDefault="005E4C22" w:rsidP="005E4C22">
      <w:pPr>
        <w:rPr>
          <w:rtl/>
        </w:rPr>
      </w:pPr>
    </w:p>
    <w:p w14:paraId="0AC428F4" w14:textId="77777777" w:rsidR="005E4C22" w:rsidRPr="00F25744" w:rsidRDefault="005E4C22" w:rsidP="005E4C22">
      <w:pPr>
        <w:rPr>
          <w:rtl/>
        </w:rPr>
      </w:pPr>
    </w:p>
    <w:p w14:paraId="2263D5DC" w14:textId="77777777" w:rsidR="005E4C22" w:rsidRPr="00F25744" w:rsidRDefault="00E25AE7" w:rsidP="007A4292">
      <w:pPr>
        <w:pStyle w:val="2"/>
        <w:numPr>
          <w:ilvl w:val="0"/>
          <w:numId w:val="0"/>
        </w:numPr>
        <w:jc w:val="center"/>
        <w:rPr>
          <w:rtl/>
        </w:rPr>
      </w:pPr>
      <w:bookmarkStart w:id="957" w:name="_Toc46412654"/>
      <w:r w:rsidRPr="00F25744">
        <w:rPr>
          <w:rtl/>
        </w:rPr>
        <w:br w:type="page"/>
      </w:r>
      <w:bookmarkStart w:id="958" w:name="_Toc46416527"/>
      <w:bookmarkStart w:id="959" w:name="_Toc46694220"/>
      <w:bookmarkStart w:id="960" w:name="_Toc49352808"/>
      <w:bookmarkStart w:id="961" w:name="_Toc49429715"/>
      <w:bookmarkStart w:id="962" w:name="_Toc49435944"/>
      <w:bookmarkStart w:id="963" w:name="_Toc74751052"/>
      <w:r w:rsidR="007F3A52" w:rsidRPr="00F25744">
        <w:rPr>
          <w:rFonts w:hint="cs"/>
          <w:rtl/>
        </w:rPr>
        <w:lastRenderedPageBreak/>
        <w:t>נספח ד': יומני השופטים הידניים אשר הותאמו לערכאות השונות</w:t>
      </w:r>
      <w:bookmarkEnd w:id="957"/>
      <w:bookmarkEnd w:id="958"/>
      <w:bookmarkEnd w:id="959"/>
      <w:bookmarkEnd w:id="960"/>
      <w:bookmarkEnd w:id="961"/>
      <w:bookmarkEnd w:id="962"/>
      <w:bookmarkEnd w:id="963"/>
    </w:p>
    <w:p w14:paraId="6B101BC1" w14:textId="77777777" w:rsidR="005E4C22" w:rsidRPr="00F25744" w:rsidRDefault="005E4C22" w:rsidP="005E4C22">
      <w:pPr>
        <w:rPr>
          <w:rtl/>
        </w:rPr>
      </w:pPr>
    </w:p>
    <w:p w14:paraId="6405BC36" w14:textId="77777777" w:rsidR="005E4C22" w:rsidRPr="00F25744" w:rsidRDefault="00E25AE7" w:rsidP="00470BAF">
      <w:pPr>
        <w:pStyle w:val="3"/>
        <w:numPr>
          <w:ilvl w:val="0"/>
          <w:numId w:val="0"/>
        </w:numPr>
        <w:rPr>
          <w:rtl/>
        </w:rPr>
      </w:pPr>
      <w:bookmarkStart w:id="964" w:name="_Toc46412655"/>
      <w:bookmarkStart w:id="965" w:name="_Toc46416528"/>
      <w:bookmarkStart w:id="966" w:name="_Toc46694221"/>
      <w:bookmarkStart w:id="967" w:name="_Toc49352809"/>
      <w:bookmarkStart w:id="968" w:name="_Toc49429716"/>
      <w:bookmarkStart w:id="969" w:name="_Toc49435945"/>
      <w:bookmarkStart w:id="970" w:name="_Toc74751053"/>
      <w:r w:rsidRPr="00F25744">
        <w:rPr>
          <w:noProof/>
          <w:rtl/>
        </w:rPr>
        <w:drawing>
          <wp:anchor distT="0" distB="0" distL="114300" distR="114300" simplePos="0" relativeHeight="251668480" behindDoc="0" locked="0" layoutInCell="1" allowOverlap="1" wp14:anchorId="3BBB1AEA" wp14:editId="14046970">
            <wp:simplePos x="0" y="0"/>
            <wp:positionH relativeFrom="column">
              <wp:posOffset>340995</wp:posOffset>
            </wp:positionH>
            <wp:positionV relativeFrom="paragraph">
              <wp:posOffset>193040</wp:posOffset>
            </wp:positionV>
            <wp:extent cx="4727575" cy="7790180"/>
            <wp:effectExtent l="0" t="0" r="0" b="0"/>
            <wp:wrapNone/>
            <wp:docPr id="47"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627679" name="תמונה 1"/>
                    <pic:cNvPicPr>
                      <a:picLocks noChangeAspect="1" noChangeArrowheads="1"/>
                    </pic:cNvPicPr>
                  </pic:nvPicPr>
                  <pic:blipFill>
                    <a:blip r:embed="rId44">
                      <a:extLst>
                        <a:ext uri="{28A0092B-C50C-407E-A947-70E740481C1C}">
                          <a14:useLocalDpi xmlns:a14="http://schemas.microsoft.com/office/drawing/2010/main" val="0"/>
                        </a:ext>
                      </a:extLst>
                    </a:blip>
                    <a:srcRect l="6079" t="2216" r="18279" b="20949"/>
                    <a:stretch>
                      <a:fillRect/>
                    </a:stretch>
                  </pic:blipFill>
                  <pic:spPr bwMode="auto">
                    <a:xfrm>
                      <a:off x="0" y="0"/>
                      <a:ext cx="4727575" cy="7790180"/>
                    </a:xfrm>
                    <a:prstGeom prst="rect">
                      <a:avLst/>
                    </a:prstGeom>
                    <a:noFill/>
                    <a:ln>
                      <a:noFill/>
                    </a:ln>
                  </pic:spPr>
                </pic:pic>
              </a:graphicData>
            </a:graphic>
            <wp14:sizeRelH relativeFrom="page">
              <wp14:pctWidth>0</wp14:pctWidth>
            </wp14:sizeRelH>
            <wp14:sizeRelV relativeFrom="page">
              <wp14:pctHeight>0</wp14:pctHeight>
            </wp14:sizeRelV>
          </wp:anchor>
        </w:drawing>
      </w:r>
      <w:r w:rsidR="007F3A52" w:rsidRPr="00F25744">
        <w:rPr>
          <w:rFonts w:hint="cs"/>
          <w:rtl/>
        </w:rPr>
        <w:t>נספח ד1: ערכאת מחוזי</w:t>
      </w:r>
      <w:bookmarkEnd w:id="964"/>
      <w:bookmarkEnd w:id="965"/>
      <w:bookmarkEnd w:id="966"/>
      <w:bookmarkEnd w:id="967"/>
      <w:bookmarkEnd w:id="968"/>
      <w:bookmarkEnd w:id="969"/>
      <w:bookmarkEnd w:id="970"/>
    </w:p>
    <w:p w14:paraId="4B12629F" w14:textId="77777777" w:rsidR="005E4C22" w:rsidRPr="00F25744" w:rsidRDefault="00E25AE7" w:rsidP="00470BAF">
      <w:pPr>
        <w:pStyle w:val="3"/>
        <w:numPr>
          <w:ilvl w:val="0"/>
          <w:numId w:val="0"/>
        </w:numPr>
        <w:rPr>
          <w:rtl/>
        </w:rPr>
      </w:pPr>
      <w:bookmarkStart w:id="971" w:name="_Toc46412656"/>
      <w:r w:rsidRPr="00F25744">
        <w:rPr>
          <w:rtl/>
        </w:rPr>
        <w:br w:type="page"/>
      </w:r>
      <w:bookmarkStart w:id="972" w:name="_Toc46416529"/>
      <w:bookmarkStart w:id="973" w:name="_Toc46694222"/>
      <w:bookmarkStart w:id="974" w:name="_Toc49352810"/>
      <w:bookmarkStart w:id="975" w:name="_Toc49429717"/>
      <w:bookmarkStart w:id="976" w:name="_Toc49435946"/>
      <w:bookmarkStart w:id="977" w:name="_Toc74751054"/>
      <w:r w:rsidRPr="00F25744">
        <w:rPr>
          <w:rFonts w:hint="cs"/>
          <w:rtl/>
        </w:rPr>
        <w:lastRenderedPageBreak/>
        <w:t>נספח ד2: ערכאת שלום</w:t>
      </w:r>
      <w:bookmarkEnd w:id="971"/>
      <w:bookmarkEnd w:id="972"/>
      <w:bookmarkEnd w:id="973"/>
      <w:bookmarkEnd w:id="974"/>
      <w:bookmarkEnd w:id="975"/>
      <w:bookmarkEnd w:id="976"/>
      <w:bookmarkEnd w:id="977"/>
    </w:p>
    <w:p w14:paraId="1B5E4308" w14:textId="77777777" w:rsidR="005E4C22" w:rsidRPr="00F25744" w:rsidRDefault="00E25AE7" w:rsidP="00470BAF">
      <w:pPr>
        <w:pStyle w:val="3"/>
        <w:numPr>
          <w:ilvl w:val="0"/>
          <w:numId w:val="0"/>
        </w:numPr>
        <w:rPr>
          <w:rtl/>
        </w:rPr>
      </w:pPr>
      <w:bookmarkStart w:id="978" w:name="_Toc46694223"/>
      <w:bookmarkStart w:id="979" w:name="_Toc49352811"/>
      <w:bookmarkStart w:id="980" w:name="_Toc49429718"/>
      <w:bookmarkStart w:id="981" w:name="_Toc49435947"/>
      <w:bookmarkStart w:id="982" w:name="_Toc74751055"/>
      <w:r w:rsidRPr="00F25744">
        <w:rPr>
          <w:noProof/>
          <w:rtl/>
        </w:rPr>
        <w:drawing>
          <wp:anchor distT="0" distB="0" distL="114300" distR="114300" simplePos="0" relativeHeight="251669504" behindDoc="0" locked="0" layoutInCell="1" allowOverlap="1" wp14:anchorId="084DACC8" wp14:editId="26EA25E3">
            <wp:simplePos x="0" y="0"/>
            <wp:positionH relativeFrom="column">
              <wp:posOffset>554355</wp:posOffset>
            </wp:positionH>
            <wp:positionV relativeFrom="paragraph">
              <wp:posOffset>38100</wp:posOffset>
            </wp:positionV>
            <wp:extent cx="4660265" cy="8547735"/>
            <wp:effectExtent l="0" t="0" r="0" b="0"/>
            <wp:wrapNone/>
            <wp:docPr id="48"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983386" name="תמונה 1"/>
                    <pic:cNvPicPr>
                      <a:picLocks noChangeAspect="1" noChangeArrowheads="1"/>
                    </pic:cNvPicPr>
                  </pic:nvPicPr>
                  <pic:blipFill>
                    <a:blip r:embed="rId45">
                      <a:extLst>
                        <a:ext uri="{28A0092B-C50C-407E-A947-70E740481C1C}">
                          <a14:useLocalDpi xmlns:a14="http://schemas.microsoft.com/office/drawing/2010/main" val="0"/>
                        </a:ext>
                      </a:extLst>
                    </a:blip>
                    <a:srcRect l="7535" t="2216" r="16846" b="19759"/>
                    <a:stretch>
                      <a:fillRect/>
                    </a:stretch>
                  </pic:blipFill>
                  <pic:spPr bwMode="auto">
                    <a:xfrm>
                      <a:off x="0" y="0"/>
                      <a:ext cx="4660265" cy="8547735"/>
                    </a:xfrm>
                    <a:prstGeom prst="rect">
                      <a:avLst/>
                    </a:prstGeom>
                    <a:noFill/>
                    <a:ln>
                      <a:noFill/>
                    </a:ln>
                  </pic:spPr>
                </pic:pic>
              </a:graphicData>
            </a:graphic>
            <wp14:sizeRelH relativeFrom="page">
              <wp14:pctWidth>0</wp14:pctWidth>
            </wp14:sizeRelH>
            <wp14:sizeRelV relativeFrom="page">
              <wp14:pctHeight>0</wp14:pctHeight>
            </wp14:sizeRelV>
          </wp:anchor>
        </w:drawing>
      </w:r>
      <w:r w:rsidR="00770E84" w:rsidRPr="00F25744">
        <w:rPr>
          <w:rtl/>
        </w:rPr>
        <w:br w:type="page"/>
      </w:r>
      <w:bookmarkStart w:id="983" w:name="_Toc46412657"/>
      <w:bookmarkStart w:id="984" w:name="_Toc46416530"/>
      <w:r w:rsidRPr="00F25744">
        <w:rPr>
          <w:noProof/>
          <w:rtl/>
        </w:rPr>
        <w:lastRenderedPageBreak/>
        <w:drawing>
          <wp:anchor distT="0" distB="0" distL="114300" distR="114300" simplePos="0" relativeHeight="251670528" behindDoc="0" locked="0" layoutInCell="1" allowOverlap="1" wp14:anchorId="7FBC35E6" wp14:editId="726CC0D9">
            <wp:simplePos x="0" y="0"/>
            <wp:positionH relativeFrom="column">
              <wp:posOffset>479425</wp:posOffset>
            </wp:positionH>
            <wp:positionV relativeFrom="paragraph">
              <wp:posOffset>213995</wp:posOffset>
            </wp:positionV>
            <wp:extent cx="4580255" cy="8391525"/>
            <wp:effectExtent l="0" t="0" r="0" b="0"/>
            <wp:wrapNone/>
            <wp:docPr id="4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01343" name="תמונה 1"/>
                    <pic:cNvPicPr>
                      <a:picLocks noChangeAspect="1" noChangeArrowheads="1"/>
                    </pic:cNvPicPr>
                  </pic:nvPicPr>
                  <pic:blipFill>
                    <a:blip r:embed="rId46">
                      <a:extLst>
                        <a:ext uri="{28A0092B-C50C-407E-A947-70E740481C1C}">
                          <a14:useLocalDpi xmlns:a14="http://schemas.microsoft.com/office/drawing/2010/main" val="0"/>
                        </a:ext>
                      </a:extLst>
                    </a:blip>
                    <a:srcRect l="7536" t="2420" r="17551" b="20523"/>
                    <a:stretch>
                      <a:fillRect/>
                    </a:stretch>
                  </pic:blipFill>
                  <pic:spPr bwMode="auto">
                    <a:xfrm>
                      <a:off x="0" y="0"/>
                      <a:ext cx="4580255" cy="839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7F3A52" w:rsidRPr="00F25744">
        <w:rPr>
          <w:rFonts w:hint="cs"/>
          <w:rtl/>
        </w:rPr>
        <w:t>נספח ד3: ערכאת תעבורה</w:t>
      </w:r>
      <w:bookmarkEnd w:id="978"/>
      <w:bookmarkEnd w:id="979"/>
      <w:bookmarkEnd w:id="980"/>
      <w:bookmarkEnd w:id="981"/>
      <w:bookmarkEnd w:id="983"/>
      <w:bookmarkEnd w:id="984"/>
      <w:bookmarkEnd w:id="982"/>
    </w:p>
    <w:p w14:paraId="0A3E5882" w14:textId="77777777" w:rsidR="005E4C22" w:rsidRPr="00F25744" w:rsidRDefault="00E25AE7" w:rsidP="00470BAF">
      <w:pPr>
        <w:pStyle w:val="3"/>
        <w:numPr>
          <w:ilvl w:val="0"/>
          <w:numId w:val="0"/>
        </w:numPr>
        <w:rPr>
          <w:rtl/>
        </w:rPr>
      </w:pPr>
      <w:bookmarkStart w:id="985" w:name="_Toc46412658"/>
      <w:r w:rsidRPr="00F25744">
        <w:rPr>
          <w:rtl/>
        </w:rPr>
        <w:br w:type="page"/>
      </w:r>
      <w:bookmarkStart w:id="986" w:name="_Toc46416531"/>
      <w:bookmarkStart w:id="987" w:name="_Toc46694224"/>
      <w:bookmarkStart w:id="988" w:name="_Toc49352812"/>
      <w:bookmarkStart w:id="989" w:name="_Toc49429719"/>
      <w:bookmarkStart w:id="990" w:name="_Toc49435948"/>
      <w:bookmarkStart w:id="991" w:name="_Toc74751056"/>
      <w:r w:rsidR="007F3A52" w:rsidRPr="00F25744">
        <w:rPr>
          <w:rFonts w:hint="cs"/>
          <w:rtl/>
        </w:rPr>
        <w:lastRenderedPageBreak/>
        <w:t>נספח ד4: ערכאת משפחה</w:t>
      </w:r>
      <w:bookmarkEnd w:id="985"/>
      <w:bookmarkEnd w:id="986"/>
      <w:bookmarkEnd w:id="987"/>
      <w:bookmarkEnd w:id="988"/>
      <w:bookmarkEnd w:id="989"/>
      <w:bookmarkEnd w:id="990"/>
      <w:bookmarkEnd w:id="991"/>
    </w:p>
    <w:p w14:paraId="14D63B76" w14:textId="77777777" w:rsidR="005E4C22" w:rsidRPr="00F25744" w:rsidRDefault="00E25AE7" w:rsidP="00470BAF">
      <w:pPr>
        <w:pStyle w:val="3"/>
        <w:numPr>
          <w:ilvl w:val="0"/>
          <w:numId w:val="0"/>
        </w:numPr>
        <w:rPr>
          <w:rtl/>
        </w:rPr>
      </w:pPr>
      <w:bookmarkStart w:id="992" w:name="_Toc46694225"/>
      <w:bookmarkStart w:id="993" w:name="_Toc49352813"/>
      <w:bookmarkStart w:id="994" w:name="_Toc49429720"/>
      <w:bookmarkStart w:id="995" w:name="_Toc49435949"/>
      <w:bookmarkStart w:id="996" w:name="_Toc74751057"/>
      <w:r w:rsidRPr="00F25744">
        <w:rPr>
          <w:noProof/>
          <w:rtl/>
        </w:rPr>
        <w:drawing>
          <wp:anchor distT="0" distB="0" distL="114300" distR="114300" simplePos="0" relativeHeight="251671552" behindDoc="0" locked="0" layoutInCell="1" allowOverlap="1" wp14:anchorId="512F2E41" wp14:editId="1A0E6356">
            <wp:simplePos x="0" y="0"/>
            <wp:positionH relativeFrom="column">
              <wp:posOffset>521335</wp:posOffset>
            </wp:positionH>
            <wp:positionV relativeFrom="paragraph">
              <wp:posOffset>65405</wp:posOffset>
            </wp:positionV>
            <wp:extent cx="4747895" cy="8454390"/>
            <wp:effectExtent l="0" t="0" r="0" b="0"/>
            <wp:wrapNone/>
            <wp:docPr id="50"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88207" name="תמונה 1"/>
                    <pic:cNvPicPr>
                      <a:picLocks noChangeAspect="1" noChangeArrowheads="1"/>
                    </pic:cNvPicPr>
                  </pic:nvPicPr>
                  <pic:blipFill>
                    <a:blip r:embed="rId47">
                      <a:extLst>
                        <a:ext uri="{28A0092B-C50C-407E-A947-70E740481C1C}">
                          <a14:useLocalDpi xmlns:a14="http://schemas.microsoft.com/office/drawing/2010/main" val="0"/>
                        </a:ext>
                      </a:extLst>
                    </a:blip>
                    <a:srcRect l="5737" t="3023" r="17551" b="20361"/>
                    <a:stretch>
                      <a:fillRect/>
                    </a:stretch>
                  </pic:blipFill>
                  <pic:spPr bwMode="auto">
                    <a:xfrm>
                      <a:off x="0" y="0"/>
                      <a:ext cx="4747895" cy="8454390"/>
                    </a:xfrm>
                    <a:prstGeom prst="rect">
                      <a:avLst/>
                    </a:prstGeom>
                    <a:noFill/>
                    <a:ln>
                      <a:noFill/>
                    </a:ln>
                  </pic:spPr>
                </pic:pic>
              </a:graphicData>
            </a:graphic>
            <wp14:sizeRelH relativeFrom="page">
              <wp14:pctWidth>0</wp14:pctWidth>
            </wp14:sizeRelH>
            <wp14:sizeRelV relativeFrom="page">
              <wp14:pctHeight>0</wp14:pctHeight>
            </wp14:sizeRelV>
          </wp:anchor>
        </w:drawing>
      </w:r>
      <w:r w:rsidR="00770E84" w:rsidRPr="00F25744">
        <w:rPr>
          <w:rtl/>
        </w:rPr>
        <w:br w:type="page"/>
      </w:r>
      <w:bookmarkStart w:id="997" w:name="_Toc46412659"/>
      <w:bookmarkStart w:id="998" w:name="_Toc46416532"/>
      <w:r w:rsidR="007F3A52" w:rsidRPr="00F25744">
        <w:rPr>
          <w:rFonts w:hint="cs"/>
          <w:rtl/>
        </w:rPr>
        <w:lastRenderedPageBreak/>
        <w:t>נספח ד5: ערכאת נוער</w:t>
      </w:r>
      <w:bookmarkEnd w:id="992"/>
      <w:bookmarkEnd w:id="993"/>
      <w:bookmarkEnd w:id="994"/>
      <w:bookmarkEnd w:id="995"/>
      <w:bookmarkEnd w:id="997"/>
      <w:bookmarkEnd w:id="998"/>
      <w:bookmarkEnd w:id="996"/>
    </w:p>
    <w:p w14:paraId="79B3D53C" w14:textId="77777777" w:rsidR="005E4C22" w:rsidRPr="00F25744" w:rsidRDefault="00E25AE7" w:rsidP="00770E84">
      <w:pPr>
        <w:rPr>
          <w:rtl/>
        </w:rPr>
      </w:pPr>
      <w:r w:rsidRPr="00F25744">
        <w:rPr>
          <w:noProof/>
          <w:rtl/>
        </w:rPr>
        <w:drawing>
          <wp:anchor distT="0" distB="0" distL="114300" distR="114300" simplePos="0" relativeHeight="251672576" behindDoc="0" locked="0" layoutInCell="1" allowOverlap="1" wp14:anchorId="3505870D" wp14:editId="301AC907">
            <wp:simplePos x="0" y="0"/>
            <wp:positionH relativeFrom="column">
              <wp:posOffset>659130</wp:posOffset>
            </wp:positionH>
            <wp:positionV relativeFrom="paragraph">
              <wp:posOffset>43180</wp:posOffset>
            </wp:positionV>
            <wp:extent cx="4519930" cy="8056245"/>
            <wp:effectExtent l="0" t="0" r="0" b="0"/>
            <wp:wrapNone/>
            <wp:docPr id="5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989547" name="תמונה 1"/>
                    <pic:cNvPicPr>
                      <a:picLocks noChangeAspect="1" noChangeArrowheads="1"/>
                    </pic:cNvPicPr>
                  </pic:nvPicPr>
                  <pic:blipFill>
                    <a:blip r:embed="rId48">
                      <a:extLst>
                        <a:ext uri="{28A0092B-C50C-407E-A947-70E740481C1C}">
                          <a14:useLocalDpi xmlns:a14="http://schemas.microsoft.com/office/drawing/2010/main" val="0"/>
                        </a:ext>
                      </a:extLst>
                    </a:blip>
                    <a:srcRect l="5394" t="1819" r="17209" b="20554"/>
                    <a:stretch>
                      <a:fillRect/>
                    </a:stretch>
                  </pic:blipFill>
                  <pic:spPr bwMode="auto">
                    <a:xfrm>
                      <a:off x="0" y="0"/>
                      <a:ext cx="4519930" cy="8056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0867EB" w14:textId="77777777" w:rsidR="00DD0D4B" w:rsidRPr="00F25744" w:rsidRDefault="00E25AE7" w:rsidP="00DD0D4B">
      <w:pPr>
        <w:pStyle w:val="2"/>
        <w:numPr>
          <w:ilvl w:val="0"/>
          <w:numId w:val="0"/>
        </w:numPr>
        <w:jc w:val="center"/>
        <w:rPr>
          <w:lang w:val="en-GB"/>
        </w:rPr>
      </w:pPr>
      <w:bookmarkStart w:id="999" w:name="_Toc46412660"/>
      <w:r w:rsidRPr="00F25744">
        <w:rPr>
          <w:u w:val="none"/>
          <w:rtl/>
          <w:lang w:val="en-GB"/>
        </w:rPr>
        <w:br w:type="page"/>
      </w:r>
      <w:bookmarkStart w:id="1000" w:name="_Toc46416708"/>
      <w:bookmarkStart w:id="1001" w:name="_Toc46416533"/>
      <w:bookmarkStart w:id="1002" w:name="_Toc46694226"/>
      <w:bookmarkStart w:id="1003" w:name="_Toc49352814"/>
      <w:bookmarkStart w:id="1004" w:name="_Toc49429721"/>
      <w:bookmarkStart w:id="1005" w:name="_Toc49435950"/>
    </w:p>
    <w:p w14:paraId="7487656E" w14:textId="77777777" w:rsidR="00DD0D4B" w:rsidRPr="00F25744" w:rsidRDefault="00E25AE7" w:rsidP="00DD0D4B">
      <w:pPr>
        <w:pStyle w:val="2"/>
        <w:numPr>
          <w:ilvl w:val="0"/>
          <w:numId w:val="0"/>
        </w:numPr>
        <w:jc w:val="center"/>
        <w:rPr>
          <w:rtl/>
          <w:lang w:val="en-GB"/>
        </w:rPr>
      </w:pPr>
      <w:bookmarkStart w:id="1006" w:name="_Toc74751058"/>
      <w:r w:rsidRPr="00F25744">
        <w:rPr>
          <w:rFonts w:hint="cs"/>
          <w:rtl/>
          <w:lang w:val="en-GB"/>
        </w:rPr>
        <w:lastRenderedPageBreak/>
        <w:t>נספח ה':</w:t>
      </w:r>
      <w:r w:rsidRPr="00F25744">
        <w:rPr>
          <w:rFonts w:hint="cs"/>
          <w:rtl/>
        </w:rPr>
        <w:t xml:space="preserve"> פירוט משקלות התיקים ברמה הערכאתית</w:t>
      </w:r>
      <w:bookmarkEnd w:id="1000"/>
      <w:bookmarkEnd w:id="1006"/>
    </w:p>
    <w:p w14:paraId="094B1C9C" w14:textId="77777777" w:rsidR="00DD0D4B" w:rsidRPr="00F25744" w:rsidRDefault="00DD0D4B" w:rsidP="00DD0D4B">
      <w:pPr>
        <w:rPr>
          <w:rtl/>
          <w:lang w:val="en-GB"/>
        </w:rPr>
      </w:pPr>
    </w:p>
    <w:p w14:paraId="21954997" w14:textId="77777777" w:rsidR="00DD0D4B" w:rsidRPr="00F25744" w:rsidRDefault="00E25AE7" w:rsidP="00240B10">
      <w:pPr>
        <w:pStyle w:val="3"/>
        <w:numPr>
          <w:ilvl w:val="0"/>
          <w:numId w:val="0"/>
        </w:numPr>
        <w:ind w:left="2"/>
        <w:jc w:val="center"/>
        <w:rPr>
          <w:rtl/>
        </w:rPr>
      </w:pPr>
      <w:bookmarkStart w:id="1007" w:name="_Toc46416709"/>
      <w:bookmarkStart w:id="1008" w:name="_Toc74751059"/>
      <w:r w:rsidRPr="00F25744">
        <w:rPr>
          <w:rFonts w:hint="cs"/>
          <w:rtl/>
        </w:rPr>
        <w:t>נספח ה1: ערכאת מחוזי פלילי</w:t>
      </w:r>
      <w:bookmarkEnd w:id="1007"/>
      <w:bookmarkEnd w:id="1008"/>
    </w:p>
    <w:tbl>
      <w:tblPr>
        <w:tblpPr w:rightFromText="85" w:vertAnchor="text" w:tblpXSpec="right" w:tblpY="1"/>
        <w:bidiVisual/>
        <w:tblW w:w="9075" w:type="dxa"/>
        <w:tblLayout w:type="fixed"/>
        <w:tblLook w:val="04A0" w:firstRow="1" w:lastRow="0" w:firstColumn="1" w:lastColumn="0" w:noHBand="0" w:noVBand="1"/>
      </w:tblPr>
      <w:tblGrid>
        <w:gridCol w:w="855"/>
        <w:gridCol w:w="1276"/>
        <w:gridCol w:w="2551"/>
        <w:gridCol w:w="1559"/>
        <w:gridCol w:w="1842"/>
        <w:gridCol w:w="992"/>
      </w:tblGrid>
      <w:tr w:rsidR="00E0162E" w:rsidRPr="00B536AB" w14:paraId="2BD00234" w14:textId="77777777" w:rsidTr="005E1D8B">
        <w:trPr>
          <w:trHeight w:val="1113"/>
        </w:trPr>
        <w:tc>
          <w:tcPr>
            <w:tcW w:w="855" w:type="dxa"/>
            <w:tcBorders>
              <w:bottom w:val="single" w:sz="4" w:space="0" w:color="auto"/>
            </w:tcBorders>
            <w:shd w:val="clear" w:color="auto" w:fill="auto"/>
            <w:vAlign w:val="center"/>
            <w:hideMark/>
          </w:tcPr>
          <w:p w14:paraId="7734F32E" w14:textId="77777777" w:rsidR="00DD0D4B" w:rsidRPr="00B536AB" w:rsidRDefault="00E25AE7" w:rsidP="00195151">
            <w:pPr>
              <w:spacing w:after="0" w:line="240" w:lineRule="auto"/>
              <w:jc w:val="center"/>
              <w:rPr>
                <w:rFonts w:ascii="David" w:eastAsia="Times New Roman" w:hAnsi="David" w:cs="David"/>
                <w:b/>
                <w:bCs/>
                <w:color w:val="000000"/>
              </w:rPr>
            </w:pPr>
            <w:r w:rsidRPr="00B536AB">
              <w:rPr>
                <w:rFonts w:ascii="David" w:eastAsia="Times New Roman" w:hAnsi="David" w:cs="David"/>
                <w:b/>
                <w:bCs/>
                <w:color w:val="000000"/>
                <w:rtl/>
              </w:rPr>
              <w:t>ערכאה</w:t>
            </w:r>
          </w:p>
        </w:tc>
        <w:tc>
          <w:tcPr>
            <w:tcW w:w="1276" w:type="dxa"/>
            <w:tcBorders>
              <w:bottom w:val="single" w:sz="4" w:space="0" w:color="auto"/>
            </w:tcBorders>
            <w:shd w:val="clear" w:color="auto" w:fill="auto"/>
            <w:vAlign w:val="center"/>
            <w:hideMark/>
          </w:tcPr>
          <w:p w14:paraId="456216EF" w14:textId="77777777" w:rsidR="00DD0D4B" w:rsidRPr="00B536AB" w:rsidRDefault="00E25AE7" w:rsidP="00195151">
            <w:pPr>
              <w:spacing w:after="0" w:line="240" w:lineRule="auto"/>
              <w:jc w:val="center"/>
              <w:rPr>
                <w:rFonts w:ascii="David" w:eastAsia="Times New Roman" w:hAnsi="David" w:cs="David"/>
                <w:b/>
                <w:bCs/>
                <w:color w:val="000000"/>
                <w:rtl/>
              </w:rPr>
            </w:pPr>
            <w:r w:rsidRPr="00B536AB">
              <w:rPr>
                <w:rFonts w:ascii="David" w:eastAsia="Times New Roman" w:hAnsi="David" w:cs="David"/>
                <w:b/>
                <w:bCs/>
                <w:color w:val="000000"/>
                <w:rtl/>
              </w:rPr>
              <w:t>הליך</w:t>
            </w:r>
          </w:p>
        </w:tc>
        <w:tc>
          <w:tcPr>
            <w:tcW w:w="2551" w:type="dxa"/>
            <w:tcBorders>
              <w:bottom w:val="single" w:sz="4" w:space="0" w:color="auto"/>
            </w:tcBorders>
            <w:shd w:val="clear" w:color="auto" w:fill="auto"/>
            <w:vAlign w:val="center"/>
            <w:hideMark/>
          </w:tcPr>
          <w:p w14:paraId="5F16A5F7" w14:textId="77777777" w:rsidR="00DD0D4B" w:rsidRPr="00B536AB" w:rsidRDefault="00E25AE7" w:rsidP="00195151">
            <w:pPr>
              <w:spacing w:after="0" w:line="240" w:lineRule="auto"/>
              <w:jc w:val="center"/>
              <w:rPr>
                <w:rFonts w:ascii="David" w:eastAsia="Times New Roman" w:hAnsi="David" w:cs="David"/>
                <w:b/>
                <w:bCs/>
                <w:color w:val="000000"/>
                <w:rtl/>
              </w:rPr>
            </w:pPr>
            <w:r w:rsidRPr="00B536AB">
              <w:rPr>
                <w:rFonts w:ascii="David" w:eastAsia="Times New Roman" w:hAnsi="David" w:cs="David"/>
                <w:b/>
                <w:bCs/>
                <w:color w:val="000000"/>
                <w:rtl/>
              </w:rPr>
              <w:t>סוג תיק</w:t>
            </w:r>
          </w:p>
        </w:tc>
        <w:tc>
          <w:tcPr>
            <w:tcW w:w="1559" w:type="dxa"/>
            <w:tcBorders>
              <w:bottom w:val="single" w:sz="4" w:space="0" w:color="auto"/>
            </w:tcBorders>
            <w:vAlign w:val="center"/>
          </w:tcPr>
          <w:p w14:paraId="02E9D817" w14:textId="77777777" w:rsidR="00DD0D4B" w:rsidRPr="00B536AB" w:rsidRDefault="00DD0D4B" w:rsidP="00195151">
            <w:pPr>
              <w:spacing w:after="0" w:line="240" w:lineRule="auto"/>
              <w:jc w:val="center"/>
              <w:rPr>
                <w:rFonts w:ascii="David" w:eastAsia="Times New Roman" w:hAnsi="David" w:cs="David"/>
                <w:b/>
                <w:bCs/>
                <w:color w:val="000000"/>
                <w:rtl/>
              </w:rPr>
            </w:pPr>
          </w:p>
          <w:p w14:paraId="60139849" w14:textId="77777777" w:rsidR="00DD0D4B" w:rsidRPr="00B536AB" w:rsidRDefault="00E25AE7" w:rsidP="00195151">
            <w:pPr>
              <w:spacing w:after="0" w:line="240" w:lineRule="auto"/>
              <w:jc w:val="center"/>
              <w:rPr>
                <w:rFonts w:ascii="David" w:eastAsia="Times New Roman" w:hAnsi="David" w:cs="David"/>
                <w:b/>
                <w:bCs/>
                <w:color w:val="000000"/>
                <w:rtl/>
              </w:rPr>
            </w:pPr>
            <w:r w:rsidRPr="00B536AB">
              <w:rPr>
                <w:rFonts w:ascii="David" w:eastAsia="Times New Roman" w:hAnsi="David" w:cs="David" w:hint="cs"/>
                <w:b/>
                <w:bCs/>
                <w:color w:val="000000"/>
                <w:rtl/>
              </w:rPr>
              <w:t>מספר תיקים שנסגרו ב-2019</w:t>
            </w:r>
          </w:p>
        </w:tc>
        <w:tc>
          <w:tcPr>
            <w:tcW w:w="1842" w:type="dxa"/>
            <w:tcBorders>
              <w:bottom w:val="single" w:sz="4" w:space="0" w:color="auto"/>
            </w:tcBorders>
            <w:shd w:val="clear" w:color="auto" w:fill="auto"/>
            <w:vAlign w:val="center"/>
            <w:hideMark/>
          </w:tcPr>
          <w:p w14:paraId="6AC60F9F" w14:textId="77777777" w:rsidR="00DD0D4B" w:rsidRPr="00B536AB" w:rsidRDefault="00E25AE7" w:rsidP="00195151">
            <w:pPr>
              <w:spacing w:after="0" w:line="240" w:lineRule="auto"/>
              <w:jc w:val="center"/>
              <w:rPr>
                <w:rFonts w:ascii="David" w:eastAsia="Times New Roman" w:hAnsi="David" w:cs="David"/>
                <w:b/>
                <w:bCs/>
                <w:color w:val="000000"/>
                <w:rtl/>
              </w:rPr>
            </w:pPr>
            <w:r w:rsidRPr="00B536AB">
              <w:rPr>
                <w:rFonts w:ascii="David" w:eastAsia="Times New Roman" w:hAnsi="David" w:cs="David"/>
                <w:b/>
                <w:bCs/>
                <w:color w:val="000000"/>
                <w:rtl/>
              </w:rPr>
              <w:t>הזמן השיפוטי הממוצע הדרוש לטפל בתיק</w:t>
            </w:r>
          </w:p>
        </w:tc>
        <w:tc>
          <w:tcPr>
            <w:tcW w:w="992" w:type="dxa"/>
            <w:tcBorders>
              <w:bottom w:val="single" w:sz="4" w:space="0" w:color="auto"/>
            </w:tcBorders>
            <w:vAlign w:val="center"/>
          </w:tcPr>
          <w:p w14:paraId="4B523535" w14:textId="77777777" w:rsidR="00DD0D4B" w:rsidRPr="00B536AB" w:rsidRDefault="00E25AE7" w:rsidP="00195151">
            <w:pPr>
              <w:spacing w:after="0" w:line="240" w:lineRule="auto"/>
              <w:jc w:val="center"/>
              <w:rPr>
                <w:rFonts w:ascii="David" w:eastAsia="Times New Roman" w:hAnsi="David" w:cs="David"/>
                <w:b/>
                <w:bCs/>
                <w:color w:val="000000"/>
                <w:rtl/>
              </w:rPr>
            </w:pPr>
            <w:r w:rsidRPr="00B536AB">
              <w:rPr>
                <w:rFonts w:ascii="David" w:eastAsia="Times New Roman" w:hAnsi="David" w:cs="David" w:hint="cs"/>
                <w:b/>
                <w:bCs/>
                <w:color w:val="000000"/>
                <w:rtl/>
              </w:rPr>
              <w:t>משקל ערכאתי לתיק</w:t>
            </w:r>
          </w:p>
        </w:tc>
      </w:tr>
      <w:tr w:rsidR="00E0162E" w:rsidRPr="00B536AB" w14:paraId="55AD2944" w14:textId="77777777" w:rsidTr="005E1D8B">
        <w:trPr>
          <w:trHeight w:val="600"/>
        </w:trPr>
        <w:tc>
          <w:tcPr>
            <w:tcW w:w="855" w:type="dxa"/>
            <w:tcBorders>
              <w:top w:val="single" w:sz="4" w:space="0" w:color="auto"/>
              <w:bottom w:val="single" w:sz="4" w:space="0" w:color="auto"/>
            </w:tcBorders>
            <w:shd w:val="clear" w:color="auto" w:fill="D9D9D9"/>
            <w:noWrap/>
            <w:vAlign w:val="center"/>
            <w:hideMark/>
          </w:tcPr>
          <w:p w14:paraId="65F15776" w14:textId="77777777" w:rsidR="00DD0D4B" w:rsidRPr="00B536AB" w:rsidRDefault="00E25AE7" w:rsidP="00195151">
            <w:pPr>
              <w:spacing w:after="0" w:line="240" w:lineRule="auto"/>
              <w:rPr>
                <w:rFonts w:ascii="David" w:hAnsi="David" w:cs="David"/>
                <w:color w:val="000000"/>
                <w:rtl/>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D9D9D9"/>
            <w:noWrap/>
            <w:vAlign w:val="center"/>
          </w:tcPr>
          <w:p w14:paraId="76B52A26" w14:textId="77777777" w:rsidR="00DD0D4B" w:rsidRPr="00B536AB" w:rsidRDefault="00E25AE7" w:rsidP="00195151">
            <w:pPr>
              <w:spacing w:after="0" w:line="240" w:lineRule="auto"/>
              <w:rPr>
                <w:rFonts w:ascii="David" w:hAnsi="David" w:cs="David"/>
                <w:color w:val="000000"/>
              </w:rPr>
            </w:pPr>
            <w:r w:rsidRPr="00B536AB">
              <w:rPr>
                <w:rFonts w:ascii="David" w:hAnsi="David" w:cs="David"/>
                <w:color w:val="000000"/>
                <w:rtl/>
              </w:rPr>
              <w:t>פלילי</w:t>
            </w:r>
          </w:p>
        </w:tc>
        <w:tc>
          <w:tcPr>
            <w:tcW w:w="2551" w:type="dxa"/>
            <w:tcBorders>
              <w:top w:val="single" w:sz="4" w:space="0" w:color="auto"/>
              <w:bottom w:val="single" w:sz="4" w:space="0" w:color="auto"/>
            </w:tcBorders>
            <w:shd w:val="clear" w:color="auto" w:fill="D9D9D9"/>
            <w:vAlign w:val="center"/>
          </w:tcPr>
          <w:p w14:paraId="1F1EDD4E" w14:textId="77777777" w:rsidR="00DD0D4B" w:rsidRPr="00B536AB" w:rsidRDefault="00E25AE7" w:rsidP="00195151">
            <w:pPr>
              <w:spacing w:after="0" w:line="240" w:lineRule="auto"/>
              <w:rPr>
                <w:rFonts w:ascii="David" w:hAnsi="David" w:cs="David"/>
                <w:color w:val="000000"/>
                <w:rtl/>
              </w:rPr>
            </w:pPr>
            <w:r w:rsidRPr="00B536AB">
              <w:rPr>
                <w:rFonts w:ascii="David" w:hAnsi="David" w:cs="David"/>
                <w:color w:val="000000"/>
                <w:rtl/>
              </w:rPr>
              <w:t>תיק פשעים חמורים (תפ"ח) – הרכב</w:t>
            </w:r>
          </w:p>
        </w:tc>
        <w:tc>
          <w:tcPr>
            <w:tcW w:w="1559" w:type="dxa"/>
            <w:tcBorders>
              <w:top w:val="single" w:sz="4" w:space="0" w:color="auto"/>
              <w:bottom w:val="single" w:sz="4" w:space="0" w:color="auto"/>
            </w:tcBorders>
            <w:shd w:val="clear" w:color="auto" w:fill="D9D9D9"/>
            <w:vAlign w:val="center"/>
          </w:tcPr>
          <w:p w14:paraId="7E1CC995" w14:textId="77777777" w:rsidR="00DD0D4B" w:rsidRPr="00B536AB" w:rsidRDefault="00E25AE7" w:rsidP="00195151">
            <w:pPr>
              <w:spacing w:after="0" w:line="240" w:lineRule="auto"/>
              <w:jc w:val="center"/>
              <w:rPr>
                <w:rFonts w:ascii="David" w:hAnsi="David" w:cs="David"/>
                <w:color w:val="000000"/>
              </w:rPr>
            </w:pPr>
            <w:r w:rsidRPr="00B536AB">
              <w:rPr>
                <w:rFonts w:ascii="David" w:hAnsi="David" w:cs="David" w:hint="cs"/>
                <w:color w:val="000000"/>
                <w:rtl/>
              </w:rPr>
              <w:t>274</w:t>
            </w:r>
          </w:p>
        </w:tc>
        <w:tc>
          <w:tcPr>
            <w:tcW w:w="1842" w:type="dxa"/>
            <w:tcBorders>
              <w:top w:val="single" w:sz="4" w:space="0" w:color="auto"/>
              <w:bottom w:val="single" w:sz="4" w:space="0" w:color="auto"/>
            </w:tcBorders>
            <w:shd w:val="clear" w:color="auto" w:fill="D9D9D9"/>
            <w:noWrap/>
            <w:vAlign w:val="center"/>
          </w:tcPr>
          <w:p w14:paraId="316E4793" w14:textId="77777777" w:rsidR="00DD0D4B" w:rsidRPr="00B536AB" w:rsidRDefault="007408AD" w:rsidP="00195151">
            <w:pPr>
              <w:spacing w:after="0" w:line="240" w:lineRule="auto"/>
              <w:jc w:val="center"/>
              <w:rPr>
                <w:rFonts w:ascii="David" w:hAnsi="David" w:cs="David"/>
                <w:b/>
                <w:bCs/>
                <w:color w:val="000000"/>
              </w:rPr>
            </w:pPr>
            <w:r w:rsidRPr="00B536AB">
              <w:rPr>
                <w:rFonts w:ascii="David" w:hAnsi="David" w:cs="David" w:hint="cs"/>
                <w:b/>
                <w:bCs/>
                <w:color w:val="000000"/>
                <w:rtl/>
              </w:rPr>
              <w:t>148:41</w:t>
            </w:r>
          </w:p>
        </w:tc>
        <w:tc>
          <w:tcPr>
            <w:tcW w:w="992" w:type="dxa"/>
            <w:tcBorders>
              <w:top w:val="single" w:sz="4" w:space="0" w:color="auto"/>
              <w:bottom w:val="single" w:sz="4" w:space="0" w:color="auto"/>
            </w:tcBorders>
            <w:shd w:val="clear" w:color="auto" w:fill="D9D9D9"/>
            <w:vAlign w:val="center"/>
          </w:tcPr>
          <w:p w14:paraId="6EBCA259" w14:textId="77777777" w:rsidR="00DD0D4B" w:rsidRPr="00B536AB" w:rsidRDefault="007408AD" w:rsidP="00195151">
            <w:pPr>
              <w:spacing w:after="0" w:line="240" w:lineRule="auto"/>
              <w:jc w:val="center"/>
              <w:rPr>
                <w:rFonts w:ascii="David" w:hAnsi="David" w:cs="David"/>
                <w:color w:val="000000"/>
              </w:rPr>
            </w:pPr>
            <w:r w:rsidRPr="00B536AB">
              <w:rPr>
                <w:rFonts w:ascii="David" w:hAnsi="David" w:cs="David" w:hint="cs"/>
                <w:color w:val="000000"/>
                <w:rtl/>
              </w:rPr>
              <w:t>593</w:t>
            </w:r>
          </w:p>
        </w:tc>
      </w:tr>
      <w:tr w:rsidR="00E0162E" w:rsidRPr="00B536AB" w14:paraId="1B1CF906" w14:textId="77777777" w:rsidTr="005E1D8B">
        <w:trPr>
          <w:trHeight w:val="467"/>
        </w:trPr>
        <w:tc>
          <w:tcPr>
            <w:tcW w:w="855" w:type="dxa"/>
            <w:tcBorders>
              <w:top w:val="single" w:sz="4" w:space="0" w:color="auto"/>
              <w:bottom w:val="single" w:sz="4" w:space="0" w:color="auto"/>
            </w:tcBorders>
            <w:shd w:val="clear" w:color="auto" w:fill="auto"/>
            <w:noWrap/>
            <w:vAlign w:val="center"/>
          </w:tcPr>
          <w:p w14:paraId="6F14F622" w14:textId="77777777" w:rsidR="00DD0D4B" w:rsidRPr="00B536AB" w:rsidRDefault="00E25AE7" w:rsidP="00195151">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auto"/>
            <w:noWrap/>
            <w:vAlign w:val="center"/>
          </w:tcPr>
          <w:p w14:paraId="12336DCA" w14:textId="77777777" w:rsidR="00DD0D4B" w:rsidRPr="00B536AB" w:rsidRDefault="00E25AE7" w:rsidP="00195151">
            <w:pPr>
              <w:spacing w:after="0" w:line="240" w:lineRule="auto"/>
              <w:rPr>
                <w:rFonts w:ascii="David" w:hAnsi="David" w:cs="David"/>
                <w:color w:val="000000"/>
              </w:rPr>
            </w:pPr>
            <w:r w:rsidRPr="00B536AB">
              <w:rPr>
                <w:rFonts w:ascii="David" w:hAnsi="David" w:cs="David"/>
                <w:color w:val="000000"/>
                <w:rtl/>
              </w:rPr>
              <w:t>פלילי</w:t>
            </w:r>
          </w:p>
        </w:tc>
        <w:tc>
          <w:tcPr>
            <w:tcW w:w="2551" w:type="dxa"/>
            <w:tcBorders>
              <w:top w:val="single" w:sz="4" w:space="0" w:color="auto"/>
              <w:bottom w:val="single" w:sz="4" w:space="0" w:color="auto"/>
            </w:tcBorders>
            <w:shd w:val="clear" w:color="auto" w:fill="auto"/>
            <w:vAlign w:val="center"/>
          </w:tcPr>
          <w:p w14:paraId="5A07A68A" w14:textId="77777777" w:rsidR="00DD0D4B" w:rsidRPr="00B536AB" w:rsidRDefault="00E25AE7" w:rsidP="00195151">
            <w:pPr>
              <w:spacing w:after="0" w:line="240" w:lineRule="auto"/>
              <w:rPr>
                <w:rFonts w:ascii="David" w:hAnsi="David" w:cs="David"/>
                <w:color w:val="000000"/>
                <w:rtl/>
              </w:rPr>
            </w:pPr>
            <w:r w:rsidRPr="00B536AB">
              <w:rPr>
                <w:rFonts w:ascii="David" w:hAnsi="David" w:cs="David"/>
                <w:color w:val="000000"/>
                <w:rtl/>
              </w:rPr>
              <w:t>תיק פלילי (ת"פ)</w:t>
            </w:r>
          </w:p>
        </w:tc>
        <w:tc>
          <w:tcPr>
            <w:tcW w:w="1559" w:type="dxa"/>
            <w:tcBorders>
              <w:top w:val="single" w:sz="4" w:space="0" w:color="auto"/>
              <w:bottom w:val="single" w:sz="4" w:space="0" w:color="auto"/>
            </w:tcBorders>
            <w:vAlign w:val="center"/>
          </w:tcPr>
          <w:p w14:paraId="728CD2E6" w14:textId="77777777" w:rsidR="00DD0D4B" w:rsidRPr="00B536AB" w:rsidRDefault="00E25AE7" w:rsidP="00195151">
            <w:pPr>
              <w:spacing w:after="0" w:line="240" w:lineRule="auto"/>
              <w:jc w:val="center"/>
              <w:rPr>
                <w:rFonts w:ascii="David" w:hAnsi="David" w:cs="David"/>
                <w:color w:val="000000"/>
              </w:rPr>
            </w:pPr>
            <w:r w:rsidRPr="00B536AB">
              <w:rPr>
                <w:rFonts w:ascii="David" w:hAnsi="David" w:cs="David" w:hint="cs"/>
                <w:color w:val="000000"/>
                <w:rtl/>
              </w:rPr>
              <w:t>1,308</w:t>
            </w:r>
          </w:p>
        </w:tc>
        <w:tc>
          <w:tcPr>
            <w:tcW w:w="1842" w:type="dxa"/>
            <w:tcBorders>
              <w:top w:val="single" w:sz="4" w:space="0" w:color="auto"/>
              <w:bottom w:val="single" w:sz="4" w:space="0" w:color="auto"/>
            </w:tcBorders>
            <w:shd w:val="clear" w:color="auto" w:fill="auto"/>
            <w:noWrap/>
            <w:vAlign w:val="center"/>
          </w:tcPr>
          <w:p w14:paraId="1F83A86F" w14:textId="77777777" w:rsidR="00DD0D4B" w:rsidRPr="00B536AB" w:rsidRDefault="007408AD" w:rsidP="00195151">
            <w:pPr>
              <w:spacing w:after="0" w:line="240" w:lineRule="auto"/>
              <w:jc w:val="center"/>
              <w:rPr>
                <w:rFonts w:ascii="David" w:hAnsi="David" w:cs="David"/>
                <w:b/>
                <w:bCs/>
                <w:color w:val="000000"/>
              </w:rPr>
            </w:pPr>
            <w:r w:rsidRPr="00B536AB">
              <w:rPr>
                <w:rFonts w:ascii="David" w:hAnsi="David" w:cs="David" w:hint="cs"/>
                <w:b/>
                <w:bCs/>
                <w:color w:val="000000"/>
                <w:rtl/>
              </w:rPr>
              <w:t>31:39</w:t>
            </w:r>
          </w:p>
        </w:tc>
        <w:tc>
          <w:tcPr>
            <w:tcW w:w="992" w:type="dxa"/>
            <w:tcBorders>
              <w:top w:val="single" w:sz="4" w:space="0" w:color="auto"/>
              <w:bottom w:val="single" w:sz="4" w:space="0" w:color="auto"/>
            </w:tcBorders>
            <w:vAlign w:val="center"/>
          </w:tcPr>
          <w:p w14:paraId="18E16CF0" w14:textId="77777777" w:rsidR="00DD0D4B" w:rsidRPr="00B536AB" w:rsidRDefault="007408AD" w:rsidP="00195151">
            <w:pPr>
              <w:spacing w:after="0" w:line="240" w:lineRule="auto"/>
              <w:jc w:val="center"/>
              <w:rPr>
                <w:rFonts w:ascii="David" w:hAnsi="David" w:cs="David"/>
                <w:color w:val="000000"/>
              </w:rPr>
            </w:pPr>
            <w:r w:rsidRPr="00B536AB">
              <w:rPr>
                <w:rFonts w:ascii="David" w:hAnsi="David" w:cs="David" w:hint="cs"/>
                <w:color w:val="000000"/>
                <w:rtl/>
              </w:rPr>
              <w:t>126</w:t>
            </w:r>
          </w:p>
        </w:tc>
      </w:tr>
      <w:tr w:rsidR="00E0162E" w:rsidRPr="00B536AB" w14:paraId="637E0DA9" w14:textId="77777777" w:rsidTr="005E1D8B">
        <w:trPr>
          <w:trHeight w:val="300"/>
        </w:trPr>
        <w:tc>
          <w:tcPr>
            <w:tcW w:w="855" w:type="dxa"/>
            <w:tcBorders>
              <w:top w:val="single" w:sz="4" w:space="0" w:color="auto"/>
              <w:bottom w:val="single" w:sz="4" w:space="0" w:color="auto"/>
            </w:tcBorders>
            <w:shd w:val="clear" w:color="auto" w:fill="D9D9D9"/>
            <w:noWrap/>
            <w:vAlign w:val="center"/>
            <w:hideMark/>
          </w:tcPr>
          <w:p w14:paraId="418A19BF" w14:textId="77777777" w:rsidR="00DD0D4B" w:rsidRPr="00B536AB" w:rsidRDefault="00E25AE7" w:rsidP="00195151">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D9D9D9"/>
            <w:noWrap/>
            <w:vAlign w:val="center"/>
          </w:tcPr>
          <w:p w14:paraId="6A0A8190" w14:textId="77777777" w:rsidR="00DD0D4B" w:rsidRPr="00B536AB" w:rsidRDefault="00E25AE7" w:rsidP="00195151">
            <w:pPr>
              <w:spacing w:after="0" w:line="240" w:lineRule="auto"/>
              <w:rPr>
                <w:rFonts w:ascii="David" w:hAnsi="David" w:cs="David"/>
                <w:color w:val="000000"/>
              </w:rPr>
            </w:pPr>
            <w:r w:rsidRPr="00B536AB">
              <w:rPr>
                <w:rFonts w:ascii="David" w:hAnsi="David" w:cs="David" w:hint="cs"/>
                <w:color w:val="000000"/>
                <w:rtl/>
              </w:rPr>
              <w:t>ערעור</w:t>
            </w:r>
            <w:r w:rsidRPr="00B536AB">
              <w:rPr>
                <w:rFonts w:ascii="David" w:hAnsi="David" w:cs="David"/>
                <w:color w:val="000000"/>
                <w:rtl/>
              </w:rPr>
              <w:t xml:space="preserve"> פל</w:t>
            </w:r>
            <w:r w:rsidRPr="00B536AB">
              <w:rPr>
                <w:rFonts w:ascii="David" w:hAnsi="David" w:cs="David" w:hint="cs"/>
                <w:color w:val="000000"/>
                <w:rtl/>
              </w:rPr>
              <w:t>ילי</w:t>
            </w:r>
          </w:p>
        </w:tc>
        <w:tc>
          <w:tcPr>
            <w:tcW w:w="2551" w:type="dxa"/>
            <w:tcBorders>
              <w:top w:val="single" w:sz="4" w:space="0" w:color="auto"/>
              <w:bottom w:val="single" w:sz="4" w:space="0" w:color="auto"/>
            </w:tcBorders>
            <w:shd w:val="clear" w:color="auto" w:fill="D9D9D9"/>
            <w:vAlign w:val="center"/>
          </w:tcPr>
          <w:p w14:paraId="30194E99" w14:textId="77777777" w:rsidR="00DD0D4B" w:rsidRPr="00B536AB" w:rsidRDefault="00E25AE7" w:rsidP="00195151">
            <w:pPr>
              <w:spacing w:after="0" w:line="240" w:lineRule="auto"/>
              <w:rPr>
                <w:rFonts w:ascii="David" w:hAnsi="David" w:cs="David"/>
                <w:color w:val="000000"/>
                <w:rtl/>
              </w:rPr>
            </w:pPr>
            <w:r w:rsidRPr="00B536AB">
              <w:rPr>
                <w:rFonts w:ascii="David" w:hAnsi="David" w:cs="David"/>
                <w:color w:val="000000"/>
                <w:rtl/>
              </w:rPr>
              <w:t>ערעור פלילי (ע"פ) - הרכב</w:t>
            </w:r>
          </w:p>
        </w:tc>
        <w:tc>
          <w:tcPr>
            <w:tcW w:w="1559" w:type="dxa"/>
            <w:tcBorders>
              <w:top w:val="single" w:sz="4" w:space="0" w:color="auto"/>
              <w:bottom w:val="single" w:sz="4" w:space="0" w:color="auto"/>
            </w:tcBorders>
            <w:shd w:val="clear" w:color="auto" w:fill="D9D9D9"/>
            <w:vAlign w:val="center"/>
          </w:tcPr>
          <w:p w14:paraId="55E922E4" w14:textId="77777777" w:rsidR="00DD0D4B" w:rsidRPr="00B536AB" w:rsidRDefault="00E25AE7" w:rsidP="00195151">
            <w:pPr>
              <w:spacing w:after="0" w:line="240" w:lineRule="auto"/>
              <w:jc w:val="center"/>
              <w:rPr>
                <w:rFonts w:ascii="David" w:hAnsi="David" w:cs="David"/>
                <w:color w:val="000000"/>
              </w:rPr>
            </w:pPr>
            <w:r w:rsidRPr="00B536AB">
              <w:rPr>
                <w:rFonts w:ascii="David" w:hAnsi="David" w:cs="David" w:hint="cs"/>
                <w:color w:val="000000"/>
                <w:rtl/>
              </w:rPr>
              <w:t>366</w:t>
            </w:r>
          </w:p>
        </w:tc>
        <w:tc>
          <w:tcPr>
            <w:tcW w:w="1842" w:type="dxa"/>
            <w:tcBorders>
              <w:top w:val="single" w:sz="4" w:space="0" w:color="auto"/>
              <w:bottom w:val="single" w:sz="4" w:space="0" w:color="auto"/>
            </w:tcBorders>
            <w:shd w:val="clear" w:color="auto" w:fill="D9D9D9"/>
            <w:noWrap/>
            <w:vAlign w:val="center"/>
          </w:tcPr>
          <w:p w14:paraId="6BEC6077" w14:textId="77777777" w:rsidR="00DD0D4B" w:rsidRPr="00B536AB" w:rsidRDefault="007408AD" w:rsidP="00195151">
            <w:pPr>
              <w:spacing w:after="0" w:line="240" w:lineRule="auto"/>
              <w:jc w:val="center"/>
              <w:rPr>
                <w:rFonts w:ascii="David" w:hAnsi="David" w:cs="David"/>
                <w:b/>
                <w:bCs/>
                <w:color w:val="000000"/>
              </w:rPr>
            </w:pPr>
            <w:r w:rsidRPr="00B536AB">
              <w:rPr>
                <w:rFonts w:ascii="David" w:hAnsi="David" w:cs="David" w:hint="cs"/>
                <w:b/>
                <w:bCs/>
                <w:color w:val="000000"/>
                <w:rtl/>
              </w:rPr>
              <w:t>15:03</w:t>
            </w:r>
          </w:p>
        </w:tc>
        <w:tc>
          <w:tcPr>
            <w:tcW w:w="992" w:type="dxa"/>
            <w:tcBorders>
              <w:top w:val="single" w:sz="4" w:space="0" w:color="auto"/>
              <w:bottom w:val="single" w:sz="4" w:space="0" w:color="auto"/>
            </w:tcBorders>
            <w:shd w:val="clear" w:color="auto" w:fill="D9D9D9"/>
            <w:vAlign w:val="center"/>
          </w:tcPr>
          <w:p w14:paraId="663D94B0" w14:textId="77777777" w:rsidR="00DD0D4B" w:rsidRPr="00B536AB" w:rsidRDefault="00E25AE7" w:rsidP="00195151">
            <w:pPr>
              <w:spacing w:after="0" w:line="240" w:lineRule="auto"/>
              <w:jc w:val="center"/>
              <w:rPr>
                <w:rFonts w:ascii="David" w:hAnsi="David" w:cs="David"/>
                <w:color w:val="000000"/>
              </w:rPr>
            </w:pPr>
            <w:r w:rsidRPr="00B536AB">
              <w:rPr>
                <w:rFonts w:ascii="David" w:hAnsi="David" w:cs="David" w:hint="cs"/>
                <w:color w:val="000000"/>
                <w:rtl/>
              </w:rPr>
              <w:t>6</w:t>
            </w:r>
            <w:r w:rsidR="007408AD" w:rsidRPr="00B536AB">
              <w:rPr>
                <w:rFonts w:ascii="David" w:hAnsi="David" w:cs="David" w:hint="cs"/>
                <w:color w:val="000000"/>
                <w:rtl/>
              </w:rPr>
              <w:t>0</w:t>
            </w:r>
          </w:p>
        </w:tc>
      </w:tr>
      <w:tr w:rsidR="001E5984" w:rsidRPr="00B536AB" w14:paraId="56B272CC" w14:textId="77777777" w:rsidTr="005E1D8B">
        <w:trPr>
          <w:trHeight w:val="300"/>
        </w:trPr>
        <w:tc>
          <w:tcPr>
            <w:tcW w:w="855" w:type="dxa"/>
            <w:tcBorders>
              <w:top w:val="single" w:sz="4" w:space="0" w:color="auto"/>
              <w:bottom w:val="single" w:sz="4" w:space="0" w:color="auto"/>
            </w:tcBorders>
            <w:shd w:val="clear" w:color="auto" w:fill="FFFFFF"/>
            <w:noWrap/>
            <w:vAlign w:val="center"/>
          </w:tcPr>
          <w:p w14:paraId="75DEF18B" w14:textId="77777777" w:rsidR="001E5984" w:rsidRPr="00B536AB" w:rsidRDefault="001E5984" w:rsidP="00195151">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FFFFFF"/>
            <w:noWrap/>
            <w:vAlign w:val="center"/>
          </w:tcPr>
          <w:p w14:paraId="04E569F2" w14:textId="77777777" w:rsidR="001E5984" w:rsidRPr="00B536AB" w:rsidRDefault="001E5984" w:rsidP="00195151">
            <w:pPr>
              <w:spacing w:after="0" w:line="240" w:lineRule="auto"/>
              <w:rPr>
                <w:rFonts w:ascii="David" w:hAnsi="David" w:cs="David"/>
                <w:color w:val="000000"/>
              </w:rPr>
            </w:pPr>
            <w:r w:rsidRPr="00B536AB">
              <w:rPr>
                <w:rFonts w:ascii="David" w:hAnsi="David" w:cs="David"/>
                <w:color w:val="000000"/>
                <w:rtl/>
              </w:rPr>
              <w:t>ערעור פלילי</w:t>
            </w:r>
          </w:p>
        </w:tc>
        <w:tc>
          <w:tcPr>
            <w:tcW w:w="2551" w:type="dxa"/>
            <w:tcBorders>
              <w:top w:val="single" w:sz="4" w:space="0" w:color="auto"/>
              <w:bottom w:val="single" w:sz="4" w:space="0" w:color="auto"/>
            </w:tcBorders>
            <w:shd w:val="clear" w:color="auto" w:fill="FFFFFF"/>
            <w:vAlign w:val="center"/>
          </w:tcPr>
          <w:p w14:paraId="701E138C" w14:textId="77777777" w:rsidR="001E5984" w:rsidRPr="00B536AB" w:rsidRDefault="001E5984" w:rsidP="00195151">
            <w:pPr>
              <w:spacing w:after="0" w:line="240" w:lineRule="auto"/>
              <w:rPr>
                <w:rFonts w:ascii="David" w:hAnsi="David" w:cs="David"/>
                <w:color w:val="000000"/>
                <w:rtl/>
              </w:rPr>
            </w:pPr>
            <w:r w:rsidRPr="00B536AB">
              <w:rPr>
                <w:rFonts w:ascii="David" w:hAnsi="David" w:cs="David"/>
                <w:color w:val="000000"/>
                <w:rtl/>
              </w:rPr>
              <w:t>ערעור נוער פלילי (ענ"פ) - הרכב</w:t>
            </w:r>
          </w:p>
        </w:tc>
        <w:tc>
          <w:tcPr>
            <w:tcW w:w="1559" w:type="dxa"/>
            <w:tcBorders>
              <w:top w:val="single" w:sz="4" w:space="0" w:color="auto"/>
              <w:bottom w:val="single" w:sz="4" w:space="0" w:color="auto"/>
            </w:tcBorders>
            <w:shd w:val="clear" w:color="auto" w:fill="FFFFFF"/>
            <w:vAlign w:val="center"/>
          </w:tcPr>
          <w:p w14:paraId="4CE0C943" w14:textId="77777777" w:rsidR="001E5984" w:rsidRPr="00B536AB" w:rsidRDefault="001E5984" w:rsidP="00195151">
            <w:pPr>
              <w:spacing w:after="0" w:line="240" w:lineRule="auto"/>
              <w:jc w:val="center"/>
              <w:rPr>
                <w:rFonts w:ascii="David" w:hAnsi="David" w:cs="David"/>
                <w:color w:val="000000"/>
              </w:rPr>
            </w:pPr>
            <w:r w:rsidRPr="00B536AB">
              <w:rPr>
                <w:rFonts w:ascii="David" w:hAnsi="David" w:cs="David" w:hint="cs"/>
                <w:color w:val="000000"/>
                <w:rtl/>
              </w:rPr>
              <w:t>96</w:t>
            </w:r>
          </w:p>
        </w:tc>
        <w:tc>
          <w:tcPr>
            <w:tcW w:w="1842" w:type="dxa"/>
            <w:tcBorders>
              <w:top w:val="single" w:sz="4" w:space="0" w:color="auto"/>
              <w:bottom w:val="single" w:sz="4" w:space="0" w:color="auto"/>
            </w:tcBorders>
            <w:shd w:val="clear" w:color="auto" w:fill="FFFFFF"/>
            <w:noWrap/>
            <w:vAlign w:val="center"/>
          </w:tcPr>
          <w:p w14:paraId="6695DC4A" w14:textId="77777777" w:rsidR="001E5984" w:rsidRPr="00B536AB" w:rsidRDefault="001E5984" w:rsidP="00195151">
            <w:pPr>
              <w:spacing w:after="0" w:line="240" w:lineRule="auto"/>
              <w:jc w:val="center"/>
              <w:rPr>
                <w:rFonts w:ascii="David" w:hAnsi="David" w:cs="David"/>
                <w:b/>
                <w:bCs/>
                <w:color w:val="000000"/>
              </w:rPr>
            </w:pPr>
            <w:r w:rsidRPr="00B536AB">
              <w:rPr>
                <w:rFonts w:ascii="David" w:hAnsi="David" w:cs="David" w:hint="cs"/>
                <w:b/>
                <w:bCs/>
                <w:color w:val="000000"/>
                <w:rtl/>
              </w:rPr>
              <w:t>8:14</w:t>
            </w:r>
          </w:p>
        </w:tc>
        <w:tc>
          <w:tcPr>
            <w:tcW w:w="992" w:type="dxa"/>
            <w:tcBorders>
              <w:top w:val="single" w:sz="4" w:space="0" w:color="auto"/>
              <w:bottom w:val="single" w:sz="4" w:space="0" w:color="auto"/>
            </w:tcBorders>
            <w:shd w:val="clear" w:color="auto" w:fill="FFFFFF"/>
            <w:vAlign w:val="center"/>
          </w:tcPr>
          <w:p w14:paraId="1E30F1A1" w14:textId="77777777" w:rsidR="001E5984" w:rsidRPr="00B536AB" w:rsidRDefault="001E5984" w:rsidP="00195151">
            <w:pPr>
              <w:spacing w:after="0" w:line="240" w:lineRule="auto"/>
              <w:jc w:val="center"/>
              <w:rPr>
                <w:rFonts w:ascii="David" w:hAnsi="David" w:cs="David"/>
                <w:color w:val="000000"/>
              </w:rPr>
            </w:pPr>
            <w:r w:rsidRPr="00B536AB">
              <w:rPr>
                <w:rFonts w:ascii="David" w:hAnsi="David" w:cs="David" w:hint="cs"/>
                <w:color w:val="000000"/>
                <w:rtl/>
              </w:rPr>
              <w:t>33</w:t>
            </w:r>
          </w:p>
        </w:tc>
      </w:tr>
      <w:tr w:rsidR="001E5984" w:rsidRPr="00B536AB" w14:paraId="43D78842" w14:textId="77777777" w:rsidTr="005E1D8B">
        <w:trPr>
          <w:trHeight w:val="536"/>
        </w:trPr>
        <w:tc>
          <w:tcPr>
            <w:tcW w:w="855" w:type="dxa"/>
            <w:tcBorders>
              <w:top w:val="single" w:sz="4" w:space="0" w:color="auto"/>
              <w:bottom w:val="single" w:sz="4" w:space="0" w:color="auto"/>
            </w:tcBorders>
            <w:shd w:val="clear" w:color="auto" w:fill="D0CECE"/>
            <w:noWrap/>
            <w:vAlign w:val="center"/>
          </w:tcPr>
          <w:p w14:paraId="16EAD6A0" w14:textId="77777777" w:rsidR="001E5984" w:rsidRPr="00B536AB" w:rsidRDefault="001E5984" w:rsidP="00195151">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D0CECE"/>
            <w:noWrap/>
            <w:vAlign w:val="center"/>
          </w:tcPr>
          <w:p w14:paraId="4A387BC9" w14:textId="77777777" w:rsidR="001E5984" w:rsidRPr="00B536AB" w:rsidRDefault="001E5984" w:rsidP="00195151">
            <w:pPr>
              <w:spacing w:after="0" w:line="240" w:lineRule="auto"/>
              <w:rPr>
                <w:rFonts w:ascii="David" w:hAnsi="David" w:cs="David"/>
                <w:color w:val="000000"/>
              </w:rPr>
            </w:pPr>
            <w:r w:rsidRPr="00B536AB">
              <w:rPr>
                <w:rFonts w:ascii="David" w:hAnsi="David" w:cs="David"/>
                <w:color w:val="000000"/>
                <w:rtl/>
              </w:rPr>
              <w:t>ערעור פלילי</w:t>
            </w:r>
          </w:p>
        </w:tc>
        <w:tc>
          <w:tcPr>
            <w:tcW w:w="2551" w:type="dxa"/>
            <w:tcBorders>
              <w:top w:val="single" w:sz="4" w:space="0" w:color="auto"/>
              <w:bottom w:val="single" w:sz="4" w:space="0" w:color="auto"/>
            </w:tcBorders>
            <w:shd w:val="clear" w:color="auto" w:fill="D0CECE"/>
            <w:vAlign w:val="center"/>
          </w:tcPr>
          <w:p w14:paraId="73F1A8AE" w14:textId="77777777" w:rsidR="001E5984" w:rsidRPr="00B536AB" w:rsidRDefault="001E5984" w:rsidP="00195151">
            <w:pPr>
              <w:spacing w:after="0" w:line="240" w:lineRule="auto"/>
              <w:rPr>
                <w:rFonts w:ascii="David" w:hAnsi="David" w:cs="David"/>
                <w:color w:val="000000"/>
                <w:rtl/>
              </w:rPr>
            </w:pPr>
            <w:r w:rsidRPr="00B536AB">
              <w:rPr>
                <w:rFonts w:ascii="David" w:hAnsi="David" w:cs="David"/>
                <w:color w:val="000000"/>
                <w:rtl/>
              </w:rPr>
              <w:t>ערעור פלילי גזר דין (עפ"ג) - הרכב</w:t>
            </w:r>
          </w:p>
        </w:tc>
        <w:tc>
          <w:tcPr>
            <w:tcW w:w="1559" w:type="dxa"/>
            <w:tcBorders>
              <w:top w:val="single" w:sz="4" w:space="0" w:color="auto"/>
              <w:bottom w:val="single" w:sz="4" w:space="0" w:color="auto"/>
            </w:tcBorders>
            <w:shd w:val="clear" w:color="auto" w:fill="D0CECE"/>
            <w:vAlign w:val="center"/>
          </w:tcPr>
          <w:p w14:paraId="18E1132D" w14:textId="77777777" w:rsidR="001E5984" w:rsidRPr="00B536AB" w:rsidRDefault="001E5984" w:rsidP="00195151">
            <w:pPr>
              <w:spacing w:after="0" w:line="240" w:lineRule="auto"/>
              <w:jc w:val="center"/>
              <w:rPr>
                <w:rFonts w:ascii="David" w:hAnsi="David" w:cs="David"/>
                <w:color w:val="000000"/>
              </w:rPr>
            </w:pPr>
            <w:r w:rsidRPr="00B536AB">
              <w:rPr>
                <w:rFonts w:ascii="David" w:hAnsi="David" w:cs="David" w:hint="cs"/>
                <w:color w:val="000000"/>
                <w:rtl/>
              </w:rPr>
              <w:t>1,092</w:t>
            </w:r>
          </w:p>
        </w:tc>
        <w:tc>
          <w:tcPr>
            <w:tcW w:w="1842" w:type="dxa"/>
            <w:tcBorders>
              <w:top w:val="single" w:sz="4" w:space="0" w:color="auto"/>
              <w:bottom w:val="single" w:sz="4" w:space="0" w:color="auto"/>
            </w:tcBorders>
            <w:shd w:val="clear" w:color="auto" w:fill="D0CECE"/>
            <w:noWrap/>
            <w:vAlign w:val="center"/>
          </w:tcPr>
          <w:p w14:paraId="0DA9517C" w14:textId="77777777" w:rsidR="001E5984" w:rsidRPr="00B536AB" w:rsidRDefault="001E5984" w:rsidP="00195151">
            <w:pPr>
              <w:spacing w:after="0" w:line="240" w:lineRule="auto"/>
              <w:jc w:val="center"/>
              <w:rPr>
                <w:rFonts w:ascii="David" w:hAnsi="David" w:cs="David"/>
                <w:b/>
                <w:bCs/>
                <w:color w:val="000000"/>
              </w:rPr>
            </w:pPr>
            <w:r w:rsidRPr="00B536AB">
              <w:rPr>
                <w:rFonts w:ascii="David" w:hAnsi="David" w:cs="David" w:hint="cs"/>
                <w:b/>
                <w:bCs/>
                <w:color w:val="000000"/>
                <w:rtl/>
              </w:rPr>
              <w:t>8:14</w:t>
            </w:r>
          </w:p>
        </w:tc>
        <w:tc>
          <w:tcPr>
            <w:tcW w:w="992" w:type="dxa"/>
            <w:tcBorders>
              <w:top w:val="single" w:sz="4" w:space="0" w:color="auto"/>
              <w:bottom w:val="single" w:sz="4" w:space="0" w:color="auto"/>
            </w:tcBorders>
            <w:shd w:val="clear" w:color="auto" w:fill="D0CECE"/>
            <w:vAlign w:val="center"/>
          </w:tcPr>
          <w:p w14:paraId="33A7B500" w14:textId="77777777" w:rsidR="001E5984" w:rsidRPr="00B536AB" w:rsidRDefault="001E5984" w:rsidP="00195151">
            <w:pPr>
              <w:spacing w:after="0" w:line="240" w:lineRule="auto"/>
              <w:jc w:val="center"/>
              <w:rPr>
                <w:rFonts w:ascii="David" w:hAnsi="David" w:cs="David"/>
                <w:color w:val="000000"/>
              </w:rPr>
            </w:pPr>
            <w:r w:rsidRPr="00B536AB">
              <w:rPr>
                <w:rFonts w:ascii="David" w:hAnsi="David" w:cs="David" w:hint="cs"/>
                <w:color w:val="000000"/>
                <w:rtl/>
              </w:rPr>
              <w:t>33</w:t>
            </w:r>
          </w:p>
        </w:tc>
      </w:tr>
      <w:tr w:rsidR="001E5984" w:rsidRPr="00B536AB" w14:paraId="16B8B51E" w14:textId="77777777" w:rsidTr="005E1D8B">
        <w:trPr>
          <w:trHeight w:val="536"/>
        </w:trPr>
        <w:tc>
          <w:tcPr>
            <w:tcW w:w="855" w:type="dxa"/>
            <w:tcBorders>
              <w:top w:val="single" w:sz="4" w:space="0" w:color="auto"/>
              <w:bottom w:val="single" w:sz="4" w:space="0" w:color="auto"/>
            </w:tcBorders>
            <w:shd w:val="clear" w:color="auto" w:fill="auto"/>
            <w:noWrap/>
            <w:vAlign w:val="center"/>
          </w:tcPr>
          <w:p w14:paraId="3E931BDA" w14:textId="77777777" w:rsidR="001E5984" w:rsidRPr="00B536AB" w:rsidRDefault="001E5984" w:rsidP="00195151">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auto"/>
            <w:noWrap/>
            <w:vAlign w:val="center"/>
          </w:tcPr>
          <w:p w14:paraId="2CA045CD" w14:textId="77777777" w:rsidR="001E5984" w:rsidRPr="00B536AB" w:rsidRDefault="001E5984" w:rsidP="00195151">
            <w:pPr>
              <w:spacing w:after="0" w:line="240" w:lineRule="auto"/>
              <w:rPr>
                <w:rFonts w:ascii="David" w:hAnsi="David" w:cs="David"/>
                <w:color w:val="000000"/>
              </w:rPr>
            </w:pPr>
            <w:r w:rsidRPr="00B536AB">
              <w:rPr>
                <w:rFonts w:ascii="David" w:hAnsi="David" w:cs="David"/>
                <w:color w:val="000000"/>
                <w:rtl/>
              </w:rPr>
              <w:t>פלילי</w:t>
            </w:r>
          </w:p>
        </w:tc>
        <w:tc>
          <w:tcPr>
            <w:tcW w:w="2551" w:type="dxa"/>
            <w:tcBorders>
              <w:top w:val="single" w:sz="4" w:space="0" w:color="auto"/>
              <w:bottom w:val="single" w:sz="4" w:space="0" w:color="auto"/>
            </w:tcBorders>
            <w:shd w:val="clear" w:color="auto" w:fill="auto"/>
            <w:vAlign w:val="center"/>
          </w:tcPr>
          <w:p w14:paraId="1BA28784" w14:textId="77777777" w:rsidR="001E5984" w:rsidRPr="00B536AB" w:rsidRDefault="001E5984" w:rsidP="00195151">
            <w:pPr>
              <w:spacing w:after="0" w:line="240" w:lineRule="auto"/>
              <w:rPr>
                <w:rFonts w:ascii="David" w:hAnsi="David" w:cs="David"/>
                <w:color w:val="000000"/>
                <w:rtl/>
              </w:rPr>
            </w:pPr>
            <w:r w:rsidRPr="00B536AB">
              <w:rPr>
                <w:rFonts w:ascii="David" w:hAnsi="David" w:cs="David"/>
                <w:color w:val="000000"/>
                <w:rtl/>
              </w:rPr>
              <w:t>מעצר עד תום ההליכים (מ"ת)</w:t>
            </w:r>
          </w:p>
        </w:tc>
        <w:tc>
          <w:tcPr>
            <w:tcW w:w="1559" w:type="dxa"/>
            <w:tcBorders>
              <w:top w:val="single" w:sz="4" w:space="0" w:color="auto"/>
              <w:bottom w:val="single" w:sz="4" w:space="0" w:color="auto"/>
            </w:tcBorders>
            <w:vAlign w:val="center"/>
          </w:tcPr>
          <w:p w14:paraId="453595B7" w14:textId="77777777" w:rsidR="001E5984" w:rsidRPr="00B536AB" w:rsidRDefault="001E5984" w:rsidP="00195151">
            <w:pPr>
              <w:spacing w:after="0" w:line="240" w:lineRule="auto"/>
              <w:jc w:val="center"/>
              <w:rPr>
                <w:rFonts w:ascii="David" w:hAnsi="David" w:cs="David"/>
                <w:color w:val="000000"/>
              </w:rPr>
            </w:pPr>
            <w:r w:rsidRPr="00B536AB">
              <w:rPr>
                <w:rFonts w:ascii="David" w:hAnsi="David" w:cs="David" w:hint="cs"/>
                <w:color w:val="000000"/>
                <w:rtl/>
              </w:rPr>
              <w:t>1,407</w:t>
            </w:r>
          </w:p>
        </w:tc>
        <w:tc>
          <w:tcPr>
            <w:tcW w:w="1842" w:type="dxa"/>
            <w:tcBorders>
              <w:top w:val="single" w:sz="4" w:space="0" w:color="auto"/>
              <w:bottom w:val="single" w:sz="4" w:space="0" w:color="auto"/>
            </w:tcBorders>
            <w:shd w:val="clear" w:color="auto" w:fill="auto"/>
            <w:noWrap/>
            <w:vAlign w:val="center"/>
          </w:tcPr>
          <w:p w14:paraId="33BD6140" w14:textId="77777777" w:rsidR="001E5984" w:rsidRPr="00B536AB" w:rsidRDefault="001E5984" w:rsidP="00195151">
            <w:pPr>
              <w:spacing w:after="0" w:line="240" w:lineRule="auto"/>
              <w:jc w:val="center"/>
              <w:rPr>
                <w:rFonts w:ascii="David" w:hAnsi="David" w:cs="David"/>
                <w:b/>
                <w:bCs/>
                <w:color w:val="000000"/>
              </w:rPr>
            </w:pPr>
            <w:r w:rsidRPr="00B536AB">
              <w:rPr>
                <w:rFonts w:ascii="David" w:hAnsi="David" w:cs="David" w:hint="cs"/>
                <w:b/>
                <w:bCs/>
                <w:color w:val="000000"/>
                <w:rtl/>
              </w:rPr>
              <w:t>8:00</w:t>
            </w:r>
          </w:p>
        </w:tc>
        <w:tc>
          <w:tcPr>
            <w:tcW w:w="992" w:type="dxa"/>
            <w:tcBorders>
              <w:top w:val="single" w:sz="4" w:space="0" w:color="auto"/>
              <w:bottom w:val="single" w:sz="4" w:space="0" w:color="auto"/>
            </w:tcBorders>
            <w:vAlign w:val="center"/>
          </w:tcPr>
          <w:p w14:paraId="0348B0F1" w14:textId="77777777" w:rsidR="001E5984" w:rsidRPr="00B536AB" w:rsidRDefault="001E5984" w:rsidP="00195151">
            <w:pPr>
              <w:spacing w:after="0" w:line="240" w:lineRule="auto"/>
              <w:jc w:val="center"/>
              <w:rPr>
                <w:rFonts w:ascii="David" w:hAnsi="David" w:cs="David"/>
                <w:color w:val="000000"/>
              </w:rPr>
            </w:pPr>
            <w:r w:rsidRPr="00B536AB">
              <w:rPr>
                <w:rFonts w:ascii="David" w:hAnsi="David" w:cs="David" w:hint="cs"/>
                <w:color w:val="000000"/>
                <w:rtl/>
              </w:rPr>
              <w:t>32</w:t>
            </w:r>
          </w:p>
        </w:tc>
      </w:tr>
      <w:tr w:rsidR="001E5984" w:rsidRPr="00B536AB" w14:paraId="148459A8" w14:textId="77777777" w:rsidTr="005E1D8B">
        <w:trPr>
          <w:trHeight w:val="300"/>
        </w:trPr>
        <w:tc>
          <w:tcPr>
            <w:tcW w:w="855" w:type="dxa"/>
            <w:tcBorders>
              <w:top w:val="single" w:sz="4" w:space="0" w:color="auto"/>
              <w:bottom w:val="single" w:sz="4" w:space="0" w:color="auto"/>
            </w:tcBorders>
            <w:shd w:val="clear" w:color="auto" w:fill="D9D9D9"/>
            <w:noWrap/>
            <w:vAlign w:val="center"/>
            <w:hideMark/>
          </w:tcPr>
          <w:p w14:paraId="4708EFC8" w14:textId="77777777" w:rsidR="001E5984" w:rsidRPr="00B536AB" w:rsidRDefault="001E5984" w:rsidP="00195151">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D9D9D9"/>
            <w:noWrap/>
            <w:vAlign w:val="center"/>
          </w:tcPr>
          <w:p w14:paraId="3CE398C2" w14:textId="77777777" w:rsidR="001E5984" w:rsidRPr="00B536AB" w:rsidRDefault="001E5984" w:rsidP="00195151">
            <w:pPr>
              <w:spacing w:after="0" w:line="240" w:lineRule="auto"/>
              <w:rPr>
                <w:rFonts w:ascii="David" w:hAnsi="David" w:cs="David"/>
                <w:color w:val="000000"/>
              </w:rPr>
            </w:pPr>
            <w:r w:rsidRPr="00B536AB">
              <w:rPr>
                <w:rFonts w:ascii="David" w:hAnsi="David" w:cs="David"/>
                <w:color w:val="000000"/>
                <w:rtl/>
              </w:rPr>
              <w:t>ערעור פלילי</w:t>
            </w:r>
          </w:p>
        </w:tc>
        <w:tc>
          <w:tcPr>
            <w:tcW w:w="2551" w:type="dxa"/>
            <w:tcBorders>
              <w:top w:val="single" w:sz="4" w:space="0" w:color="auto"/>
              <w:bottom w:val="single" w:sz="4" w:space="0" w:color="auto"/>
            </w:tcBorders>
            <w:shd w:val="clear" w:color="auto" w:fill="D9D9D9"/>
            <w:vAlign w:val="center"/>
          </w:tcPr>
          <w:p w14:paraId="026820CC" w14:textId="77777777" w:rsidR="001E5984" w:rsidRPr="00B536AB" w:rsidRDefault="001E5984" w:rsidP="00195151">
            <w:pPr>
              <w:spacing w:after="0" w:line="240" w:lineRule="auto"/>
              <w:rPr>
                <w:rFonts w:ascii="David" w:hAnsi="David" w:cs="David"/>
                <w:color w:val="000000"/>
                <w:rtl/>
              </w:rPr>
            </w:pPr>
            <w:r w:rsidRPr="00B536AB">
              <w:rPr>
                <w:rFonts w:ascii="David" w:hAnsi="David" w:cs="David"/>
                <w:color w:val="000000"/>
                <w:rtl/>
              </w:rPr>
              <w:t>ערעור פלילי אחר (עפ"א)</w:t>
            </w:r>
          </w:p>
        </w:tc>
        <w:tc>
          <w:tcPr>
            <w:tcW w:w="1559" w:type="dxa"/>
            <w:tcBorders>
              <w:top w:val="single" w:sz="4" w:space="0" w:color="auto"/>
              <w:bottom w:val="single" w:sz="4" w:space="0" w:color="auto"/>
            </w:tcBorders>
            <w:shd w:val="clear" w:color="auto" w:fill="D9D9D9"/>
            <w:vAlign w:val="center"/>
          </w:tcPr>
          <w:p w14:paraId="6FBEEF2C" w14:textId="77777777" w:rsidR="001E5984" w:rsidRPr="00B536AB" w:rsidRDefault="001E5984" w:rsidP="00195151">
            <w:pPr>
              <w:spacing w:after="0" w:line="240" w:lineRule="auto"/>
              <w:jc w:val="center"/>
              <w:rPr>
                <w:rFonts w:ascii="David" w:hAnsi="David" w:cs="David"/>
                <w:color w:val="000000"/>
              </w:rPr>
            </w:pPr>
            <w:r w:rsidRPr="00B536AB">
              <w:rPr>
                <w:rFonts w:ascii="David" w:hAnsi="David" w:cs="David" w:hint="cs"/>
                <w:color w:val="000000"/>
                <w:rtl/>
              </w:rPr>
              <w:t>212</w:t>
            </w:r>
          </w:p>
        </w:tc>
        <w:tc>
          <w:tcPr>
            <w:tcW w:w="1842" w:type="dxa"/>
            <w:tcBorders>
              <w:top w:val="single" w:sz="4" w:space="0" w:color="auto"/>
              <w:bottom w:val="single" w:sz="4" w:space="0" w:color="auto"/>
            </w:tcBorders>
            <w:shd w:val="clear" w:color="auto" w:fill="D9D9D9"/>
            <w:noWrap/>
            <w:vAlign w:val="center"/>
          </w:tcPr>
          <w:p w14:paraId="0AEA6C9E" w14:textId="77777777" w:rsidR="001E5984" w:rsidRPr="00B536AB" w:rsidRDefault="001E5984" w:rsidP="00195151">
            <w:pPr>
              <w:spacing w:after="0" w:line="240" w:lineRule="auto"/>
              <w:jc w:val="center"/>
              <w:rPr>
                <w:rFonts w:ascii="David" w:hAnsi="David" w:cs="David"/>
                <w:b/>
                <w:bCs/>
                <w:color w:val="000000"/>
              </w:rPr>
            </w:pPr>
            <w:r w:rsidRPr="00B536AB">
              <w:rPr>
                <w:rFonts w:ascii="David" w:hAnsi="David" w:cs="David"/>
                <w:b/>
                <w:bCs/>
                <w:color w:val="000000"/>
              </w:rPr>
              <w:t>6:37</w:t>
            </w:r>
          </w:p>
        </w:tc>
        <w:tc>
          <w:tcPr>
            <w:tcW w:w="992" w:type="dxa"/>
            <w:tcBorders>
              <w:top w:val="single" w:sz="4" w:space="0" w:color="auto"/>
              <w:bottom w:val="single" w:sz="4" w:space="0" w:color="auto"/>
            </w:tcBorders>
            <w:shd w:val="clear" w:color="auto" w:fill="D9D9D9"/>
            <w:vAlign w:val="center"/>
          </w:tcPr>
          <w:p w14:paraId="5E5596BB" w14:textId="77777777" w:rsidR="001E5984" w:rsidRPr="00B536AB" w:rsidRDefault="001E5984" w:rsidP="00195151">
            <w:pPr>
              <w:spacing w:after="0" w:line="240" w:lineRule="auto"/>
              <w:jc w:val="center"/>
              <w:rPr>
                <w:rFonts w:ascii="David" w:hAnsi="David" w:cs="David"/>
                <w:color w:val="000000"/>
                <w:rtl/>
              </w:rPr>
            </w:pPr>
            <w:r w:rsidRPr="00B536AB">
              <w:rPr>
                <w:rFonts w:ascii="David" w:hAnsi="David" w:cs="David" w:hint="cs"/>
                <w:color w:val="000000"/>
                <w:rtl/>
              </w:rPr>
              <w:t>26</w:t>
            </w:r>
          </w:p>
        </w:tc>
      </w:tr>
      <w:tr w:rsidR="001E5984" w:rsidRPr="00B536AB" w14:paraId="5DD04A2C" w14:textId="77777777" w:rsidTr="005E1D8B">
        <w:trPr>
          <w:trHeight w:val="300"/>
        </w:trPr>
        <w:tc>
          <w:tcPr>
            <w:tcW w:w="855" w:type="dxa"/>
            <w:tcBorders>
              <w:top w:val="single" w:sz="4" w:space="0" w:color="auto"/>
              <w:bottom w:val="single" w:sz="4" w:space="0" w:color="auto"/>
            </w:tcBorders>
            <w:shd w:val="clear" w:color="auto" w:fill="FFFFFF"/>
            <w:noWrap/>
            <w:vAlign w:val="center"/>
          </w:tcPr>
          <w:p w14:paraId="34702DB7" w14:textId="77777777" w:rsidR="001E5984" w:rsidRPr="00B536AB" w:rsidRDefault="001E5984" w:rsidP="00195151">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FFFFFF"/>
            <w:noWrap/>
            <w:vAlign w:val="center"/>
          </w:tcPr>
          <w:p w14:paraId="4E969B59" w14:textId="77777777" w:rsidR="001E5984" w:rsidRPr="00B536AB" w:rsidRDefault="001E5984" w:rsidP="00195151">
            <w:pPr>
              <w:spacing w:after="0" w:line="240" w:lineRule="auto"/>
              <w:rPr>
                <w:rFonts w:ascii="David" w:hAnsi="David" w:cs="David"/>
                <w:color w:val="000000"/>
              </w:rPr>
            </w:pPr>
            <w:r w:rsidRPr="00B536AB">
              <w:rPr>
                <w:rFonts w:ascii="David" w:hAnsi="David" w:cs="David"/>
                <w:color w:val="000000"/>
                <w:rtl/>
              </w:rPr>
              <w:t>פלילי</w:t>
            </w:r>
          </w:p>
        </w:tc>
        <w:tc>
          <w:tcPr>
            <w:tcW w:w="2551" w:type="dxa"/>
            <w:tcBorders>
              <w:top w:val="single" w:sz="4" w:space="0" w:color="auto"/>
              <w:bottom w:val="single" w:sz="4" w:space="0" w:color="auto"/>
            </w:tcBorders>
            <w:shd w:val="clear" w:color="auto" w:fill="FFFFFF"/>
            <w:vAlign w:val="center"/>
          </w:tcPr>
          <w:p w14:paraId="02D28552" w14:textId="77777777" w:rsidR="001E5984" w:rsidRPr="00B536AB" w:rsidRDefault="001E5984" w:rsidP="00195151">
            <w:pPr>
              <w:spacing w:after="0" w:line="240" w:lineRule="auto"/>
              <w:rPr>
                <w:rFonts w:ascii="David" w:hAnsi="David" w:cs="David"/>
                <w:color w:val="000000"/>
                <w:rtl/>
              </w:rPr>
            </w:pPr>
            <w:r w:rsidRPr="00B536AB">
              <w:rPr>
                <w:rFonts w:ascii="David" w:hAnsi="David" w:cs="David"/>
                <w:color w:val="000000"/>
                <w:rtl/>
              </w:rPr>
              <w:t>פיקוח על עבריין מין (פע"מ)</w:t>
            </w:r>
          </w:p>
        </w:tc>
        <w:tc>
          <w:tcPr>
            <w:tcW w:w="1559" w:type="dxa"/>
            <w:tcBorders>
              <w:top w:val="single" w:sz="4" w:space="0" w:color="auto"/>
              <w:bottom w:val="single" w:sz="4" w:space="0" w:color="auto"/>
            </w:tcBorders>
            <w:shd w:val="clear" w:color="auto" w:fill="FFFFFF"/>
            <w:vAlign w:val="center"/>
          </w:tcPr>
          <w:p w14:paraId="6151420D" w14:textId="77777777" w:rsidR="001E5984" w:rsidRPr="00B536AB" w:rsidRDefault="001E5984" w:rsidP="00195151">
            <w:pPr>
              <w:spacing w:after="0" w:line="240" w:lineRule="auto"/>
              <w:jc w:val="center"/>
              <w:rPr>
                <w:rFonts w:ascii="David" w:hAnsi="David" w:cs="David"/>
                <w:color w:val="000000"/>
              </w:rPr>
            </w:pPr>
            <w:r w:rsidRPr="00B536AB">
              <w:rPr>
                <w:rFonts w:ascii="David" w:hAnsi="David" w:cs="David" w:hint="cs"/>
                <w:color w:val="000000"/>
                <w:rtl/>
              </w:rPr>
              <w:t>350</w:t>
            </w:r>
          </w:p>
        </w:tc>
        <w:tc>
          <w:tcPr>
            <w:tcW w:w="1842" w:type="dxa"/>
            <w:tcBorders>
              <w:top w:val="single" w:sz="4" w:space="0" w:color="auto"/>
              <w:bottom w:val="single" w:sz="4" w:space="0" w:color="auto"/>
            </w:tcBorders>
            <w:shd w:val="clear" w:color="auto" w:fill="FFFFFF"/>
            <w:noWrap/>
            <w:vAlign w:val="center"/>
          </w:tcPr>
          <w:p w14:paraId="055FCD76" w14:textId="77777777" w:rsidR="001E5984" w:rsidRPr="00B536AB" w:rsidRDefault="001E5984" w:rsidP="00195151">
            <w:pPr>
              <w:spacing w:after="0" w:line="240" w:lineRule="auto"/>
              <w:jc w:val="center"/>
              <w:rPr>
                <w:rFonts w:ascii="David" w:hAnsi="David" w:cs="David"/>
                <w:b/>
                <w:bCs/>
                <w:color w:val="000000"/>
              </w:rPr>
            </w:pPr>
            <w:r w:rsidRPr="00B536AB">
              <w:rPr>
                <w:rFonts w:ascii="David" w:hAnsi="David" w:cs="David" w:hint="cs"/>
                <w:b/>
                <w:bCs/>
                <w:color w:val="000000"/>
                <w:rtl/>
              </w:rPr>
              <w:t>3:00</w:t>
            </w:r>
          </w:p>
        </w:tc>
        <w:tc>
          <w:tcPr>
            <w:tcW w:w="992" w:type="dxa"/>
            <w:tcBorders>
              <w:top w:val="single" w:sz="4" w:space="0" w:color="auto"/>
              <w:bottom w:val="single" w:sz="4" w:space="0" w:color="auto"/>
            </w:tcBorders>
            <w:shd w:val="clear" w:color="auto" w:fill="FFFFFF"/>
            <w:vAlign w:val="center"/>
          </w:tcPr>
          <w:p w14:paraId="4759DF17" w14:textId="77777777" w:rsidR="001E5984" w:rsidRPr="00B536AB" w:rsidRDefault="001E5984" w:rsidP="00195151">
            <w:pPr>
              <w:spacing w:after="0" w:line="240" w:lineRule="auto"/>
              <w:jc w:val="center"/>
              <w:rPr>
                <w:rFonts w:ascii="David" w:hAnsi="David" w:cs="David"/>
                <w:color w:val="000000"/>
              </w:rPr>
            </w:pPr>
            <w:r w:rsidRPr="00B536AB">
              <w:rPr>
                <w:rFonts w:ascii="David" w:hAnsi="David" w:cs="David" w:hint="cs"/>
                <w:color w:val="000000"/>
                <w:rtl/>
              </w:rPr>
              <w:t xml:space="preserve">12 </w:t>
            </w:r>
          </w:p>
        </w:tc>
      </w:tr>
      <w:tr w:rsidR="001E5984" w:rsidRPr="00B536AB" w14:paraId="4DA928DD" w14:textId="77777777" w:rsidTr="005E1D8B">
        <w:trPr>
          <w:trHeight w:val="300"/>
        </w:trPr>
        <w:tc>
          <w:tcPr>
            <w:tcW w:w="855" w:type="dxa"/>
            <w:tcBorders>
              <w:top w:val="single" w:sz="4" w:space="0" w:color="auto"/>
              <w:bottom w:val="single" w:sz="4" w:space="0" w:color="auto"/>
            </w:tcBorders>
            <w:shd w:val="clear" w:color="auto" w:fill="D9D9D9"/>
            <w:noWrap/>
            <w:vAlign w:val="center"/>
          </w:tcPr>
          <w:p w14:paraId="1ABA6B81" w14:textId="77777777" w:rsidR="001E5984" w:rsidRPr="00B536AB" w:rsidRDefault="001E5984" w:rsidP="00195151">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D9D9D9"/>
            <w:noWrap/>
            <w:vAlign w:val="center"/>
          </w:tcPr>
          <w:p w14:paraId="7CBAEE74" w14:textId="77777777" w:rsidR="001E5984" w:rsidRPr="00B536AB" w:rsidRDefault="001E5984" w:rsidP="00195151">
            <w:pPr>
              <w:spacing w:after="0" w:line="240" w:lineRule="auto"/>
              <w:rPr>
                <w:rFonts w:ascii="David" w:hAnsi="David" w:cs="David"/>
                <w:color w:val="000000"/>
              </w:rPr>
            </w:pPr>
            <w:r w:rsidRPr="00B536AB">
              <w:rPr>
                <w:rFonts w:ascii="David" w:hAnsi="David" w:cs="David"/>
                <w:color w:val="000000"/>
                <w:rtl/>
              </w:rPr>
              <w:t>מעצרים/</w:t>
            </w:r>
            <w:r w:rsidRPr="00B536AB">
              <w:rPr>
                <w:rFonts w:ascii="David" w:hAnsi="David" w:cs="David" w:hint="cs"/>
                <w:color w:val="000000"/>
                <w:rtl/>
              </w:rPr>
              <w:t xml:space="preserve"> </w:t>
            </w:r>
            <w:r w:rsidRPr="00B536AB">
              <w:rPr>
                <w:rFonts w:ascii="David" w:hAnsi="David" w:cs="David"/>
                <w:color w:val="000000"/>
                <w:rtl/>
              </w:rPr>
              <w:t>ערע</w:t>
            </w:r>
            <w:r w:rsidRPr="00B536AB">
              <w:rPr>
                <w:rFonts w:ascii="David" w:hAnsi="David" w:cs="David" w:hint="cs"/>
                <w:color w:val="000000"/>
                <w:rtl/>
              </w:rPr>
              <w:t>ו</w:t>
            </w:r>
            <w:r w:rsidRPr="00B536AB">
              <w:rPr>
                <w:rFonts w:ascii="David" w:hAnsi="David" w:cs="David"/>
                <w:color w:val="000000"/>
                <w:rtl/>
              </w:rPr>
              <w:t>ר פלילי/ פלילי</w:t>
            </w:r>
          </w:p>
        </w:tc>
        <w:tc>
          <w:tcPr>
            <w:tcW w:w="2551" w:type="dxa"/>
            <w:tcBorders>
              <w:top w:val="single" w:sz="4" w:space="0" w:color="auto"/>
              <w:bottom w:val="single" w:sz="4" w:space="0" w:color="auto"/>
            </w:tcBorders>
            <w:shd w:val="clear" w:color="auto" w:fill="D9D9D9"/>
            <w:vAlign w:val="center"/>
          </w:tcPr>
          <w:p w14:paraId="2A5AD9FE" w14:textId="77777777" w:rsidR="001E5984" w:rsidRPr="00B536AB" w:rsidRDefault="001E5984" w:rsidP="00195151">
            <w:pPr>
              <w:spacing w:after="0" w:line="240" w:lineRule="auto"/>
              <w:rPr>
                <w:rFonts w:ascii="David" w:hAnsi="David" w:cs="David"/>
                <w:color w:val="000000"/>
                <w:rtl/>
              </w:rPr>
            </w:pPr>
            <w:r w:rsidRPr="00B536AB">
              <w:rPr>
                <w:rFonts w:ascii="David" w:hAnsi="David" w:cs="David"/>
                <w:color w:val="000000"/>
                <w:rtl/>
              </w:rPr>
              <w:t>ערר אחר (ע"ח)</w:t>
            </w:r>
          </w:p>
        </w:tc>
        <w:tc>
          <w:tcPr>
            <w:tcW w:w="1559" w:type="dxa"/>
            <w:tcBorders>
              <w:top w:val="single" w:sz="4" w:space="0" w:color="auto"/>
              <w:bottom w:val="single" w:sz="4" w:space="0" w:color="auto"/>
            </w:tcBorders>
            <w:shd w:val="clear" w:color="auto" w:fill="D9D9D9"/>
            <w:vAlign w:val="center"/>
          </w:tcPr>
          <w:p w14:paraId="7A69B6DE" w14:textId="77777777" w:rsidR="001E5984" w:rsidRPr="00B536AB" w:rsidRDefault="001E5984" w:rsidP="00195151">
            <w:pPr>
              <w:spacing w:after="0" w:line="240" w:lineRule="auto"/>
              <w:jc w:val="center"/>
              <w:rPr>
                <w:rFonts w:ascii="David" w:hAnsi="David" w:cs="David"/>
                <w:color w:val="000000"/>
              </w:rPr>
            </w:pPr>
            <w:r w:rsidRPr="00B536AB">
              <w:rPr>
                <w:rFonts w:ascii="David" w:hAnsi="David" w:cs="David" w:hint="cs"/>
                <w:color w:val="000000"/>
                <w:rtl/>
              </w:rPr>
              <w:t>624</w:t>
            </w:r>
          </w:p>
        </w:tc>
        <w:tc>
          <w:tcPr>
            <w:tcW w:w="1842" w:type="dxa"/>
            <w:tcBorders>
              <w:top w:val="single" w:sz="4" w:space="0" w:color="auto"/>
              <w:bottom w:val="single" w:sz="4" w:space="0" w:color="auto"/>
            </w:tcBorders>
            <w:shd w:val="clear" w:color="auto" w:fill="D9D9D9"/>
            <w:noWrap/>
            <w:vAlign w:val="center"/>
          </w:tcPr>
          <w:p w14:paraId="44995B6F" w14:textId="77777777" w:rsidR="001E5984" w:rsidRPr="00B536AB" w:rsidRDefault="001E5984" w:rsidP="00195151">
            <w:pPr>
              <w:spacing w:after="0" w:line="240" w:lineRule="auto"/>
              <w:jc w:val="center"/>
              <w:rPr>
                <w:rFonts w:ascii="David" w:hAnsi="David" w:cs="David"/>
                <w:b/>
                <w:bCs/>
                <w:color w:val="000000"/>
              </w:rPr>
            </w:pPr>
            <w:r w:rsidRPr="00B536AB">
              <w:rPr>
                <w:rFonts w:ascii="David" w:hAnsi="David" w:cs="David"/>
                <w:b/>
                <w:bCs/>
                <w:color w:val="000000"/>
              </w:rPr>
              <w:t>2:53</w:t>
            </w:r>
          </w:p>
        </w:tc>
        <w:tc>
          <w:tcPr>
            <w:tcW w:w="992" w:type="dxa"/>
            <w:tcBorders>
              <w:top w:val="single" w:sz="4" w:space="0" w:color="auto"/>
              <w:bottom w:val="single" w:sz="4" w:space="0" w:color="auto"/>
            </w:tcBorders>
            <w:shd w:val="clear" w:color="auto" w:fill="D9D9D9"/>
            <w:vAlign w:val="center"/>
          </w:tcPr>
          <w:p w14:paraId="4A5583AC" w14:textId="77777777" w:rsidR="001E5984" w:rsidRPr="00B536AB" w:rsidRDefault="001E5984" w:rsidP="00195151">
            <w:pPr>
              <w:spacing w:after="0" w:line="240" w:lineRule="auto"/>
              <w:jc w:val="center"/>
              <w:rPr>
                <w:rFonts w:ascii="David" w:hAnsi="David" w:cs="David"/>
                <w:color w:val="000000"/>
              </w:rPr>
            </w:pPr>
            <w:r w:rsidRPr="00B536AB">
              <w:rPr>
                <w:rFonts w:ascii="David" w:hAnsi="David" w:cs="David"/>
                <w:color w:val="000000"/>
              </w:rPr>
              <w:t>12</w:t>
            </w:r>
          </w:p>
        </w:tc>
      </w:tr>
      <w:tr w:rsidR="001E5984" w:rsidRPr="00B536AB" w14:paraId="67D17E8E" w14:textId="77777777" w:rsidTr="005E1D8B">
        <w:trPr>
          <w:trHeight w:val="405"/>
        </w:trPr>
        <w:tc>
          <w:tcPr>
            <w:tcW w:w="855" w:type="dxa"/>
            <w:tcBorders>
              <w:top w:val="single" w:sz="4" w:space="0" w:color="auto"/>
              <w:bottom w:val="single" w:sz="4" w:space="0" w:color="auto"/>
            </w:tcBorders>
            <w:shd w:val="clear" w:color="auto" w:fill="auto"/>
            <w:noWrap/>
            <w:vAlign w:val="center"/>
          </w:tcPr>
          <w:p w14:paraId="6D9175C8" w14:textId="77777777" w:rsidR="001E5984" w:rsidRPr="00B536AB" w:rsidRDefault="001E5984" w:rsidP="00195151">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auto"/>
            <w:noWrap/>
            <w:vAlign w:val="center"/>
          </w:tcPr>
          <w:p w14:paraId="00606F26" w14:textId="77777777" w:rsidR="001E5984" w:rsidRPr="00B536AB" w:rsidRDefault="001E5984" w:rsidP="00195151">
            <w:pPr>
              <w:spacing w:after="0" w:line="240" w:lineRule="auto"/>
              <w:rPr>
                <w:rFonts w:ascii="David" w:hAnsi="David" w:cs="David"/>
                <w:color w:val="000000"/>
              </w:rPr>
            </w:pPr>
            <w:r w:rsidRPr="00B536AB">
              <w:rPr>
                <w:rFonts w:ascii="David" w:hAnsi="David" w:cs="David"/>
                <w:color w:val="000000"/>
                <w:rtl/>
              </w:rPr>
              <w:t>ערעור פלילי</w:t>
            </w:r>
          </w:p>
        </w:tc>
        <w:tc>
          <w:tcPr>
            <w:tcW w:w="2551" w:type="dxa"/>
            <w:tcBorders>
              <w:top w:val="single" w:sz="4" w:space="0" w:color="auto"/>
              <w:bottom w:val="single" w:sz="4" w:space="0" w:color="auto"/>
            </w:tcBorders>
            <w:shd w:val="clear" w:color="auto" w:fill="auto"/>
            <w:vAlign w:val="center"/>
          </w:tcPr>
          <w:p w14:paraId="0E94B117" w14:textId="77777777" w:rsidR="001E5984" w:rsidRPr="00B536AB" w:rsidRDefault="001E5984" w:rsidP="00195151">
            <w:pPr>
              <w:spacing w:after="0" w:line="240" w:lineRule="auto"/>
              <w:rPr>
                <w:rFonts w:ascii="David" w:hAnsi="David" w:cs="David"/>
                <w:color w:val="000000"/>
                <w:rtl/>
              </w:rPr>
            </w:pPr>
            <w:r w:rsidRPr="00B536AB">
              <w:rPr>
                <w:rFonts w:ascii="David" w:hAnsi="David" w:cs="David"/>
                <w:color w:val="000000"/>
                <w:rtl/>
              </w:rPr>
              <w:t>ערעור פלילי תעבורה (עפ"ת)</w:t>
            </w:r>
          </w:p>
        </w:tc>
        <w:tc>
          <w:tcPr>
            <w:tcW w:w="1559" w:type="dxa"/>
            <w:tcBorders>
              <w:top w:val="single" w:sz="4" w:space="0" w:color="auto"/>
              <w:bottom w:val="single" w:sz="4" w:space="0" w:color="auto"/>
            </w:tcBorders>
            <w:vAlign w:val="center"/>
          </w:tcPr>
          <w:p w14:paraId="795A803E" w14:textId="77777777" w:rsidR="001E5984" w:rsidRPr="00B536AB" w:rsidRDefault="001E5984" w:rsidP="00195151">
            <w:pPr>
              <w:spacing w:after="0" w:line="240" w:lineRule="auto"/>
              <w:jc w:val="center"/>
              <w:rPr>
                <w:rFonts w:ascii="David" w:hAnsi="David" w:cs="David"/>
                <w:color w:val="000000"/>
              </w:rPr>
            </w:pPr>
            <w:r w:rsidRPr="00B536AB">
              <w:rPr>
                <w:rFonts w:ascii="David" w:hAnsi="David" w:cs="David"/>
                <w:color w:val="000000"/>
              </w:rPr>
              <w:t>1,289</w:t>
            </w:r>
          </w:p>
        </w:tc>
        <w:tc>
          <w:tcPr>
            <w:tcW w:w="1842" w:type="dxa"/>
            <w:tcBorders>
              <w:top w:val="single" w:sz="4" w:space="0" w:color="auto"/>
              <w:bottom w:val="single" w:sz="4" w:space="0" w:color="auto"/>
            </w:tcBorders>
            <w:shd w:val="clear" w:color="auto" w:fill="auto"/>
            <w:noWrap/>
            <w:vAlign w:val="center"/>
          </w:tcPr>
          <w:p w14:paraId="1FF6BE45" w14:textId="77777777" w:rsidR="001E5984" w:rsidRPr="00B536AB" w:rsidRDefault="001E5984" w:rsidP="00195151">
            <w:pPr>
              <w:spacing w:after="0" w:line="240" w:lineRule="auto"/>
              <w:jc w:val="center"/>
              <w:rPr>
                <w:rFonts w:ascii="David" w:hAnsi="David" w:cs="David"/>
                <w:b/>
                <w:bCs/>
                <w:color w:val="000000"/>
                <w:rtl/>
              </w:rPr>
            </w:pPr>
            <w:r w:rsidRPr="00B536AB">
              <w:rPr>
                <w:rFonts w:ascii="David" w:hAnsi="David" w:cs="David"/>
                <w:b/>
                <w:bCs/>
                <w:color w:val="000000"/>
              </w:rPr>
              <w:t>2:50</w:t>
            </w:r>
          </w:p>
        </w:tc>
        <w:tc>
          <w:tcPr>
            <w:tcW w:w="992" w:type="dxa"/>
            <w:tcBorders>
              <w:top w:val="single" w:sz="4" w:space="0" w:color="auto"/>
              <w:bottom w:val="single" w:sz="4" w:space="0" w:color="auto"/>
            </w:tcBorders>
            <w:vAlign w:val="center"/>
          </w:tcPr>
          <w:p w14:paraId="57EE30C3" w14:textId="77777777" w:rsidR="001E5984" w:rsidRPr="00B536AB" w:rsidRDefault="001E5984" w:rsidP="00195151">
            <w:pPr>
              <w:spacing w:after="0" w:line="240" w:lineRule="auto"/>
              <w:jc w:val="center"/>
              <w:rPr>
                <w:rFonts w:ascii="David" w:hAnsi="David" w:cs="David"/>
                <w:color w:val="000000"/>
              </w:rPr>
            </w:pPr>
            <w:r w:rsidRPr="00B536AB">
              <w:rPr>
                <w:rFonts w:ascii="David" w:hAnsi="David" w:cs="David" w:hint="cs"/>
                <w:color w:val="000000"/>
                <w:rtl/>
              </w:rPr>
              <w:t>11</w:t>
            </w:r>
          </w:p>
        </w:tc>
      </w:tr>
      <w:tr w:rsidR="001E5984" w:rsidRPr="00B536AB" w14:paraId="27571FA6" w14:textId="77777777" w:rsidTr="005E1D8B">
        <w:trPr>
          <w:trHeight w:val="405"/>
        </w:trPr>
        <w:tc>
          <w:tcPr>
            <w:tcW w:w="855" w:type="dxa"/>
            <w:tcBorders>
              <w:top w:val="single" w:sz="4" w:space="0" w:color="auto"/>
              <w:bottom w:val="single" w:sz="4" w:space="0" w:color="auto"/>
            </w:tcBorders>
            <w:shd w:val="clear" w:color="auto" w:fill="D9D9D9"/>
            <w:noWrap/>
            <w:vAlign w:val="center"/>
          </w:tcPr>
          <w:p w14:paraId="6AF105FE" w14:textId="77777777" w:rsidR="001E5984" w:rsidRPr="00B536AB" w:rsidRDefault="001E5984" w:rsidP="00195151">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D9D9D9"/>
            <w:noWrap/>
            <w:vAlign w:val="center"/>
          </w:tcPr>
          <w:p w14:paraId="3B7FDD81" w14:textId="77777777" w:rsidR="001E5984" w:rsidRPr="00B536AB" w:rsidRDefault="001E5984" w:rsidP="00195151">
            <w:pPr>
              <w:spacing w:after="0" w:line="240" w:lineRule="auto"/>
              <w:rPr>
                <w:rFonts w:ascii="David" w:hAnsi="David" w:cs="David"/>
                <w:color w:val="000000"/>
              </w:rPr>
            </w:pPr>
            <w:r w:rsidRPr="00B536AB">
              <w:rPr>
                <w:rFonts w:ascii="David" w:hAnsi="David" w:cs="David"/>
                <w:color w:val="000000"/>
                <w:rtl/>
              </w:rPr>
              <w:t>פלילי</w:t>
            </w:r>
          </w:p>
        </w:tc>
        <w:tc>
          <w:tcPr>
            <w:tcW w:w="2551" w:type="dxa"/>
            <w:tcBorders>
              <w:top w:val="single" w:sz="4" w:space="0" w:color="auto"/>
              <w:bottom w:val="single" w:sz="4" w:space="0" w:color="auto"/>
            </w:tcBorders>
            <w:shd w:val="clear" w:color="auto" w:fill="D9D9D9"/>
            <w:vAlign w:val="center"/>
          </w:tcPr>
          <w:p w14:paraId="33617DFF" w14:textId="77777777" w:rsidR="001E5984" w:rsidRPr="00B536AB" w:rsidRDefault="001E5984" w:rsidP="00195151">
            <w:pPr>
              <w:spacing w:after="0" w:line="240" w:lineRule="auto"/>
              <w:rPr>
                <w:rFonts w:ascii="David" w:hAnsi="David" w:cs="David"/>
                <w:color w:val="000000"/>
                <w:rtl/>
              </w:rPr>
            </w:pPr>
            <w:r w:rsidRPr="00B536AB">
              <w:rPr>
                <w:rFonts w:ascii="David" w:hAnsi="David" w:cs="David"/>
                <w:color w:val="000000"/>
                <w:rtl/>
              </w:rPr>
              <w:t>בקשה לעיון בחומר חקירה (בע"ח)</w:t>
            </w:r>
          </w:p>
        </w:tc>
        <w:tc>
          <w:tcPr>
            <w:tcW w:w="1559" w:type="dxa"/>
            <w:tcBorders>
              <w:top w:val="single" w:sz="4" w:space="0" w:color="auto"/>
              <w:bottom w:val="single" w:sz="4" w:space="0" w:color="auto"/>
            </w:tcBorders>
            <w:shd w:val="clear" w:color="auto" w:fill="D9D9D9"/>
            <w:vAlign w:val="center"/>
          </w:tcPr>
          <w:p w14:paraId="3E2B7B33" w14:textId="77777777" w:rsidR="001E5984" w:rsidRPr="00B536AB" w:rsidRDefault="001E5984" w:rsidP="00195151">
            <w:pPr>
              <w:spacing w:after="0" w:line="240" w:lineRule="auto"/>
              <w:jc w:val="center"/>
              <w:rPr>
                <w:rFonts w:ascii="David" w:hAnsi="David" w:cs="David"/>
                <w:color w:val="000000"/>
              </w:rPr>
            </w:pPr>
            <w:r w:rsidRPr="00B536AB">
              <w:rPr>
                <w:rFonts w:ascii="David" w:hAnsi="David" w:cs="David" w:hint="cs"/>
                <w:color w:val="000000"/>
                <w:rtl/>
              </w:rPr>
              <w:t>354</w:t>
            </w:r>
          </w:p>
        </w:tc>
        <w:tc>
          <w:tcPr>
            <w:tcW w:w="1842" w:type="dxa"/>
            <w:tcBorders>
              <w:top w:val="single" w:sz="4" w:space="0" w:color="auto"/>
              <w:bottom w:val="single" w:sz="4" w:space="0" w:color="auto"/>
            </w:tcBorders>
            <w:shd w:val="clear" w:color="auto" w:fill="D9D9D9"/>
            <w:noWrap/>
            <w:vAlign w:val="center"/>
          </w:tcPr>
          <w:p w14:paraId="25222C05" w14:textId="77777777" w:rsidR="001E5984" w:rsidRPr="00B536AB" w:rsidRDefault="001E5984" w:rsidP="00195151">
            <w:pPr>
              <w:spacing w:after="0" w:line="240" w:lineRule="auto"/>
              <w:jc w:val="center"/>
              <w:rPr>
                <w:rFonts w:ascii="David" w:hAnsi="David" w:cs="David"/>
                <w:b/>
                <w:bCs/>
                <w:color w:val="000000"/>
              </w:rPr>
            </w:pPr>
            <w:r w:rsidRPr="00B536AB">
              <w:rPr>
                <w:rFonts w:ascii="David" w:hAnsi="David" w:cs="David"/>
                <w:b/>
                <w:bCs/>
                <w:color w:val="000000"/>
              </w:rPr>
              <w:t>2:20</w:t>
            </w:r>
          </w:p>
        </w:tc>
        <w:tc>
          <w:tcPr>
            <w:tcW w:w="992" w:type="dxa"/>
            <w:tcBorders>
              <w:top w:val="single" w:sz="4" w:space="0" w:color="auto"/>
              <w:bottom w:val="single" w:sz="4" w:space="0" w:color="auto"/>
            </w:tcBorders>
            <w:shd w:val="clear" w:color="auto" w:fill="D9D9D9"/>
            <w:vAlign w:val="center"/>
          </w:tcPr>
          <w:p w14:paraId="2AFF8326" w14:textId="77777777" w:rsidR="001E5984" w:rsidRPr="00B536AB" w:rsidRDefault="001E5984" w:rsidP="00195151">
            <w:pPr>
              <w:spacing w:after="0" w:line="240" w:lineRule="auto"/>
              <w:jc w:val="center"/>
              <w:rPr>
                <w:rFonts w:ascii="David" w:hAnsi="David" w:cs="David"/>
                <w:color w:val="000000"/>
              </w:rPr>
            </w:pPr>
            <w:r w:rsidRPr="00B536AB">
              <w:rPr>
                <w:rFonts w:ascii="David" w:hAnsi="David" w:cs="David"/>
                <w:color w:val="000000"/>
              </w:rPr>
              <w:t>9</w:t>
            </w:r>
          </w:p>
        </w:tc>
      </w:tr>
      <w:tr w:rsidR="001E5984" w:rsidRPr="00B536AB" w14:paraId="6B1A54E8" w14:textId="77777777" w:rsidTr="005E1D8B">
        <w:trPr>
          <w:trHeight w:val="402"/>
        </w:trPr>
        <w:tc>
          <w:tcPr>
            <w:tcW w:w="855" w:type="dxa"/>
            <w:tcBorders>
              <w:top w:val="single" w:sz="4" w:space="0" w:color="auto"/>
              <w:bottom w:val="single" w:sz="4" w:space="0" w:color="auto"/>
            </w:tcBorders>
            <w:shd w:val="clear" w:color="auto" w:fill="FFFFFF"/>
            <w:noWrap/>
            <w:vAlign w:val="center"/>
          </w:tcPr>
          <w:p w14:paraId="5465EAC9" w14:textId="77777777" w:rsidR="001E5984" w:rsidRPr="00B536AB" w:rsidRDefault="001E5984" w:rsidP="00195151">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FFFFFF"/>
            <w:noWrap/>
            <w:vAlign w:val="center"/>
          </w:tcPr>
          <w:p w14:paraId="64ED05CC" w14:textId="77777777" w:rsidR="001E5984" w:rsidRPr="00B536AB" w:rsidRDefault="001E5984" w:rsidP="00195151">
            <w:pPr>
              <w:spacing w:after="0" w:line="240" w:lineRule="auto"/>
              <w:rPr>
                <w:rFonts w:ascii="David" w:hAnsi="David" w:cs="David"/>
                <w:color w:val="000000"/>
              </w:rPr>
            </w:pPr>
            <w:r w:rsidRPr="00B536AB">
              <w:rPr>
                <w:rFonts w:ascii="David" w:hAnsi="David" w:cs="David"/>
                <w:color w:val="000000"/>
                <w:rtl/>
              </w:rPr>
              <w:t>ערעור פלילי</w:t>
            </w:r>
          </w:p>
        </w:tc>
        <w:tc>
          <w:tcPr>
            <w:tcW w:w="2551" w:type="dxa"/>
            <w:tcBorders>
              <w:top w:val="single" w:sz="4" w:space="0" w:color="auto"/>
              <w:bottom w:val="single" w:sz="4" w:space="0" w:color="auto"/>
            </w:tcBorders>
            <w:shd w:val="clear" w:color="auto" w:fill="FFFFFF"/>
            <w:vAlign w:val="center"/>
          </w:tcPr>
          <w:p w14:paraId="740448B6" w14:textId="77777777" w:rsidR="001E5984" w:rsidRPr="00B536AB" w:rsidRDefault="001E5984" w:rsidP="00195151">
            <w:pPr>
              <w:spacing w:after="0" w:line="240" w:lineRule="auto"/>
              <w:rPr>
                <w:rFonts w:ascii="David" w:hAnsi="David" w:cs="David"/>
                <w:color w:val="000000"/>
                <w:rtl/>
              </w:rPr>
            </w:pPr>
            <w:r w:rsidRPr="00B536AB">
              <w:rPr>
                <w:rFonts w:ascii="David" w:hAnsi="David" w:cs="David"/>
                <w:color w:val="000000"/>
                <w:rtl/>
              </w:rPr>
              <w:t>ערעור פלילי על בימ"ש לעניינים מקומיים (עפמ"ק)</w:t>
            </w:r>
          </w:p>
        </w:tc>
        <w:tc>
          <w:tcPr>
            <w:tcW w:w="1559" w:type="dxa"/>
            <w:tcBorders>
              <w:top w:val="single" w:sz="4" w:space="0" w:color="auto"/>
              <w:bottom w:val="single" w:sz="4" w:space="0" w:color="auto"/>
            </w:tcBorders>
            <w:shd w:val="clear" w:color="auto" w:fill="FFFFFF"/>
            <w:vAlign w:val="center"/>
          </w:tcPr>
          <w:p w14:paraId="636653A5" w14:textId="77777777" w:rsidR="001E5984" w:rsidRPr="00B536AB" w:rsidRDefault="001E5984" w:rsidP="00195151">
            <w:pPr>
              <w:spacing w:after="0" w:line="240" w:lineRule="auto"/>
              <w:jc w:val="center"/>
              <w:rPr>
                <w:rFonts w:ascii="David" w:hAnsi="David" w:cs="David"/>
                <w:color w:val="000000"/>
              </w:rPr>
            </w:pPr>
            <w:r w:rsidRPr="00B536AB">
              <w:rPr>
                <w:rFonts w:ascii="David" w:hAnsi="David" w:cs="David" w:hint="cs"/>
                <w:color w:val="000000"/>
                <w:rtl/>
              </w:rPr>
              <w:t>450</w:t>
            </w:r>
          </w:p>
        </w:tc>
        <w:tc>
          <w:tcPr>
            <w:tcW w:w="1842" w:type="dxa"/>
            <w:tcBorders>
              <w:top w:val="single" w:sz="4" w:space="0" w:color="auto"/>
              <w:bottom w:val="single" w:sz="4" w:space="0" w:color="auto"/>
            </w:tcBorders>
            <w:shd w:val="clear" w:color="auto" w:fill="FFFFFF"/>
            <w:noWrap/>
            <w:vAlign w:val="center"/>
          </w:tcPr>
          <w:p w14:paraId="67A3BF93" w14:textId="77777777" w:rsidR="001E5984" w:rsidRPr="00B536AB" w:rsidRDefault="001E5984" w:rsidP="00195151">
            <w:pPr>
              <w:spacing w:after="0" w:line="240" w:lineRule="auto"/>
              <w:jc w:val="center"/>
              <w:rPr>
                <w:rFonts w:ascii="David" w:hAnsi="David" w:cs="David"/>
                <w:b/>
                <w:bCs/>
                <w:color w:val="000000"/>
              </w:rPr>
            </w:pPr>
            <w:r w:rsidRPr="00B536AB">
              <w:rPr>
                <w:rFonts w:ascii="David" w:hAnsi="David" w:cs="David"/>
                <w:b/>
                <w:bCs/>
                <w:color w:val="000000"/>
              </w:rPr>
              <w:t>1:30</w:t>
            </w:r>
          </w:p>
        </w:tc>
        <w:tc>
          <w:tcPr>
            <w:tcW w:w="992" w:type="dxa"/>
            <w:tcBorders>
              <w:top w:val="single" w:sz="4" w:space="0" w:color="auto"/>
              <w:bottom w:val="single" w:sz="4" w:space="0" w:color="auto"/>
            </w:tcBorders>
            <w:shd w:val="clear" w:color="auto" w:fill="FFFFFF"/>
            <w:vAlign w:val="center"/>
          </w:tcPr>
          <w:p w14:paraId="0FF9540E" w14:textId="77777777" w:rsidR="001E5984" w:rsidRPr="00B536AB" w:rsidRDefault="001E5984" w:rsidP="00195151">
            <w:pPr>
              <w:spacing w:after="0" w:line="240" w:lineRule="auto"/>
              <w:jc w:val="center"/>
              <w:rPr>
                <w:rFonts w:ascii="David" w:hAnsi="David" w:cs="David"/>
                <w:color w:val="000000"/>
              </w:rPr>
            </w:pPr>
            <w:r w:rsidRPr="00B536AB">
              <w:rPr>
                <w:rFonts w:ascii="David" w:hAnsi="David" w:cs="David" w:hint="cs"/>
                <w:color w:val="000000"/>
                <w:rtl/>
              </w:rPr>
              <w:t>6</w:t>
            </w:r>
          </w:p>
        </w:tc>
      </w:tr>
      <w:tr w:rsidR="001E5984" w:rsidRPr="00B536AB" w14:paraId="22235535" w14:textId="77777777" w:rsidTr="005E1D8B">
        <w:trPr>
          <w:trHeight w:val="409"/>
        </w:trPr>
        <w:tc>
          <w:tcPr>
            <w:tcW w:w="855" w:type="dxa"/>
            <w:tcBorders>
              <w:top w:val="single" w:sz="4" w:space="0" w:color="auto"/>
              <w:bottom w:val="single" w:sz="4" w:space="0" w:color="auto"/>
            </w:tcBorders>
            <w:shd w:val="clear" w:color="auto" w:fill="D9D9D9"/>
            <w:noWrap/>
            <w:vAlign w:val="center"/>
          </w:tcPr>
          <w:p w14:paraId="6C382E7B" w14:textId="77777777" w:rsidR="001E5984" w:rsidRPr="00B536AB" w:rsidRDefault="001E5984" w:rsidP="00195151">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D9D9D9"/>
            <w:noWrap/>
            <w:vAlign w:val="center"/>
          </w:tcPr>
          <w:p w14:paraId="425C1B98" w14:textId="77777777" w:rsidR="001E5984" w:rsidRPr="00B536AB" w:rsidRDefault="001E5984" w:rsidP="00195151">
            <w:pPr>
              <w:spacing w:after="0" w:line="240" w:lineRule="auto"/>
              <w:rPr>
                <w:rFonts w:ascii="David" w:hAnsi="David" w:cs="David"/>
                <w:color w:val="000000"/>
              </w:rPr>
            </w:pPr>
            <w:r w:rsidRPr="00B536AB">
              <w:rPr>
                <w:rFonts w:ascii="David" w:hAnsi="David" w:cs="David"/>
                <w:color w:val="000000"/>
                <w:rtl/>
              </w:rPr>
              <w:t>מעצרים/</w:t>
            </w:r>
            <w:r w:rsidRPr="00B536AB">
              <w:rPr>
                <w:rFonts w:ascii="David" w:hAnsi="David" w:cs="David" w:hint="cs"/>
                <w:color w:val="000000"/>
                <w:rtl/>
              </w:rPr>
              <w:t xml:space="preserve"> </w:t>
            </w:r>
            <w:r w:rsidRPr="00B536AB">
              <w:rPr>
                <w:rFonts w:ascii="David" w:hAnsi="David" w:cs="David"/>
                <w:color w:val="000000"/>
                <w:rtl/>
              </w:rPr>
              <w:t>ערעור פלילי/</w:t>
            </w:r>
            <w:r w:rsidRPr="00B536AB">
              <w:rPr>
                <w:rFonts w:ascii="David" w:hAnsi="David" w:cs="David" w:hint="cs"/>
                <w:color w:val="000000"/>
                <w:rtl/>
              </w:rPr>
              <w:t xml:space="preserve"> </w:t>
            </w:r>
            <w:r w:rsidRPr="00B536AB">
              <w:rPr>
                <w:rFonts w:ascii="David" w:hAnsi="David" w:cs="David"/>
                <w:color w:val="000000"/>
                <w:rtl/>
              </w:rPr>
              <w:t>פלילי</w:t>
            </w:r>
          </w:p>
        </w:tc>
        <w:tc>
          <w:tcPr>
            <w:tcW w:w="2551" w:type="dxa"/>
            <w:tcBorders>
              <w:top w:val="single" w:sz="4" w:space="0" w:color="auto"/>
              <w:bottom w:val="single" w:sz="4" w:space="0" w:color="auto"/>
            </w:tcBorders>
            <w:shd w:val="clear" w:color="auto" w:fill="D9D9D9"/>
            <w:vAlign w:val="center"/>
          </w:tcPr>
          <w:p w14:paraId="629B7A3F" w14:textId="77777777" w:rsidR="001E5984" w:rsidRPr="00B536AB" w:rsidRDefault="001E5984" w:rsidP="00195151">
            <w:pPr>
              <w:spacing w:after="0" w:line="240" w:lineRule="auto"/>
              <w:rPr>
                <w:rFonts w:ascii="David" w:hAnsi="David" w:cs="David"/>
                <w:color w:val="000000"/>
                <w:rtl/>
              </w:rPr>
            </w:pPr>
            <w:r w:rsidRPr="00B536AB">
              <w:rPr>
                <w:rFonts w:ascii="David" w:hAnsi="David" w:cs="David"/>
                <w:color w:val="000000"/>
                <w:rtl/>
              </w:rPr>
              <w:t>ערר מ"ת (עמ"ת)</w:t>
            </w:r>
          </w:p>
        </w:tc>
        <w:tc>
          <w:tcPr>
            <w:tcW w:w="1559" w:type="dxa"/>
            <w:tcBorders>
              <w:top w:val="single" w:sz="4" w:space="0" w:color="auto"/>
              <w:bottom w:val="single" w:sz="4" w:space="0" w:color="auto"/>
            </w:tcBorders>
            <w:shd w:val="clear" w:color="auto" w:fill="D9D9D9"/>
            <w:vAlign w:val="center"/>
          </w:tcPr>
          <w:p w14:paraId="01ADAF89" w14:textId="77777777" w:rsidR="001E5984" w:rsidRPr="00B536AB" w:rsidRDefault="001E5984" w:rsidP="00195151">
            <w:pPr>
              <w:spacing w:after="0" w:line="240" w:lineRule="auto"/>
              <w:jc w:val="center"/>
              <w:rPr>
                <w:rFonts w:ascii="David" w:hAnsi="David" w:cs="David"/>
                <w:color w:val="000000"/>
              </w:rPr>
            </w:pPr>
            <w:r w:rsidRPr="00B536AB">
              <w:rPr>
                <w:rFonts w:ascii="David" w:hAnsi="David" w:cs="David" w:hint="cs"/>
                <w:color w:val="000000"/>
                <w:rtl/>
              </w:rPr>
              <w:t>2,029</w:t>
            </w:r>
          </w:p>
        </w:tc>
        <w:tc>
          <w:tcPr>
            <w:tcW w:w="1842" w:type="dxa"/>
            <w:tcBorders>
              <w:top w:val="single" w:sz="4" w:space="0" w:color="auto"/>
              <w:bottom w:val="single" w:sz="4" w:space="0" w:color="auto"/>
            </w:tcBorders>
            <w:shd w:val="clear" w:color="auto" w:fill="D9D9D9"/>
            <w:noWrap/>
            <w:vAlign w:val="center"/>
          </w:tcPr>
          <w:p w14:paraId="7F33DCC7" w14:textId="77777777" w:rsidR="001E5984" w:rsidRPr="00B536AB" w:rsidRDefault="001E5984" w:rsidP="00195151">
            <w:pPr>
              <w:spacing w:after="0" w:line="240" w:lineRule="auto"/>
              <w:jc w:val="center"/>
              <w:rPr>
                <w:rFonts w:ascii="David" w:hAnsi="David" w:cs="David"/>
                <w:b/>
                <w:bCs/>
                <w:color w:val="000000"/>
              </w:rPr>
            </w:pPr>
            <w:r w:rsidRPr="00B536AB">
              <w:rPr>
                <w:rFonts w:ascii="David" w:hAnsi="David" w:cs="David"/>
                <w:b/>
                <w:bCs/>
                <w:color w:val="000000"/>
              </w:rPr>
              <w:t>1:16</w:t>
            </w:r>
          </w:p>
        </w:tc>
        <w:tc>
          <w:tcPr>
            <w:tcW w:w="992" w:type="dxa"/>
            <w:tcBorders>
              <w:top w:val="single" w:sz="4" w:space="0" w:color="auto"/>
              <w:bottom w:val="single" w:sz="4" w:space="0" w:color="auto"/>
            </w:tcBorders>
            <w:shd w:val="clear" w:color="auto" w:fill="D9D9D9"/>
            <w:vAlign w:val="center"/>
          </w:tcPr>
          <w:p w14:paraId="03A9BF7A" w14:textId="77777777" w:rsidR="001E5984" w:rsidRPr="00B536AB" w:rsidRDefault="001E5984" w:rsidP="00195151">
            <w:pPr>
              <w:spacing w:after="0" w:line="240" w:lineRule="auto"/>
              <w:jc w:val="center"/>
              <w:rPr>
                <w:rFonts w:ascii="David" w:hAnsi="David" w:cs="David"/>
                <w:color w:val="000000"/>
              </w:rPr>
            </w:pPr>
            <w:r w:rsidRPr="00B536AB">
              <w:rPr>
                <w:rFonts w:ascii="David" w:hAnsi="David" w:cs="David"/>
                <w:color w:val="000000"/>
              </w:rPr>
              <w:t>5</w:t>
            </w:r>
          </w:p>
        </w:tc>
      </w:tr>
      <w:tr w:rsidR="001E5984" w:rsidRPr="00B536AB" w14:paraId="1B41720F" w14:textId="77777777" w:rsidTr="005E1D8B">
        <w:trPr>
          <w:trHeight w:val="300"/>
        </w:trPr>
        <w:tc>
          <w:tcPr>
            <w:tcW w:w="855" w:type="dxa"/>
            <w:tcBorders>
              <w:top w:val="single" w:sz="4" w:space="0" w:color="auto"/>
              <w:bottom w:val="single" w:sz="4" w:space="0" w:color="auto"/>
            </w:tcBorders>
            <w:shd w:val="clear" w:color="auto" w:fill="FFFFFF"/>
            <w:noWrap/>
            <w:vAlign w:val="center"/>
          </w:tcPr>
          <w:p w14:paraId="40889A56" w14:textId="77777777" w:rsidR="001E5984" w:rsidRPr="00B536AB" w:rsidRDefault="001E5984" w:rsidP="00195151">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FFFFFF"/>
            <w:noWrap/>
            <w:vAlign w:val="center"/>
          </w:tcPr>
          <w:p w14:paraId="5395A50A" w14:textId="77777777" w:rsidR="001E5984" w:rsidRPr="00B536AB" w:rsidRDefault="001E5984" w:rsidP="00195151">
            <w:pPr>
              <w:spacing w:after="0" w:line="240" w:lineRule="auto"/>
              <w:rPr>
                <w:rFonts w:ascii="David" w:hAnsi="David" w:cs="David"/>
                <w:color w:val="000000"/>
              </w:rPr>
            </w:pPr>
            <w:r w:rsidRPr="00B536AB">
              <w:rPr>
                <w:rFonts w:ascii="David" w:hAnsi="David" w:cs="David"/>
                <w:color w:val="000000"/>
                <w:rtl/>
              </w:rPr>
              <w:t>מעצרים/</w:t>
            </w:r>
            <w:r w:rsidRPr="00B536AB">
              <w:rPr>
                <w:rFonts w:ascii="David" w:hAnsi="David" w:cs="David" w:hint="cs"/>
                <w:color w:val="000000"/>
                <w:rtl/>
              </w:rPr>
              <w:t xml:space="preserve"> </w:t>
            </w:r>
            <w:r w:rsidRPr="00B536AB">
              <w:rPr>
                <w:rFonts w:ascii="David" w:hAnsi="David" w:cs="David"/>
                <w:color w:val="000000"/>
                <w:rtl/>
              </w:rPr>
              <w:t>ערעור פלילי/</w:t>
            </w:r>
            <w:r w:rsidRPr="00B536AB">
              <w:rPr>
                <w:rFonts w:ascii="David" w:hAnsi="David" w:cs="David" w:hint="cs"/>
                <w:color w:val="000000"/>
                <w:rtl/>
              </w:rPr>
              <w:t xml:space="preserve"> </w:t>
            </w:r>
            <w:r w:rsidRPr="00B536AB">
              <w:rPr>
                <w:rFonts w:ascii="David" w:hAnsi="David" w:cs="David"/>
                <w:color w:val="000000"/>
                <w:rtl/>
              </w:rPr>
              <w:t>פלילי</w:t>
            </w:r>
          </w:p>
        </w:tc>
        <w:tc>
          <w:tcPr>
            <w:tcW w:w="2551" w:type="dxa"/>
            <w:tcBorders>
              <w:top w:val="single" w:sz="4" w:space="0" w:color="auto"/>
              <w:bottom w:val="single" w:sz="4" w:space="0" w:color="auto"/>
            </w:tcBorders>
            <w:shd w:val="clear" w:color="auto" w:fill="FFFFFF"/>
            <w:vAlign w:val="center"/>
          </w:tcPr>
          <w:p w14:paraId="2EE95BA2" w14:textId="77777777" w:rsidR="001E5984" w:rsidRPr="00B536AB" w:rsidRDefault="001E5984" w:rsidP="00195151">
            <w:pPr>
              <w:spacing w:after="0" w:line="240" w:lineRule="auto"/>
              <w:rPr>
                <w:rFonts w:ascii="David" w:hAnsi="David" w:cs="David"/>
                <w:color w:val="000000"/>
                <w:rtl/>
              </w:rPr>
            </w:pPr>
            <w:r w:rsidRPr="00B536AB">
              <w:rPr>
                <w:rFonts w:ascii="David" w:hAnsi="David" w:cs="David"/>
                <w:color w:val="000000"/>
                <w:rtl/>
              </w:rPr>
              <w:t>ערר מ"י (עמ"י)</w:t>
            </w:r>
          </w:p>
        </w:tc>
        <w:tc>
          <w:tcPr>
            <w:tcW w:w="1559" w:type="dxa"/>
            <w:tcBorders>
              <w:top w:val="single" w:sz="4" w:space="0" w:color="auto"/>
              <w:bottom w:val="single" w:sz="4" w:space="0" w:color="auto"/>
            </w:tcBorders>
            <w:shd w:val="clear" w:color="auto" w:fill="FFFFFF"/>
            <w:vAlign w:val="center"/>
          </w:tcPr>
          <w:p w14:paraId="496D1803" w14:textId="77777777" w:rsidR="001E5984" w:rsidRPr="00B536AB" w:rsidRDefault="001E5984" w:rsidP="00195151">
            <w:pPr>
              <w:spacing w:after="0" w:line="240" w:lineRule="auto"/>
              <w:jc w:val="center"/>
              <w:rPr>
                <w:rFonts w:ascii="David" w:hAnsi="David" w:cs="David"/>
                <w:color w:val="000000"/>
              </w:rPr>
            </w:pPr>
            <w:r w:rsidRPr="00B536AB">
              <w:rPr>
                <w:rFonts w:ascii="David" w:hAnsi="David" w:cs="David" w:hint="cs"/>
                <w:color w:val="000000"/>
                <w:rtl/>
              </w:rPr>
              <w:t>5,194</w:t>
            </w:r>
          </w:p>
        </w:tc>
        <w:tc>
          <w:tcPr>
            <w:tcW w:w="1842" w:type="dxa"/>
            <w:tcBorders>
              <w:top w:val="single" w:sz="4" w:space="0" w:color="auto"/>
              <w:bottom w:val="single" w:sz="4" w:space="0" w:color="auto"/>
            </w:tcBorders>
            <w:shd w:val="clear" w:color="auto" w:fill="FFFFFF"/>
            <w:noWrap/>
            <w:vAlign w:val="center"/>
          </w:tcPr>
          <w:p w14:paraId="793F13D6" w14:textId="77777777" w:rsidR="001E5984" w:rsidRPr="00B536AB" w:rsidRDefault="001E5984" w:rsidP="00195151">
            <w:pPr>
              <w:spacing w:after="0" w:line="240" w:lineRule="auto"/>
              <w:jc w:val="center"/>
              <w:rPr>
                <w:rFonts w:ascii="David" w:hAnsi="David" w:cs="David"/>
                <w:b/>
                <w:bCs/>
                <w:color w:val="000000"/>
              </w:rPr>
            </w:pPr>
            <w:r w:rsidRPr="00B536AB">
              <w:rPr>
                <w:rFonts w:ascii="David" w:hAnsi="David" w:cs="David"/>
                <w:b/>
                <w:bCs/>
                <w:color w:val="000000"/>
              </w:rPr>
              <w:t>0:52</w:t>
            </w:r>
          </w:p>
        </w:tc>
        <w:tc>
          <w:tcPr>
            <w:tcW w:w="992" w:type="dxa"/>
            <w:tcBorders>
              <w:top w:val="single" w:sz="4" w:space="0" w:color="auto"/>
              <w:bottom w:val="single" w:sz="4" w:space="0" w:color="auto"/>
            </w:tcBorders>
            <w:shd w:val="clear" w:color="auto" w:fill="FFFFFF"/>
            <w:vAlign w:val="center"/>
          </w:tcPr>
          <w:p w14:paraId="03E8F667" w14:textId="77777777" w:rsidR="001E5984" w:rsidRPr="00B536AB" w:rsidRDefault="001E5984" w:rsidP="00195151">
            <w:pPr>
              <w:spacing w:after="0" w:line="240" w:lineRule="auto"/>
              <w:jc w:val="center"/>
              <w:rPr>
                <w:rFonts w:ascii="David" w:hAnsi="David" w:cs="David"/>
                <w:color w:val="000000"/>
              </w:rPr>
            </w:pPr>
            <w:r w:rsidRPr="00B536AB">
              <w:rPr>
                <w:rFonts w:ascii="David" w:hAnsi="David" w:cs="David"/>
                <w:color w:val="000000"/>
              </w:rPr>
              <w:t>3</w:t>
            </w:r>
          </w:p>
        </w:tc>
      </w:tr>
      <w:tr w:rsidR="001E5984" w:rsidRPr="00B536AB" w14:paraId="5355B6DD" w14:textId="77777777" w:rsidTr="005E1D8B">
        <w:trPr>
          <w:trHeight w:val="479"/>
        </w:trPr>
        <w:tc>
          <w:tcPr>
            <w:tcW w:w="855" w:type="dxa"/>
            <w:tcBorders>
              <w:top w:val="single" w:sz="4" w:space="0" w:color="auto"/>
              <w:bottom w:val="single" w:sz="4" w:space="0" w:color="auto"/>
            </w:tcBorders>
            <w:shd w:val="clear" w:color="auto" w:fill="D9D9D9"/>
            <w:noWrap/>
            <w:vAlign w:val="center"/>
          </w:tcPr>
          <w:p w14:paraId="38C17C78" w14:textId="77777777" w:rsidR="001E5984" w:rsidRPr="00B536AB" w:rsidRDefault="001E5984" w:rsidP="00195151">
            <w:pPr>
              <w:spacing w:after="0" w:line="240" w:lineRule="auto"/>
              <w:rPr>
                <w:rFonts w:ascii="David" w:hAnsi="David" w:cs="David"/>
                <w:color w:val="000000"/>
                <w:rtl/>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D9D9D9"/>
            <w:noWrap/>
            <w:vAlign w:val="center"/>
          </w:tcPr>
          <w:p w14:paraId="71D0EB52" w14:textId="77777777" w:rsidR="001E5984" w:rsidRPr="00B536AB" w:rsidRDefault="001E5984" w:rsidP="00195151">
            <w:pPr>
              <w:spacing w:after="0" w:line="240" w:lineRule="auto"/>
              <w:rPr>
                <w:rFonts w:ascii="David" w:hAnsi="David" w:cs="David"/>
                <w:color w:val="000000"/>
              </w:rPr>
            </w:pPr>
            <w:r w:rsidRPr="00B536AB">
              <w:rPr>
                <w:rFonts w:ascii="David" w:hAnsi="David" w:cs="David"/>
                <w:color w:val="000000"/>
                <w:rtl/>
              </w:rPr>
              <w:t>פלילי</w:t>
            </w:r>
          </w:p>
        </w:tc>
        <w:tc>
          <w:tcPr>
            <w:tcW w:w="2551" w:type="dxa"/>
            <w:tcBorders>
              <w:top w:val="single" w:sz="4" w:space="0" w:color="auto"/>
              <w:bottom w:val="single" w:sz="4" w:space="0" w:color="auto"/>
            </w:tcBorders>
            <w:shd w:val="clear" w:color="auto" w:fill="D9D9D9"/>
            <w:vAlign w:val="center"/>
          </w:tcPr>
          <w:p w14:paraId="76E09FEC" w14:textId="77777777" w:rsidR="001E5984" w:rsidRPr="00B536AB" w:rsidRDefault="001E5984" w:rsidP="00195151">
            <w:pPr>
              <w:spacing w:after="0" w:line="240" w:lineRule="auto"/>
              <w:rPr>
                <w:rFonts w:ascii="David" w:hAnsi="David" w:cs="David"/>
                <w:color w:val="000000"/>
                <w:rtl/>
              </w:rPr>
            </w:pPr>
            <w:r w:rsidRPr="00B536AB">
              <w:rPr>
                <w:rFonts w:ascii="David" w:hAnsi="David" w:cs="David"/>
                <w:color w:val="000000"/>
                <w:rtl/>
              </w:rPr>
              <w:t>האזנת סתר (הס"ת)</w:t>
            </w:r>
          </w:p>
        </w:tc>
        <w:tc>
          <w:tcPr>
            <w:tcW w:w="1559" w:type="dxa"/>
            <w:tcBorders>
              <w:top w:val="single" w:sz="4" w:space="0" w:color="auto"/>
              <w:bottom w:val="single" w:sz="4" w:space="0" w:color="auto"/>
            </w:tcBorders>
            <w:shd w:val="clear" w:color="auto" w:fill="D9D9D9"/>
            <w:vAlign w:val="center"/>
          </w:tcPr>
          <w:p w14:paraId="226419BF" w14:textId="77777777" w:rsidR="001E5984" w:rsidRPr="00B536AB" w:rsidRDefault="001E5984" w:rsidP="00195151">
            <w:pPr>
              <w:spacing w:after="0" w:line="240" w:lineRule="auto"/>
              <w:jc w:val="center"/>
              <w:rPr>
                <w:rFonts w:ascii="David" w:hAnsi="David" w:cs="David"/>
                <w:color w:val="000000"/>
              </w:rPr>
            </w:pPr>
            <w:r w:rsidRPr="00B536AB">
              <w:rPr>
                <w:rFonts w:ascii="David" w:hAnsi="David" w:cs="David"/>
                <w:color w:val="000000"/>
              </w:rPr>
              <w:t>4,572</w:t>
            </w:r>
          </w:p>
        </w:tc>
        <w:tc>
          <w:tcPr>
            <w:tcW w:w="1842" w:type="dxa"/>
            <w:tcBorders>
              <w:top w:val="single" w:sz="4" w:space="0" w:color="auto"/>
              <w:bottom w:val="single" w:sz="4" w:space="0" w:color="auto"/>
            </w:tcBorders>
            <w:shd w:val="clear" w:color="auto" w:fill="D9D9D9"/>
            <w:noWrap/>
            <w:vAlign w:val="center"/>
          </w:tcPr>
          <w:p w14:paraId="753C7559" w14:textId="77777777" w:rsidR="001E5984" w:rsidRPr="00B536AB" w:rsidRDefault="001E5984" w:rsidP="00195151">
            <w:pPr>
              <w:spacing w:after="0" w:line="240" w:lineRule="auto"/>
              <w:jc w:val="center"/>
              <w:rPr>
                <w:rFonts w:ascii="David" w:hAnsi="David" w:cs="David"/>
                <w:b/>
                <w:bCs/>
                <w:color w:val="000000"/>
              </w:rPr>
            </w:pPr>
            <w:r w:rsidRPr="00B536AB">
              <w:rPr>
                <w:rFonts w:ascii="David" w:hAnsi="David" w:cs="David"/>
                <w:b/>
                <w:bCs/>
                <w:color w:val="000000"/>
              </w:rPr>
              <w:t>0:15</w:t>
            </w:r>
          </w:p>
        </w:tc>
        <w:tc>
          <w:tcPr>
            <w:tcW w:w="992" w:type="dxa"/>
            <w:tcBorders>
              <w:top w:val="single" w:sz="4" w:space="0" w:color="auto"/>
              <w:bottom w:val="single" w:sz="4" w:space="0" w:color="auto"/>
            </w:tcBorders>
            <w:shd w:val="clear" w:color="auto" w:fill="D9D9D9"/>
            <w:vAlign w:val="center"/>
          </w:tcPr>
          <w:p w14:paraId="2B6EC3AE" w14:textId="77777777" w:rsidR="001E5984" w:rsidRPr="00B536AB" w:rsidRDefault="001E5984" w:rsidP="00195151">
            <w:pPr>
              <w:spacing w:after="0" w:line="240" w:lineRule="auto"/>
              <w:jc w:val="center"/>
              <w:rPr>
                <w:rFonts w:ascii="David" w:hAnsi="David" w:cs="David"/>
                <w:color w:val="000000"/>
              </w:rPr>
            </w:pPr>
            <w:r w:rsidRPr="00B536AB">
              <w:rPr>
                <w:rFonts w:ascii="David" w:hAnsi="David" w:cs="David" w:hint="cs"/>
                <w:color w:val="000000"/>
                <w:rtl/>
              </w:rPr>
              <w:t>1</w:t>
            </w:r>
          </w:p>
        </w:tc>
      </w:tr>
    </w:tbl>
    <w:p w14:paraId="1A550F29" w14:textId="77777777" w:rsidR="00DD0D4B" w:rsidRPr="00F25744" w:rsidRDefault="00DD0D4B" w:rsidP="00DD0D4B">
      <w:pPr>
        <w:rPr>
          <w:rFonts w:ascii="David" w:eastAsia="Times New Roman" w:hAnsi="David" w:cs="David"/>
          <w:b/>
          <w:bCs/>
          <w:sz w:val="28"/>
          <w:szCs w:val="28"/>
          <w:rtl/>
        </w:rPr>
      </w:pPr>
    </w:p>
    <w:p w14:paraId="4C334753" w14:textId="77777777" w:rsidR="000B27AF" w:rsidRPr="00195151" w:rsidRDefault="000B27AF">
      <w:pPr>
        <w:bidi w:val="0"/>
        <w:spacing w:after="0" w:line="240" w:lineRule="auto"/>
        <w:rPr>
          <w:rFonts w:asciiTheme="minorHAnsi" w:hAnsiTheme="minorHAnsi" w:cs="David"/>
          <w:b/>
          <w:bCs/>
          <w:sz w:val="24"/>
          <w:szCs w:val="24"/>
        </w:rPr>
      </w:pPr>
      <w:bookmarkStart w:id="1009" w:name="_Toc46416710"/>
      <w:r w:rsidRPr="00F25744">
        <w:rPr>
          <w:rtl/>
        </w:rPr>
        <w:br w:type="page"/>
      </w:r>
    </w:p>
    <w:p w14:paraId="6644142A" w14:textId="77777777" w:rsidR="00DD0D4B" w:rsidRPr="00F25744" w:rsidRDefault="00E25AE7" w:rsidP="0043255F">
      <w:pPr>
        <w:pStyle w:val="3"/>
        <w:numPr>
          <w:ilvl w:val="0"/>
          <w:numId w:val="0"/>
        </w:numPr>
        <w:rPr>
          <w:rFonts w:eastAsia="Times New Roman"/>
          <w:sz w:val="28"/>
          <w:szCs w:val="28"/>
          <w:rtl/>
        </w:rPr>
      </w:pPr>
      <w:bookmarkStart w:id="1010" w:name="_Toc74751060"/>
      <w:r w:rsidRPr="00F25744">
        <w:rPr>
          <w:rFonts w:hint="cs"/>
          <w:rtl/>
        </w:rPr>
        <w:lastRenderedPageBreak/>
        <w:t>נספח ה2: ערכאת מחוזי אזרחי</w:t>
      </w:r>
      <w:bookmarkEnd w:id="1009"/>
      <w:bookmarkEnd w:id="1010"/>
    </w:p>
    <w:tbl>
      <w:tblPr>
        <w:tblpPr w:leftFromText="181" w:rightFromText="85" w:vertAnchor="text" w:tblpXSpec="right" w:tblpY="1"/>
        <w:tblOverlap w:val="never"/>
        <w:bidiVisual/>
        <w:tblW w:w="9073" w:type="dxa"/>
        <w:tblLayout w:type="fixed"/>
        <w:tblLook w:val="04A0" w:firstRow="1" w:lastRow="0" w:firstColumn="1" w:lastColumn="0" w:noHBand="0" w:noVBand="1"/>
      </w:tblPr>
      <w:tblGrid>
        <w:gridCol w:w="995"/>
        <w:gridCol w:w="1276"/>
        <w:gridCol w:w="2551"/>
        <w:gridCol w:w="1551"/>
        <w:gridCol w:w="1566"/>
        <w:gridCol w:w="1134"/>
      </w:tblGrid>
      <w:tr w:rsidR="00E0162E" w:rsidRPr="00B536AB" w14:paraId="3353DA17" w14:textId="77777777" w:rsidTr="005E1D8B">
        <w:trPr>
          <w:trHeight w:val="729"/>
        </w:trPr>
        <w:tc>
          <w:tcPr>
            <w:tcW w:w="995" w:type="dxa"/>
            <w:tcBorders>
              <w:bottom w:val="single" w:sz="4" w:space="0" w:color="auto"/>
            </w:tcBorders>
            <w:shd w:val="clear" w:color="auto" w:fill="auto"/>
            <w:vAlign w:val="center"/>
            <w:hideMark/>
          </w:tcPr>
          <w:p w14:paraId="5CC6875E" w14:textId="77777777" w:rsidR="00DD0D4B" w:rsidRPr="00B536AB" w:rsidRDefault="00E25AE7" w:rsidP="005E1D8B">
            <w:pPr>
              <w:spacing w:after="0" w:line="240" w:lineRule="auto"/>
              <w:jc w:val="center"/>
              <w:rPr>
                <w:rFonts w:ascii="David" w:eastAsia="Times New Roman" w:hAnsi="David" w:cs="David"/>
                <w:b/>
                <w:bCs/>
                <w:color w:val="000000"/>
              </w:rPr>
            </w:pPr>
            <w:r w:rsidRPr="00B536AB">
              <w:rPr>
                <w:rFonts w:ascii="David" w:eastAsia="Times New Roman" w:hAnsi="David" w:cs="David"/>
                <w:b/>
                <w:bCs/>
                <w:color w:val="000000"/>
                <w:rtl/>
              </w:rPr>
              <w:t>ערכאה</w:t>
            </w:r>
          </w:p>
        </w:tc>
        <w:tc>
          <w:tcPr>
            <w:tcW w:w="1276" w:type="dxa"/>
            <w:tcBorders>
              <w:bottom w:val="single" w:sz="4" w:space="0" w:color="auto"/>
            </w:tcBorders>
            <w:shd w:val="clear" w:color="auto" w:fill="auto"/>
            <w:vAlign w:val="center"/>
            <w:hideMark/>
          </w:tcPr>
          <w:p w14:paraId="47440182" w14:textId="77777777" w:rsidR="00DD0D4B" w:rsidRPr="00B536AB" w:rsidRDefault="00E25AE7" w:rsidP="005E1D8B">
            <w:pPr>
              <w:spacing w:after="0" w:line="240" w:lineRule="auto"/>
              <w:jc w:val="center"/>
              <w:rPr>
                <w:rFonts w:ascii="David" w:eastAsia="Times New Roman" w:hAnsi="David" w:cs="David"/>
                <w:b/>
                <w:bCs/>
                <w:color w:val="000000"/>
                <w:rtl/>
              </w:rPr>
            </w:pPr>
            <w:r w:rsidRPr="00B536AB">
              <w:rPr>
                <w:rFonts w:ascii="David" w:eastAsia="Times New Roman" w:hAnsi="David" w:cs="David"/>
                <w:b/>
                <w:bCs/>
                <w:color w:val="000000"/>
                <w:rtl/>
              </w:rPr>
              <w:t>הליך</w:t>
            </w:r>
          </w:p>
        </w:tc>
        <w:tc>
          <w:tcPr>
            <w:tcW w:w="2551" w:type="dxa"/>
            <w:tcBorders>
              <w:bottom w:val="single" w:sz="4" w:space="0" w:color="auto"/>
            </w:tcBorders>
            <w:shd w:val="clear" w:color="auto" w:fill="auto"/>
            <w:vAlign w:val="center"/>
            <w:hideMark/>
          </w:tcPr>
          <w:p w14:paraId="16FAA255" w14:textId="77777777" w:rsidR="00DD0D4B" w:rsidRPr="00B536AB" w:rsidRDefault="00E25AE7" w:rsidP="005E1D8B">
            <w:pPr>
              <w:spacing w:after="0" w:line="240" w:lineRule="auto"/>
              <w:jc w:val="center"/>
              <w:rPr>
                <w:rFonts w:ascii="David" w:eastAsia="Times New Roman" w:hAnsi="David" w:cs="David"/>
                <w:b/>
                <w:bCs/>
                <w:color w:val="000000"/>
                <w:rtl/>
              </w:rPr>
            </w:pPr>
            <w:r w:rsidRPr="00B536AB">
              <w:rPr>
                <w:rFonts w:ascii="David" w:eastAsia="Times New Roman" w:hAnsi="David" w:cs="David"/>
                <w:b/>
                <w:bCs/>
                <w:color w:val="000000"/>
                <w:rtl/>
              </w:rPr>
              <w:t>סוג תיק</w:t>
            </w:r>
          </w:p>
        </w:tc>
        <w:tc>
          <w:tcPr>
            <w:tcW w:w="1551" w:type="dxa"/>
            <w:tcBorders>
              <w:bottom w:val="single" w:sz="4" w:space="0" w:color="auto"/>
            </w:tcBorders>
            <w:vAlign w:val="center"/>
          </w:tcPr>
          <w:p w14:paraId="28326302" w14:textId="77777777" w:rsidR="00DD0D4B" w:rsidRPr="00B536AB" w:rsidRDefault="00E25AE7" w:rsidP="005E1D8B">
            <w:pPr>
              <w:spacing w:after="0" w:line="240" w:lineRule="auto"/>
              <w:jc w:val="center"/>
              <w:rPr>
                <w:rFonts w:ascii="David" w:eastAsia="Times New Roman" w:hAnsi="David" w:cs="David"/>
                <w:b/>
                <w:bCs/>
                <w:color w:val="000000"/>
                <w:rtl/>
              </w:rPr>
            </w:pPr>
            <w:r w:rsidRPr="00B536AB">
              <w:rPr>
                <w:rFonts w:ascii="David" w:eastAsia="Times New Roman" w:hAnsi="David" w:cs="David" w:hint="cs"/>
                <w:b/>
                <w:bCs/>
                <w:color w:val="000000"/>
                <w:rtl/>
              </w:rPr>
              <w:t>מספר תיקים שנסגרו ב-2019</w:t>
            </w:r>
          </w:p>
        </w:tc>
        <w:tc>
          <w:tcPr>
            <w:tcW w:w="1566" w:type="dxa"/>
            <w:tcBorders>
              <w:bottom w:val="single" w:sz="4" w:space="0" w:color="auto"/>
            </w:tcBorders>
            <w:shd w:val="clear" w:color="auto" w:fill="auto"/>
            <w:vAlign w:val="center"/>
            <w:hideMark/>
          </w:tcPr>
          <w:p w14:paraId="300D0C2F" w14:textId="77777777" w:rsidR="00DD0D4B" w:rsidRPr="00B536AB" w:rsidRDefault="00E25AE7" w:rsidP="005E1D8B">
            <w:pPr>
              <w:spacing w:after="0" w:line="240" w:lineRule="auto"/>
              <w:jc w:val="center"/>
              <w:rPr>
                <w:rFonts w:ascii="David" w:eastAsia="Times New Roman" w:hAnsi="David" w:cs="David"/>
                <w:b/>
                <w:bCs/>
                <w:color w:val="000000"/>
                <w:rtl/>
              </w:rPr>
            </w:pPr>
            <w:r w:rsidRPr="00B536AB">
              <w:rPr>
                <w:rFonts w:ascii="David" w:eastAsia="Times New Roman" w:hAnsi="David" w:cs="David"/>
                <w:b/>
                <w:bCs/>
                <w:color w:val="000000"/>
                <w:rtl/>
              </w:rPr>
              <w:t>הזמן השיפוטי הממוצע הדרוש לטפל בתיק</w:t>
            </w:r>
          </w:p>
        </w:tc>
        <w:tc>
          <w:tcPr>
            <w:tcW w:w="1134" w:type="dxa"/>
            <w:tcBorders>
              <w:bottom w:val="single" w:sz="4" w:space="0" w:color="auto"/>
            </w:tcBorders>
            <w:vAlign w:val="center"/>
          </w:tcPr>
          <w:p w14:paraId="7F993359" w14:textId="77777777" w:rsidR="00DD0D4B" w:rsidRPr="00B536AB" w:rsidRDefault="00E25AE7" w:rsidP="005E1D8B">
            <w:pPr>
              <w:spacing w:after="0" w:line="240" w:lineRule="auto"/>
              <w:jc w:val="center"/>
              <w:rPr>
                <w:rFonts w:ascii="David" w:eastAsia="Times New Roman" w:hAnsi="David" w:cs="David"/>
                <w:b/>
                <w:bCs/>
                <w:color w:val="000000"/>
                <w:rtl/>
              </w:rPr>
            </w:pPr>
            <w:r w:rsidRPr="00B536AB">
              <w:rPr>
                <w:rFonts w:ascii="David" w:eastAsia="Times New Roman" w:hAnsi="David" w:cs="David" w:hint="cs"/>
                <w:b/>
                <w:bCs/>
                <w:color w:val="000000"/>
                <w:rtl/>
              </w:rPr>
              <w:t>משקל ערכאתי לתיק</w:t>
            </w:r>
          </w:p>
        </w:tc>
      </w:tr>
      <w:tr w:rsidR="00E0162E" w:rsidRPr="00B536AB" w14:paraId="24F24E56" w14:textId="77777777" w:rsidTr="005E1D8B">
        <w:trPr>
          <w:trHeight w:val="600"/>
        </w:trPr>
        <w:tc>
          <w:tcPr>
            <w:tcW w:w="995" w:type="dxa"/>
            <w:tcBorders>
              <w:top w:val="single" w:sz="4" w:space="0" w:color="auto"/>
              <w:bottom w:val="single" w:sz="4" w:space="0" w:color="auto"/>
            </w:tcBorders>
            <w:shd w:val="clear" w:color="auto" w:fill="D9D9D9"/>
            <w:noWrap/>
            <w:vAlign w:val="center"/>
          </w:tcPr>
          <w:p w14:paraId="32E26877" w14:textId="77777777" w:rsidR="00DD0D4B" w:rsidRPr="00B536AB" w:rsidRDefault="00E25AE7" w:rsidP="005E1D8B">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D9D9D9"/>
            <w:noWrap/>
            <w:vAlign w:val="center"/>
          </w:tcPr>
          <w:p w14:paraId="32CE7B57" w14:textId="77777777" w:rsidR="00DD0D4B" w:rsidRPr="00B536AB" w:rsidRDefault="00E25AE7" w:rsidP="005E1D8B">
            <w:pPr>
              <w:spacing w:after="0" w:line="240" w:lineRule="auto"/>
              <w:rPr>
                <w:rFonts w:ascii="David" w:hAnsi="David" w:cs="David"/>
                <w:color w:val="000000"/>
              </w:rPr>
            </w:pPr>
            <w:r w:rsidRPr="00B536AB">
              <w:rPr>
                <w:rFonts w:ascii="David" w:hAnsi="David" w:cs="David"/>
                <w:color w:val="000000"/>
                <w:rtl/>
              </w:rPr>
              <w:t>אזרחי</w:t>
            </w:r>
          </w:p>
        </w:tc>
        <w:tc>
          <w:tcPr>
            <w:tcW w:w="2551" w:type="dxa"/>
            <w:tcBorders>
              <w:top w:val="single" w:sz="4" w:space="0" w:color="auto"/>
              <w:bottom w:val="single" w:sz="4" w:space="0" w:color="auto"/>
            </w:tcBorders>
            <w:shd w:val="clear" w:color="auto" w:fill="D9D9D9"/>
            <w:vAlign w:val="center"/>
          </w:tcPr>
          <w:p w14:paraId="365E97D7" w14:textId="77777777" w:rsidR="00DD0D4B" w:rsidRPr="00B536AB" w:rsidRDefault="00E25AE7" w:rsidP="005E1D8B">
            <w:pPr>
              <w:spacing w:after="0" w:line="240" w:lineRule="auto"/>
              <w:rPr>
                <w:rFonts w:ascii="David" w:hAnsi="David" w:cs="David"/>
                <w:color w:val="000000"/>
                <w:rtl/>
              </w:rPr>
            </w:pPr>
            <w:r w:rsidRPr="00B536AB">
              <w:rPr>
                <w:rFonts w:ascii="David" w:hAnsi="David" w:cs="David"/>
                <w:color w:val="000000"/>
                <w:rtl/>
              </w:rPr>
              <w:t>תיק אזרחי בסדר דין רגיל (ת"א) - תביעה כספית</w:t>
            </w:r>
          </w:p>
        </w:tc>
        <w:tc>
          <w:tcPr>
            <w:tcW w:w="1551" w:type="dxa"/>
            <w:tcBorders>
              <w:top w:val="single" w:sz="4" w:space="0" w:color="auto"/>
              <w:bottom w:val="single" w:sz="4" w:space="0" w:color="auto"/>
            </w:tcBorders>
            <w:shd w:val="clear" w:color="auto" w:fill="D9D9D9"/>
            <w:vAlign w:val="center"/>
          </w:tcPr>
          <w:p w14:paraId="65F3E7C6" w14:textId="77777777" w:rsidR="00DD0D4B" w:rsidRPr="00B536AB" w:rsidRDefault="00E25AE7" w:rsidP="005E1D8B">
            <w:pPr>
              <w:spacing w:after="0" w:line="240" w:lineRule="auto"/>
              <w:jc w:val="center"/>
              <w:rPr>
                <w:rFonts w:ascii="David" w:hAnsi="David" w:cs="David"/>
                <w:color w:val="000000"/>
              </w:rPr>
            </w:pPr>
            <w:r w:rsidRPr="00B536AB">
              <w:rPr>
                <w:rFonts w:ascii="David" w:hAnsi="David" w:cs="David"/>
                <w:color w:val="000000"/>
              </w:rPr>
              <w:t>1,191</w:t>
            </w:r>
          </w:p>
        </w:tc>
        <w:tc>
          <w:tcPr>
            <w:tcW w:w="1566" w:type="dxa"/>
            <w:tcBorders>
              <w:top w:val="single" w:sz="4" w:space="0" w:color="auto"/>
              <w:bottom w:val="single" w:sz="4" w:space="0" w:color="auto"/>
            </w:tcBorders>
            <w:shd w:val="clear" w:color="auto" w:fill="D9D9D9"/>
            <w:noWrap/>
            <w:vAlign w:val="center"/>
          </w:tcPr>
          <w:p w14:paraId="590F7A82" w14:textId="77777777" w:rsidR="00DD0D4B" w:rsidRPr="00B536AB" w:rsidRDefault="00E25AE7" w:rsidP="005E1D8B">
            <w:pPr>
              <w:spacing w:after="0" w:line="240" w:lineRule="auto"/>
              <w:jc w:val="center"/>
              <w:rPr>
                <w:rFonts w:ascii="David" w:hAnsi="David" w:cs="David"/>
                <w:b/>
                <w:bCs/>
                <w:color w:val="000000"/>
              </w:rPr>
            </w:pPr>
            <w:r w:rsidRPr="00B536AB">
              <w:rPr>
                <w:rFonts w:ascii="David" w:hAnsi="David" w:cs="David"/>
                <w:b/>
                <w:bCs/>
                <w:color w:val="000000"/>
              </w:rPr>
              <w:t>:</w:t>
            </w:r>
            <w:r w:rsidR="001E5984" w:rsidRPr="00B536AB">
              <w:rPr>
                <w:rFonts w:ascii="David" w:hAnsi="David" w:cs="David"/>
                <w:b/>
                <w:bCs/>
                <w:color w:val="000000"/>
              </w:rPr>
              <w:t>17</w:t>
            </w:r>
            <w:r w:rsidR="00327CA0" w:rsidRPr="00B536AB">
              <w:rPr>
                <w:rFonts w:ascii="David" w:hAnsi="David" w:cs="David" w:hint="cs"/>
                <w:b/>
                <w:bCs/>
                <w:color w:val="000000"/>
                <w:rtl/>
              </w:rPr>
              <w:t>36</w:t>
            </w:r>
          </w:p>
        </w:tc>
        <w:tc>
          <w:tcPr>
            <w:tcW w:w="1134" w:type="dxa"/>
            <w:tcBorders>
              <w:top w:val="single" w:sz="4" w:space="0" w:color="auto"/>
              <w:bottom w:val="single" w:sz="4" w:space="0" w:color="auto"/>
            </w:tcBorders>
            <w:shd w:val="clear" w:color="auto" w:fill="D9D9D9"/>
            <w:vAlign w:val="center"/>
          </w:tcPr>
          <w:p w14:paraId="41DBB66D" w14:textId="77777777" w:rsidR="00DD0D4B" w:rsidRPr="00B536AB" w:rsidRDefault="00327CA0" w:rsidP="005E1D8B">
            <w:pPr>
              <w:spacing w:after="0" w:line="240" w:lineRule="auto"/>
              <w:jc w:val="center"/>
              <w:rPr>
                <w:rFonts w:ascii="David" w:hAnsi="David" w:cs="David"/>
                <w:color w:val="000000"/>
              </w:rPr>
            </w:pPr>
            <w:r w:rsidRPr="00B536AB">
              <w:rPr>
                <w:rFonts w:ascii="David" w:hAnsi="David" w:cs="David"/>
                <w:color w:val="000000"/>
              </w:rPr>
              <w:t>499</w:t>
            </w:r>
          </w:p>
        </w:tc>
      </w:tr>
      <w:tr w:rsidR="00E0162E" w:rsidRPr="00B536AB" w14:paraId="5B15E9E9" w14:textId="77777777" w:rsidTr="005E1D8B">
        <w:trPr>
          <w:trHeight w:val="300"/>
        </w:trPr>
        <w:tc>
          <w:tcPr>
            <w:tcW w:w="995" w:type="dxa"/>
            <w:tcBorders>
              <w:top w:val="single" w:sz="4" w:space="0" w:color="auto"/>
              <w:bottom w:val="single" w:sz="4" w:space="0" w:color="auto"/>
            </w:tcBorders>
            <w:shd w:val="clear" w:color="auto" w:fill="auto"/>
            <w:noWrap/>
            <w:vAlign w:val="center"/>
          </w:tcPr>
          <w:p w14:paraId="7EB411CE" w14:textId="77777777" w:rsidR="00DD0D4B" w:rsidRPr="00B536AB" w:rsidRDefault="00E25AE7" w:rsidP="005E1D8B">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auto"/>
            <w:noWrap/>
            <w:vAlign w:val="center"/>
          </w:tcPr>
          <w:p w14:paraId="5D1C007F" w14:textId="77777777" w:rsidR="00DD0D4B" w:rsidRPr="00B536AB" w:rsidRDefault="00E25AE7" w:rsidP="005E1D8B">
            <w:pPr>
              <w:spacing w:after="0" w:line="240" w:lineRule="auto"/>
              <w:rPr>
                <w:rFonts w:ascii="David" w:hAnsi="David" w:cs="David"/>
                <w:color w:val="000000"/>
              </w:rPr>
            </w:pPr>
            <w:r w:rsidRPr="00B536AB">
              <w:rPr>
                <w:rFonts w:ascii="David" w:hAnsi="David" w:cs="David"/>
                <w:color w:val="000000"/>
                <w:rtl/>
              </w:rPr>
              <w:t>אזרחי</w:t>
            </w:r>
          </w:p>
        </w:tc>
        <w:tc>
          <w:tcPr>
            <w:tcW w:w="2551" w:type="dxa"/>
            <w:tcBorders>
              <w:top w:val="single" w:sz="4" w:space="0" w:color="auto"/>
              <w:bottom w:val="single" w:sz="4" w:space="0" w:color="auto"/>
            </w:tcBorders>
            <w:shd w:val="clear" w:color="auto" w:fill="auto"/>
            <w:vAlign w:val="center"/>
          </w:tcPr>
          <w:p w14:paraId="164C014C" w14:textId="77777777" w:rsidR="00DD0D4B" w:rsidRPr="00B536AB" w:rsidRDefault="00E25AE7" w:rsidP="005E1D8B">
            <w:pPr>
              <w:spacing w:after="0" w:line="240" w:lineRule="auto"/>
              <w:rPr>
                <w:rFonts w:ascii="David" w:hAnsi="David" w:cs="David"/>
                <w:color w:val="000000"/>
                <w:rtl/>
              </w:rPr>
            </w:pPr>
            <w:r w:rsidRPr="00B536AB">
              <w:rPr>
                <w:rFonts w:ascii="David" w:hAnsi="David" w:cs="David"/>
                <w:color w:val="000000"/>
                <w:rtl/>
              </w:rPr>
              <w:t>תביעה נגזרת (תנ"ג)</w:t>
            </w:r>
            <w:r w:rsidR="00B748A1" w:rsidRPr="00B536AB">
              <w:rPr>
                <w:rFonts w:ascii="David" w:hAnsi="David" w:cs="David" w:hint="cs"/>
                <w:color w:val="000000"/>
                <w:rtl/>
              </w:rPr>
              <w:t>**</w:t>
            </w:r>
          </w:p>
        </w:tc>
        <w:tc>
          <w:tcPr>
            <w:tcW w:w="1551" w:type="dxa"/>
            <w:tcBorders>
              <w:top w:val="single" w:sz="4" w:space="0" w:color="auto"/>
              <w:bottom w:val="single" w:sz="4" w:space="0" w:color="auto"/>
            </w:tcBorders>
            <w:vAlign w:val="center"/>
          </w:tcPr>
          <w:p w14:paraId="7CDA8F6E" w14:textId="77777777" w:rsidR="00DD0D4B" w:rsidRPr="00B536AB" w:rsidRDefault="00E25AE7" w:rsidP="005E1D8B">
            <w:pPr>
              <w:spacing w:after="0" w:line="240" w:lineRule="auto"/>
              <w:jc w:val="center"/>
              <w:rPr>
                <w:rFonts w:ascii="David" w:hAnsi="David" w:cs="David"/>
                <w:color w:val="000000"/>
              </w:rPr>
            </w:pPr>
            <w:r w:rsidRPr="00B536AB">
              <w:rPr>
                <w:rFonts w:ascii="David" w:hAnsi="David" w:cs="David" w:hint="cs"/>
                <w:color w:val="000000"/>
                <w:rtl/>
              </w:rPr>
              <w:t>48</w:t>
            </w:r>
          </w:p>
        </w:tc>
        <w:tc>
          <w:tcPr>
            <w:tcW w:w="1566" w:type="dxa"/>
            <w:tcBorders>
              <w:top w:val="single" w:sz="4" w:space="0" w:color="auto"/>
              <w:bottom w:val="single" w:sz="4" w:space="0" w:color="auto"/>
            </w:tcBorders>
            <w:shd w:val="clear" w:color="auto" w:fill="auto"/>
            <w:noWrap/>
            <w:vAlign w:val="center"/>
          </w:tcPr>
          <w:p w14:paraId="67BD7275" w14:textId="77777777" w:rsidR="00DD0D4B" w:rsidRPr="00B536AB" w:rsidRDefault="00E25AE7" w:rsidP="005E1D8B">
            <w:pPr>
              <w:spacing w:after="0" w:line="240" w:lineRule="auto"/>
              <w:jc w:val="center"/>
              <w:rPr>
                <w:rFonts w:ascii="David" w:hAnsi="David" w:cs="David"/>
                <w:b/>
                <w:bCs/>
                <w:color w:val="000000"/>
              </w:rPr>
            </w:pPr>
            <w:r w:rsidRPr="00B536AB">
              <w:rPr>
                <w:rFonts w:ascii="David" w:hAnsi="David" w:cs="David"/>
                <w:b/>
                <w:bCs/>
                <w:color w:val="000000"/>
              </w:rPr>
              <w:t>3</w:t>
            </w:r>
            <w:r w:rsidR="00327CA0" w:rsidRPr="00B536AB">
              <w:rPr>
                <w:rFonts w:ascii="David" w:hAnsi="David" w:cs="David"/>
                <w:b/>
                <w:bCs/>
                <w:color w:val="000000"/>
              </w:rPr>
              <w:t>3</w:t>
            </w:r>
            <w:r w:rsidRPr="00B536AB">
              <w:rPr>
                <w:rFonts w:ascii="David" w:hAnsi="David" w:cs="David"/>
                <w:b/>
                <w:bCs/>
                <w:color w:val="000000"/>
              </w:rPr>
              <w:t>:</w:t>
            </w:r>
            <w:r w:rsidR="00327CA0" w:rsidRPr="00B536AB">
              <w:rPr>
                <w:rFonts w:ascii="David" w:hAnsi="David" w:cs="David"/>
                <w:b/>
                <w:bCs/>
                <w:color w:val="000000"/>
              </w:rPr>
              <w:t>03</w:t>
            </w:r>
          </w:p>
        </w:tc>
        <w:tc>
          <w:tcPr>
            <w:tcW w:w="1134" w:type="dxa"/>
            <w:tcBorders>
              <w:top w:val="single" w:sz="4" w:space="0" w:color="auto"/>
              <w:bottom w:val="single" w:sz="4" w:space="0" w:color="auto"/>
            </w:tcBorders>
            <w:vAlign w:val="center"/>
          </w:tcPr>
          <w:p w14:paraId="69DCEA50" w14:textId="77777777" w:rsidR="00DD0D4B" w:rsidRPr="00B536AB" w:rsidRDefault="00327CA0" w:rsidP="005E1D8B">
            <w:pPr>
              <w:spacing w:after="0" w:line="240" w:lineRule="auto"/>
              <w:jc w:val="center"/>
              <w:rPr>
                <w:rFonts w:ascii="David" w:hAnsi="David" w:cs="David"/>
                <w:color w:val="000000"/>
              </w:rPr>
            </w:pPr>
            <w:r w:rsidRPr="00B536AB">
              <w:rPr>
                <w:rFonts w:ascii="David" w:hAnsi="David" w:cs="David"/>
                <w:color w:val="000000"/>
              </w:rPr>
              <w:t>454</w:t>
            </w:r>
          </w:p>
        </w:tc>
      </w:tr>
      <w:tr w:rsidR="00E0162E" w:rsidRPr="00B536AB" w14:paraId="121096E8" w14:textId="77777777" w:rsidTr="005E1D8B">
        <w:trPr>
          <w:trHeight w:val="467"/>
        </w:trPr>
        <w:tc>
          <w:tcPr>
            <w:tcW w:w="995" w:type="dxa"/>
            <w:tcBorders>
              <w:top w:val="single" w:sz="4" w:space="0" w:color="auto"/>
              <w:bottom w:val="single" w:sz="4" w:space="0" w:color="auto"/>
            </w:tcBorders>
            <w:shd w:val="clear" w:color="auto" w:fill="D9D9D9"/>
            <w:noWrap/>
            <w:vAlign w:val="center"/>
          </w:tcPr>
          <w:p w14:paraId="72BB6A3B" w14:textId="77777777" w:rsidR="00DD0D4B" w:rsidRPr="00B536AB" w:rsidRDefault="00E25AE7" w:rsidP="005E1D8B">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D9D9D9"/>
            <w:noWrap/>
            <w:vAlign w:val="center"/>
          </w:tcPr>
          <w:p w14:paraId="1AE74A6E" w14:textId="77777777" w:rsidR="00DD0D4B" w:rsidRPr="00B536AB" w:rsidRDefault="00E25AE7" w:rsidP="005E1D8B">
            <w:pPr>
              <w:spacing w:after="0" w:line="240" w:lineRule="auto"/>
              <w:rPr>
                <w:rFonts w:ascii="David" w:hAnsi="David" w:cs="David"/>
                <w:color w:val="000000"/>
              </w:rPr>
            </w:pPr>
            <w:r w:rsidRPr="00B536AB">
              <w:rPr>
                <w:rFonts w:ascii="David" w:hAnsi="David" w:cs="David"/>
                <w:color w:val="000000"/>
                <w:rtl/>
              </w:rPr>
              <w:t>אזרחי</w:t>
            </w:r>
          </w:p>
        </w:tc>
        <w:tc>
          <w:tcPr>
            <w:tcW w:w="2551" w:type="dxa"/>
            <w:tcBorders>
              <w:top w:val="single" w:sz="4" w:space="0" w:color="auto"/>
              <w:bottom w:val="single" w:sz="4" w:space="0" w:color="auto"/>
            </w:tcBorders>
            <w:shd w:val="clear" w:color="auto" w:fill="D9D9D9"/>
            <w:vAlign w:val="center"/>
          </w:tcPr>
          <w:p w14:paraId="361F0E24" w14:textId="77777777" w:rsidR="00DD0D4B" w:rsidRPr="00B536AB" w:rsidRDefault="00E25AE7" w:rsidP="005E1D8B">
            <w:pPr>
              <w:spacing w:after="0" w:line="240" w:lineRule="auto"/>
              <w:rPr>
                <w:rFonts w:ascii="David" w:hAnsi="David" w:cs="David"/>
                <w:color w:val="000000"/>
                <w:rtl/>
              </w:rPr>
            </w:pPr>
            <w:r w:rsidRPr="00B536AB">
              <w:rPr>
                <w:rFonts w:ascii="David" w:hAnsi="David" w:cs="David"/>
                <w:color w:val="000000"/>
                <w:rtl/>
              </w:rPr>
              <w:t>תיק אזרחי בסדר דין רגיל (ת"א) - נזקי גוף - חבויות</w:t>
            </w:r>
          </w:p>
        </w:tc>
        <w:tc>
          <w:tcPr>
            <w:tcW w:w="1551" w:type="dxa"/>
            <w:tcBorders>
              <w:top w:val="single" w:sz="4" w:space="0" w:color="auto"/>
              <w:bottom w:val="single" w:sz="4" w:space="0" w:color="auto"/>
            </w:tcBorders>
            <w:shd w:val="clear" w:color="auto" w:fill="D9D9D9"/>
            <w:vAlign w:val="center"/>
          </w:tcPr>
          <w:p w14:paraId="606E4D0C" w14:textId="77777777" w:rsidR="00DD0D4B" w:rsidRPr="00B536AB" w:rsidRDefault="00E25AE7" w:rsidP="005E1D8B">
            <w:pPr>
              <w:spacing w:after="0" w:line="240" w:lineRule="auto"/>
              <w:jc w:val="center"/>
              <w:rPr>
                <w:rFonts w:ascii="David" w:hAnsi="David" w:cs="David"/>
                <w:color w:val="000000"/>
              </w:rPr>
            </w:pPr>
            <w:r w:rsidRPr="00B536AB">
              <w:rPr>
                <w:rFonts w:ascii="David" w:hAnsi="David" w:cs="David"/>
                <w:color w:val="000000"/>
              </w:rPr>
              <w:t>453</w:t>
            </w:r>
          </w:p>
        </w:tc>
        <w:tc>
          <w:tcPr>
            <w:tcW w:w="1566" w:type="dxa"/>
            <w:tcBorders>
              <w:top w:val="single" w:sz="4" w:space="0" w:color="auto"/>
              <w:bottom w:val="single" w:sz="4" w:space="0" w:color="auto"/>
            </w:tcBorders>
            <w:shd w:val="clear" w:color="auto" w:fill="D9D9D9"/>
            <w:noWrap/>
            <w:vAlign w:val="center"/>
          </w:tcPr>
          <w:p w14:paraId="028EBAA0" w14:textId="77777777" w:rsidR="00DD0D4B" w:rsidRPr="00B536AB" w:rsidRDefault="00327CA0" w:rsidP="005E1D8B">
            <w:pPr>
              <w:spacing w:after="0" w:line="240" w:lineRule="auto"/>
              <w:jc w:val="center"/>
              <w:rPr>
                <w:rFonts w:ascii="David" w:hAnsi="David" w:cs="David"/>
                <w:b/>
                <w:bCs/>
                <w:color w:val="000000"/>
              </w:rPr>
            </w:pPr>
            <w:r w:rsidRPr="00B536AB">
              <w:rPr>
                <w:rFonts w:ascii="David" w:hAnsi="David" w:cs="David"/>
                <w:b/>
                <w:bCs/>
                <w:color w:val="000000"/>
              </w:rPr>
              <w:t>27</w:t>
            </w:r>
            <w:r w:rsidR="00E25AE7" w:rsidRPr="00B536AB">
              <w:rPr>
                <w:rFonts w:ascii="David" w:hAnsi="David" w:cs="David"/>
                <w:b/>
                <w:bCs/>
                <w:color w:val="000000"/>
              </w:rPr>
              <w:t>:2</w:t>
            </w:r>
            <w:r w:rsidRPr="00B536AB">
              <w:rPr>
                <w:rFonts w:ascii="David" w:hAnsi="David" w:cs="David"/>
                <w:b/>
                <w:bCs/>
                <w:color w:val="000000"/>
              </w:rPr>
              <w:t>7</w:t>
            </w:r>
          </w:p>
        </w:tc>
        <w:tc>
          <w:tcPr>
            <w:tcW w:w="1134" w:type="dxa"/>
            <w:tcBorders>
              <w:top w:val="single" w:sz="4" w:space="0" w:color="auto"/>
              <w:bottom w:val="single" w:sz="4" w:space="0" w:color="auto"/>
            </w:tcBorders>
            <w:shd w:val="clear" w:color="auto" w:fill="D9D9D9"/>
            <w:vAlign w:val="center"/>
          </w:tcPr>
          <w:p w14:paraId="389A49DE" w14:textId="77777777" w:rsidR="00DD0D4B" w:rsidRPr="00B536AB" w:rsidRDefault="00327CA0" w:rsidP="005E1D8B">
            <w:pPr>
              <w:spacing w:after="0" w:line="240" w:lineRule="auto"/>
              <w:jc w:val="center"/>
              <w:rPr>
                <w:rFonts w:ascii="David" w:hAnsi="David" w:cs="David"/>
                <w:color w:val="000000"/>
                <w:rtl/>
              </w:rPr>
            </w:pPr>
            <w:r w:rsidRPr="00B536AB">
              <w:rPr>
                <w:rFonts w:ascii="David" w:hAnsi="David" w:cs="David" w:hint="cs"/>
                <w:color w:val="000000"/>
                <w:rtl/>
              </w:rPr>
              <w:t>377</w:t>
            </w:r>
          </w:p>
        </w:tc>
      </w:tr>
      <w:tr w:rsidR="001E5984" w:rsidRPr="00B536AB" w14:paraId="12DA1E00" w14:textId="77777777" w:rsidTr="005E1D8B">
        <w:trPr>
          <w:trHeight w:val="321"/>
        </w:trPr>
        <w:tc>
          <w:tcPr>
            <w:tcW w:w="995" w:type="dxa"/>
            <w:tcBorders>
              <w:top w:val="single" w:sz="4" w:space="0" w:color="auto"/>
              <w:bottom w:val="single" w:sz="4" w:space="0" w:color="auto"/>
            </w:tcBorders>
            <w:shd w:val="clear" w:color="auto" w:fill="auto"/>
            <w:noWrap/>
            <w:vAlign w:val="center"/>
          </w:tcPr>
          <w:p w14:paraId="2179F0D0"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auto"/>
            <w:noWrap/>
            <w:vAlign w:val="center"/>
          </w:tcPr>
          <w:p w14:paraId="5E182DAF"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עניינים מנהליים/</w:t>
            </w:r>
            <w:r w:rsidRPr="00B536AB">
              <w:rPr>
                <w:rFonts w:ascii="David" w:hAnsi="David" w:cs="David" w:hint="cs"/>
                <w:color w:val="000000"/>
                <w:rtl/>
              </w:rPr>
              <w:t xml:space="preserve"> </w:t>
            </w:r>
            <w:r w:rsidRPr="00B536AB">
              <w:rPr>
                <w:rFonts w:ascii="David" w:hAnsi="David" w:cs="David"/>
                <w:color w:val="000000"/>
                <w:rtl/>
              </w:rPr>
              <w:t>אזרחי</w:t>
            </w:r>
          </w:p>
        </w:tc>
        <w:tc>
          <w:tcPr>
            <w:tcW w:w="2551" w:type="dxa"/>
            <w:tcBorders>
              <w:top w:val="single" w:sz="4" w:space="0" w:color="auto"/>
              <w:bottom w:val="single" w:sz="4" w:space="0" w:color="auto"/>
            </w:tcBorders>
            <w:shd w:val="clear" w:color="auto" w:fill="auto"/>
            <w:vAlign w:val="center"/>
          </w:tcPr>
          <w:p w14:paraId="609D6F69" w14:textId="77777777" w:rsidR="001E5984" w:rsidRPr="00B536AB" w:rsidRDefault="001E5984" w:rsidP="005E1D8B">
            <w:pPr>
              <w:spacing w:after="0" w:line="240" w:lineRule="auto"/>
              <w:rPr>
                <w:rFonts w:ascii="David" w:hAnsi="David" w:cs="David"/>
                <w:color w:val="000000"/>
                <w:rtl/>
              </w:rPr>
            </w:pPr>
            <w:r w:rsidRPr="00B536AB">
              <w:rPr>
                <w:rFonts w:ascii="David" w:hAnsi="David" w:cs="David"/>
                <w:color w:val="000000"/>
                <w:rtl/>
              </w:rPr>
              <w:t>תובענה ייצוגית (ת"צ)</w:t>
            </w:r>
          </w:p>
        </w:tc>
        <w:tc>
          <w:tcPr>
            <w:tcW w:w="1551" w:type="dxa"/>
            <w:tcBorders>
              <w:top w:val="single" w:sz="4" w:space="0" w:color="auto"/>
              <w:bottom w:val="single" w:sz="4" w:space="0" w:color="auto"/>
            </w:tcBorders>
            <w:vAlign w:val="center"/>
          </w:tcPr>
          <w:p w14:paraId="12C7EB02" w14:textId="77777777" w:rsidR="001E5984" w:rsidRPr="00B536AB" w:rsidRDefault="001E5984" w:rsidP="005E1D8B">
            <w:pPr>
              <w:spacing w:after="0" w:line="240" w:lineRule="auto"/>
              <w:jc w:val="center"/>
              <w:rPr>
                <w:rFonts w:asciiTheme="minorHAnsi" w:hAnsiTheme="minorHAnsi" w:cs="David"/>
                <w:color w:val="000000"/>
              </w:rPr>
            </w:pPr>
            <w:r w:rsidRPr="00B536AB">
              <w:rPr>
                <w:rFonts w:ascii="David" w:hAnsi="David" w:cs="David"/>
                <w:color w:val="000000"/>
              </w:rPr>
              <w:t>922</w:t>
            </w:r>
          </w:p>
        </w:tc>
        <w:tc>
          <w:tcPr>
            <w:tcW w:w="1566" w:type="dxa"/>
            <w:tcBorders>
              <w:top w:val="single" w:sz="4" w:space="0" w:color="auto"/>
              <w:bottom w:val="single" w:sz="4" w:space="0" w:color="auto"/>
            </w:tcBorders>
            <w:shd w:val="clear" w:color="auto" w:fill="auto"/>
            <w:noWrap/>
            <w:vAlign w:val="center"/>
          </w:tcPr>
          <w:p w14:paraId="1A8F79BB" w14:textId="77777777" w:rsidR="001E5984" w:rsidRPr="00B536AB" w:rsidRDefault="001E5984" w:rsidP="005E1D8B">
            <w:pPr>
              <w:spacing w:after="0" w:line="240" w:lineRule="auto"/>
              <w:jc w:val="center"/>
              <w:rPr>
                <w:rFonts w:ascii="David" w:hAnsi="David" w:cs="David"/>
                <w:b/>
                <w:bCs/>
                <w:color w:val="000000"/>
              </w:rPr>
            </w:pPr>
            <w:r w:rsidRPr="00B536AB">
              <w:rPr>
                <w:rFonts w:ascii="David" w:hAnsi="David" w:cs="David" w:hint="cs"/>
                <w:b/>
                <w:bCs/>
                <w:color w:val="000000"/>
                <w:rtl/>
              </w:rPr>
              <w:t>24:58</w:t>
            </w:r>
          </w:p>
        </w:tc>
        <w:tc>
          <w:tcPr>
            <w:tcW w:w="1134" w:type="dxa"/>
            <w:tcBorders>
              <w:top w:val="single" w:sz="4" w:space="0" w:color="auto"/>
              <w:bottom w:val="single" w:sz="4" w:space="0" w:color="auto"/>
            </w:tcBorders>
            <w:vAlign w:val="center"/>
          </w:tcPr>
          <w:p w14:paraId="0D3DB1C9"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hint="cs"/>
                <w:color w:val="000000"/>
                <w:rtl/>
              </w:rPr>
              <w:t>343</w:t>
            </w:r>
          </w:p>
        </w:tc>
      </w:tr>
      <w:tr w:rsidR="001E5984" w:rsidRPr="00B536AB" w14:paraId="6ED3716F" w14:textId="77777777" w:rsidTr="005E1D8B">
        <w:trPr>
          <w:trHeight w:val="321"/>
        </w:trPr>
        <w:tc>
          <w:tcPr>
            <w:tcW w:w="995" w:type="dxa"/>
            <w:tcBorders>
              <w:top w:val="single" w:sz="4" w:space="0" w:color="auto"/>
              <w:bottom w:val="single" w:sz="4" w:space="0" w:color="auto"/>
            </w:tcBorders>
            <w:shd w:val="clear" w:color="auto" w:fill="D0CECE" w:themeFill="background2" w:themeFillShade="E6"/>
            <w:noWrap/>
            <w:vAlign w:val="center"/>
          </w:tcPr>
          <w:p w14:paraId="54BD9F65"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D0CECE" w:themeFill="background2" w:themeFillShade="E6"/>
            <w:noWrap/>
            <w:vAlign w:val="center"/>
          </w:tcPr>
          <w:p w14:paraId="0998C4C7"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אזרחי</w:t>
            </w:r>
          </w:p>
        </w:tc>
        <w:tc>
          <w:tcPr>
            <w:tcW w:w="2551" w:type="dxa"/>
            <w:tcBorders>
              <w:top w:val="single" w:sz="4" w:space="0" w:color="auto"/>
              <w:bottom w:val="single" w:sz="4" w:space="0" w:color="auto"/>
            </w:tcBorders>
            <w:shd w:val="clear" w:color="auto" w:fill="D0CECE" w:themeFill="background2" w:themeFillShade="E6"/>
            <w:vAlign w:val="center"/>
          </w:tcPr>
          <w:p w14:paraId="44C1CD06" w14:textId="77777777" w:rsidR="001E5984" w:rsidRPr="00B536AB" w:rsidRDefault="001E5984" w:rsidP="005E1D8B">
            <w:pPr>
              <w:spacing w:after="0" w:line="240" w:lineRule="auto"/>
              <w:rPr>
                <w:rFonts w:ascii="David" w:hAnsi="David" w:cs="David"/>
                <w:color w:val="000000"/>
                <w:rtl/>
              </w:rPr>
            </w:pPr>
            <w:r w:rsidRPr="00B536AB">
              <w:rPr>
                <w:rFonts w:ascii="David" w:hAnsi="David" w:cs="David"/>
                <w:color w:val="000000"/>
                <w:rtl/>
              </w:rPr>
              <w:t>תיק אזרחי בסדר דין רגיל (ת"א) - נזקי גוף - רשלנות רפואית</w:t>
            </w:r>
            <w:r w:rsidR="00AB17E5" w:rsidRPr="00B536AB">
              <w:rPr>
                <w:rFonts w:ascii="David" w:hAnsi="David" w:cs="David" w:hint="cs"/>
                <w:color w:val="000000"/>
                <w:rtl/>
              </w:rPr>
              <w:t>**</w:t>
            </w:r>
          </w:p>
        </w:tc>
        <w:tc>
          <w:tcPr>
            <w:tcW w:w="1551" w:type="dxa"/>
            <w:tcBorders>
              <w:top w:val="single" w:sz="4" w:space="0" w:color="auto"/>
              <w:bottom w:val="single" w:sz="4" w:space="0" w:color="auto"/>
            </w:tcBorders>
            <w:shd w:val="clear" w:color="auto" w:fill="D0CECE" w:themeFill="background2" w:themeFillShade="E6"/>
            <w:vAlign w:val="center"/>
          </w:tcPr>
          <w:p w14:paraId="59E34B00"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hint="cs"/>
                <w:color w:val="000000"/>
                <w:rtl/>
              </w:rPr>
              <w:t>565</w:t>
            </w:r>
          </w:p>
        </w:tc>
        <w:tc>
          <w:tcPr>
            <w:tcW w:w="1566" w:type="dxa"/>
            <w:tcBorders>
              <w:top w:val="single" w:sz="4" w:space="0" w:color="auto"/>
              <w:bottom w:val="single" w:sz="4" w:space="0" w:color="auto"/>
            </w:tcBorders>
            <w:shd w:val="clear" w:color="auto" w:fill="D0CECE" w:themeFill="background2" w:themeFillShade="E6"/>
            <w:noWrap/>
            <w:vAlign w:val="center"/>
          </w:tcPr>
          <w:p w14:paraId="7FC12772" w14:textId="77777777" w:rsidR="001E5984" w:rsidRPr="00B536AB" w:rsidRDefault="001E5984" w:rsidP="005E1D8B">
            <w:pPr>
              <w:spacing w:after="0" w:line="240" w:lineRule="auto"/>
              <w:jc w:val="center"/>
              <w:rPr>
                <w:rFonts w:ascii="David" w:hAnsi="David" w:cs="David"/>
                <w:b/>
                <w:bCs/>
                <w:color w:val="000000"/>
              </w:rPr>
            </w:pPr>
            <w:r w:rsidRPr="00B536AB">
              <w:rPr>
                <w:rFonts w:ascii="David" w:hAnsi="David" w:cs="David" w:hint="cs"/>
                <w:b/>
                <w:bCs/>
                <w:color w:val="000000"/>
                <w:rtl/>
              </w:rPr>
              <w:t>23:00</w:t>
            </w:r>
          </w:p>
        </w:tc>
        <w:tc>
          <w:tcPr>
            <w:tcW w:w="1134" w:type="dxa"/>
            <w:tcBorders>
              <w:top w:val="single" w:sz="4" w:space="0" w:color="auto"/>
              <w:bottom w:val="single" w:sz="4" w:space="0" w:color="auto"/>
            </w:tcBorders>
            <w:shd w:val="clear" w:color="auto" w:fill="D0CECE" w:themeFill="background2" w:themeFillShade="E6"/>
            <w:vAlign w:val="center"/>
          </w:tcPr>
          <w:p w14:paraId="3013488F"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hint="cs"/>
                <w:color w:val="000000"/>
                <w:rtl/>
              </w:rPr>
              <w:t>316</w:t>
            </w:r>
          </w:p>
        </w:tc>
      </w:tr>
      <w:tr w:rsidR="001E5984" w:rsidRPr="00B536AB" w14:paraId="63208B48" w14:textId="77777777" w:rsidTr="005E1D8B">
        <w:trPr>
          <w:trHeight w:val="321"/>
        </w:trPr>
        <w:tc>
          <w:tcPr>
            <w:tcW w:w="995" w:type="dxa"/>
            <w:tcBorders>
              <w:top w:val="single" w:sz="4" w:space="0" w:color="auto"/>
              <w:bottom w:val="single" w:sz="4" w:space="0" w:color="auto"/>
            </w:tcBorders>
            <w:shd w:val="clear" w:color="auto" w:fill="auto"/>
            <w:noWrap/>
            <w:vAlign w:val="center"/>
          </w:tcPr>
          <w:p w14:paraId="40B3A736"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auto"/>
            <w:noWrap/>
            <w:vAlign w:val="center"/>
          </w:tcPr>
          <w:p w14:paraId="47228E12"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אזרחי</w:t>
            </w:r>
          </w:p>
        </w:tc>
        <w:tc>
          <w:tcPr>
            <w:tcW w:w="2551" w:type="dxa"/>
            <w:tcBorders>
              <w:top w:val="single" w:sz="4" w:space="0" w:color="auto"/>
              <w:bottom w:val="single" w:sz="4" w:space="0" w:color="auto"/>
            </w:tcBorders>
            <w:shd w:val="clear" w:color="auto" w:fill="auto"/>
            <w:vAlign w:val="center"/>
          </w:tcPr>
          <w:p w14:paraId="13B11F02" w14:textId="77777777" w:rsidR="001E5984" w:rsidRPr="00B536AB" w:rsidRDefault="001E5984" w:rsidP="005E1D8B">
            <w:pPr>
              <w:spacing w:after="0" w:line="240" w:lineRule="auto"/>
              <w:rPr>
                <w:rFonts w:ascii="David" w:hAnsi="David" w:cs="David"/>
                <w:color w:val="000000"/>
                <w:rtl/>
              </w:rPr>
            </w:pPr>
            <w:r w:rsidRPr="00B536AB">
              <w:rPr>
                <w:rFonts w:ascii="David" w:hAnsi="David" w:cs="David"/>
                <w:color w:val="000000"/>
                <w:rtl/>
              </w:rPr>
              <w:t>תיק אזרחי בסדר דין רגיל (ת"א) -</w:t>
            </w:r>
            <w:r w:rsidRPr="00B536AB">
              <w:rPr>
                <w:rFonts w:ascii="David" w:hAnsi="David" w:cs="David" w:hint="cs"/>
                <w:color w:val="000000"/>
                <w:rtl/>
              </w:rPr>
              <w:t>משוקלל</w:t>
            </w:r>
          </w:p>
        </w:tc>
        <w:tc>
          <w:tcPr>
            <w:tcW w:w="1551" w:type="dxa"/>
            <w:tcBorders>
              <w:top w:val="single" w:sz="4" w:space="0" w:color="auto"/>
              <w:bottom w:val="single" w:sz="4" w:space="0" w:color="auto"/>
            </w:tcBorders>
            <w:vAlign w:val="center"/>
          </w:tcPr>
          <w:p w14:paraId="0CFF5ABC"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hint="cs"/>
                <w:color w:val="000000"/>
                <w:rtl/>
              </w:rPr>
              <w:t>4,881</w:t>
            </w:r>
          </w:p>
        </w:tc>
        <w:tc>
          <w:tcPr>
            <w:tcW w:w="1566" w:type="dxa"/>
            <w:tcBorders>
              <w:top w:val="single" w:sz="4" w:space="0" w:color="auto"/>
              <w:bottom w:val="single" w:sz="4" w:space="0" w:color="auto"/>
            </w:tcBorders>
            <w:shd w:val="clear" w:color="auto" w:fill="auto"/>
            <w:noWrap/>
            <w:vAlign w:val="center"/>
          </w:tcPr>
          <w:p w14:paraId="3B488AF4" w14:textId="77777777" w:rsidR="001E5984" w:rsidRPr="00B536AB" w:rsidRDefault="001E5984" w:rsidP="005E1D8B">
            <w:pPr>
              <w:spacing w:after="0" w:line="240" w:lineRule="auto"/>
              <w:jc w:val="center"/>
              <w:rPr>
                <w:rFonts w:ascii="David" w:hAnsi="David" w:cs="David"/>
                <w:b/>
                <w:bCs/>
                <w:color w:val="000000"/>
              </w:rPr>
            </w:pPr>
            <w:r w:rsidRPr="00B536AB">
              <w:rPr>
                <w:rFonts w:ascii="David" w:hAnsi="David" w:cs="David" w:hint="cs"/>
                <w:b/>
                <w:bCs/>
                <w:color w:val="000000"/>
                <w:rtl/>
              </w:rPr>
              <w:t>21:21</w:t>
            </w:r>
          </w:p>
        </w:tc>
        <w:tc>
          <w:tcPr>
            <w:tcW w:w="1134" w:type="dxa"/>
            <w:tcBorders>
              <w:top w:val="single" w:sz="4" w:space="0" w:color="auto"/>
              <w:bottom w:val="single" w:sz="4" w:space="0" w:color="auto"/>
            </w:tcBorders>
            <w:vAlign w:val="center"/>
          </w:tcPr>
          <w:p w14:paraId="6907965E"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hint="cs"/>
                <w:color w:val="000000"/>
                <w:rtl/>
              </w:rPr>
              <w:t>293</w:t>
            </w:r>
          </w:p>
        </w:tc>
      </w:tr>
      <w:tr w:rsidR="001E5984" w:rsidRPr="00B536AB" w14:paraId="25FB6318" w14:textId="77777777" w:rsidTr="005E1D8B">
        <w:trPr>
          <w:trHeight w:val="300"/>
        </w:trPr>
        <w:tc>
          <w:tcPr>
            <w:tcW w:w="995" w:type="dxa"/>
            <w:tcBorders>
              <w:top w:val="single" w:sz="4" w:space="0" w:color="auto"/>
              <w:bottom w:val="single" w:sz="4" w:space="0" w:color="auto"/>
            </w:tcBorders>
            <w:shd w:val="clear" w:color="auto" w:fill="D9D9D9"/>
            <w:noWrap/>
            <w:vAlign w:val="center"/>
          </w:tcPr>
          <w:p w14:paraId="728C4203"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D9D9D9"/>
            <w:noWrap/>
            <w:vAlign w:val="center"/>
          </w:tcPr>
          <w:p w14:paraId="09CD6CC5"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אזרחי</w:t>
            </w:r>
          </w:p>
        </w:tc>
        <w:tc>
          <w:tcPr>
            <w:tcW w:w="2551" w:type="dxa"/>
            <w:tcBorders>
              <w:top w:val="single" w:sz="4" w:space="0" w:color="auto"/>
              <w:bottom w:val="single" w:sz="4" w:space="0" w:color="auto"/>
            </w:tcBorders>
            <w:shd w:val="clear" w:color="auto" w:fill="D9D9D9"/>
            <w:vAlign w:val="center"/>
          </w:tcPr>
          <w:p w14:paraId="28D288D3" w14:textId="77777777" w:rsidR="001E5984" w:rsidRPr="00B536AB" w:rsidRDefault="001E5984" w:rsidP="005E1D8B">
            <w:pPr>
              <w:spacing w:after="0" w:line="240" w:lineRule="auto"/>
              <w:rPr>
                <w:rFonts w:ascii="David" w:hAnsi="David" w:cs="David"/>
                <w:color w:val="000000"/>
                <w:rtl/>
              </w:rPr>
            </w:pPr>
            <w:r w:rsidRPr="00B536AB">
              <w:rPr>
                <w:rFonts w:ascii="David" w:hAnsi="David" w:cs="David"/>
                <w:color w:val="000000"/>
                <w:rtl/>
              </w:rPr>
              <w:t>תיק אזרחי בסדר דין רגיל (ת"א) - פלת"ד</w:t>
            </w:r>
          </w:p>
        </w:tc>
        <w:tc>
          <w:tcPr>
            <w:tcW w:w="1551" w:type="dxa"/>
            <w:tcBorders>
              <w:top w:val="single" w:sz="4" w:space="0" w:color="auto"/>
              <w:bottom w:val="single" w:sz="4" w:space="0" w:color="auto"/>
            </w:tcBorders>
            <w:shd w:val="clear" w:color="auto" w:fill="D9D9D9"/>
            <w:vAlign w:val="center"/>
          </w:tcPr>
          <w:p w14:paraId="2FD7D687"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color w:val="000000"/>
              </w:rPr>
              <w:t>353</w:t>
            </w:r>
          </w:p>
        </w:tc>
        <w:tc>
          <w:tcPr>
            <w:tcW w:w="1566" w:type="dxa"/>
            <w:tcBorders>
              <w:top w:val="single" w:sz="4" w:space="0" w:color="auto"/>
              <w:bottom w:val="single" w:sz="4" w:space="0" w:color="auto"/>
            </w:tcBorders>
            <w:shd w:val="clear" w:color="auto" w:fill="D9D9D9"/>
            <w:noWrap/>
            <w:vAlign w:val="center"/>
          </w:tcPr>
          <w:p w14:paraId="064DC4A6" w14:textId="77777777" w:rsidR="001E5984" w:rsidRPr="00B536AB" w:rsidRDefault="001E5984" w:rsidP="005E1D8B">
            <w:pPr>
              <w:spacing w:after="0" w:line="240" w:lineRule="auto"/>
              <w:jc w:val="center"/>
              <w:rPr>
                <w:rFonts w:ascii="David" w:hAnsi="David" w:cs="David"/>
                <w:b/>
                <w:bCs/>
                <w:color w:val="000000"/>
              </w:rPr>
            </w:pPr>
            <w:r w:rsidRPr="00B536AB">
              <w:rPr>
                <w:rFonts w:ascii="David" w:hAnsi="David" w:cs="David" w:hint="cs"/>
                <w:b/>
                <w:bCs/>
                <w:color w:val="000000"/>
                <w:rtl/>
              </w:rPr>
              <w:t>17:49</w:t>
            </w:r>
          </w:p>
        </w:tc>
        <w:tc>
          <w:tcPr>
            <w:tcW w:w="1134" w:type="dxa"/>
            <w:tcBorders>
              <w:top w:val="single" w:sz="4" w:space="0" w:color="auto"/>
              <w:bottom w:val="single" w:sz="4" w:space="0" w:color="auto"/>
            </w:tcBorders>
            <w:shd w:val="clear" w:color="auto" w:fill="D9D9D9"/>
            <w:vAlign w:val="center"/>
          </w:tcPr>
          <w:p w14:paraId="707DD258"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hint="cs"/>
                <w:color w:val="000000"/>
                <w:rtl/>
              </w:rPr>
              <w:t>245</w:t>
            </w:r>
          </w:p>
        </w:tc>
      </w:tr>
      <w:tr w:rsidR="001E5984" w:rsidRPr="00B536AB" w14:paraId="607D7ADA" w14:textId="77777777" w:rsidTr="005E1D8B">
        <w:trPr>
          <w:trHeight w:val="600"/>
        </w:trPr>
        <w:tc>
          <w:tcPr>
            <w:tcW w:w="995" w:type="dxa"/>
            <w:tcBorders>
              <w:top w:val="single" w:sz="4" w:space="0" w:color="auto"/>
              <w:bottom w:val="single" w:sz="4" w:space="0" w:color="auto"/>
            </w:tcBorders>
            <w:shd w:val="clear" w:color="auto" w:fill="auto"/>
            <w:noWrap/>
            <w:vAlign w:val="center"/>
          </w:tcPr>
          <w:p w14:paraId="38156390"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auto"/>
            <w:noWrap/>
            <w:vAlign w:val="center"/>
          </w:tcPr>
          <w:p w14:paraId="27996EF8"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אזרחי</w:t>
            </w:r>
          </w:p>
        </w:tc>
        <w:tc>
          <w:tcPr>
            <w:tcW w:w="2551" w:type="dxa"/>
            <w:tcBorders>
              <w:top w:val="single" w:sz="4" w:space="0" w:color="auto"/>
              <w:bottom w:val="single" w:sz="4" w:space="0" w:color="auto"/>
            </w:tcBorders>
            <w:shd w:val="clear" w:color="auto" w:fill="auto"/>
            <w:vAlign w:val="center"/>
          </w:tcPr>
          <w:p w14:paraId="4442E9E6" w14:textId="77777777" w:rsidR="001E5984" w:rsidRPr="00B536AB" w:rsidRDefault="001E5984" w:rsidP="005E1D8B">
            <w:pPr>
              <w:spacing w:after="0" w:line="240" w:lineRule="auto"/>
              <w:rPr>
                <w:rFonts w:ascii="David" w:hAnsi="David" w:cs="David"/>
                <w:color w:val="000000"/>
                <w:rtl/>
              </w:rPr>
            </w:pPr>
            <w:r w:rsidRPr="00B536AB">
              <w:rPr>
                <w:rFonts w:ascii="David" w:hAnsi="David" w:cs="David"/>
                <w:color w:val="000000"/>
                <w:rtl/>
              </w:rPr>
              <w:t>תיק אזרחי בסדר דין רגיל (ת"א) - תקנה 3 (אגרות)</w:t>
            </w:r>
          </w:p>
        </w:tc>
        <w:tc>
          <w:tcPr>
            <w:tcW w:w="1551" w:type="dxa"/>
            <w:tcBorders>
              <w:top w:val="single" w:sz="4" w:space="0" w:color="auto"/>
              <w:bottom w:val="single" w:sz="4" w:space="0" w:color="auto"/>
            </w:tcBorders>
            <w:vAlign w:val="center"/>
          </w:tcPr>
          <w:p w14:paraId="5613F32C" w14:textId="77777777" w:rsidR="001E5984" w:rsidRPr="00B536AB" w:rsidRDefault="001E5984" w:rsidP="005E1D8B">
            <w:pPr>
              <w:spacing w:after="0" w:line="240" w:lineRule="auto"/>
              <w:jc w:val="center"/>
              <w:rPr>
                <w:rFonts w:ascii="David" w:hAnsi="David" w:cs="David"/>
                <w:color w:val="000000"/>
                <w:rtl/>
              </w:rPr>
            </w:pPr>
            <w:r w:rsidRPr="00B536AB">
              <w:rPr>
                <w:rFonts w:ascii="David" w:hAnsi="David" w:cs="David"/>
                <w:color w:val="000000"/>
              </w:rPr>
              <w:t>1,272</w:t>
            </w:r>
          </w:p>
        </w:tc>
        <w:tc>
          <w:tcPr>
            <w:tcW w:w="1566" w:type="dxa"/>
            <w:tcBorders>
              <w:top w:val="single" w:sz="4" w:space="0" w:color="auto"/>
              <w:bottom w:val="single" w:sz="4" w:space="0" w:color="auto"/>
            </w:tcBorders>
            <w:shd w:val="clear" w:color="auto" w:fill="auto"/>
            <w:noWrap/>
            <w:vAlign w:val="center"/>
          </w:tcPr>
          <w:p w14:paraId="5664B7EC" w14:textId="77777777" w:rsidR="001E5984" w:rsidRPr="00B536AB" w:rsidRDefault="001E5984" w:rsidP="005E1D8B">
            <w:pPr>
              <w:spacing w:after="0" w:line="240" w:lineRule="auto"/>
              <w:jc w:val="center"/>
              <w:rPr>
                <w:rFonts w:ascii="David" w:hAnsi="David" w:cs="David"/>
                <w:b/>
                <w:bCs/>
                <w:color w:val="000000"/>
              </w:rPr>
            </w:pPr>
            <w:r w:rsidRPr="00B536AB">
              <w:rPr>
                <w:rFonts w:ascii="David" w:hAnsi="David" w:cs="David" w:hint="cs"/>
                <w:b/>
                <w:bCs/>
                <w:color w:val="000000"/>
                <w:rtl/>
              </w:rPr>
              <w:t>14:35</w:t>
            </w:r>
          </w:p>
        </w:tc>
        <w:tc>
          <w:tcPr>
            <w:tcW w:w="1134" w:type="dxa"/>
            <w:tcBorders>
              <w:top w:val="single" w:sz="4" w:space="0" w:color="auto"/>
              <w:bottom w:val="single" w:sz="4" w:space="0" w:color="auto"/>
            </w:tcBorders>
            <w:vAlign w:val="center"/>
          </w:tcPr>
          <w:p w14:paraId="70F0C9E0"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hint="cs"/>
                <w:color w:val="000000"/>
                <w:rtl/>
              </w:rPr>
              <w:t>200</w:t>
            </w:r>
          </w:p>
        </w:tc>
      </w:tr>
      <w:tr w:rsidR="001E5984" w:rsidRPr="00B536AB" w14:paraId="02220628" w14:textId="77777777" w:rsidTr="005E1D8B">
        <w:trPr>
          <w:trHeight w:val="300"/>
        </w:trPr>
        <w:tc>
          <w:tcPr>
            <w:tcW w:w="995" w:type="dxa"/>
            <w:tcBorders>
              <w:top w:val="single" w:sz="4" w:space="0" w:color="auto"/>
              <w:bottom w:val="single" w:sz="4" w:space="0" w:color="auto"/>
            </w:tcBorders>
            <w:shd w:val="clear" w:color="auto" w:fill="D9D9D9"/>
            <w:noWrap/>
            <w:vAlign w:val="center"/>
          </w:tcPr>
          <w:p w14:paraId="48DEED5D"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D9D9D9"/>
            <w:noWrap/>
            <w:vAlign w:val="center"/>
          </w:tcPr>
          <w:p w14:paraId="2B44DF67"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ערעור אזרחי</w:t>
            </w:r>
          </w:p>
        </w:tc>
        <w:tc>
          <w:tcPr>
            <w:tcW w:w="2551" w:type="dxa"/>
            <w:tcBorders>
              <w:top w:val="single" w:sz="4" w:space="0" w:color="auto"/>
              <w:bottom w:val="single" w:sz="4" w:space="0" w:color="auto"/>
            </w:tcBorders>
            <w:shd w:val="clear" w:color="auto" w:fill="D9D9D9"/>
            <w:vAlign w:val="center"/>
          </w:tcPr>
          <w:p w14:paraId="0C3B4B5D" w14:textId="77777777" w:rsidR="001E5984" w:rsidRPr="00B536AB" w:rsidRDefault="001E5984" w:rsidP="005E1D8B">
            <w:pPr>
              <w:spacing w:after="0" w:line="240" w:lineRule="auto"/>
              <w:rPr>
                <w:rFonts w:ascii="David" w:hAnsi="David" w:cs="David"/>
                <w:color w:val="000000"/>
                <w:rtl/>
              </w:rPr>
            </w:pPr>
            <w:r w:rsidRPr="00B536AB">
              <w:rPr>
                <w:rFonts w:ascii="David" w:hAnsi="David" w:cs="David"/>
                <w:color w:val="000000"/>
                <w:rtl/>
              </w:rPr>
              <w:t>ערעור אזרחי (ע"א) – הרכב</w:t>
            </w:r>
          </w:p>
        </w:tc>
        <w:tc>
          <w:tcPr>
            <w:tcW w:w="1551" w:type="dxa"/>
            <w:tcBorders>
              <w:top w:val="single" w:sz="4" w:space="0" w:color="auto"/>
              <w:bottom w:val="single" w:sz="4" w:space="0" w:color="auto"/>
            </w:tcBorders>
            <w:shd w:val="clear" w:color="auto" w:fill="D9D9D9"/>
            <w:vAlign w:val="center"/>
          </w:tcPr>
          <w:p w14:paraId="59C6D333"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hint="cs"/>
                <w:color w:val="000000"/>
                <w:rtl/>
              </w:rPr>
              <w:t>1,286</w:t>
            </w:r>
          </w:p>
        </w:tc>
        <w:tc>
          <w:tcPr>
            <w:tcW w:w="1566" w:type="dxa"/>
            <w:tcBorders>
              <w:top w:val="single" w:sz="4" w:space="0" w:color="auto"/>
              <w:bottom w:val="single" w:sz="4" w:space="0" w:color="auto"/>
            </w:tcBorders>
            <w:shd w:val="clear" w:color="auto" w:fill="D9D9D9"/>
            <w:noWrap/>
            <w:vAlign w:val="center"/>
          </w:tcPr>
          <w:p w14:paraId="3BA13002" w14:textId="77777777" w:rsidR="001E5984" w:rsidRPr="00B536AB" w:rsidRDefault="001E5984" w:rsidP="005E1D8B">
            <w:pPr>
              <w:spacing w:after="0" w:line="240" w:lineRule="auto"/>
              <w:jc w:val="center"/>
              <w:rPr>
                <w:rFonts w:ascii="David" w:hAnsi="David" w:cs="David"/>
                <w:b/>
                <w:bCs/>
                <w:color w:val="000000"/>
              </w:rPr>
            </w:pPr>
            <w:r w:rsidRPr="00B536AB">
              <w:rPr>
                <w:rFonts w:ascii="David" w:hAnsi="David" w:cs="David" w:hint="cs"/>
                <w:b/>
                <w:bCs/>
                <w:color w:val="000000"/>
                <w:rtl/>
              </w:rPr>
              <w:t>10:53</w:t>
            </w:r>
          </w:p>
        </w:tc>
        <w:tc>
          <w:tcPr>
            <w:tcW w:w="1134" w:type="dxa"/>
            <w:tcBorders>
              <w:top w:val="single" w:sz="4" w:space="0" w:color="auto"/>
              <w:bottom w:val="single" w:sz="4" w:space="0" w:color="auto"/>
            </w:tcBorders>
            <w:shd w:val="clear" w:color="auto" w:fill="D9D9D9"/>
            <w:vAlign w:val="center"/>
          </w:tcPr>
          <w:p w14:paraId="31BB8675"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hint="cs"/>
                <w:color w:val="000000"/>
                <w:rtl/>
              </w:rPr>
              <w:t>150</w:t>
            </w:r>
          </w:p>
        </w:tc>
      </w:tr>
      <w:tr w:rsidR="001E5984" w:rsidRPr="00B536AB" w14:paraId="63A16591" w14:textId="77777777" w:rsidTr="005E1D8B">
        <w:trPr>
          <w:trHeight w:val="300"/>
        </w:trPr>
        <w:tc>
          <w:tcPr>
            <w:tcW w:w="995" w:type="dxa"/>
            <w:tcBorders>
              <w:top w:val="single" w:sz="4" w:space="0" w:color="auto"/>
              <w:bottom w:val="single" w:sz="4" w:space="0" w:color="auto"/>
            </w:tcBorders>
            <w:shd w:val="clear" w:color="auto" w:fill="FFFFFF"/>
            <w:noWrap/>
            <w:vAlign w:val="center"/>
          </w:tcPr>
          <w:p w14:paraId="6E52E33A"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FFFFFF"/>
            <w:noWrap/>
            <w:vAlign w:val="center"/>
          </w:tcPr>
          <w:p w14:paraId="7CE418D6"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אזרחי</w:t>
            </w:r>
          </w:p>
        </w:tc>
        <w:tc>
          <w:tcPr>
            <w:tcW w:w="2551" w:type="dxa"/>
            <w:tcBorders>
              <w:top w:val="single" w:sz="4" w:space="0" w:color="auto"/>
              <w:bottom w:val="single" w:sz="4" w:space="0" w:color="auto"/>
            </w:tcBorders>
            <w:shd w:val="clear" w:color="auto" w:fill="FFFFFF"/>
            <w:vAlign w:val="center"/>
          </w:tcPr>
          <w:p w14:paraId="5599C8BF" w14:textId="77777777" w:rsidR="001E5984" w:rsidRPr="00B536AB" w:rsidRDefault="001E5984" w:rsidP="005E1D8B">
            <w:pPr>
              <w:spacing w:after="0" w:line="240" w:lineRule="auto"/>
              <w:rPr>
                <w:rFonts w:ascii="David" w:hAnsi="David" w:cs="David"/>
                <w:color w:val="000000"/>
                <w:rtl/>
              </w:rPr>
            </w:pPr>
            <w:r w:rsidRPr="00B536AB">
              <w:rPr>
                <w:rFonts w:ascii="David" w:hAnsi="David" w:cs="David"/>
                <w:color w:val="000000"/>
                <w:rtl/>
              </w:rPr>
              <w:t>תיק אזרחי בסדר דין רגיל (ת"א) -מקרקעין</w:t>
            </w:r>
          </w:p>
        </w:tc>
        <w:tc>
          <w:tcPr>
            <w:tcW w:w="1551" w:type="dxa"/>
            <w:tcBorders>
              <w:top w:val="single" w:sz="4" w:space="0" w:color="auto"/>
              <w:bottom w:val="single" w:sz="4" w:space="0" w:color="auto"/>
            </w:tcBorders>
            <w:shd w:val="clear" w:color="auto" w:fill="FFFFFF"/>
            <w:vAlign w:val="center"/>
          </w:tcPr>
          <w:p w14:paraId="07B71CBC"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hint="cs"/>
                <w:color w:val="000000"/>
                <w:rtl/>
              </w:rPr>
              <w:t>722</w:t>
            </w:r>
          </w:p>
        </w:tc>
        <w:tc>
          <w:tcPr>
            <w:tcW w:w="1566" w:type="dxa"/>
            <w:tcBorders>
              <w:top w:val="single" w:sz="4" w:space="0" w:color="auto"/>
              <w:bottom w:val="single" w:sz="4" w:space="0" w:color="auto"/>
            </w:tcBorders>
            <w:shd w:val="clear" w:color="auto" w:fill="FFFFFF"/>
            <w:noWrap/>
            <w:vAlign w:val="center"/>
          </w:tcPr>
          <w:p w14:paraId="16D60781" w14:textId="77777777" w:rsidR="001E5984" w:rsidRPr="00B536AB" w:rsidRDefault="001E5984" w:rsidP="005E1D8B">
            <w:pPr>
              <w:spacing w:after="0" w:line="240" w:lineRule="auto"/>
              <w:jc w:val="center"/>
              <w:rPr>
                <w:rFonts w:ascii="David" w:hAnsi="David" w:cs="David"/>
                <w:b/>
                <w:bCs/>
                <w:color w:val="000000"/>
              </w:rPr>
            </w:pPr>
            <w:r w:rsidRPr="00B536AB">
              <w:rPr>
                <w:rFonts w:ascii="David" w:hAnsi="David" w:cs="David" w:hint="cs"/>
                <w:b/>
                <w:bCs/>
                <w:color w:val="000000"/>
                <w:rtl/>
              </w:rPr>
              <w:t>10:33</w:t>
            </w:r>
          </w:p>
        </w:tc>
        <w:tc>
          <w:tcPr>
            <w:tcW w:w="1134" w:type="dxa"/>
            <w:tcBorders>
              <w:top w:val="single" w:sz="4" w:space="0" w:color="auto"/>
              <w:bottom w:val="single" w:sz="4" w:space="0" w:color="auto"/>
            </w:tcBorders>
            <w:shd w:val="clear" w:color="auto" w:fill="FFFFFF"/>
            <w:vAlign w:val="center"/>
          </w:tcPr>
          <w:p w14:paraId="2BEAA3FA"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hint="cs"/>
                <w:color w:val="000000"/>
                <w:rtl/>
              </w:rPr>
              <w:t>145</w:t>
            </w:r>
          </w:p>
        </w:tc>
      </w:tr>
      <w:tr w:rsidR="001E5984" w:rsidRPr="00B536AB" w14:paraId="5BB11D41" w14:textId="77777777" w:rsidTr="005E1D8B">
        <w:trPr>
          <w:trHeight w:val="300"/>
        </w:trPr>
        <w:tc>
          <w:tcPr>
            <w:tcW w:w="995" w:type="dxa"/>
            <w:tcBorders>
              <w:top w:val="single" w:sz="4" w:space="0" w:color="auto"/>
              <w:bottom w:val="single" w:sz="4" w:space="0" w:color="auto"/>
            </w:tcBorders>
            <w:shd w:val="clear" w:color="auto" w:fill="D9D9D9"/>
            <w:noWrap/>
            <w:vAlign w:val="center"/>
          </w:tcPr>
          <w:p w14:paraId="41C24AE9"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D9D9D9"/>
            <w:noWrap/>
            <w:vAlign w:val="center"/>
          </w:tcPr>
          <w:p w14:paraId="55C0A150"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ערעור אזרחי</w:t>
            </w:r>
          </w:p>
        </w:tc>
        <w:tc>
          <w:tcPr>
            <w:tcW w:w="2551" w:type="dxa"/>
            <w:tcBorders>
              <w:top w:val="single" w:sz="4" w:space="0" w:color="auto"/>
              <w:bottom w:val="single" w:sz="4" w:space="0" w:color="auto"/>
            </w:tcBorders>
            <w:shd w:val="clear" w:color="auto" w:fill="D9D9D9"/>
            <w:vAlign w:val="center"/>
          </w:tcPr>
          <w:p w14:paraId="59F95DA4" w14:textId="77777777" w:rsidR="001E5984" w:rsidRPr="00B536AB" w:rsidRDefault="001E5984" w:rsidP="005E1D8B">
            <w:pPr>
              <w:spacing w:after="0" w:line="240" w:lineRule="auto"/>
              <w:rPr>
                <w:rFonts w:ascii="David" w:hAnsi="David" w:cs="David"/>
                <w:color w:val="000000"/>
                <w:rtl/>
              </w:rPr>
            </w:pPr>
            <w:r w:rsidRPr="00B536AB">
              <w:rPr>
                <w:rFonts w:ascii="David" w:hAnsi="David" w:cs="David"/>
                <w:color w:val="000000"/>
                <w:rtl/>
              </w:rPr>
              <w:t>ערעור משפחה (עמ"ש) – הרכב</w:t>
            </w:r>
          </w:p>
        </w:tc>
        <w:tc>
          <w:tcPr>
            <w:tcW w:w="1551" w:type="dxa"/>
            <w:tcBorders>
              <w:top w:val="single" w:sz="4" w:space="0" w:color="auto"/>
              <w:bottom w:val="single" w:sz="4" w:space="0" w:color="auto"/>
            </w:tcBorders>
            <w:shd w:val="clear" w:color="auto" w:fill="D9D9D9"/>
            <w:vAlign w:val="center"/>
          </w:tcPr>
          <w:p w14:paraId="4E8A45C7"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color w:val="000000"/>
              </w:rPr>
              <w:t>1,120</w:t>
            </w:r>
          </w:p>
        </w:tc>
        <w:tc>
          <w:tcPr>
            <w:tcW w:w="1566" w:type="dxa"/>
            <w:tcBorders>
              <w:top w:val="single" w:sz="4" w:space="0" w:color="auto"/>
              <w:bottom w:val="single" w:sz="4" w:space="0" w:color="auto"/>
            </w:tcBorders>
            <w:shd w:val="clear" w:color="auto" w:fill="D9D9D9"/>
            <w:noWrap/>
            <w:vAlign w:val="center"/>
          </w:tcPr>
          <w:p w14:paraId="29A3BE08" w14:textId="77777777" w:rsidR="001E5984" w:rsidRPr="00B536AB" w:rsidRDefault="001E5984" w:rsidP="005E1D8B">
            <w:pPr>
              <w:spacing w:after="0" w:line="240" w:lineRule="auto"/>
              <w:jc w:val="center"/>
              <w:rPr>
                <w:rFonts w:ascii="David" w:hAnsi="David" w:cs="David"/>
                <w:b/>
                <w:bCs/>
                <w:color w:val="000000"/>
              </w:rPr>
            </w:pPr>
            <w:r w:rsidRPr="00B536AB">
              <w:rPr>
                <w:rFonts w:ascii="David" w:hAnsi="David" w:cs="David" w:hint="cs"/>
                <w:b/>
                <w:bCs/>
                <w:color w:val="000000"/>
                <w:rtl/>
              </w:rPr>
              <w:t>10:09</w:t>
            </w:r>
          </w:p>
        </w:tc>
        <w:tc>
          <w:tcPr>
            <w:tcW w:w="1134" w:type="dxa"/>
            <w:tcBorders>
              <w:top w:val="single" w:sz="4" w:space="0" w:color="auto"/>
              <w:bottom w:val="single" w:sz="4" w:space="0" w:color="auto"/>
            </w:tcBorders>
            <w:shd w:val="clear" w:color="auto" w:fill="D9D9D9"/>
            <w:vAlign w:val="center"/>
          </w:tcPr>
          <w:p w14:paraId="09BE117A"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hint="cs"/>
                <w:color w:val="000000"/>
                <w:rtl/>
              </w:rPr>
              <w:t>139</w:t>
            </w:r>
          </w:p>
        </w:tc>
      </w:tr>
      <w:tr w:rsidR="001E5984" w:rsidRPr="00B536AB" w14:paraId="75A173FB" w14:textId="77777777" w:rsidTr="005E1D8B">
        <w:trPr>
          <w:trHeight w:val="300"/>
        </w:trPr>
        <w:tc>
          <w:tcPr>
            <w:tcW w:w="995" w:type="dxa"/>
            <w:tcBorders>
              <w:top w:val="single" w:sz="4" w:space="0" w:color="auto"/>
              <w:bottom w:val="single" w:sz="4" w:space="0" w:color="auto"/>
            </w:tcBorders>
            <w:shd w:val="clear" w:color="auto" w:fill="auto"/>
            <w:noWrap/>
            <w:vAlign w:val="center"/>
          </w:tcPr>
          <w:p w14:paraId="34BC3FB3"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auto"/>
            <w:noWrap/>
            <w:vAlign w:val="center"/>
          </w:tcPr>
          <w:p w14:paraId="34E47DE2" w14:textId="77777777" w:rsidR="001E5984" w:rsidRPr="00B536AB" w:rsidRDefault="001E5984" w:rsidP="005E1D8B">
            <w:pPr>
              <w:spacing w:after="0" w:line="240" w:lineRule="auto"/>
              <w:rPr>
                <w:rFonts w:ascii="David" w:hAnsi="David" w:cs="David"/>
                <w:color w:val="000000"/>
              </w:rPr>
            </w:pPr>
            <w:r w:rsidRPr="00B536AB">
              <w:rPr>
                <w:rFonts w:ascii="David" w:hAnsi="David" w:cs="David" w:hint="cs"/>
                <w:color w:val="000000"/>
                <w:rtl/>
              </w:rPr>
              <w:t>ערעור</w:t>
            </w:r>
            <w:r w:rsidRPr="00B536AB">
              <w:rPr>
                <w:rFonts w:ascii="David" w:hAnsi="David" w:cs="David"/>
                <w:color w:val="000000"/>
                <w:rtl/>
              </w:rPr>
              <w:t xml:space="preserve"> אזרחי</w:t>
            </w:r>
          </w:p>
        </w:tc>
        <w:tc>
          <w:tcPr>
            <w:tcW w:w="2551" w:type="dxa"/>
            <w:tcBorders>
              <w:top w:val="single" w:sz="4" w:space="0" w:color="auto"/>
              <w:bottom w:val="single" w:sz="4" w:space="0" w:color="auto"/>
            </w:tcBorders>
            <w:shd w:val="clear" w:color="auto" w:fill="auto"/>
            <w:vAlign w:val="center"/>
          </w:tcPr>
          <w:p w14:paraId="3CBE285C" w14:textId="77777777" w:rsidR="001E5984" w:rsidRPr="00B536AB" w:rsidRDefault="001E5984" w:rsidP="005E1D8B">
            <w:pPr>
              <w:spacing w:after="0" w:line="240" w:lineRule="auto"/>
              <w:rPr>
                <w:rFonts w:ascii="David" w:hAnsi="David" w:cs="David"/>
                <w:color w:val="000000"/>
                <w:rtl/>
              </w:rPr>
            </w:pPr>
            <w:r w:rsidRPr="00B536AB">
              <w:rPr>
                <w:rFonts w:ascii="David" w:hAnsi="David" w:cs="David"/>
                <w:color w:val="000000"/>
                <w:rtl/>
              </w:rPr>
              <w:t>ערעור מסים (ע"מ)</w:t>
            </w:r>
          </w:p>
        </w:tc>
        <w:tc>
          <w:tcPr>
            <w:tcW w:w="1551" w:type="dxa"/>
            <w:tcBorders>
              <w:top w:val="single" w:sz="4" w:space="0" w:color="auto"/>
              <w:bottom w:val="single" w:sz="4" w:space="0" w:color="auto"/>
            </w:tcBorders>
            <w:vAlign w:val="center"/>
          </w:tcPr>
          <w:p w14:paraId="661F226B" w14:textId="77777777" w:rsidR="001E5984" w:rsidRPr="00B536AB" w:rsidRDefault="001E5984" w:rsidP="005E1D8B">
            <w:pPr>
              <w:spacing w:after="0" w:line="240" w:lineRule="auto"/>
              <w:jc w:val="center"/>
              <w:rPr>
                <w:rFonts w:ascii="David" w:hAnsi="David" w:cs="David"/>
                <w:color w:val="000000"/>
                <w:rtl/>
              </w:rPr>
            </w:pPr>
            <w:r w:rsidRPr="00B536AB">
              <w:rPr>
                <w:rFonts w:ascii="David" w:hAnsi="David" w:cs="David" w:hint="cs"/>
                <w:color w:val="000000"/>
                <w:rtl/>
              </w:rPr>
              <w:t>789</w:t>
            </w:r>
          </w:p>
        </w:tc>
        <w:tc>
          <w:tcPr>
            <w:tcW w:w="1566" w:type="dxa"/>
            <w:tcBorders>
              <w:top w:val="single" w:sz="4" w:space="0" w:color="auto"/>
              <w:bottom w:val="single" w:sz="4" w:space="0" w:color="auto"/>
            </w:tcBorders>
            <w:shd w:val="clear" w:color="auto" w:fill="auto"/>
            <w:noWrap/>
            <w:vAlign w:val="center"/>
          </w:tcPr>
          <w:p w14:paraId="53784A45" w14:textId="77777777" w:rsidR="001E5984" w:rsidRPr="00B536AB" w:rsidRDefault="001E5984" w:rsidP="005E1D8B">
            <w:pPr>
              <w:spacing w:after="0" w:line="240" w:lineRule="auto"/>
              <w:jc w:val="center"/>
              <w:rPr>
                <w:rFonts w:ascii="David" w:hAnsi="David" w:cs="David"/>
                <w:b/>
                <w:bCs/>
                <w:color w:val="000000"/>
              </w:rPr>
            </w:pPr>
            <w:r w:rsidRPr="00B536AB">
              <w:rPr>
                <w:rFonts w:ascii="David" w:hAnsi="David" w:cs="David" w:hint="cs"/>
                <w:b/>
                <w:bCs/>
                <w:color w:val="000000"/>
                <w:rtl/>
              </w:rPr>
              <w:t>9:33</w:t>
            </w:r>
          </w:p>
        </w:tc>
        <w:tc>
          <w:tcPr>
            <w:tcW w:w="1134" w:type="dxa"/>
            <w:tcBorders>
              <w:top w:val="single" w:sz="4" w:space="0" w:color="auto"/>
              <w:bottom w:val="single" w:sz="4" w:space="0" w:color="auto"/>
            </w:tcBorders>
            <w:vAlign w:val="center"/>
          </w:tcPr>
          <w:p w14:paraId="48C62C61"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hint="cs"/>
                <w:color w:val="000000"/>
                <w:rtl/>
              </w:rPr>
              <w:t>131</w:t>
            </w:r>
          </w:p>
        </w:tc>
      </w:tr>
      <w:tr w:rsidR="001E5984" w:rsidRPr="00B536AB" w14:paraId="20FFDE80" w14:textId="77777777" w:rsidTr="005E1D8B">
        <w:trPr>
          <w:trHeight w:val="600"/>
        </w:trPr>
        <w:tc>
          <w:tcPr>
            <w:tcW w:w="995" w:type="dxa"/>
            <w:tcBorders>
              <w:top w:val="single" w:sz="4" w:space="0" w:color="auto"/>
              <w:bottom w:val="single" w:sz="4" w:space="0" w:color="auto"/>
            </w:tcBorders>
            <w:shd w:val="clear" w:color="auto" w:fill="D9D9D9"/>
            <w:noWrap/>
            <w:vAlign w:val="center"/>
          </w:tcPr>
          <w:p w14:paraId="4DEB4FDB"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D9D9D9"/>
            <w:noWrap/>
            <w:vAlign w:val="center"/>
          </w:tcPr>
          <w:p w14:paraId="57635F25"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אזרחי</w:t>
            </w:r>
          </w:p>
        </w:tc>
        <w:tc>
          <w:tcPr>
            <w:tcW w:w="2551" w:type="dxa"/>
            <w:tcBorders>
              <w:top w:val="single" w:sz="4" w:space="0" w:color="auto"/>
              <w:bottom w:val="single" w:sz="4" w:space="0" w:color="auto"/>
            </w:tcBorders>
            <w:shd w:val="clear" w:color="auto" w:fill="D9D9D9"/>
            <w:vAlign w:val="center"/>
          </w:tcPr>
          <w:p w14:paraId="1A45FF70" w14:textId="77777777" w:rsidR="001E5984" w:rsidRPr="00B536AB" w:rsidRDefault="001E5984" w:rsidP="005E1D8B">
            <w:pPr>
              <w:spacing w:after="0" w:line="240" w:lineRule="auto"/>
              <w:rPr>
                <w:rFonts w:ascii="David" w:hAnsi="David" w:cs="David"/>
                <w:color w:val="000000"/>
                <w:rtl/>
              </w:rPr>
            </w:pPr>
            <w:r w:rsidRPr="00B536AB">
              <w:rPr>
                <w:rFonts w:ascii="David" w:hAnsi="David" w:cs="David"/>
                <w:color w:val="000000"/>
                <w:rtl/>
              </w:rPr>
              <w:t>תיק אזרחי בסדר דין רגיל (ת"א) - קניין רוחני</w:t>
            </w:r>
            <w:r w:rsidR="00AB17E5" w:rsidRPr="00B536AB">
              <w:rPr>
                <w:rFonts w:ascii="David" w:hAnsi="David" w:cs="David" w:hint="cs"/>
                <w:color w:val="000000"/>
                <w:rtl/>
              </w:rPr>
              <w:t>**</w:t>
            </w:r>
          </w:p>
        </w:tc>
        <w:tc>
          <w:tcPr>
            <w:tcW w:w="1551" w:type="dxa"/>
            <w:tcBorders>
              <w:top w:val="single" w:sz="4" w:space="0" w:color="auto"/>
              <w:bottom w:val="single" w:sz="4" w:space="0" w:color="auto"/>
            </w:tcBorders>
            <w:shd w:val="clear" w:color="auto" w:fill="D9D9D9"/>
            <w:vAlign w:val="center"/>
          </w:tcPr>
          <w:p w14:paraId="0A651BDF" w14:textId="77777777" w:rsidR="001E5984" w:rsidRPr="00B536AB" w:rsidRDefault="001E5984" w:rsidP="005E1D8B">
            <w:pPr>
              <w:spacing w:after="0" w:line="240" w:lineRule="auto"/>
              <w:jc w:val="center"/>
              <w:rPr>
                <w:rFonts w:ascii="David" w:hAnsi="David" w:cs="David"/>
                <w:color w:val="000000"/>
                <w:rtl/>
              </w:rPr>
            </w:pPr>
            <w:r w:rsidRPr="00B536AB">
              <w:rPr>
                <w:rFonts w:ascii="David" w:hAnsi="David" w:cs="David" w:hint="cs"/>
                <w:color w:val="000000"/>
                <w:rtl/>
              </w:rPr>
              <w:t>3,008</w:t>
            </w:r>
          </w:p>
        </w:tc>
        <w:tc>
          <w:tcPr>
            <w:tcW w:w="1566" w:type="dxa"/>
            <w:tcBorders>
              <w:top w:val="single" w:sz="4" w:space="0" w:color="auto"/>
              <w:bottom w:val="single" w:sz="4" w:space="0" w:color="auto"/>
            </w:tcBorders>
            <w:shd w:val="clear" w:color="auto" w:fill="D9D9D9"/>
            <w:noWrap/>
            <w:vAlign w:val="center"/>
          </w:tcPr>
          <w:p w14:paraId="63EAE59E" w14:textId="77777777" w:rsidR="001E5984" w:rsidRPr="00B536AB" w:rsidRDefault="001E5984" w:rsidP="005E1D8B">
            <w:pPr>
              <w:spacing w:after="0" w:line="240" w:lineRule="auto"/>
              <w:jc w:val="center"/>
              <w:rPr>
                <w:rFonts w:ascii="David" w:hAnsi="David" w:cs="David"/>
                <w:b/>
                <w:bCs/>
                <w:color w:val="000000"/>
              </w:rPr>
            </w:pPr>
            <w:r w:rsidRPr="00B536AB">
              <w:rPr>
                <w:rFonts w:ascii="David" w:hAnsi="David" w:cs="David" w:hint="cs"/>
                <w:b/>
                <w:bCs/>
                <w:color w:val="000000"/>
                <w:rtl/>
              </w:rPr>
              <w:t>9:28</w:t>
            </w:r>
          </w:p>
        </w:tc>
        <w:tc>
          <w:tcPr>
            <w:tcW w:w="1134" w:type="dxa"/>
            <w:tcBorders>
              <w:top w:val="single" w:sz="4" w:space="0" w:color="auto"/>
              <w:bottom w:val="single" w:sz="4" w:space="0" w:color="auto"/>
            </w:tcBorders>
            <w:shd w:val="clear" w:color="auto" w:fill="D9D9D9"/>
            <w:vAlign w:val="center"/>
          </w:tcPr>
          <w:p w14:paraId="4577D3A9"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hint="cs"/>
                <w:color w:val="000000"/>
                <w:rtl/>
              </w:rPr>
              <w:t>130</w:t>
            </w:r>
          </w:p>
        </w:tc>
      </w:tr>
      <w:tr w:rsidR="001E5984" w:rsidRPr="00B536AB" w14:paraId="66CEA4CA" w14:textId="77777777" w:rsidTr="005E1D8B">
        <w:trPr>
          <w:trHeight w:val="300"/>
        </w:trPr>
        <w:tc>
          <w:tcPr>
            <w:tcW w:w="995" w:type="dxa"/>
            <w:tcBorders>
              <w:top w:val="single" w:sz="4" w:space="0" w:color="auto"/>
              <w:bottom w:val="single" w:sz="4" w:space="0" w:color="auto"/>
            </w:tcBorders>
            <w:shd w:val="clear" w:color="auto" w:fill="auto"/>
            <w:noWrap/>
            <w:vAlign w:val="center"/>
          </w:tcPr>
          <w:p w14:paraId="1307A1C1"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auto"/>
            <w:noWrap/>
            <w:vAlign w:val="center"/>
          </w:tcPr>
          <w:p w14:paraId="26D52702"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עניינים מנהליים</w:t>
            </w:r>
          </w:p>
        </w:tc>
        <w:tc>
          <w:tcPr>
            <w:tcW w:w="2551" w:type="dxa"/>
            <w:tcBorders>
              <w:top w:val="single" w:sz="4" w:space="0" w:color="auto"/>
              <w:bottom w:val="single" w:sz="4" w:space="0" w:color="auto"/>
            </w:tcBorders>
            <w:shd w:val="clear" w:color="auto" w:fill="auto"/>
            <w:vAlign w:val="center"/>
          </w:tcPr>
          <w:p w14:paraId="5A462C8D" w14:textId="77777777" w:rsidR="001E5984" w:rsidRPr="00B536AB" w:rsidRDefault="001E5984" w:rsidP="005E1D8B">
            <w:pPr>
              <w:spacing w:after="0" w:line="240" w:lineRule="auto"/>
              <w:rPr>
                <w:rFonts w:ascii="David" w:hAnsi="David" w:cs="David"/>
                <w:color w:val="000000"/>
                <w:rtl/>
              </w:rPr>
            </w:pPr>
            <w:r w:rsidRPr="00B536AB">
              <w:rPr>
                <w:rFonts w:ascii="David" w:hAnsi="David" w:cs="David"/>
                <w:color w:val="000000"/>
                <w:rtl/>
              </w:rPr>
              <w:t>ערעור מנהלי (עמ"נ)</w:t>
            </w:r>
          </w:p>
        </w:tc>
        <w:tc>
          <w:tcPr>
            <w:tcW w:w="1551" w:type="dxa"/>
            <w:tcBorders>
              <w:top w:val="single" w:sz="4" w:space="0" w:color="auto"/>
              <w:bottom w:val="single" w:sz="4" w:space="0" w:color="auto"/>
            </w:tcBorders>
            <w:vAlign w:val="center"/>
          </w:tcPr>
          <w:p w14:paraId="5127F93C" w14:textId="77777777" w:rsidR="001E5984" w:rsidRPr="00B536AB" w:rsidRDefault="001E5984" w:rsidP="005E1D8B">
            <w:pPr>
              <w:spacing w:after="0" w:line="240" w:lineRule="auto"/>
              <w:jc w:val="center"/>
              <w:rPr>
                <w:rFonts w:asciiTheme="minorHAnsi" w:hAnsiTheme="minorHAnsi" w:cs="David"/>
                <w:color w:val="000000"/>
              </w:rPr>
            </w:pPr>
            <w:r w:rsidRPr="00B536AB">
              <w:rPr>
                <w:rFonts w:ascii="David" w:hAnsi="David" w:cs="David"/>
                <w:color w:val="000000"/>
              </w:rPr>
              <w:t>785</w:t>
            </w:r>
          </w:p>
        </w:tc>
        <w:tc>
          <w:tcPr>
            <w:tcW w:w="1566" w:type="dxa"/>
            <w:tcBorders>
              <w:top w:val="single" w:sz="4" w:space="0" w:color="auto"/>
              <w:bottom w:val="single" w:sz="4" w:space="0" w:color="auto"/>
            </w:tcBorders>
            <w:shd w:val="clear" w:color="auto" w:fill="auto"/>
            <w:noWrap/>
            <w:vAlign w:val="center"/>
          </w:tcPr>
          <w:p w14:paraId="05914EBD" w14:textId="77777777" w:rsidR="001E5984" w:rsidRPr="00B536AB" w:rsidRDefault="001E5984" w:rsidP="005E1D8B">
            <w:pPr>
              <w:spacing w:after="0" w:line="240" w:lineRule="auto"/>
              <w:jc w:val="center"/>
              <w:rPr>
                <w:rFonts w:ascii="David" w:hAnsi="David" w:cs="David"/>
                <w:b/>
                <w:bCs/>
                <w:color w:val="000000"/>
                <w:rtl/>
              </w:rPr>
            </w:pPr>
            <w:r w:rsidRPr="00B536AB">
              <w:rPr>
                <w:rFonts w:ascii="David" w:hAnsi="David" w:cs="David" w:hint="cs"/>
                <w:b/>
                <w:bCs/>
                <w:color w:val="000000"/>
                <w:rtl/>
              </w:rPr>
              <w:t>7:46</w:t>
            </w:r>
          </w:p>
        </w:tc>
        <w:tc>
          <w:tcPr>
            <w:tcW w:w="1134" w:type="dxa"/>
            <w:tcBorders>
              <w:top w:val="single" w:sz="4" w:space="0" w:color="auto"/>
              <w:bottom w:val="single" w:sz="4" w:space="0" w:color="auto"/>
            </w:tcBorders>
            <w:vAlign w:val="center"/>
          </w:tcPr>
          <w:p w14:paraId="32865744"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hint="cs"/>
                <w:color w:val="000000"/>
                <w:rtl/>
              </w:rPr>
              <w:t>107</w:t>
            </w:r>
          </w:p>
        </w:tc>
      </w:tr>
      <w:tr w:rsidR="001E5984" w:rsidRPr="00B536AB" w14:paraId="27DCE594" w14:textId="77777777" w:rsidTr="005E1D8B">
        <w:trPr>
          <w:trHeight w:val="300"/>
        </w:trPr>
        <w:tc>
          <w:tcPr>
            <w:tcW w:w="995" w:type="dxa"/>
            <w:tcBorders>
              <w:top w:val="single" w:sz="4" w:space="0" w:color="auto"/>
              <w:bottom w:val="single" w:sz="4" w:space="0" w:color="auto"/>
            </w:tcBorders>
            <w:shd w:val="clear" w:color="auto" w:fill="D0CECE"/>
            <w:noWrap/>
            <w:vAlign w:val="center"/>
          </w:tcPr>
          <w:p w14:paraId="2094D877" w14:textId="77777777" w:rsidR="001E5984" w:rsidRPr="00B536AB" w:rsidRDefault="001E5984" w:rsidP="005E1D8B">
            <w:pPr>
              <w:spacing w:after="0" w:line="240" w:lineRule="auto"/>
              <w:rPr>
                <w:rFonts w:ascii="David" w:hAnsi="David" w:cs="David"/>
                <w:color w:val="000000"/>
                <w:rtl/>
              </w:rPr>
            </w:pPr>
            <w:r w:rsidRPr="00B536AB">
              <w:rPr>
                <w:rFonts w:ascii="David" w:hAnsi="David" w:cs="David" w:hint="cs"/>
                <w:color w:val="000000"/>
                <w:rtl/>
              </w:rPr>
              <w:t xml:space="preserve">מחוזי </w:t>
            </w:r>
          </w:p>
        </w:tc>
        <w:tc>
          <w:tcPr>
            <w:tcW w:w="1276" w:type="dxa"/>
            <w:tcBorders>
              <w:top w:val="single" w:sz="4" w:space="0" w:color="auto"/>
              <w:bottom w:val="single" w:sz="4" w:space="0" w:color="auto"/>
            </w:tcBorders>
            <w:shd w:val="clear" w:color="auto" w:fill="D0CECE"/>
            <w:noWrap/>
            <w:vAlign w:val="center"/>
          </w:tcPr>
          <w:p w14:paraId="0941031C" w14:textId="77777777" w:rsidR="001E5984" w:rsidRPr="00B536AB" w:rsidRDefault="001E5984" w:rsidP="005E1D8B">
            <w:pPr>
              <w:spacing w:after="0" w:line="240" w:lineRule="auto"/>
              <w:rPr>
                <w:rFonts w:ascii="David" w:hAnsi="David" w:cs="David"/>
                <w:color w:val="000000"/>
                <w:rtl/>
              </w:rPr>
            </w:pPr>
            <w:r w:rsidRPr="00B536AB">
              <w:rPr>
                <w:rFonts w:ascii="David" w:hAnsi="David" w:cs="David" w:hint="cs"/>
                <w:color w:val="000000"/>
                <w:rtl/>
              </w:rPr>
              <w:t>ערעור אזרחי</w:t>
            </w:r>
          </w:p>
        </w:tc>
        <w:tc>
          <w:tcPr>
            <w:tcW w:w="2551" w:type="dxa"/>
            <w:tcBorders>
              <w:top w:val="single" w:sz="4" w:space="0" w:color="auto"/>
              <w:bottom w:val="single" w:sz="4" w:space="0" w:color="auto"/>
            </w:tcBorders>
            <w:shd w:val="clear" w:color="auto" w:fill="D0CECE"/>
            <w:vAlign w:val="center"/>
          </w:tcPr>
          <w:p w14:paraId="1E20ED4A" w14:textId="77777777" w:rsidR="001E5984" w:rsidRPr="00B536AB" w:rsidRDefault="001E5984" w:rsidP="005E1D8B">
            <w:pPr>
              <w:spacing w:after="0" w:line="240" w:lineRule="auto"/>
              <w:rPr>
                <w:rFonts w:ascii="David" w:hAnsi="David" w:cs="David"/>
                <w:color w:val="000000"/>
                <w:rtl/>
              </w:rPr>
            </w:pPr>
            <w:r w:rsidRPr="00B536AB">
              <w:rPr>
                <w:rFonts w:ascii="David" w:hAnsi="David" w:cs="David"/>
                <w:color w:val="000000"/>
                <w:rtl/>
              </w:rPr>
              <w:t>ערעור אזרחי (ע"א) - משוקלל</w:t>
            </w:r>
          </w:p>
        </w:tc>
        <w:tc>
          <w:tcPr>
            <w:tcW w:w="1551" w:type="dxa"/>
            <w:tcBorders>
              <w:top w:val="single" w:sz="4" w:space="0" w:color="auto"/>
              <w:bottom w:val="single" w:sz="4" w:space="0" w:color="auto"/>
            </w:tcBorders>
            <w:shd w:val="clear" w:color="auto" w:fill="D0CECE"/>
            <w:vAlign w:val="center"/>
          </w:tcPr>
          <w:p w14:paraId="703BF87C" w14:textId="77777777" w:rsidR="001E5984" w:rsidRPr="00B536AB" w:rsidRDefault="001E5984" w:rsidP="005E1D8B">
            <w:pPr>
              <w:spacing w:after="0" w:line="240" w:lineRule="auto"/>
              <w:jc w:val="center"/>
              <w:rPr>
                <w:rFonts w:ascii="David" w:hAnsi="David" w:cs="David"/>
                <w:color w:val="000000"/>
                <w:rtl/>
              </w:rPr>
            </w:pPr>
            <w:r w:rsidRPr="00B536AB">
              <w:rPr>
                <w:rFonts w:ascii="David" w:hAnsi="David" w:cs="David" w:hint="cs"/>
                <w:color w:val="000000"/>
                <w:rtl/>
              </w:rPr>
              <w:t>2,680</w:t>
            </w:r>
          </w:p>
        </w:tc>
        <w:tc>
          <w:tcPr>
            <w:tcW w:w="1566" w:type="dxa"/>
            <w:tcBorders>
              <w:top w:val="single" w:sz="4" w:space="0" w:color="auto"/>
              <w:bottom w:val="single" w:sz="4" w:space="0" w:color="auto"/>
            </w:tcBorders>
            <w:shd w:val="clear" w:color="auto" w:fill="D0CECE"/>
            <w:noWrap/>
            <w:vAlign w:val="center"/>
          </w:tcPr>
          <w:p w14:paraId="47B8ADA0" w14:textId="77777777" w:rsidR="001E5984" w:rsidRPr="00B536AB" w:rsidRDefault="001E5984" w:rsidP="005E1D8B">
            <w:pPr>
              <w:spacing w:after="0" w:line="240" w:lineRule="auto"/>
              <w:jc w:val="center"/>
              <w:rPr>
                <w:rFonts w:ascii="David" w:hAnsi="David" w:cs="David"/>
                <w:b/>
                <w:bCs/>
                <w:color w:val="000000"/>
              </w:rPr>
            </w:pPr>
            <w:r w:rsidRPr="00B536AB">
              <w:rPr>
                <w:rFonts w:ascii="David" w:hAnsi="David" w:cs="David" w:hint="cs"/>
                <w:b/>
                <w:bCs/>
                <w:color w:val="000000"/>
                <w:rtl/>
              </w:rPr>
              <w:t>7:44</w:t>
            </w:r>
          </w:p>
        </w:tc>
        <w:tc>
          <w:tcPr>
            <w:tcW w:w="1134" w:type="dxa"/>
            <w:tcBorders>
              <w:top w:val="single" w:sz="4" w:space="0" w:color="auto"/>
              <w:bottom w:val="single" w:sz="4" w:space="0" w:color="auto"/>
            </w:tcBorders>
            <w:shd w:val="clear" w:color="auto" w:fill="D0CECE"/>
            <w:vAlign w:val="center"/>
          </w:tcPr>
          <w:p w14:paraId="12E9A147" w14:textId="77777777" w:rsidR="001E5984" w:rsidRPr="00B536AB" w:rsidRDefault="001E5984" w:rsidP="005E1D8B">
            <w:pPr>
              <w:spacing w:after="0" w:line="240" w:lineRule="auto"/>
              <w:jc w:val="center"/>
              <w:rPr>
                <w:rFonts w:ascii="David" w:hAnsi="David" w:cs="David"/>
                <w:rtl/>
              </w:rPr>
            </w:pPr>
            <w:r w:rsidRPr="00B536AB">
              <w:rPr>
                <w:rFonts w:ascii="David" w:hAnsi="David" w:cs="David" w:hint="cs"/>
                <w:rtl/>
              </w:rPr>
              <w:t>106</w:t>
            </w:r>
          </w:p>
        </w:tc>
      </w:tr>
      <w:tr w:rsidR="001E5984" w:rsidRPr="00B536AB" w14:paraId="2F33EB4E" w14:textId="77777777" w:rsidTr="005E1D8B">
        <w:trPr>
          <w:trHeight w:val="300"/>
        </w:trPr>
        <w:tc>
          <w:tcPr>
            <w:tcW w:w="995" w:type="dxa"/>
            <w:tcBorders>
              <w:top w:val="single" w:sz="4" w:space="0" w:color="auto"/>
              <w:bottom w:val="single" w:sz="4" w:space="0" w:color="auto"/>
            </w:tcBorders>
            <w:shd w:val="clear" w:color="auto" w:fill="auto"/>
            <w:noWrap/>
            <w:vAlign w:val="center"/>
          </w:tcPr>
          <w:p w14:paraId="60602EDD"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auto"/>
            <w:noWrap/>
            <w:vAlign w:val="center"/>
          </w:tcPr>
          <w:p w14:paraId="64F2B4CA"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אזרחי</w:t>
            </w:r>
          </w:p>
        </w:tc>
        <w:tc>
          <w:tcPr>
            <w:tcW w:w="2551" w:type="dxa"/>
            <w:tcBorders>
              <w:top w:val="single" w:sz="4" w:space="0" w:color="auto"/>
              <w:bottom w:val="single" w:sz="4" w:space="0" w:color="auto"/>
            </w:tcBorders>
            <w:shd w:val="clear" w:color="auto" w:fill="auto"/>
            <w:vAlign w:val="center"/>
          </w:tcPr>
          <w:p w14:paraId="4E0EA7C9" w14:textId="77777777" w:rsidR="001E5984" w:rsidRPr="00B536AB" w:rsidRDefault="001E5984" w:rsidP="005E1D8B">
            <w:pPr>
              <w:spacing w:after="0" w:line="240" w:lineRule="auto"/>
              <w:rPr>
                <w:rFonts w:ascii="David" w:hAnsi="David" w:cs="David"/>
                <w:color w:val="000000"/>
                <w:rtl/>
              </w:rPr>
            </w:pPr>
            <w:r w:rsidRPr="00B536AB">
              <w:rPr>
                <w:rFonts w:ascii="David" w:hAnsi="David" w:cs="David"/>
                <w:color w:val="000000"/>
                <w:rtl/>
              </w:rPr>
              <w:t>פירוקים (פר"ק)</w:t>
            </w:r>
          </w:p>
        </w:tc>
        <w:tc>
          <w:tcPr>
            <w:tcW w:w="1551" w:type="dxa"/>
            <w:tcBorders>
              <w:top w:val="single" w:sz="4" w:space="0" w:color="auto"/>
              <w:bottom w:val="single" w:sz="4" w:space="0" w:color="auto"/>
            </w:tcBorders>
            <w:shd w:val="clear" w:color="auto" w:fill="auto"/>
            <w:vAlign w:val="center"/>
          </w:tcPr>
          <w:p w14:paraId="2347B445"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color w:val="000000"/>
              </w:rPr>
              <w:t>1,348</w:t>
            </w:r>
          </w:p>
        </w:tc>
        <w:tc>
          <w:tcPr>
            <w:tcW w:w="1566" w:type="dxa"/>
            <w:tcBorders>
              <w:top w:val="single" w:sz="4" w:space="0" w:color="auto"/>
              <w:bottom w:val="single" w:sz="4" w:space="0" w:color="auto"/>
            </w:tcBorders>
            <w:shd w:val="clear" w:color="auto" w:fill="auto"/>
            <w:noWrap/>
            <w:vAlign w:val="center"/>
          </w:tcPr>
          <w:p w14:paraId="10DB8446" w14:textId="77777777" w:rsidR="001E5984" w:rsidRPr="00B536AB" w:rsidRDefault="001E5984" w:rsidP="005E1D8B">
            <w:pPr>
              <w:spacing w:after="0" w:line="240" w:lineRule="auto"/>
              <w:jc w:val="center"/>
              <w:rPr>
                <w:rFonts w:ascii="David" w:hAnsi="David" w:cs="David"/>
                <w:b/>
                <w:bCs/>
                <w:color w:val="000000"/>
              </w:rPr>
            </w:pPr>
            <w:r w:rsidRPr="00B536AB">
              <w:rPr>
                <w:rFonts w:ascii="David" w:hAnsi="David" w:cs="David" w:hint="cs"/>
                <w:b/>
                <w:bCs/>
                <w:color w:val="000000"/>
                <w:rtl/>
              </w:rPr>
              <w:t>7:28</w:t>
            </w:r>
          </w:p>
        </w:tc>
        <w:tc>
          <w:tcPr>
            <w:tcW w:w="1134" w:type="dxa"/>
            <w:tcBorders>
              <w:top w:val="single" w:sz="4" w:space="0" w:color="auto"/>
              <w:bottom w:val="single" w:sz="4" w:space="0" w:color="auto"/>
            </w:tcBorders>
            <w:shd w:val="clear" w:color="auto" w:fill="auto"/>
            <w:vAlign w:val="center"/>
          </w:tcPr>
          <w:p w14:paraId="506E36AA"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hint="cs"/>
                <w:color w:val="000000"/>
                <w:rtl/>
              </w:rPr>
              <w:t>103</w:t>
            </w:r>
          </w:p>
        </w:tc>
      </w:tr>
      <w:tr w:rsidR="001E5984" w:rsidRPr="00B536AB" w14:paraId="73BD4FEF" w14:textId="77777777" w:rsidTr="005E1D8B">
        <w:trPr>
          <w:trHeight w:val="586"/>
        </w:trPr>
        <w:tc>
          <w:tcPr>
            <w:tcW w:w="995" w:type="dxa"/>
            <w:tcBorders>
              <w:top w:val="single" w:sz="4" w:space="0" w:color="auto"/>
              <w:bottom w:val="single" w:sz="4" w:space="0" w:color="auto"/>
            </w:tcBorders>
            <w:shd w:val="clear" w:color="auto" w:fill="D9D9D9"/>
            <w:noWrap/>
            <w:vAlign w:val="center"/>
          </w:tcPr>
          <w:p w14:paraId="75D6D71D"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D9D9D9"/>
            <w:noWrap/>
            <w:vAlign w:val="center"/>
          </w:tcPr>
          <w:p w14:paraId="4E077430"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עניינים מנהליים</w:t>
            </w:r>
          </w:p>
        </w:tc>
        <w:tc>
          <w:tcPr>
            <w:tcW w:w="2551" w:type="dxa"/>
            <w:tcBorders>
              <w:top w:val="single" w:sz="4" w:space="0" w:color="auto"/>
              <w:bottom w:val="single" w:sz="4" w:space="0" w:color="auto"/>
            </w:tcBorders>
            <w:shd w:val="clear" w:color="auto" w:fill="D9D9D9"/>
            <w:vAlign w:val="center"/>
          </w:tcPr>
          <w:p w14:paraId="0F012AA2" w14:textId="77777777" w:rsidR="001E5984" w:rsidRPr="00B536AB" w:rsidRDefault="001E5984" w:rsidP="005E1D8B">
            <w:pPr>
              <w:spacing w:after="0" w:line="240" w:lineRule="auto"/>
              <w:rPr>
                <w:rFonts w:ascii="David" w:hAnsi="David" w:cs="David"/>
                <w:color w:val="000000"/>
                <w:rtl/>
              </w:rPr>
            </w:pPr>
            <w:r w:rsidRPr="00B536AB">
              <w:rPr>
                <w:rFonts w:ascii="David" w:hAnsi="David" w:cs="David"/>
                <w:color w:val="000000"/>
                <w:rtl/>
              </w:rPr>
              <w:t>עתירות אסירים (עת"א) – הרכב</w:t>
            </w:r>
          </w:p>
        </w:tc>
        <w:tc>
          <w:tcPr>
            <w:tcW w:w="1551" w:type="dxa"/>
            <w:tcBorders>
              <w:top w:val="single" w:sz="4" w:space="0" w:color="auto"/>
              <w:bottom w:val="single" w:sz="4" w:space="0" w:color="auto"/>
            </w:tcBorders>
            <w:shd w:val="clear" w:color="auto" w:fill="D9D9D9"/>
            <w:vAlign w:val="center"/>
          </w:tcPr>
          <w:p w14:paraId="3ACD507C"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hint="cs"/>
                <w:color w:val="000000"/>
                <w:rtl/>
              </w:rPr>
              <w:t>409</w:t>
            </w:r>
          </w:p>
        </w:tc>
        <w:tc>
          <w:tcPr>
            <w:tcW w:w="1566" w:type="dxa"/>
            <w:tcBorders>
              <w:top w:val="single" w:sz="4" w:space="0" w:color="auto"/>
              <w:bottom w:val="single" w:sz="4" w:space="0" w:color="auto"/>
            </w:tcBorders>
            <w:shd w:val="clear" w:color="auto" w:fill="D9D9D9"/>
            <w:noWrap/>
            <w:vAlign w:val="center"/>
          </w:tcPr>
          <w:p w14:paraId="71957165" w14:textId="77777777" w:rsidR="001E5984" w:rsidRPr="00B536AB" w:rsidRDefault="001E5984" w:rsidP="005E1D8B">
            <w:pPr>
              <w:spacing w:after="0" w:line="240" w:lineRule="auto"/>
              <w:jc w:val="center"/>
              <w:rPr>
                <w:rFonts w:ascii="David" w:hAnsi="David" w:cs="David"/>
                <w:b/>
                <w:bCs/>
                <w:color w:val="000000"/>
                <w:rtl/>
              </w:rPr>
            </w:pPr>
            <w:r w:rsidRPr="00B536AB">
              <w:rPr>
                <w:rFonts w:asciiTheme="minorHAnsi" w:hAnsiTheme="minorHAnsi" w:cs="David" w:hint="cs"/>
                <w:b/>
                <w:bCs/>
                <w:color w:val="000000"/>
                <w:rtl/>
              </w:rPr>
              <w:t>6:16</w:t>
            </w:r>
          </w:p>
        </w:tc>
        <w:tc>
          <w:tcPr>
            <w:tcW w:w="1134" w:type="dxa"/>
            <w:tcBorders>
              <w:top w:val="single" w:sz="4" w:space="0" w:color="auto"/>
              <w:bottom w:val="single" w:sz="4" w:space="0" w:color="auto"/>
            </w:tcBorders>
            <w:shd w:val="clear" w:color="auto" w:fill="D9D9D9"/>
            <w:vAlign w:val="center"/>
          </w:tcPr>
          <w:p w14:paraId="0D2C336B"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color w:val="000000"/>
              </w:rPr>
              <w:t>86</w:t>
            </w:r>
          </w:p>
        </w:tc>
      </w:tr>
      <w:tr w:rsidR="001E5984" w:rsidRPr="00B536AB" w14:paraId="00D52B9B" w14:textId="77777777" w:rsidTr="005E1D8B">
        <w:trPr>
          <w:trHeight w:val="600"/>
        </w:trPr>
        <w:tc>
          <w:tcPr>
            <w:tcW w:w="995" w:type="dxa"/>
            <w:tcBorders>
              <w:top w:val="single" w:sz="4" w:space="0" w:color="auto"/>
              <w:bottom w:val="single" w:sz="4" w:space="0" w:color="auto"/>
            </w:tcBorders>
            <w:shd w:val="clear" w:color="auto" w:fill="FFFFFF"/>
            <w:noWrap/>
            <w:vAlign w:val="center"/>
          </w:tcPr>
          <w:p w14:paraId="40B06947"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FFFFFF"/>
            <w:noWrap/>
            <w:vAlign w:val="center"/>
          </w:tcPr>
          <w:p w14:paraId="4AC3A089"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אזרחי</w:t>
            </w:r>
          </w:p>
        </w:tc>
        <w:tc>
          <w:tcPr>
            <w:tcW w:w="2551" w:type="dxa"/>
            <w:tcBorders>
              <w:top w:val="single" w:sz="4" w:space="0" w:color="auto"/>
              <w:bottom w:val="single" w:sz="4" w:space="0" w:color="auto"/>
            </w:tcBorders>
            <w:shd w:val="clear" w:color="auto" w:fill="FFFFFF"/>
            <w:vAlign w:val="center"/>
          </w:tcPr>
          <w:p w14:paraId="4DF27625" w14:textId="77777777" w:rsidR="001E5984" w:rsidRPr="00B536AB" w:rsidRDefault="001E5984" w:rsidP="005E1D8B">
            <w:pPr>
              <w:spacing w:after="0" w:line="240" w:lineRule="auto"/>
              <w:rPr>
                <w:rFonts w:ascii="David" w:hAnsi="David" w:cs="David"/>
                <w:color w:val="000000"/>
                <w:rtl/>
              </w:rPr>
            </w:pPr>
            <w:r w:rsidRPr="00B536AB">
              <w:rPr>
                <w:rFonts w:ascii="David" w:hAnsi="David" w:cs="David"/>
                <w:color w:val="000000"/>
                <w:rtl/>
              </w:rPr>
              <w:t>המרצת פתיחה (ה"פ)</w:t>
            </w:r>
          </w:p>
        </w:tc>
        <w:tc>
          <w:tcPr>
            <w:tcW w:w="1551" w:type="dxa"/>
            <w:tcBorders>
              <w:top w:val="single" w:sz="4" w:space="0" w:color="auto"/>
              <w:bottom w:val="single" w:sz="4" w:space="0" w:color="auto"/>
            </w:tcBorders>
            <w:shd w:val="clear" w:color="auto" w:fill="FFFFFF"/>
            <w:vAlign w:val="center"/>
          </w:tcPr>
          <w:p w14:paraId="69AB4321"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color w:val="000000"/>
              </w:rPr>
              <w:t>2,177</w:t>
            </w:r>
          </w:p>
        </w:tc>
        <w:tc>
          <w:tcPr>
            <w:tcW w:w="1566" w:type="dxa"/>
            <w:tcBorders>
              <w:top w:val="single" w:sz="4" w:space="0" w:color="auto"/>
              <w:bottom w:val="single" w:sz="4" w:space="0" w:color="auto"/>
            </w:tcBorders>
            <w:shd w:val="clear" w:color="auto" w:fill="FFFFFF"/>
            <w:noWrap/>
            <w:vAlign w:val="center"/>
          </w:tcPr>
          <w:p w14:paraId="6A3B3316" w14:textId="77777777" w:rsidR="001E5984" w:rsidRPr="00B536AB" w:rsidRDefault="001E5984" w:rsidP="005E1D8B">
            <w:pPr>
              <w:spacing w:after="0" w:line="240" w:lineRule="auto"/>
              <w:jc w:val="center"/>
              <w:rPr>
                <w:rFonts w:ascii="David" w:hAnsi="David" w:cs="David"/>
                <w:b/>
                <w:bCs/>
                <w:color w:val="000000"/>
              </w:rPr>
            </w:pPr>
            <w:r w:rsidRPr="00B536AB">
              <w:rPr>
                <w:rFonts w:ascii="David" w:hAnsi="David" w:cs="David" w:hint="cs"/>
                <w:b/>
                <w:bCs/>
                <w:color w:val="000000"/>
                <w:rtl/>
              </w:rPr>
              <w:t>6:12</w:t>
            </w:r>
          </w:p>
        </w:tc>
        <w:tc>
          <w:tcPr>
            <w:tcW w:w="1134" w:type="dxa"/>
            <w:tcBorders>
              <w:top w:val="single" w:sz="4" w:space="0" w:color="auto"/>
              <w:bottom w:val="single" w:sz="4" w:space="0" w:color="auto"/>
            </w:tcBorders>
            <w:shd w:val="clear" w:color="auto" w:fill="FFFFFF"/>
            <w:vAlign w:val="center"/>
          </w:tcPr>
          <w:p w14:paraId="7C23B49F" w14:textId="77777777" w:rsidR="001E5984" w:rsidRPr="00B536AB" w:rsidRDefault="001E5984" w:rsidP="005E1D8B">
            <w:pPr>
              <w:spacing w:after="0" w:line="240" w:lineRule="auto"/>
              <w:jc w:val="center"/>
              <w:rPr>
                <w:rFonts w:ascii="David" w:hAnsi="David" w:cs="David"/>
                <w:color w:val="000000"/>
                <w:rtl/>
              </w:rPr>
            </w:pPr>
            <w:r w:rsidRPr="00B536AB">
              <w:rPr>
                <w:rFonts w:ascii="David" w:hAnsi="David" w:cs="David" w:hint="cs"/>
                <w:color w:val="000000"/>
                <w:rtl/>
              </w:rPr>
              <w:t>85</w:t>
            </w:r>
          </w:p>
        </w:tc>
      </w:tr>
      <w:tr w:rsidR="001E5984" w:rsidRPr="00B536AB" w14:paraId="125C34DB" w14:textId="77777777" w:rsidTr="005E1D8B">
        <w:trPr>
          <w:trHeight w:val="600"/>
        </w:trPr>
        <w:tc>
          <w:tcPr>
            <w:tcW w:w="995" w:type="dxa"/>
            <w:tcBorders>
              <w:top w:val="single" w:sz="4" w:space="0" w:color="auto"/>
              <w:bottom w:val="single" w:sz="4" w:space="0" w:color="auto"/>
            </w:tcBorders>
            <w:shd w:val="clear" w:color="auto" w:fill="D9D9D9"/>
            <w:noWrap/>
            <w:vAlign w:val="center"/>
          </w:tcPr>
          <w:p w14:paraId="0CF685E5"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D9D9D9"/>
            <w:noWrap/>
            <w:vAlign w:val="center"/>
          </w:tcPr>
          <w:p w14:paraId="687B5897"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עניינים מנהליים</w:t>
            </w:r>
          </w:p>
        </w:tc>
        <w:tc>
          <w:tcPr>
            <w:tcW w:w="2551" w:type="dxa"/>
            <w:tcBorders>
              <w:top w:val="single" w:sz="4" w:space="0" w:color="auto"/>
              <w:bottom w:val="single" w:sz="4" w:space="0" w:color="auto"/>
            </w:tcBorders>
            <w:shd w:val="clear" w:color="auto" w:fill="D9D9D9"/>
            <w:vAlign w:val="center"/>
          </w:tcPr>
          <w:p w14:paraId="5F027940" w14:textId="77777777" w:rsidR="001E5984" w:rsidRPr="00B536AB" w:rsidRDefault="001E5984" w:rsidP="005E1D8B">
            <w:pPr>
              <w:spacing w:after="0" w:line="240" w:lineRule="auto"/>
              <w:rPr>
                <w:rFonts w:ascii="David" w:hAnsi="David" w:cs="David"/>
                <w:color w:val="000000"/>
                <w:rtl/>
              </w:rPr>
            </w:pPr>
            <w:r w:rsidRPr="00B536AB">
              <w:rPr>
                <w:rFonts w:ascii="David" w:hAnsi="David" w:cs="David"/>
                <w:color w:val="000000"/>
                <w:rtl/>
              </w:rPr>
              <w:t>עתירה מנהלית (עת"מ)</w:t>
            </w:r>
          </w:p>
        </w:tc>
        <w:tc>
          <w:tcPr>
            <w:tcW w:w="1551" w:type="dxa"/>
            <w:tcBorders>
              <w:top w:val="single" w:sz="4" w:space="0" w:color="auto"/>
              <w:bottom w:val="single" w:sz="4" w:space="0" w:color="auto"/>
            </w:tcBorders>
            <w:shd w:val="clear" w:color="auto" w:fill="D9D9D9"/>
            <w:vAlign w:val="center"/>
          </w:tcPr>
          <w:p w14:paraId="7CF26D0E"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color w:val="000000"/>
              </w:rPr>
              <w:t>4,971</w:t>
            </w:r>
          </w:p>
        </w:tc>
        <w:tc>
          <w:tcPr>
            <w:tcW w:w="1566" w:type="dxa"/>
            <w:tcBorders>
              <w:top w:val="single" w:sz="4" w:space="0" w:color="auto"/>
              <w:bottom w:val="single" w:sz="4" w:space="0" w:color="auto"/>
            </w:tcBorders>
            <w:shd w:val="clear" w:color="auto" w:fill="D9D9D9"/>
            <w:noWrap/>
            <w:vAlign w:val="center"/>
          </w:tcPr>
          <w:p w14:paraId="7B4EA5FF" w14:textId="77777777" w:rsidR="001E5984" w:rsidRPr="00B536AB" w:rsidRDefault="001E5984" w:rsidP="005E1D8B">
            <w:pPr>
              <w:spacing w:after="0" w:line="240" w:lineRule="auto"/>
              <w:jc w:val="center"/>
              <w:rPr>
                <w:rFonts w:ascii="David" w:hAnsi="David" w:cs="David"/>
                <w:b/>
                <w:bCs/>
                <w:color w:val="000000"/>
              </w:rPr>
            </w:pPr>
            <w:r w:rsidRPr="00B536AB">
              <w:rPr>
                <w:rFonts w:ascii="David" w:hAnsi="David" w:cs="David" w:hint="cs"/>
                <w:b/>
                <w:bCs/>
                <w:color w:val="000000"/>
                <w:rtl/>
              </w:rPr>
              <w:t>5:51</w:t>
            </w:r>
          </w:p>
        </w:tc>
        <w:tc>
          <w:tcPr>
            <w:tcW w:w="1134" w:type="dxa"/>
            <w:tcBorders>
              <w:top w:val="single" w:sz="4" w:space="0" w:color="auto"/>
              <w:bottom w:val="single" w:sz="4" w:space="0" w:color="auto"/>
            </w:tcBorders>
            <w:shd w:val="clear" w:color="auto" w:fill="D9D9D9"/>
            <w:vAlign w:val="center"/>
          </w:tcPr>
          <w:p w14:paraId="134327D8"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hint="cs"/>
                <w:color w:val="000000"/>
                <w:rtl/>
              </w:rPr>
              <w:t>80</w:t>
            </w:r>
          </w:p>
        </w:tc>
      </w:tr>
      <w:tr w:rsidR="001E5984" w:rsidRPr="00B536AB" w14:paraId="6953BEEE" w14:textId="77777777" w:rsidTr="005E1D8B">
        <w:trPr>
          <w:trHeight w:val="274"/>
        </w:trPr>
        <w:tc>
          <w:tcPr>
            <w:tcW w:w="995" w:type="dxa"/>
            <w:tcBorders>
              <w:top w:val="single" w:sz="4" w:space="0" w:color="auto"/>
              <w:bottom w:val="single" w:sz="4" w:space="0" w:color="auto"/>
            </w:tcBorders>
            <w:shd w:val="clear" w:color="auto" w:fill="FFFFFF"/>
            <w:noWrap/>
            <w:vAlign w:val="center"/>
          </w:tcPr>
          <w:p w14:paraId="76646F8D"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FFFFFF"/>
            <w:noWrap/>
            <w:vAlign w:val="center"/>
          </w:tcPr>
          <w:p w14:paraId="061864B2"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אזרחי</w:t>
            </w:r>
          </w:p>
        </w:tc>
        <w:tc>
          <w:tcPr>
            <w:tcW w:w="2551" w:type="dxa"/>
            <w:tcBorders>
              <w:top w:val="single" w:sz="4" w:space="0" w:color="auto"/>
              <w:bottom w:val="single" w:sz="4" w:space="0" w:color="auto"/>
            </w:tcBorders>
            <w:shd w:val="clear" w:color="auto" w:fill="FFFFFF"/>
            <w:vAlign w:val="center"/>
          </w:tcPr>
          <w:p w14:paraId="70DBA680" w14:textId="77777777" w:rsidR="001E5984" w:rsidRPr="00B536AB" w:rsidRDefault="001E5984" w:rsidP="005E1D8B">
            <w:pPr>
              <w:spacing w:after="0" w:line="240" w:lineRule="auto"/>
              <w:rPr>
                <w:rFonts w:ascii="David" w:hAnsi="David" w:cs="David"/>
                <w:color w:val="000000"/>
                <w:rtl/>
              </w:rPr>
            </w:pPr>
            <w:r w:rsidRPr="00B536AB">
              <w:rPr>
                <w:rFonts w:ascii="David" w:hAnsi="David" w:cs="David"/>
                <w:color w:val="000000"/>
                <w:rtl/>
              </w:rPr>
              <w:t>המרצת פתיחה בוררות (הפ"ב)</w:t>
            </w:r>
          </w:p>
        </w:tc>
        <w:tc>
          <w:tcPr>
            <w:tcW w:w="1551" w:type="dxa"/>
            <w:tcBorders>
              <w:top w:val="single" w:sz="4" w:space="0" w:color="auto"/>
              <w:bottom w:val="single" w:sz="4" w:space="0" w:color="auto"/>
            </w:tcBorders>
            <w:shd w:val="clear" w:color="auto" w:fill="FFFFFF"/>
            <w:vAlign w:val="center"/>
          </w:tcPr>
          <w:p w14:paraId="358F724A" w14:textId="77777777" w:rsidR="001E5984" w:rsidRPr="00B536AB" w:rsidRDefault="001E5984" w:rsidP="005E1D8B">
            <w:pPr>
              <w:spacing w:after="0" w:line="240" w:lineRule="auto"/>
              <w:jc w:val="center"/>
              <w:rPr>
                <w:rFonts w:ascii="David" w:hAnsi="David" w:cs="David"/>
                <w:color w:val="000000"/>
                <w:rtl/>
              </w:rPr>
            </w:pPr>
            <w:r w:rsidRPr="00B536AB">
              <w:rPr>
                <w:rFonts w:ascii="David" w:hAnsi="David" w:cs="David" w:hint="cs"/>
                <w:color w:val="000000"/>
                <w:rtl/>
              </w:rPr>
              <w:t>697</w:t>
            </w:r>
          </w:p>
        </w:tc>
        <w:tc>
          <w:tcPr>
            <w:tcW w:w="1566" w:type="dxa"/>
            <w:tcBorders>
              <w:top w:val="single" w:sz="4" w:space="0" w:color="auto"/>
              <w:bottom w:val="single" w:sz="4" w:space="0" w:color="auto"/>
            </w:tcBorders>
            <w:shd w:val="clear" w:color="auto" w:fill="FFFFFF"/>
            <w:noWrap/>
            <w:vAlign w:val="center"/>
          </w:tcPr>
          <w:p w14:paraId="5B20490A" w14:textId="77777777" w:rsidR="001E5984" w:rsidRPr="00B536AB" w:rsidRDefault="001E5984" w:rsidP="005E1D8B">
            <w:pPr>
              <w:spacing w:after="0" w:line="240" w:lineRule="auto"/>
              <w:jc w:val="center"/>
              <w:rPr>
                <w:rFonts w:ascii="David" w:hAnsi="David" w:cs="David"/>
                <w:b/>
                <w:bCs/>
                <w:color w:val="000000"/>
              </w:rPr>
            </w:pPr>
            <w:r w:rsidRPr="00B536AB">
              <w:rPr>
                <w:rFonts w:ascii="David" w:hAnsi="David" w:cs="David"/>
                <w:b/>
                <w:bCs/>
                <w:color w:val="000000"/>
              </w:rPr>
              <w:t>5:12</w:t>
            </w:r>
          </w:p>
        </w:tc>
        <w:tc>
          <w:tcPr>
            <w:tcW w:w="1134" w:type="dxa"/>
            <w:tcBorders>
              <w:top w:val="single" w:sz="4" w:space="0" w:color="auto"/>
              <w:bottom w:val="single" w:sz="4" w:space="0" w:color="auto"/>
            </w:tcBorders>
            <w:shd w:val="clear" w:color="auto" w:fill="FFFFFF"/>
            <w:vAlign w:val="center"/>
          </w:tcPr>
          <w:p w14:paraId="009EDB67"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color w:val="000000"/>
              </w:rPr>
              <w:t>71</w:t>
            </w:r>
          </w:p>
        </w:tc>
      </w:tr>
      <w:tr w:rsidR="001E5984" w:rsidRPr="00B536AB" w14:paraId="3E4545B3" w14:textId="77777777" w:rsidTr="005E1D8B">
        <w:trPr>
          <w:trHeight w:val="274"/>
        </w:trPr>
        <w:tc>
          <w:tcPr>
            <w:tcW w:w="995" w:type="dxa"/>
            <w:tcBorders>
              <w:top w:val="single" w:sz="4" w:space="0" w:color="auto"/>
              <w:bottom w:val="single" w:sz="4" w:space="0" w:color="auto"/>
            </w:tcBorders>
            <w:shd w:val="clear" w:color="auto" w:fill="D9D9D9"/>
            <w:noWrap/>
            <w:vAlign w:val="center"/>
          </w:tcPr>
          <w:p w14:paraId="4CD0995C"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D9D9D9"/>
            <w:noWrap/>
            <w:vAlign w:val="center"/>
          </w:tcPr>
          <w:p w14:paraId="79984F1C"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אזרחי</w:t>
            </w:r>
          </w:p>
        </w:tc>
        <w:tc>
          <w:tcPr>
            <w:tcW w:w="2551" w:type="dxa"/>
            <w:tcBorders>
              <w:top w:val="single" w:sz="4" w:space="0" w:color="auto"/>
              <w:bottom w:val="single" w:sz="4" w:space="0" w:color="auto"/>
            </w:tcBorders>
            <w:shd w:val="clear" w:color="auto" w:fill="D9D9D9"/>
            <w:vAlign w:val="center"/>
          </w:tcPr>
          <w:p w14:paraId="631FEC91" w14:textId="77777777" w:rsidR="001E5984" w:rsidRPr="00B536AB" w:rsidRDefault="001E5984" w:rsidP="005E1D8B">
            <w:pPr>
              <w:spacing w:after="0" w:line="240" w:lineRule="auto"/>
              <w:rPr>
                <w:rFonts w:ascii="David" w:hAnsi="David" w:cs="David"/>
                <w:color w:val="000000"/>
                <w:rtl/>
              </w:rPr>
            </w:pPr>
            <w:r w:rsidRPr="00B536AB">
              <w:rPr>
                <w:rFonts w:ascii="David" w:hAnsi="David" w:cs="David"/>
                <w:color w:val="000000"/>
                <w:rtl/>
              </w:rPr>
              <w:t>ערעור אזרחי (ע"א) - דן יחיד</w:t>
            </w:r>
          </w:p>
        </w:tc>
        <w:tc>
          <w:tcPr>
            <w:tcW w:w="1551" w:type="dxa"/>
            <w:tcBorders>
              <w:top w:val="single" w:sz="4" w:space="0" w:color="auto"/>
              <w:bottom w:val="single" w:sz="4" w:space="0" w:color="auto"/>
            </w:tcBorders>
            <w:shd w:val="clear" w:color="auto" w:fill="D9D9D9"/>
            <w:vAlign w:val="center"/>
          </w:tcPr>
          <w:p w14:paraId="5AC35935"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hint="cs"/>
                <w:color w:val="000000"/>
                <w:rtl/>
              </w:rPr>
              <w:t>1,394</w:t>
            </w:r>
          </w:p>
        </w:tc>
        <w:tc>
          <w:tcPr>
            <w:tcW w:w="1566" w:type="dxa"/>
            <w:tcBorders>
              <w:top w:val="single" w:sz="4" w:space="0" w:color="auto"/>
              <w:bottom w:val="single" w:sz="4" w:space="0" w:color="auto"/>
            </w:tcBorders>
            <w:shd w:val="clear" w:color="auto" w:fill="D9D9D9"/>
            <w:noWrap/>
            <w:vAlign w:val="center"/>
          </w:tcPr>
          <w:p w14:paraId="13421AA0" w14:textId="77777777" w:rsidR="001E5984" w:rsidRPr="00B536AB" w:rsidRDefault="001E5984" w:rsidP="005E1D8B">
            <w:pPr>
              <w:spacing w:after="0" w:line="240" w:lineRule="auto"/>
              <w:jc w:val="center"/>
              <w:rPr>
                <w:rFonts w:ascii="David" w:hAnsi="David" w:cs="David"/>
                <w:b/>
                <w:bCs/>
                <w:color w:val="000000"/>
              </w:rPr>
            </w:pPr>
            <w:r w:rsidRPr="00B536AB">
              <w:rPr>
                <w:rFonts w:ascii="David" w:hAnsi="David" w:cs="David"/>
                <w:b/>
                <w:bCs/>
                <w:color w:val="000000"/>
              </w:rPr>
              <w:t>4:35</w:t>
            </w:r>
          </w:p>
        </w:tc>
        <w:tc>
          <w:tcPr>
            <w:tcW w:w="1134" w:type="dxa"/>
            <w:tcBorders>
              <w:top w:val="single" w:sz="4" w:space="0" w:color="auto"/>
              <w:bottom w:val="single" w:sz="4" w:space="0" w:color="auto"/>
            </w:tcBorders>
            <w:shd w:val="clear" w:color="auto" w:fill="D9D9D9"/>
            <w:vAlign w:val="center"/>
          </w:tcPr>
          <w:p w14:paraId="6A0433D4"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hint="cs"/>
                <w:color w:val="000000"/>
                <w:rtl/>
              </w:rPr>
              <w:t>63</w:t>
            </w:r>
          </w:p>
        </w:tc>
      </w:tr>
      <w:tr w:rsidR="001E5984" w:rsidRPr="00B536AB" w14:paraId="5E5ADFAE" w14:textId="77777777" w:rsidTr="005E1D8B">
        <w:trPr>
          <w:trHeight w:val="300"/>
        </w:trPr>
        <w:tc>
          <w:tcPr>
            <w:tcW w:w="995" w:type="dxa"/>
            <w:tcBorders>
              <w:top w:val="single" w:sz="4" w:space="0" w:color="auto"/>
              <w:bottom w:val="single" w:sz="4" w:space="0" w:color="auto"/>
            </w:tcBorders>
            <w:shd w:val="clear" w:color="auto" w:fill="FFFFFF"/>
            <w:noWrap/>
            <w:vAlign w:val="center"/>
          </w:tcPr>
          <w:p w14:paraId="028FBD45"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FFFFFF"/>
            <w:noWrap/>
            <w:vAlign w:val="center"/>
          </w:tcPr>
          <w:p w14:paraId="5F5CC05A"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אזרחי</w:t>
            </w:r>
          </w:p>
        </w:tc>
        <w:tc>
          <w:tcPr>
            <w:tcW w:w="2551" w:type="dxa"/>
            <w:tcBorders>
              <w:top w:val="single" w:sz="4" w:space="0" w:color="auto"/>
              <w:bottom w:val="single" w:sz="4" w:space="0" w:color="auto"/>
            </w:tcBorders>
            <w:shd w:val="clear" w:color="auto" w:fill="FFFFFF"/>
            <w:vAlign w:val="center"/>
          </w:tcPr>
          <w:p w14:paraId="044C370F" w14:textId="77777777" w:rsidR="001E5984" w:rsidRPr="00B536AB" w:rsidRDefault="001E5984" w:rsidP="005E1D8B">
            <w:pPr>
              <w:spacing w:after="0" w:line="240" w:lineRule="auto"/>
              <w:rPr>
                <w:rFonts w:ascii="David" w:hAnsi="David" w:cs="David"/>
                <w:color w:val="000000"/>
                <w:rtl/>
              </w:rPr>
            </w:pPr>
            <w:r w:rsidRPr="00B536AB">
              <w:rPr>
                <w:rFonts w:ascii="David" w:hAnsi="David" w:cs="David"/>
                <w:color w:val="000000"/>
                <w:rtl/>
              </w:rPr>
              <w:t>פשיטת רגל (פש"ר)</w:t>
            </w:r>
          </w:p>
        </w:tc>
        <w:tc>
          <w:tcPr>
            <w:tcW w:w="1551" w:type="dxa"/>
            <w:tcBorders>
              <w:top w:val="single" w:sz="4" w:space="0" w:color="auto"/>
              <w:bottom w:val="single" w:sz="4" w:space="0" w:color="auto"/>
            </w:tcBorders>
            <w:shd w:val="clear" w:color="auto" w:fill="FFFFFF"/>
            <w:vAlign w:val="center"/>
          </w:tcPr>
          <w:p w14:paraId="7AE8F650"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color w:val="000000"/>
              </w:rPr>
              <w:t>18,578</w:t>
            </w:r>
          </w:p>
        </w:tc>
        <w:tc>
          <w:tcPr>
            <w:tcW w:w="1566" w:type="dxa"/>
            <w:tcBorders>
              <w:top w:val="single" w:sz="4" w:space="0" w:color="auto"/>
              <w:bottom w:val="single" w:sz="4" w:space="0" w:color="auto"/>
            </w:tcBorders>
            <w:shd w:val="clear" w:color="auto" w:fill="FFFFFF"/>
            <w:noWrap/>
            <w:vAlign w:val="center"/>
          </w:tcPr>
          <w:p w14:paraId="563E6049" w14:textId="77777777" w:rsidR="001E5984" w:rsidRPr="00B536AB" w:rsidRDefault="001E5984" w:rsidP="005E1D8B">
            <w:pPr>
              <w:spacing w:after="0" w:line="240" w:lineRule="auto"/>
              <w:jc w:val="center"/>
              <w:rPr>
                <w:rFonts w:ascii="David" w:hAnsi="David" w:cs="David"/>
                <w:b/>
                <w:bCs/>
                <w:color w:val="000000"/>
              </w:rPr>
            </w:pPr>
            <w:r w:rsidRPr="00B536AB">
              <w:rPr>
                <w:rFonts w:ascii="David" w:hAnsi="David" w:cs="David"/>
                <w:b/>
                <w:bCs/>
                <w:color w:val="000000"/>
              </w:rPr>
              <w:t>4:19</w:t>
            </w:r>
          </w:p>
        </w:tc>
        <w:tc>
          <w:tcPr>
            <w:tcW w:w="1134" w:type="dxa"/>
            <w:tcBorders>
              <w:top w:val="single" w:sz="4" w:space="0" w:color="auto"/>
              <w:bottom w:val="single" w:sz="4" w:space="0" w:color="auto"/>
            </w:tcBorders>
            <w:shd w:val="clear" w:color="auto" w:fill="FFFFFF"/>
            <w:vAlign w:val="center"/>
          </w:tcPr>
          <w:p w14:paraId="3200A8DC"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hint="cs"/>
                <w:color w:val="000000"/>
                <w:rtl/>
              </w:rPr>
              <w:t>59</w:t>
            </w:r>
          </w:p>
        </w:tc>
      </w:tr>
      <w:tr w:rsidR="001E5984" w:rsidRPr="00B536AB" w14:paraId="66ED9453" w14:textId="77777777" w:rsidTr="005E1D8B">
        <w:trPr>
          <w:trHeight w:val="300"/>
        </w:trPr>
        <w:tc>
          <w:tcPr>
            <w:tcW w:w="995" w:type="dxa"/>
            <w:tcBorders>
              <w:top w:val="single" w:sz="4" w:space="0" w:color="auto"/>
              <w:bottom w:val="single" w:sz="4" w:space="0" w:color="auto"/>
            </w:tcBorders>
            <w:shd w:val="clear" w:color="auto" w:fill="D9D9D9"/>
            <w:noWrap/>
            <w:vAlign w:val="center"/>
          </w:tcPr>
          <w:p w14:paraId="5F43F54B"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D9D9D9"/>
            <w:noWrap/>
            <w:vAlign w:val="center"/>
          </w:tcPr>
          <w:p w14:paraId="4D262B57"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עניינים מנהליים/</w:t>
            </w:r>
            <w:r w:rsidRPr="00B536AB">
              <w:rPr>
                <w:rFonts w:ascii="David" w:hAnsi="David" w:cs="David" w:hint="cs"/>
                <w:color w:val="000000"/>
                <w:rtl/>
              </w:rPr>
              <w:t xml:space="preserve"> </w:t>
            </w:r>
            <w:r w:rsidRPr="00B536AB">
              <w:rPr>
                <w:rFonts w:ascii="David" w:hAnsi="David" w:cs="David"/>
                <w:color w:val="000000"/>
                <w:rtl/>
              </w:rPr>
              <w:t>אזרחי</w:t>
            </w:r>
          </w:p>
        </w:tc>
        <w:tc>
          <w:tcPr>
            <w:tcW w:w="2551" w:type="dxa"/>
            <w:tcBorders>
              <w:top w:val="single" w:sz="4" w:space="0" w:color="auto"/>
              <w:bottom w:val="single" w:sz="4" w:space="0" w:color="auto"/>
            </w:tcBorders>
            <w:shd w:val="clear" w:color="auto" w:fill="D9D9D9"/>
            <w:vAlign w:val="center"/>
          </w:tcPr>
          <w:p w14:paraId="4C59946D" w14:textId="77777777" w:rsidR="001E5984" w:rsidRPr="00B536AB" w:rsidRDefault="001E5984" w:rsidP="005E1D8B">
            <w:pPr>
              <w:spacing w:after="0" w:line="240" w:lineRule="auto"/>
              <w:rPr>
                <w:rFonts w:ascii="David" w:hAnsi="David" w:cs="David"/>
                <w:color w:val="000000"/>
                <w:rtl/>
              </w:rPr>
            </w:pPr>
            <w:r w:rsidRPr="00B536AB">
              <w:rPr>
                <w:rFonts w:ascii="David" w:hAnsi="David" w:cs="David"/>
                <w:color w:val="000000"/>
                <w:rtl/>
              </w:rPr>
              <w:t>ועדת ערר (ו"ע)</w:t>
            </w:r>
          </w:p>
        </w:tc>
        <w:tc>
          <w:tcPr>
            <w:tcW w:w="1551" w:type="dxa"/>
            <w:tcBorders>
              <w:top w:val="single" w:sz="4" w:space="0" w:color="auto"/>
              <w:bottom w:val="single" w:sz="4" w:space="0" w:color="auto"/>
            </w:tcBorders>
            <w:shd w:val="clear" w:color="auto" w:fill="D9D9D9"/>
            <w:vAlign w:val="center"/>
          </w:tcPr>
          <w:p w14:paraId="23A0020D"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hint="cs"/>
                <w:color w:val="000000"/>
                <w:rtl/>
              </w:rPr>
              <w:t>777</w:t>
            </w:r>
          </w:p>
        </w:tc>
        <w:tc>
          <w:tcPr>
            <w:tcW w:w="1566" w:type="dxa"/>
            <w:tcBorders>
              <w:top w:val="single" w:sz="4" w:space="0" w:color="auto"/>
              <w:bottom w:val="single" w:sz="4" w:space="0" w:color="auto"/>
            </w:tcBorders>
            <w:shd w:val="clear" w:color="auto" w:fill="D9D9D9"/>
            <w:noWrap/>
            <w:vAlign w:val="center"/>
          </w:tcPr>
          <w:p w14:paraId="4C7B6824" w14:textId="77777777" w:rsidR="001E5984" w:rsidRPr="00B536AB" w:rsidRDefault="001E5984" w:rsidP="005E1D8B">
            <w:pPr>
              <w:spacing w:after="0" w:line="240" w:lineRule="auto"/>
              <w:jc w:val="center"/>
              <w:rPr>
                <w:rFonts w:ascii="David" w:hAnsi="David" w:cs="David"/>
                <w:b/>
                <w:bCs/>
                <w:color w:val="000000"/>
              </w:rPr>
            </w:pPr>
            <w:r w:rsidRPr="00B536AB">
              <w:rPr>
                <w:rFonts w:ascii="David" w:hAnsi="David" w:cs="David" w:hint="cs"/>
                <w:b/>
                <w:bCs/>
                <w:color w:val="000000"/>
                <w:rtl/>
              </w:rPr>
              <w:t>4:15</w:t>
            </w:r>
          </w:p>
        </w:tc>
        <w:tc>
          <w:tcPr>
            <w:tcW w:w="1134" w:type="dxa"/>
            <w:tcBorders>
              <w:top w:val="single" w:sz="4" w:space="0" w:color="auto"/>
              <w:bottom w:val="single" w:sz="4" w:space="0" w:color="auto"/>
            </w:tcBorders>
            <w:shd w:val="clear" w:color="auto" w:fill="D9D9D9"/>
            <w:vAlign w:val="center"/>
          </w:tcPr>
          <w:p w14:paraId="3557087E"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hint="cs"/>
                <w:color w:val="000000"/>
                <w:rtl/>
              </w:rPr>
              <w:t>58</w:t>
            </w:r>
          </w:p>
        </w:tc>
      </w:tr>
      <w:tr w:rsidR="001E5984" w:rsidRPr="00B536AB" w14:paraId="43F3FFB7" w14:textId="77777777" w:rsidTr="005E1D8B">
        <w:trPr>
          <w:trHeight w:val="300"/>
        </w:trPr>
        <w:tc>
          <w:tcPr>
            <w:tcW w:w="995" w:type="dxa"/>
            <w:tcBorders>
              <w:top w:val="single" w:sz="4" w:space="0" w:color="auto"/>
              <w:bottom w:val="single" w:sz="4" w:space="0" w:color="auto"/>
            </w:tcBorders>
            <w:shd w:val="clear" w:color="auto" w:fill="FFFFFF"/>
            <w:noWrap/>
            <w:vAlign w:val="center"/>
          </w:tcPr>
          <w:p w14:paraId="43602A17"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FFFFFF"/>
            <w:noWrap/>
            <w:vAlign w:val="center"/>
          </w:tcPr>
          <w:p w14:paraId="5B3B8A72" w14:textId="77777777" w:rsidR="001E5984" w:rsidRPr="00B536AB" w:rsidRDefault="001E5984" w:rsidP="005E1D8B">
            <w:pPr>
              <w:spacing w:after="0" w:line="240" w:lineRule="auto"/>
              <w:rPr>
                <w:rFonts w:ascii="David" w:hAnsi="David" w:cs="David"/>
                <w:color w:val="000000"/>
              </w:rPr>
            </w:pPr>
            <w:r w:rsidRPr="00B536AB">
              <w:rPr>
                <w:rFonts w:ascii="David" w:hAnsi="David" w:cs="David"/>
                <w:color w:val="000000"/>
                <w:rtl/>
              </w:rPr>
              <w:t>אזרחי</w:t>
            </w:r>
          </w:p>
        </w:tc>
        <w:tc>
          <w:tcPr>
            <w:tcW w:w="2551" w:type="dxa"/>
            <w:tcBorders>
              <w:top w:val="single" w:sz="4" w:space="0" w:color="auto"/>
              <w:bottom w:val="single" w:sz="4" w:space="0" w:color="auto"/>
            </w:tcBorders>
            <w:shd w:val="clear" w:color="auto" w:fill="FFFFFF"/>
            <w:vAlign w:val="center"/>
          </w:tcPr>
          <w:p w14:paraId="163B2C4E" w14:textId="77777777" w:rsidR="001E5984" w:rsidRPr="00B536AB" w:rsidRDefault="001E5984" w:rsidP="005E1D8B">
            <w:pPr>
              <w:spacing w:after="0" w:line="240" w:lineRule="auto"/>
              <w:rPr>
                <w:rFonts w:ascii="David" w:hAnsi="David" w:cs="David"/>
                <w:color w:val="000000"/>
                <w:rtl/>
              </w:rPr>
            </w:pPr>
            <w:r w:rsidRPr="00B536AB">
              <w:rPr>
                <w:rFonts w:ascii="David" w:hAnsi="David" w:cs="David"/>
                <w:color w:val="000000"/>
                <w:rtl/>
              </w:rPr>
              <w:t>ערעור שונה - אזרחי (עש"א)</w:t>
            </w:r>
          </w:p>
        </w:tc>
        <w:tc>
          <w:tcPr>
            <w:tcW w:w="1551" w:type="dxa"/>
            <w:tcBorders>
              <w:top w:val="single" w:sz="4" w:space="0" w:color="auto"/>
              <w:bottom w:val="single" w:sz="4" w:space="0" w:color="auto"/>
            </w:tcBorders>
            <w:shd w:val="clear" w:color="auto" w:fill="FFFFFF"/>
            <w:vAlign w:val="center"/>
          </w:tcPr>
          <w:p w14:paraId="771F6D98"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hint="cs"/>
                <w:color w:val="000000"/>
                <w:rtl/>
              </w:rPr>
              <w:t>446</w:t>
            </w:r>
          </w:p>
        </w:tc>
        <w:tc>
          <w:tcPr>
            <w:tcW w:w="1566" w:type="dxa"/>
            <w:tcBorders>
              <w:top w:val="single" w:sz="4" w:space="0" w:color="auto"/>
              <w:bottom w:val="single" w:sz="4" w:space="0" w:color="auto"/>
            </w:tcBorders>
            <w:shd w:val="clear" w:color="auto" w:fill="FFFFFF"/>
            <w:noWrap/>
            <w:vAlign w:val="center"/>
          </w:tcPr>
          <w:p w14:paraId="0BBC6871" w14:textId="77777777" w:rsidR="001E5984" w:rsidRPr="00B536AB" w:rsidRDefault="001E5984" w:rsidP="005E1D8B">
            <w:pPr>
              <w:spacing w:after="0" w:line="240" w:lineRule="auto"/>
              <w:jc w:val="center"/>
              <w:rPr>
                <w:rFonts w:ascii="David" w:hAnsi="David" w:cs="David"/>
                <w:b/>
                <w:bCs/>
                <w:color w:val="000000"/>
              </w:rPr>
            </w:pPr>
            <w:r w:rsidRPr="00B536AB">
              <w:rPr>
                <w:rFonts w:ascii="David" w:hAnsi="David" w:cs="David" w:hint="cs"/>
                <w:b/>
                <w:bCs/>
                <w:color w:val="000000"/>
                <w:rtl/>
              </w:rPr>
              <w:t>3:49</w:t>
            </w:r>
          </w:p>
        </w:tc>
        <w:tc>
          <w:tcPr>
            <w:tcW w:w="1134" w:type="dxa"/>
            <w:tcBorders>
              <w:top w:val="single" w:sz="4" w:space="0" w:color="auto"/>
              <w:bottom w:val="single" w:sz="4" w:space="0" w:color="auto"/>
            </w:tcBorders>
            <w:shd w:val="clear" w:color="auto" w:fill="FFFFFF"/>
            <w:vAlign w:val="center"/>
          </w:tcPr>
          <w:p w14:paraId="55FF7338" w14:textId="77777777" w:rsidR="001E5984" w:rsidRPr="00B536AB" w:rsidRDefault="001E5984" w:rsidP="005E1D8B">
            <w:pPr>
              <w:spacing w:after="0" w:line="240" w:lineRule="auto"/>
              <w:jc w:val="center"/>
              <w:rPr>
                <w:rFonts w:ascii="David" w:hAnsi="David" w:cs="David"/>
                <w:color w:val="000000"/>
              </w:rPr>
            </w:pPr>
            <w:r w:rsidRPr="00B536AB">
              <w:rPr>
                <w:rFonts w:ascii="David" w:hAnsi="David" w:cs="David" w:hint="cs"/>
                <w:color w:val="000000"/>
                <w:rtl/>
              </w:rPr>
              <w:t>52</w:t>
            </w:r>
          </w:p>
        </w:tc>
      </w:tr>
      <w:tr w:rsidR="005E1D8B" w:rsidRPr="00B536AB" w14:paraId="6619FA1F" w14:textId="77777777" w:rsidTr="005E1D8B">
        <w:trPr>
          <w:trHeight w:val="300"/>
        </w:trPr>
        <w:tc>
          <w:tcPr>
            <w:tcW w:w="995" w:type="dxa"/>
            <w:tcBorders>
              <w:top w:val="single" w:sz="4" w:space="0" w:color="auto"/>
              <w:bottom w:val="single" w:sz="4" w:space="0" w:color="auto"/>
            </w:tcBorders>
            <w:shd w:val="clear" w:color="auto" w:fill="D9D9D9"/>
            <w:noWrap/>
            <w:vAlign w:val="center"/>
          </w:tcPr>
          <w:p w14:paraId="02A5D731" w14:textId="77777777" w:rsidR="005E1D8B" w:rsidRPr="00B536AB" w:rsidRDefault="005E1D8B" w:rsidP="005E1D8B">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D9D9D9"/>
            <w:noWrap/>
            <w:vAlign w:val="center"/>
          </w:tcPr>
          <w:p w14:paraId="2F3D1FC2" w14:textId="77777777" w:rsidR="005E1D8B" w:rsidRPr="00B536AB" w:rsidRDefault="005E1D8B" w:rsidP="005E1D8B">
            <w:pPr>
              <w:spacing w:after="0" w:line="240" w:lineRule="auto"/>
              <w:rPr>
                <w:rFonts w:ascii="David" w:hAnsi="David" w:cs="David"/>
                <w:color w:val="000000"/>
              </w:rPr>
            </w:pPr>
            <w:r w:rsidRPr="00B536AB">
              <w:rPr>
                <w:rFonts w:ascii="David" w:hAnsi="David" w:cs="David"/>
                <w:color w:val="000000"/>
                <w:rtl/>
              </w:rPr>
              <w:t>עניינים מנהליים/ אזרחי</w:t>
            </w:r>
          </w:p>
        </w:tc>
        <w:tc>
          <w:tcPr>
            <w:tcW w:w="2551" w:type="dxa"/>
            <w:tcBorders>
              <w:top w:val="single" w:sz="4" w:space="0" w:color="auto"/>
              <w:bottom w:val="single" w:sz="4" w:space="0" w:color="auto"/>
            </w:tcBorders>
            <w:shd w:val="clear" w:color="auto" w:fill="D9D9D9"/>
            <w:vAlign w:val="center"/>
          </w:tcPr>
          <w:p w14:paraId="56F82EB8" w14:textId="77777777" w:rsidR="005E1D8B" w:rsidRPr="00B536AB" w:rsidRDefault="005E1D8B" w:rsidP="005E1D8B">
            <w:pPr>
              <w:spacing w:after="0" w:line="240" w:lineRule="auto"/>
              <w:rPr>
                <w:rFonts w:ascii="David" w:hAnsi="David" w:cs="David"/>
                <w:color w:val="000000"/>
                <w:rtl/>
              </w:rPr>
            </w:pPr>
            <w:r w:rsidRPr="00B536AB">
              <w:rPr>
                <w:rFonts w:ascii="David" w:hAnsi="David" w:cs="David"/>
                <w:color w:val="000000"/>
                <w:rtl/>
              </w:rPr>
              <w:t>ערעור על ועדה (ע"ו)</w:t>
            </w:r>
          </w:p>
        </w:tc>
        <w:tc>
          <w:tcPr>
            <w:tcW w:w="1551" w:type="dxa"/>
            <w:tcBorders>
              <w:top w:val="single" w:sz="4" w:space="0" w:color="auto"/>
              <w:bottom w:val="single" w:sz="4" w:space="0" w:color="auto"/>
            </w:tcBorders>
            <w:shd w:val="clear" w:color="auto" w:fill="D9D9D9"/>
            <w:vAlign w:val="center"/>
          </w:tcPr>
          <w:p w14:paraId="0A252024" w14:textId="77777777" w:rsidR="005E1D8B" w:rsidRPr="00B536AB" w:rsidRDefault="005E1D8B" w:rsidP="005E1D8B">
            <w:pPr>
              <w:spacing w:after="0" w:line="240" w:lineRule="auto"/>
              <w:jc w:val="center"/>
              <w:rPr>
                <w:rFonts w:ascii="David" w:hAnsi="David" w:cs="David"/>
                <w:color w:val="000000"/>
              </w:rPr>
            </w:pPr>
            <w:r w:rsidRPr="00B536AB">
              <w:rPr>
                <w:rFonts w:ascii="David" w:hAnsi="David" w:cs="David"/>
                <w:color w:val="000000"/>
              </w:rPr>
              <w:t>1,034</w:t>
            </w:r>
          </w:p>
        </w:tc>
        <w:tc>
          <w:tcPr>
            <w:tcW w:w="1566" w:type="dxa"/>
            <w:tcBorders>
              <w:top w:val="single" w:sz="4" w:space="0" w:color="auto"/>
              <w:bottom w:val="single" w:sz="4" w:space="0" w:color="auto"/>
            </w:tcBorders>
            <w:shd w:val="clear" w:color="auto" w:fill="D9D9D9"/>
            <w:noWrap/>
            <w:vAlign w:val="center"/>
          </w:tcPr>
          <w:p w14:paraId="4D4EA9A5" w14:textId="77777777" w:rsidR="005E1D8B" w:rsidRPr="00B536AB" w:rsidRDefault="005E1D8B" w:rsidP="005E1D8B">
            <w:pPr>
              <w:spacing w:after="0" w:line="240" w:lineRule="auto"/>
              <w:jc w:val="center"/>
              <w:rPr>
                <w:rFonts w:ascii="David" w:hAnsi="David" w:cs="David"/>
                <w:b/>
                <w:bCs/>
                <w:color w:val="000000"/>
              </w:rPr>
            </w:pPr>
            <w:r w:rsidRPr="00B536AB">
              <w:rPr>
                <w:rFonts w:ascii="David" w:hAnsi="David" w:cs="David"/>
                <w:b/>
                <w:bCs/>
                <w:color w:val="000000"/>
              </w:rPr>
              <w:t>3:16</w:t>
            </w:r>
          </w:p>
        </w:tc>
        <w:tc>
          <w:tcPr>
            <w:tcW w:w="1134" w:type="dxa"/>
            <w:tcBorders>
              <w:top w:val="single" w:sz="4" w:space="0" w:color="auto"/>
              <w:bottom w:val="single" w:sz="4" w:space="0" w:color="auto"/>
            </w:tcBorders>
            <w:shd w:val="clear" w:color="auto" w:fill="D9D9D9"/>
            <w:vAlign w:val="center"/>
          </w:tcPr>
          <w:p w14:paraId="5DCEEAFE" w14:textId="77777777" w:rsidR="005E1D8B" w:rsidRPr="00B536AB" w:rsidRDefault="005E1D8B" w:rsidP="005E1D8B">
            <w:pPr>
              <w:spacing w:after="0" w:line="240" w:lineRule="auto"/>
              <w:jc w:val="center"/>
              <w:rPr>
                <w:rFonts w:ascii="David" w:hAnsi="David" w:cs="David"/>
                <w:color w:val="000000"/>
              </w:rPr>
            </w:pPr>
            <w:r w:rsidRPr="00B536AB">
              <w:rPr>
                <w:rFonts w:ascii="David" w:hAnsi="David" w:cs="David" w:hint="cs"/>
                <w:color w:val="000000"/>
                <w:rtl/>
              </w:rPr>
              <w:t>45</w:t>
            </w:r>
          </w:p>
        </w:tc>
      </w:tr>
      <w:tr w:rsidR="00DB5BCC" w:rsidRPr="00B536AB" w14:paraId="69040BA2" w14:textId="77777777" w:rsidTr="005E1D8B">
        <w:trPr>
          <w:trHeight w:val="540"/>
        </w:trPr>
        <w:tc>
          <w:tcPr>
            <w:tcW w:w="995" w:type="dxa"/>
            <w:tcBorders>
              <w:top w:val="single" w:sz="4" w:space="0" w:color="auto"/>
              <w:bottom w:val="single" w:sz="4" w:space="0" w:color="auto"/>
            </w:tcBorders>
            <w:shd w:val="clear" w:color="auto" w:fill="FFFFFF"/>
            <w:noWrap/>
            <w:vAlign w:val="center"/>
          </w:tcPr>
          <w:p w14:paraId="3428842B" w14:textId="77775DCD" w:rsidR="00DB5BCC" w:rsidRPr="00B536AB" w:rsidRDefault="00DB5BCC" w:rsidP="00DB5BCC">
            <w:pPr>
              <w:spacing w:after="0" w:line="240" w:lineRule="auto"/>
              <w:rPr>
                <w:rFonts w:ascii="David" w:hAnsi="David" w:cs="David"/>
                <w:color w:val="000000"/>
                <w:rtl/>
              </w:rPr>
            </w:pPr>
            <w:r w:rsidRPr="00B536AB">
              <w:rPr>
                <w:rFonts w:ascii="David" w:eastAsia="Times New Roman" w:hAnsi="David" w:cs="David"/>
                <w:b/>
                <w:bCs/>
                <w:color w:val="000000"/>
                <w:rtl/>
              </w:rPr>
              <w:lastRenderedPageBreak/>
              <w:t>ערכאה</w:t>
            </w:r>
          </w:p>
        </w:tc>
        <w:tc>
          <w:tcPr>
            <w:tcW w:w="1276" w:type="dxa"/>
            <w:tcBorders>
              <w:top w:val="single" w:sz="4" w:space="0" w:color="auto"/>
              <w:bottom w:val="single" w:sz="4" w:space="0" w:color="auto"/>
            </w:tcBorders>
            <w:shd w:val="clear" w:color="auto" w:fill="FFFFFF"/>
            <w:noWrap/>
            <w:vAlign w:val="center"/>
          </w:tcPr>
          <w:p w14:paraId="116343F5" w14:textId="39568A5E" w:rsidR="00DB5BCC" w:rsidRPr="00B536AB" w:rsidRDefault="00DB5BCC" w:rsidP="00DB5BCC">
            <w:pPr>
              <w:spacing w:after="0" w:line="240" w:lineRule="auto"/>
              <w:rPr>
                <w:rFonts w:ascii="David" w:hAnsi="David" w:cs="David"/>
                <w:color w:val="000000"/>
                <w:rtl/>
              </w:rPr>
            </w:pPr>
            <w:r w:rsidRPr="00B536AB">
              <w:rPr>
                <w:rFonts w:ascii="David" w:eastAsia="Times New Roman" w:hAnsi="David" w:cs="David"/>
                <w:b/>
                <w:bCs/>
                <w:color w:val="000000"/>
                <w:rtl/>
              </w:rPr>
              <w:t>הליך</w:t>
            </w:r>
          </w:p>
        </w:tc>
        <w:tc>
          <w:tcPr>
            <w:tcW w:w="2551" w:type="dxa"/>
            <w:tcBorders>
              <w:top w:val="single" w:sz="4" w:space="0" w:color="auto"/>
              <w:bottom w:val="single" w:sz="4" w:space="0" w:color="auto"/>
            </w:tcBorders>
            <w:shd w:val="clear" w:color="auto" w:fill="FFFFFF"/>
            <w:vAlign w:val="center"/>
          </w:tcPr>
          <w:p w14:paraId="2832DBC8" w14:textId="48070C98" w:rsidR="00DB5BCC" w:rsidRPr="00B536AB" w:rsidRDefault="00DB5BCC" w:rsidP="00DB5BCC">
            <w:pPr>
              <w:spacing w:after="0" w:line="240" w:lineRule="auto"/>
              <w:rPr>
                <w:rFonts w:ascii="David" w:hAnsi="David" w:cs="David"/>
                <w:color w:val="000000"/>
                <w:rtl/>
              </w:rPr>
            </w:pPr>
            <w:r w:rsidRPr="00B536AB">
              <w:rPr>
                <w:rFonts w:ascii="David" w:eastAsia="Times New Roman" w:hAnsi="David" w:cs="David"/>
                <w:b/>
                <w:bCs/>
                <w:color w:val="000000"/>
                <w:rtl/>
              </w:rPr>
              <w:t>סוג תיק</w:t>
            </w:r>
          </w:p>
        </w:tc>
        <w:tc>
          <w:tcPr>
            <w:tcW w:w="1551" w:type="dxa"/>
            <w:tcBorders>
              <w:top w:val="single" w:sz="4" w:space="0" w:color="auto"/>
              <w:bottom w:val="single" w:sz="4" w:space="0" w:color="auto"/>
            </w:tcBorders>
            <w:shd w:val="clear" w:color="auto" w:fill="FFFFFF"/>
            <w:vAlign w:val="center"/>
          </w:tcPr>
          <w:p w14:paraId="42264FF6" w14:textId="517AF1E5" w:rsidR="00DB5BCC" w:rsidRPr="00B536AB" w:rsidRDefault="00DB5BCC" w:rsidP="00DB5BCC">
            <w:pPr>
              <w:spacing w:after="0" w:line="240" w:lineRule="auto"/>
              <w:jc w:val="center"/>
              <w:rPr>
                <w:rFonts w:ascii="David" w:hAnsi="David" w:cs="David"/>
                <w:color w:val="000000"/>
              </w:rPr>
            </w:pPr>
            <w:r w:rsidRPr="00B536AB">
              <w:rPr>
                <w:rFonts w:ascii="David" w:eastAsia="Times New Roman" w:hAnsi="David" w:cs="David" w:hint="cs"/>
                <w:b/>
                <w:bCs/>
                <w:color w:val="000000"/>
                <w:rtl/>
              </w:rPr>
              <w:t>מספר תיקים שנסגרו ב-2019</w:t>
            </w:r>
          </w:p>
        </w:tc>
        <w:tc>
          <w:tcPr>
            <w:tcW w:w="1566" w:type="dxa"/>
            <w:tcBorders>
              <w:top w:val="single" w:sz="4" w:space="0" w:color="auto"/>
              <w:bottom w:val="single" w:sz="4" w:space="0" w:color="auto"/>
            </w:tcBorders>
            <w:shd w:val="clear" w:color="auto" w:fill="FFFFFF"/>
            <w:noWrap/>
            <w:vAlign w:val="center"/>
          </w:tcPr>
          <w:p w14:paraId="52D67512" w14:textId="749EAD63" w:rsidR="00DB5BCC" w:rsidRPr="00B536AB" w:rsidRDefault="00DB5BCC" w:rsidP="00DB5BCC">
            <w:pPr>
              <w:spacing w:after="0" w:line="240" w:lineRule="auto"/>
              <w:jc w:val="center"/>
              <w:rPr>
                <w:rFonts w:ascii="David" w:hAnsi="David" w:cs="David"/>
                <w:b/>
                <w:bCs/>
                <w:color w:val="000000"/>
              </w:rPr>
            </w:pPr>
            <w:r w:rsidRPr="00B536AB">
              <w:rPr>
                <w:rFonts w:ascii="David" w:eastAsia="Times New Roman" w:hAnsi="David" w:cs="David"/>
                <w:b/>
                <w:bCs/>
                <w:color w:val="000000"/>
                <w:rtl/>
              </w:rPr>
              <w:t>הזמן השיפוטי הממוצע הדרוש לטפל בתיק</w:t>
            </w:r>
          </w:p>
        </w:tc>
        <w:tc>
          <w:tcPr>
            <w:tcW w:w="1134" w:type="dxa"/>
            <w:tcBorders>
              <w:top w:val="single" w:sz="4" w:space="0" w:color="auto"/>
              <w:bottom w:val="single" w:sz="4" w:space="0" w:color="auto"/>
            </w:tcBorders>
            <w:shd w:val="clear" w:color="auto" w:fill="FFFFFF"/>
            <w:vAlign w:val="center"/>
          </w:tcPr>
          <w:p w14:paraId="0856122D" w14:textId="066EAEF2" w:rsidR="00DB5BCC" w:rsidRPr="00B536AB" w:rsidRDefault="00DB5BCC" w:rsidP="00DB5BCC">
            <w:pPr>
              <w:spacing w:after="0" w:line="240" w:lineRule="auto"/>
              <w:jc w:val="center"/>
              <w:rPr>
                <w:rFonts w:ascii="David" w:hAnsi="David" w:cs="David"/>
                <w:color w:val="000000"/>
              </w:rPr>
            </w:pPr>
            <w:r w:rsidRPr="00B536AB">
              <w:rPr>
                <w:rFonts w:ascii="David" w:eastAsia="Times New Roman" w:hAnsi="David" w:cs="David" w:hint="cs"/>
                <w:b/>
                <w:bCs/>
                <w:color w:val="000000"/>
                <w:rtl/>
              </w:rPr>
              <w:t>משקל ערכאתי לתיק</w:t>
            </w:r>
          </w:p>
        </w:tc>
      </w:tr>
      <w:tr w:rsidR="00DB5BCC" w:rsidRPr="00B536AB" w14:paraId="33738980" w14:textId="77777777" w:rsidTr="005E1D8B">
        <w:trPr>
          <w:trHeight w:val="540"/>
        </w:trPr>
        <w:tc>
          <w:tcPr>
            <w:tcW w:w="995" w:type="dxa"/>
            <w:tcBorders>
              <w:top w:val="single" w:sz="4" w:space="0" w:color="auto"/>
              <w:bottom w:val="single" w:sz="4" w:space="0" w:color="auto"/>
            </w:tcBorders>
            <w:shd w:val="clear" w:color="auto" w:fill="FFFFFF"/>
            <w:noWrap/>
            <w:vAlign w:val="center"/>
          </w:tcPr>
          <w:p w14:paraId="0D9D6E07" w14:textId="77777777" w:rsidR="00DB5BCC" w:rsidRPr="00B536AB" w:rsidRDefault="00DB5BCC" w:rsidP="00DB5BCC">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FFFFFF"/>
            <w:noWrap/>
            <w:vAlign w:val="center"/>
          </w:tcPr>
          <w:p w14:paraId="6B92B232" w14:textId="77777777" w:rsidR="00DB5BCC" w:rsidRPr="00B536AB" w:rsidRDefault="00DB5BCC" w:rsidP="00DB5BCC">
            <w:pPr>
              <w:spacing w:after="0" w:line="240" w:lineRule="auto"/>
              <w:rPr>
                <w:rFonts w:ascii="David" w:hAnsi="David" w:cs="David"/>
                <w:color w:val="000000"/>
              </w:rPr>
            </w:pPr>
            <w:r w:rsidRPr="00B536AB">
              <w:rPr>
                <w:rFonts w:ascii="David" w:hAnsi="David" w:cs="David"/>
                <w:color w:val="000000"/>
                <w:rtl/>
              </w:rPr>
              <w:t>ערעור אזרחי</w:t>
            </w:r>
          </w:p>
        </w:tc>
        <w:tc>
          <w:tcPr>
            <w:tcW w:w="2551" w:type="dxa"/>
            <w:tcBorders>
              <w:top w:val="single" w:sz="4" w:space="0" w:color="auto"/>
              <w:bottom w:val="single" w:sz="4" w:space="0" w:color="auto"/>
            </w:tcBorders>
            <w:shd w:val="clear" w:color="auto" w:fill="FFFFFF"/>
            <w:vAlign w:val="center"/>
          </w:tcPr>
          <w:p w14:paraId="75CB1615" w14:textId="77777777" w:rsidR="00DB5BCC" w:rsidRPr="00B536AB" w:rsidRDefault="00DB5BCC" w:rsidP="00DB5BCC">
            <w:pPr>
              <w:spacing w:after="0" w:line="240" w:lineRule="auto"/>
              <w:rPr>
                <w:rFonts w:ascii="David" w:hAnsi="David" w:cs="David"/>
                <w:color w:val="000000"/>
                <w:rtl/>
              </w:rPr>
            </w:pPr>
            <w:r w:rsidRPr="00B536AB">
              <w:rPr>
                <w:rFonts w:ascii="David" w:hAnsi="David" w:cs="David"/>
                <w:color w:val="000000"/>
                <w:rtl/>
              </w:rPr>
              <w:t>רשות ערעור אזרחי (רע"א) - דן יחיד</w:t>
            </w:r>
          </w:p>
        </w:tc>
        <w:tc>
          <w:tcPr>
            <w:tcW w:w="1551" w:type="dxa"/>
            <w:tcBorders>
              <w:top w:val="single" w:sz="4" w:space="0" w:color="auto"/>
              <w:bottom w:val="single" w:sz="4" w:space="0" w:color="auto"/>
            </w:tcBorders>
            <w:shd w:val="clear" w:color="auto" w:fill="FFFFFF"/>
            <w:vAlign w:val="center"/>
          </w:tcPr>
          <w:p w14:paraId="0B1B0F74" w14:textId="77777777" w:rsidR="00DB5BCC" w:rsidRPr="00B536AB" w:rsidRDefault="00DB5BCC" w:rsidP="00DB5BCC">
            <w:pPr>
              <w:spacing w:after="0" w:line="240" w:lineRule="auto"/>
              <w:jc w:val="center"/>
              <w:rPr>
                <w:rFonts w:ascii="David" w:hAnsi="David" w:cs="David"/>
                <w:color w:val="000000"/>
              </w:rPr>
            </w:pPr>
            <w:r w:rsidRPr="00B536AB">
              <w:rPr>
                <w:rFonts w:ascii="David" w:hAnsi="David" w:cs="David"/>
                <w:color w:val="000000"/>
              </w:rPr>
              <w:t>1,268</w:t>
            </w:r>
          </w:p>
        </w:tc>
        <w:tc>
          <w:tcPr>
            <w:tcW w:w="1566" w:type="dxa"/>
            <w:tcBorders>
              <w:top w:val="single" w:sz="4" w:space="0" w:color="auto"/>
              <w:bottom w:val="single" w:sz="4" w:space="0" w:color="auto"/>
            </w:tcBorders>
            <w:shd w:val="clear" w:color="auto" w:fill="FFFFFF"/>
            <w:noWrap/>
            <w:vAlign w:val="center"/>
          </w:tcPr>
          <w:p w14:paraId="282C974E" w14:textId="77777777" w:rsidR="00DB5BCC" w:rsidRPr="00B536AB" w:rsidRDefault="00DB5BCC" w:rsidP="00DB5BCC">
            <w:pPr>
              <w:spacing w:after="0" w:line="240" w:lineRule="auto"/>
              <w:jc w:val="center"/>
              <w:rPr>
                <w:rFonts w:ascii="David" w:hAnsi="David" w:cs="David"/>
                <w:b/>
                <w:bCs/>
                <w:color w:val="000000"/>
              </w:rPr>
            </w:pPr>
            <w:r w:rsidRPr="00B536AB">
              <w:rPr>
                <w:rFonts w:ascii="David" w:hAnsi="David" w:cs="David"/>
                <w:b/>
                <w:bCs/>
                <w:color w:val="000000"/>
              </w:rPr>
              <w:t>2:31</w:t>
            </w:r>
          </w:p>
        </w:tc>
        <w:tc>
          <w:tcPr>
            <w:tcW w:w="1134" w:type="dxa"/>
            <w:tcBorders>
              <w:top w:val="single" w:sz="4" w:space="0" w:color="auto"/>
              <w:bottom w:val="single" w:sz="4" w:space="0" w:color="auto"/>
            </w:tcBorders>
            <w:shd w:val="clear" w:color="auto" w:fill="FFFFFF"/>
            <w:vAlign w:val="center"/>
          </w:tcPr>
          <w:p w14:paraId="51B54DB9" w14:textId="77777777" w:rsidR="00DB5BCC" w:rsidRPr="00B536AB" w:rsidRDefault="00DB5BCC" w:rsidP="00DB5BCC">
            <w:pPr>
              <w:spacing w:after="0" w:line="240" w:lineRule="auto"/>
              <w:jc w:val="center"/>
              <w:rPr>
                <w:rFonts w:ascii="David" w:hAnsi="David" w:cs="David"/>
                <w:color w:val="000000"/>
                <w:rtl/>
              </w:rPr>
            </w:pPr>
            <w:r w:rsidRPr="00B536AB">
              <w:rPr>
                <w:rFonts w:ascii="David" w:hAnsi="David" w:cs="David"/>
                <w:color w:val="000000"/>
              </w:rPr>
              <w:t>35</w:t>
            </w:r>
          </w:p>
        </w:tc>
      </w:tr>
      <w:tr w:rsidR="00DB5BCC" w:rsidRPr="00B536AB" w14:paraId="3B2E3E60" w14:textId="77777777" w:rsidTr="005E1D8B">
        <w:trPr>
          <w:trHeight w:val="540"/>
        </w:trPr>
        <w:tc>
          <w:tcPr>
            <w:tcW w:w="995" w:type="dxa"/>
            <w:tcBorders>
              <w:top w:val="single" w:sz="4" w:space="0" w:color="auto"/>
              <w:bottom w:val="single" w:sz="4" w:space="0" w:color="auto"/>
            </w:tcBorders>
            <w:shd w:val="clear" w:color="auto" w:fill="D9D9D9"/>
            <w:noWrap/>
            <w:vAlign w:val="center"/>
          </w:tcPr>
          <w:p w14:paraId="726EBE6D" w14:textId="77777777" w:rsidR="00DB5BCC" w:rsidRPr="00B536AB" w:rsidRDefault="00DB5BCC" w:rsidP="00DB5BCC">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D9D9D9"/>
            <w:noWrap/>
            <w:vAlign w:val="center"/>
          </w:tcPr>
          <w:p w14:paraId="1D8C4E04" w14:textId="77777777" w:rsidR="00DB5BCC" w:rsidRPr="00B536AB" w:rsidRDefault="00DB5BCC" w:rsidP="00DB5BCC">
            <w:pPr>
              <w:spacing w:after="0" w:line="240" w:lineRule="auto"/>
              <w:rPr>
                <w:rFonts w:ascii="David" w:hAnsi="David" w:cs="David"/>
                <w:color w:val="000000"/>
              </w:rPr>
            </w:pPr>
            <w:r w:rsidRPr="00B536AB">
              <w:rPr>
                <w:rFonts w:ascii="David" w:hAnsi="David" w:cs="David"/>
                <w:color w:val="000000"/>
                <w:rtl/>
              </w:rPr>
              <w:t>ערעור אזרחי</w:t>
            </w:r>
          </w:p>
        </w:tc>
        <w:tc>
          <w:tcPr>
            <w:tcW w:w="2551" w:type="dxa"/>
            <w:tcBorders>
              <w:top w:val="single" w:sz="4" w:space="0" w:color="auto"/>
              <w:bottom w:val="single" w:sz="4" w:space="0" w:color="auto"/>
            </w:tcBorders>
            <w:shd w:val="clear" w:color="auto" w:fill="D9D9D9"/>
            <w:vAlign w:val="center"/>
          </w:tcPr>
          <w:p w14:paraId="2A99B104" w14:textId="77777777" w:rsidR="00DB5BCC" w:rsidRPr="00B536AB" w:rsidRDefault="00DB5BCC" w:rsidP="00DB5BCC">
            <w:pPr>
              <w:spacing w:after="0" w:line="240" w:lineRule="auto"/>
              <w:rPr>
                <w:rFonts w:ascii="David" w:hAnsi="David" w:cs="David"/>
                <w:color w:val="000000"/>
                <w:rtl/>
              </w:rPr>
            </w:pPr>
            <w:r w:rsidRPr="00B536AB">
              <w:rPr>
                <w:rFonts w:ascii="David" w:hAnsi="David" w:cs="David"/>
                <w:color w:val="000000"/>
                <w:rtl/>
              </w:rPr>
              <w:t>רשות ערעור משפחה (רמ"ש) - דן יחיד</w:t>
            </w:r>
          </w:p>
        </w:tc>
        <w:tc>
          <w:tcPr>
            <w:tcW w:w="1551" w:type="dxa"/>
            <w:tcBorders>
              <w:top w:val="single" w:sz="4" w:space="0" w:color="auto"/>
              <w:bottom w:val="single" w:sz="4" w:space="0" w:color="auto"/>
            </w:tcBorders>
            <w:shd w:val="clear" w:color="auto" w:fill="D9D9D9"/>
            <w:vAlign w:val="center"/>
          </w:tcPr>
          <w:p w14:paraId="6528BDD1" w14:textId="77777777" w:rsidR="00DB5BCC" w:rsidRPr="00B536AB" w:rsidRDefault="00DB5BCC" w:rsidP="00DB5BCC">
            <w:pPr>
              <w:spacing w:after="0" w:line="240" w:lineRule="auto"/>
              <w:jc w:val="center"/>
              <w:rPr>
                <w:rFonts w:ascii="David" w:hAnsi="David" w:cs="David"/>
                <w:color w:val="000000"/>
              </w:rPr>
            </w:pPr>
            <w:r w:rsidRPr="00B536AB">
              <w:rPr>
                <w:rFonts w:ascii="David" w:hAnsi="David" w:cs="David"/>
                <w:color w:val="000000"/>
              </w:rPr>
              <w:t>869</w:t>
            </w:r>
          </w:p>
        </w:tc>
        <w:tc>
          <w:tcPr>
            <w:tcW w:w="1566" w:type="dxa"/>
            <w:tcBorders>
              <w:top w:val="single" w:sz="4" w:space="0" w:color="auto"/>
              <w:bottom w:val="single" w:sz="4" w:space="0" w:color="auto"/>
            </w:tcBorders>
            <w:shd w:val="clear" w:color="auto" w:fill="D9D9D9"/>
            <w:noWrap/>
            <w:vAlign w:val="center"/>
          </w:tcPr>
          <w:p w14:paraId="6706F32F" w14:textId="77777777" w:rsidR="00DB5BCC" w:rsidRPr="00B536AB" w:rsidRDefault="00DB5BCC" w:rsidP="00DB5BCC">
            <w:pPr>
              <w:spacing w:after="0" w:line="240" w:lineRule="auto"/>
              <w:jc w:val="center"/>
              <w:rPr>
                <w:rFonts w:ascii="David" w:hAnsi="David" w:cs="David"/>
                <w:b/>
                <w:bCs/>
                <w:color w:val="000000"/>
              </w:rPr>
            </w:pPr>
            <w:r w:rsidRPr="00B536AB">
              <w:rPr>
                <w:rFonts w:ascii="David" w:hAnsi="David" w:cs="David" w:hint="cs"/>
                <w:b/>
                <w:bCs/>
                <w:color w:val="000000"/>
                <w:rtl/>
              </w:rPr>
              <w:t>2:03</w:t>
            </w:r>
          </w:p>
        </w:tc>
        <w:tc>
          <w:tcPr>
            <w:tcW w:w="1134" w:type="dxa"/>
            <w:tcBorders>
              <w:top w:val="single" w:sz="4" w:space="0" w:color="auto"/>
              <w:bottom w:val="single" w:sz="4" w:space="0" w:color="auto"/>
            </w:tcBorders>
            <w:shd w:val="clear" w:color="auto" w:fill="D9D9D9"/>
            <w:vAlign w:val="center"/>
          </w:tcPr>
          <w:p w14:paraId="10AC405F" w14:textId="77777777" w:rsidR="00DB5BCC" w:rsidRPr="00B536AB" w:rsidRDefault="00DB5BCC" w:rsidP="00DB5BCC">
            <w:pPr>
              <w:spacing w:after="0" w:line="240" w:lineRule="auto"/>
              <w:jc w:val="center"/>
              <w:rPr>
                <w:rFonts w:ascii="David" w:hAnsi="David" w:cs="David"/>
                <w:color w:val="000000"/>
              </w:rPr>
            </w:pPr>
            <w:r w:rsidRPr="00B536AB">
              <w:rPr>
                <w:rFonts w:ascii="David" w:hAnsi="David" w:cs="David" w:hint="cs"/>
                <w:color w:val="000000"/>
                <w:rtl/>
              </w:rPr>
              <w:t>28</w:t>
            </w:r>
          </w:p>
        </w:tc>
      </w:tr>
      <w:tr w:rsidR="00DB5BCC" w:rsidRPr="00B536AB" w14:paraId="4B6BB8C4" w14:textId="77777777" w:rsidTr="005E1D8B">
        <w:trPr>
          <w:trHeight w:val="600"/>
        </w:trPr>
        <w:tc>
          <w:tcPr>
            <w:tcW w:w="995" w:type="dxa"/>
            <w:tcBorders>
              <w:top w:val="single" w:sz="4" w:space="0" w:color="auto"/>
              <w:bottom w:val="single" w:sz="4" w:space="0" w:color="auto"/>
            </w:tcBorders>
            <w:shd w:val="clear" w:color="auto" w:fill="FFFFFF"/>
            <w:noWrap/>
            <w:vAlign w:val="center"/>
          </w:tcPr>
          <w:p w14:paraId="781BB5C0" w14:textId="77777777" w:rsidR="00DB5BCC" w:rsidRPr="00B536AB" w:rsidRDefault="00DB5BCC" w:rsidP="00DB5BCC">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FFFFFF"/>
            <w:noWrap/>
            <w:vAlign w:val="center"/>
          </w:tcPr>
          <w:p w14:paraId="5A186E86" w14:textId="77777777" w:rsidR="00DB5BCC" w:rsidRPr="00B536AB" w:rsidRDefault="00DB5BCC" w:rsidP="00DB5BCC">
            <w:pPr>
              <w:spacing w:after="0" w:line="240" w:lineRule="auto"/>
              <w:rPr>
                <w:rFonts w:ascii="David" w:hAnsi="David" w:cs="David"/>
                <w:color w:val="000000"/>
              </w:rPr>
            </w:pPr>
            <w:r w:rsidRPr="00B536AB">
              <w:rPr>
                <w:rFonts w:ascii="David" w:hAnsi="David" w:cs="David"/>
                <w:color w:val="000000"/>
                <w:rtl/>
              </w:rPr>
              <w:t>ערעור אזרחי</w:t>
            </w:r>
          </w:p>
        </w:tc>
        <w:tc>
          <w:tcPr>
            <w:tcW w:w="2551" w:type="dxa"/>
            <w:tcBorders>
              <w:top w:val="single" w:sz="4" w:space="0" w:color="auto"/>
              <w:bottom w:val="single" w:sz="4" w:space="0" w:color="auto"/>
            </w:tcBorders>
            <w:shd w:val="clear" w:color="auto" w:fill="FFFFFF"/>
            <w:vAlign w:val="center"/>
          </w:tcPr>
          <w:p w14:paraId="7654FA8B" w14:textId="77777777" w:rsidR="00DB5BCC" w:rsidRPr="00B536AB" w:rsidRDefault="00DB5BCC" w:rsidP="00DB5BCC">
            <w:pPr>
              <w:spacing w:after="0" w:line="240" w:lineRule="auto"/>
              <w:rPr>
                <w:rFonts w:ascii="David" w:hAnsi="David" w:cs="David"/>
                <w:color w:val="000000"/>
                <w:rtl/>
              </w:rPr>
            </w:pPr>
            <w:r w:rsidRPr="00B536AB">
              <w:rPr>
                <w:rFonts w:ascii="David" w:hAnsi="David" w:cs="David"/>
                <w:color w:val="000000"/>
                <w:rtl/>
              </w:rPr>
              <w:t>רשות ערעור תביעות קטנות (רת"ק)</w:t>
            </w:r>
          </w:p>
        </w:tc>
        <w:tc>
          <w:tcPr>
            <w:tcW w:w="1551" w:type="dxa"/>
            <w:tcBorders>
              <w:top w:val="single" w:sz="4" w:space="0" w:color="auto"/>
              <w:bottom w:val="single" w:sz="4" w:space="0" w:color="auto"/>
            </w:tcBorders>
            <w:shd w:val="clear" w:color="auto" w:fill="FFFFFF"/>
            <w:vAlign w:val="center"/>
          </w:tcPr>
          <w:p w14:paraId="351CADF8" w14:textId="77777777" w:rsidR="00DB5BCC" w:rsidRPr="00B536AB" w:rsidRDefault="00DB5BCC" w:rsidP="00DB5BCC">
            <w:pPr>
              <w:spacing w:after="0" w:line="240" w:lineRule="auto"/>
              <w:jc w:val="center"/>
              <w:rPr>
                <w:rFonts w:ascii="David" w:hAnsi="David" w:cs="David"/>
                <w:color w:val="000000"/>
              </w:rPr>
            </w:pPr>
            <w:r w:rsidRPr="00B536AB">
              <w:rPr>
                <w:rFonts w:ascii="David" w:hAnsi="David" w:cs="David" w:hint="cs"/>
                <w:color w:val="000000"/>
                <w:rtl/>
              </w:rPr>
              <w:t>537</w:t>
            </w:r>
          </w:p>
        </w:tc>
        <w:tc>
          <w:tcPr>
            <w:tcW w:w="1566" w:type="dxa"/>
            <w:tcBorders>
              <w:top w:val="single" w:sz="4" w:space="0" w:color="auto"/>
              <w:bottom w:val="single" w:sz="4" w:space="0" w:color="auto"/>
            </w:tcBorders>
            <w:shd w:val="clear" w:color="auto" w:fill="FFFFFF"/>
            <w:noWrap/>
            <w:vAlign w:val="center"/>
          </w:tcPr>
          <w:p w14:paraId="284AC628" w14:textId="77777777" w:rsidR="00DB5BCC" w:rsidRPr="00B536AB" w:rsidRDefault="00DB5BCC" w:rsidP="00DB5BCC">
            <w:pPr>
              <w:spacing w:after="0" w:line="240" w:lineRule="auto"/>
              <w:jc w:val="center"/>
              <w:rPr>
                <w:rFonts w:ascii="David" w:hAnsi="David" w:cs="David"/>
                <w:b/>
                <w:bCs/>
                <w:color w:val="000000"/>
              </w:rPr>
            </w:pPr>
            <w:r w:rsidRPr="00B536AB">
              <w:rPr>
                <w:rFonts w:ascii="David" w:hAnsi="David" w:cs="David" w:hint="cs"/>
                <w:b/>
                <w:bCs/>
                <w:color w:val="000000"/>
                <w:rtl/>
              </w:rPr>
              <w:t>1:50</w:t>
            </w:r>
          </w:p>
        </w:tc>
        <w:tc>
          <w:tcPr>
            <w:tcW w:w="1134" w:type="dxa"/>
            <w:tcBorders>
              <w:top w:val="single" w:sz="4" w:space="0" w:color="auto"/>
              <w:bottom w:val="single" w:sz="4" w:space="0" w:color="auto"/>
            </w:tcBorders>
            <w:shd w:val="clear" w:color="auto" w:fill="FFFFFF"/>
            <w:vAlign w:val="center"/>
          </w:tcPr>
          <w:p w14:paraId="57A0B5CF" w14:textId="77777777" w:rsidR="00DB5BCC" w:rsidRPr="00B536AB" w:rsidRDefault="00DB5BCC" w:rsidP="00DB5BCC">
            <w:pPr>
              <w:spacing w:after="0" w:line="240" w:lineRule="auto"/>
              <w:jc w:val="center"/>
              <w:rPr>
                <w:rFonts w:ascii="David" w:hAnsi="David" w:cs="David"/>
                <w:color w:val="000000"/>
              </w:rPr>
            </w:pPr>
            <w:r w:rsidRPr="00B536AB">
              <w:rPr>
                <w:rFonts w:ascii="David" w:hAnsi="David" w:cs="David" w:hint="cs"/>
                <w:color w:val="000000"/>
                <w:rtl/>
              </w:rPr>
              <w:t>25</w:t>
            </w:r>
          </w:p>
        </w:tc>
      </w:tr>
      <w:tr w:rsidR="00DB5BCC" w:rsidRPr="00B536AB" w14:paraId="27FD3B39" w14:textId="77777777" w:rsidTr="005E1D8B">
        <w:trPr>
          <w:trHeight w:val="300"/>
        </w:trPr>
        <w:tc>
          <w:tcPr>
            <w:tcW w:w="995" w:type="dxa"/>
            <w:tcBorders>
              <w:top w:val="single" w:sz="4" w:space="0" w:color="auto"/>
              <w:bottom w:val="single" w:sz="4" w:space="0" w:color="auto"/>
            </w:tcBorders>
            <w:shd w:val="clear" w:color="auto" w:fill="D9D9D9"/>
            <w:noWrap/>
            <w:vAlign w:val="center"/>
          </w:tcPr>
          <w:p w14:paraId="7E9C06A0" w14:textId="77777777" w:rsidR="00DB5BCC" w:rsidRPr="00B536AB" w:rsidRDefault="00DB5BCC" w:rsidP="00DB5BCC">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D9D9D9"/>
            <w:noWrap/>
            <w:vAlign w:val="center"/>
          </w:tcPr>
          <w:p w14:paraId="42B716A5" w14:textId="77777777" w:rsidR="00DB5BCC" w:rsidRPr="00B536AB" w:rsidRDefault="00DB5BCC" w:rsidP="00DB5BCC">
            <w:pPr>
              <w:spacing w:after="0" w:line="240" w:lineRule="auto"/>
              <w:rPr>
                <w:rFonts w:ascii="David" w:hAnsi="David" w:cs="David"/>
                <w:color w:val="000000"/>
              </w:rPr>
            </w:pPr>
            <w:r w:rsidRPr="00B536AB">
              <w:rPr>
                <w:rFonts w:ascii="David" w:hAnsi="David" w:cs="David"/>
                <w:color w:val="000000"/>
                <w:rtl/>
              </w:rPr>
              <w:t>עניינים מנהליים</w:t>
            </w:r>
          </w:p>
        </w:tc>
        <w:tc>
          <w:tcPr>
            <w:tcW w:w="2551" w:type="dxa"/>
            <w:tcBorders>
              <w:top w:val="single" w:sz="4" w:space="0" w:color="auto"/>
              <w:bottom w:val="single" w:sz="4" w:space="0" w:color="auto"/>
            </w:tcBorders>
            <w:shd w:val="clear" w:color="auto" w:fill="D9D9D9"/>
            <w:vAlign w:val="center"/>
          </w:tcPr>
          <w:p w14:paraId="04EC8ECA" w14:textId="77777777" w:rsidR="00DB5BCC" w:rsidRPr="00B536AB" w:rsidRDefault="00DB5BCC" w:rsidP="00DB5BCC">
            <w:pPr>
              <w:spacing w:after="0" w:line="240" w:lineRule="auto"/>
              <w:rPr>
                <w:rFonts w:ascii="David" w:hAnsi="David" w:cs="David"/>
                <w:color w:val="000000"/>
                <w:rtl/>
              </w:rPr>
            </w:pPr>
            <w:r w:rsidRPr="00B536AB">
              <w:rPr>
                <w:rFonts w:ascii="David" w:hAnsi="David" w:cs="David"/>
                <w:color w:val="000000"/>
                <w:rtl/>
              </w:rPr>
              <w:t>עתירות אסירים (עת"א) - דן יחיד</w:t>
            </w:r>
          </w:p>
        </w:tc>
        <w:tc>
          <w:tcPr>
            <w:tcW w:w="1551" w:type="dxa"/>
            <w:tcBorders>
              <w:top w:val="single" w:sz="4" w:space="0" w:color="auto"/>
              <w:bottom w:val="single" w:sz="4" w:space="0" w:color="auto"/>
            </w:tcBorders>
            <w:shd w:val="clear" w:color="auto" w:fill="D9D9D9"/>
            <w:vAlign w:val="center"/>
          </w:tcPr>
          <w:p w14:paraId="022E7C81" w14:textId="77777777" w:rsidR="00DB5BCC" w:rsidRPr="00B536AB" w:rsidRDefault="00DB5BCC" w:rsidP="00DB5BCC">
            <w:pPr>
              <w:spacing w:after="0" w:line="240" w:lineRule="auto"/>
              <w:jc w:val="center"/>
              <w:rPr>
                <w:rFonts w:ascii="David" w:hAnsi="David" w:cs="David"/>
                <w:color w:val="000000"/>
              </w:rPr>
            </w:pPr>
            <w:r w:rsidRPr="00B536AB">
              <w:rPr>
                <w:rFonts w:ascii="David" w:hAnsi="David" w:cs="David" w:hint="cs"/>
                <w:color w:val="000000"/>
                <w:rtl/>
              </w:rPr>
              <w:t>4,132</w:t>
            </w:r>
          </w:p>
        </w:tc>
        <w:tc>
          <w:tcPr>
            <w:tcW w:w="1566" w:type="dxa"/>
            <w:tcBorders>
              <w:top w:val="single" w:sz="4" w:space="0" w:color="auto"/>
              <w:bottom w:val="single" w:sz="4" w:space="0" w:color="auto"/>
            </w:tcBorders>
            <w:shd w:val="clear" w:color="auto" w:fill="D9D9D9"/>
            <w:noWrap/>
            <w:vAlign w:val="center"/>
          </w:tcPr>
          <w:p w14:paraId="4C6B1F47" w14:textId="77777777" w:rsidR="00DB5BCC" w:rsidRPr="00B536AB" w:rsidRDefault="00DB5BCC" w:rsidP="00DB5BCC">
            <w:pPr>
              <w:spacing w:after="0" w:line="240" w:lineRule="auto"/>
              <w:jc w:val="center"/>
              <w:rPr>
                <w:rFonts w:ascii="David" w:hAnsi="David" w:cs="David"/>
                <w:b/>
                <w:bCs/>
                <w:color w:val="000000"/>
                <w:rtl/>
              </w:rPr>
            </w:pPr>
            <w:r w:rsidRPr="00B536AB">
              <w:rPr>
                <w:rFonts w:ascii="David" w:hAnsi="David" w:cs="David"/>
                <w:b/>
                <w:bCs/>
                <w:color w:val="000000"/>
              </w:rPr>
              <w:t>1:24</w:t>
            </w:r>
          </w:p>
        </w:tc>
        <w:tc>
          <w:tcPr>
            <w:tcW w:w="1134" w:type="dxa"/>
            <w:tcBorders>
              <w:top w:val="single" w:sz="4" w:space="0" w:color="auto"/>
              <w:bottom w:val="single" w:sz="4" w:space="0" w:color="auto"/>
            </w:tcBorders>
            <w:shd w:val="clear" w:color="auto" w:fill="D9D9D9"/>
            <w:vAlign w:val="center"/>
          </w:tcPr>
          <w:p w14:paraId="449BCC66" w14:textId="77777777" w:rsidR="00DB5BCC" w:rsidRPr="00B536AB" w:rsidRDefault="00DB5BCC" w:rsidP="00DB5BCC">
            <w:pPr>
              <w:spacing w:after="0" w:line="240" w:lineRule="auto"/>
              <w:jc w:val="center"/>
              <w:rPr>
                <w:rFonts w:ascii="David" w:hAnsi="David" w:cs="David"/>
                <w:color w:val="000000"/>
              </w:rPr>
            </w:pPr>
            <w:r w:rsidRPr="00B536AB">
              <w:rPr>
                <w:rFonts w:ascii="David" w:hAnsi="David" w:cs="David"/>
                <w:color w:val="000000"/>
              </w:rPr>
              <w:t>19</w:t>
            </w:r>
          </w:p>
        </w:tc>
      </w:tr>
      <w:tr w:rsidR="00DB5BCC" w:rsidRPr="00B536AB" w14:paraId="0CEB382A" w14:textId="77777777" w:rsidTr="005E1D8B">
        <w:trPr>
          <w:trHeight w:val="473"/>
        </w:trPr>
        <w:tc>
          <w:tcPr>
            <w:tcW w:w="995" w:type="dxa"/>
            <w:tcBorders>
              <w:top w:val="single" w:sz="4" w:space="0" w:color="auto"/>
              <w:bottom w:val="single" w:sz="4" w:space="0" w:color="auto"/>
            </w:tcBorders>
            <w:shd w:val="clear" w:color="auto" w:fill="FFFFFF"/>
            <w:noWrap/>
            <w:vAlign w:val="center"/>
          </w:tcPr>
          <w:p w14:paraId="38D5CF33" w14:textId="77777777" w:rsidR="00DB5BCC" w:rsidRPr="00B536AB" w:rsidRDefault="00DB5BCC" w:rsidP="00DB5BCC">
            <w:pPr>
              <w:spacing w:after="0" w:line="240" w:lineRule="auto"/>
              <w:rPr>
                <w:rFonts w:ascii="David" w:hAnsi="David" w:cs="David"/>
                <w:color w:val="000000"/>
              </w:rPr>
            </w:pPr>
            <w:r w:rsidRPr="00B536AB">
              <w:rPr>
                <w:rFonts w:ascii="David" w:hAnsi="David" w:cs="David"/>
                <w:color w:val="000000"/>
                <w:rtl/>
              </w:rPr>
              <w:t>מחוזי</w:t>
            </w:r>
          </w:p>
        </w:tc>
        <w:tc>
          <w:tcPr>
            <w:tcW w:w="1276" w:type="dxa"/>
            <w:tcBorders>
              <w:top w:val="single" w:sz="4" w:space="0" w:color="auto"/>
              <w:bottom w:val="single" w:sz="4" w:space="0" w:color="auto"/>
            </w:tcBorders>
            <w:shd w:val="clear" w:color="auto" w:fill="FFFFFF"/>
            <w:noWrap/>
            <w:vAlign w:val="center"/>
          </w:tcPr>
          <w:p w14:paraId="7D7ABB07" w14:textId="77777777" w:rsidR="00DB5BCC" w:rsidRPr="00B536AB" w:rsidRDefault="00DB5BCC" w:rsidP="00DB5BCC">
            <w:pPr>
              <w:spacing w:after="0" w:line="240" w:lineRule="auto"/>
              <w:rPr>
                <w:rFonts w:ascii="David" w:hAnsi="David" w:cs="David"/>
                <w:color w:val="000000"/>
              </w:rPr>
            </w:pPr>
            <w:r w:rsidRPr="00B536AB">
              <w:rPr>
                <w:rFonts w:ascii="David" w:hAnsi="David" w:cs="David"/>
                <w:color w:val="000000"/>
                <w:rtl/>
              </w:rPr>
              <w:t>אזרחי</w:t>
            </w:r>
          </w:p>
        </w:tc>
        <w:tc>
          <w:tcPr>
            <w:tcW w:w="2551" w:type="dxa"/>
            <w:tcBorders>
              <w:top w:val="single" w:sz="4" w:space="0" w:color="auto"/>
              <w:bottom w:val="single" w:sz="4" w:space="0" w:color="auto"/>
            </w:tcBorders>
            <w:shd w:val="clear" w:color="auto" w:fill="FFFFFF"/>
            <w:vAlign w:val="center"/>
          </w:tcPr>
          <w:p w14:paraId="68660423" w14:textId="77777777" w:rsidR="00DB5BCC" w:rsidRPr="00B536AB" w:rsidRDefault="00DB5BCC" w:rsidP="00DB5BCC">
            <w:pPr>
              <w:spacing w:after="0" w:line="240" w:lineRule="auto"/>
              <w:rPr>
                <w:rFonts w:ascii="David" w:hAnsi="David" w:cs="David"/>
                <w:color w:val="000000"/>
                <w:rtl/>
              </w:rPr>
            </w:pPr>
            <w:r w:rsidRPr="00B536AB">
              <w:rPr>
                <w:rFonts w:ascii="David" w:hAnsi="David" w:cs="David"/>
                <w:color w:val="000000"/>
                <w:rtl/>
              </w:rPr>
              <w:t>ניהול רכושם של נעדרים או שבויים (נע"ד)</w:t>
            </w:r>
          </w:p>
        </w:tc>
        <w:tc>
          <w:tcPr>
            <w:tcW w:w="1551" w:type="dxa"/>
            <w:tcBorders>
              <w:top w:val="single" w:sz="4" w:space="0" w:color="auto"/>
              <w:bottom w:val="single" w:sz="4" w:space="0" w:color="auto"/>
            </w:tcBorders>
            <w:shd w:val="clear" w:color="auto" w:fill="FFFFFF"/>
            <w:vAlign w:val="center"/>
          </w:tcPr>
          <w:p w14:paraId="2CB991A7" w14:textId="77777777" w:rsidR="00DB5BCC" w:rsidRPr="00B536AB" w:rsidRDefault="00DB5BCC" w:rsidP="00DB5BCC">
            <w:pPr>
              <w:spacing w:after="0" w:line="240" w:lineRule="auto"/>
              <w:jc w:val="center"/>
              <w:rPr>
                <w:rFonts w:ascii="David" w:hAnsi="David" w:cs="David"/>
                <w:color w:val="000000"/>
                <w:rtl/>
              </w:rPr>
            </w:pPr>
            <w:r w:rsidRPr="00B536AB">
              <w:rPr>
                <w:rFonts w:ascii="David" w:hAnsi="David" w:cs="David" w:hint="cs"/>
                <w:color w:val="000000"/>
                <w:rtl/>
              </w:rPr>
              <w:t>219</w:t>
            </w:r>
          </w:p>
        </w:tc>
        <w:tc>
          <w:tcPr>
            <w:tcW w:w="1566" w:type="dxa"/>
            <w:tcBorders>
              <w:top w:val="single" w:sz="4" w:space="0" w:color="auto"/>
              <w:bottom w:val="single" w:sz="4" w:space="0" w:color="auto"/>
            </w:tcBorders>
            <w:shd w:val="clear" w:color="auto" w:fill="FFFFFF"/>
            <w:noWrap/>
            <w:vAlign w:val="center"/>
          </w:tcPr>
          <w:p w14:paraId="66156C76" w14:textId="77777777" w:rsidR="00DB5BCC" w:rsidRPr="00B536AB" w:rsidRDefault="00DB5BCC" w:rsidP="00DB5BCC">
            <w:pPr>
              <w:spacing w:after="0" w:line="240" w:lineRule="auto"/>
              <w:jc w:val="center"/>
              <w:rPr>
                <w:rFonts w:ascii="David" w:hAnsi="David" w:cs="David"/>
                <w:b/>
                <w:bCs/>
                <w:color w:val="000000"/>
                <w:rtl/>
              </w:rPr>
            </w:pPr>
            <w:r w:rsidRPr="00B536AB">
              <w:rPr>
                <w:rFonts w:ascii="David" w:hAnsi="David" w:cs="David"/>
                <w:b/>
                <w:bCs/>
                <w:color w:val="000000"/>
              </w:rPr>
              <w:t>0:04</w:t>
            </w:r>
          </w:p>
        </w:tc>
        <w:tc>
          <w:tcPr>
            <w:tcW w:w="1134" w:type="dxa"/>
            <w:tcBorders>
              <w:top w:val="single" w:sz="4" w:space="0" w:color="auto"/>
              <w:bottom w:val="single" w:sz="4" w:space="0" w:color="auto"/>
            </w:tcBorders>
            <w:shd w:val="clear" w:color="auto" w:fill="FFFFFF"/>
            <w:vAlign w:val="center"/>
          </w:tcPr>
          <w:p w14:paraId="5EEEDEEE" w14:textId="77777777" w:rsidR="00DB5BCC" w:rsidRPr="00B536AB" w:rsidRDefault="00DB5BCC" w:rsidP="00DB5BCC">
            <w:pPr>
              <w:spacing w:after="0" w:line="240" w:lineRule="auto"/>
              <w:jc w:val="center"/>
              <w:rPr>
                <w:rFonts w:ascii="David" w:hAnsi="David" w:cs="David"/>
                <w:color w:val="000000"/>
                <w:rtl/>
              </w:rPr>
            </w:pPr>
            <w:r w:rsidRPr="00B536AB">
              <w:rPr>
                <w:rFonts w:ascii="David" w:hAnsi="David" w:cs="David" w:hint="cs"/>
                <w:color w:val="000000"/>
                <w:rtl/>
              </w:rPr>
              <w:t>1</w:t>
            </w:r>
          </w:p>
        </w:tc>
      </w:tr>
    </w:tbl>
    <w:p w14:paraId="36D665B8" w14:textId="77777777" w:rsidR="00DD0D4B" w:rsidRPr="00F25744" w:rsidRDefault="00DD0D4B" w:rsidP="00DD0D4B">
      <w:pPr>
        <w:autoSpaceDE w:val="0"/>
        <w:autoSpaceDN w:val="0"/>
        <w:adjustRightInd w:val="0"/>
        <w:spacing w:after="0" w:line="360" w:lineRule="auto"/>
        <w:jc w:val="both"/>
        <w:outlineLvl w:val="2"/>
        <w:rPr>
          <w:rFonts w:ascii="David" w:hAnsi="David" w:cs="David"/>
          <w:b/>
          <w:bCs/>
          <w:sz w:val="24"/>
          <w:szCs w:val="24"/>
          <w:rtl/>
        </w:rPr>
      </w:pPr>
      <w:bookmarkStart w:id="1011" w:name="_Toc46416711"/>
    </w:p>
    <w:p w14:paraId="5A09221A" w14:textId="77777777" w:rsidR="00DD0D4B" w:rsidRPr="00F25744" w:rsidRDefault="00E25AE7" w:rsidP="0043255F">
      <w:pPr>
        <w:pStyle w:val="3"/>
        <w:numPr>
          <w:ilvl w:val="0"/>
          <w:numId w:val="0"/>
        </w:numPr>
        <w:ind w:left="720" w:hanging="720"/>
        <w:rPr>
          <w:rtl/>
        </w:rPr>
      </w:pPr>
      <w:r w:rsidRPr="00F25744">
        <w:rPr>
          <w:rtl/>
        </w:rPr>
        <w:br w:type="page"/>
      </w:r>
      <w:bookmarkStart w:id="1012" w:name="_Toc74751061"/>
      <w:r w:rsidRPr="00F25744">
        <w:rPr>
          <w:rFonts w:hint="cs"/>
          <w:rtl/>
        </w:rPr>
        <w:lastRenderedPageBreak/>
        <w:t>נספח ה3: ערכאת שלום פלילי</w:t>
      </w:r>
      <w:bookmarkEnd w:id="1011"/>
      <w:bookmarkEnd w:id="1012"/>
    </w:p>
    <w:tbl>
      <w:tblPr>
        <w:tblpPr w:leftFromText="181" w:rightFromText="85" w:vertAnchor="text" w:tblpXSpec="right" w:tblpY="1"/>
        <w:tblOverlap w:val="never"/>
        <w:bidiVisual/>
        <w:tblW w:w="8937" w:type="dxa"/>
        <w:tblLayout w:type="fixed"/>
        <w:tblLook w:val="04A0" w:firstRow="1" w:lastRow="0" w:firstColumn="1" w:lastColumn="0" w:noHBand="0" w:noVBand="1"/>
      </w:tblPr>
      <w:tblGrid>
        <w:gridCol w:w="858"/>
        <w:gridCol w:w="1134"/>
        <w:gridCol w:w="2551"/>
        <w:gridCol w:w="1554"/>
        <w:gridCol w:w="1706"/>
        <w:gridCol w:w="1134"/>
      </w:tblGrid>
      <w:tr w:rsidR="00E0162E" w:rsidRPr="00C952BE" w14:paraId="37F5783A" w14:textId="77777777" w:rsidTr="005E1D8B">
        <w:trPr>
          <w:trHeight w:val="975"/>
        </w:trPr>
        <w:tc>
          <w:tcPr>
            <w:tcW w:w="858" w:type="dxa"/>
            <w:tcBorders>
              <w:bottom w:val="single" w:sz="4" w:space="0" w:color="auto"/>
            </w:tcBorders>
            <w:shd w:val="clear" w:color="auto" w:fill="auto"/>
            <w:vAlign w:val="center"/>
            <w:hideMark/>
          </w:tcPr>
          <w:p w14:paraId="2B6E2C9E" w14:textId="77777777" w:rsidR="00DD0D4B" w:rsidRPr="00C952BE" w:rsidRDefault="00E25AE7" w:rsidP="005E1D8B">
            <w:pPr>
              <w:spacing w:after="0" w:line="240" w:lineRule="auto"/>
              <w:jc w:val="center"/>
              <w:rPr>
                <w:rFonts w:ascii="David" w:eastAsia="Times New Roman" w:hAnsi="David" w:cs="David"/>
                <w:b/>
                <w:bCs/>
                <w:color w:val="000000"/>
              </w:rPr>
            </w:pPr>
            <w:r w:rsidRPr="00C952BE">
              <w:rPr>
                <w:rFonts w:ascii="David" w:eastAsia="Times New Roman" w:hAnsi="David" w:cs="David"/>
                <w:b/>
                <w:bCs/>
                <w:color w:val="000000"/>
                <w:rtl/>
              </w:rPr>
              <w:t>ערכאה</w:t>
            </w:r>
          </w:p>
        </w:tc>
        <w:tc>
          <w:tcPr>
            <w:tcW w:w="1134" w:type="dxa"/>
            <w:tcBorders>
              <w:bottom w:val="single" w:sz="4" w:space="0" w:color="auto"/>
            </w:tcBorders>
            <w:shd w:val="clear" w:color="auto" w:fill="auto"/>
            <w:vAlign w:val="center"/>
            <w:hideMark/>
          </w:tcPr>
          <w:p w14:paraId="3CB275D3" w14:textId="77777777" w:rsidR="00DD0D4B" w:rsidRPr="00C952BE" w:rsidRDefault="00E25AE7" w:rsidP="005E1D8B">
            <w:pPr>
              <w:spacing w:after="0" w:line="240" w:lineRule="auto"/>
              <w:jc w:val="center"/>
              <w:rPr>
                <w:rFonts w:ascii="David" w:eastAsia="Times New Roman" w:hAnsi="David" w:cs="David"/>
                <w:b/>
                <w:bCs/>
                <w:color w:val="000000"/>
                <w:rtl/>
              </w:rPr>
            </w:pPr>
            <w:r w:rsidRPr="00C952BE">
              <w:rPr>
                <w:rFonts w:ascii="David" w:eastAsia="Times New Roman" w:hAnsi="David" w:cs="David"/>
                <w:b/>
                <w:bCs/>
                <w:color w:val="000000"/>
                <w:rtl/>
              </w:rPr>
              <w:t>הליך</w:t>
            </w:r>
          </w:p>
        </w:tc>
        <w:tc>
          <w:tcPr>
            <w:tcW w:w="2551" w:type="dxa"/>
            <w:tcBorders>
              <w:bottom w:val="single" w:sz="4" w:space="0" w:color="auto"/>
            </w:tcBorders>
            <w:shd w:val="clear" w:color="auto" w:fill="auto"/>
            <w:vAlign w:val="center"/>
            <w:hideMark/>
          </w:tcPr>
          <w:p w14:paraId="255F03FC" w14:textId="77777777" w:rsidR="00DD0D4B" w:rsidRPr="00C952BE" w:rsidRDefault="00E25AE7" w:rsidP="005E1D8B">
            <w:pPr>
              <w:spacing w:after="0" w:line="240" w:lineRule="auto"/>
              <w:jc w:val="center"/>
              <w:rPr>
                <w:rFonts w:ascii="David" w:eastAsia="Times New Roman" w:hAnsi="David" w:cs="David"/>
                <w:b/>
                <w:bCs/>
                <w:color w:val="000000"/>
                <w:rtl/>
              </w:rPr>
            </w:pPr>
            <w:r w:rsidRPr="00C952BE">
              <w:rPr>
                <w:rFonts w:ascii="David" w:eastAsia="Times New Roman" w:hAnsi="David" w:cs="David"/>
                <w:b/>
                <w:bCs/>
                <w:color w:val="000000"/>
                <w:rtl/>
              </w:rPr>
              <w:t>סוג תיק</w:t>
            </w:r>
          </w:p>
        </w:tc>
        <w:tc>
          <w:tcPr>
            <w:tcW w:w="1554" w:type="dxa"/>
            <w:tcBorders>
              <w:bottom w:val="single" w:sz="4" w:space="0" w:color="auto"/>
            </w:tcBorders>
            <w:vAlign w:val="center"/>
          </w:tcPr>
          <w:p w14:paraId="49289657" w14:textId="77777777" w:rsidR="00DD0D4B" w:rsidRPr="00C952BE" w:rsidRDefault="00E25AE7" w:rsidP="005E1D8B">
            <w:pPr>
              <w:spacing w:after="0" w:line="240" w:lineRule="auto"/>
              <w:jc w:val="center"/>
              <w:rPr>
                <w:rFonts w:ascii="David" w:eastAsia="Times New Roman" w:hAnsi="David" w:cs="David"/>
                <w:b/>
                <w:bCs/>
                <w:color w:val="000000"/>
                <w:rtl/>
              </w:rPr>
            </w:pPr>
            <w:r w:rsidRPr="00C952BE">
              <w:rPr>
                <w:rFonts w:ascii="David" w:eastAsia="Times New Roman" w:hAnsi="David" w:cs="David" w:hint="cs"/>
                <w:b/>
                <w:bCs/>
                <w:color w:val="000000"/>
                <w:rtl/>
              </w:rPr>
              <w:t>מספר תיקים שנסגרו ב-2019</w:t>
            </w:r>
          </w:p>
        </w:tc>
        <w:tc>
          <w:tcPr>
            <w:tcW w:w="1706" w:type="dxa"/>
            <w:tcBorders>
              <w:bottom w:val="single" w:sz="4" w:space="0" w:color="auto"/>
            </w:tcBorders>
            <w:shd w:val="clear" w:color="auto" w:fill="auto"/>
            <w:vAlign w:val="center"/>
            <w:hideMark/>
          </w:tcPr>
          <w:p w14:paraId="351C5F7F" w14:textId="77777777" w:rsidR="00DD0D4B" w:rsidRPr="00C952BE" w:rsidRDefault="00E25AE7" w:rsidP="005E1D8B">
            <w:pPr>
              <w:spacing w:after="0" w:line="240" w:lineRule="auto"/>
              <w:jc w:val="center"/>
              <w:rPr>
                <w:rFonts w:ascii="David" w:eastAsia="Times New Roman" w:hAnsi="David" w:cs="David"/>
                <w:b/>
                <w:bCs/>
                <w:color w:val="000000"/>
                <w:rtl/>
              </w:rPr>
            </w:pPr>
            <w:r w:rsidRPr="00C952BE">
              <w:rPr>
                <w:rFonts w:ascii="David" w:eastAsia="Times New Roman" w:hAnsi="David" w:cs="David"/>
                <w:b/>
                <w:bCs/>
                <w:color w:val="000000"/>
                <w:rtl/>
              </w:rPr>
              <w:t>הזמן השיפוטי הממוצע הדרוש לטפל בתיק</w:t>
            </w:r>
          </w:p>
        </w:tc>
        <w:tc>
          <w:tcPr>
            <w:tcW w:w="1134" w:type="dxa"/>
            <w:tcBorders>
              <w:bottom w:val="single" w:sz="4" w:space="0" w:color="auto"/>
            </w:tcBorders>
            <w:vAlign w:val="center"/>
          </w:tcPr>
          <w:p w14:paraId="1C886773" w14:textId="77777777" w:rsidR="00DD0D4B" w:rsidRPr="00C952BE" w:rsidRDefault="00E25AE7" w:rsidP="005E1D8B">
            <w:pPr>
              <w:spacing w:after="0" w:line="240" w:lineRule="auto"/>
              <w:jc w:val="center"/>
              <w:rPr>
                <w:rFonts w:ascii="David" w:eastAsia="Times New Roman" w:hAnsi="David" w:cs="David"/>
                <w:b/>
                <w:bCs/>
                <w:color w:val="000000"/>
                <w:rtl/>
              </w:rPr>
            </w:pPr>
            <w:r w:rsidRPr="00C952BE">
              <w:rPr>
                <w:rFonts w:ascii="David" w:eastAsia="Times New Roman" w:hAnsi="David" w:cs="David" w:hint="cs"/>
                <w:b/>
                <w:bCs/>
                <w:color w:val="000000"/>
                <w:rtl/>
              </w:rPr>
              <w:t>משקל ערכאתי לתיק</w:t>
            </w:r>
          </w:p>
        </w:tc>
      </w:tr>
      <w:tr w:rsidR="00E0162E" w:rsidRPr="00C952BE" w14:paraId="79E8D4FA" w14:textId="77777777" w:rsidTr="005E1D8B">
        <w:trPr>
          <w:trHeight w:val="600"/>
        </w:trPr>
        <w:tc>
          <w:tcPr>
            <w:tcW w:w="858" w:type="dxa"/>
            <w:tcBorders>
              <w:top w:val="single" w:sz="4" w:space="0" w:color="auto"/>
              <w:bottom w:val="single" w:sz="4" w:space="0" w:color="auto"/>
            </w:tcBorders>
            <w:shd w:val="clear" w:color="auto" w:fill="D9D9D9"/>
            <w:noWrap/>
            <w:vAlign w:val="center"/>
          </w:tcPr>
          <w:p w14:paraId="5F120D8E" w14:textId="77777777" w:rsidR="00DD0D4B" w:rsidRPr="00C952BE" w:rsidRDefault="00E25AE7" w:rsidP="005E1D8B">
            <w:pPr>
              <w:spacing w:after="0" w:line="240" w:lineRule="auto"/>
              <w:rPr>
                <w:rFonts w:ascii="David" w:hAnsi="David" w:cs="David"/>
                <w:color w:val="000000"/>
                <w:rtl/>
              </w:rPr>
            </w:pPr>
            <w:r w:rsidRPr="00C952BE">
              <w:rPr>
                <w:rFonts w:ascii="David" w:hAnsi="David" w:cs="David"/>
                <w:color w:val="000000"/>
                <w:rtl/>
              </w:rPr>
              <w:t>שלום</w:t>
            </w:r>
          </w:p>
        </w:tc>
        <w:tc>
          <w:tcPr>
            <w:tcW w:w="1134" w:type="dxa"/>
            <w:tcBorders>
              <w:top w:val="single" w:sz="4" w:space="0" w:color="auto"/>
              <w:bottom w:val="single" w:sz="4" w:space="0" w:color="auto"/>
            </w:tcBorders>
            <w:shd w:val="clear" w:color="auto" w:fill="D9D9D9"/>
            <w:noWrap/>
            <w:vAlign w:val="center"/>
          </w:tcPr>
          <w:p w14:paraId="529EDB2C" w14:textId="77777777" w:rsidR="00DD0D4B" w:rsidRPr="00C952BE" w:rsidRDefault="00E25AE7" w:rsidP="005E1D8B">
            <w:pPr>
              <w:spacing w:after="0" w:line="240" w:lineRule="auto"/>
              <w:rPr>
                <w:rFonts w:ascii="David" w:hAnsi="David" w:cs="David"/>
                <w:color w:val="000000"/>
                <w:rtl/>
              </w:rPr>
            </w:pPr>
            <w:r w:rsidRPr="00C952BE">
              <w:rPr>
                <w:rFonts w:ascii="David" w:hAnsi="David" w:cs="David"/>
                <w:color w:val="000000"/>
                <w:rtl/>
              </w:rPr>
              <w:t>פלילי</w:t>
            </w:r>
          </w:p>
        </w:tc>
        <w:tc>
          <w:tcPr>
            <w:tcW w:w="2551" w:type="dxa"/>
            <w:tcBorders>
              <w:top w:val="single" w:sz="4" w:space="0" w:color="auto"/>
              <w:bottom w:val="single" w:sz="4" w:space="0" w:color="auto"/>
            </w:tcBorders>
            <w:shd w:val="clear" w:color="auto" w:fill="D9D9D9"/>
            <w:vAlign w:val="center"/>
          </w:tcPr>
          <w:p w14:paraId="334B17FA" w14:textId="77777777" w:rsidR="00DD0D4B" w:rsidRPr="00C952BE" w:rsidRDefault="00E25AE7" w:rsidP="005E1D8B">
            <w:pPr>
              <w:spacing w:after="0" w:line="240" w:lineRule="auto"/>
              <w:rPr>
                <w:rFonts w:ascii="David" w:hAnsi="David" w:cs="David"/>
                <w:color w:val="000000"/>
                <w:rtl/>
              </w:rPr>
            </w:pPr>
            <w:r w:rsidRPr="00C952BE">
              <w:rPr>
                <w:rFonts w:ascii="David" w:hAnsi="David" w:cs="David"/>
                <w:color w:val="000000"/>
                <w:rtl/>
              </w:rPr>
              <w:t>תיק פלילי קהילתי (תפ"ק)</w:t>
            </w:r>
          </w:p>
        </w:tc>
        <w:tc>
          <w:tcPr>
            <w:tcW w:w="1554" w:type="dxa"/>
            <w:tcBorders>
              <w:top w:val="single" w:sz="4" w:space="0" w:color="auto"/>
              <w:bottom w:val="single" w:sz="4" w:space="0" w:color="auto"/>
            </w:tcBorders>
            <w:shd w:val="clear" w:color="auto" w:fill="D9D9D9"/>
            <w:vAlign w:val="center"/>
          </w:tcPr>
          <w:p w14:paraId="62E3A85C" w14:textId="77777777" w:rsidR="00DD0D4B" w:rsidRPr="00C952BE" w:rsidRDefault="00E25AE7" w:rsidP="005E1D8B">
            <w:pPr>
              <w:bidi w:val="0"/>
              <w:spacing w:after="0" w:line="240" w:lineRule="auto"/>
              <w:jc w:val="center"/>
              <w:rPr>
                <w:rFonts w:ascii="David" w:hAnsi="David" w:cs="David"/>
                <w:color w:val="000000"/>
              </w:rPr>
            </w:pPr>
            <w:r w:rsidRPr="00C952BE">
              <w:rPr>
                <w:rFonts w:ascii="David" w:hAnsi="David" w:cs="David"/>
                <w:color w:val="000000"/>
              </w:rPr>
              <w:t>228</w:t>
            </w:r>
          </w:p>
        </w:tc>
        <w:tc>
          <w:tcPr>
            <w:tcW w:w="1706" w:type="dxa"/>
            <w:tcBorders>
              <w:top w:val="single" w:sz="4" w:space="0" w:color="auto"/>
              <w:bottom w:val="single" w:sz="4" w:space="0" w:color="auto"/>
            </w:tcBorders>
            <w:shd w:val="clear" w:color="auto" w:fill="D9D9D9"/>
            <w:noWrap/>
            <w:vAlign w:val="center"/>
          </w:tcPr>
          <w:p w14:paraId="52BEC9C2" w14:textId="77777777" w:rsidR="00DD0D4B" w:rsidRPr="00C952BE" w:rsidRDefault="001265DC" w:rsidP="005E1D8B">
            <w:pPr>
              <w:spacing w:after="0" w:line="240" w:lineRule="auto"/>
              <w:jc w:val="center"/>
              <w:rPr>
                <w:rFonts w:ascii="David" w:hAnsi="David" w:cs="David"/>
                <w:b/>
                <w:bCs/>
                <w:color w:val="000000"/>
              </w:rPr>
            </w:pPr>
            <w:r w:rsidRPr="00C952BE">
              <w:rPr>
                <w:rFonts w:ascii="David" w:hAnsi="David" w:cs="David"/>
                <w:b/>
                <w:bCs/>
                <w:color w:val="000000"/>
              </w:rPr>
              <w:t>7:11</w:t>
            </w:r>
          </w:p>
        </w:tc>
        <w:tc>
          <w:tcPr>
            <w:tcW w:w="1134" w:type="dxa"/>
            <w:tcBorders>
              <w:top w:val="single" w:sz="4" w:space="0" w:color="auto"/>
              <w:bottom w:val="single" w:sz="4" w:space="0" w:color="auto"/>
            </w:tcBorders>
            <w:shd w:val="clear" w:color="auto" w:fill="D9D9D9"/>
            <w:vAlign w:val="center"/>
          </w:tcPr>
          <w:p w14:paraId="7C4EE65F" w14:textId="77777777" w:rsidR="00DD0D4B" w:rsidRPr="00C952BE" w:rsidRDefault="001265DC" w:rsidP="005E1D8B">
            <w:pPr>
              <w:spacing w:after="0" w:line="240" w:lineRule="auto"/>
              <w:jc w:val="center"/>
              <w:rPr>
                <w:rFonts w:ascii="David" w:hAnsi="David" w:cs="David"/>
                <w:color w:val="000000"/>
              </w:rPr>
            </w:pPr>
            <w:r w:rsidRPr="00C952BE">
              <w:rPr>
                <w:rFonts w:ascii="David" w:hAnsi="David" w:cs="David"/>
                <w:color w:val="000000"/>
              </w:rPr>
              <w:t>57</w:t>
            </w:r>
          </w:p>
        </w:tc>
      </w:tr>
      <w:tr w:rsidR="00E0162E" w:rsidRPr="00C952BE" w14:paraId="58F46474" w14:textId="77777777" w:rsidTr="005E1D8B">
        <w:trPr>
          <w:trHeight w:val="600"/>
        </w:trPr>
        <w:tc>
          <w:tcPr>
            <w:tcW w:w="858" w:type="dxa"/>
            <w:tcBorders>
              <w:top w:val="single" w:sz="4" w:space="0" w:color="auto"/>
              <w:bottom w:val="single" w:sz="4" w:space="0" w:color="auto"/>
            </w:tcBorders>
            <w:shd w:val="clear" w:color="auto" w:fill="auto"/>
            <w:noWrap/>
            <w:vAlign w:val="center"/>
          </w:tcPr>
          <w:p w14:paraId="743F6E6F" w14:textId="77777777" w:rsidR="00DD0D4B" w:rsidRPr="00C952BE" w:rsidRDefault="00E25AE7" w:rsidP="005E1D8B">
            <w:pPr>
              <w:spacing w:after="0" w:line="240" w:lineRule="auto"/>
              <w:rPr>
                <w:rFonts w:ascii="David" w:hAnsi="David" w:cs="David"/>
                <w:color w:val="000000"/>
                <w:rtl/>
              </w:rPr>
            </w:pPr>
            <w:r w:rsidRPr="00C952BE">
              <w:rPr>
                <w:rFonts w:ascii="David" w:hAnsi="David" w:cs="David"/>
                <w:color w:val="000000"/>
                <w:rtl/>
              </w:rPr>
              <w:t>שלום</w:t>
            </w:r>
          </w:p>
        </w:tc>
        <w:tc>
          <w:tcPr>
            <w:tcW w:w="1134" w:type="dxa"/>
            <w:tcBorders>
              <w:top w:val="single" w:sz="4" w:space="0" w:color="auto"/>
              <w:bottom w:val="single" w:sz="4" w:space="0" w:color="auto"/>
            </w:tcBorders>
            <w:shd w:val="clear" w:color="auto" w:fill="auto"/>
            <w:noWrap/>
            <w:vAlign w:val="center"/>
          </w:tcPr>
          <w:p w14:paraId="407C7CA7" w14:textId="77777777" w:rsidR="00DD0D4B" w:rsidRPr="00C952BE" w:rsidRDefault="00E25AE7" w:rsidP="005E1D8B">
            <w:pPr>
              <w:spacing w:after="0" w:line="240" w:lineRule="auto"/>
              <w:rPr>
                <w:rFonts w:ascii="David" w:hAnsi="David" w:cs="David"/>
                <w:color w:val="000000"/>
                <w:rtl/>
              </w:rPr>
            </w:pPr>
            <w:r w:rsidRPr="00C952BE">
              <w:rPr>
                <w:rFonts w:ascii="David" w:hAnsi="David" w:cs="David"/>
                <w:color w:val="000000"/>
                <w:rtl/>
              </w:rPr>
              <w:t>פלילי</w:t>
            </w:r>
          </w:p>
        </w:tc>
        <w:tc>
          <w:tcPr>
            <w:tcW w:w="2551" w:type="dxa"/>
            <w:tcBorders>
              <w:top w:val="single" w:sz="4" w:space="0" w:color="auto"/>
              <w:bottom w:val="single" w:sz="4" w:space="0" w:color="auto"/>
            </w:tcBorders>
            <w:shd w:val="clear" w:color="auto" w:fill="auto"/>
            <w:vAlign w:val="center"/>
          </w:tcPr>
          <w:p w14:paraId="02C6F4E7" w14:textId="77777777" w:rsidR="00DD0D4B" w:rsidRPr="00C952BE" w:rsidRDefault="00E25AE7" w:rsidP="005E1D8B">
            <w:pPr>
              <w:spacing w:after="0" w:line="240" w:lineRule="auto"/>
              <w:rPr>
                <w:rFonts w:ascii="David" w:hAnsi="David" w:cs="David"/>
                <w:color w:val="000000"/>
                <w:rtl/>
              </w:rPr>
            </w:pPr>
            <w:r w:rsidRPr="00C952BE">
              <w:rPr>
                <w:rFonts w:ascii="David" w:hAnsi="David" w:cs="David"/>
                <w:color w:val="000000"/>
                <w:rtl/>
              </w:rPr>
              <w:t>תיק פלילי (ת"פ)</w:t>
            </w:r>
          </w:p>
        </w:tc>
        <w:tc>
          <w:tcPr>
            <w:tcW w:w="1554" w:type="dxa"/>
            <w:tcBorders>
              <w:top w:val="single" w:sz="4" w:space="0" w:color="auto"/>
              <w:bottom w:val="single" w:sz="4" w:space="0" w:color="auto"/>
            </w:tcBorders>
            <w:vAlign w:val="center"/>
          </w:tcPr>
          <w:p w14:paraId="25ADFA6A" w14:textId="77777777" w:rsidR="00DD0D4B" w:rsidRPr="00C952BE" w:rsidRDefault="00E25AE7" w:rsidP="005E1D8B">
            <w:pPr>
              <w:spacing w:after="0" w:line="240" w:lineRule="auto"/>
              <w:jc w:val="center"/>
              <w:rPr>
                <w:rFonts w:ascii="David" w:hAnsi="David" w:cs="David"/>
                <w:color w:val="000000"/>
              </w:rPr>
            </w:pPr>
            <w:r w:rsidRPr="00C952BE">
              <w:rPr>
                <w:rFonts w:ascii="David" w:hAnsi="David" w:cs="David"/>
                <w:color w:val="000000"/>
              </w:rPr>
              <w:t>30,372</w:t>
            </w:r>
          </w:p>
        </w:tc>
        <w:tc>
          <w:tcPr>
            <w:tcW w:w="1706" w:type="dxa"/>
            <w:tcBorders>
              <w:top w:val="single" w:sz="4" w:space="0" w:color="auto"/>
              <w:bottom w:val="single" w:sz="4" w:space="0" w:color="auto"/>
            </w:tcBorders>
            <w:shd w:val="clear" w:color="auto" w:fill="auto"/>
            <w:noWrap/>
            <w:vAlign w:val="center"/>
          </w:tcPr>
          <w:p w14:paraId="1E6C8CB4" w14:textId="77777777" w:rsidR="00DD0D4B" w:rsidRPr="00C952BE" w:rsidRDefault="001265DC" w:rsidP="005E1D8B">
            <w:pPr>
              <w:spacing w:after="0" w:line="240" w:lineRule="auto"/>
              <w:jc w:val="center"/>
              <w:rPr>
                <w:rFonts w:ascii="David" w:hAnsi="David" w:cs="David"/>
                <w:b/>
                <w:bCs/>
                <w:color w:val="000000"/>
                <w:rtl/>
              </w:rPr>
            </w:pPr>
            <w:r w:rsidRPr="00C952BE">
              <w:rPr>
                <w:rFonts w:ascii="David" w:hAnsi="David" w:cs="David"/>
                <w:b/>
                <w:bCs/>
                <w:color w:val="000000"/>
              </w:rPr>
              <w:t>5:17</w:t>
            </w:r>
          </w:p>
        </w:tc>
        <w:tc>
          <w:tcPr>
            <w:tcW w:w="1134" w:type="dxa"/>
            <w:tcBorders>
              <w:top w:val="single" w:sz="4" w:space="0" w:color="auto"/>
              <w:bottom w:val="single" w:sz="4" w:space="0" w:color="auto"/>
            </w:tcBorders>
            <w:shd w:val="clear" w:color="auto" w:fill="auto"/>
            <w:vAlign w:val="center"/>
          </w:tcPr>
          <w:p w14:paraId="455E97DA" w14:textId="77777777" w:rsidR="00DD0D4B" w:rsidRPr="00C952BE" w:rsidRDefault="001265DC" w:rsidP="005E1D8B">
            <w:pPr>
              <w:spacing w:after="0" w:line="240" w:lineRule="auto"/>
              <w:jc w:val="center"/>
              <w:rPr>
                <w:rFonts w:ascii="David" w:hAnsi="David" w:cs="David"/>
                <w:color w:val="000000"/>
              </w:rPr>
            </w:pPr>
            <w:r w:rsidRPr="00C952BE">
              <w:rPr>
                <w:rFonts w:ascii="David" w:hAnsi="David" w:cs="David"/>
                <w:color w:val="000000"/>
              </w:rPr>
              <w:t>42</w:t>
            </w:r>
          </w:p>
        </w:tc>
      </w:tr>
      <w:tr w:rsidR="00E0162E" w:rsidRPr="00C952BE" w14:paraId="51BE8F8D" w14:textId="77777777" w:rsidTr="005E1D8B">
        <w:trPr>
          <w:trHeight w:val="600"/>
        </w:trPr>
        <w:tc>
          <w:tcPr>
            <w:tcW w:w="858" w:type="dxa"/>
            <w:tcBorders>
              <w:top w:val="single" w:sz="4" w:space="0" w:color="auto"/>
              <w:bottom w:val="single" w:sz="4" w:space="0" w:color="auto"/>
            </w:tcBorders>
            <w:shd w:val="clear" w:color="auto" w:fill="D9D9D9"/>
            <w:noWrap/>
            <w:vAlign w:val="center"/>
          </w:tcPr>
          <w:p w14:paraId="32BEA350" w14:textId="77777777" w:rsidR="00DD0D4B" w:rsidRPr="00C952BE" w:rsidRDefault="00E25AE7" w:rsidP="005E1D8B">
            <w:pPr>
              <w:spacing w:after="0" w:line="240" w:lineRule="auto"/>
              <w:rPr>
                <w:rFonts w:ascii="David" w:hAnsi="David" w:cs="David"/>
                <w:color w:val="000000"/>
                <w:rtl/>
              </w:rPr>
            </w:pPr>
            <w:r w:rsidRPr="00C952BE">
              <w:rPr>
                <w:rFonts w:ascii="David" w:hAnsi="David" w:cs="David"/>
                <w:color w:val="000000"/>
                <w:rtl/>
              </w:rPr>
              <w:t>שלום</w:t>
            </w:r>
          </w:p>
        </w:tc>
        <w:tc>
          <w:tcPr>
            <w:tcW w:w="1134" w:type="dxa"/>
            <w:tcBorders>
              <w:top w:val="single" w:sz="4" w:space="0" w:color="auto"/>
              <w:bottom w:val="single" w:sz="4" w:space="0" w:color="auto"/>
            </w:tcBorders>
            <w:shd w:val="clear" w:color="auto" w:fill="D9D9D9"/>
            <w:noWrap/>
            <w:vAlign w:val="center"/>
          </w:tcPr>
          <w:p w14:paraId="568C007D" w14:textId="77777777" w:rsidR="00DD0D4B" w:rsidRPr="00C952BE" w:rsidRDefault="00E25AE7" w:rsidP="005E1D8B">
            <w:pPr>
              <w:spacing w:after="0" w:line="240" w:lineRule="auto"/>
              <w:rPr>
                <w:rFonts w:ascii="David" w:hAnsi="David" w:cs="David"/>
                <w:color w:val="000000"/>
                <w:rtl/>
              </w:rPr>
            </w:pPr>
            <w:r w:rsidRPr="00C952BE">
              <w:rPr>
                <w:rFonts w:ascii="David" w:hAnsi="David" w:cs="David"/>
                <w:color w:val="000000"/>
                <w:rtl/>
              </w:rPr>
              <w:t>פלילי</w:t>
            </w:r>
          </w:p>
        </w:tc>
        <w:tc>
          <w:tcPr>
            <w:tcW w:w="2551" w:type="dxa"/>
            <w:tcBorders>
              <w:top w:val="single" w:sz="4" w:space="0" w:color="auto"/>
              <w:bottom w:val="single" w:sz="4" w:space="0" w:color="auto"/>
            </w:tcBorders>
            <w:shd w:val="clear" w:color="auto" w:fill="D9D9D9"/>
            <w:vAlign w:val="center"/>
          </w:tcPr>
          <w:p w14:paraId="53FB9FBD" w14:textId="77777777" w:rsidR="00DD0D4B" w:rsidRPr="00C952BE" w:rsidRDefault="00E25AE7" w:rsidP="005E1D8B">
            <w:pPr>
              <w:spacing w:after="0" w:line="240" w:lineRule="auto"/>
              <w:rPr>
                <w:rFonts w:ascii="David" w:hAnsi="David" w:cs="David"/>
                <w:color w:val="000000"/>
                <w:rtl/>
              </w:rPr>
            </w:pPr>
            <w:r w:rsidRPr="00C952BE">
              <w:rPr>
                <w:rFonts w:ascii="David" w:hAnsi="David" w:cs="David"/>
                <w:color w:val="000000"/>
                <w:rtl/>
              </w:rPr>
              <w:t>קובלנה פלילית (ק"פ)</w:t>
            </w:r>
          </w:p>
        </w:tc>
        <w:tc>
          <w:tcPr>
            <w:tcW w:w="1554" w:type="dxa"/>
            <w:tcBorders>
              <w:top w:val="single" w:sz="4" w:space="0" w:color="auto"/>
              <w:bottom w:val="single" w:sz="4" w:space="0" w:color="auto"/>
            </w:tcBorders>
            <w:shd w:val="clear" w:color="auto" w:fill="D9D9D9"/>
            <w:vAlign w:val="center"/>
          </w:tcPr>
          <w:p w14:paraId="772BF7D0" w14:textId="77777777" w:rsidR="00DD0D4B" w:rsidRPr="00C952BE" w:rsidRDefault="00E25AE7" w:rsidP="005E1D8B">
            <w:pPr>
              <w:bidi w:val="0"/>
              <w:spacing w:after="0" w:line="240" w:lineRule="auto"/>
              <w:jc w:val="center"/>
              <w:rPr>
                <w:rFonts w:ascii="David" w:hAnsi="David" w:cs="David"/>
                <w:color w:val="000000"/>
              </w:rPr>
            </w:pPr>
            <w:r w:rsidRPr="00C952BE">
              <w:rPr>
                <w:rFonts w:ascii="David" w:hAnsi="David" w:cs="David"/>
                <w:color w:val="000000"/>
              </w:rPr>
              <w:t>92</w:t>
            </w:r>
          </w:p>
        </w:tc>
        <w:tc>
          <w:tcPr>
            <w:tcW w:w="1706" w:type="dxa"/>
            <w:tcBorders>
              <w:top w:val="single" w:sz="4" w:space="0" w:color="auto"/>
              <w:bottom w:val="single" w:sz="4" w:space="0" w:color="auto"/>
            </w:tcBorders>
            <w:shd w:val="clear" w:color="auto" w:fill="D9D9D9"/>
            <w:noWrap/>
            <w:vAlign w:val="center"/>
          </w:tcPr>
          <w:p w14:paraId="6CCEE4D0" w14:textId="77777777" w:rsidR="00DD0D4B" w:rsidRPr="00C952BE" w:rsidRDefault="00E25AE7" w:rsidP="005E1D8B">
            <w:pPr>
              <w:spacing w:after="0" w:line="240" w:lineRule="auto"/>
              <w:jc w:val="center"/>
              <w:rPr>
                <w:rFonts w:ascii="David" w:hAnsi="David" w:cs="David"/>
                <w:b/>
                <w:bCs/>
                <w:color w:val="000000"/>
              </w:rPr>
            </w:pPr>
            <w:r w:rsidRPr="00C952BE">
              <w:rPr>
                <w:rFonts w:ascii="David" w:hAnsi="David" w:cs="David"/>
                <w:b/>
                <w:bCs/>
                <w:color w:val="000000"/>
              </w:rPr>
              <w:t>4:</w:t>
            </w:r>
            <w:r w:rsidR="001265DC" w:rsidRPr="00C952BE">
              <w:rPr>
                <w:rFonts w:ascii="David" w:hAnsi="David" w:cs="David"/>
                <w:b/>
                <w:bCs/>
                <w:color w:val="000000"/>
              </w:rPr>
              <w:t>48</w:t>
            </w:r>
          </w:p>
        </w:tc>
        <w:tc>
          <w:tcPr>
            <w:tcW w:w="1134" w:type="dxa"/>
            <w:tcBorders>
              <w:top w:val="single" w:sz="4" w:space="0" w:color="auto"/>
              <w:bottom w:val="single" w:sz="4" w:space="0" w:color="auto"/>
            </w:tcBorders>
            <w:shd w:val="clear" w:color="auto" w:fill="D9D9D9"/>
            <w:vAlign w:val="center"/>
          </w:tcPr>
          <w:p w14:paraId="582D0250" w14:textId="77777777" w:rsidR="00DD0D4B" w:rsidRPr="00C952BE" w:rsidRDefault="001265DC" w:rsidP="005E1D8B">
            <w:pPr>
              <w:spacing w:after="0" w:line="240" w:lineRule="auto"/>
              <w:jc w:val="center"/>
              <w:rPr>
                <w:rFonts w:ascii="David" w:hAnsi="David" w:cs="David"/>
                <w:color w:val="000000"/>
              </w:rPr>
            </w:pPr>
            <w:r w:rsidRPr="00C952BE">
              <w:rPr>
                <w:rFonts w:ascii="David" w:hAnsi="David" w:cs="David"/>
                <w:color w:val="000000"/>
              </w:rPr>
              <w:t>38</w:t>
            </w:r>
          </w:p>
        </w:tc>
      </w:tr>
      <w:tr w:rsidR="00E0162E" w:rsidRPr="00C952BE" w14:paraId="08AF30BE" w14:textId="77777777" w:rsidTr="005E1D8B">
        <w:trPr>
          <w:trHeight w:val="600"/>
        </w:trPr>
        <w:tc>
          <w:tcPr>
            <w:tcW w:w="858" w:type="dxa"/>
            <w:tcBorders>
              <w:top w:val="single" w:sz="4" w:space="0" w:color="auto"/>
              <w:bottom w:val="single" w:sz="4" w:space="0" w:color="auto"/>
            </w:tcBorders>
            <w:shd w:val="clear" w:color="auto" w:fill="auto"/>
            <w:noWrap/>
            <w:vAlign w:val="center"/>
          </w:tcPr>
          <w:p w14:paraId="169601EC" w14:textId="77777777" w:rsidR="00DD0D4B" w:rsidRPr="00C952BE" w:rsidRDefault="00E25AE7" w:rsidP="005E1D8B">
            <w:pPr>
              <w:spacing w:after="0" w:line="240" w:lineRule="auto"/>
              <w:rPr>
                <w:rFonts w:ascii="David" w:hAnsi="David" w:cs="David"/>
                <w:color w:val="000000"/>
                <w:rtl/>
              </w:rPr>
            </w:pPr>
            <w:r w:rsidRPr="00C952BE">
              <w:rPr>
                <w:rFonts w:ascii="David" w:hAnsi="David" w:cs="David"/>
                <w:color w:val="000000"/>
                <w:rtl/>
              </w:rPr>
              <w:t>שלום</w:t>
            </w:r>
          </w:p>
        </w:tc>
        <w:tc>
          <w:tcPr>
            <w:tcW w:w="1134" w:type="dxa"/>
            <w:tcBorders>
              <w:top w:val="single" w:sz="4" w:space="0" w:color="auto"/>
              <w:bottom w:val="single" w:sz="4" w:space="0" w:color="auto"/>
            </w:tcBorders>
            <w:shd w:val="clear" w:color="auto" w:fill="auto"/>
            <w:noWrap/>
            <w:vAlign w:val="center"/>
          </w:tcPr>
          <w:p w14:paraId="13D46B37" w14:textId="77777777" w:rsidR="00DD0D4B" w:rsidRPr="00C952BE" w:rsidRDefault="00E25AE7" w:rsidP="005E1D8B">
            <w:pPr>
              <w:spacing w:after="0" w:line="240" w:lineRule="auto"/>
              <w:rPr>
                <w:rFonts w:ascii="David" w:hAnsi="David" w:cs="David"/>
                <w:color w:val="000000"/>
                <w:rtl/>
              </w:rPr>
            </w:pPr>
            <w:r w:rsidRPr="00C952BE">
              <w:rPr>
                <w:rFonts w:ascii="David" w:hAnsi="David" w:cs="David"/>
                <w:color w:val="000000"/>
                <w:rtl/>
              </w:rPr>
              <w:t>פלילי</w:t>
            </w:r>
          </w:p>
        </w:tc>
        <w:tc>
          <w:tcPr>
            <w:tcW w:w="2551" w:type="dxa"/>
            <w:tcBorders>
              <w:top w:val="single" w:sz="4" w:space="0" w:color="auto"/>
              <w:bottom w:val="single" w:sz="4" w:space="0" w:color="auto"/>
            </w:tcBorders>
            <w:shd w:val="clear" w:color="auto" w:fill="auto"/>
            <w:vAlign w:val="center"/>
          </w:tcPr>
          <w:p w14:paraId="5721E476" w14:textId="77777777" w:rsidR="00DD0D4B" w:rsidRPr="00C952BE" w:rsidRDefault="00E25AE7" w:rsidP="005E1D8B">
            <w:pPr>
              <w:spacing w:after="0" w:line="240" w:lineRule="auto"/>
              <w:rPr>
                <w:rFonts w:ascii="David" w:hAnsi="David" w:cs="David"/>
                <w:color w:val="000000"/>
                <w:rtl/>
              </w:rPr>
            </w:pPr>
            <w:r w:rsidRPr="00C952BE">
              <w:rPr>
                <w:rFonts w:ascii="David" w:hAnsi="David" w:cs="David"/>
                <w:color w:val="000000"/>
                <w:rtl/>
              </w:rPr>
              <w:t>ביטול צו הריסה מינהלי (בצה"מ)</w:t>
            </w:r>
          </w:p>
        </w:tc>
        <w:tc>
          <w:tcPr>
            <w:tcW w:w="1554" w:type="dxa"/>
            <w:tcBorders>
              <w:top w:val="single" w:sz="4" w:space="0" w:color="auto"/>
              <w:bottom w:val="single" w:sz="4" w:space="0" w:color="auto"/>
            </w:tcBorders>
            <w:vAlign w:val="center"/>
          </w:tcPr>
          <w:p w14:paraId="4A4667A5" w14:textId="77777777" w:rsidR="00DD0D4B" w:rsidRPr="00C952BE" w:rsidRDefault="00E25AE7" w:rsidP="005E1D8B">
            <w:pPr>
              <w:bidi w:val="0"/>
              <w:spacing w:after="0" w:line="240" w:lineRule="auto"/>
              <w:jc w:val="center"/>
              <w:rPr>
                <w:rFonts w:ascii="David" w:hAnsi="David" w:cs="David"/>
                <w:color w:val="000000"/>
              </w:rPr>
            </w:pPr>
            <w:r w:rsidRPr="00C952BE">
              <w:rPr>
                <w:rFonts w:ascii="David" w:hAnsi="David" w:cs="David"/>
                <w:color w:val="000000"/>
              </w:rPr>
              <w:t>353</w:t>
            </w:r>
          </w:p>
        </w:tc>
        <w:tc>
          <w:tcPr>
            <w:tcW w:w="1706" w:type="dxa"/>
            <w:tcBorders>
              <w:top w:val="single" w:sz="4" w:space="0" w:color="auto"/>
              <w:bottom w:val="single" w:sz="4" w:space="0" w:color="auto"/>
            </w:tcBorders>
            <w:shd w:val="clear" w:color="auto" w:fill="auto"/>
            <w:noWrap/>
            <w:vAlign w:val="center"/>
          </w:tcPr>
          <w:p w14:paraId="0A030A8C" w14:textId="77777777" w:rsidR="00DD0D4B" w:rsidRPr="00C952BE" w:rsidRDefault="00E25AE7" w:rsidP="005E1D8B">
            <w:pPr>
              <w:spacing w:after="0" w:line="240" w:lineRule="auto"/>
              <w:jc w:val="center"/>
              <w:rPr>
                <w:rFonts w:ascii="David" w:hAnsi="David" w:cs="David"/>
                <w:b/>
                <w:bCs/>
                <w:color w:val="000000"/>
              </w:rPr>
            </w:pPr>
            <w:r w:rsidRPr="00C952BE">
              <w:rPr>
                <w:rFonts w:ascii="David" w:hAnsi="David" w:cs="David"/>
                <w:b/>
                <w:bCs/>
                <w:color w:val="000000"/>
              </w:rPr>
              <w:t>3:</w:t>
            </w:r>
            <w:r w:rsidR="001265DC" w:rsidRPr="00C952BE">
              <w:rPr>
                <w:rFonts w:ascii="David" w:hAnsi="David" w:cs="David"/>
                <w:b/>
                <w:bCs/>
                <w:color w:val="000000"/>
              </w:rPr>
              <w:t>57</w:t>
            </w:r>
          </w:p>
        </w:tc>
        <w:tc>
          <w:tcPr>
            <w:tcW w:w="1134" w:type="dxa"/>
            <w:tcBorders>
              <w:top w:val="single" w:sz="4" w:space="0" w:color="auto"/>
              <w:bottom w:val="single" w:sz="4" w:space="0" w:color="auto"/>
            </w:tcBorders>
            <w:shd w:val="clear" w:color="auto" w:fill="auto"/>
            <w:vAlign w:val="center"/>
          </w:tcPr>
          <w:p w14:paraId="31B85C06" w14:textId="77777777" w:rsidR="00DD0D4B" w:rsidRPr="00C952BE" w:rsidRDefault="00E25AE7" w:rsidP="005E1D8B">
            <w:pPr>
              <w:spacing w:after="0" w:line="240" w:lineRule="auto"/>
              <w:jc w:val="center"/>
              <w:rPr>
                <w:rFonts w:ascii="David" w:hAnsi="David" w:cs="David"/>
                <w:color w:val="000000"/>
                <w:rtl/>
              </w:rPr>
            </w:pPr>
            <w:r w:rsidRPr="00C952BE">
              <w:rPr>
                <w:rFonts w:ascii="David" w:hAnsi="David" w:cs="David" w:hint="cs"/>
                <w:color w:val="000000"/>
                <w:rtl/>
              </w:rPr>
              <w:t>3</w:t>
            </w:r>
            <w:r w:rsidR="001265DC" w:rsidRPr="00C952BE">
              <w:rPr>
                <w:rFonts w:ascii="David" w:hAnsi="David" w:cs="David" w:hint="cs"/>
                <w:color w:val="000000"/>
                <w:rtl/>
              </w:rPr>
              <w:t>1</w:t>
            </w:r>
          </w:p>
        </w:tc>
      </w:tr>
      <w:tr w:rsidR="00550EA7" w:rsidRPr="00C952BE" w14:paraId="673FE2F8" w14:textId="77777777" w:rsidTr="005E1D8B">
        <w:trPr>
          <w:trHeight w:val="600"/>
        </w:trPr>
        <w:tc>
          <w:tcPr>
            <w:tcW w:w="858" w:type="dxa"/>
            <w:tcBorders>
              <w:top w:val="single" w:sz="4" w:space="0" w:color="auto"/>
              <w:bottom w:val="single" w:sz="4" w:space="0" w:color="auto"/>
            </w:tcBorders>
            <w:shd w:val="clear" w:color="auto" w:fill="D0CECE" w:themeFill="background2" w:themeFillShade="E6"/>
            <w:noWrap/>
            <w:vAlign w:val="center"/>
          </w:tcPr>
          <w:p w14:paraId="43EDA557"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שלום</w:t>
            </w:r>
          </w:p>
        </w:tc>
        <w:tc>
          <w:tcPr>
            <w:tcW w:w="1134" w:type="dxa"/>
            <w:tcBorders>
              <w:top w:val="single" w:sz="4" w:space="0" w:color="auto"/>
              <w:bottom w:val="single" w:sz="4" w:space="0" w:color="auto"/>
            </w:tcBorders>
            <w:shd w:val="clear" w:color="auto" w:fill="D0CECE" w:themeFill="background2" w:themeFillShade="E6"/>
            <w:noWrap/>
            <w:vAlign w:val="center"/>
          </w:tcPr>
          <w:p w14:paraId="0EECDCEA"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מעצרים/ פלילי</w:t>
            </w:r>
          </w:p>
        </w:tc>
        <w:tc>
          <w:tcPr>
            <w:tcW w:w="2551" w:type="dxa"/>
            <w:tcBorders>
              <w:top w:val="single" w:sz="4" w:space="0" w:color="auto"/>
              <w:bottom w:val="single" w:sz="4" w:space="0" w:color="auto"/>
            </w:tcBorders>
            <w:shd w:val="clear" w:color="auto" w:fill="D0CECE" w:themeFill="background2" w:themeFillShade="E6"/>
            <w:vAlign w:val="center"/>
          </w:tcPr>
          <w:p w14:paraId="2FE3BC79"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מעצר עד תום ההליכים (מ"ת)</w:t>
            </w:r>
          </w:p>
        </w:tc>
        <w:tc>
          <w:tcPr>
            <w:tcW w:w="1554" w:type="dxa"/>
            <w:tcBorders>
              <w:top w:val="single" w:sz="4" w:space="0" w:color="auto"/>
              <w:bottom w:val="single" w:sz="4" w:space="0" w:color="auto"/>
            </w:tcBorders>
            <w:shd w:val="clear" w:color="auto" w:fill="D0CECE" w:themeFill="background2" w:themeFillShade="E6"/>
            <w:vAlign w:val="center"/>
          </w:tcPr>
          <w:p w14:paraId="4EC24207" w14:textId="77777777" w:rsidR="00550EA7" w:rsidRPr="00C952BE" w:rsidRDefault="00550EA7" w:rsidP="005E1D8B">
            <w:pPr>
              <w:bidi w:val="0"/>
              <w:spacing w:after="0" w:line="240" w:lineRule="auto"/>
              <w:jc w:val="center"/>
              <w:rPr>
                <w:rFonts w:ascii="David" w:hAnsi="David" w:cs="David"/>
                <w:color w:val="000000"/>
              </w:rPr>
            </w:pPr>
            <w:r w:rsidRPr="00C952BE">
              <w:rPr>
                <w:rFonts w:ascii="David" w:hAnsi="David" w:cs="David"/>
                <w:color w:val="000000"/>
              </w:rPr>
              <w:t>10,583</w:t>
            </w:r>
          </w:p>
        </w:tc>
        <w:tc>
          <w:tcPr>
            <w:tcW w:w="1706" w:type="dxa"/>
            <w:tcBorders>
              <w:top w:val="single" w:sz="4" w:space="0" w:color="auto"/>
              <w:bottom w:val="single" w:sz="4" w:space="0" w:color="auto"/>
            </w:tcBorders>
            <w:shd w:val="clear" w:color="auto" w:fill="D0CECE" w:themeFill="background2" w:themeFillShade="E6"/>
            <w:noWrap/>
            <w:vAlign w:val="center"/>
          </w:tcPr>
          <w:p w14:paraId="0D6BD8BE" w14:textId="77777777" w:rsidR="00550EA7" w:rsidRPr="00C952BE" w:rsidRDefault="00550EA7" w:rsidP="005E1D8B">
            <w:pPr>
              <w:spacing w:after="0" w:line="240" w:lineRule="auto"/>
              <w:jc w:val="center"/>
              <w:rPr>
                <w:rFonts w:ascii="David" w:hAnsi="David" w:cs="David"/>
                <w:b/>
                <w:bCs/>
                <w:color w:val="000000"/>
              </w:rPr>
            </w:pPr>
            <w:r w:rsidRPr="00C952BE">
              <w:rPr>
                <w:rFonts w:ascii="David" w:hAnsi="David" w:cs="David"/>
                <w:b/>
                <w:bCs/>
                <w:color w:val="000000"/>
              </w:rPr>
              <w:t>2:37</w:t>
            </w:r>
          </w:p>
        </w:tc>
        <w:tc>
          <w:tcPr>
            <w:tcW w:w="1134" w:type="dxa"/>
            <w:tcBorders>
              <w:top w:val="single" w:sz="4" w:space="0" w:color="auto"/>
              <w:bottom w:val="single" w:sz="4" w:space="0" w:color="auto"/>
            </w:tcBorders>
            <w:shd w:val="clear" w:color="auto" w:fill="D0CECE" w:themeFill="background2" w:themeFillShade="E6"/>
            <w:vAlign w:val="center"/>
          </w:tcPr>
          <w:p w14:paraId="7D66AE76" w14:textId="77777777" w:rsidR="00550EA7" w:rsidRPr="00C952BE" w:rsidRDefault="00550EA7" w:rsidP="005E1D8B">
            <w:pPr>
              <w:spacing w:after="0" w:line="240" w:lineRule="auto"/>
              <w:jc w:val="center"/>
              <w:rPr>
                <w:rFonts w:ascii="David" w:hAnsi="David" w:cs="David"/>
                <w:color w:val="000000"/>
                <w:rtl/>
              </w:rPr>
            </w:pPr>
            <w:r w:rsidRPr="00C952BE">
              <w:rPr>
                <w:rFonts w:ascii="David" w:hAnsi="David" w:cs="David" w:hint="cs"/>
                <w:color w:val="000000"/>
                <w:rtl/>
              </w:rPr>
              <w:t>21</w:t>
            </w:r>
          </w:p>
        </w:tc>
      </w:tr>
      <w:tr w:rsidR="00550EA7" w:rsidRPr="00C952BE" w14:paraId="3A3C5C31" w14:textId="77777777" w:rsidTr="005E1D8B">
        <w:trPr>
          <w:trHeight w:val="600"/>
        </w:trPr>
        <w:tc>
          <w:tcPr>
            <w:tcW w:w="858" w:type="dxa"/>
            <w:tcBorders>
              <w:top w:val="single" w:sz="4" w:space="0" w:color="auto"/>
              <w:bottom w:val="single" w:sz="4" w:space="0" w:color="auto"/>
            </w:tcBorders>
            <w:shd w:val="clear" w:color="auto" w:fill="auto"/>
            <w:noWrap/>
            <w:vAlign w:val="center"/>
          </w:tcPr>
          <w:p w14:paraId="18F338E9"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שלום</w:t>
            </w:r>
          </w:p>
        </w:tc>
        <w:tc>
          <w:tcPr>
            <w:tcW w:w="1134" w:type="dxa"/>
            <w:tcBorders>
              <w:top w:val="single" w:sz="4" w:space="0" w:color="auto"/>
              <w:bottom w:val="single" w:sz="4" w:space="0" w:color="auto"/>
            </w:tcBorders>
            <w:shd w:val="clear" w:color="auto" w:fill="auto"/>
            <w:noWrap/>
            <w:vAlign w:val="center"/>
          </w:tcPr>
          <w:p w14:paraId="45DAFCF0"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פלילי</w:t>
            </w:r>
          </w:p>
        </w:tc>
        <w:tc>
          <w:tcPr>
            <w:tcW w:w="2551" w:type="dxa"/>
            <w:tcBorders>
              <w:top w:val="single" w:sz="4" w:space="0" w:color="auto"/>
              <w:bottom w:val="single" w:sz="4" w:space="0" w:color="auto"/>
            </w:tcBorders>
            <w:shd w:val="clear" w:color="auto" w:fill="auto"/>
            <w:vAlign w:val="center"/>
          </w:tcPr>
          <w:p w14:paraId="7D266929"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בקשה לעיון בחומר חקירה (בע"ח)</w:t>
            </w:r>
          </w:p>
        </w:tc>
        <w:tc>
          <w:tcPr>
            <w:tcW w:w="1554" w:type="dxa"/>
            <w:tcBorders>
              <w:top w:val="single" w:sz="4" w:space="0" w:color="auto"/>
              <w:bottom w:val="single" w:sz="4" w:space="0" w:color="auto"/>
            </w:tcBorders>
            <w:vAlign w:val="center"/>
          </w:tcPr>
          <w:p w14:paraId="459D5244" w14:textId="77777777" w:rsidR="00550EA7" w:rsidRPr="00C952BE" w:rsidRDefault="00550EA7" w:rsidP="005E1D8B">
            <w:pPr>
              <w:bidi w:val="0"/>
              <w:spacing w:after="0" w:line="240" w:lineRule="auto"/>
              <w:jc w:val="center"/>
              <w:rPr>
                <w:rFonts w:ascii="David" w:hAnsi="David" w:cs="David"/>
                <w:color w:val="000000"/>
              </w:rPr>
            </w:pPr>
            <w:r w:rsidRPr="00C952BE">
              <w:rPr>
                <w:rFonts w:ascii="David" w:hAnsi="David" w:cs="David"/>
                <w:color w:val="000000"/>
              </w:rPr>
              <w:t>776</w:t>
            </w:r>
          </w:p>
        </w:tc>
        <w:tc>
          <w:tcPr>
            <w:tcW w:w="1706" w:type="dxa"/>
            <w:tcBorders>
              <w:top w:val="single" w:sz="4" w:space="0" w:color="auto"/>
              <w:bottom w:val="single" w:sz="4" w:space="0" w:color="auto"/>
            </w:tcBorders>
            <w:shd w:val="clear" w:color="auto" w:fill="auto"/>
            <w:noWrap/>
            <w:vAlign w:val="center"/>
          </w:tcPr>
          <w:p w14:paraId="3F69C4A8" w14:textId="77777777" w:rsidR="00550EA7" w:rsidRPr="00C952BE" w:rsidRDefault="00550EA7" w:rsidP="005E1D8B">
            <w:pPr>
              <w:spacing w:after="0" w:line="240" w:lineRule="auto"/>
              <w:jc w:val="center"/>
              <w:rPr>
                <w:rFonts w:ascii="David" w:hAnsi="David" w:cs="David"/>
                <w:b/>
                <w:bCs/>
                <w:color w:val="000000"/>
              </w:rPr>
            </w:pPr>
            <w:r w:rsidRPr="00C952BE">
              <w:rPr>
                <w:rFonts w:ascii="David" w:hAnsi="David" w:cs="David"/>
                <w:b/>
                <w:bCs/>
                <w:color w:val="000000"/>
              </w:rPr>
              <w:t>2:16</w:t>
            </w:r>
          </w:p>
        </w:tc>
        <w:tc>
          <w:tcPr>
            <w:tcW w:w="1134" w:type="dxa"/>
            <w:tcBorders>
              <w:top w:val="single" w:sz="4" w:space="0" w:color="auto"/>
              <w:bottom w:val="single" w:sz="4" w:space="0" w:color="auto"/>
            </w:tcBorders>
            <w:shd w:val="clear" w:color="auto" w:fill="auto"/>
            <w:vAlign w:val="center"/>
          </w:tcPr>
          <w:p w14:paraId="57AA4595" w14:textId="77777777" w:rsidR="00550EA7" w:rsidRPr="00C952BE" w:rsidRDefault="00550EA7" w:rsidP="005E1D8B">
            <w:pPr>
              <w:spacing w:after="0" w:line="240" w:lineRule="auto"/>
              <w:jc w:val="center"/>
              <w:rPr>
                <w:rFonts w:ascii="David" w:hAnsi="David" w:cs="David"/>
                <w:color w:val="000000"/>
                <w:rtl/>
              </w:rPr>
            </w:pPr>
            <w:r w:rsidRPr="00C952BE">
              <w:rPr>
                <w:rFonts w:ascii="David" w:hAnsi="David" w:cs="David"/>
                <w:color w:val="000000"/>
              </w:rPr>
              <w:t>18</w:t>
            </w:r>
          </w:p>
        </w:tc>
      </w:tr>
      <w:tr w:rsidR="00550EA7" w:rsidRPr="00C952BE" w14:paraId="46314FC3" w14:textId="77777777" w:rsidTr="005E1D8B">
        <w:trPr>
          <w:trHeight w:val="600"/>
        </w:trPr>
        <w:tc>
          <w:tcPr>
            <w:tcW w:w="858" w:type="dxa"/>
            <w:tcBorders>
              <w:top w:val="single" w:sz="4" w:space="0" w:color="auto"/>
              <w:bottom w:val="single" w:sz="4" w:space="0" w:color="auto"/>
            </w:tcBorders>
            <w:shd w:val="clear" w:color="auto" w:fill="D9D9D9"/>
            <w:noWrap/>
            <w:vAlign w:val="center"/>
          </w:tcPr>
          <w:p w14:paraId="38A98F54"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שלום</w:t>
            </w:r>
          </w:p>
        </w:tc>
        <w:tc>
          <w:tcPr>
            <w:tcW w:w="1134" w:type="dxa"/>
            <w:tcBorders>
              <w:top w:val="single" w:sz="4" w:space="0" w:color="auto"/>
              <w:bottom w:val="single" w:sz="4" w:space="0" w:color="auto"/>
            </w:tcBorders>
            <w:shd w:val="clear" w:color="auto" w:fill="D9D9D9"/>
            <w:noWrap/>
            <w:vAlign w:val="center"/>
          </w:tcPr>
          <w:p w14:paraId="5BEC66F3"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פלילי</w:t>
            </w:r>
          </w:p>
        </w:tc>
        <w:tc>
          <w:tcPr>
            <w:tcW w:w="2551" w:type="dxa"/>
            <w:tcBorders>
              <w:top w:val="single" w:sz="4" w:space="0" w:color="auto"/>
              <w:bottom w:val="single" w:sz="4" w:space="0" w:color="auto"/>
            </w:tcBorders>
            <w:shd w:val="clear" w:color="auto" w:fill="D9D9D9"/>
            <w:vAlign w:val="center"/>
          </w:tcPr>
          <w:p w14:paraId="17366587"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איסור פרסום (פ"ר)</w:t>
            </w:r>
          </w:p>
        </w:tc>
        <w:tc>
          <w:tcPr>
            <w:tcW w:w="1554" w:type="dxa"/>
            <w:tcBorders>
              <w:top w:val="single" w:sz="4" w:space="0" w:color="auto"/>
              <w:bottom w:val="single" w:sz="4" w:space="0" w:color="auto"/>
            </w:tcBorders>
            <w:shd w:val="clear" w:color="auto" w:fill="D9D9D9"/>
            <w:vAlign w:val="center"/>
          </w:tcPr>
          <w:p w14:paraId="1CE19914" w14:textId="77777777" w:rsidR="00550EA7" w:rsidRPr="00C952BE" w:rsidRDefault="00550EA7" w:rsidP="005E1D8B">
            <w:pPr>
              <w:bidi w:val="0"/>
              <w:spacing w:after="0" w:line="240" w:lineRule="auto"/>
              <w:jc w:val="center"/>
              <w:rPr>
                <w:rFonts w:ascii="David" w:hAnsi="David" w:cs="David"/>
                <w:color w:val="000000"/>
              </w:rPr>
            </w:pPr>
            <w:r w:rsidRPr="00C952BE">
              <w:rPr>
                <w:rFonts w:ascii="David" w:hAnsi="David" w:cs="David"/>
                <w:color w:val="000000"/>
              </w:rPr>
              <w:t>475</w:t>
            </w:r>
          </w:p>
        </w:tc>
        <w:tc>
          <w:tcPr>
            <w:tcW w:w="1706" w:type="dxa"/>
            <w:tcBorders>
              <w:top w:val="single" w:sz="4" w:space="0" w:color="auto"/>
              <w:bottom w:val="single" w:sz="4" w:space="0" w:color="auto"/>
            </w:tcBorders>
            <w:shd w:val="clear" w:color="auto" w:fill="D9D9D9"/>
            <w:noWrap/>
            <w:vAlign w:val="center"/>
          </w:tcPr>
          <w:p w14:paraId="15BA4E1D" w14:textId="77777777" w:rsidR="00550EA7" w:rsidRPr="00C952BE" w:rsidRDefault="00550EA7" w:rsidP="005E1D8B">
            <w:pPr>
              <w:spacing w:after="0" w:line="240" w:lineRule="auto"/>
              <w:jc w:val="center"/>
              <w:rPr>
                <w:rFonts w:ascii="David" w:hAnsi="David" w:cs="David"/>
                <w:b/>
                <w:bCs/>
                <w:color w:val="000000"/>
              </w:rPr>
            </w:pPr>
            <w:r w:rsidRPr="00C952BE">
              <w:rPr>
                <w:rFonts w:ascii="David" w:hAnsi="David" w:cs="David"/>
                <w:b/>
                <w:bCs/>
                <w:color w:val="000000"/>
              </w:rPr>
              <w:t>1:36</w:t>
            </w:r>
          </w:p>
        </w:tc>
        <w:tc>
          <w:tcPr>
            <w:tcW w:w="1134" w:type="dxa"/>
            <w:tcBorders>
              <w:top w:val="single" w:sz="4" w:space="0" w:color="auto"/>
              <w:bottom w:val="single" w:sz="4" w:space="0" w:color="auto"/>
            </w:tcBorders>
            <w:shd w:val="clear" w:color="auto" w:fill="D9D9D9"/>
            <w:vAlign w:val="center"/>
          </w:tcPr>
          <w:p w14:paraId="27536AB4" w14:textId="77777777" w:rsidR="00550EA7" w:rsidRPr="00C952BE" w:rsidRDefault="00550EA7" w:rsidP="005E1D8B">
            <w:pPr>
              <w:spacing w:after="0" w:line="240" w:lineRule="auto"/>
              <w:jc w:val="center"/>
              <w:rPr>
                <w:rFonts w:ascii="David" w:hAnsi="David" w:cs="David"/>
                <w:color w:val="000000"/>
              </w:rPr>
            </w:pPr>
            <w:r w:rsidRPr="00C952BE">
              <w:rPr>
                <w:rFonts w:ascii="David" w:hAnsi="David" w:cs="David" w:hint="cs"/>
                <w:color w:val="000000"/>
                <w:rtl/>
              </w:rPr>
              <w:t>13</w:t>
            </w:r>
          </w:p>
        </w:tc>
      </w:tr>
      <w:tr w:rsidR="00550EA7" w:rsidRPr="00C952BE" w14:paraId="7E5110DB" w14:textId="77777777" w:rsidTr="005E1D8B">
        <w:trPr>
          <w:trHeight w:val="600"/>
        </w:trPr>
        <w:tc>
          <w:tcPr>
            <w:tcW w:w="858" w:type="dxa"/>
            <w:tcBorders>
              <w:top w:val="single" w:sz="4" w:space="0" w:color="auto"/>
              <w:bottom w:val="single" w:sz="4" w:space="0" w:color="auto"/>
            </w:tcBorders>
            <w:shd w:val="clear" w:color="auto" w:fill="auto"/>
            <w:noWrap/>
            <w:vAlign w:val="center"/>
          </w:tcPr>
          <w:p w14:paraId="6CCDB38B"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שלום</w:t>
            </w:r>
          </w:p>
        </w:tc>
        <w:tc>
          <w:tcPr>
            <w:tcW w:w="1134" w:type="dxa"/>
            <w:tcBorders>
              <w:top w:val="single" w:sz="4" w:space="0" w:color="auto"/>
              <w:bottom w:val="single" w:sz="4" w:space="0" w:color="auto"/>
            </w:tcBorders>
            <w:shd w:val="clear" w:color="auto" w:fill="auto"/>
            <w:noWrap/>
            <w:vAlign w:val="center"/>
          </w:tcPr>
          <w:p w14:paraId="2A6DD52E"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פלילי</w:t>
            </w:r>
          </w:p>
        </w:tc>
        <w:tc>
          <w:tcPr>
            <w:tcW w:w="2551" w:type="dxa"/>
            <w:tcBorders>
              <w:top w:val="single" w:sz="4" w:space="0" w:color="auto"/>
              <w:bottom w:val="single" w:sz="4" w:space="0" w:color="auto"/>
            </w:tcBorders>
            <w:shd w:val="clear" w:color="auto" w:fill="auto"/>
            <w:vAlign w:val="center"/>
          </w:tcPr>
          <w:p w14:paraId="52981EF3"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גישור פלילי (ג"פ)</w:t>
            </w:r>
          </w:p>
        </w:tc>
        <w:tc>
          <w:tcPr>
            <w:tcW w:w="1554" w:type="dxa"/>
            <w:tcBorders>
              <w:top w:val="single" w:sz="4" w:space="0" w:color="auto"/>
              <w:bottom w:val="single" w:sz="4" w:space="0" w:color="auto"/>
            </w:tcBorders>
            <w:vAlign w:val="center"/>
          </w:tcPr>
          <w:p w14:paraId="30E836EE" w14:textId="77777777" w:rsidR="00550EA7" w:rsidRPr="00C952BE" w:rsidRDefault="00550EA7" w:rsidP="005E1D8B">
            <w:pPr>
              <w:bidi w:val="0"/>
              <w:spacing w:after="0" w:line="240" w:lineRule="auto"/>
              <w:jc w:val="center"/>
              <w:rPr>
                <w:rFonts w:ascii="David" w:hAnsi="David" w:cs="David"/>
                <w:color w:val="000000"/>
              </w:rPr>
            </w:pPr>
            <w:r w:rsidRPr="00C952BE">
              <w:rPr>
                <w:rFonts w:ascii="David" w:hAnsi="David" w:cs="David"/>
                <w:color w:val="000000"/>
              </w:rPr>
              <w:t>111</w:t>
            </w:r>
          </w:p>
        </w:tc>
        <w:tc>
          <w:tcPr>
            <w:tcW w:w="1706" w:type="dxa"/>
            <w:tcBorders>
              <w:top w:val="single" w:sz="4" w:space="0" w:color="auto"/>
              <w:bottom w:val="single" w:sz="4" w:space="0" w:color="auto"/>
            </w:tcBorders>
            <w:shd w:val="clear" w:color="auto" w:fill="auto"/>
            <w:noWrap/>
            <w:vAlign w:val="center"/>
          </w:tcPr>
          <w:p w14:paraId="57901C74" w14:textId="77777777" w:rsidR="00550EA7" w:rsidRPr="00C952BE" w:rsidRDefault="00550EA7" w:rsidP="005E1D8B">
            <w:pPr>
              <w:spacing w:after="0" w:line="240" w:lineRule="auto"/>
              <w:jc w:val="center"/>
              <w:rPr>
                <w:rFonts w:ascii="David" w:hAnsi="David" w:cs="David"/>
                <w:b/>
                <w:bCs/>
                <w:color w:val="000000"/>
              </w:rPr>
            </w:pPr>
            <w:r w:rsidRPr="00C952BE">
              <w:rPr>
                <w:rFonts w:ascii="David" w:hAnsi="David" w:cs="David"/>
                <w:b/>
                <w:bCs/>
                <w:color w:val="000000"/>
              </w:rPr>
              <w:t>1:28</w:t>
            </w:r>
          </w:p>
        </w:tc>
        <w:tc>
          <w:tcPr>
            <w:tcW w:w="1134" w:type="dxa"/>
            <w:tcBorders>
              <w:top w:val="single" w:sz="4" w:space="0" w:color="auto"/>
              <w:bottom w:val="single" w:sz="4" w:space="0" w:color="auto"/>
            </w:tcBorders>
            <w:shd w:val="clear" w:color="auto" w:fill="auto"/>
            <w:vAlign w:val="center"/>
          </w:tcPr>
          <w:p w14:paraId="4EA07FBB" w14:textId="77777777" w:rsidR="00550EA7" w:rsidRPr="00C952BE" w:rsidRDefault="00550EA7" w:rsidP="005E1D8B">
            <w:pPr>
              <w:spacing w:after="0" w:line="240" w:lineRule="auto"/>
              <w:jc w:val="center"/>
              <w:rPr>
                <w:rFonts w:ascii="David" w:hAnsi="David" w:cs="David"/>
                <w:color w:val="000000"/>
                <w:rtl/>
              </w:rPr>
            </w:pPr>
            <w:r w:rsidRPr="00C952BE">
              <w:rPr>
                <w:rFonts w:ascii="David" w:hAnsi="David" w:cs="David" w:hint="cs"/>
                <w:color w:val="000000"/>
                <w:rtl/>
              </w:rPr>
              <w:t>12</w:t>
            </w:r>
          </w:p>
        </w:tc>
      </w:tr>
      <w:tr w:rsidR="00550EA7" w:rsidRPr="00C952BE" w14:paraId="7FC00500" w14:textId="77777777" w:rsidTr="005E1D8B">
        <w:trPr>
          <w:trHeight w:val="600"/>
        </w:trPr>
        <w:tc>
          <w:tcPr>
            <w:tcW w:w="858" w:type="dxa"/>
            <w:tcBorders>
              <w:top w:val="single" w:sz="4" w:space="0" w:color="auto"/>
              <w:bottom w:val="single" w:sz="4" w:space="0" w:color="auto"/>
            </w:tcBorders>
            <w:shd w:val="clear" w:color="auto" w:fill="D9D9D9"/>
            <w:noWrap/>
            <w:vAlign w:val="center"/>
          </w:tcPr>
          <w:p w14:paraId="07009F4B"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שלום</w:t>
            </w:r>
          </w:p>
        </w:tc>
        <w:tc>
          <w:tcPr>
            <w:tcW w:w="1134" w:type="dxa"/>
            <w:tcBorders>
              <w:top w:val="single" w:sz="4" w:space="0" w:color="auto"/>
              <w:bottom w:val="single" w:sz="4" w:space="0" w:color="auto"/>
            </w:tcBorders>
            <w:shd w:val="clear" w:color="auto" w:fill="D9D9D9"/>
            <w:noWrap/>
            <w:vAlign w:val="center"/>
          </w:tcPr>
          <w:p w14:paraId="3DEBABEE"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מעצרים/ פלילי</w:t>
            </w:r>
          </w:p>
        </w:tc>
        <w:tc>
          <w:tcPr>
            <w:tcW w:w="2551" w:type="dxa"/>
            <w:tcBorders>
              <w:top w:val="single" w:sz="4" w:space="0" w:color="auto"/>
              <w:bottom w:val="single" w:sz="4" w:space="0" w:color="auto"/>
            </w:tcBorders>
            <w:shd w:val="clear" w:color="auto" w:fill="D9D9D9"/>
            <w:vAlign w:val="center"/>
          </w:tcPr>
          <w:p w14:paraId="152F9F55"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החזרה/טיפול בתפוס (ה"ת)</w:t>
            </w:r>
          </w:p>
        </w:tc>
        <w:tc>
          <w:tcPr>
            <w:tcW w:w="1554" w:type="dxa"/>
            <w:tcBorders>
              <w:top w:val="single" w:sz="4" w:space="0" w:color="auto"/>
              <w:bottom w:val="single" w:sz="4" w:space="0" w:color="auto"/>
            </w:tcBorders>
            <w:shd w:val="clear" w:color="auto" w:fill="D9D9D9"/>
            <w:vAlign w:val="center"/>
          </w:tcPr>
          <w:p w14:paraId="5F00397F" w14:textId="77777777" w:rsidR="00550EA7" w:rsidRPr="00C952BE" w:rsidRDefault="00550EA7" w:rsidP="005E1D8B">
            <w:pPr>
              <w:bidi w:val="0"/>
              <w:spacing w:after="0" w:line="240" w:lineRule="auto"/>
              <w:jc w:val="center"/>
              <w:rPr>
                <w:rFonts w:ascii="David" w:hAnsi="David" w:cs="David"/>
                <w:color w:val="000000"/>
              </w:rPr>
            </w:pPr>
            <w:r w:rsidRPr="00C952BE">
              <w:rPr>
                <w:rFonts w:ascii="David" w:hAnsi="David" w:cs="David"/>
                <w:color w:val="000000"/>
              </w:rPr>
              <w:t>6,377</w:t>
            </w:r>
          </w:p>
        </w:tc>
        <w:tc>
          <w:tcPr>
            <w:tcW w:w="1706" w:type="dxa"/>
            <w:tcBorders>
              <w:top w:val="single" w:sz="4" w:space="0" w:color="auto"/>
              <w:bottom w:val="single" w:sz="4" w:space="0" w:color="auto"/>
            </w:tcBorders>
            <w:shd w:val="clear" w:color="auto" w:fill="D9D9D9"/>
            <w:noWrap/>
            <w:vAlign w:val="center"/>
          </w:tcPr>
          <w:p w14:paraId="26AAB121" w14:textId="77777777" w:rsidR="00550EA7" w:rsidRPr="00C952BE" w:rsidRDefault="00550EA7" w:rsidP="005E1D8B">
            <w:pPr>
              <w:spacing w:after="0" w:line="240" w:lineRule="auto"/>
              <w:jc w:val="center"/>
              <w:rPr>
                <w:rFonts w:ascii="David" w:hAnsi="David" w:cs="David"/>
                <w:b/>
                <w:bCs/>
                <w:color w:val="000000"/>
              </w:rPr>
            </w:pPr>
            <w:r w:rsidRPr="00C952BE">
              <w:rPr>
                <w:rFonts w:ascii="David" w:hAnsi="David" w:cs="David"/>
                <w:b/>
                <w:bCs/>
                <w:color w:val="000000"/>
              </w:rPr>
              <w:t>1:15</w:t>
            </w:r>
          </w:p>
        </w:tc>
        <w:tc>
          <w:tcPr>
            <w:tcW w:w="1134" w:type="dxa"/>
            <w:tcBorders>
              <w:top w:val="single" w:sz="4" w:space="0" w:color="auto"/>
              <w:bottom w:val="single" w:sz="4" w:space="0" w:color="auto"/>
            </w:tcBorders>
            <w:shd w:val="clear" w:color="auto" w:fill="D9D9D9"/>
            <w:vAlign w:val="center"/>
          </w:tcPr>
          <w:p w14:paraId="7D59F95B" w14:textId="77777777" w:rsidR="00550EA7" w:rsidRPr="00C952BE" w:rsidRDefault="00550EA7" w:rsidP="005E1D8B">
            <w:pPr>
              <w:spacing w:after="0" w:line="240" w:lineRule="auto"/>
              <w:jc w:val="center"/>
              <w:rPr>
                <w:rFonts w:ascii="David" w:hAnsi="David" w:cs="David"/>
                <w:color w:val="000000"/>
                <w:rtl/>
              </w:rPr>
            </w:pPr>
            <w:r w:rsidRPr="00C952BE">
              <w:rPr>
                <w:rFonts w:ascii="David" w:hAnsi="David" w:cs="David"/>
                <w:color w:val="000000"/>
              </w:rPr>
              <w:t>10</w:t>
            </w:r>
          </w:p>
        </w:tc>
      </w:tr>
      <w:tr w:rsidR="00550EA7" w:rsidRPr="00C952BE" w14:paraId="5C8201E1" w14:textId="77777777" w:rsidTr="005E1D8B">
        <w:trPr>
          <w:trHeight w:val="600"/>
        </w:trPr>
        <w:tc>
          <w:tcPr>
            <w:tcW w:w="858" w:type="dxa"/>
            <w:tcBorders>
              <w:top w:val="single" w:sz="4" w:space="0" w:color="auto"/>
              <w:bottom w:val="single" w:sz="4" w:space="0" w:color="auto"/>
            </w:tcBorders>
            <w:shd w:val="clear" w:color="auto" w:fill="auto"/>
            <w:noWrap/>
            <w:vAlign w:val="center"/>
          </w:tcPr>
          <w:p w14:paraId="048CD567"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שלום</w:t>
            </w:r>
          </w:p>
        </w:tc>
        <w:tc>
          <w:tcPr>
            <w:tcW w:w="1134" w:type="dxa"/>
            <w:tcBorders>
              <w:top w:val="single" w:sz="4" w:space="0" w:color="auto"/>
              <w:bottom w:val="single" w:sz="4" w:space="0" w:color="auto"/>
            </w:tcBorders>
            <w:shd w:val="clear" w:color="auto" w:fill="auto"/>
            <w:noWrap/>
            <w:vAlign w:val="center"/>
          </w:tcPr>
          <w:p w14:paraId="29E38266"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מעצרים/ פלילי</w:t>
            </w:r>
          </w:p>
        </w:tc>
        <w:tc>
          <w:tcPr>
            <w:tcW w:w="2551" w:type="dxa"/>
            <w:tcBorders>
              <w:top w:val="single" w:sz="4" w:space="0" w:color="auto"/>
              <w:bottom w:val="single" w:sz="4" w:space="0" w:color="auto"/>
            </w:tcBorders>
            <w:shd w:val="clear" w:color="auto" w:fill="auto"/>
            <w:vAlign w:val="center"/>
          </w:tcPr>
          <w:p w14:paraId="180E3C74"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מעצר ימים (מ"י)</w:t>
            </w:r>
          </w:p>
        </w:tc>
        <w:tc>
          <w:tcPr>
            <w:tcW w:w="1554" w:type="dxa"/>
            <w:tcBorders>
              <w:top w:val="single" w:sz="4" w:space="0" w:color="auto"/>
              <w:bottom w:val="single" w:sz="4" w:space="0" w:color="auto"/>
            </w:tcBorders>
            <w:vAlign w:val="center"/>
          </w:tcPr>
          <w:p w14:paraId="7531E6DC" w14:textId="77777777" w:rsidR="00550EA7" w:rsidRPr="00C952BE" w:rsidRDefault="00550EA7" w:rsidP="005E1D8B">
            <w:pPr>
              <w:bidi w:val="0"/>
              <w:spacing w:after="0" w:line="240" w:lineRule="auto"/>
              <w:jc w:val="center"/>
              <w:rPr>
                <w:rFonts w:ascii="David" w:hAnsi="David" w:cs="David"/>
                <w:color w:val="000000"/>
              </w:rPr>
            </w:pPr>
            <w:r w:rsidRPr="00C952BE">
              <w:rPr>
                <w:rFonts w:ascii="David" w:hAnsi="David" w:cs="David"/>
                <w:color w:val="000000"/>
              </w:rPr>
              <w:t>39,112</w:t>
            </w:r>
          </w:p>
        </w:tc>
        <w:tc>
          <w:tcPr>
            <w:tcW w:w="1706" w:type="dxa"/>
            <w:tcBorders>
              <w:top w:val="single" w:sz="4" w:space="0" w:color="auto"/>
              <w:bottom w:val="single" w:sz="4" w:space="0" w:color="auto"/>
            </w:tcBorders>
            <w:shd w:val="clear" w:color="auto" w:fill="auto"/>
            <w:noWrap/>
            <w:vAlign w:val="center"/>
          </w:tcPr>
          <w:p w14:paraId="16727305" w14:textId="77777777" w:rsidR="00550EA7" w:rsidRPr="00C952BE" w:rsidRDefault="00550EA7" w:rsidP="005E1D8B">
            <w:pPr>
              <w:spacing w:after="0" w:line="240" w:lineRule="auto"/>
              <w:jc w:val="center"/>
              <w:rPr>
                <w:rFonts w:ascii="David" w:hAnsi="David" w:cs="David"/>
                <w:b/>
                <w:bCs/>
                <w:color w:val="000000"/>
              </w:rPr>
            </w:pPr>
            <w:r w:rsidRPr="00C952BE">
              <w:rPr>
                <w:rFonts w:ascii="David" w:hAnsi="David" w:cs="David"/>
                <w:b/>
                <w:bCs/>
                <w:color w:val="000000"/>
              </w:rPr>
              <w:t>0:35</w:t>
            </w:r>
          </w:p>
        </w:tc>
        <w:tc>
          <w:tcPr>
            <w:tcW w:w="1134" w:type="dxa"/>
            <w:tcBorders>
              <w:top w:val="single" w:sz="4" w:space="0" w:color="auto"/>
              <w:bottom w:val="single" w:sz="4" w:space="0" w:color="auto"/>
            </w:tcBorders>
            <w:shd w:val="clear" w:color="auto" w:fill="auto"/>
            <w:vAlign w:val="center"/>
          </w:tcPr>
          <w:p w14:paraId="3FB34C46" w14:textId="77777777" w:rsidR="00550EA7" w:rsidRPr="00C952BE" w:rsidRDefault="00550EA7" w:rsidP="005E1D8B">
            <w:pPr>
              <w:spacing w:after="0" w:line="240" w:lineRule="auto"/>
              <w:jc w:val="center"/>
              <w:rPr>
                <w:rFonts w:ascii="David" w:hAnsi="David" w:cs="David"/>
                <w:color w:val="000000"/>
              </w:rPr>
            </w:pPr>
            <w:r w:rsidRPr="00C952BE">
              <w:rPr>
                <w:rFonts w:ascii="David" w:hAnsi="David" w:cs="David"/>
                <w:color w:val="000000"/>
              </w:rPr>
              <w:t>5</w:t>
            </w:r>
          </w:p>
        </w:tc>
      </w:tr>
      <w:tr w:rsidR="00550EA7" w:rsidRPr="00C952BE" w14:paraId="49E99D28" w14:textId="77777777" w:rsidTr="005E1D8B">
        <w:trPr>
          <w:trHeight w:val="600"/>
        </w:trPr>
        <w:tc>
          <w:tcPr>
            <w:tcW w:w="858" w:type="dxa"/>
            <w:tcBorders>
              <w:top w:val="single" w:sz="4" w:space="0" w:color="auto"/>
              <w:bottom w:val="single" w:sz="4" w:space="0" w:color="auto"/>
            </w:tcBorders>
            <w:shd w:val="clear" w:color="auto" w:fill="D9D9D9"/>
            <w:noWrap/>
            <w:vAlign w:val="center"/>
          </w:tcPr>
          <w:p w14:paraId="028EF686"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שלום</w:t>
            </w:r>
          </w:p>
        </w:tc>
        <w:tc>
          <w:tcPr>
            <w:tcW w:w="1134" w:type="dxa"/>
            <w:tcBorders>
              <w:top w:val="single" w:sz="4" w:space="0" w:color="auto"/>
              <w:bottom w:val="single" w:sz="4" w:space="0" w:color="auto"/>
            </w:tcBorders>
            <w:shd w:val="clear" w:color="auto" w:fill="D9D9D9"/>
            <w:noWrap/>
            <w:vAlign w:val="center"/>
          </w:tcPr>
          <w:p w14:paraId="419427BB"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פלילי</w:t>
            </w:r>
          </w:p>
        </w:tc>
        <w:tc>
          <w:tcPr>
            <w:tcW w:w="2551" w:type="dxa"/>
            <w:tcBorders>
              <w:top w:val="single" w:sz="4" w:space="0" w:color="auto"/>
              <w:bottom w:val="single" w:sz="4" w:space="0" w:color="auto"/>
            </w:tcBorders>
            <w:shd w:val="clear" w:color="auto" w:fill="D9D9D9"/>
            <w:vAlign w:val="center"/>
          </w:tcPr>
          <w:p w14:paraId="6BC4FB7D"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ערר על החלטת קצין (ע"ק)</w:t>
            </w:r>
          </w:p>
        </w:tc>
        <w:tc>
          <w:tcPr>
            <w:tcW w:w="1554" w:type="dxa"/>
            <w:tcBorders>
              <w:top w:val="single" w:sz="4" w:space="0" w:color="auto"/>
              <w:bottom w:val="single" w:sz="4" w:space="0" w:color="auto"/>
            </w:tcBorders>
            <w:shd w:val="clear" w:color="auto" w:fill="D9D9D9"/>
            <w:vAlign w:val="center"/>
          </w:tcPr>
          <w:p w14:paraId="7EF0D0FC" w14:textId="77777777" w:rsidR="00550EA7" w:rsidRPr="00C952BE" w:rsidRDefault="00550EA7" w:rsidP="005E1D8B">
            <w:pPr>
              <w:bidi w:val="0"/>
              <w:spacing w:after="0" w:line="240" w:lineRule="auto"/>
              <w:jc w:val="center"/>
              <w:rPr>
                <w:rFonts w:ascii="David" w:hAnsi="David" w:cs="David"/>
                <w:color w:val="000000"/>
              </w:rPr>
            </w:pPr>
            <w:r w:rsidRPr="00C952BE">
              <w:rPr>
                <w:rFonts w:ascii="David" w:hAnsi="David" w:cs="David"/>
                <w:color w:val="000000"/>
              </w:rPr>
              <w:t>499</w:t>
            </w:r>
          </w:p>
        </w:tc>
        <w:tc>
          <w:tcPr>
            <w:tcW w:w="1706" w:type="dxa"/>
            <w:tcBorders>
              <w:top w:val="single" w:sz="4" w:space="0" w:color="auto"/>
              <w:bottom w:val="single" w:sz="4" w:space="0" w:color="auto"/>
            </w:tcBorders>
            <w:shd w:val="clear" w:color="auto" w:fill="D9D9D9"/>
            <w:noWrap/>
            <w:vAlign w:val="center"/>
          </w:tcPr>
          <w:p w14:paraId="778E4702" w14:textId="77777777" w:rsidR="00550EA7" w:rsidRPr="00C952BE" w:rsidRDefault="00550EA7" w:rsidP="005E1D8B">
            <w:pPr>
              <w:spacing w:after="0" w:line="240" w:lineRule="auto"/>
              <w:jc w:val="center"/>
              <w:rPr>
                <w:rFonts w:ascii="David" w:hAnsi="David" w:cs="David"/>
                <w:b/>
                <w:bCs/>
                <w:color w:val="000000"/>
              </w:rPr>
            </w:pPr>
            <w:r w:rsidRPr="00C952BE">
              <w:rPr>
                <w:rFonts w:ascii="David" w:hAnsi="David" w:cs="David"/>
                <w:b/>
                <w:bCs/>
                <w:color w:val="000000"/>
              </w:rPr>
              <w:t>0:35</w:t>
            </w:r>
          </w:p>
        </w:tc>
        <w:tc>
          <w:tcPr>
            <w:tcW w:w="1134" w:type="dxa"/>
            <w:tcBorders>
              <w:top w:val="single" w:sz="4" w:space="0" w:color="auto"/>
              <w:bottom w:val="single" w:sz="4" w:space="0" w:color="auto"/>
            </w:tcBorders>
            <w:shd w:val="clear" w:color="auto" w:fill="D9D9D9"/>
            <w:vAlign w:val="center"/>
          </w:tcPr>
          <w:p w14:paraId="2847147C" w14:textId="77777777" w:rsidR="00550EA7" w:rsidRPr="00C952BE" w:rsidRDefault="00550EA7" w:rsidP="005E1D8B">
            <w:pPr>
              <w:spacing w:after="0" w:line="240" w:lineRule="auto"/>
              <w:jc w:val="center"/>
              <w:rPr>
                <w:rFonts w:ascii="David" w:hAnsi="David" w:cs="David"/>
                <w:color w:val="000000"/>
              </w:rPr>
            </w:pPr>
            <w:r w:rsidRPr="00C952BE">
              <w:rPr>
                <w:rFonts w:ascii="David" w:hAnsi="David" w:cs="David"/>
                <w:color w:val="000000"/>
              </w:rPr>
              <w:t>5</w:t>
            </w:r>
          </w:p>
        </w:tc>
      </w:tr>
      <w:tr w:rsidR="00550EA7" w:rsidRPr="00C952BE" w14:paraId="4D0E0354" w14:textId="77777777" w:rsidTr="005E1D8B">
        <w:trPr>
          <w:trHeight w:val="600"/>
        </w:trPr>
        <w:tc>
          <w:tcPr>
            <w:tcW w:w="858" w:type="dxa"/>
            <w:tcBorders>
              <w:top w:val="single" w:sz="4" w:space="0" w:color="auto"/>
              <w:bottom w:val="single" w:sz="4" w:space="0" w:color="auto"/>
            </w:tcBorders>
            <w:shd w:val="clear" w:color="auto" w:fill="auto"/>
            <w:noWrap/>
            <w:vAlign w:val="center"/>
          </w:tcPr>
          <w:p w14:paraId="223EE5A5"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שלום</w:t>
            </w:r>
          </w:p>
        </w:tc>
        <w:tc>
          <w:tcPr>
            <w:tcW w:w="1134" w:type="dxa"/>
            <w:tcBorders>
              <w:top w:val="single" w:sz="4" w:space="0" w:color="auto"/>
              <w:bottom w:val="single" w:sz="4" w:space="0" w:color="auto"/>
            </w:tcBorders>
            <w:shd w:val="clear" w:color="auto" w:fill="auto"/>
            <w:noWrap/>
            <w:vAlign w:val="center"/>
          </w:tcPr>
          <w:p w14:paraId="61FCA3CF"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פלילי</w:t>
            </w:r>
          </w:p>
        </w:tc>
        <w:tc>
          <w:tcPr>
            <w:tcW w:w="2551" w:type="dxa"/>
            <w:tcBorders>
              <w:top w:val="single" w:sz="4" w:space="0" w:color="auto"/>
              <w:bottom w:val="single" w:sz="4" w:space="0" w:color="auto"/>
            </w:tcBorders>
            <w:shd w:val="clear" w:color="auto" w:fill="auto"/>
            <w:vAlign w:val="center"/>
          </w:tcPr>
          <w:p w14:paraId="3425373C"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חקירת סיבות מוות (חס"מ)</w:t>
            </w:r>
          </w:p>
        </w:tc>
        <w:tc>
          <w:tcPr>
            <w:tcW w:w="1554" w:type="dxa"/>
            <w:tcBorders>
              <w:top w:val="single" w:sz="4" w:space="0" w:color="auto"/>
              <w:bottom w:val="single" w:sz="4" w:space="0" w:color="auto"/>
            </w:tcBorders>
            <w:vAlign w:val="center"/>
          </w:tcPr>
          <w:p w14:paraId="12C4B604" w14:textId="77777777" w:rsidR="00550EA7" w:rsidRPr="00C952BE" w:rsidRDefault="00550EA7" w:rsidP="005E1D8B">
            <w:pPr>
              <w:bidi w:val="0"/>
              <w:spacing w:after="0" w:line="240" w:lineRule="auto"/>
              <w:jc w:val="center"/>
              <w:rPr>
                <w:rFonts w:ascii="David" w:hAnsi="David" w:cs="David"/>
                <w:color w:val="000000"/>
              </w:rPr>
            </w:pPr>
            <w:r w:rsidRPr="00C952BE">
              <w:rPr>
                <w:rFonts w:ascii="David" w:hAnsi="David" w:cs="David"/>
                <w:color w:val="000000"/>
              </w:rPr>
              <w:t>149</w:t>
            </w:r>
          </w:p>
        </w:tc>
        <w:tc>
          <w:tcPr>
            <w:tcW w:w="1706" w:type="dxa"/>
            <w:tcBorders>
              <w:top w:val="single" w:sz="4" w:space="0" w:color="auto"/>
              <w:bottom w:val="single" w:sz="4" w:space="0" w:color="auto"/>
            </w:tcBorders>
            <w:shd w:val="clear" w:color="auto" w:fill="auto"/>
            <w:noWrap/>
            <w:vAlign w:val="center"/>
          </w:tcPr>
          <w:p w14:paraId="1F877A4B" w14:textId="77777777" w:rsidR="00550EA7" w:rsidRPr="00C952BE" w:rsidRDefault="00550EA7" w:rsidP="005E1D8B">
            <w:pPr>
              <w:spacing w:after="0" w:line="240" w:lineRule="auto"/>
              <w:jc w:val="center"/>
              <w:rPr>
                <w:rFonts w:ascii="David" w:hAnsi="David" w:cs="David"/>
                <w:b/>
                <w:bCs/>
                <w:color w:val="000000"/>
                <w:rtl/>
              </w:rPr>
            </w:pPr>
            <w:r w:rsidRPr="00C952BE">
              <w:rPr>
                <w:rFonts w:ascii="David" w:hAnsi="David" w:cs="David"/>
                <w:b/>
                <w:bCs/>
                <w:color w:val="000000"/>
              </w:rPr>
              <w:t>0:30</w:t>
            </w:r>
          </w:p>
        </w:tc>
        <w:tc>
          <w:tcPr>
            <w:tcW w:w="1134" w:type="dxa"/>
            <w:tcBorders>
              <w:top w:val="single" w:sz="4" w:space="0" w:color="auto"/>
              <w:bottom w:val="single" w:sz="4" w:space="0" w:color="auto"/>
            </w:tcBorders>
            <w:shd w:val="clear" w:color="auto" w:fill="auto"/>
            <w:vAlign w:val="center"/>
          </w:tcPr>
          <w:p w14:paraId="2B6B439F" w14:textId="77777777" w:rsidR="00550EA7" w:rsidRPr="00C952BE" w:rsidRDefault="00550EA7" w:rsidP="005E1D8B">
            <w:pPr>
              <w:spacing w:after="0" w:line="240" w:lineRule="auto"/>
              <w:jc w:val="center"/>
              <w:rPr>
                <w:rFonts w:ascii="David" w:hAnsi="David" w:cs="David"/>
                <w:color w:val="000000"/>
              </w:rPr>
            </w:pPr>
            <w:r w:rsidRPr="00C952BE">
              <w:rPr>
                <w:rFonts w:ascii="David" w:hAnsi="David" w:cs="David" w:hint="cs"/>
                <w:color w:val="000000"/>
                <w:rtl/>
              </w:rPr>
              <w:t>4</w:t>
            </w:r>
          </w:p>
        </w:tc>
      </w:tr>
      <w:tr w:rsidR="00550EA7" w:rsidRPr="00C952BE" w14:paraId="7A779858" w14:textId="77777777" w:rsidTr="005E1D8B">
        <w:trPr>
          <w:trHeight w:val="600"/>
        </w:trPr>
        <w:tc>
          <w:tcPr>
            <w:tcW w:w="858" w:type="dxa"/>
            <w:tcBorders>
              <w:top w:val="single" w:sz="4" w:space="0" w:color="auto"/>
              <w:bottom w:val="single" w:sz="4" w:space="0" w:color="auto"/>
            </w:tcBorders>
            <w:shd w:val="clear" w:color="auto" w:fill="D9D9D9"/>
            <w:noWrap/>
            <w:vAlign w:val="center"/>
          </w:tcPr>
          <w:p w14:paraId="2DA27BD1"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שלום</w:t>
            </w:r>
          </w:p>
        </w:tc>
        <w:tc>
          <w:tcPr>
            <w:tcW w:w="1134" w:type="dxa"/>
            <w:tcBorders>
              <w:top w:val="single" w:sz="4" w:space="0" w:color="auto"/>
              <w:bottom w:val="single" w:sz="4" w:space="0" w:color="auto"/>
            </w:tcBorders>
            <w:shd w:val="clear" w:color="auto" w:fill="D9D9D9"/>
            <w:noWrap/>
            <w:vAlign w:val="center"/>
          </w:tcPr>
          <w:p w14:paraId="4D74D3A5"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פלילי</w:t>
            </w:r>
          </w:p>
        </w:tc>
        <w:tc>
          <w:tcPr>
            <w:tcW w:w="2551" w:type="dxa"/>
            <w:tcBorders>
              <w:top w:val="single" w:sz="4" w:space="0" w:color="auto"/>
              <w:bottom w:val="single" w:sz="4" w:space="0" w:color="auto"/>
            </w:tcBorders>
            <w:shd w:val="clear" w:color="auto" w:fill="D9D9D9"/>
            <w:vAlign w:val="center"/>
          </w:tcPr>
          <w:p w14:paraId="15E84F2A"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מאסר - קנס מנהלי (מק"מ)</w:t>
            </w:r>
          </w:p>
        </w:tc>
        <w:tc>
          <w:tcPr>
            <w:tcW w:w="1554" w:type="dxa"/>
            <w:tcBorders>
              <w:top w:val="single" w:sz="4" w:space="0" w:color="auto"/>
              <w:bottom w:val="single" w:sz="4" w:space="0" w:color="auto"/>
            </w:tcBorders>
            <w:shd w:val="clear" w:color="auto" w:fill="D9D9D9"/>
            <w:vAlign w:val="center"/>
          </w:tcPr>
          <w:p w14:paraId="0C31B928" w14:textId="77777777" w:rsidR="00550EA7" w:rsidRPr="00C952BE" w:rsidRDefault="00550EA7" w:rsidP="005E1D8B">
            <w:pPr>
              <w:bidi w:val="0"/>
              <w:spacing w:after="0" w:line="240" w:lineRule="auto"/>
              <w:jc w:val="center"/>
              <w:rPr>
                <w:rFonts w:ascii="David" w:hAnsi="David" w:cs="David"/>
                <w:color w:val="000000"/>
              </w:rPr>
            </w:pPr>
            <w:r w:rsidRPr="00C952BE">
              <w:rPr>
                <w:rFonts w:ascii="David" w:hAnsi="David" w:cs="David"/>
                <w:color w:val="000000"/>
              </w:rPr>
              <w:t>938</w:t>
            </w:r>
          </w:p>
        </w:tc>
        <w:tc>
          <w:tcPr>
            <w:tcW w:w="1706" w:type="dxa"/>
            <w:tcBorders>
              <w:top w:val="single" w:sz="4" w:space="0" w:color="auto"/>
              <w:bottom w:val="single" w:sz="4" w:space="0" w:color="auto"/>
            </w:tcBorders>
            <w:shd w:val="clear" w:color="auto" w:fill="D9D9D9"/>
            <w:noWrap/>
            <w:vAlign w:val="center"/>
          </w:tcPr>
          <w:p w14:paraId="6A98DE2A" w14:textId="77777777" w:rsidR="00550EA7" w:rsidRPr="00C952BE" w:rsidRDefault="00550EA7" w:rsidP="005E1D8B">
            <w:pPr>
              <w:spacing w:after="0" w:line="240" w:lineRule="auto"/>
              <w:jc w:val="center"/>
              <w:rPr>
                <w:rFonts w:ascii="David" w:hAnsi="David" w:cs="David"/>
                <w:b/>
                <w:bCs/>
                <w:color w:val="000000"/>
              </w:rPr>
            </w:pPr>
            <w:r w:rsidRPr="00C952BE">
              <w:rPr>
                <w:rFonts w:ascii="David" w:hAnsi="David" w:cs="David"/>
                <w:b/>
                <w:bCs/>
                <w:color w:val="000000"/>
              </w:rPr>
              <w:t>0:11</w:t>
            </w:r>
          </w:p>
        </w:tc>
        <w:tc>
          <w:tcPr>
            <w:tcW w:w="1134" w:type="dxa"/>
            <w:tcBorders>
              <w:top w:val="single" w:sz="4" w:space="0" w:color="auto"/>
              <w:bottom w:val="single" w:sz="4" w:space="0" w:color="auto"/>
            </w:tcBorders>
            <w:shd w:val="clear" w:color="auto" w:fill="D9D9D9"/>
            <w:vAlign w:val="center"/>
          </w:tcPr>
          <w:p w14:paraId="058FD8AA" w14:textId="77777777" w:rsidR="00550EA7" w:rsidRPr="00C952BE" w:rsidRDefault="00550EA7" w:rsidP="005E1D8B">
            <w:pPr>
              <w:spacing w:after="0" w:line="240" w:lineRule="auto"/>
              <w:jc w:val="center"/>
              <w:rPr>
                <w:rFonts w:ascii="David" w:hAnsi="David" w:cs="David"/>
                <w:color w:val="000000"/>
              </w:rPr>
            </w:pPr>
            <w:r w:rsidRPr="00C952BE">
              <w:rPr>
                <w:rFonts w:ascii="David" w:hAnsi="David" w:cs="David" w:hint="cs"/>
                <w:color w:val="000000"/>
                <w:rtl/>
              </w:rPr>
              <w:t>1</w:t>
            </w:r>
          </w:p>
        </w:tc>
      </w:tr>
      <w:tr w:rsidR="00550EA7" w:rsidRPr="00C952BE" w14:paraId="1C490043" w14:textId="77777777" w:rsidTr="005E1D8B">
        <w:trPr>
          <w:trHeight w:val="600"/>
        </w:trPr>
        <w:tc>
          <w:tcPr>
            <w:tcW w:w="858" w:type="dxa"/>
            <w:tcBorders>
              <w:top w:val="single" w:sz="4" w:space="0" w:color="auto"/>
              <w:bottom w:val="single" w:sz="4" w:space="0" w:color="auto"/>
            </w:tcBorders>
            <w:shd w:val="clear" w:color="auto" w:fill="auto"/>
            <w:noWrap/>
            <w:vAlign w:val="center"/>
          </w:tcPr>
          <w:p w14:paraId="591C56B6"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שלום</w:t>
            </w:r>
          </w:p>
        </w:tc>
        <w:tc>
          <w:tcPr>
            <w:tcW w:w="1134" w:type="dxa"/>
            <w:tcBorders>
              <w:top w:val="single" w:sz="4" w:space="0" w:color="auto"/>
              <w:bottom w:val="single" w:sz="4" w:space="0" w:color="auto"/>
            </w:tcBorders>
            <w:shd w:val="clear" w:color="auto" w:fill="auto"/>
            <w:noWrap/>
            <w:vAlign w:val="center"/>
          </w:tcPr>
          <w:p w14:paraId="2F376FF1"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מעצרים/ פלילי</w:t>
            </w:r>
          </w:p>
        </w:tc>
        <w:tc>
          <w:tcPr>
            <w:tcW w:w="2551" w:type="dxa"/>
            <w:tcBorders>
              <w:top w:val="single" w:sz="4" w:space="0" w:color="auto"/>
              <w:bottom w:val="single" w:sz="4" w:space="0" w:color="auto"/>
            </w:tcBorders>
            <w:shd w:val="clear" w:color="auto" w:fill="auto"/>
            <w:vAlign w:val="center"/>
          </w:tcPr>
          <w:p w14:paraId="7CCE32A2"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 xml:space="preserve">צו אחר (צ"א) </w:t>
            </w:r>
          </w:p>
        </w:tc>
        <w:tc>
          <w:tcPr>
            <w:tcW w:w="1554" w:type="dxa"/>
            <w:tcBorders>
              <w:top w:val="single" w:sz="4" w:space="0" w:color="auto"/>
              <w:bottom w:val="single" w:sz="4" w:space="0" w:color="auto"/>
            </w:tcBorders>
            <w:vAlign w:val="center"/>
          </w:tcPr>
          <w:p w14:paraId="0D797900" w14:textId="77777777" w:rsidR="00550EA7" w:rsidRPr="00C952BE" w:rsidRDefault="00550EA7" w:rsidP="005E1D8B">
            <w:pPr>
              <w:bidi w:val="0"/>
              <w:spacing w:after="0" w:line="240" w:lineRule="auto"/>
              <w:jc w:val="center"/>
              <w:rPr>
                <w:rFonts w:ascii="David" w:hAnsi="David" w:cs="David"/>
                <w:color w:val="000000"/>
              </w:rPr>
            </w:pPr>
            <w:r w:rsidRPr="00C952BE">
              <w:rPr>
                <w:rFonts w:ascii="David" w:hAnsi="David" w:cs="David"/>
                <w:color w:val="000000"/>
              </w:rPr>
              <w:t>75,556</w:t>
            </w:r>
          </w:p>
        </w:tc>
        <w:tc>
          <w:tcPr>
            <w:tcW w:w="1706" w:type="dxa"/>
            <w:tcBorders>
              <w:top w:val="single" w:sz="4" w:space="0" w:color="auto"/>
              <w:bottom w:val="single" w:sz="4" w:space="0" w:color="auto"/>
            </w:tcBorders>
            <w:shd w:val="clear" w:color="auto" w:fill="auto"/>
            <w:noWrap/>
            <w:vAlign w:val="center"/>
          </w:tcPr>
          <w:p w14:paraId="0823AA21" w14:textId="77777777" w:rsidR="00550EA7" w:rsidRPr="0072393E" w:rsidRDefault="00550EA7" w:rsidP="005E1D8B">
            <w:pPr>
              <w:spacing w:after="0" w:line="240" w:lineRule="auto"/>
              <w:jc w:val="center"/>
              <w:rPr>
                <w:rFonts w:asciiTheme="minorHAnsi" w:hAnsiTheme="minorHAnsi" w:cs="David"/>
                <w:b/>
                <w:bCs/>
                <w:color w:val="000000"/>
              </w:rPr>
            </w:pPr>
            <w:r w:rsidRPr="00C952BE">
              <w:rPr>
                <w:rFonts w:ascii="David" w:hAnsi="David" w:cs="David"/>
                <w:b/>
                <w:bCs/>
                <w:color w:val="000000"/>
              </w:rPr>
              <w:t>0:09</w:t>
            </w:r>
          </w:p>
        </w:tc>
        <w:tc>
          <w:tcPr>
            <w:tcW w:w="1134" w:type="dxa"/>
            <w:tcBorders>
              <w:top w:val="single" w:sz="4" w:space="0" w:color="auto"/>
              <w:bottom w:val="single" w:sz="4" w:space="0" w:color="auto"/>
            </w:tcBorders>
            <w:shd w:val="clear" w:color="auto" w:fill="auto"/>
            <w:vAlign w:val="center"/>
          </w:tcPr>
          <w:p w14:paraId="5B425F25" w14:textId="77777777" w:rsidR="00550EA7" w:rsidRPr="00C952BE" w:rsidRDefault="00550EA7" w:rsidP="005E1D8B">
            <w:pPr>
              <w:spacing w:after="0" w:line="240" w:lineRule="auto"/>
              <w:jc w:val="center"/>
              <w:rPr>
                <w:rFonts w:ascii="David" w:hAnsi="David" w:cs="David"/>
                <w:color w:val="000000"/>
              </w:rPr>
            </w:pPr>
            <w:r w:rsidRPr="00C952BE">
              <w:rPr>
                <w:rFonts w:ascii="David" w:hAnsi="David" w:cs="David"/>
                <w:color w:val="000000"/>
              </w:rPr>
              <w:t>1</w:t>
            </w:r>
          </w:p>
        </w:tc>
      </w:tr>
      <w:tr w:rsidR="00550EA7" w:rsidRPr="00C952BE" w14:paraId="2B319AB5" w14:textId="77777777" w:rsidTr="005E1D8B">
        <w:trPr>
          <w:trHeight w:val="600"/>
        </w:trPr>
        <w:tc>
          <w:tcPr>
            <w:tcW w:w="858" w:type="dxa"/>
            <w:tcBorders>
              <w:top w:val="single" w:sz="4" w:space="0" w:color="auto"/>
              <w:bottom w:val="single" w:sz="4" w:space="0" w:color="auto"/>
            </w:tcBorders>
            <w:shd w:val="clear" w:color="auto" w:fill="D9D9D9"/>
            <w:noWrap/>
            <w:vAlign w:val="center"/>
          </w:tcPr>
          <w:p w14:paraId="379BBA72"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שלום</w:t>
            </w:r>
          </w:p>
        </w:tc>
        <w:tc>
          <w:tcPr>
            <w:tcW w:w="1134" w:type="dxa"/>
            <w:tcBorders>
              <w:top w:val="single" w:sz="4" w:space="0" w:color="auto"/>
              <w:bottom w:val="single" w:sz="4" w:space="0" w:color="auto"/>
            </w:tcBorders>
            <w:shd w:val="clear" w:color="auto" w:fill="D9D9D9"/>
            <w:noWrap/>
            <w:vAlign w:val="center"/>
          </w:tcPr>
          <w:p w14:paraId="6C4C726A"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מעצרים/ פלילי</w:t>
            </w:r>
          </w:p>
        </w:tc>
        <w:tc>
          <w:tcPr>
            <w:tcW w:w="2551" w:type="dxa"/>
            <w:tcBorders>
              <w:top w:val="single" w:sz="4" w:space="0" w:color="auto"/>
              <w:bottom w:val="single" w:sz="4" w:space="0" w:color="auto"/>
            </w:tcBorders>
            <w:shd w:val="clear" w:color="auto" w:fill="D9D9D9"/>
            <w:vAlign w:val="center"/>
          </w:tcPr>
          <w:p w14:paraId="4BCE45E4"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צו חיפוש / צו כניסה (צ"ח)</w:t>
            </w:r>
          </w:p>
        </w:tc>
        <w:tc>
          <w:tcPr>
            <w:tcW w:w="1554" w:type="dxa"/>
            <w:tcBorders>
              <w:top w:val="single" w:sz="4" w:space="0" w:color="auto"/>
              <w:bottom w:val="single" w:sz="4" w:space="0" w:color="auto"/>
            </w:tcBorders>
            <w:shd w:val="clear" w:color="auto" w:fill="D9D9D9"/>
            <w:vAlign w:val="center"/>
          </w:tcPr>
          <w:p w14:paraId="435C1F8F" w14:textId="77777777" w:rsidR="00550EA7" w:rsidRPr="00C952BE" w:rsidRDefault="00550EA7" w:rsidP="005E1D8B">
            <w:pPr>
              <w:bidi w:val="0"/>
              <w:spacing w:after="0" w:line="240" w:lineRule="auto"/>
              <w:jc w:val="center"/>
              <w:rPr>
                <w:rFonts w:ascii="David" w:hAnsi="David" w:cs="David"/>
                <w:color w:val="000000"/>
              </w:rPr>
            </w:pPr>
            <w:r w:rsidRPr="00C952BE">
              <w:rPr>
                <w:rFonts w:ascii="David" w:hAnsi="David" w:cs="David"/>
                <w:color w:val="000000"/>
              </w:rPr>
              <w:t>71,360</w:t>
            </w:r>
          </w:p>
        </w:tc>
        <w:tc>
          <w:tcPr>
            <w:tcW w:w="1706" w:type="dxa"/>
            <w:tcBorders>
              <w:top w:val="single" w:sz="4" w:space="0" w:color="auto"/>
              <w:bottom w:val="single" w:sz="4" w:space="0" w:color="auto"/>
            </w:tcBorders>
            <w:shd w:val="clear" w:color="auto" w:fill="D9D9D9"/>
            <w:noWrap/>
            <w:vAlign w:val="center"/>
          </w:tcPr>
          <w:p w14:paraId="403381B9" w14:textId="77777777" w:rsidR="00550EA7" w:rsidRPr="00C952BE" w:rsidRDefault="00550EA7" w:rsidP="005E1D8B">
            <w:pPr>
              <w:spacing w:after="0" w:line="240" w:lineRule="auto"/>
              <w:jc w:val="center"/>
              <w:rPr>
                <w:rFonts w:ascii="David" w:hAnsi="David" w:cs="David"/>
                <w:b/>
                <w:bCs/>
                <w:color w:val="000000"/>
              </w:rPr>
            </w:pPr>
            <w:r w:rsidRPr="00C952BE">
              <w:rPr>
                <w:rFonts w:ascii="David" w:hAnsi="David" w:cs="David"/>
                <w:b/>
                <w:bCs/>
                <w:color w:val="000000"/>
              </w:rPr>
              <w:t>0:08</w:t>
            </w:r>
          </w:p>
        </w:tc>
        <w:tc>
          <w:tcPr>
            <w:tcW w:w="1134" w:type="dxa"/>
            <w:tcBorders>
              <w:top w:val="single" w:sz="4" w:space="0" w:color="auto"/>
              <w:bottom w:val="single" w:sz="4" w:space="0" w:color="auto"/>
            </w:tcBorders>
            <w:shd w:val="clear" w:color="auto" w:fill="D9D9D9"/>
            <w:vAlign w:val="center"/>
          </w:tcPr>
          <w:p w14:paraId="130468B5" w14:textId="77777777" w:rsidR="00550EA7" w:rsidRPr="00C952BE" w:rsidRDefault="00550EA7" w:rsidP="005E1D8B">
            <w:pPr>
              <w:spacing w:after="0" w:line="240" w:lineRule="auto"/>
              <w:jc w:val="center"/>
              <w:rPr>
                <w:rFonts w:ascii="David" w:hAnsi="David" w:cs="David"/>
                <w:color w:val="000000"/>
              </w:rPr>
            </w:pPr>
            <w:r w:rsidRPr="00C952BE">
              <w:rPr>
                <w:rFonts w:ascii="David" w:hAnsi="David" w:cs="David" w:hint="cs"/>
                <w:color w:val="000000"/>
                <w:rtl/>
              </w:rPr>
              <w:t>1</w:t>
            </w:r>
          </w:p>
        </w:tc>
      </w:tr>
      <w:tr w:rsidR="00550EA7" w:rsidRPr="00C952BE" w14:paraId="36FB63C9" w14:textId="77777777" w:rsidTr="005E1D8B">
        <w:trPr>
          <w:trHeight w:val="600"/>
        </w:trPr>
        <w:tc>
          <w:tcPr>
            <w:tcW w:w="858" w:type="dxa"/>
            <w:tcBorders>
              <w:top w:val="single" w:sz="4" w:space="0" w:color="auto"/>
              <w:bottom w:val="single" w:sz="4" w:space="0" w:color="auto"/>
            </w:tcBorders>
            <w:shd w:val="clear" w:color="auto" w:fill="auto"/>
            <w:noWrap/>
            <w:vAlign w:val="center"/>
          </w:tcPr>
          <w:p w14:paraId="2908D903"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שלום</w:t>
            </w:r>
          </w:p>
        </w:tc>
        <w:tc>
          <w:tcPr>
            <w:tcW w:w="1134" w:type="dxa"/>
            <w:tcBorders>
              <w:top w:val="single" w:sz="4" w:space="0" w:color="auto"/>
              <w:bottom w:val="single" w:sz="4" w:space="0" w:color="auto"/>
            </w:tcBorders>
            <w:shd w:val="clear" w:color="auto" w:fill="auto"/>
            <w:noWrap/>
            <w:vAlign w:val="center"/>
          </w:tcPr>
          <w:p w14:paraId="537A17F6"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מעצרים/ פלילי</w:t>
            </w:r>
          </w:p>
        </w:tc>
        <w:tc>
          <w:tcPr>
            <w:tcW w:w="2551" w:type="dxa"/>
            <w:tcBorders>
              <w:top w:val="single" w:sz="4" w:space="0" w:color="auto"/>
              <w:bottom w:val="single" w:sz="4" w:space="0" w:color="auto"/>
            </w:tcBorders>
            <w:shd w:val="clear" w:color="auto" w:fill="auto"/>
            <w:vAlign w:val="center"/>
          </w:tcPr>
          <w:p w14:paraId="0DF62A56" w14:textId="77777777" w:rsidR="00550EA7" w:rsidRPr="00C952BE" w:rsidRDefault="00550EA7" w:rsidP="005E1D8B">
            <w:pPr>
              <w:spacing w:after="0" w:line="240" w:lineRule="auto"/>
              <w:rPr>
                <w:rFonts w:ascii="David" w:hAnsi="David" w:cs="David"/>
                <w:color w:val="000000"/>
                <w:rtl/>
              </w:rPr>
            </w:pPr>
            <w:r w:rsidRPr="00C952BE">
              <w:rPr>
                <w:rFonts w:ascii="David" w:hAnsi="David" w:cs="David"/>
                <w:color w:val="000000"/>
                <w:rtl/>
              </w:rPr>
              <w:t>מעצר ימים בהעדר (מי"ב)</w:t>
            </w:r>
          </w:p>
        </w:tc>
        <w:tc>
          <w:tcPr>
            <w:tcW w:w="1554" w:type="dxa"/>
            <w:tcBorders>
              <w:top w:val="single" w:sz="4" w:space="0" w:color="auto"/>
              <w:bottom w:val="single" w:sz="4" w:space="0" w:color="auto"/>
            </w:tcBorders>
            <w:vAlign w:val="center"/>
          </w:tcPr>
          <w:p w14:paraId="37C2E349" w14:textId="77777777" w:rsidR="00550EA7" w:rsidRPr="00C952BE" w:rsidRDefault="00550EA7" w:rsidP="005E1D8B">
            <w:pPr>
              <w:bidi w:val="0"/>
              <w:spacing w:after="0" w:line="240" w:lineRule="auto"/>
              <w:jc w:val="center"/>
              <w:rPr>
                <w:rFonts w:ascii="David" w:hAnsi="David" w:cs="David"/>
                <w:color w:val="000000"/>
              </w:rPr>
            </w:pPr>
            <w:r w:rsidRPr="00C952BE">
              <w:rPr>
                <w:rFonts w:ascii="David" w:hAnsi="David" w:cs="David"/>
                <w:color w:val="000000"/>
              </w:rPr>
              <w:t>13,037</w:t>
            </w:r>
          </w:p>
        </w:tc>
        <w:tc>
          <w:tcPr>
            <w:tcW w:w="1706" w:type="dxa"/>
            <w:tcBorders>
              <w:top w:val="single" w:sz="4" w:space="0" w:color="auto"/>
              <w:bottom w:val="single" w:sz="4" w:space="0" w:color="auto"/>
            </w:tcBorders>
            <w:shd w:val="clear" w:color="auto" w:fill="auto"/>
            <w:noWrap/>
            <w:vAlign w:val="center"/>
          </w:tcPr>
          <w:p w14:paraId="4A962A48" w14:textId="77777777" w:rsidR="00550EA7" w:rsidRPr="00C952BE" w:rsidRDefault="00550EA7" w:rsidP="005E1D8B">
            <w:pPr>
              <w:spacing w:after="0" w:line="240" w:lineRule="auto"/>
              <w:jc w:val="center"/>
              <w:rPr>
                <w:rFonts w:ascii="David" w:hAnsi="David" w:cs="David"/>
                <w:b/>
                <w:bCs/>
                <w:color w:val="000000"/>
              </w:rPr>
            </w:pPr>
            <w:r w:rsidRPr="00C952BE">
              <w:rPr>
                <w:rFonts w:ascii="David" w:hAnsi="David" w:cs="David"/>
                <w:b/>
                <w:bCs/>
                <w:color w:val="000000"/>
              </w:rPr>
              <w:t>0:08</w:t>
            </w:r>
          </w:p>
        </w:tc>
        <w:tc>
          <w:tcPr>
            <w:tcW w:w="1134" w:type="dxa"/>
            <w:tcBorders>
              <w:top w:val="single" w:sz="4" w:space="0" w:color="auto"/>
              <w:bottom w:val="single" w:sz="4" w:space="0" w:color="auto"/>
            </w:tcBorders>
            <w:shd w:val="clear" w:color="auto" w:fill="auto"/>
            <w:vAlign w:val="center"/>
          </w:tcPr>
          <w:p w14:paraId="7DE0DFEC" w14:textId="77777777" w:rsidR="00550EA7" w:rsidRPr="00C952BE" w:rsidRDefault="00550EA7" w:rsidP="005E1D8B">
            <w:pPr>
              <w:spacing w:after="0" w:line="240" w:lineRule="auto"/>
              <w:jc w:val="center"/>
              <w:rPr>
                <w:rFonts w:ascii="David" w:hAnsi="David" w:cs="David"/>
                <w:color w:val="000000"/>
              </w:rPr>
            </w:pPr>
            <w:r w:rsidRPr="00C952BE">
              <w:rPr>
                <w:rFonts w:ascii="David" w:hAnsi="David" w:cs="David" w:hint="cs"/>
                <w:color w:val="000000"/>
                <w:rtl/>
              </w:rPr>
              <w:t>1</w:t>
            </w:r>
          </w:p>
        </w:tc>
      </w:tr>
    </w:tbl>
    <w:p w14:paraId="652FE405" w14:textId="77777777" w:rsidR="00DD0D4B" w:rsidRPr="00F25744" w:rsidRDefault="00DD0D4B" w:rsidP="00DD0D4B">
      <w:pPr>
        <w:rPr>
          <w:rtl/>
        </w:rPr>
      </w:pPr>
    </w:p>
    <w:p w14:paraId="794B7106" w14:textId="77777777" w:rsidR="00DD0D4B" w:rsidRPr="00F25744" w:rsidRDefault="00DD0D4B" w:rsidP="00DD0D4B">
      <w:pPr>
        <w:rPr>
          <w:rtl/>
        </w:rPr>
      </w:pPr>
    </w:p>
    <w:p w14:paraId="5E3BF1E2" w14:textId="77777777" w:rsidR="000B27AF" w:rsidRPr="00F25744" w:rsidRDefault="000B27AF">
      <w:pPr>
        <w:bidi w:val="0"/>
        <w:spacing w:after="0" w:line="240" w:lineRule="auto"/>
        <w:rPr>
          <w:rFonts w:asciiTheme="minorHAnsi" w:hAnsiTheme="minorHAnsi" w:cs="David"/>
          <w:b/>
          <w:bCs/>
          <w:sz w:val="24"/>
          <w:szCs w:val="24"/>
        </w:rPr>
      </w:pPr>
      <w:bookmarkStart w:id="1013" w:name="_Toc46416712"/>
      <w:r w:rsidRPr="00F25744">
        <w:rPr>
          <w:rtl/>
        </w:rPr>
        <w:br w:type="page"/>
      </w:r>
    </w:p>
    <w:p w14:paraId="3CBB4AEF" w14:textId="77777777" w:rsidR="00DD0D4B" w:rsidRPr="00F25744" w:rsidRDefault="00E25AE7" w:rsidP="0043255F">
      <w:pPr>
        <w:pStyle w:val="3"/>
        <w:numPr>
          <w:ilvl w:val="0"/>
          <w:numId w:val="0"/>
        </w:numPr>
        <w:ind w:left="720"/>
        <w:rPr>
          <w:rtl/>
        </w:rPr>
      </w:pPr>
      <w:bookmarkStart w:id="1014" w:name="_Toc74751062"/>
      <w:r w:rsidRPr="00F25744">
        <w:rPr>
          <w:rFonts w:hint="cs"/>
          <w:rtl/>
        </w:rPr>
        <w:lastRenderedPageBreak/>
        <w:t>נספח ה4: ערכאת שלום אזרחי</w:t>
      </w:r>
      <w:bookmarkEnd w:id="1013"/>
      <w:bookmarkEnd w:id="1014"/>
    </w:p>
    <w:tbl>
      <w:tblPr>
        <w:tblpPr w:leftFromText="181" w:rightFromText="85" w:vertAnchor="text" w:tblpXSpec="right" w:tblpY="1"/>
        <w:tblOverlap w:val="never"/>
        <w:bidiVisual/>
        <w:tblW w:w="9217" w:type="dxa"/>
        <w:tblLayout w:type="fixed"/>
        <w:tblLook w:val="04A0" w:firstRow="1" w:lastRow="0" w:firstColumn="1" w:lastColumn="0" w:noHBand="0" w:noVBand="1"/>
      </w:tblPr>
      <w:tblGrid>
        <w:gridCol w:w="855"/>
        <w:gridCol w:w="1134"/>
        <w:gridCol w:w="3258"/>
        <w:gridCol w:w="1559"/>
        <w:gridCol w:w="1559"/>
        <w:gridCol w:w="852"/>
      </w:tblGrid>
      <w:tr w:rsidR="00E0162E" w:rsidRPr="005034FE" w14:paraId="2C9A1565" w14:textId="77777777" w:rsidTr="005E68A7">
        <w:trPr>
          <w:trHeight w:val="981"/>
        </w:trPr>
        <w:tc>
          <w:tcPr>
            <w:tcW w:w="855" w:type="dxa"/>
            <w:tcBorders>
              <w:bottom w:val="single" w:sz="4" w:space="0" w:color="auto"/>
            </w:tcBorders>
            <w:shd w:val="clear" w:color="auto" w:fill="auto"/>
            <w:vAlign w:val="center"/>
            <w:hideMark/>
          </w:tcPr>
          <w:p w14:paraId="783698E0" w14:textId="77777777" w:rsidR="00DD0D4B" w:rsidRPr="005034FE" w:rsidRDefault="00E25AE7" w:rsidP="005E1D8B">
            <w:pPr>
              <w:spacing w:after="0" w:line="240" w:lineRule="auto"/>
              <w:jc w:val="center"/>
              <w:rPr>
                <w:rFonts w:ascii="David" w:eastAsia="Times New Roman" w:hAnsi="David" w:cs="David"/>
                <w:b/>
                <w:bCs/>
                <w:color w:val="000000"/>
              </w:rPr>
            </w:pPr>
            <w:r w:rsidRPr="005034FE">
              <w:rPr>
                <w:rFonts w:ascii="David" w:eastAsia="Times New Roman" w:hAnsi="David" w:cs="David"/>
                <w:b/>
                <w:bCs/>
                <w:color w:val="000000"/>
                <w:rtl/>
              </w:rPr>
              <w:t>ערכאה</w:t>
            </w:r>
          </w:p>
        </w:tc>
        <w:tc>
          <w:tcPr>
            <w:tcW w:w="1134" w:type="dxa"/>
            <w:tcBorders>
              <w:bottom w:val="single" w:sz="4" w:space="0" w:color="auto"/>
            </w:tcBorders>
            <w:shd w:val="clear" w:color="auto" w:fill="auto"/>
            <w:vAlign w:val="center"/>
            <w:hideMark/>
          </w:tcPr>
          <w:p w14:paraId="6193B259" w14:textId="77777777" w:rsidR="00DD0D4B" w:rsidRPr="005034FE" w:rsidRDefault="00E25AE7" w:rsidP="005E1D8B">
            <w:pPr>
              <w:spacing w:after="0" w:line="240" w:lineRule="auto"/>
              <w:jc w:val="center"/>
              <w:rPr>
                <w:rFonts w:ascii="David" w:eastAsia="Times New Roman" w:hAnsi="David" w:cs="David"/>
                <w:b/>
                <w:bCs/>
                <w:color w:val="000000"/>
                <w:rtl/>
              </w:rPr>
            </w:pPr>
            <w:r w:rsidRPr="005034FE">
              <w:rPr>
                <w:rFonts w:ascii="David" w:eastAsia="Times New Roman" w:hAnsi="David" w:cs="David"/>
                <w:b/>
                <w:bCs/>
                <w:color w:val="000000"/>
                <w:rtl/>
              </w:rPr>
              <w:t>הליך</w:t>
            </w:r>
          </w:p>
        </w:tc>
        <w:tc>
          <w:tcPr>
            <w:tcW w:w="3258" w:type="dxa"/>
            <w:tcBorders>
              <w:bottom w:val="single" w:sz="4" w:space="0" w:color="auto"/>
            </w:tcBorders>
            <w:shd w:val="clear" w:color="auto" w:fill="auto"/>
            <w:vAlign w:val="center"/>
            <w:hideMark/>
          </w:tcPr>
          <w:p w14:paraId="7A2DEC9A" w14:textId="77777777" w:rsidR="00DD0D4B" w:rsidRPr="005034FE" w:rsidRDefault="00E25AE7" w:rsidP="005E1D8B">
            <w:pPr>
              <w:spacing w:after="0" w:line="240" w:lineRule="auto"/>
              <w:jc w:val="center"/>
              <w:rPr>
                <w:rFonts w:ascii="David" w:eastAsia="Times New Roman" w:hAnsi="David" w:cs="David"/>
                <w:b/>
                <w:bCs/>
                <w:color w:val="000000"/>
                <w:rtl/>
              </w:rPr>
            </w:pPr>
            <w:r w:rsidRPr="005034FE">
              <w:rPr>
                <w:rFonts w:ascii="David" w:eastAsia="Times New Roman" w:hAnsi="David" w:cs="David"/>
                <w:b/>
                <w:bCs/>
                <w:color w:val="000000"/>
                <w:rtl/>
              </w:rPr>
              <w:t>סוג תיק</w:t>
            </w:r>
          </w:p>
        </w:tc>
        <w:tc>
          <w:tcPr>
            <w:tcW w:w="1559" w:type="dxa"/>
            <w:tcBorders>
              <w:bottom w:val="single" w:sz="4" w:space="0" w:color="auto"/>
            </w:tcBorders>
            <w:vAlign w:val="center"/>
          </w:tcPr>
          <w:p w14:paraId="4EDABBD7" w14:textId="77777777" w:rsidR="00DD0D4B" w:rsidRPr="005034FE" w:rsidRDefault="00E25AE7" w:rsidP="005E1D8B">
            <w:pPr>
              <w:spacing w:after="0" w:line="240" w:lineRule="auto"/>
              <w:jc w:val="center"/>
              <w:rPr>
                <w:rFonts w:ascii="David" w:eastAsia="Times New Roman" w:hAnsi="David" w:cs="David"/>
                <w:b/>
                <w:bCs/>
                <w:color w:val="000000"/>
                <w:rtl/>
              </w:rPr>
            </w:pPr>
            <w:r w:rsidRPr="005034FE">
              <w:rPr>
                <w:rFonts w:ascii="David" w:eastAsia="Times New Roman" w:hAnsi="David" w:cs="David" w:hint="cs"/>
                <w:b/>
                <w:bCs/>
                <w:color w:val="000000"/>
                <w:rtl/>
              </w:rPr>
              <w:t>מספר תיקים שנסגרו ב-2019</w:t>
            </w:r>
          </w:p>
        </w:tc>
        <w:tc>
          <w:tcPr>
            <w:tcW w:w="1559" w:type="dxa"/>
            <w:tcBorders>
              <w:bottom w:val="single" w:sz="4" w:space="0" w:color="auto"/>
            </w:tcBorders>
            <w:shd w:val="clear" w:color="auto" w:fill="auto"/>
            <w:vAlign w:val="center"/>
            <w:hideMark/>
          </w:tcPr>
          <w:p w14:paraId="38651686" w14:textId="77777777" w:rsidR="00DD0D4B" w:rsidRPr="005034FE" w:rsidRDefault="00E25AE7" w:rsidP="005E1D8B">
            <w:pPr>
              <w:spacing w:after="0" w:line="240" w:lineRule="auto"/>
              <w:jc w:val="center"/>
              <w:rPr>
                <w:rFonts w:ascii="David" w:eastAsia="Times New Roman" w:hAnsi="David" w:cs="David"/>
                <w:b/>
                <w:bCs/>
                <w:color w:val="000000"/>
                <w:rtl/>
              </w:rPr>
            </w:pPr>
            <w:r w:rsidRPr="005034FE">
              <w:rPr>
                <w:rFonts w:ascii="David" w:eastAsia="Times New Roman" w:hAnsi="David" w:cs="David"/>
                <w:b/>
                <w:bCs/>
                <w:color w:val="000000"/>
                <w:rtl/>
              </w:rPr>
              <w:t>הזמן השיפוטי הממוצע הדרוש לטפל בתיק</w:t>
            </w:r>
          </w:p>
        </w:tc>
        <w:tc>
          <w:tcPr>
            <w:tcW w:w="852" w:type="dxa"/>
            <w:tcBorders>
              <w:bottom w:val="single" w:sz="4" w:space="0" w:color="auto"/>
            </w:tcBorders>
            <w:vAlign w:val="center"/>
          </w:tcPr>
          <w:p w14:paraId="191DF058" w14:textId="77777777" w:rsidR="00DD0D4B" w:rsidRPr="005034FE" w:rsidRDefault="00E25AE7" w:rsidP="005E1D8B">
            <w:pPr>
              <w:spacing w:after="0" w:line="240" w:lineRule="auto"/>
              <w:jc w:val="center"/>
              <w:rPr>
                <w:rFonts w:ascii="David" w:eastAsia="Times New Roman" w:hAnsi="David" w:cs="David"/>
                <w:b/>
                <w:bCs/>
                <w:color w:val="000000"/>
                <w:rtl/>
              </w:rPr>
            </w:pPr>
            <w:r w:rsidRPr="005034FE">
              <w:rPr>
                <w:rFonts w:ascii="David" w:eastAsia="Times New Roman" w:hAnsi="David" w:cs="David" w:hint="cs"/>
                <w:b/>
                <w:bCs/>
                <w:color w:val="000000"/>
                <w:rtl/>
              </w:rPr>
              <w:t>משקל ערכאתי לתיק</w:t>
            </w:r>
          </w:p>
        </w:tc>
      </w:tr>
      <w:tr w:rsidR="00E0162E" w:rsidRPr="005034FE" w14:paraId="292B83C3" w14:textId="77777777" w:rsidTr="005E68A7">
        <w:trPr>
          <w:trHeight w:val="600"/>
        </w:trPr>
        <w:tc>
          <w:tcPr>
            <w:tcW w:w="855" w:type="dxa"/>
            <w:tcBorders>
              <w:top w:val="single" w:sz="4" w:space="0" w:color="auto"/>
              <w:bottom w:val="single" w:sz="4" w:space="0" w:color="auto"/>
            </w:tcBorders>
            <w:shd w:val="clear" w:color="auto" w:fill="D9D9D9"/>
            <w:noWrap/>
            <w:vAlign w:val="center"/>
          </w:tcPr>
          <w:p w14:paraId="2E338ABA" w14:textId="77777777" w:rsidR="00DD0D4B" w:rsidRPr="005034FE" w:rsidRDefault="00E25AE7" w:rsidP="005E1D8B">
            <w:pPr>
              <w:spacing w:after="0" w:line="240" w:lineRule="auto"/>
              <w:rPr>
                <w:rFonts w:ascii="David" w:hAnsi="David" w:cs="David"/>
                <w:color w:val="000000"/>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D9D9D9"/>
            <w:noWrap/>
            <w:vAlign w:val="center"/>
          </w:tcPr>
          <w:p w14:paraId="0A5DBC8B" w14:textId="77777777" w:rsidR="00DD0D4B" w:rsidRPr="005034FE" w:rsidRDefault="00E25AE7" w:rsidP="005E1D8B">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D9D9D9"/>
            <w:vAlign w:val="center"/>
          </w:tcPr>
          <w:p w14:paraId="4916D219" w14:textId="77777777" w:rsidR="00DD0D4B" w:rsidRPr="005034FE" w:rsidRDefault="00E25AE7" w:rsidP="005E1D8B">
            <w:pPr>
              <w:spacing w:after="0" w:line="240" w:lineRule="auto"/>
              <w:rPr>
                <w:rFonts w:ascii="David" w:hAnsi="David" w:cs="David"/>
                <w:color w:val="000000"/>
                <w:rtl/>
              </w:rPr>
            </w:pPr>
            <w:r w:rsidRPr="005034FE">
              <w:rPr>
                <w:rFonts w:ascii="David" w:hAnsi="David" w:cs="David"/>
                <w:color w:val="000000"/>
                <w:rtl/>
              </w:rPr>
              <w:t>ערעור לפי חוק חיילים שנספו במערכה (עמ"ח)</w:t>
            </w:r>
          </w:p>
        </w:tc>
        <w:tc>
          <w:tcPr>
            <w:tcW w:w="1559" w:type="dxa"/>
            <w:tcBorders>
              <w:top w:val="single" w:sz="4" w:space="0" w:color="auto"/>
              <w:bottom w:val="single" w:sz="4" w:space="0" w:color="auto"/>
            </w:tcBorders>
            <w:shd w:val="clear" w:color="auto" w:fill="D9D9D9"/>
            <w:vAlign w:val="center"/>
          </w:tcPr>
          <w:p w14:paraId="0B86EC5E" w14:textId="77777777" w:rsidR="00DD0D4B" w:rsidRPr="005034FE" w:rsidRDefault="00E25AE7" w:rsidP="005E1D8B">
            <w:pPr>
              <w:bidi w:val="0"/>
              <w:spacing w:after="0" w:line="240" w:lineRule="auto"/>
              <w:jc w:val="center"/>
              <w:rPr>
                <w:rFonts w:ascii="David" w:hAnsi="David" w:cs="David"/>
                <w:color w:val="3F3F3F"/>
              </w:rPr>
            </w:pPr>
            <w:r w:rsidRPr="005034FE">
              <w:rPr>
                <w:rFonts w:ascii="David" w:hAnsi="David" w:cs="David"/>
                <w:color w:val="3F3F3F"/>
              </w:rPr>
              <w:t>37</w:t>
            </w:r>
          </w:p>
        </w:tc>
        <w:tc>
          <w:tcPr>
            <w:tcW w:w="1559" w:type="dxa"/>
            <w:tcBorders>
              <w:top w:val="single" w:sz="4" w:space="0" w:color="auto"/>
              <w:bottom w:val="single" w:sz="4" w:space="0" w:color="auto"/>
            </w:tcBorders>
            <w:shd w:val="clear" w:color="auto" w:fill="D9D9D9"/>
            <w:noWrap/>
            <w:vAlign w:val="center"/>
          </w:tcPr>
          <w:p w14:paraId="5226791C" w14:textId="77777777" w:rsidR="00DD0D4B" w:rsidRPr="005034FE" w:rsidRDefault="00E82A3C" w:rsidP="005E1D8B">
            <w:pPr>
              <w:spacing w:after="0" w:line="240" w:lineRule="auto"/>
              <w:jc w:val="center"/>
              <w:rPr>
                <w:rFonts w:ascii="David" w:hAnsi="David" w:cs="David"/>
                <w:b/>
                <w:bCs/>
                <w:color w:val="000000"/>
                <w:rtl/>
              </w:rPr>
            </w:pPr>
            <w:r w:rsidRPr="005034FE">
              <w:rPr>
                <w:rFonts w:ascii="David" w:hAnsi="David" w:cs="David" w:hint="cs"/>
                <w:b/>
                <w:bCs/>
                <w:color w:val="000000"/>
                <w:rtl/>
              </w:rPr>
              <w:t>14:17</w:t>
            </w:r>
          </w:p>
        </w:tc>
        <w:tc>
          <w:tcPr>
            <w:tcW w:w="852" w:type="dxa"/>
            <w:tcBorders>
              <w:top w:val="single" w:sz="4" w:space="0" w:color="auto"/>
              <w:bottom w:val="single" w:sz="4" w:space="0" w:color="auto"/>
            </w:tcBorders>
            <w:shd w:val="clear" w:color="auto" w:fill="D9D9D9"/>
            <w:vAlign w:val="center"/>
          </w:tcPr>
          <w:p w14:paraId="29011265" w14:textId="77777777" w:rsidR="00DD0D4B" w:rsidRPr="005034FE" w:rsidRDefault="00E25AE7" w:rsidP="005E1D8B">
            <w:pPr>
              <w:spacing w:after="0" w:line="240" w:lineRule="auto"/>
              <w:jc w:val="center"/>
              <w:rPr>
                <w:rFonts w:ascii="David" w:hAnsi="David" w:cs="David"/>
                <w:color w:val="000000"/>
                <w:rtl/>
              </w:rPr>
            </w:pPr>
            <w:r w:rsidRPr="005034FE">
              <w:rPr>
                <w:rFonts w:ascii="David" w:hAnsi="David" w:cs="David" w:hint="cs"/>
                <w:color w:val="000000"/>
                <w:rtl/>
              </w:rPr>
              <w:t>1</w:t>
            </w:r>
            <w:r w:rsidR="00E82A3C" w:rsidRPr="005034FE">
              <w:rPr>
                <w:rFonts w:ascii="David" w:hAnsi="David" w:cs="David" w:hint="cs"/>
                <w:color w:val="000000"/>
                <w:rtl/>
              </w:rPr>
              <w:t>6</w:t>
            </w:r>
          </w:p>
        </w:tc>
      </w:tr>
      <w:tr w:rsidR="00E0162E" w:rsidRPr="005034FE" w14:paraId="384F0457" w14:textId="77777777" w:rsidTr="005E68A7">
        <w:trPr>
          <w:trHeight w:val="600"/>
        </w:trPr>
        <w:tc>
          <w:tcPr>
            <w:tcW w:w="855" w:type="dxa"/>
            <w:tcBorders>
              <w:top w:val="single" w:sz="4" w:space="0" w:color="auto"/>
              <w:bottom w:val="single" w:sz="4" w:space="0" w:color="auto"/>
            </w:tcBorders>
            <w:shd w:val="clear" w:color="auto" w:fill="auto"/>
            <w:noWrap/>
            <w:vAlign w:val="center"/>
          </w:tcPr>
          <w:p w14:paraId="056A85DE" w14:textId="77777777" w:rsidR="00DD0D4B" w:rsidRPr="005034FE" w:rsidRDefault="00E25AE7" w:rsidP="005E1D8B">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auto"/>
            <w:noWrap/>
            <w:vAlign w:val="center"/>
          </w:tcPr>
          <w:p w14:paraId="629E47B3" w14:textId="77777777" w:rsidR="00DD0D4B" w:rsidRPr="005034FE" w:rsidRDefault="00E25AE7" w:rsidP="005E1D8B">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auto"/>
            <w:vAlign w:val="center"/>
          </w:tcPr>
          <w:p w14:paraId="6D3184C0" w14:textId="77777777" w:rsidR="00DD0D4B" w:rsidRPr="005034FE" w:rsidRDefault="00E25AE7" w:rsidP="005E1D8B">
            <w:pPr>
              <w:spacing w:after="0" w:line="240" w:lineRule="auto"/>
              <w:rPr>
                <w:rFonts w:ascii="David" w:hAnsi="David" w:cs="David"/>
                <w:color w:val="000000"/>
                <w:rtl/>
              </w:rPr>
            </w:pPr>
            <w:r w:rsidRPr="005034FE">
              <w:rPr>
                <w:rFonts w:ascii="David" w:hAnsi="David" w:cs="David"/>
                <w:color w:val="000000"/>
                <w:rtl/>
              </w:rPr>
              <w:t>תיק אזרחי בסדר דין רגיל (ת"א)-מקרקעין (כולל פינוי סילוק ואחר)</w:t>
            </w:r>
          </w:p>
        </w:tc>
        <w:tc>
          <w:tcPr>
            <w:tcW w:w="1559" w:type="dxa"/>
            <w:tcBorders>
              <w:top w:val="single" w:sz="4" w:space="0" w:color="auto"/>
              <w:bottom w:val="single" w:sz="4" w:space="0" w:color="auto"/>
            </w:tcBorders>
            <w:vAlign w:val="center"/>
          </w:tcPr>
          <w:p w14:paraId="1FBEBB14" w14:textId="77777777" w:rsidR="00DD0D4B" w:rsidRPr="005034FE" w:rsidRDefault="00E25AE7" w:rsidP="005E1D8B">
            <w:pPr>
              <w:bidi w:val="0"/>
              <w:spacing w:after="0" w:line="240" w:lineRule="auto"/>
              <w:jc w:val="center"/>
              <w:rPr>
                <w:rFonts w:ascii="David" w:hAnsi="David" w:cs="David"/>
                <w:color w:val="3F3F3F"/>
              </w:rPr>
            </w:pPr>
            <w:r w:rsidRPr="005034FE">
              <w:rPr>
                <w:rFonts w:ascii="David" w:hAnsi="David" w:cs="David"/>
                <w:color w:val="3F3F3F"/>
              </w:rPr>
              <w:t>1,635</w:t>
            </w:r>
          </w:p>
        </w:tc>
        <w:tc>
          <w:tcPr>
            <w:tcW w:w="1559" w:type="dxa"/>
            <w:tcBorders>
              <w:top w:val="single" w:sz="4" w:space="0" w:color="auto"/>
              <w:bottom w:val="single" w:sz="4" w:space="0" w:color="auto"/>
            </w:tcBorders>
            <w:shd w:val="clear" w:color="auto" w:fill="auto"/>
            <w:noWrap/>
            <w:vAlign w:val="center"/>
          </w:tcPr>
          <w:p w14:paraId="731BB585" w14:textId="77777777" w:rsidR="00DD0D4B" w:rsidRPr="005034FE" w:rsidRDefault="00E82A3C" w:rsidP="005E1D8B">
            <w:pPr>
              <w:spacing w:after="0" w:line="240" w:lineRule="auto"/>
              <w:jc w:val="center"/>
              <w:rPr>
                <w:rFonts w:ascii="David" w:hAnsi="David" w:cs="David"/>
                <w:b/>
                <w:bCs/>
                <w:color w:val="000000"/>
              </w:rPr>
            </w:pPr>
            <w:r w:rsidRPr="005034FE">
              <w:rPr>
                <w:rFonts w:ascii="David" w:hAnsi="David" w:cs="David" w:hint="cs"/>
                <w:b/>
                <w:bCs/>
                <w:color w:val="000000"/>
                <w:rtl/>
              </w:rPr>
              <w:t>12:33</w:t>
            </w:r>
          </w:p>
        </w:tc>
        <w:tc>
          <w:tcPr>
            <w:tcW w:w="852" w:type="dxa"/>
            <w:tcBorders>
              <w:top w:val="single" w:sz="4" w:space="0" w:color="auto"/>
              <w:bottom w:val="single" w:sz="4" w:space="0" w:color="auto"/>
            </w:tcBorders>
            <w:shd w:val="clear" w:color="auto" w:fill="auto"/>
            <w:vAlign w:val="center"/>
          </w:tcPr>
          <w:p w14:paraId="090FA58F" w14:textId="77777777" w:rsidR="00DD0D4B" w:rsidRPr="005034FE" w:rsidRDefault="00E25AE7" w:rsidP="005E1D8B">
            <w:pPr>
              <w:spacing w:after="0" w:line="240" w:lineRule="auto"/>
              <w:jc w:val="center"/>
              <w:rPr>
                <w:rFonts w:ascii="David" w:hAnsi="David" w:cs="David"/>
                <w:color w:val="000000"/>
                <w:rtl/>
              </w:rPr>
            </w:pPr>
            <w:r w:rsidRPr="005034FE">
              <w:rPr>
                <w:rFonts w:ascii="David" w:hAnsi="David" w:cs="David" w:hint="cs"/>
                <w:color w:val="000000"/>
                <w:rtl/>
              </w:rPr>
              <w:t>14</w:t>
            </w:r>
          </w:p>
        </w:tc>
      </w:tr>
      <w:tr w:rsidR="00E0162E" w:rsidRPr="005034FE" w14:paraId="6B1955CD" w14:textId="77777777" w:rsidTr="005E68A7">
        <w:trPr>
          <w:trHeight w:val="600"/>
        </w:trPr>
        <w:tc>
          <w:tcPr>
            <w:tcW w:w="855" w:type="dxa"/>
            <w:tcBorders>
              <w:top w:val="single" w:sz="4" w:space="0" w:color="auto"/>
              <w:bottom w:val="single" w:sz="4" w:space="0" w:color="auto"/>
            </w:tcBorders>
            <w:shd w:val="clear" w:color="auto" w:fill="D9D9D9"/>
            <w:noWrap/>
            <w:vAlign w:val="center"/>
          </w:tcPr>
          <w:p w14:paraId="4A664995" w14:textId="77777777" w:rsidR="00DD0D4B" w:rsidRPr="005034FE" w:rsidRDefault="00E25AE7" w:rsidP="005E1D8B">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D9D9D9"/>
            <w:noWrap/>
            <w:vAlign w:val="center"/>
          </w:tcPr>
          <w:p w14:paraId="5121BA03" w14:textId="77777777" w:rsidR="00DD0D4B" w:rsidRPr="005034FE" w:rsidRDefault="00E25AE7" w:rsidP="005E1D8B">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D9D9D9"/>
            <w:vAlign w:val="center"/>
          </w:tcPr>
          <w:p w14:paraId="15E9D99D" w14:textId="77777777" w:rsidR="00DD0D4B" w:rsidRPr="005034FE" w:rsidRDefault="00E25AE7" w:rsidP="005E1D8B">
            <w:pPr>
              <w:spacing w:after="0" w:line="240" w:lineRule="auto"/>
              <w:rPr>
                <w:rFonts w:ascii="David" w:hAnsi="David" w:cs="David"/>
                <w:color w:val="000000"/>
                <w:rtl/>
              </w:rPr>
            </w:pPr>
            <w:r w:rsidRPr="005034FE">
              <w:rPr>
                <w:rFonts w:ascii="David" w:hAnsi="David" w:cs="David"/>
                <w:color w:val="000000"/>
                <w:rtl/>
              </w:rPr>
              <w:t>תיק אזרחי בסדר דין רגיל (ת"א)-מקרקעין ליקויי בניה</w:t>
            </w:r>
          </w:p>
        </w:tc>
        <w:tc>
          <w:tcPr>
            <w:tcW w:w="1559" w:type="dxa"/>
            <w:tcBorders>
              <w:top w:val="single" w:sz="4" w:space="0" w:color="auto"/>
              <w:bottom w:val="single" w:sz="4" w:space="0" w:color="auto"/>
            </w:tcBorders>
            <w:shd w:val="clear" w:color="auto" w:fill="D9D9D9"/>
            <w:vAlign w:val="center"/>
          </w:tcPr>
          <w:p w14:paraId="474E0B51" w14:textId="77777777" w:rsidR="00DD0D4B" w:rsidRPr="005034FE" w:rsidRDefault="00E25AE7" w:rsidP="005E1D8B">
            <w:pPr>
              <w:bidi w:val="0"/>
              <w:spacing w:after="0" w:line="240" w:lineRule="auto"/>
              <w:jc w:val="center"/>
              <w:rPr>
                <w:rFonts w:ascii="David" w:hAnsi="David" w:cs="David"/>
                <w:color w:val="3F3F3F"/>
              </w:rPr>
            </w:pPr>
            <w:r w:rsidRPr="005034FE">
              <w:rPr>
                <w:rFonts w:ascii="David" w:hAnsi="David" w:cs="David"/>
                <w:color w:val="3F3F3F"/>
              </w:rPr>
              <w:t>352</w:t>
            </w:r>
          </w:p>
        </w:tc>
        <w:tc>
          <w:tcPr>
            <w:tcW w:w="1559" w:type="dxa"/>
            <w:tcBorders>
              <w:top w:val="single" w:sz="4" w:space="0" w:color="auto"/>
              <w:bottom w:val="single" w:sz="4" w:space="0" w:color="auto"/>
            </w:tcBorders>
            <w:shd w:val="clear" w:color="auto" w:fill="D9D9D9"/>
            <w:noWrap/>
            <w:vAlign w:val="center"/>
          </w:tcPr>
          <w:p w14:paraId="1814ED82" w14:textId="77777777" w:rsidR="00DD0D4B" w:rsidRPr="005034FE" w:rsidRDefault="00E25AE7" w:rsidP="005E1D8B">
            <w:pPr>
              <w:spacing w:after="0" w:line="240" w:lineRule="auto"/>
              <w:jc w:val="center"/>
              <w:rPr>
                <w:rFonts w:ascii="David" w:hAnsi="David" w:cs="David"/>
                <w:b/>
                <w:bCs/>
                <w:color w:val="000000"/>
              </w:rPr>
            </w:pPr>
            <w:r w:rsidRPr="005034FE">
              <w:rPr>
                <w:rFonts w:ascii="David" w:hAnsi="David" w:cs="David"/>
                <w:b/>
                <w:bCs/>
                <w:color w:val="000000"/>
              </w:rPr>
              <w:t>10:4</w:t>
            </w:r>
            <w:r w:rsidR="00E82A3C" w:rsidRPr="005034FE">
              <w:rPr>
                <w:rFonts w:ascii="David" w:hAnsi="David" w:cs="David"/>
                <w:b/>
                <w:bCs/>
                <w:color w:val="000000"/>
              </w:rPr>
              <w:t>4</w:t>
            </w:r>
          </w:p>
        </w:tc>
        <w:tc>
          <w:tcPr>
            <w:tcW w:w="852" w:type="dxa"/>
            <w:tcBorders>
              <w:top w:val="single" w:sz="4" w:space="0" w:color="auto"/>
              <w:bottom w:val="single" w:sz="4" w:space="0" w:color="auto"/>
            </w:tcBorders>
            <w:shd w:val="clear" w:color="auto" w:fill="D9D9D9"/>
            <w:vAlign w:val="center"/>
          </w:tcPr>
          <w:p w14:paraId="75E847D9" w14:textId="77777777" w:rsidR="00DD0D4B" w:rsidRPr="005034FE" w:rsidRDefault="00E25AE7" w:rsidP="005E1D8B">
            <w:pPr>
              <w:spacing w:after="0" w:line="240" w:lineRule="auto"/>
              <w:jc w:val="center"/>
              <w:rPr>
                <w:rFonts w:ascii="David" w:hAnsi="David" w:cs="David"/>
                <w:color w:val="000000"/>
              </w:rPr>
            </w:pPr>
            <w:r w:rsidRPr="005034FE">
              <w:rPr>
                <w:rFonts w:ascii="David" w:hAnsi="David" w:cs="David" w:hint="cs"/>
                <w:color w:val="000000"/>
                <w:rtl/>
              </w:rPr>
              <w:t>12</w:t>
            </w:r>
          </w:p>
        </w:tc>
      </w:tr>
      <w:tr w:rsidR="00E0162E" w:rsidRPr="005034FE" w14:paraId="4453CB21" w14:textId="77777777" w:rsidTr="005E68A7">
        <w:trPr>
          <w:trHeight w:val="600"/>
        </w:trPr>
        <w:tc>
          <w:tcPr>
            <w:tcW w:w="855" w:type="dxa"/>
            <w:tcBorders>
              <w:top w:val="single" w:sz="4" w:space="0" w:color="auto"/>
              <w:bottom w:val="single" w:sz="4" w:space="0" w:color="auto"/>
            </w:tcBorders>
            <w:shd w:val="clear" w:color="auto" w:fill="auto"/>
            <w:noWrap/>
            <w:vAlign w:val="center"/>
          </w:tcPr>
          <w:p w14:paraId="45FD90FC" w14:textId="77777777" w:rsidR="00DD0D4B" w:rsidRPr="005034FE" w:rsidRDefault="00E25AE7" w:rsidP="005E1D8B">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auto"/>
            <w:noWrap/>
            <w:vAlign w:val="center"/>
          </w:tcPr>
          <w:p w14:paraId="2BAFE299" w14:textId="77777777" w:rsidR="00DD0D4B" w:rsidRPr="005034FE" w:rsidRDefault="00E25AE7" w:rsidP="005E1D8B">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auto"/>
            <w:vAlign w:val="center"/>
          </w:tcPr>
          <w:p w14:paraId="1594D343" w14:textId="77777777" w:rsidR="00DD0D4B" w:rsidRPr="005034FE" w:rsidRDefault="00E25AE7" w:rsidP="005E1D8B">
            <w:pPr>
              <w:spacing w:after="0" w:line="240" w:lineRule="auto"/>
              <w:rPr>
                <w:rFonts w:ascii="David" w:hAnsi="David" w:cs="David"/>
                <w:color w:val="000000"/>
                <w:rtl/>
              </w:rPr>
            </w:pPr>
            <w:r w:rsidRPr="005034FE">
              <w:rPr>
                <w:rFonts w:ascii="David" w:hAnsi="David" w:cs="David"/>
                <w:color w:val="000000"/>
                <w:rtl/>
              </w:rPr>
              <w:t>תיק אזרחי בסדר דין רגיל (ת"א)-מקרקעין פירוק שיתוף</w:t>
            </w:r>
          </w:p>
        </w:tc>
        <w:tc>
          <w:tcPr>
            <w:tcW w:w="1559" w:type="dxa"/>
            <w:tcBorders>
              <w:top w:val="single" w:sz="4" w:space="0" w:color="auto"/>
              <w:bottom w:val="single" w:sz="4" w:space="0" w:color="auto"/>
            </w:tcBorders>
            <w:vAlign w:val="center"/>
          </w:tcPr>
          <w:p w14:paraId="0979765A" w14:textId="77777777" w:rsidR="00DD0D4B" w:rsidRPr="005034FE" w:rsidRDefault="00E25AE7" w:rsidP="005E1D8B">
            <w:pPr>
              <w:bidi w:val="0"/>
              <w:spacing w:after="0" w:line="240" w:lineRule="auto"/>
              <w:jc w:val="center"/>
              <w:rPr>
                <w:rFonts w:ascii="David" w:hAnsi="David" w:cs="David"/>
                <w:color w:val="3F3F3F"/>
              </w:rPr>
            </w:pPr>
            <w:r w:rsidRPr="005034FE">
              <w:rPr>
                <w:rFonts w:ascii="David" w:hAnsi="David" w:cs="David"/>
                <w:color w:val="3F3F3F"/>
              </w:rPr>
              <w:t>489</w:t>
            </w:r>
          </w:p>
        </w:tc>
        <w:tc>
          <w:tcPr>
            <w:tcW w:w="1559" w:type="dxa"/>
            <w:tcBorders>
              <w:top w:val="single" w:sz="4" w:space="0" w:color="auto"/>
              <w:bottom w:val="single" w:sz="4" w:space="0" w:color="auto"/>
            </w:tcBorders>
            <w:shd w:val="clear" w:color="auto" w:fill="auto"/>
            <w:noWrap/>
            <w:vAlign w:val="center"/>
          </w:tcPr>
          <w:p w14:paraId="13BE1957" w14:textId="77777777" w:rsidR="00DD0D4B" w:rsidRPr="005034FE" w:rsidRDefault="00E25AE7" w:rsidP="005E1D8B">
            <w:pPr>
              <w:spacing w:after="0" w:line="240" w:lineRule="auto"/>
              <w:jc w:val="center"/>
              <w:rPr>
                <w:rFonts w:ascii="David" w:hAnsi="David" w:cs="David"/>
                <w:b/>
                <w:bCs/>
                <w:color w:val="000000"/>
              </w:rPr>
            </w:pPr>
            <w:r w:rsidRPr="005034FE">
              <w:rPr>
                <w:rFonts w:ascii="David" w:hAnsi="David" w:cs="David"/>
                <w:b/>
                <w:bCs/>
                <w:color w:val="000000"/>
              </w:rPr>
              <w:t>10:</w:t>
            </w:r>
            <w:r w:rsidR="00E82A3C" w:rsidRPr="005034FE">
              <w:rPr>
                <w:rFonts w:ascii="David" w:hAnsi="David" w:cs="David"/>
                <w:b/>
                <w:bCs/>
                <w:color w:val="000000"/>
              </w:rPr>
              <w:t>31</w:t>
            </w:r>
          </w:p>
        </w:tc>
        <w:tc>
          <w:tcPr>
            <w:tcW w:w="852" w:type="dxa"/>
            <w:tcBorders>
              <w:top w:val="single" w:sz="4" w:space="0" w:color="auto"/>
              <w:bottom w:val="single" w:sz="4" w:space="0" w:color="auto"/>
            </w:tcBorders>
            <w:shd w:val="clear" w:color="auto" w:fill="auto"/>
            <w:vAlign w:val="center"/>
          </w:tcPr>
          <w:p w14:paraId="7EDECC62" w14:textId="77777777" w:rsidR="00DD0D4B" w:rsidRPr="005034FE" w:rsidRDefault="00E25AE7" w:rsidP="005E1D8B">
            <w:pPr>
              <w:spacing w:after="0" w:line="240" w:lineRule="auto"/>
              <w:jc w:val="center"/>
              <w:rPr>
                <w:rFonts w:ascii="David" w:hAnsi="David" w:cs="David"/>
                <w:color w:val="000000"/>
              </w:rPr>
            </w:pPr>
            <w:r w:rsidRPr="005034FE">
              <w:rPr>
                <w:rFonts w:ascii="David" w:hAnsi="David" w:cs="David" w:hint="cs"/>
                <w:color w:val="000000"/>
                <w:rtl/>
              </w:rPr>
              <w:t>12</w:t>
            </w:r>
          </w:p>
        </w:tc>
      </w:tr>
      <w:tr w:rsidR="00550EA7" w:rsidRPr="005034FE" w14:paraId="0850E375" w14:textId="77777777" w:rsidTr="005E68A7">
        <w:trPr>
          <w:trHeight w:val="600"/>
        </w:trPr>
        <w:tc>
          <w:tcPr>
            <w:tcW w:w="855" w:type="dxa"/>
            <w:tcBorders>
              <w:top w:val="single" w:sz="4" w:space="0" w:color="auto"/>
              <w:bottom w:val="single" w:sz="4" w:space="0" w:color="auto"/>
            </w:tcBorders>
            <w:shd w:val="clear" w:color="auto" w:fill="D0CECE" w:themeFill="background2" w:themeFillShade="E6"/>
            <w:noWrap/>
            <w:vAlign w:val="center"/>
          </w:tcPr>
          <w:p w14:paraId="5DA490D2"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D0CECE" w:themeFill="background2" w:themeFillShade="E6"/>
            <w:noWrap/>
            <w:vAlign w:val="center"/>
          </w:tcPr>
          <w:p w14:paraId="0D54AE58"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D0CECE" w:themeFill="background2" w:themeFillShade="E6"/>
            <w:vAlign w:val="center"/>
          </w:tcPr>
          <w:p w14:paraId="04B12895"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תיק אזרחי בסדר דין רגיל (ת"א)-התנגדות לביצוע שטר/ביצוע תביעה</w:t>
            </w:r>
          </w:p>
        </w:tc>
        <w:tc>
          <w:tcPr>
            <w:tcW w:w="1559" w:type="dxa"/>
            <w:tcBorders>
              <w:top w:val="single" w:sz="4" w:space="0" w:color="auto"/>
              <w:bottom w:val="single" w:sz="4" w:space="0" w:color="auto"/>
            </w:tcBorders>
            <w:shd w:val="clear" w:color="auto" w:fill="D0CECE" w:themeFill="background2" w:themeFillShade="E6"/>
            <w:vAlign w:val="center"/>
          </w:tcPr>
          <w:p w14:paraId="1B6EA1F7" w14:textId="77777777" w:rsidR="00550EA7" w:rsidRPr="005034FE" w:rsidRDefault="00550EA7" w:rsidP="005E1D8B">
            <w:pPr>
              <w:bidi w:val="0"/>
              <w:spacing w:after="0" w:line="240" w:lineRule="auto"/>
              <w:jc w:val="center"/>
              <w:rPr>
                <w:rFonts w:ascii="David" w:hAnsi="David" w:cs="David"/>
                <w:color w:val="3F3F3F"/>
              </w:rPr>
            </w:pPr>
            <w:r w:rsidRPr="005034FE">
              <w:rPr>
                <w:rFonts w:ascii="David" w:hAnsi="David" w:cs="David"/>
                <w:color w:val="3F3F3F"/>
              </w:rPr>
              <w:t>622</w:t>
            </w:r>
          </w:p>
        </w:tc>
        <w:tc>
          <w:tcPr>
            <w:tcW w:w="1559" w:type="dxa"/>
            <w:tcBorders>
              <w:top w:val="single" w:sz="4" w:space="0" w:color="auto"/>
              <w:bottom w:val="single" w:sz="4" w:space="0" w:color="auto"/>
            </w:tcBorders>
            <w:shd w:val="clear" w:color="auto" w:fill="D0CECE" w:themeFill="background2" w:themeFillShade="E6"/>
            <w:noWrap/>
            <w:vAlign w:val="center"/>
          </w:tcPr>
          <w:p w14:paraId="7E483F4B" w14:textId="77777777" w:rsidR="00550EA7" w:rsidRPr="005034FE" w:rsidRDefault="00550EA7" w:rsidP="005E1D8B">
            <w:pPr>
              <w:spacing w:after="0" w:line="240" w:lineRule="auto"/>
              <w:jc w:val="center"/>
              <w:rPr>
                <w:rFonts w:ascii="David" w:hAnsi="David" w:cs="David"/>
                <w:b/>
                <w:bCs/>
                <w:color w:val="000000"/>
              </w:rPr>
            </w:pPr>
            <w:r w:rsidRPr="005034FE">
              <w:rPr>
                <w:rFonts w:ascii="David" w:hAnsi="David" w:cs="David"/>
                <w:b/>
                <w:bCs/>
                <w:color w:val="000000"/>
              </w:rPr>
              <w:t>9:51</w:t>
            </w:r>
          </w:p>
        </w:tc>
        <w:tc>
          <w:tcPr>
            <w:tcW w:w="852" w:type="dxa"/>
            <w:tcBorders>
              <w:top w:val="single" w:sz="4" w:space="0" w:color="auto"/>
              <w:bottom w:val="single" w:sz="4" w:space="0" w:color="auto"/>
            </w:tcBorders>
            <w:shd w:val="clear" w:color="auto" w:fill="D0CECE" w:themeFill="background2" w:themeFillShade="E6"/>
            <w:vAlign w:val="center"/>
          </w:tcPr>
          <w:p w14:paraId="34B113C9" w14:textId="77777777" w:rsidR="00550EA7" w:rsidRPr="005034FE" w:rsidRDefault="00550EA7" w:rsidP="005E1D8B">
            <w:pPr>
              <w:spacing w:after="0" w:line="240" w:lineRule="auto"/>
              <w:jc w:val="center"/>
              <w:rPr>
                <w:rFonts w:ascii="David" w:hAnsi="David" w:cs="David"/>
                <w:color w:val="000000"/>
                <w:rtl/>
              </w:rPr>
            </w:pPr>
            <w:r w:rsidRPr="005034FE">
              <w:rPr>
                <w:rFonts w:ascii="David" w:hAnsi="David" w:cs="David" w:hint="cs"/>
                <w:color w:val="000000"/>
                <w:rtl/>
              </w:rPr>
              <w:t>1</w:t>
            </w:r>
            <w:r w:rsidRPr="005034FE">
              <w:rPr>
                <w:rFonts w:ascii="David" w:hAnsi="David" w:cs="David"/>
                <w:color w:val="000000"/>
              </w:rPr>
              <w:t>1</w:t>
            </w:r>
          </w:p>
        </w:tc>
      </w:tr>
      <w:tr w:rsidR="00550EA7" w:rsidRPr="005034FE" w14:paraId="3A97DAC3" w14:textId="77777777" w:rsidTr="005E68A7">
        <w:trPr>
          <w:trHeight w:val="600"/>
        </w:trPr>
        <w:tc>
          <w:tcPr>
            <w:tcW w:w="855" w:type="dxa"/>
            <w:tcBorders>
              <w:top w:val="single" w:sz="4" w:space="0" w:color="auto"/>
              <w:bottom w:val="single" w:sz="4" w:space="0" w:color="auto"/>
            </w:tcBorders>
            <w:shd w:val="clear" w:color="auto" w:fill="auto"/>
            <w:noWrap/>
            <w:vAlign w:val="center"/>
          </w:tcPr>
          <w:p w14:paraId="2232C663"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auto"/>
            <w:noWrap/>
            <w:vAlign w:val="center"/>
          </w:tcPr>
          <w:p w14:paraId="10F1975D"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auto"/>
            <w:vAlign w:val="center"/>
          </w:tcPr>
          <w:p w14:paraId="1F4884A2"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תיק אזרחי בסדר דין רגיל (ת"א)-תביעה כספית</w:t>
            </w:r>
          </w:p>
        </w:tc>
        <w:tc>
          <w:tcPr>
            <w:tcW w:w="1559" w:type="dxa"/>
            <w:tcBorders>
              <w:top w:val="single" w:sz="4" w:space="0" w:color="auto"/>
              <w:bottom w:val="single" w:sz="4" w:space="0" w:color="auto"/>
            </w:tcBorders>
            <w:vAlign w:val="center"/>
          </w:tcPr>
          <w:p w14:paraId="3C14F705" w14:textId="77777777" w:rsidR="00550EA7" w:rsidRPr="005034FE" w:rsidRDefault="00550EA7" w:rsidP="005E1D8B">
            <w:pPr>
              <w:bidi w:val="0"/>
              <w:spacing w:after="0" w:line="240" w:lineRule="auto"/>
              <w:jc w:val="center"/>
              <w:rPr>
                <w:rFonts w:ascii="David" w:hAnsi="David" w:cs="David"/>
                <w:color w:val="3F3F3F"/>
              </w:rPr>
            </w:pPr>
            <w:r w:rsidRPr="005034FE">
              <w:rPr>
                <w:rFonts w:ascii="David" w:hAnsi="David" w:cs="David"/>
                <w:color w:val="3F3F3F"/>
              </w:rPr>
              <w:t>15,589</w:t>
            </w:r>
          </w:p>
        </w:tc>
        <w:tc>
          <w:tcPr>
            <w:tcW w:w="1559" w:type="dxa"/>
            <w:tcBorders>
              <w:top w:val="single" w:sz="4" w:space="0" w:color="auto"/>
              <w:bottom w:val="single" w:sz="4" w:space="0" w:color="auto"/>
            </w:tcBorders>
            <w:shd w:val="clear" w:color="auto" w:fill="auto"/>
            <w:noWrap/>
            <w:vAlign w:val="center"/>
          </w:tcPr>
          <w:p w14:paraId="0B554F30" w14:textId="77777777" w:rsidR="00550EA7" w:rsidRPr="005034FE" w:rsidRDefault="00550EA7" w:rsidP="005E1D8B">
            <w:pPr>
              <w:spacing w:after="0" w:line="240" w:lineRule="auto"/>
              <w:jc w:val="center"/>
              <w:rPr>
                <w:rFonts w:ascii="David" w:hAnsi="David" w:cs="David"/>
                <w:b/>
                <w:bCs/>
                <w:color w:val="000000"/>
              </w:rPr>
            </w:pPr>
            <w:r w:rsidRPr="005034FE">
              <w:rPr>
                <w:rFonts w:ascii="David" w:hAnsi="David" w:cs="David"/>
                <w:b/>
                <w:bCs/>
                <w:color w:val="000000"/>
              </w:rPr>
              <w:t>8:36</w:t>
            </w:r>
          </w:p>
        </w:tc>
        <w:tc>
          <w:tcPr>
            <w:tcW w:w="852" w:type="dxa"/>
            <w:tcBorders>
              <w:top w:val="single" w:sz="4" w:space="0" w:color="auto"/>
              <w:bottom w:val="single" w:sz="4" w:space="0" w:color="auto"/>
            </w:tcBorders>
            <w:shd w:val="clear" w:color="auto" w:fill="auto"/>
            <w:vAlign w:val="center"/>
          </w:tcPr>
          <w:p w14:paraId="62CBAC24" w14:textId="77777777" w:rsidR="00550EA7" w:rsidRPr="005034FE" w:rsidRDefault="00550EA7" w:rsidP="005E1D8B">
            <w:pPr>
              <w:spacing w:after="0" w:line="240" w:lineRule="auto"/>
              <w:jc w:val="center"/>
              <w:rPr>
                <w:rFonts w:ascii="David" w:hAnsi="David" w:cs="David"/>
                <w:color w:val="000000"/>
                <w:rtl/>
              </w:rPr>
            </w:pPr>
            <w:r w:rsidRPr="005034FE">
              <w:rPr>
                <w:rFonts w:ascii="David" w:hAnsi="David" w:cs="David"/>
                <w:color w:val="000000"/>
              </w:rPr>
              <w:t>9</w:t>
            </w:r>
          </w:p>
        </w:tc>
      </w:tr>
      <w:tr w:rsidR="00550EA7" w:rsidRPr="005034FE" w14:paraId="41251AF1" w14:textId="77777777" w:rsidTr="005E68A7">
        <w:trPr>
          <w:trHeight w:val="600"/>
        </w:trPr>
        <w:tc>
          <w:tcPr>
            <w:tcW w:w="855" w:type="dxa"/>
            <w:tcBorders>
              <w:top w:val="single" w:sz="4" w:space="0" w:color="auto"/>
              <w:bottom w:val="single" w:sz="4" w:space="0" w:color="auto"/>
            </w:tcBorders>
            <w:shd w:val="clear" w:color="auto" w:fill="D9D9D9"/>
            <w:noWrap/>
            <w:vAlign w:val="center"/>
          </w:tcPr>
          <w:p w14:paraId="6EB04414"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D9D9D9"/>
            <w:noWrap/>
            <w:vAlign w:val="center"/>
          </w:tcPr>
          <w:p w14:paraId="7B3099EA"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D9D9D9"/>
            <w:vAlign w:val="center"/>
          </w:tcPr>
          <w:p w14:paraId="128DA085"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תיק אזרחי בסדר דין רגיל (ת"א)-לשון הרע</w:t>
            </w:r>
          </w:p>
        </w:tc>
        <w:tc>
          <w:tcPr>
            <w:tcW w:w="1559" w:type="dxa"/>
            <w:tcBorders>
              <w:top w:val="single" w:sz="4" w:space="0" w:color="auto"/>
              <w:bottom w:val="single" w:sz="4" w:space="0" w:color="auto"/>
            </w:tcBorders>
            <w:shd w:val="clear" w:color="auto" w:fill="D9D9D9"/>
            <w:vAlign w:val="center"/>
          </w:tcPr>
          <w:p w14:paraId="5E53C131" w14:textId="77777777" w:rsidR="00550EA7" w:rsidRPr="005034FE" w:rsidRDefault="00550EA7" w:rsidP="005E1D8B">
            <w:pPr>
              <w:bidi w:val="0"/>
              <w:spacing w:after="0" w:line="240" w:lineRule="auto"/>
              <w:jc w:val="center"/>
              <w:rPr>
                <w:rFonts w:ascii="David" w:hAnsi="David" w:cs="David"/>
                <w:color w:val="3F3F3F"/>
              </w:rPr>
            </w:pPr>
            <w:r w:rsidRPr="005034FE">
              <w:rPr>
                <w:rFonts w:ascii="David" w:hAnsi="David" w:cs="David"/>
                <w:color w:val="3F3F3F"/>
              </w:rPr>
              <w:t>1,002</w:t>
            </w:r>
          </w:p>
        </w:tc>
        <w:tc>
          <w:tcPr>
            <w:tcW w:w="1559" w:type="dxa"/>
            <w:tcBorders>
              <w:top w:val="single" w:sz="4" w:space="0" w:color="auto"/>
              <w:bottom w:val="single" w:sz="4" w:space="0" w:color="auto"/>
            </w:tcBorders>
            <w:shd w:val="clear" w:color="auto" w:fill="D9D9D9"/>
            <w:noWrap/>
            <w:vAlign w:val="center"/>
          </w:tcPr>
          <w:p w14:paraId="4E275B74" w14:textId="77777777" w:rsidR="00550EA7" w:rsidRPr="005034FE" w:rsidRDefault="00550EA7" w:rsidP="005E1D8B">
            <w:pPr>
              <w:spacing w:after="0" w:line="240" w:lineRule="auto"/>
              <w:jc w:val="center"/>
              <w:rPr>
                <w:rFonts w:ascii="David" w:hAnsi="David" w:cs="David"/>
                <w:b/>
                <w:bCs/>
                <w:color w:val="000000"/>
              </w:rPr>
            </w:pPr>
            <w:r w:rsidRPr="005034FE">
              <w:rPr>
                <w:rFonts w:ascii="David" w:hAnsi="David" w:cs="David"/>
                <w:b/>
                <w:bCs/>
                <w:color w:val="000000"/>
              </w:rPr>
              <w:t>7:11</w:t>
            </w:r>
          </w:p>
        </w:tc>
        <w:tc>
          <w:tcPr>
            <w:tcW w:w="852" w:type="dxa"/>
            <w:tcBorders>
              <w:top w:val="single" w:sz="4" w:space="0" w:color="auto"/>
              <w:bottom w:val="single" w:sz="4" w:space="0" w:color="auto"/>
            </w:tcBorders>
            <w:shd w:val="clear" w:color="auto" w:fill="D9D9D9"/>
            <w:vAlign w:val="center"/>
          </w:tcPr>
          <w:p w14:paraId="56EC4522" w14:textId="77777777" w:rsidR="00550EA7" w:rsidRPr="005034FE" w:rsidRDefault="00550EA7" w:rsidP="005E1D8B">
            <w:pPr>
              <w:spacing w:after="0" w:line="240" w:lineRule="auto"/>
              <w:jc w:val="center"/>
              <w:rPr>
                <w:rFonts w:ascii="David" w:hAnsi="David" w:cs="David"/>
                <w:color w:val="000000"/>
              </w:rPr>
            </w:pPr>
            <w:r w:rsidRPr="005034FE">
              <w:rPr>
                <w:rFonts w:ascii="David" w:hAnsi="David" w:cs="David"/>
                <w:color w:val="000000"/>
              </w:rPr>
              <w:t>8</w:t>
            </w:r>
          </w:p>
        </w:tc>
      </w:tr>
      <w:tr w:rsidR="00550EA7" w:rsidRPr="005034FE" w14:paraId="01E18FED" w14:textId="77777777" w:rsidTr="005E68A7">
        <w:trPr>
          <w:trHeight w:val="600"/>
        </w:trPr>
        <w:tc>
          <w:tcPr>
            <w:tcW w:w="855" w:type="dxa"/>
            <w:tcBorders>
              <w:top w:val="single" w:sz="4" w:space="0" w:color="auto"/>
              <w:bottom w:val="single" w:sz="4" w:space="0" w:color="auto"/>
            </w:tcBorders>
            <w:shd w:val="clear" w:color="auto" w:fill="auto"/>
            <w:noWrap/>
            <w:vAlign w:val="center"/>
          </w:tcPr>
          <w:p w14:paraId="4787777A"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auto"/>
            <w:noWrap/>
            <w:vAlign w:val="center"/>
          </w:tcPr>
          <w:p w14:paraId="32FF5AB0"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ועדת ערר</w:t>
            </w:r>
          </w:p>
        </w:tc>
        <w:tc>
          <w:tcPr>
            <w:tcW w:w="3258" w:type="dxa"/>
            <w:tcBorders>
              <w:top w:val="single" w:sz="4" w:space="0" w:color="auto"/>
              <w:bottom w:val="single" w:sz="4" w:space="0" w:color="auto"/>
            </w:tcBorders>
            <w:shd w:val="clear" w:color="auto" w:fill="auto"/>
            <w:vAlign w:val="center"/>
          </w:tcPr>
          <w:p w14:paraId="0946E3D6"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ערעור לפי חוק הנכים (ע"נ)</w:t>
            </w:r>
          </w:p>
        </w:tc>
        <w:tc>
          <w:tcPr>
            <w:tcW w:w="1559" w:type="dxa"/>
            <w:tcBorders>
              <w:top w:val="single" w:sz="4" w:space="0" w:color="auto"/>
              <w:bottom w:val="single" w:sz="4" w:space="0" w:color="auto"/>
            </w:tcBorders>
            <w:vAlign w:val="center"/>
          </w:tcPr>
          <w:p w14:paraId="7F9F50AB" w14:textId="77777777" w:rsidR="00550EA7" w:rsidRPr="005034FE" w:rsidRDefault="00550EA7" w:rsidP="005E1D8B">
            <w:pPr>
              <w:bidi w:val="0"/>
              <w:spacing w:after="0" w:line="240" w:lineRule="auto"/>
              <w:jc w:val="center"/>
              <w:rPr>
                <w:rFonts w:ascii="David" w:hAnsi="David" w:cs="David"/>
                <w:color w:val="3F3F3F"/>
              </w:rPr>
            </w:pPr>
            <w:r w:rsidRPr="005034FE">
              <w:rPr>
                <w:rFonts w:ascii="David" w:hAnsi="David" w:cs="David"/>
                <w:color w:val="000000"/>
              </w:rPr>
              <w:t>1,</w:t>
            </w:r>
            <w:r w:rsidRPr="005034FE">
              <w:rPr>
                <w:rFonts w:ascii="David" w:hAnsi="David" w:cs="David"/>
                <w:color w:val="3F3F3F"/>
              </w:rPr>
              <w:t>261</w:t>
            </w:r>
          </w:p>
        </w:tc>
        <w:tc>
          <w:tcPr>
            <w:tcW w:w="1559" w:type="dxa"/>
            <w:tcBorders>
              <w:top w:val="single" w:sz="4" w:space="0" w:color="auto"/>
              <w:bottom w:val="single" w:sz="4" w:space="0" w:color="auto"/>
            </w:tcBorders>
            <w:shd w:val="clear" w:color="auto" w:fill="auto"/>
            <w:noWrap/>
            <w:vAlign w:val="center"/>
          </w:tcPr>
          <w:p w14:paraId="1DE6BEB6" w14:textId="77777777" w:rsidR="00550EA7" w:rsidRPr="005034FE" w:rsidRDefault="00550EA7" w:rsidP="005E1D8B">
            <w:pPr>
              <w:spacing w:after="0" w:line="240" w:lineRule="auto"/>
              <w:jc w:val="center"/>
              <w:rPr>
                <w:rFonts w:ascii="David" w:hAnsi="David" w:cs="David"/>
                <w:b/>
                <w:bCs/>
                <w:color w:val="000000"/>
              </w:rPr>
            </w:pPr>
            <w:r w:rsidRPr="005034FE">
              <w:rPr>
                <w:rFonts w:ascii="David" w:hAnsi="David" w:cs="David" w:hint="cs"/>
                <w:b/>
                <w:bCs/>
                <w:color w:val="000000"/>
                <w:rtl/>
              </w:rPr>
              <w:t>6:27</w:t>
            </w:r>
          </w:p>
        </w:tc>
        <w:tc>
          <w:tcPr>
            <w:tcW w:w="852" w:type="dxa"/>
            <w:tcBorders>
              <w:top w:val="single" w:sz="4" w:space="0" w:color="auto"/>
              <w:bottom w:val="single" w:sz="4" w:space="0" w:color="auto"/>
            </w:tcBorders>
            <w:shd w:val="clear" w:color="auto" w:fill="auto"/>
            <w:vAlign w:val="center"/>
          </w:tcPr>
          <w:p w14:paraId="382F1912" w14:textId="77777777" w:rsidR="00550EA7" w:rsidRPr="005034FE" w:rsidRDefault="00550EA7" w:rsidP="005E1D8B">
            <w:pPr>
              <w:spacing w:after="0" w:line="240" w:lineRule="auto"/>
              <w:jc w:val="center"/>
              <w:rPr>
                <w:rFonts w:ascii="David" w:hAnsi="David" w:cs="David"/>
                <w:color w:val="000000"/>
              </w:rPr>
            </w:pPr>
            <w:r w:rsidRPr="005034FE">
              <w:rPr>
                <w:rFonts w:ascii="David" w:hAnsi="David" w:cs="David" w:hint="cs"/>
                <w:color w:val="000000"/>
                <w:rtl/>
              </w:rPr>
              <w:t>7</w:t>
            </w:r>
          </w:p>
        </w:tc>
      </w:tr>
      <w:tr w:rsidR="00550EA7" w:rsidRPr="005034FE" w14:paraId="7D5D3CA2" w14:textId="77777777" w:rsidTr="005E68A7">
        <w:trPr>
          <w:trHeight w:val="600"/>
        </w:trPr>
        <w:tc>
          <w:tcPr>
            <w:tcW w:w="855" w:type="dxa"/>
            <w:tcBorders>
              <w:top w:val="single" w:sz="4" w:space="0" w:color="auto"/>
              <w:bottom w:val="single" w:sz="4" w:space="0" w:color="auto"/>
            </w:tcBorders>
            <w:shd w:val="clear" w:color="auto" w:fill="D9D9D9"/>
            <w:noWrap/>
            <w:vAlign w:val="center"/>
          </w:tcPr>
          <w:p w14:paraId="455B160B"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D9D9D9"/>
            <w:noWrap/>
            <w:vAlign w:val="center"/>
          </w:tcPr>
          <w:p w14:paraId="52697E83"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D9D9D9"/>
            <w:vAlign w:val="center"/>
          </w:tcPr>
          <w:p w14:paraId="34274241"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תיק אזרחי בסדר דין רגיל (ת"א)-נזקי גוף - רשלנות רפואית</w:t>
            </w:r>
          </w:p>
        </w:tc>
        <w:tc>
          <w:tcPr>
            <w:tcW w:w="1559" w:type="dxa"/>
            <w:tcBorders>
              <w:top w:val="single" w:sz="4" w:space="0" w:color="auto"/>
              <w:bottom w:val="single" w:sz="4" w:space="0" w:color="auto"/>
            </w:tcBorders>
            <w:shd w:val="clear" w:color="auto" w:fill="D9D9D9"/>
            <w:vAlign w:val="center"/>
          </w:tcPr>
          <w:p w14:paraId="61258935" w14:textId="77777777" w:rsidR="00550EA7" w:rsidRPr="005034FE" w:rsidRDefault="00550EA7" w:rsidP="005E1D8B">
            <w:pPr>
              <w:bidi w:val="0"/>
              <w:spacing w:after="0" w:line="240" w:lineRule="auto"/>
              <w:jc w:val="center"/>
              <w:rPr>
                <w:rFonts w:ascii="David" w:hAnsi="David" w:cs="David"/>
                <w:color w:val="3F3F3F"/>
              </w:rPr>
            </w:pPr>
            <w:r w:rsidRPr="005034FE">
              <w:rPr>
                <w:rFonts w:ascii="David" w:hAnsi="David" w:cs="David"/>
                <w:color w:val="3F3F3F"/>
              </w:rPr>
              <w:t>1,433</w:t>
            </w:r>
          </w:p>
        </w:tc>
        <w:tc>
          <w:tcPr>
            <w:tcW w:w="1559" w:type="dxa"/>
            <w:tcBorders>
              <w:top w:val="single" w:sz="4" w:space="0" w:color="auto"/>
              <w:bottom w:val="single" w:sz="4" w:space="0" w:color="auto"/>
            </w:tcBorders>
            <w:shd w:val="clear" w:color="auto" w:fill="D9D9D9"/>
            <w:noWrap/>
            <w:vAlign w:val="center"/>
          </w:tcPr>
          <w:p w14:paraId="780DAF09" w14:textId="77777777" w:rsidR="00550EA7" w:rsidRPr="005034FE" w:rsidRDefault="00550EA7" w:rsidP="005E1D8B">
            <w:pPr>
              <w:spacing w:after="0" w:line="240" w:lineRule="auto"/>
              <w:jc w:val="center"/>
              <w:rPr>
                <w:rFonts w:ascii="David" w:hAnsi="David" w:cs="David"/>
                <w:b/>
                <w:bCs/>
                <w:color w:val="000000"/>
              </w:rPr>
            </w:pPr>
            <w:r w:rsidRPr="005034FE">
              <w:rPr>
                <w:rFonts w:ascii="David" w:hAnsi="David" w:cs="David" w:hint="cs"/>
                <w:b/>
                <w:bCs/>
                <w:color w:val="000000"/>
                <w:rtl/>
              </w:rPr>
              <w:t>6:13</w:t>
            </w:r>
          </w:p>
        </w:tc>
        <w:tc>
          <w:tcPr>
            <w:tcW w:w="852" w:type="dxa"/>
            <w:tcBorders>
              <w:top w:val="single" w:sz="4" w:space="0" w:color="auto"/>
              <w:bottom w:val="single" w:sz="4" w:space="0" w:color="auto"/>
            </w:tcBorders>
            <w:shd w:val="clear" w:color="auto" w:fill="D9D9D9"/>
            <w:vAlign w:val="center"/>
          </w:tcPr>
          <w:p w14:paraId="4000E4FB" w14:textId="77777777" w:rsidR="00550EA7" w:rsidRPr="005034FE" w:rsidRDefault="00550EA7" w:rsidP="005E1D8B">
            <w:pPr>
              <w:spacing w:after="0" w:line="240" w:lineRule="auto"/>
              <w:jc w:val="center"/>
              <w:rPr>
                <w:rFonts w:ascii="David" w:hAnsi="David" w:cs="David"/>
                <w:color w:val="000000"/>
              </w:rPr>
            </w:pPr>
            <w:r w:rsidRPr="005034FE">
              <w:rPr>
                <w:rFonts w:ascii="David" w:hAnsi="David" w:cs="David" w:hint="cs"/>
                <w:color w:val="000000"/>
                <w:rtl/>
              </w:rPr>
              <w:t>7</w:t>
            </w:r>
          </w:p>
        </w:tc>
      </w:tr>
      <w:tr w:rsidR="00550EA7" w:rsidRPr="005034FE" w14:paraId="3169DAD8" w14:textId="77777777" w:rsidTr="005E68A7">
        <w:trPr>
          <w:trHeight w:val="600"/>
        </w:trPr>
        <w:tc>
          <w:tcPr>
            <w:tcW w:w="855" w:type="dxa"/>
            <w:tcBorders>
              <w:top w:val="single" w:sz="4" w:space="0" w:color="auto"/>
              <w:bottom w:val="single" w:sz="4" w:space="0" w:color="auto"/>
            </w:tcBorders>
            <w:shd w:val="clear" w:color="auto" w:fill="auto"/>
            <w:noWrap/>
            <w:vAlign w:val="center"/>
          </w:tcPr>
          <w:p w14:paraId="7CEC0FAE"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auto"/>
            <w:noWrap/>
            <w:vAlign w:val="center"/>
          </w:tcPr>
          <w:p w14:paraId="072277BB"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auto"/>
            <w:vAlign w:val="center"/>
          </w:tcPr>
          <w:p w14:paraId="5057FB9A"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תיק אזרחי בסדר דין רגיל (ת"א)-שיבוב וביטוח</w:t>
            </w:r>
          </w:p>
        </w:tc>
        <w:tc>
          <w:tcPr>
            <w:tcW w:w="1559" w:type="dxa"/>
            <w:tcBorders>
              <w:top w:val="single" w:sz="4" w:space="0" w:color="auto"/>
              <w:bottom w:val="single" w:sz="4" w:space="0" w:color="auto"/>
            </w:tcBorders>
            <w:vAlign w:val="center"/>
          </w:tcPr>
          <w:p w14:paraId="5A5C2566" w14:textId="77777777" w:rsidR="00550EA7" w:rsidRPr="005034FE" w:rsidRDefault="00550EA7" w:rsidP="005E1D8B">
            <w:pPr>
              <w:bidi w:val="0"/>
              <w:spacing w:after="0" w:line="240" w:lineRule="auto"/>
              <w:jc w:val="center"/>
              <w:rPr>
                <w:rFonts w:ascii="David" w:hAnsi="David" w:cs="David"/>
                <w:color w:val="000000"/>
              </w:rPr>
            </w:pPr>
            <w:r w:rsidRPr="005034FE">
              <w:rPr>
                <w:rFonts w:ascii="David" w:hAnsi="David" w:cs="David"/>
                <w:color w:val="3F3F3F"/>
              </w:rPr>
              <w:t>1,167</w:t>
            </w:r>
          </w:p>
        </w:tc>
        <w:tc>
          <w:tcPr>
            <w:tcW w:w="1559" w:type="dxa"/>
            <w:tcBorders>
              <w:top w:val="single" w:sz="4" w:space="0" w:color="auto"/>
              <w:bottom w:val="single" w:sz="4" w:space="0" w:color="auto"/>
            </w:tcBorders>
            <w:shd w:val="clear" w:color="auto" w:fill="auto"/>
            <w:noWrap/>
            <w:vAlign w:val="center"/>
          </w:tcPr>
          <w:p w14:paraId="1C13ADD2" w14:textId="77777777" w:rsidR="00550EA7" w:rsidRPr="005034FE" w:rsidRDefault="00550EA7" w:rsidP="005E1D8B">
            <w:pPr>
              <w:spacing w:after="0" w:line="240" w:lineRule="auto"/>
              <w:jc w:val="center"/>
              <w:rPr>
                <w:rFonts w:ascii="David" w:hAnsi="David" w:cs="David"/>
                <w:b/>
                <w:bCs/>
                <w:color w:val="000000"/>
                <w:rtl/>
              </w:rPr>
            </w:pPr>
            <w:r w:rsidRPr="005034FE">
              <w:rPr>
                <w:rFonts w:ascii="David" w:hAnsi="David" w:cs="David"/>
                <w:b/>
                <w:bCs/>
                <w:color w:val="000000"/>
              </w:rPr>
              <w:t>6:10</w:t>
            </w:r>
          </w:p>
        </w:tc>
        <w:tc>
          <w:tcPr>
            <w:tcW w:w="852" w:type="dxa"/>
            <w:tcBorders>
              <w:top w:val="single" w:sz="4" w:space="0" w:color="auto"/>
              <w:bottom w:val="single" w:sz="4" w:space="0" w:color="auto"/>
            </w:tcBorders>
            <w:shd w:val="clear" w:color="auto" w:fill="auto"/>
            <w:vAlign w:val="center"/>
          </w:tcPr>
          <w:p w14:paraId="3A001D1E" w14:textId="77777777" w:rsidR="00550EA7" w:rsidRPr="005034FE" w:rsidRDefault="00550EA7" w:rsidP="005E1D8B">
            <w:pPr>
              <w:spacing w:after="0" w:line="240" w:lineRule="auto"/>
              <w:jc w:val="center"/>
              <w:rPr>
                <w:rFonts w:ascii="David" w:hAnsi="David" w:cs="David"/>
                <w:color w:val="000000"/>
              </w:rPr>
            </w:pPr>
            <w:r w:rsidRPr="005034FE">
              <w:rPr>
                <w:rFonts w:ascii="David" w:hAnsi="David" w:cs="David"/>
                <w:color w:val="000000"/>
              </w:rPr>
              <w:t>7</w:t>
            </w:r>
          </w:p>
        </w:tc>
      </w:tr>
      <w:tr w:rsidR="00550EA7" w:rsidRPr="005034FE" w14:paraId="3E2C9FBA" w14:textId="77777777" w:rsidTr="005E68A7">
        <w:trPr>
          <w:trHeight w:val="600"/>
        </w:trPr>
        <w:tc>
          <w:tcPr>
            <w:tcW w:w="855" w:type="dxa"/>
            <w:tcBorders>
              <w:top w:val="single" w:sz="4" w:space="0" w:color="auto"/>
              <w:bottom w:val="single" w:sz="4" w:space="0" w:color="auto"/>
            </w:tcBorders>
            <w:shd w:val="clear" w:color="auto" w:fill="D9D9D9"/>
            <w:noWrap/>
            <w:vAlign w:val="center"/>
          </w:tcPr>
          <w:p w14:paraId="44FD6D3B"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D9D9D9"/>
            <w:noWrap/>
            <w:vAlign w:val="center"/>
          </w:tcPr>
          <w:p w14:paraId="49544554"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D9D9D9"/>
            <w:vAlign w:val="center"/>
          </w:tcPr>
          <w:p w14:paraId="40F479A3"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תיק אזרחי בסדר דין רגיל (ת"א)-תקנה 3 (אגרות)</w:t>
            </w:r>
          </w:p>
        </w:tc>
        <w:tc>
          <w:tcPr>
            <w:tcW w:w="1559" w:type="dxa"/>
            <w:tcBorders>
              <w:top w:val="single" w:sz="4" w:space="0" w:color="auto"/>
              <w:bottom w:val="single" w:sz="4" w:space="0" w:color="auto"/>
            </w:tcBorders>
            <w:shd w:val="clear" w:color="auto" w:fill="D9D9D9"/>
            <w:vAlign w:val="center"/>
          </w:tcPr>
          <w:p w14:paraId="7DEB3F0C" w14:textId="77777777" w:rsidR="00550EA7" w:rsidRPr="005034FE" w:rsidRDefault="00550EA7" w:rsidP="005E1D8B">
            <w:pPr>
              <w:bidi w:val="0"/>
              <w:spacing w:after="0" w:line="240" w:lineRule="auto"/>
              <w:jc w:val="center"/>
              <w:rPr>
                <w:rFonts w:ascii="David" w:hAnsi="David" w:cs="David"/>
                <w:color w:val="3F3F3F"/>
              </w:rPr>
            </w:pPr>
            <w:r w:rsidRPr="005034FE">
              <w:rPr>
                <w:rFonts w:ascii="David" w:hAnsi="David" w:cs="David"/>
                <w:color w:val="3F3F3F"/>
              </w:rPr>
              <w:t>2,387</w:t>
            </w:r>
          </w:p>
        </w:tc>
        <w:tc>
          <w:tcPr>
            <w:tcW w:w="1559" w:type="dxa"/>
            <w:tcBorders>
              <w:top w:val="single" w:sz="4" w:space="0" w:color="auto"/>
              <w:bottom w:val="single" w:sz="4" w:space="0" w:color="auto"/>
            </w:tcBorders>
            <w:shd w:val="clear" w:color="auto" w:fill="D9D9D9"/>
            <w:noWrap/>
            <w:vAlign w:val="center"/>
          </w:tcPr>
          <w:p w14:paraId="44DEB196" w14:textId="77777777" w:rsidR="00550EA7" w:rsidRPr="005034FE" w:rsidRDefault="00550EA7" w:rsidP="005E1D8B">
            <w:pPr>
              <w:spacing w:after="0" w:line="240" w:lineRule="auto"/>
              <w:jc w:val="center"/>
              <w:rPr>
                <w:rFonts w:ascii="David" w:hAnsi="David" w:cs="David"/>
                <w:b/>
                <w:bCs/>
                <w:color w:val="000000"/>
              </w:rPr>
            </w:pPr>
            <w:r w:rsidRPr="005034FE">
              <w:rPr>
                <w:rFonts w:ascii="David" w:hAnsi="David" w:cs="David"/>
                <w:b/>
                <w:bCs/>
                <w:color w:val="000000"/>
              </w:rPr>
              <w:t>6:04</w:t>
            </w:r>
          </w:p>
        </w:tc>
        <w:tc>
          <w:tcPr>
            <w:tcW w:w="852" w:type="dxa"/>
            <w:tcBorders>
              <w:top w:val="single" w:sz="4" w:space="0" w:color="auto"/>
              <w:bottom w:val="single" w:sz="4" w:space="0" w:color="auto"/>
            </w:tcBorders>
            <w:shd w:val="clear" w:color="auto" w:fill="D9D9D9"/>
            <w:vAlign w:val="center"/>
          </w:tcPr>
          <w:p w14:paraId="2E4F95A5" w14:textId="77777777" w:rsidR="00550EA7" w:rsidRPr="005034FE" w:rsidRDefault="00550EA7" w:rsidP="005E1D8B">
            <w:pPr>
              <w:spacing w:after="0" w:line="240" w:lineRule="auto"/>
              <w:jc w:val="center"/>
              <w:rPr>
                <w:rFonts w:ascii="David" w:hAnsi="David" w:cs="David"/>
                <w:color w:val="000000"/>
              </w:rPr>
            </w:pPr>
            <w:r w:rsidRPr="005034FE">
              <w:rPr>
                <w:rFonts w:ascii="David" w:hAnsi="David" w:cs="David"/>
                <w:color w:val="000000"/>
              </w:rPr>
              <w:t>7</w:t>
            </w:r>
          </w:p>
        </w:tc>
      </w:tr>
      <w:tr w:rsidR="00550EA7" w:rsidRPr="005034FE" w14:paraId="472FEA6C" w14:textId="77777777" w:rsidTr="005E68A7">
        <w:trPr>
          <w:trHeight w:val="600"/>
        </w:trPr>
        <w:tc>
          <w:tcPr>
            <w:tcW w:w="855" w:type="dxa"/>
            <w:tcBorders>
              <w:top w:val="single" w:sz="4" w:space="0" w:color="auto"/>
              <w:bottom w:val="single" w:sz="4" w:space="0" w:color="auto"/>
            </w:tcBorders>
            <w:shd w:val="clear" w:color="auto" w:fill="auto"/>
            <w:noWrap/>
            <w:vAlign w:val="center"/>
          </w:tcPr>
          <w:p w14:paraId="50F872AB"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auto"/>
            <w:noWrap/>
            <w:vAlign w:val="center"/>
          </w:tcPr>
          <w:p w14:paraId="6653EAA0"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auto"/>
            <w:vAlign w:val="center"/>
          </w:tcPr>
          <w:p w14:paraId="3C5CFA88"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תיק אזרחי בסדר דין רגיל (ת"א)-בנקים ואשראי</w:t>
            </w:r>
          </w:p>
        </w:tc>
        <w:tc>
          <w:tcPr>
            <w:tcW w:w="1559" w:type="dxa"/>
            <w:tcBorders>
              <w:top w:val="single" w:sz="4" w:space="0" w:color="auto"/>
              <w:bottom w:val="single" w:sz="4" w:space="0" w:color="auto"/>
            </w:tcBorders>
            <w:vAlign w:val="center"/>
          </w:tcPr>
          <w:p w14:paraId="5603F74A" w14:textId="77777777" w:rsidR="00550EA7" w:rsidRPr="005034FE" w:rsidRDefault="00550EA7" w:rsidP="005E1D8B">
            <w:pPr>
              <w:bidi w:val="0"/>
              <w:spacing w:after="0" w:line="240" w:lineRule="auto"/>
              <w:jc w:val="center"/>
              <w:rPr>
                <w:rFonts w:ascii="David" w:hAnsi="David" w:cs="David"/>
                <w:color w:val="3F3F3F"/>
              </w:rPr>
            </w:pPr>
            <w:r w:rsidRPr="005034FE">
              <w:rPr>
                <w:rFonts w:ascii="David" w:hAnsi="David" w:cs="David"/>
                <w:color w:val="3F3F3F"/>
              </w:rPr>
              <w:t>109</w:t>
            </w:r>
          </w:p>
        </w:tc>
        <w:tc>
          <w:tcPr>
            <w:tcW w:w="1559" w:type="dxa"/>
            <w:tcBorders>
              <w:top w:val="single" w:sz="4" w:space="0" w:color="auto"/>
              <w:bottom w:val="single" w:sz="4" w:space="0" w:color="auto"/>
            </w:tcBorders>
            <w:shd w:val="clear" w:color="auto" w:fill="auto"/>
            <w:noWrap/>
            <w:vAlign w:val="center"/>
          </w:tcPr>
          <w:p w14:paraId="7132C173" w14:textId="77777777" w:rsidR="00550EA7" w:rsidRPr="005034FE" w:rsidRDefault="00550EA7" w:rsidP="005E1D8B">
            <w:pPr>
              <w:spacing w:after="0" w:line="240" w:lineRule="auto"/>
              <w:jc w:val="center"/>
              <w:rPr>
                <w:rFonts w:ascii="David" w:hAnsi="David" w:cs="David"/>
                <w:b/>
                <w:bCs/>
                <w:color w:val="000000"/>
              </w:rPr>
            </w:pPr>
            <w:r w:rsidRPr="005034FE">
              <w:rPr>
                <w:rFonts w:ascii="David" w:hAnsi="David" w:cs="David"/>
                <w:b/>
                <w:bCs/>
                <w:color w:val="000000"/>
              </w:rPr>
              <w:t>5:46</w:t>
            </w:r>
          </w:p>
        </w:tc>
        <w:tc>
          <w:tcPr>
            <w:tcW w:w="852" w:type="dxa"/>
            <w:tcBorders>
              <w:top w:val="single" w:sz="4" w:space="0" w:color="auto"/>
              <w:bottom w:val="single" w:sz="4" w:space="0" w:color="auto"/>
            </w:tcBorders>
            <w:shd w:val="clear" w:color="auto" w:fill="auto"/>
            <w:vAlign w:val="center"/>
          </w:tcPr>
          <w:p w14:paraId="43344460" w14:textId="77777777" w:rsidR="00550EA7" w:rsidRPr="005034FE" w:rsidRDefault="00550EA7" w:rsidP="005E1D8B">
            <w:pPr>
              <w:spacing w:after="0" w:line="240" w:lineRule="auto"/>
              <w:jc w:val="center"/>
              <w:rPr>
                <w:rFonts w:ascii="David" w:hAnsi="David" w:cs="David"/>
                <w:color w:val="000000"/>
              </w:rPr>
            </w:pPr>
            <w:r w:rsidRPr="005034FE">
              <w:rPr>
                <w:rFonts w:ascii="David" w:hAnsi="David" w:cs="David"/>
                <w:color w:val="000000"/>
              </w:rPr>
              <w:t>6</w:t>
            </w:r>
          </w:p>
        </w:tc>
      </w:tr>
      <w:tr w:rsidR="00550EA7" w:rsidRPr="005034FE" w14:paraId="0588679F" w14:textId="77777777" w:rsidTr="005E68A7">
        <w:trPr>
          <w:trHeight w:val="600"/>
        </w:trPr>
        <w:tc>
          <w:tcPr>
            <w:tcW w:w="855" w:type="dxa"/>
            <w:tcBorders>
              <w:top w:val="single" w:sz="4" w:space="0" w:color="auto"/>
              <w:bottom w:val="single" w:sz="4" w:space="0" w:color="auto"/>
            </w:tcBorders>
            <w:shd w:val="clear" w:color="auto" w:fill="D9D9D9"/>
            <w:noWrap/>
            <w:vAlign w:val="center"/>
          </w:tcPr>
          <w:p w14:paraId="1440F905"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D9D9D9"/>
            <w:noWrap/>
            <w:vAlign w:val="center"/>
          </w:tcPr>
          <w:p w14:paraId="1B9DE8BF"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D9D9D9"/>
            <w:vAlign w:val="center"/>
          </w:tcPr>
          <w:p w14:paraId="13F69625"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תיק אזרחי בסדר דין רגיל (ת"א)-</w:t>
            </w:r>
            <w:r w:rsidRPr="005034FE">
              <w:rPr>
                <w:rFonts w:ascii="David" w:hAnsi="David" w:cs="David" w:hint="cs"/>
                <w:b/>
                <w:bCs/>
                <w:color w:val="000000"/>
                <w:rtl/>
              </w:rPr>
              <w:t>משוקלל</w:t>
            </w:r>
          </w:p>
        </w:tc>
        <w:tc>
          <w:tcPr>
            <w:tcW w:w="1559" w:type="dxa"/>
            <w:tcBorders>
              <w:top w:val="single" w:sz="4" w:space="0" w:color="auto"/>
              <w:bottom w:val="single" w:sz="4" w:space="0" w:color="auto"/>
            </w:tcBorders>
            <w:shd w:val="clear" w:color="auto" w:fill="D9D9D9"/>
            <w:vAlign w:val="center"/>
          </w:tcPr>
          <w:p w14:paraId="75EACA1A" w14:textId="77777777" w:rsidR="00550EA7" w:rsidRPr="005034FE" w:rsidRDefault="00550EA7" w:rsidP="005E1D8B">
            <w:pPr>
              <w:bidi w:val="0"/>
              <w:spacing w:after="0" w:line="240" w:lineRule="auto"/>
              <w:jc w:val="center"/>
              <w:rPr>
                <w:rFonts w:ascii="David" w:hAnsi="David" w:cs="David"/>
                <w:color w:val="3F3F3F"/>
              </w:rPr>
            </w:pPr>
            <w:r w:rsidRPr="005034FE">
              <w:rPr>
                <w:rFonts w:ascii="David" w:hAnsi="David" w:cs="David"/>
                <w:color w:val="3F3F3F"/>
              </w:rPr>
              <w:t>71,215</w:t>
            </w:r>
          </w:p>
        </w:tc>
        <w:tc>
          <w:tcPr>
            <w:tcW w:w="1559" w:type="dxa"/>
            <w:tcBorders>
              <w:top w:val="single" w:sz="4" w:space="0" w:color="auto"/>
              <w:bottom w:val="single" w:sz="4" w:space="0" w:color="auto"/>
            </w:tcBorders>
            <w:shd w:val="clear" w:color="auto" w:fill="D9D9D9"/>
            <w:noWrap/>
            <w:vAlign w:val="center"/>
          </w:tcPr>
          <w:p w14:paraId="4B583E48" w14:textId="77777777" w:rsidR="00550EA7" w:rsidRPr="005034FE" w:rsidRDefault="00550EA7" w:rsidP="005E1D8B">
            <w:pPr>
              <w:spacing w:after="0" w:line="240" w:lineRule="auto"/>
              <w:jc w:val="center"/>
              <w:rPr>
                <w:rFonts w:ascii="David" w:hAnsi="David" w:cs="David"/>
                <w:b/>
                <w:bCs/>
                <w:color w:val="000000"/>
              </w:rPr>
            </w:pPr>
            <w:r w:rsidRPr="005034FE">
              <w:rPr>
                <w:rFonts w:ascii="David" w:hAnsi="David" w:cs="David"/>
                <w:b/>
                <w:bCs/>
                <w:color w:val="000000"/>
              </w:rPr>
              <w:t>4:59</w:t>
            </w:r>
          </w:p>
        </w:tc>
        <w:tc>
          <w:tcPr>
            <w:tcW w:w="852" w:type="dxa"/>
            <w:tcBorders>
              <w:top w:val="single" w:sz="4" w:space="0" w:color="auto"/>
              <w:bottom w:val="single" w:sz="4" w:space="0" w:color="auto"/>
            </w:tcBorders>
            <w:shd w:val="clear" w:color="auto" w:fill="D9D9D9"/>
            <w:vAlign w:val="center"/>
          </w:tcPr>
          <w:p w14:paraId="135A2D4C" w14:textId="77777777" w:rsidR="00550EA7" w:rsidRPr="005034FE" w:rsidRDefault="00550EA7" w:rsidP="005E1D8B">
            <w:pPr>
              <w:spacing w:after="0" w:line="240" w:lineRule="auto"/>
              <w:jc w:val="center"/>
              <w:rPr>
                <w:rFonts w:ascii="David" w:hAnsi="David" w:cs="David"/>
                <w:color w:val="000000"/>
              </w:rPr>
            </w:pPr>
            <w:r w:rsidRPr="005034FE">
              <w:rPr>
                <w:rFonts w:ascii="David" w:hAnsi="David" w:cs="David" w:hint="cs"/>
                <w:color w:val="000000"/>
                <w:rtl/>
              </w:rPr>
              <w:t>5</w:t>
            </w:r>
          </w:p>
        </w:tc>
      </w:tr>
      <w:tr w:rsidR="00550EA7" w:rsidRPr="005034FE" w14:paraId="3459A8D5" w14:textId="77777777" w:rsidTr="005E68A7">
        <w:trPr>
          <w:trHeight w:val="600"/>
        </w:trPr>
        <w:tc>
          <w:tcPr>
            <w:tcW w:w="855" w:type="dxa"/>
            <w:tcBorders>
              <w:top w:val="single" w:sz="4" w:space="0" w:color="auto"/>
              <w:bottom w:val="single" w:sz="4" w:space="0" w:color="auto"/>
            </w:tcBorders>
            <w:shd w:val="clear" w:color="auto" w:fill="auto"/>
            <w:noWrap/>
            <w:vAlign w:val="center"/>
          </w:tcPr>
          <w:p w14:paraId="5CFBFC47"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auto"/>
            <w:noWrap/>
            <w:vAlign w:val="center"/>
          </w:tcPr>
          <w:p w14:paraId="4A0A0E81"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auto"/>
            <w:vAlign w:val="center"/>
          </w:tcPr>
          <w:p w14:paraId="7EDB351D"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תיק אזרחי בסדר דין רגיל (ת"א)-נזקי גוף - חבויות</w:t>
            </w:r>
          </w:p>
        </w:tc>
        <w:tc>
          <w:tcPr>
            <w:tcW w:w="1559" w:type="dxa"/>
            <w:tcBorders>
              <w:top w:val="single" w:sz="4" w:space="0" w:color="auto"/>
              <w:bottom w:val="single" w:sz="4" w:space="0" w:color="auto"/>
            </w:tcBorders>
            <w:vAlign w:val="center"/>
          </w:tcPr>
          <w:p w14:paraId="3A9199F7" w14:textId="77777777" w:rsidR="00550EA7" w:rsidRPr="005034FE" w:rsidRDefault="00550EA7" w:rsidP="005E1D8B">
            <w:pPr>
              <w:bidi w:val="0"/>
              <w:spacing w:after="0" w:line="240" w:lineRule="auto"/>
              <w:jc w:val="center"/>
              <w:rPr>
                <w:rFonts w:ascii="David" w:hAnsi="David" w:cs="David"/>
                <w:color w:val="3F3F3F"/>
              </w:rPr>
            </w:pPr>
            <w:r w:rsidRPr="005034FE">
              <w:rPr>
                <w:rFonts w:ascii="David" w:hAnsi="David" w:cs="David"/>
                <w:color w:val="3F3F3F"/>
              </w:rPr>
              <w:t>15,694</w:t>
            </w:r>
          </w:p>
        </w:tc>
        <w:tc>
          <w:tcPr>
            <w:tcW w:w="1559" w:type="dxa"/>
            <w:tcBorders>
              <w:top w:val="single" w:sz="4" w:space="0" w:color="auto"/>
              <w:bottom w:val="single" w:sz="4" w:space="0" w:color="auto"/>
            </w:tcBorders>
            <w:shd w:val="clear" w:color="auto" w:fill="auto"/>
            <w:noWrap/>
            <w:vAlign w:val="center"/>
          </w:tcPr>
          <w:p w14:paraId="7ECC5917" w14:textId="77777777" w:rsidR="00550EA7" w:rsidRPr="005034FE" w:rsidRDefault="00550EA7" w:rsidP="005E1D8B">
            <w:pPr>
              <w:spacing w:after="0" w:line="240" w:lineRule="auto"/>
              <w:jc w:val="center"/>
              <w:rPr>
                <w:rFonts w:ascii="David" w:hAnsi="David" w:cs="David"/>
                <w:b/>
                <w:bCs/>
                <w:color w:val="000000"/>
              </w:rPr>
            </w:pPr>
            <w:r w:rsidRPr="005034FE">
              <w:rPr>
                <w:rFonts w:ascii="David" w:hAnsi="David" w:cs="David"/>
                <w:b/>
                <w:bCs/>
                <w:color w:val="000000"/>
              </w:rPr>
              <w:t>4:29</w:t>
            </w:r>
          </w:p>
        </w:tc>
        <w:tc>
          <w:tcPr>
            <w:tcW w:w="852" w:type="dxa"/>
            <w:tcBorders>
              <w:top w:val="single" w:sz="4" w:space="0" w:color="auto"/>
              <w:bottom w:val="single" w:sz="4" w:space="0" w:color="auto"/>
            </w:tcBorders>
            <w:shd w:val="clear" w:color="auto" w:fill="auto"/>
            <w:vAlign w:val="center"/>
          </w:tcPr>
          <w:p w14:paraId="0082C8B0" w14:textId="77777777" w:rsidR="00550EA7" w:rsidRPr="005034FE" w:rsidRDefault="00550EA7" w:rsidP="005E1D8B">
            <w:pPr>
              <w:spacing w:after="0" w:line="240" w:lineRule="auto"/>
              <w:jc w:val="center"/>
              <w:rPr>
                <w:rFonts w:ascii="David" w:hAnsi="David" w:cs="David"/>
                <w:color w:val="000000"/>
              </w:rPr>
            </w:pPr>
            <w:r w:rsidRPr="005034FE">
              <w:rPr>
                <w:rFonts w:ascii="David" w:hAnsi="David" w:cs="David" w:hint="cs"/>
                <w:color w:val="000000"/>
                <w:rtl/>
              </w:rPr>
              <w:t>5</w:t>
            </w:r>
          </w:p>
        </w:tc>
      </w:tr>
      <w:tr w:rsidR="00550EA7" w:rsidRPr="005034FE" w14:paraId="41351F5D" w14:textId="77777777" w:rsidTr="005E68A7">
        <w:trPr>
          <w:trHeight w:val="600"/>
        </w:trPr>
        <w:tc>
          <w:tcPr>
            <w:tcW w:w="855" w:type="dxa"/>
            <w:tcBorders>
              <w:top w:val="single" w:sz="4" w:space="0" w:color="auto"/>
              <w:bottom w:val="single" w:sz="4" w:space="0" w:color="auto"/>
            </w:tcBorders>
            <w:shd w:val="clear" w:color="auto" w:fill="D9D9D9"/>
            <w:noWrap/>
            <w:vAlign w:val="center"/>
          </w:tcPr>
          <w:p w14:paraId="6EAEC340"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D9D9D9"/>
            <w:noWrap/>
            <w:vAlign w:val="center"/>
          </w:tcPr>
          <w:p w14:paraId="41856BB8"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D9D9D9"/>
            <w:vAlign w:val="center"/>
          </w:tcPr>
          <w:p w14:paraId="36823EA5"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תובענה ייצוגית (ת"צ)</w:t>
            </w:r>
          </w:p>
        </w:tc>
        <w:tc>
          <w:tcPr>
            <w:tcW w:w="1559" w:type="dxa"/>
            <w:tcBorders>
              <w:top w:val="single" w:sz="4" w:space="0" w:color="auto"/>
              <w:bottom w:val="single" w:sz="4" w:space="0" w:color="auto"/>
            </w:tcBorders>
            <w:shd w:val="clear" w:color="auto" w:fill="D9D9D9"/>
            <w:vAlign w:val="center"/>
          </w:tcPr>
          <w:p w14:paraId="3DAA20C0" w14:textId="77777777" w:rsidR="00550EA7" w:rsidRPr="005034FE" w:rsidRDefault="00550EA7" w:rsidP="005E1D8B">
            <w:pPr>
              <w:bidi w:val="0"/>
              <w:spacing w:after="0" w:line="240" w:lineRule="auto"/>
              <w:jc w:val="center"/>
              <w:rPr>
                <w:rFonts w:ascii="David" w:hAnsi="David" w:cs="David"/>
                <w:color w:val="3F3F3F"/>
              </w:rPr>
            </w:pPr>
            <w:r w:rsidRPr="005034FE">
              <w:rPr>
                <w:rFonts w:ascii="David" w:hAnsi="David" w:cs="David"/>
                <w:color w:val="3F3F3F"/>
              </w:rPr>
              <w:t>133</w:t>
            </w:r>
          </w:p>
        </w:tc>
        <w:tc>
          <w:tcPr>
            <w:tcW w:w="1559" w:type="dxa"/>
            <w:tcBorders>
              <w:top w:val="single" w:sz="4" w:space="0" w:color="auto"/>
              <w:bottom w:val="single" w:sz="4" w:space="0" w:color="auto"/>
            </w:tcBorders>
            <w:shd w:val="clear" w:color="auto" w:fill="D9D9D9"/>
            <w:noWrap/>
            <w:vAlign w:val="center"/>
          </w:tcPr>
          <w:p w14:paraId="42B7334D" w14:textId="77777777" w:rsidR="00550EA7" w:rsidRPr="005034FE" w:rsidRDefault="00550EA7" w:rsidP="005E1D8B">
            <w:pPr>
              <w:spacing w:after="0" w:line="240" w:lineRule="auto"/>
              <w:jc w:val="center"/>
              <w:rPr>
                <w:rFonts w:ascii="David" w:hAnsi="David" w:cs="David"/>
                <w:b/>
                <w:bCs/>
                <w:color w:val="000000"/>
              </w:rPr>
            </w:pPr>
            <w:r w:rsidRPr="005034FE">
              <w:rPr>
                <w:rFonts w:ascii="David" w:hAnsi="David" w:cs="David"/>
                <w:b/>
                <w:bCs/>
                <w:color w:val="000000"/>
              </w:rPr>
              <w:t>4:04</w:t>
            </w:r>
          </w:p>
        </w:tc>
        <w:tc>
          <w:tcPr>
            <w:tcW w:w="852" w:type="dxa"/>
            <w:tcBorders>
              <w:top w:val="single" w:sz="4" w:space="0" w:color="auto"/>
              <w:bottom w:val="single" w:sz="4" w:space="0" w:color="auto"/>
            </w:tcBorders>
            <w:shd w:val="clear" w:color="auto" w:fill="D9D9D9"/>
            <w:vAlign w:val="center"/>
          </w:tcPr>
          <w:p w14:paraId="0937EABE" w14:textId="77777777" w:rsidR="00550EA7" w:rsidRPr="005034FE" w:rsidRDefault="00550EA7" w:rsidP="005E1D8B">
            <w:pPr>
              <w:spacing w:after="0" w:line="240" w:lineRule="auto"/>
              <w:jc w:val="center"/>
              <w:rPr>
                <w:rFonts w:ascii="David" w:hAnsi="David" w:cs="David"/>
                <w:color w:val="000000"/>
              </w:rPr>
            </w:pPr>
            <w:r w:rsidRPr="005034FE">
              <w:rPr>
                <w:rFonts w:ascii="David" w:hAnsi="David" w:cs="David" w:hint="cs"/>
                <w:color w:val="000000"/>
                <w:rtl/>
              </w:rPr>
              <w:t>4</w:t>
            </w:r>
          </w:p>
        </w:tc>
      </w:tr>
      <w:tr w:rsidR="00550EA7" w:rsidRPr="005034FE" w14:paraId="28E0ABD9" w14:textId="77777777" w:rsidTr="005E68A7">
        <w:trPr>
          <w:trHeight w:val="600"/>
        </w:trPr>
        <w:tc>
          <w:tcPr>
            <w:tcW w:w="855" w:type="dxa"/>
            <w:tcBorders>
              <w:top w:val="single" w:sz="4" w:space="0" w:color="auto"/>
              <w:bottom w:val="single" w:sz="4" w:space="0" w:color="auto"/>
            </w:tcBorders>
            <w:shd w:val="clear" w:color="auto" w:fill="auto"/>
            <w:noWrap/>
            <w:vAlign w:val="center"/>
          </w:tcPr>
          <w:p w14:paraId="2E01104C"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auto"/>
            <w:noWrap/>
            <w:vAlign w:val="center"/>
          </w:tcPr>
          <w:p w14:paraId="79DB0175"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auto"/>
            <w:vAlign w:val="center"/>
          </w:tcPr>
          <w:p w14:paraId="61D3DB24"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רשות ערעור על החלטת ראש הוצל"פ (רע"צ)</w:t>
            </w:r>
          </w:p>
        </w:tc>
        <w:tc>
          <w:tcPr>
            <w:tcW w:w="1559" w:type="dxa"/>
            <w:tcBorders>
              <w:top w:val="single" w:sz="4" w:space="0" w:color="auto"/>
              <w:bottom w:val="single" w:sz="4" w:space="0" w:color="auto"/>
            </w:tcBorders>
            <w:vAlign w:val="center"/>
          </w:tcPr>
          <w:p w14:paraId="178AD4D0" w14:textId="77777777" w:rsidR="00550EA7" w:rsidRPr="005034FE" w:rsidRDefault="00550EA7" w:rsidP="005E1D8B">
            <w:pPr>
              <w:bidi w:val="0"/>
              <w:spacing w:after="0" w:line="240" w:lineRule="auto"/>
              <w:jc w:val="center"/>
              <w:rPr>
                <w:rFonts w:ascii="David" w:hAnsi="David" w:cs="David"/>
                <w:color w:val="3F3F3F"/>
              </w:rPr>
            </w:pPr>
            <w:r w:rsidRPr="005034FE">
              <w:rPr>
                <w:rFonts w:ascii="David" w:hAnsi="David" w:cs="David"/>
                <w:color w:val="3F3F3F"/>
              </w:rPr>
              <w:t>432</w:t>
            </w:r>
          </w:p>
        </w:tc>
        <w:tc>
          <w:tcPr>
            <w:tcW w:w="1559" w:type="dxa"/>
            <w:tcBorders>
              <w:top w:val="single" w:sz="4" w:space="0" w:color="auto"/>
              <w:bottom w:val="single" w:sz="4" w:space="0" w:color="auto"/>
            </w:tcBorders>
            <w:shd w:val="clear" w:color="auto" w:fill="auto"/>
            <w:noWrap/>
            <w:vAlign w:val="center"/>
          </w:tcPr>
          <w:p w14:paraId="4412F625" w14:textId="77777777" w:rsidR="00550EA7" w:rsidRPr="005034FE" w:rsidRDefault="00550EA7" w:rsidP="005E1D8B">
            <w:pPr>
              <w:spacing w:after="0" w:line="240" w:lineRule="auto"/>
              <w:jc w:val="center"/>
              <w:rPr>
                <w:rFonts w:ascii="David" w:hAnsi="David" w:cs="David"/>
                <w:b/>
                <w:bCs/>
                <w:color w:val="000000"/>
              </w:rPr>
            </w:pPr>
            <w:r w:rsidRPr="005034FE">
              <w:rPr>
                <w:rFonts w:ascii="David" w:hAnsi="David" w:cs="David" w:hint="cs"/>
                <w:b/>
                <w:bCs/>
                <w:color w:val="000000"/>
                <w:rtl/>
              </w:rPr>
              <w:t>3:50</w:t>
            </w:r>
          </w:p>
        </w:tc>
        <w:tc>
          <w:tcPr>
            <w:tcW w:w="852" w:type="dxa"/>
            <w:tcBorders>
              <w:top w:val="single" w:sz="4" w:space="0" w:color="auto"/>
              <w:bottom w:val="single" w:sz="4" w:space="0" w:color="auto"/>
            </w:tcBorders>
            <w:shd w:val="clear" w:color="auto" w:fill="auto"/>
            <w:vAlign w:val="center"/>
          </w:tcPr>
          <w:p w14:paraId="2679C754" w14:textId="77777777" w:rsidR="00550EA7" w:rsidRPr="005034FE" w:rsidRDefault="00550EA7" w:rsidP="005E1D8B">
            <w:pPr>
              <w:spacing w:after="0" w:line="240" w:lineRule="auto"/>
              <w:jc w:val="center"/>
              <w:rPr>
                <w:rFonts w:ascii="David" w:hAnsi="David" w:cs="David"/>
                <w:color w:val="000000"/>
              </w:rPr>
            </w:pPr>
            <w:r w:rsidRPr="005034FE">
              <w:rPr>
                <w:rFonts w:ascii="David" w:hAnsi="David" w:cs="David" w:hint="cs"/>
                <w:color w:val="000000"/>
                <w:rtl/>
              </w:rPr>
              <w:t>4</w:t>
            </w:r>
          </w:p>
        </w:tc>
      </w:tr>
      <w:tr w:rsidR="00550EA7" w:rsidRPr="005034FE" w14:paraId="1D03CDCA" w14:textId="77777777" w:rsidTr="005E68A7">
        <w:trPr>
          <w:trHeight w:val="600"/>
        </w:trPr>
        <w:tc>
          <w:tcPr>
            <w:tcW w:w="855" w:type="dxa"/>
            <w:tcBorders>
              <w:top w:val="single" w:sz="4" w:space="0" w:color="auto"/>
              <w:bottom w:val="single" w:sz="4" w:space="0" w:color="auto"/>
            </w:tcBorders>
            <w:shd w:val="clear" w:color="auto" w:fill="D9D9D9"/>
            <w:noWrap/>
            <w:vAlign w:val="center"/>
          </w:tcPr>
          <w:p w14:paraId="4E2D5E80"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D9D9D9"/>
            <w:noWrap/>
            <w:vAlign w:val="center"/>
          </w:tcPr>
          <w:p w14:paraId="3D8F36F5"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אזרחי/ ועדת ערר</w:t>
            </w:r>
          </w:p>
        </w:tc>
        <w:tc>
          <w:tcPr>
            <w:tcW w:w="3258" w:type="dxa"/>
            <w:tcBorders>
              <w:top w:val="single" w:sz="4" w:space="0" w:color="auto"/>
              <w:bottom w:val="single" w:sz="4" w:space="0" w:color="auto"/>
            </w:tcBorders>
            <w:shd w:val="clear" w:color="auto" w:fill="D9D9D9"/>
            <w:vAlign w:val="center"/>
          </w:tcPr>
          <w:p w14:paraId="3A3C2268"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ועדת ערר (ו"ע)</w:t>
            </w:r>
          </w:p>
        </w:tc>
        <w:tc>
          <w:tcPr>
            <w:tcW w:w="1559" w:type="dxa"/>
            <w:tcBorders>
              <w:top w:val="single" w:sz="4" w:space="0" w:color="auto"/>
              <w:bottom w:val="single" w:sz="4" w:space="0" w:color="auto"/>
            </w:tcBorders>
            <w:shd w:val="clear" w:color="auto" w:fill="D9D9D9"/>
            <w:vAlign w:val="center"/>
          </w:tcPr>
          <w:p w14:paraId="3000BB9C" w14:textId="77777777" w:rsidR="00550EA7" w:rsidRPr="005034FE" w:rsidRDefault="00550EA7" w:rsidP="005E1D8B">
            <w:pPr>
              <w:bidi w:val="0"/>
              <w:spacing w:after="0" w:line="240" w:lineRule="auto"/>
              <w:jc w:val="center"/>
              <w:rPr>
                <w:rFonts w:ascii="David" w:hAnsi="David" w:cs="David"/>
                <w:color w:val="3F3F3F"/>
              </w:rPr>
            </w:pPr>
            <w:r w:rsidRPr="005034FE">
              <w:rPr>
                <w:rFonts w:ascii="David" w:hAnsi="David" w:cs="David"/>
                <w:color w:val="3F3F3F"/>
              </w:rPr>
              <w:t>1,905</w:t>
            </w:r>
          </w:p>
        </w:tc>
        <w:tc>
          <w:tcPr>
            <w:tcW w:w="1559" w:type="dxa"/>
            <w:tcBorders>
              <w:top w:val="single" w:sz="4" w:space="0" w:color="auto"/>
              <w:bottom w:val="single" w:sz="4" w:space="0" w:color="auto"/>
            </w:tcBorders>
            <w:shd w:val="clear" w:color="auto" w:fill="D9D9D9"/>
            <w:noWrap/>
            <w:vAlign w:val="center"/>
          </w:tcPr>
          <w:p w14:paraId="272A229F" w14:textId="77777777" w:rsidR="00550EA7" w:rsidRPr="005034FE" w:rsidRDefault="00550EA7" w:rsidP="005E1D8B">
            <w:pPr>
              <w:spacing w:after="0" w:line="240" w:lineRule="auto"/>
              <w:jc w:val="center"/>
              <w:rPr>
                <w:rFonts w:ascii="David" w:hAnsi="David" w:cs="David"/>
                <w:b/>
                <w:bCs/>
                <w:color w:val="000000"/>
              </w:rPr>
            </w:pPr>
            <w:r w:rsidRPr="005034FE">
              <w:rPr>
                <w:rFonts w:ascii="David" w:hAnsi="David" w:cs="David"/>
                <w:b/>
                <w:bCs/>
                <w:color w:val="000000"/>
              </w:rPr>
              <w:t>3:38</w:t>
            </w:r>
          </w:p>
        </w:tc>
        <w:tc>
          <w:tcPr>
            <w:tcW w:w="852" w:type="dxa"/>
            <w:tcBorders>
              <w:top w:val="single" w:sz="4" w:space="0" w:color="auto"/>
              <w:bottom w:val="single" w:sz="4" w:space="0" w:color="auto"/>
            </w:tcBorders>
            <w:shd w:val="clear" w:color="auto" w:fill="D9D9D9"/>
            <w:vAlign w:val="center"/>
          </w:tcPr>
          <w:p w14:paraId="167EE42A" w14:textId="77777777" w:rsidR="00550EA7" w:rsidRPr="005034FE" w:rsidRDefault="00550EA7" w:rsidP="005E1D8B">
            <w:pPr>
              <w:spacing w:after="0" w:line="240" w:lineRule="auto"/>
              <w:jc w:val="center"/>
              <w:rPr>
                <w:rFonts w:ascii="David" w:hAnsi="David" w:cs="David"/>
                <w:color w:val="000000"/>
              </w:rPr>
            </w:pPr>
            <w:r w:rsidRPr="005034FE">
              <w:rPr>
                <w:rFonts w:ascii="David" w:hAnsi="David" w:cs="David"/>
                <w:color w:val="000000"/>
              </w:rPr>
              <w:t>4</w:t>
            </w:r>
          </w:p>
        </w:tc>
      </w:tr>
      <w:tr w:rsidR="00550EA7" w:rsidRPr="005034FE" w14:paraId="093DE5E8" w14:textId="77777777" w:rsidTr="005E68A7">
        <w:trPr>
          <w:trHeight w:val="600"/>
        </w:trPr>
        <w:tc>
          <w:tcPr>
            <w:tcW w:w="855" w:type="dxa"/>
            <w:tcBorders>
              <w:top w:val="single" w:sz="4" w:space="0" w:color="auto"/>
              <w:bottom w:val="single" w:sz="4" w:space="0" w:color="auto"/>
            </w:tcBorders>
            <w:shd w:val="clear" w:color="auto" w:fill="auto"/>
            <w:noWrap/>
            <w:vAlign w:val="center"/>
          </w:tcPr>
          <w:p w14:paraId="35FA9081"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auto"/>
            <w:noWrap/>
            <w:vAlign w:val="center"/>
          </w:tcPr>
          <w:p w14:paraId="688681B3"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auto"/>
            <w:vAlign w:val="center"/>
          </w:tcPr>
          <w:p w14:paraId="0B2A8BE5" w14:textId="77777777" w:rsidR="00550EA7" w:rsidRPr="005034FE" w:rsidRDefault="00550EA7" w:rsidP="005E1D8B">
            <w:pPr>
              <w:spacing w:after="0" w:line="240" w:lineRule="auto"/>
              <w:rPr>
                <w:rFonts w:ascii="David" w:hAnsi="David" w:cs="David"/>
                <w:color w:val="000000"/>
                <w:rtl/>
              </w:rPr>
            </w:pPr>
            <w:r w:rsidRPr="005034FE">
              <w:rPr>
                <w:rFonts w:ascii="David" w:hAnsi="David" w:cs="David"/>
                <w:color w:val="000000"/>
                <w:rtl/>
              </w:rPr>
              <w:t>תיק אזרחי בסדר דין רגיל (ת"א)-נזקי רכוש - רכב</w:t>
            </w:r>
          </w:p>
        </w:tc>
        <w:tc>
          <w:tcPr>
            <w:tcW w:w="1559" w:type="dxa"/>
            <w:tcBorders>
              <w:top w:val="single" w:sz="4" w:space="0" w:color="auto"/>
              <w:bottom w:val="single" w:sz="4" w:space="0" w:color="auto"/>
            </w:tcBorders>
            <w:vAlign w:val="center"/>
          </w:tcPr>
          <w:p w14:paraId="7A4577D3" w14:textId="77777777" w:rsidR="00550EA7" w:rsidRPr="005034FE" w:rsidRDefault="00550EA7" w:rsidP="005E1D8B">
            <w:pPr>
              <w:bidi w:val="0"/>
              <w:spacing w:after="0" w:line="240" w:lineRule="auto"/>
              <w:jc w:val="center"/>
              <w:rPr>
                <w:rFonts w:ascii="David" w:hAnsi="David" w:cs="David"/>
                <w:color w:val="3F3F3F"/>
              </w:rPr>
            </w:pPr>
            <w:r w:rsidRPr="005034FE">
              <w:rPr>
                <w:rFonts w:ascii="David" w:hAnsi="David" w:cs="David"/>
                <w:color w:val="3F3F3F"/>
              </w:rPr>
              <w:t>874</w:t>
            </w:r>
          </w:p>
        </w:tc>
        <w:tc>
          <w:tcPr>
            <w:tcW w:w="1559" w:type="dxa"/>
            <w:tcBorders>
              <w:top w:val="single" w:sz="4" w:space="0" w:color="auto"/>
              <w:bottom w:val="single" w:sz="4" w:space="0" w:color="auto"/>
            </w:tcBorders>
            <w:shd w:val="clear" w:color="auto" w:fill="auto"/>
            <w:noWrap/>
            <w:vAlign w:val="center"/>
          </w:tcPr>
          <w:p w14:paraId="5612DD3A" w14:textId="77777777" w:rsidR="00550EA7" w:rsidRPr="005034FE" w:rsidRDefault="00550EA7" w:rsidP="005E1D8B">
            <w:pPr>
              <w:spacing w:after="0" w:line="240" w:lineRule="auto"/>
              <w:jc w:val="center"/>
              <w:rPr>
                <w:rFonts w:ascii="David" w:hAnsi="David" w:cs="David"/>
                <w:b/>
                <w:bCs/>
                <w:color w:val="000000"/>
                <w:rtl/>
              </w:rPr>
            </w:pPr>
            <w:r w:rsidRPr="005034FE">
              <w:rPr>
                <w:rFonts w:ascii="David" w:hAnsi="David" w:cs="David"/>
                <w:b/>
                <w:bCs/>
                <w:color w:val="000000"/>
              </w:rPr>
              <w:t>3:23</w:t>
            </w:r>
          </w:p>
        </w:tc>
        <w:tc>
          <w:tcPr>
            <w:tcW w:w="852" w:type="dxa"/>
            <w:tcBorders>
              <w:top w:val="single" w:sz="4" w:space="0" w:color="auto"/>
              <w:bottom w:val="single" w:sz="4" w:space="0" w:color="auto"/>
            </w:tcBorders>
            <w:shd w:val="clear" w:color="auto" w:fill="auto"/>
            <w:vAlign w:val="center"/>
          </w:tcPr>
          <w:p w14:paraId="2CBDD26A" w14:textId="77777777" w:rsidR="00550EA7" w:rsidRPr="005034FE" w:rsidRDefault="00550EA7" w:rsidP="005E1D8B">
            <w:pPr>
              <w:spacing w:after="0" w:line="240" w:lineRule="auto"/>
              <w:jc w:val="center"/>
              <w:rPr>
                <w:rFonts w:ascii="David" w:hAnsi="David" w:cs="David"/>
                <w:color w:val="000000"/>
              </w:rPr>
            </w:pPr>
            <w:r w:rsidRPr="005034FE">
              <w:rPr>
                <w:rFonts w:ascii="David" w:hAnsi="David" w:cs="David" w:hint="cs"/>
                <w:color w:val="000000"/>
                <w:rtl/>
              </w:rPr>
              <w:t>4</w:t>
            </w:r>
          </w:p>
        </w:tc>
      </w:tr>
      <w:tr w:rsidR="005E68A7" w:rsidRPr="005034FE" w14:paraId="37F8AE01" w14:textId="77777777" w:rsidTr="005E68A7">
        <w:trPr>
          <w:trHeight w:val="600"/>
        </w:trPr>
        <w:tc>
          <w:tcPr>
            <w:tcW w:w="855" w:type="dxa"/>
            <w:tcBorders>
              <w:top w:val="single" w:sz="4" w:space="0" w:color="auto"/>
              <w:bottom w:val="single" w:sz="4" w:space="0" w:color="auto"/>
            </w:tcBorders>
            <w:shd w:val="clear" w:color="auto" w:fill="D9D9D9"/>
            <w:noWrap/>
            <w:vAlign w:val="center"/>
          </w:tcPr>
          <w:p w14:paraId="26A9AE01" w14:textId="77777777" w:rsidR="005E68A7" w:rsidRPr="005034FE" w:rsidRDefault="005E68A7" w:rsidP="005E68A7">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D9D9D9"/>
            <w:noWrap/>
            <w:vAlign w:val="center"/>
          </w:tcPr>
          <w:p w14:paraId="56852318" w14:textId="77777777" w:rsidR="005E68A7" w:rsidRPr="005034FE" w:rsidRDefault="005E68A7" w:rsidP="005E68A7">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D9D9D9"/>
            <w:vAlign w:val="center"/>
          </w:tcPr>
          <w:p w14:paraId="4CA03B8A" w14:textId="77777777" w:rsidR="005E68A7" w:rsidRPr="005034FE" w:rsidRDefault="005E68A7" w:rsidP="005E68A7">
            <w:pPr>
              <w:spacing w:after="0" w:line="240" w:lineRule="auto"/>
              <w:rPr>
                <w:rFonts w:ascii="David" w:hAnsi="David" w:cs="David"/>
                <w:color w:val="000000"/>
                <w:rtl/>
              </w:rPr>
            </w:pPr>
            <w:r w:rsidRPr="005034FE">
              <w:rPr>
                <w:rFonts w:ascii="David" w:hAnsi="David" w:cs="David"/>
                <w:color w:val="000000"/>
                <w:rtl/>
              </w:rPr>
              <w:t>תיק אזרחי בסדר דין רגיל (ת"א)-קניין רוחני</w:t>
            </w:r>
          </w:p>
        </w:tc>
        <w:tc>
          <w:tcPr>
            <w:tcW w:w="1559" w:type="dxa"/>
            <w:tcBorders>
              <w:top w:val="single" w:sz="4" w:space="0" w:color="auto"/>
              <w:bottom w:val="single" w:sz="4" w:space="0" w:color="auto"/>
            </w:tcBorders>
            <w:shd w:val="clear" w:color="auto" w:fill="D9D9D9"/>
            <w:vAlign w:val="center"/>
          </w:tcPr>
          <w:p w14:paraId="3A190595" w14:textId="77777777" w:rsidR="005E68A7" w:rsidRPr="005034FE" w:rsidRDefault="005E68A7" w:rsidP="005E68A7">
            <w:pPr>
              <w:bidi w:val="0"/>
              <w:spacing w:after="0" w:line="240" w:lineRule="auto"/>
              <w:jc w:val="center"/>
              <w:rPr>
                <w:rFonts w:ascii="David" w:hAnsi="David" w:cs="David"/>
                <w:color w:val="3F3F3F"/>
              </w:rPr>
            </w:pPr>
            <w:r w:rsidRPr="005034FE">
              <w:rPr>
                <w:rFonts w:ascii="David" w:hAnsi="David" w:cs="David"/>
                <w:color w:val="3F3F3F"/>
              </w:rPr>
              <w:t>287</w:t>
            </w:r>
          </w:p>
        </w:tc>
        <w:tc>
          <w:tcPr>
            <w:tcW w:w="1559" w:type="dxa"/>
            <w:tcBorders>
              <w:top w:val="single" w:sz="4" w:space="0" w:color="auto"/>
              <w:bottom w:val="single" w:sz="4" w:space="0" w:color="auto"/>
            </w:tcBorders>
            <w:shd w:val="clear" w:color="auto" w:fill="D9D9D9"/>
            <w:noWrap/>
            <w:vAlign w:val="center"/>
          </w:tcPr>
          <w:p w14:paraId="6CF806E8" w14:textId="77777777" w:rsidR="005E68A7" w:rsidRPr="005034FE" w:rsidRDefault="005E68A7" w:rsidP="005E68A7">
            <w:pPr>
              <w:spacing w:after="0" w:line="240" w:lineRule="auto"/>
              <w:jc w:val="center"/>
              <w:rPr>
                <w:rFonts w:ascii="David" w:hAnsi="David" w:cs="David"/>
                <w:b/>
                <w:bCs/>
                <w:color w:val="000000"/>
              </w:rPr>
            </w:pPr>
            <w:r w:rsidRPr="005034FE">
              <w:rPr>
                <w:rFonts w:ascii="David" w:hAnsi="David" w:cs="David"/>
                <w:b/>
                <w:bCs/>
                <w:color w:val="000000"/>
              </w:rPr>
              <w:t>3:12</w:t>
            </w:r>
          </w:p>
        </w:tc>
        <w:tc>
          <w:tcPr>
            <w:tcW w:w="852" w:type="dxa"/>
            <w:tcBorders>
              <w:top w:val="single" w:sz="4" w:space="0" w:color="auto"/>
              <w:bottom w:val="single" w:sz="4" w:space="0" w:color="auto"/>
            </w:tcBorders>
            <w:shd w:val="clear" w:color="auto" w:fill="D9D9D9"/>
            <w:vAlign w:val="center"/>
          </w:tcPr>
          <w:p w14:paraId="022DF410" w14:textId="77777777" w:rsidR="005E68A7" w:rsidRPr="005034FE" w:rsidRDefault="005E68A7" w:rsidP="005E68A7">
            <w:pPr>
              <w:spacing w:after="0" w:line="240" w:lineRule="auto"/>
              <w:jc w:val="center"/>
              <w:rPr>
                <w:rFonts w:ascii="David" w:hAnsi="David" w:cs="David"/>
                <w:color w:val="000000"/>
              </w:rPr>
            </w:pPr>
            <w:r w:rsidRPr="005034FE">
              <w:rPr>
                <w:rFonts w:ascii="David" w:hAnsi="David" w:cs="David" w:hint="cs"/>
                <w:color w:val="000000"/>
                <w:rtl/>
              </w:rPr>
              <w:t>4</w:t>
            </w:r>
          </w:p>
        </w:tc>
      </w:tr>
      <w:tr w:rsidR="00DB5BCC" w:rsidRPr="005034FE" w14:paraId="1ACD006A" w14:textId="77777777" w:rsidTr="005E68A7">
        <w:trPr>
          <w:trHeight w:val="600"/>
        </w:trPr>
        <w:tc>
          <w:tcPr>
            <w:tcW w:w="855" w:type="dxa"/>
            <w:tcBorders>
              <w:top w:val="single" w:sz="4" w:space="0" w:color="auto"/>
              <w:bottom w:val="single" w:sz="4" w:space="0" w:color="auto"/>
            </w:tcBorders>
            <w:shd w:val="clear" w:color="auto" w:fill="auto"/>
            <w:noWrap/>
            <w:vAlign w:val="center"/>
          </w:tcPr>
          <w:p w14:paraId="52DEE03C" w14:textId="1451F8DD" w:rsidR="00DB5BCC" w:rsidRPr="005034FE" w:rsidRDefault="00DB5BCC" w:rsidP="00DB5BCC">
            <w:pPr>
              <w:spacing w:after="0" w:line="240" w:lineRule="auto"/>
              <w:rPr>
                <w:rFonts w:ascii="David" w:hAnsi="David" w:cs="David"/>
                <w:color w:val="000000"/>
                <w:rtl/>
              </w:rPr>
            </w:pPr>
            <w:r w:rsidRPr="005034FE">
              <w:rPr>
                <w:rFonts w:ascii="David" w:eastAsia="Times New Roman" w:hAnsi="David" w:cs="David"/>
                <w:b/>
                <w:bCs/>
                <w:color w:val="000000"/>
                <w:rtl/>
              </w:rPr>
              <w:lastRenderedPageBreak/>
              <w:t>ערכאה</w:t>
            </w:r>
          </w:p>
        </w:tc>
        <w:tc>
          <w:tcPr>
            <w:tcW w:w="1134" w:type="dxa"/>
            <w:tcBorders>
              <w:top w:val="single" w:sz="4" w:space="0" w:color="auto"/>
              <w:bottom w:val="single" w:sz="4" w:space="0" w:color="auto"/>
            </w:tcBorders>
            <w:shd w:val="clear" w:color="auto" w:fill="auto"/>
            <w:noWrap/>
            <w:vAlign w:val="center"/>
          </w:tcPr>
          <w:p w14:paraId="4B4D34A3" w14:textId="27C4E411" w:rsidR="00DB5BCC" w:rsidRPr="005034FE" w:rsidRDefault="00DB5BCC" w:rsidP="00DB5BCC">
            <w:pPr>
              <w:spacing w:after="0" w:line="240" w:lineRule="auto"/>
              <w:rPr>
                <w:rFonts w:ascii="David" w:hAnsi="David" w:cs="David"/>
                <w:color w:val="000000"/>
                <w:rtl/>
              </w:rPr>
            </w:pPr>
            <w:r w:rsidRPr="005034FE">
              <w:rPr>
                <w:rFonts w:ascii="David" w:eastAsia="Times New Roman" w:hAnsi="David" w:cs="David"/>
                <w:b/>
                <w:bCs/>
                <w:color w:val="000000"/>
                <w:rtl/>
              </w:rPr>
              <w:t>הליך</w:t>
            </w:r>
          </w:p>
        </w:tc>
        <w:tc>
          <w:tcPr>
            <w:tcW w:w="3258" w:type="dxa"/>
            <w:tcBorders>
              <w:top w:val="single" w:sz="4" w:space="0" w:color="auto"/>
              <w:bottom w:val="single" w:sz="4" w:space="0" w:color="auto"/>
            </w:tcBorders>
            <w:shd w:val="clear" w:color="auto" w:fill="auto"/>
            <w:vAlign w:val="center"/>
          </w:tcPr>
          <w:p w14:paraId="6BE93F0F" w14:textId="476E3957" w:rsidR="00DB5BCC" w:rsidRPr="005034FE" w:rsidRDefault="00DB5BCC" w:rsidP="00DB5BCC">
            <w:pPr>
              <w:spacing w:after="0" w:line="240" w:lineRule="auto"/>
              <w:rPr>
                <w:rFonts w:ascii="David" w:hAnsi="David" w:cs="David"/>
                <w:color w:val="000000"/>
                <w:rtl/>
              </w:rPr>
            </w:pPr>
            <w:r w:rsidRPr="005034FE">
              <w:rPr>
                <w:rFonts w:ascii="David" w:eastAsia="Times New Roman" w:hAnsi="David" w:cs="David"/>
                <w:b/>
                <w:bCs/>
                <w:color w:val="000000"/>
                <w:rtl/>
              </w:rPr>
              <w:t>סוג תיק</w:t>
            </w:r>
          </w:p>
        </w:tc>
        <w:tc>
          <w:tcPr>
            <w:tcW w:w="1559" w:type="dxa"/>
            <w:tcBorders>
              <w:top w:val="single" w:sz="4" w:space="0" w:color="auto"/>
              <w:bottom w:val="single" w:sz="4" w:space="0" w:color="auto"/>
            </w:tcBorders>
            <w:vAlign w:val="center"/>
          </w:tcPr>
          <w:p w14:paraId="6E25073A" w14:textId="6A9A9E49" w:rsidR="00DB5BCC" w:rsidRPr="005034FE" w:rsidRDefault="00DB5BCC" w:rsidP="00DB5BCC">
            <w:pPr>
              <w:bidi w:val="0"/>
              <w:spacing w:after="0" w:line="240" w:lineRule="auto"/>
              <w:jc w:val="center"/>
              <w:rPr>
                <w:rFonts w:ascii="David" w:hAnsi="David" w:cs="David"/>
                <w:color w:val="3F3F3F"/>
              </w:rPr>
            </w:pPr>
            <w:r w:rsidRPr="005034FE">
              <w:rPr>
                <w:rFonts w:ascii="David" w:eastAsia="Times New Roman" w:hAnsi="David" w:cs="David" w:hint="cs"/>
                <w:b/>
                <w:bCs/>
                <w:color w:val="000000"/>
                <w:rtl/>
              </w:rPr>
              <w:t>מספר תיקים שנסגרו ב-2019</w:t>
            </w:r>
          </w:p>
        </w:tc>
        <w:tc>
          <w:tcPr>
            <w:tcW w:w="1559" w:type="dxa"/>
            <w:tcBorders>
              <w:top w:val="single" w:sz="4" w:space="0" w:color="auto"/>
              <w:bottom w:val="single" w:sz="4" w:space="0" w:color="auto"/>
            </w:tcBorders>
            <w:shd w:val="clear" w:color="auto" w:fill="auto"/>
            <w:noWrap/>
            <w:vAlign w:val="center"/>
          </w:tcPr>
          <w:p w14:paraId="1D9321C0" w14:textId="48B75500" w:rsidR="00DB5BCC" w:rsidRPr="005034FE" w:rsidRDefault="00DB5BCC" w:rsidP="00DB5BCC">
            <w:pPr>
              <w:spacing w:after="0" w:line="240" w:lineRule="auto"/>
              <w:jc w:val="center"/>
              <w:rPr>
                <w:rFonts w:ascii="David" w:hAnsi="David" w:cs="David"/>
                <w:b/>
                <w:bCs/>
                <w:color w:val="000000"/>
                <w:rtl/>
              </w:rPr>
            </w:pPr>
            <w:r w:rsidRPr="005034FE">
              <w:rPr>
                <w:rFonts w:ascii="David" w:eastAsia="Times New Roman" w:hAnsi="David" w:cs="David"/>
                <w:b/>
                <w:bCs/>
                <w:color w:val="000000"/>
                <w:rtl/>
              </w:rPr>
              <w:t>הזמן השיפוטי הממוצע הדרוש לטפל בתיק</w:t>
            </w:r>
          </w:p>
        </w:tc>
        <w:tc>
          <w:tcPr>
            <w:tcW w:w="852" w:type="dxa"/>
            <w:tcBorders>
              <w:top w:val="single" w:sz="4" w:space="0" w:color="auto"/>
              <w:bottom w:val="single" w:sz="4" w:space="0" w:color="auto"/>
            </w:tcBorders>
            <w:shd w:val="clear" w:color="auto" w:fill="auto"/>
            <w:vAlign w:val="center"/>
          </w:tcPr>
          <w:p w14:paraId="308288F6" w14:textId="3C44ABDB" w:rsidR="00DB5BCC" w:rsidRPr="005034FE" w:rsidRDefault="00DB5BCC" w:rsidP="00DB5BCC">
            <w:pPr>
              <w:spacing w:after="0" w:line="240" w:lineRule="auto"/>
              <w:jc w:val="center"/>
              <w:rPr>
                <w:rFonts w:ascii="David" w:hAnsi="David" w:cs="David"/>
                <w:color w:val="000000"/>
                <w:rtl/>
              </w:rPr>
            </w:pPr>
            <w:r w:rsidRPr="005034FE">
              <w:rPr>
                <w:rFonts w:ascii="David" w:eastAsia="Times New Roman" w:hAnsi="David" w:cs="David" w:hint="cs"/>
                <w:b/>
                <w:bCs/>
                <w:color w:val="000000"/>
                <w:rtl/>
              </w:rPr>
              <w:t>משקל ערכאתי לתיק</w:t>
            </w:r>
          </w:p>
        </w:tc>
      </w:tr>
      <w:tr w:rsidR="00DB5BCC" w:rsidRPr="005034FE" w14:paraId="34E5FA71" w14:textId="77777777" w:rsidTr="005E68A7">
        <w:trPr>
          <w:trHeight w:val="600"/>
        </w:trPr>
        <w:tc>
          <w:tcPr>
            <w:tcW w:w="855" w:type="dxa"/>
            <w:tcBorders>
              <w:top w:val="single" w:sz="4" w:space="0" w:color="auto"/>
              <w:bottom w:val="single" w:sz="4" w:space="0" w:color="auto"/>
            </w:tcBorders>
            <w:shd w:val="clear" w:color="auto" w:fill="auto"/>
            <w:noWrap/>
            <w:vAlign w:val="center"/>
          </w:tcPr>
          <w:p w14:paraId="5A382BF0"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auto"/>
            <w:noWrap/>
            <w:vAlign w:val="center"/>
          </w:tcPr>
          <w:p w14:paraId="37FA8349"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auto"/>
            <w:vAlign w:val="center"/>
          </w:tcPr>
          <w:p w14:paraId="208B4CFB"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המרצת פתיחה (ה"פ)</w:t>
            </w:r>
          </w:p>
        </w:tc>
        <w:tc>
          <w:tcPr>
            <w:tcW w:w="1559" w:type="dxa"/>
            <w:tcBorders>
              <w:top w:val="single" w:sz="4" w:space="0" w:color="auto"/>
              <w:bottom w:val="single" w:sz="4" w:space="0" w:color="auto"/>
            </w:tcBorders>
            <w:vAlign w:val="center"/>
          </w:tcPr>
          <w:p w14:paraId="1B14FB46" w14:textId="77777777" w:rsidR="00DB5BCC" w:rsidRPr="005034FE" w:rsidRDefault="00DB5BCC" w:rsidP="00DB5BCC">
            <w:pPr>
              <w:bidi w:val="0"/>
              <w:spacing w:after="0" w:line="240" w:lineRule="auto"/>
              <w:jc w:val="center"/>
              <w:rPr>
                <w:rFonts w:ascii="David" w:hAnsi="David" w:cs="David"/>
                <w:color w:val="3F3F3F"/>
              </w:rPr>
            </w:pPr>
            <w:r w:rsidRPr="005034FE">
              <w:rPr>
                <w:rFonts w:ascii="David" w:hAnsi="David" w:cs="David"/>
                <w:color w:val="3F3F3F"/>
              </w:rPr>
              <w:t>1,992</w:t>
            </w:r>
          </w:p>
        </w:tc>
        <w:tc>
          <w:tcPr>
            <w:tcW w:w="1559" w:type="dxa"/>
            <w:tcBorders>
              <w:top w:val="single" w:sz="4" w:space="0" w:color="auto"/>
              <w:bottom w:val="single" w:sz="4" w:space="0" w:color="auto"/>
            </w:tcBorders>
            <w:shd w:val="clear" w:color="auto" w:fill="auto"/>
            <w:noWrap/>
            <w:vAlign w:val="center"/>
          </w:tcPr>
          <w:p w14:paraId="0EF867DA" w14:textId="77777777" w:rsidR="00DB5BCC" w:rsidRPr="005034FE" w:rsidRDefault="00DB5BCC" w:rsidP="00DB5BCC">
            <w:pPr>
              <w:spacing w:after="0" w:line="240" w:lineRule="auto"/>
              <w:jc w:val="center"/>
              <w:rPr>
                <w:rFonts w:ascii="David" w:hAnsi="David" w:cs="David"/>
                <w:b/>
                <w:bCs/>
                <w:color w:val="000000"/>
              </w:rPr>
            </w:pPr>
            <w:r w:rsidRPr="005034FE">
              <w:rPr>
                <w:rFonts w:ascii="David" w:hAnsi="David" w:cs="David" w:hint="cs"/>
                <w:b/>
                <w:bCs/>
                <w:color w:val="000000"/>
                <w:rtl/>
              </w:rPr>
              <w:t>3:04</w:t>
            </w:r>
          </w:p>
        </w:tc>
        <w:tc>
          <w:tcPr>
            <w:tcW w:w="852" w:type="dxa"/>
            <w:tcBorders>
              <w:top w:val="single" w:sz="4" w:space="0" w:color="auto"/>
              <w:bottom w:val="single" w:sz="4" w:space="0" w:color="auto"/>
            </w:tcBorders>
            <w:shd w:val="clear" w:color="auto" w:fill="auto"/>
            <w:vAlign w:val="center"/>
          </w:tcPr>
          <w:p w14:paraId="6AB4CB3E" w14:textId="77777777" w:rsidR="00DB5BCC" w:rsidRPr="005034FE" w:rsidRDefault="00DB5BCC" w:rsidP="00DB5BCC">
            <w:pPr>
              <w:spacing w:after="0" w:line="240" w:lineRule="auto"/>
              <w:jc w:val="center"/>
              <w:rPr>
                <w:rFonts w:ascii="David" w:hAnsi="David" w:cs="David"/>
                <w:color w:val="000000"/>
              </w:rPr>
            </w:pPr>
            <w:r w:rsidRPr="005034FE">
              <w:rPr>
                <w:rFonts w:ascii="David" w:hAnsi="David" w:cs="David" w:hint="cs"/>
                <w:color w:val="000000"/>
                <w:rtl/>
              </w:rPr>
              <w:t>3</w:t>
            </w:r>
          </w:p>
        </w:tc>
      </w:tr>
      <w:tr w:rsidR="00DB5BCC" w:rsidRPr="005034FE" w14:paraId="0AF26AB9" w14:textId="77777777" w:rsidTr="005E68A7">
        <w:trPr>
          <w:trHeight w:val="600"/>
        </w:trPr>
        <w:tc>
          <w:tcPr>
            <w:tcW w:w="855" w:type="dxa"/>
            <w:tcBorders>
              <w:top w:val="single" w:sz="4" w:space="0" w:color="auto"/>
              <w:bottom w:val="single" w:sz="4" w:space="0" w:color="auto"/>
            </w:tcBorders>
            <w:shd w:val="clear" w:color="auto" w:fill="D9D9D9"/>
            <w:noWrap/>
            <w:vAlign w:val="center"/>
          </w:tcPr>
          <w:p w14:paraId="75C5909F"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D9D9D9"/>
            <w:noWrap/>
            <w:vAlign w:val="center"/>
          </w:tcPr>
          <w:p w14:paraId="374A2038"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D9D9D9"/>
            <w:vAlign w:val="center"/>
          </w:tcPr>
          <w:p w14:paraId="31C2D2F2"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צו מניעה - סגירה מנהלית לעסק (צ"מ)</w:t>
            </w:r>
          </w:p>
        </w:tc>
        <w:tc>
          <w:tcPr>
            <w:tcW w:w="1559" w:type="dxa"/>
            <w:tcBorders>
              <w:top w:val="single" w:sz="4" w:space="0" w:color="auto"/>
              <w:bottom w:val="single" w:sz="4" w:space="0" w:color="auto"/>
            </w:tcBorders>
            <w:shd w:val="clear" w:color="auto" w:fill="D9D9D9"/>
            <w:vAlign w:val="center"/>
          </w:tcPr>
          <w:p w14:paraId="1A235626" w14:textId="77777777" w:rsidR="00DB5BCC" w:rsidRPr="005034FE" w:rsidRDefault="00DB5BCC" w:rsidP="00DB5BCC">
            <w:pPr>
              <w:bidi w:val="0"/>
              <w:spacing w:after="0" w:line="240" w:lineRule="auto"/>
              <w:jc w:val="center"/>
              <w:rPr>
                <w:rFonts w:ascii="David" w:hAnsi="David" w:cs="David"/>
                <w:color w:val="3F3F3F"/>
              </w:rPr>
            </w:pPr>
            <w:r w:rsidRPr="005034FE">
              <w:rPr>
                <w:rFonts w:ascii="David" w:hAnsi="David" w:cs="David"/>
                <w:color w:val="3F3F3F"/>
              </w:rPr>
              <w:t>36</w:t>
            </w:r>
          </w:p>
        </w:tc>
        <w:tc>
          <w:tcPr>
            <w:tcW w:w="1559" w:type="dxa"/>
            <w:tcBorders>
              <w:top w:val="single" w:sz="4" w:space="0" w:color="auto"/>
              <w:bottom w:val="single" w:sz="4" w:space="0" w:color="auto"/>
            </w:tcBorders>
            <w:shd w:val="clear" w:color="auto" w:fill="D9D9D9"/>
            <w:noWrap/>
            <w:vAlign w:val="center"/>
          </w:tcPr>
          <w:p w14:paraId="58ACA72D" w14:textId="77777777" w:rsidR="00DB5BCC" w:rsidRPr="005034FE" w:rsidRDefault="00DB5BCC" w:rsidP="00DB5BCC">
            <w:pPr>
              <w:spacing w:after="0" w:line="240" w:lineRule="auto"/>
              <w:jc w:val="center"/>
              <w:rPr>
                <w:rFonts w:ascii="David" w:hAnsi="David" w:cs="David"/>
                <w:b/>
                <w:bCs/>
                <w:color w:val="000000"/>
              </w:rPr>
            </w:pPr>
            <w:r w:rsidRPr="005034FE">
              <w:rPr>
                <w:rFonts w:ascii="David" w:hAnsi="David" w:cs="David"/>
                <w:b/>
                <w:bCs/>
                <w:color w:val="000000"/>
              </w:rPr>
              <w:t>2:53</w:t>
            </w:r>
          </w:p>
        </w:tc>
        <w:tc>
          <w:tcPr>
            <w:tcW w:w="852" w:type="dxa"/>
            <w:tcBorders>
              <w:top w:val="single" w:sz="4" w:space="0" w:color="auto"/>
              <w:bottom w:val="single" w:sz="4" w:space="0" w:color="auto"/>
            </w:tcBorders>
            <w:shd w:val="clear" w:color="auto" w:fill="D9D9D9"/>
            <w:vAlign w:val="center"/>
          </w:tcPr>
          <w:p w14:paraId="72964C1A" w14:textId="77777777" w:rsidR="00DB5BCC" w:rsidRPr="005034FE" w:rsidRDefault="00DB5BCC" w:rsidP="00DB5BCC">
            <w:pPr>
              <w:spacing w:after="0" w:line="240" w:lineRule="auto"/>
              <w:jc w:val="center"/>
              <w:rPr>
                <w:rFonts w:ascii="David" w:hAnsi="David" w:cs="David"/>
                <w:color w:val="000000"/>
              </w:rPr>
            </w:pPr>
            <w:r w:rsidRPr="005034FE">
              <w:rPr>
                <w:rFonts w:ascii="David" w:hAnsi="David" w:cs="David" w:hint="cs"/>
                <w:color w:val="000000"/>
                <w:rtl/>
              </w:rPr>
              <w:t>3</w:t>
            </w:r>
          </w:p>
        </w:tc>
      </w:tr>
      <w:tr w:rsidR="00DB5BCC" w:rsidRPr="005034FE" w14:paraId="412F17B5" w14:textId="77777777" w:rsidTr="005E68A7">
        <w:trPr>
          <w:trHeight w:val="430"/>
        </w:trPr>
        <w:tc>
          <w:tcPr>
            <w:tcW w:w="855" w:type="dxa"/>
            <w:tcBorders>
              <w:top w:val="single" w:sz="4" w:space="0" w:color="auto"/>
              <w:bottom w:val="single" w:sz="4" w:space="0" w:color="auto"/>
            </w:tcBorders>
            <w:shd w:val="clear" w:color="auto" w:fill="auto"/>
            <w:noWrap/>
            <w:vAlign w:val="center"/>
          </w:tcPr>
          <w:p w14:paraId="10F4F6A1"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auto"/>
            <w:noWrap/>
            <w:vAlign w:val="center"/>
          </w:tcPr>
          <w:p w14:paraId="20A6338A"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auto"/>
            <w:vAlign w:val="center"/>
          </w:tcPr>
          <w:p w14:paraId="2313FFB0"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ערעור על החלטת רשם (ע"ר)</w:t>
            </w:r>
          </w:p>
        </w:tc>
        <w:tc>
          <w:tcPr>
            <w:tcW w:w="1559" w:type="dxa"/>
            <w:tcBorders>
              <w:top w:val="single" w:sz="4" w:space="0" w:color="auto"/>
              <w:bottom w:val="single" w:sz="4" w:space="0" w:color="auto"/>
            </w:tcBorders>
            <w:vAlign w:val="center"/>
          </w:tcPr>
          <w:p w14:paraId="5144D283" w14:textId="77777777" w:rsidR="00DB5BCC" w:rsidRPr="005034FE" w:rsidRDefault="00DB5BCC" w:rsidP="00DB5BCC">
            <w:pPr>
              <w:bidi w:val="0"/>
              <w:spacing w:after="0" w:line="240" w:lineRule="auto"/>
              <w:jc w:val="center"/>
              <w:rPr>
                <w:rFonts w:ascii="David" w:hAnsi="David" w:cs="David"/>
                <w:color w:val="3F3F3F"/>
              </w:rPr>
            </w:pPr>
            <w:r w:rsidRPr="005034FE">
              <w:rPr>
                <w:rFonts w:ascii="David" w:hAnsi="David" w:cs="David"/>
                <w:color w:val="3F3F3F"/>
              </w:rPr>
              <w:t>123</w:t>
            </w:r>
          </w:p>
        </w:tc>
        <w:tc>
          <w:tcPr>
            <w:tcW w:w="1559" w:type="dxa"/>
            <w:tcBorders>
              <w:top w:val="single" w:sz="4" w:space="0" w:color="auto"/>
              <w:bottom w:val="single" w:sz="4" w:space="0" w:color="auto"/>
            </w:tcBorders>
            <w:shd w:val="clear" w:color="auto" w:fill="auto"/>
            <w:noWrap/>
            <w:vAlign w:val="center"/>
          </w:tcPr>
          <w:p w14:paraId="584CC1AE" w14:textId="77777777" w:rsidR="00DB5BCC" w:rsidRPr="005034FE" w:rsidRDefault="00DB5BCC" w:rsidP="00DB5BCC">
            <w:pPr>
              <w:spacing w:after="0" w:line="240" w:lineRule="auto"/>
              <w:jc w:val="center"/>
              <w:rPr>
                <w:rFonts w:ascii="David" w:hAnsi="David" w:cs="David"/>
                <w:b/>
                <w:bCs/>
                <w:color w:val="000000"/>
              </w:rPr>
            </w:pPr>
            <w:r w:rsidRPr="005034FE">
              <w:rPr>
                <w:rFonts w:ascii="David" w:hAnsi="David" w:cs="David"/>
                <w:b/>
                <w:bCs/>
                <w:color w:val="000000"/>
              </w:rPr>
              <w:t>2:42</w:t>
            </w:r>
          </w:p>
        </w:tc>
        <w:tc>
          <w:tcPr>
            <w:tcW w:w="852" w:type="dxa"/>
            <w:tcBorders>
              <w:top w:val="single" w:sz="4" w:space="0" w:color="auto"/>
              <w:bottom w:val="single" w:sz="4" w:space="0" w:color="auto"/>
            </w:tcBorders>
            <w:shd w:val="clear" w:color="auto" w:fill="auto"/>
            <w:vAlign w:val="center"/>
          </w:tcPr>
          <w:p w14:paraId="13AF251A" w14:textId="77777777" w:rsidR="00DB5BCC" w:rsidRPr="005034FE" w:rsidRDefault="00DB5BCC" w:rsidP="00DB5BCC">
            <w:pPr>
              <w:spacing w:after="0" w:line="240" w:lineRule="auto"/>
              <w:jc w:val="center"/>
              <w:rPr>
                <w:rFonts w:ascii="David" w:hAnsi="David" w:cs="David"/>
                <w:color w:val="000000"/>
              </w:rPr>
            </w:pPr>
            <w:r w:rsidRPr="005034FE">
              <w:rPr>
                <w:rFonts w:ascii="David" w:hAnsi="David" w:cs="David" w:hint="cs"/>
                <w:color w:val="000000"/>
                <w:rtl/>
              </w:rPr>
              <w:t>3</w:t>
            </w:r>
          </w:p>
        </w:tc>
      </w:tr>
      <w:tr w:rsidR="00DB5BCC" w:rsidRPr="005034FE" w14:paraId="5A6685A8" w14:textId="77777777" w:rsidTr="005E68A7">
        <w:trPr>
          <w:trHeight w:val="600"/>
        </w:trPr>
        <w:tc>
          <w:tcPr>
            <w:tcW w:w="855" w:type="dxa"/>
            <w:tcBorders>
              <w:top w:val="single" w:sz="4" w:space="0" w:color="auto"/>
              <w:bottom w:val="single" w:sz="4" w:space="0" w:color="auto"/>
            </w:tcBorders>
            <w:shd w:val="clear" w:color="auto" w:fill="D9D9D9"/>
            <w:noWrap/>
            <w:vAlign w:val="center"/>
          </w:tcPr>
          <w:p w14:paraId="46AD5C9C"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D9D9D9"/>
            <w:noWrap/>
            <w:vAlign w:val="center"/>
          </w:tcPr>
          <w:p w14:paraId="03C6AF0F"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D9D9D9"/>
            <w:vAlign w:val="center"/>
          </w:tcPr>
          <w:p w14:paraId="78367284"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תיק אזרחי בסדר דין רגיל (ת"א)-נזקי גוף ביטוח (פוליסה)</w:t>
            </w:r>
          </w:p>
        </w:tc>
        <w:tc>
          <w:tcPr>
            <w:tcW w:w="1559" w:type="dxa"/>
            <w:tcBorders>
              <w:top w:val="single" w:sz="4" w:space="0" w:color="auto"/>
              <w:bottom w:val="single" w:sz="4" w:space="0" w:color="auto"/>
            </w:tcBorders>
            <w:shd w:val="clear" w:color="auto" w:fill="D9D9D9"/>
            <w:vAlign w:val="center"/>
          </w:tcPr>
          <w:p w14:paraId="5BD42843" w14:textId="77777777" w:rsidR="00DB5BCC" w:rsidRPr="005034FE" w:rsidRDefault="00DB5BCC" w:rsidP="00DB5BCC">
            <w:pPr>
              <w:bidi w:val="0"/>
              <w:spacing w:after="0" w:line="240" w:lineRule="auto"/>
              <w:jc w:val="center"/>
              <w:rPr>
                <w:rFonts w:ascii="David" w:hAnsi="David" w:cs="David"/>
                <w:color w:val="3F3F3F"/>
              </w:rPr>
            </w:pPr>
            <w:r w:rsidRPr="005034FE">
              <w:rPr>
                <w:rFonts w:ascii="David" w:hAnsi="David" w:cs="David"/>
                <w:color w:val="3F3F3F"/>
              </w:rPr>
              <w:t>894</w:t>
            </w:r>
          </w:p>
        </w:tc>
        <w:tc>
          <w:tcPr>
            <w:tcW w:w="1559" w:type="dxa"/>
            <w:tcBorders>
              <w:top w:val="single" w:sz="4" w:space="0" w:color="auto"/>
              <w:bottom w:val="single" w:sz="4" w:space="0" w:color="auto"/>
            </w:tcBorders>
            <w:shd w:val="clear" w:color="auto" w:fill="D9D9D9"/>
            <w:noWrap/>
            <w:vAlign w:val="center"/>
          </w:tcPr>
          <w:p w14:paraId="75198B59" w14:textId="77777777" w:rsidR="00DB5BCC" w:rsidRPr="005034FE" w:rsidRDefault="00DB5BCC" w:rsidP="00DB5BCC">
            <w:pPr>
              <w:spacing w:after="0" w:line="240" w:lineRule="auto"/>
              <w:jc w:val="center"/>
              <w:rPr>
                <w:rFonts w:ascii="David" w:hAnsi="David" w:cs="David"/>
                <w:b/>
                <w:bCs/>
                <w:color w:val="000000"/>
              </w:rPr>
            </w:pPr>
            <w:r w:rsidRPr="005034FE">
              <w:rPr>
                <w:rFonts w:ascii="David" w:hAnsi="David" w:cs="David"/>
                <w:b/>
                <w:bCs/>
                <w:color w:val="000000"/>
              </w:rPr>
              <w:t>2:32</w:t>
            </w:r>
          </w:p>
        </w:tc>
        <w:tc>
          <w:tcPr>
            <w:tcW w:w="852" w:type="dxa"/>
            <w:tcBorders>
              <w:top w:val="single" w:sz="4" w:space="0" w:color="auto"/>
              <w:bottom w:val="single" w:sz="4" w:space="0" w:color="auto"/>
            </w:tcBorders>
            <w:shd w:val="clear" w:color="auto" w:fill="D9D9D9"/>
            <w:vAlign w:val="center"/>
          </w:tcPr>
          <w:p w14:paraId="7003BC95" w14:textId="77777777" w:rsidR="00DB5BCC" w:rsidRPr="005034FE" w:rsidRDefault="00DB5BCC" w:rsidP="00DB5BCC">
            <w:pPr>
              <w:spacing w:after="0" w:line="240" w:lineRule="auto"/>
              <w:jc w:val="center"/>
              <w:rPr>
                <w:rFonts w:ascii="David" w:hAnsi="David" w:cs="David"/>
                <w:color w:val="000000"/>
                <w:rtl/>
              </w:rPr>
            </w:pPr>
            <w:r w:rsidRPr="005034FE">
              <w:rPr>
                <w:rFonts w:ascii="David" w:hAnsi="David" w:cs="David" w:hint="cs"/>
                <w:color w:val="000000"/>
                <w:rtl/>
              </w:rPr>
              <w:t>3</w:t>
            </w:r>
          </w:p>
        </w:tc>
      </w:tr>
      <w:tr w:rsidR="00DB5BCC" w:rsidRPr="005034FE" w14:paraId="0F0ED358" w14:textId="77777777" w:rsidTr="005E68A7">
        <w:trPr>
          <w:trHeight w:val="460"/>
        </w:trPr>
        <w:tc>
          <w:tcPr>
            <w:tcW w:w="855" w:type="dxa"/>
            <w:tcBorders>
              <w:top w:val="single" w:sz="4" w:space="0" w:color="auto"/>
              <w:bottom w:val="single" w:sz="4" w:space="0" w:color="auto"/>
            </w:tcBorders>
            <w:shd w:val="clear" w:color="auto" w:fill="auto"/>
            <w:noWrap/>
            <w:vAlign w:val="center"/>
          </w:tcPr>
          <w:p w14:paraId="2A225CAB"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auto"/>
            <w:noWrap/>
            <w:vAlign w:val="center"/>
          </w:tcPr>
          <w:p w14:paraId="0349CF69"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auto"/>
            <w:vAlign w:val="center"/>
          </w:tcPr>
          <w:p w14:paraId="41A6A6F7"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תיק אזרחי בסדר דין רגיל (ת"א)-פלת"ד</w:t>
            </w:r>
          </w:p>
        </w:tc>
        <w:tc>
          <w:tcPr>
            <w:tcW w:w="1559" w:type="dxa"/>
            <w:tcBorders>
              <w:top w:val="single" w:sz="4" w:space="0" w:color="auto"/>
              <w:bottom w:val="single" w:sz="4" w:space="0" w:color="auto"/>
            </w:tcBorders>
            <w:vAlign w:val="center"/>
          </w:tcPr>
          <w:p w14:paraId="316037F0" w14:textId="77777777" w:rsidR="00DB5BCC" w:rsidRPr="005034FE" w:rsidRDefault="00DB5BCC" w:rsidP="00DB5BCC">
            <w:pPr>
              <w:bidi w:val="0"/>
              <w:spacing w:after="0" w:line="240" w:lineRule="auto"/>
              <w:jc w:val="center"/>
              <w:rPr>
                <w:rFonts w:ascii="David" w:hAnsi="David" w:cs="David"/>
                <w:color w:val="3F3F3F"/>
              </w:rPr>
            </w:pPr>
            <w:r w:rsidRPr="005034FE">
              <w:rPr>
                <w:rFonts w:ascii="David" w:hAnsi="David" w:cs="David"/>
                <w:color w:val="3F3F3F"/>
              </w:rPr>
              <w:t>28,681</w:t>
            </w:r>
          </w:p>
        </w:tc>
        <w:tc>
          <w:tcPr>
            <w:tcW w:w="1559" w:type="dxa"/>
            <w:tcBorders>
              <w:top w:val="single" w:sz="4" w:space="0" w:color="auto"/>
              <w:bottom w:val="single" w:sz="4" w:space="0" w:color="auto"/>
            </w:tcBorders>
            <w:shd w:val="clear" w:color="auto" w:fill="auto"/>
            <w:noWrap/>
            <w:vAlign w:val="center"/>
          </w:tcPr>
          <w:p w14:paraId="534EB360" w14:textId="77777777" w:rsidR="00DB5BCC" w:rsidRPr="005034FE" w:rsidRDefault="00DB5BCC" w:rsidP="00DB5BCC">
            <w:pPr>
              <w:spacing w:after="0" w:line="240" w:lineRule="auto"/>
              <w:jc w:val="center"/>
              <w:rPr>
                <w:rFonts w:ascii="David" w:hAnsi="David" w:cs="David"/>
                <w:b/>
                <w:bCs/>
                <w:color w:val="000000"/>
              </w:rPr>
            </w:pPr>
            <w:r w:rsidRPr="005034FE">
              <w:rPr>
                <w:rFonts w:ascii="David" w:hAnsi="David" w:cs="David" w:hint="cs"/>
                <w:b/>
                <w:bCs/>
                <w:color w:val="000000"/>
                <w:rtl/>
              </w:rPr>
              <w:t>2:26</w:t>
            </w:r>
          </w:p>
        </w:tc>
        <w:tc>
          <w:tcPr>
            <w:tcW w:w="852" w:type="dxa"/>
            <w:tcBorders>
              <w:top w:val="single" w:sz="4" w:space="0" w:color="auto"/>
              <w:bottom w:val="single" w:sz="4" w:space="0" w:color="auto"/>
            </w:tcBorders>
            <w:shd w:val="clear" w:color="auto" w:fill="auto"/>
            <w:vAlign w:val="center"/>
          </w:tcPr>
          <w:p w14:paraId="0D4444C4" w14:textId="77777777" w:rsidR="00DB5BCC" w:rsidRPr="005034FE" w:rsidRDefault="00DB5BCC" w:rsidP="00DB5BCC">
            <w:pPr>
              <w:spacing w:after="0" w:line="240" w:lineRule="auto"/>
              <w:jc w:val="center"/>
              <w:rPr>
                <w:rFonts w:ascii="David" w:hAnsi="David" w:cs="David"/>
                <w:color w:val="000000"/>
              </w:rPr>
            </w:pPr>
            <w:r w:rsidRPr="005034FE">
              <w:rPr>
                <w:rFonts w:ascii="David" w:hAnsi="David" w:cs="David" w:hint="cs"/>
                <w:color w:val="000000"/>
                <w:rtl/>
              </w:rPr>
              <w:t>3</w:t>
            </w:r>
          </w:p>
        </w:tc>
      </w:tr>
      <w:tr w:rsidR="00DB5BCC" w:rsidRPr="005034FE" w14:paraId="6B1BA3E2" w14:textId="77777777" w:rsidTr="005E68A7">
        <w:trPr>
          <w:trHeight w:val="424"/>
        </w:trPr>
        <w:tc>
          <w:tcPr>
            <w:tcW w:w="855" w:type="dxa"/>
            <w:tcBorders>
              <w:top w:val="single" w:sz="4" w:space="0" w:color="auto"/>
              <w:bottom w:val="single" w:sz="4" w:space="0" w:color="auto"/>
            </w:tcBorders>
            <w:shd w:val="clear" w:color="auto" w:fill="D9D9D9"/>
            <w:noWrap/>
            <w:vAlign w:val="center"/>
          </w:tcPr>
          <w:p w14:paraId="46CE9D07"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D9D9D9"/>
            <w:noWrap/>
            <w:vAlign w:val="center"/>
          </w:tcPr>
          <w:p w14:paraId="7F6AE902"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D9D9D9"/>
            <w:vAlign w:val="center"/>
          </w:tcPr>
          <w:p w14:paraId="4379FF44"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ערעור שונה - אזרחי (עש"א)</w:t>
            </w:r>
          </w:p>
        </w:tc>
        <w:tc>
          <w:tcPr>
            <w:tcW w:w="1559" w:type="dxa"/>
            <w:tcBorders>
              <w:top w:val="single" w:sz="4" w:space="0" w:color="auto"/>
              <w:bottom w:val="single" w:sz="4" w:space="0" w:color="auto"/>
            </w:tcBorders>
            <w:shd w:val="clear" w:color="auto" w:fill="D9D9D9"/>
            <w:vAlign w:val="center"/>
          </w:tcPr>
          <w:p w14:paraId="3A42B230" w14:textId="77777777" w:rsidR="00DB5BCC" w:rsidRPr="005034FE" w:rsidRDefault="00DB5BCC" w:rsidP="00DB5BCC">
            <w:pPr>
              <w:bidi w:val="0"/>
              <w:spacing w:after="0" w:line="240" w:lineRule="auto"/>
              <w:jc w:val="center"/>
              <w:rPr>
                <w:rFonts w:ascii="David" w:hAnsi="David" w:cs="David"/>
                <w:color w:val="3F3F3F"/>
              </w:rPr>
            </w:pPr>
            <w:r w:rsidRPr="005034FE">
              <w:rPr>
                <w:rFonts w:ascii="David" w:hAnsi="David" w:cs="David"/>
                <w:color w:val="3F3F3F"/>
              </w:rPr>
              <w:t>1,325</w:t>
            </w:r>
          </w:p>
        </w:tc>
        <w:tc>
          <w:tcPr>
            <w:tcW w:w="1559" w:type="dxa"/>
            <w:tcBorders>
              <w:top w:val="single" w:sz="4" w:space="0" w:color="auto"/>
              <w:bottom w:val="single" w:sz="4" w:space="0" w:color="auto"/>
            </w:tcBorders>
            <w:shd w:val="clear" w:color="auto" w:fill="D9D9D9"/>
            <w:noWrap/>
            <w:vAlign w:val="center"/>
          </w:tcPr>
          <w:p w14:paraId="2BBAB727" w14:textId="77777777" w:rsidR="00DB5BCC" w:rsidRPr="005034FE" w:rsidRDefault="00DB5BCC" w:rsidP="00DB5BCC">
            <w:pPr>
              <w:spacing w:after="0" w:line="240" w:lineRule="auto"/>
              <w:jc w:val="center"/>
              <w:rPr>
                <w:rFonts w:ascii="David" w:hAnsi="David" w:cs="David"/>
                <w:b/>
                <w:bCs/>
                <w:color w:val="000000"/>
              </w:rPr>
            </w:pPr>
            <w:r w:rsidRPr="005034FE">
              <w:rPr>
                <w:rFonts w:ascii="David" w:hAnsi="David" w:cs="David"/>
                <w:b/>
                <w:bCs/>
                <w:color w:val="000000"/>
              </w:rPr>
              <w:t>2:18</w:t>
            </w:r>
          </w:p>
        </w:tc>
        <w:tc>
          <w:tcPr>
            <w:tcW w:w="852" w:type="dxa"/>
            <w:tcBorders>
              <w:top w:val="single" w:sz="4" w:space="0" w:color="auto"/>
              <w:bottom w:val="single" w:sz="4" w:space="0" w:color="auto"/>
            </w:tcBorders>
            <w:shd w:val="clear" w:color="auto" w:fill="D9D9D9"/>
            <w:vAlign w:val="center"/>
          </w:tcPr>
          <w:p w14:paraId="3511133C" w14:textId="77777777" w:rsidR="00DB5BCC" w:rsidRPr="005034FE" w:rsidRDefault="00DB5BCC" w:rsidP="00DB5BCC">
            <w:pPr>
              <w:spacing w:after="0" w:line="240" w:lineRule="auto"/>
              <w:jc w:val="center"/>
              <w:rPr>
                <w:rFonts w:ascii="David" w:hAnsi="David" w:cs="David"/>
                <w:color w:val="000000"/>
              </w:rPr>
            </w:pPr>
            <w:r w:rsidRPr="005034FE">
              <w:rPr>
                <w:rFonts w:ascii="David" w:hAnsi="David" w:cs="David" w:hint="cs"/>
                <w:color w:val="000000"/>
                <w:rtl/>
              </w:rPr>
              <w:t>3</w:t>
            </w:r>
          </w:p>
        </w:tc>
      </w:tr>
      <w:tr w:rsidR="00DB5BCC" w:rsidRPr="005034FE" w14:paraId="3B153B23" w14:textId="77777777" w:rsidTr="005E68A7">
        <w:trPr>
          <w:trHeight w:val="600"/>
        </w:trPr>
        <w:tc>
          <w:tcPr>
            <w:tcW w:w="855" w:type="dxa"/>
            <w:tcBorders>
              <w:top w:val="single" w:sz="4" w:space="0" w:color="auto"/>
              <w:bottom w:val="single" w:sz="4" w:space="0" w:color="auto"/>
            </w:tcBorders>
            <w:shd w:val="clear" w:color="auto" w:fill="auto"/>
            <w:noWrap/>
            <w:vAlign w:val="center"/>
          </w:tcPr>
          <w:p w14:paraId="1E6B130F"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auto"/>
            <w:noWrap/>
            <w:vAlign w:val="center"/>
          </w:tcPr>
          <w:p w14:paraId="0CC6E6F7"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auto"/>
            <w:vAlign w:val="center"/>
          </w:tcPr>
          <w:p w14:paraId="45975444"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תיק אזרחי בסדר דין מהיר</w:t>
            </w:r>
            <w:r w:rsidRPr="005034FE">
              <w:rPr>
                <w:rFonts w:ascii="David" w:hAnsi="David" w:cs="David" w:hint="cs"/>
                <w:color w:val="000000"/>
                <w:rtl/>
              </w:rPr>
              <w:t xml:space="preserve"> (תא"מ) </w:t>
            </w:r>
            <w:r w:rsidRPr="005034FE">
              <w:rPr>
                <w:rFonts w:ascii="David" w:hAnsi="David" w:cs="David"/>
                <w:color w:val="000000"/>
                <w:rtl/>
              </w:rPr>
              <w:t xml:space="preserve">-נזקי רכוש רכב: </w:t>
            </w:r>
            <w:r w:rsidRPr="005034FE">
              <w:rPr>
                <w:rFonts w:ascii="David" w:hAnsi="David" w:cs="David"/>
                <w:b/>
                <w:bCs/>
                <w:color w:val="000000"/>
                <w:rtl/>
              </w:rPr>
              <w:t>לא</w:t>
            </w:r>
          </w:p>
        </w:tc>
        <w:tc>
          <w:tcPr>
            <w:tcW w:w="1559" w:type="dxa"/>
            <w:tcBorders>
              <w:top w:val="single" w:sz="4" w:space="0" w:color="auto"/>
              <w:bottom w:val="single" w:sz="4" w:space="0" w:color="auto"/>
            </w:tcBorders>
            <w:vAlign w:val="center"/>
          </w:tcPr>
          <w:p w14:paraId="598899EE" w14:textId="77777777" w:rsidR="00DB5BCC" w:rsidRPr="005034FE" w:rsidRDefault="00DB5BCC" w:rsidP="00DB5BCC">
            <w:pPr>
              <w:bidi w:val="0"/>
              <w:spacing w:after="0" w:line="240" w:lineRule="auto"/>
              <w:jc w:val="center"/>
              <w:rPr>
                <w:rFonts w:ascii="David" w:hAnsi="David" w:cs="David"/>
                <w:color w:val="3F3F3F"/>
              </w:rPr>
            </w:pPr>
            <w:r w:rsidRPr="005034FE">
              <w:rPr>
                <w:rFonts w:ascii="David" w:hAnsi="David" w:cs="David"/>
                <w:color w:val="3F3F3F"/>
              </w:rPr>
              <w:t>36,937</w:t>
            </w:r>
          </w:p>
        </w:tc>
        <w:tc>
          <w:tcPr>
            <w:tcW w:w="1559" w:type="dxa"/>
            <w:tcBorders>
              <w:top w:val="single" w:sz="4" w:space="0" w:color="auto"/>
              <w:bottom w:val="single" w:sz="4" w:space="0" w:color="auto"/>
            </w:tcBorders>
            <w:shd w:val="clear" w:color="auto" w:fill="auto"/>
            <w:noWrap/>
            <w:vAlign w:val="center"/>
          </w:tcPr>
          <w:p w14:paraId="68862882" w14:textId="77777777" w:rsidR="00DB5BCC" w:rsidRPr="005034FE" w:rsidRDefault="00DB5BCC" w:rsidP="00DB5BCC">
            <w:pPr>
              <w:spacing w:after="0" w:line="240" w:lineRule="auto"/>
              <w:jc w:val="center"/>
              <w:rPr>
                <w:rFonts w:ascii="David" w:hAnsi="David" w:cs="David"/>
                <w:b/>
                <w:bCs/>
                <w:color w:val="000000"/>
              </w:rPr>
            </w:pPr>
            <w:r w:rsidRPr="005034FE">
              <w:rPr>
                <w:rFonts w:ascii="David" w:hAnsi="David" w:cs="David"/>
                <w:b/>
                <w:bCs/>
                <w:color w:val="000000"/>
              </w:rPr>
              <w:t>2:10</w:t>
            </w:r>
          </w:p>
        </w:tc>
        <w:tc>
          <w:tcPr>
            <w:tcW w:w="852" w:type="dxa"/>
            <w:tcBorders>
              <w:top w:val="single" w:sz="4" w:space="0" w:color="auto"/>
              <w:bottom w:val="single" w:sz="4" w:space="0" w:color="auto"/>
            </w:tcBorders>
            <w:shd w:val="clear" w:color="auto" w:fill="auto"/>
            <w:vAlign w:val="center"/>
          </w:tcPr>
          <w:p w14:paraId="7DCCF663" w14:textId="77777777" w:rsidR="00DB5BCC" w:rsidRPr="005034FE" w:rsidRDefault="00DB5BCC" w:rsidP="00DB5BCC">
            <w:pPr>
              <w:spacing w:after="0" w:line="240" w:lineRule="auto"/>
              <w:jc w:val="center"/>
              <w:rPr>
                <w:rFonts w:ascii="David" w:hAnsi="David" w:cs="David"/>
                <w:color w:val="000000"/>
              </w:rPr>
            </w:pPr>
            <w:r w:rsidRPr="005034FE">
              <w:rPr>
                <w:rFonts w:ascii="David" w:hAnsi="David" w:cs="David" w:hint="cs"/>
                <w:color w:val="000000"/>
                <w:rtl/>
              </w:rPr>
              <w:t>2</w:t>
            </w:r>
          </w:p>
        </w:tc>
      </w:tr>
      <w:tr w:rsidR="00DB5BCC" w:rsidRPr="005034FE" w14:paraId="7AFB6BA6" w14:textId="77777777" w:rsidTr="005E68A7">
        <w:trPr>
          <w:trHeight w:val="600"/>
        </w:trPr>
        <w:tc>
          <w:tcPr>
            <w:tcW w:w="855" w:type="dxa"/>
            <w:tcBorders>
              <w:top w:val="single" w:sz="4" w:space="0" w:color="auto"/>
              <w:bottom w:val="single" w:sz="4" w:space="0" w:color="auto"/>
            </w:tcBorders>
            <w:shd w:val="clear" w:color="auto" w:fill="D9D9D9"/>
            <w:noWrap/>
            <w:vAlign w:val="center"/>
          </w:tcPr>
          <w:p w14:paraId="388A7B44"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D9D9D9"/>
            <w:noWrap/>
            <w:vAlign w:val="center"/>
          </w:tcPr>
          <w:p w14:paraId="33A7B978"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D9D9D9"/>
            <w:vAlign w:val="center"/>
          </w:tcPr>
          <w:p w14:paraId="4482FB4C"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המרצת פתיחה בוררות (הפ"ב)</w:t>
            </w:r>
          </w:p>
        </w:tc>
        <w:tc>
          <w:tcPr>
            <w:tcW w:w="1559" w:type="dxa"/>
            <w:tcBorders>
              <w:top w:val="single" w:sz="4" w:space="0" w:color="auto"/>
              <w:bottom w:val="single" w:sz="4" w:space="0" w:color="auto"/>
            </w:tcBorders>
            <w:shd w:val="clear" w:color="auto" w:fill="D9D9D9"/>
            <w:vAlign w:val="center"/>
          </w:tcPr>
          <w:p w14:paraId="6FEF701E" w14:textId="77777777" w:rsidR="00DB5BCC" w:rsidRPr="005034FE" w:rsidRDefault="00DB5BCC" w:rsidP="00DB5BCC">
            <w:pPr>
              <w:bidi w:val="0"/>
              <w:spacing w:after="0" w:line="240" w:lineRule="auto"/>
              <w:jc w:val="center"/>
              <w:rPr>
                <w:rFonts w:ascii="David" w:hAnsi="David" w:cs="David"/>
                <w:color w:val="3F3F3F"/>
              </w:rPr>
            </w:pPr>
            <w:r w:rsidRPr="005034FE">
              <w:rPr>
                <w:rFonts w:ascii="David" w:hAnsi="David" w:cs="David"/>
                <w:color w:val="3F3F3F"/>
              </w:rPr>
              <w:t>421</w:t>
            </w:r>
          </w:p>
        </w:tc>
        <w:tc>
          <w:tcPr>
            <w:tcW w:w="1559" w:type="dxa"/>
            <w:tcBorders>
              <w:top w:val="single" w:sz="4" w:space="0" w:color="auto"/>
              <w:bottom w:val="single" w:sz="4" w:space="0" w:color="auto"/>
            </w:tcBorders>
            <w:shd w:val="clear" w:color="auto" w:fill="D9D9D9"/>
            <w:noWrap/>
            <w:vAlign w:val="center"/>
          </w:tcPr>
          <w:p w14:paraId="4FAD231D" w14:textId="77777777" w:rsidR="00DB5BCC" w:rsidRPr="005034FE" w:rsidRDefault="00DB5BCC" w:rsidP="00DB5BCC">
            <w:pPr>
              <w:spacing w:after="0" w:line="240" w:lineRule="auto"/>
              <w:jc w:val="center"/>
              <w:rPr>
                <w:rFonts w:ascii="David" w:hAnsi="David" w:cs="David"/>
                <w:b/>
                <w:bCs/>
                <w:color w:val="000000"/>
              </w:rPr>
            </w:pPr>
            <w:r w:rsidRPr="005034FE">
              <w:rPr>
                <w:rFonts w:ascii="David" w:hAnsi="David" w:cs="David"/>
                <w:b/>
                <w:bCs/>
                <w:color w:val="000000"/>
              </w:rPr>
              <w:t>2:06</w:t>
            </w:r>
          </w:p>
        </w:tc>
        <w:tc>
          <w:tcPr>
            <w:tcW w:w="852" w:type="dxa"/>
            <w:tcBorders>
              <w:top w:val="single" w:sz="4" w:space="0" w:color="auto"/>
              <w:bottom w:val="single" w:sz="4" w:space="0" w:color="auto"/>
            </w:tcBorders>
            <w:shd w:val="clear" w:color="auto" w:fill="D9D9D9"/>
            <w:vAlign w:val="center"/>
          </w:tcPr>
          <w:p w14:paraId="4028DEE2" w14:textId="77777777" w:rsidR="00DB5BCC" w:rsidRPr="005034FE" w:rsidRDefault="00DB5BCC" w:rsidP="00DB5BCC">
            <w:pPr>
              <w:spacing w:after="0" w:line="240" w:lineRule="auto"/>
              <w:jc w:val="center"/>
              <w:rPr>
                <w:rFonts w:ascii="David" w:hAnsi="David" w:cs="David"/>
                <w:color w:val="000000"/>
              </w:rPr>
            </w:pPr>
            <w:r w:rsidRPr="005034FE">
              <w:rPr>
                <w:rFonts w:ascii="David" w:hAnsi="David" w:cs="David" w:hint="cs"/>
                <w:color w:val="000000"/>
                <w:rtl/>
              </w:rPr>
              <w:t>2</w:t>
            </w:r>
          </w:p>
        </w:tc>
      </w:tr>
      <w:tr w:rsidR="00DB5BCC" w:rsidRPr="005034FE" w14:paraId="04A72103" w14:textId="77777777" w:rsidTr="005E68A7">
        <w:trPr>
          <w:trHeight w:val="600"/>
        </w:trPr>
        <w:tc>
          <w:tcPr>
            <w:tcW w:w="855" w:type="dxa"/>
            <w:tcBorders>
              <w:top w:val="single" w:sz="4" w:space="0" w:color="auto"/>
              <w:bottom w:val="single" w:sz="4" w:space="0" w:color="auto"/>
            </w:tcBorders>
            <w:shd w:val="clear" w:color="auto" w:fill="auto"/>
            <w:noWrap/>
            <w:vAlign w:val="center"/>
          </w:tcPr>
          <w:p w14:paraId="1A5DC08F" w14:textId="77777777" w:rsidR="00DB5BCC" w:rsidRPr="005034FE" w:rsidRDefault="00DB5BCC" w:rsidP="00DB5BCC">
            <w:pPr>
              <w:spacing w:after="0" w:line="240" w:lineRule="auto"/>
              <w:rPr>
                <w:rFonts w:ascii="David" w:hAnsi="David" w:cs="David"/>
                <w:color w:val="000000"/>
                <w:rtl/>
              </w:rPr>
            </w:pPr>
            <w:r w:rsidRPr="005034FE">
              <w:rPr>
                <w:rFonts w:ascii="David" w:hAnsi="David" w:cs="David" w:hint="cs"/>
                <w:color w:val="000000"/>
                <w:rtl/>
              </w:rPr>
              <w:t>שלום</w:t>
            </w:r>
          </w:p>
        </w:tc>
        <w:tc>
          <w:tcPr>
            <w:tcW w:w="1134" w:type="dxa"/>
            <w:tcBorders>
              <w:top w:val="single" w:sz="4" w:space="0" w:color="auto"/>
              <w:bottom w:val="single" w:sz="4" w:space="0" w:color="auto"/>
            </w:tcBorders>
            <w:shd w:val="clear" w:color="auto" w:fill="auto"/>
            <w:noWrap/>
            <w:vAlign w:val="center"/>
          </w:tcPr>
          <w:p w14:paraId="19B0EE2A" w14:textId="77777777" w:rsidR="00DB5BCC" w:rsidRPr="005034FE" w:rsidRDefault="00DB5BCC" w:rsidP="00DB5BCC">
            <w:pPr>
              <w:spacing w:after="0" w:line="240" w:lineRule="auto"/>
              <w:rPr>
                <w:rFonts w:ascii="David" w:hAnsi="David" w:cs="David"/>
                <w:color w:val="000000"/>
                <w:rtl/>
              </w:rPr>
            </w:pPr>
            <w:r w:rsidRPr="005034FE">
              <w:rPr>
                <w:rFonts w:ascii="David" w:hAnsi="David" w:cs="David" w:hint="cs"/>
                <w:color w:val="000000"/>
                <w:rtl/>
              </w:rPr>
              <w:t>אזרחי</w:t>
            </w:r>
          </w:p>
        </w:tc>
        <w:tc>
          <w:tcPr>
            <w:tcW w:w="3258" w:type="dxa"/>
            <w:tcBorders>
              <w:top w:val="single" w:sz="4" w:space="0" w:color="auto"/>
              <w:bottom w:val="single" w:sz="4" w:space="0" w:color="auto"/>
            </w:tcBorders>
            <w:shd w:val="clear" w:color="auto" w:fill="auto"/>
            <w:vAlign w:val="center"/>
          </w:tcPr>
          <w:p w14:paraId="33AD8E49"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תיק אזרחי בסדר דין מהיר</w:t>
            </w:r>
            <w:r w:rsidRPr="005034FE">
              <w:rPr>
                <w:rFonts w:ascii="David" w:hAnsi="David" w:cs="David" w:hint="cs"/>
                <w:color w:val="000000"/>
                <w:rtl/>
              </w:rPr>
              <w:t xml:space="preserve"> (תא"מ) - </w:t>
            </w:r>
            <w:r w:rsidRPr="005034FE">
              <w:rPr>
                <w:rFonts w:ascii="David" w:hAnsi="David" w:cs="David" w:hint="cs"/>
                <w:b/>
                <w:bCs/>
                <w:color w:val="000000"/>
                <w:rtl/>
              </w:rPr>
              <w:t>משוקלל</w:t>
            </w:r>
          </w:p>
        </w:tc>
        <w:tc>
          <w:tcPr>
            <w:tcW w:w="1559" w:type="dxa"/>
            <w:tcBorders>
              <w:top w:val="single" w:sz="4" w:space="0" w:color="auto"/>
              <w:bottom w:val="single" w:sz="4" w:space="0" w:color="auto"/>
            </w:tcBorders>
            <w:vAlign w:val="center"/>
          </w:tcPr>
          <w:p w14:paraId="243855DF" w14:textId="77777777" w:rsidR="00DB5BCC" w:rsidRPr="005034FE" w:rsidRDefault="00DB5BCC" w:rsidP="00DB5BCC">
            <w:pPr>
              <w:bidi w:val="0"/>
              <w:spacing w:after="0" w:line="240" w:lineRule="auto"/>
              <w:jc w:val="center"/>
              <w:rPr>
                <w:rFonts w:ascii="David" w:hAnsi="David" w:cs="David"/>
                <w:color w:val="3F3F3F"/>
              </w:rPr>
            </w:pPr>
            <w:r w:rsidRPr="005034FE">
              <w:rPr>
                <w:rFonts w:ascii="David" w:hAnsi="David" w:cs="David"/>
                <w:color w:val="3F3F3F"/>
              </w:rPr>
              <w:t>84,454</w:t>
            </w:r>
          </w:p>
        </w:tc>
        <w:tc>
          <w:tcPr>
            <w:tcW w:w="1559" w:type="dxa"/>
            <w:tcBorders>
              <w:top w:val="single" w:sz="4" w:space="0" w:color="auto"/>
              <w:bottom w:val="single" w:sz="4" w:space="0" w:color="auto"/>
            </w:tcBorders>
            <w:shd w:val="clear" w:color="auto" w:fill="auto"/>
            <w:noWrap/>
            <w:vAlign w:val="center"/>
          </w:tcPr>
          <w:p w14:paraId="20430D34" w14:textId="77777777" w:rsidR="00DB5BCC" w:rsidRPr="005034FE" w:rsidRDefault="00DB5BCC" w:rsidP="00DB5BCC">
            <w:pPr>
              <w:spacing w:after="0" w:line="240" w:lineRule="auto"/>
              <w:jc w:val="center"/>
              <w:rPr>
                <w:rFonts w:ascii="David" w:hAnsi="David" w:cs="David"/>
                <w:b/>
                <w:bCs/>
                <w:color w:val="000000"/>
              </w:rPr>
            </w:pPr>
            <w:r w:rsidRPr="005034FE">
              <w:rPr>
                <w:rFonts w:ascii="David" w:hAnsi="David" w:cs="David"/>
                <w:b/>
                <w:bCs/>
                <w:color w:val="000000"/>
              </w:rPr>
              <w:t>1:29</w:t>
            </w:r>
          </w:p>
        </w:tc>
        <w:tc>
          <w:tcPr>
            <w:tcW w:w="852" w:type="dxa"/>
            <w:tcBorders>
              <w:top w:val="single" w:sz="4" w:space="0" w:color="auto"/>
              <w:bottom w:val="single" w:sz="4" w:space="0" w:color="auto"/>
            </w:tcBorders>
            <w:shd w:val="clear" w:color="auto" w:fill="auto"/>
            <w:vAlign w:val="center"/>
          </w:tcPr>
          <w:p w14:paraId="475E386A" w14:textId="77777777" w:rsidR="00DB5BCC" w:rsidRPr="005034FE" w:rsidRDefault="00DB5BCC" w:rsidP="00DB5BCC">
            <w:pPr>
              <w:spacing w:after="0" w:line="240" w:lineRule="auto"/>
              <w:jc w:val="center"/>
              <w:rPr>
                <w:rFonts w:ascii="David" w:hAnsi="David" w:cs="David"/>
                <w:color w:val="000000"/>
              </w:rPr>
            </w:pPr>
            <w:r w:rsidRPr="005034FE">
              <w:rPr>
                <w:rFonts w:ascii="David" w:hAnsi="David" w:cs="David" w:hint="cs"/>
                <w:color w:val="000000"/>
                <w:rtl/>
              </w:rPr>
              <w:t>2</w:t>
            </w:r>
          </w:p>
        </w:tc>
      </w:tr>
      <w:tr w:rsidR="00DB5BCC" w:rsidRPr="005034FE" w14:paraId="45C577B6" w14:textId="77777777" w:rsidTr="005E68A7">
        <w:trPr>
          <w:trHeight w:val="600"/>
        </w:trPr>
        <w:tc>
          <w:tcPr>
            <w:tcW w:w="855" w:type="dxa"/>
            <w:tcBorders>
              <w:top w:val="single" w:sz="4" w:space="0" w:color="auto"/>
              <w:bottom w:val="single" w:sz="4" w:space="0" w:color="auto"/>
            </w:tcBorders>
            <w:shd w:val="clear" w:color="auto" w:fill="D9D9D9"/>
            <w:noWrap/>
            <w:vAlign w:val="center"/>
          </w:tcPr>
          <w:p w14:paraId="1AAA3627"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D9D9D9"/>
            <w:noWrap/>
            <w:vAlign w:val="center"/>
          </w:tcPr>
          <w:p w14:paraId="0EEC2347"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D9D9D9"/>
            <w:vAlign w:val="center"/>
          </w:tcPr>
          <w:p w14:paraId="14121B9C"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התנגדות לביצוע שטר (ת"ט)</w:t>
            </w:r>
          </w:p>
        </w:tc>
        <w:tc>
          <w:tcPr>
            <w:tcW w:w="1559" w:type="dxa"/>
            <w:tcBorders>
              <w:top w:val="single" w:sz="4" w:space="0" w:color="auto"/>
              <w:bottom w:val="single" w:sz="4" w:space="0" w:color="auto"/>
            </w:tcBorders>
            <w:shd w:val="clear" w:color="auto" w:fill="D9D9D9"/>
            <w:vAlign w:val="center"/>
          </w:tcPr>
          <w:p w14:paraId="15B9E7B9" w14:textId="77777777" w:rsidR="00DB5BCC" w:rsidRPr="005034FE" w:rsidRDefault="00DB5BCC" w:rsidP="00DB5BCC">
            <w:pPr>
              <w:bidi w:val="0"/>
              <w:spacing w:after="0" w:line="240" w:lineRule="auto"/>
              <w:jc w:val="center"/>
              <w:rPr>
                <w:rFonts w:ascii="David" w:hAnsi="David" w:cs="David"/>
                <w:color w:val="3F3F3F"/>
              </w:rPr>
            </w:pPr>
            <w:r w:rsidRPr="005034FE">
              <w:rPr>
                <w:rFonts w:ascii="David" w:hAnsi="David" w:cs="David"/>
                <w:color w:val="000000"/>
              </w:rPr>
              <w:t>5,001</w:t>
            </w:r>
          </w:p>
        </w:tc>
        <w:tc>
          <w:tcPr>
            <w:tcW w:w="1559" w:type="dxa"/>
            <w:tcBorders>
              <w:top w:val="single" w:sz="4" w:space="0" w:color="auto"/>
              <w:bottom w:val="single" w:sz="4" w:space="0" w:color="auto"/>
            </w:tcBorders>
            <w:shd w:val="clear" w:color="auto" w:fill="D9D9D9"/>
            <w:noWrap/>
            <w:vAlign w:val="center"/>
          </w:tcPr>
          <w:p w14:paraId="17FB5297" w14:textId="77777777" w:rsidR="00DB5BCC" w:rsidRPr="005034FE" w:rsidRDefault="00DB5BCC" w:rsidP="00DB5BCC">
            <w:pPr>
              <w:spacing w:after="0" w:line="240" w:lineRule="auto"/>
              <w:jc w:val="center"/>
              <w:rPr>
                <w:rFonts w:ascii="David" w:hAnsi="David" w:cs="David"/>
                <w:b/>
                <w:bCs/>
                <w:color w:val="000000"/>
              </w:rPr>
            </w:pPr>
            <w:r w:rsidRPr="005034FE">
              <w:rPr>
                <w:rFonts w:ascii="David" w:hAnsi="David" w:cs="David" w:hint="cs"/>
                <w:b/>
                <w:bCs/>
                <w:color w:val="000000"/>
                <w:rtl/>
              </w:rPr>
              <w:t>1:21</w:t>
            </w:r>
          </w:p>
        </w:tc>
        <w:tc>
          <w:tcPr>
            <w:tcW w:w="852" w:type="dxa"/>
            <w:tcBorders>
              <w:top w:val="single" w:sz="4" w:space="0" w:color="auto"/>
              <w:bottom w:val="single" w:sz="4" w:space="0" w:color="auto"/>
            </w:tcBorders>
            <w:shd w:val="clear" w:color="auto" w:fill="D9D9D9"/>
            <w:vAlign w:val="center"/>
          </w:tcPr>
          <w:p w14:paraId="1F9C2F0B" w14:textId="77777777" w:rsidR="00DB5BCC" w:rsidRPr="005034FE" w:rsidRDefault="00DB5BCC" w:rsidP="00DB5BCC">
            <w:pPr>
              <w:spacing w:after="0" w:line="240" w:lineRule="auto"/>
              <w:jc w:val="center"/>
              <w:rPr>
                <w:rFonts w:ascii="David" w:hAnsi="David" w:cs="David"/>
                <w:color w:val="000000"/>
              </w:rPr>
            </w:pPr>
            <w:r w:rsidRPr="005034FE">
              <w:rPr>
                <w:rFonts w:ascii="David" w:hAnsi="David" w:cs="David" w:hint="cs"/>
                <w:color w:val="000000"/>
                <w:rtl/>
              </w:rPr>
              <w:t>1</w:t>
            </w:r>
          </w:p>
        </w:tc>
      </w:tr>
      <w:tr w:rsidR="00DB5BCC" w:rsidRPr="005034FE" w14:paraId="069126B1" w14:textId="77777777" w:rsidTr="005E68A7">
        <w:trPr>
          <w:trHeight w:val="600"/>
        </w:trPr>
        <w:tc>
          <w:tcPr>
            <w:tcW w:w="855" w:type="dxa"/>
            <w:tcBorders>
              <w:top w:val="single" w:sz="4" w:space="0" w:color="auto"/>
              <w:bottom w:val="single" w:sz="4" w:space="0" w:color="auto"/>
            </w:tcBorders>
            <w:shd w:val="clear" w:color="auto" w:fill="auto"/>
            <w:noWrap/>
            <w:vAlign w:val="center"/>
          </w:tcPr>
          <w:p w14:paraId="438E5C3B"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auto"/>
            <w:noWrap/>
            <w:vAlign w:val="center"/>
          </w:tcPr>
          <w:p w14:paraId="4775187A" w14:textId="77777777" w:rsidR="00DB5BCC" w:rsidRPr="005034FE" w:rsidRDefault="00DB5BCC" w:rsidP="00DB5BCC">
            <w:pPr>
              <w:spacing w:after="0" w:line="240" w:lineRule="auto"/>
              <w:rPr>
                <w:rFonts w:ascii="David" w:hAnsi="David" w:cs="David"/>
                <w:color w:val="000000"/>
                <w:rtl/>
              </w:rPr>
            </w:pPr>
            <w:r w:rsidRPr="005034FE">
              <w:rPr>
                <w:rFonts w:ascii="David" w:hAnsi="David" w:cs="David" w:hint="cs"/>
                <w:color w:val="000000"/>
                <w:rtl/>
              </w:rPr>
              <w:t>ועדת שחרורים</w:t>
            </w:r>
          </w:p>
        </w:tc>
        <w:tc>
          <w:tcPr>
            <w:tcW w:w="3258" w:type="dxa"/>
            <w:tcBorders>
              <w:top w:val="single" w:sz="4" w:space="0" w:color="auto"/>
              <w:bottom w:val="single" w:sz="4" w:space="0" w:color="auto"/>
            </w:tcBorders>
            <w:shd w:val="clear" w:color="auto" w:fill="auto"/>
            <w:vAlign w:val="center"/>
          </w:tcPr>
          <w:p w14:paraId="7238E060"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ועדת שחרורים (וש"ר)</w:t>
            </w:r>
          </w:p>
        </w:tc>
        <w:tc>
          <w:tcPr>
            <w:tcW w:w="1559" w:type="dxa"/>
            <w:tcBorders>
              <w:top w:val="single" w:sz="4" w:space="0" w:color="auto"/>
              <w:bottom w:val="single" w:sz="4" w:space="0" w:color="auto"/>
            </w:tcBorders>
            <w:vAlign w:val="center"/>
          </w:tcPr>
          <w:p w14:paraId="0B04BDD6" w14:textId="77777777" w:rsidR="00DB5BCC" w:rsidRPr="005034FE" w:rsidRDefault="00DB5BCC" w:rsidP="00DB5BCC">
            <w:pPr>
              <w:bidi w:val="0"/>
              <w:jc w:val="center"/>
              <w:rPr>
                <w:rFonts w:ascii="David" w:hAnsi="David" w:cs="David"/>
                <w:color w:val="000000"/>
              </w:rPr>
            </w:pPr>
            <w:r w:rsidRPr="005034FE">
              <w:rPr>
                <w:rFonts w:ascii="David" w:hAnsi="David" w:cs="David"/>
                <w:color w:val="3F3F3F"/>
              </w:rPr>
              <w:t>6,969</w:t>
            </w:r>
          </w:p>
        </w:tc>
        <w:tc>
          <w:tcPr>
            <w:tcW w:w="1559" w:type="dxa"/>
            <w:tcBorders>
              <w:top w:val="single" w:sz="4" w:space="0" w:color="auto"/>
              <w:bottom w:val="single" w:sz="4" w:space="0" w:color="auto"/>
            </w:tcBorders>
            <w:shd w:val="clear" w:color="auto" w:fill="auto"/>
            <w:noWrap/>
            <w:vAlign w:val="center"/>
          </w:tcPr>
          <w:p w14:paraId="4FF37111" w14:textId="77777777" w:rsidR="00DB5BCC" w:rsidRPr="005034FE" w:rsidRDefault="00DB5BCC" w:rsidP="00DB5BCC">
            <w:pPr>
              <w:spacing w:after="0" w:line="240" w:lineRule="auto"/>
              <w:jc w:val="center"/>
              <w:rPr>
                <w:rFonts w:ascii="David" w:hAnsi="David" w:cs="David"/>
                <w:b/>
                <w:bCs/>
                <w:color w:val="000000"/>
                <w:rtl/>
              </w:rPr>
            </w:pPr>
            <w:r w:rsidRPr="005034FE">
              <w:rPr>
                <w:rFonts w:ascii="David" w:hAnsi="David" w:cs="David"/>
                <w:b/>
                <w:bCs/>
                <w:color w:val="000000"/>
              </w:rPr>
              <w:t>1:20</w:t>
            </w:r>
          </w:p>
        </w:tc>
        <w:tc>
          <w:tcPr>
            <w:tcW w:w="852" w:type="dxa"/>
            <w:tcBorders>
              <w:top w:val="single" w:sz="4" w:space="0" w:color="auto"/>
              <w:bottom w:val="single" w:sz="4" w:space="0" w:color="auto"/>
            </w:tcBorders>
            <w:shd w:val="clear" w:color="auto" w:fill="auto"/>
            <w:vAlign w:val="center"/>
          </w:tcPr>
          <w:p w14:paraId="4945671A" w14:textId="77777777" w:rsidR="00DB5BCC" w:rsidRPr="005034FE" w:rsidRDefault="00DB5BCC" w:rsidP="00DB5BCC">
            <w:pPr>
              <w:spacing w:after="0" w:line="240" w:lineRule="auto"/>
              <w:jc w:val="center"/>
              <w:rPr>
                <w:rFonts w:ascii="David" w:hAnsi="David" w:cs="David"/>
                <w:color w:val="000000"/>
              </w:rPr>
            </w:pPr>
            <w:r w:rsidRPr="005034FE">
              <w:rPr>
                <w:rFonts w:ascii="David" w:hAnsi="David" w:cs="David" w:hint="cs"/>
                <w:color w:val="000000"/>
                <w:rtl/>
              </w:rPr>
              <w:t>1</w:t>
            </w:r>
          </w:p>
        </w:tc>
      </w:tr>
      <w:tr w:rsidR="00DB5BCC" w:rsidRPr="005034FE" w14:paraId="727A7FD3" w14:textId="77777777" w:rsidTr="005E68A7">
        <w:trPr>
          <w:trHeight w:val="600"/>
        </w:trPr>
        <w:tc>
          <w:tcPr>
            <w:tcW w:w="855" w:type="dxa"/>
            <w:tcBorders>
              <w:top w:val="single" w:sz="4" w:space="0" w:color="auto"/>
              <w:bottom w:val="single" w:sz="4" w:space="0" w:color="auto"/>
            </w:tcBorders>
            <w:shd w:val="clear" w:color="auto" w:fill="D9D9D9"/>
            <w:noWrap/>
            <w:vAlign w:val="center"/>
          </w:tcPr>
          <w:p w14:paraId="09860A67"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D9D9D9"/>
            <w:noWrap/>
            <w:vAlign w:val="center"/>
          </w:tcPr>
          <w:p w14:paraId="7649CA6F"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D9D9D9"/>
            <w:vAlign w:val="center"/>
          </w:tcPr>
          <w:p w14:paraId="07E80D4C"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תיק אזרחי בסדר דין מיוחד (תא"ח)</w:t>
            </w:r>
          </w:p>
        </w:tc>
        <w:tc>
          <w:tcPr>
            <w:tcW w:w="1559" w:type="dxa"/>
            <w:tcBorders>
              <w:top w:val="single" w:sz="4" w:space="0" w:color="auto"/>
              <w:bottom w:val="single" w:sz="4" w:space="0" w:color="auto"/>
            </w:tcBorders>
            <w:shd w:val="clear" w:color="auto" w:fill="D9D9D9"/>
            <w:vAlign w:val="center"/>
          </w:tcPr>
          <w:p w14:paraId="6C52D195" w14:textId="77777777" w:rsidR="00DB5BCC" w:rsidRPr="005034FE" w:rsidRDefault="00DB5BCC" w:rsidP="00DB5BCC">
            <w:pPr>
              <w:bidi w:val="0"/>
              <w:spacing w:after="0" w:line="240" w:lineRule="auto"/>
              <w:jc w:val="center"/>
              <w:rPr>
                <w:rFonts w:ascii="David" w:hAnsi="David" w:cs="David"/>
                <w:color w:val="3F3F3F"/>
              </w:rPr>
            </w:pPr>
            <w:r w:rsidRPr="005034FE">
              <w:rPr>
                <w:rFonts w:ascii="David" w:hAnsi="David" w:cs="David"/>
                <w:color w:val="3F3F3F"/>
              </w:rPr>
              <w:t>2,759</w:t>
            </w:r>
          </w:p>
        </w:tc>
        <w:tc>
          <w:tcPr>
            <w:tcW w:w="1559" w:type="dxa"/>
            <w:tcBorders>
              <w:top w:val="single" w:sz="4" w:space="0" w:color="auto"/>
              <w:bottom w:val="single" w:sz="4" w:space="0" w:color="auto"/>
            </w:tcBorders>
            <w:shd w:val="clear" w:color="auto" w:fill="D9D9D9"/>
            <w:noWrap/>
            <w:vAlign w:val="center"/>
          </w:tcPr>
          <w:p w14:paraId="403F2B14" w14:textId="77777777" w:rsidR="00DB5BCC" w:rsidRPr="005034FE" w:rsidRDefault="00DB5BCC" w:rsidP="00DB5BCC">
            <w:pPr>
              <w:spacing w:after="0" w:line="240" w:lineRule="auto"/>
              <w:jc w:val="center"/>
              <w:rPr>
                <w:rFonts w:ascii="David" w:hAnsi="David" w:cs="David"/>
                <w:b/>
                <w:bCs/>
                <w:color w:val="000000"/>
              </w:rPr>
            </w:pPr>
            <w:r w:rsidRPr="005034FE">
              <w:rPr>
                <w:rFonts w:ascii="David" w:hAnsi="David" w:cs="David"/>
                <w:b/>
                <w:bCs/>
                <w:color w:val="000000"/>
              </w:rPr>
              <w:t>1:19</w:t>
            </w:r>
          </w:p>
        </w:tc>
        <w:tc>
          <w:tcPr>
            <w:tcW w:w="852" w:type="dxa"/>
            <w:tcBorders>
              <w:top w:val="single" w:sz="4" w:space="0" w:color="auto"/>
              <w:bottom w:val="single" w:sz="4" w:space="0" w:color="auto"/>
            </w:tcBorders>
            <w:shd w:val="clear" w:color="auto" w:fill="D9D9D9"/>
            <w:vAlign w:val="center"/>
          </w:tcPr>
          <w:p w14:paraId="5264721C" w14:textId="77777777" w:rsidR="00DB5BCC" w:rsidRPr="005034FE" w:rsidRDefault="00DB5BCC" w:rsidP="00DB5BCC">
            <w:pPr>
              <w:spacing w:after="0" w:line="240" w:lineRule="auto"/>
              <w:jc w:val="center"/>
              <w:rPr>
                <w:rFonts w:ascii="David" w:hAnsi="David" w:cs="David"/>
                <w:color w:val="000000"/>
                <w:rtl/>
              </w:rPr>
            </w:pPr>
            <w:r w:rsidRPr="005034FE">
              <w:rPr>
                <w:rFonts w:ascii="David" w:hAnsi="David" w:cs="David"/>
                <w:color w:val="000000"/>
              </w:rPr>
              <w:t>1</w:t>
            </w:r>
          </w:p>
        </w:tc>
      </w:tr>
      <w:tr w:rsidR="00DB5BCC" w:rsidRPr="005034FE" w14:paraId="3652887C" w14:textId="77777777" w:rsidTr="005E68A7">
        <w:trPr>
          <w:trHeight w:val="600"/>
        </w:trPr>
        <w:tc>
          <w:tcPr>
            <w:tcW w:w="855" w:type="dxa"/>
            <w:tcBorders>
              <w:top w:val="single" w:sz="4" w:space="0" w:color="auto"/>
              <w:bottom w:val="single" w:sz="4" w:space="0" w:color="auto"/>
            </w:tcBorders>
            <w:shd w:val="clear" w:color="auto" w:fill="auto"/>
            <w:noWrap/>
            <w:vAlign w:val="center"/>
          </w:tcPr>
          <w:p w14:paraId="6086B1D1" w14:textId="77777777" w:rsidR="00DB5BCC" w:rsidRPr="005034FE" w:rsidRDefault="00DB5BCC" w:rsidP="00DB5BCC">
            <w:pPr>
              <w:spacing w:after="0" w:line="240" w:lineRule="auto"/>
              <w:rPr>
                <w:rFonts w:ascii="David" w:hAnsi="David" w:cs="David"/>
                <w:color w:val="000000"/>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auto"/>
            <w:noWrap/>
            <w:vAlign w:val="center"/>
          </w:tcPr>
          <w:p w14:paraId="2A609BFC"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auto"/>
            <w:vAlign w:val="center"/>
          </w:tcPr>
          <w:p w14:paraId="574CCC17"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בקשה לאישור עיקול (בע"ק)</w:t>
            </w:r>
          </w:p>
        </w:tc>
        <w:tc>
          <w:tcPr>
            <w:tcW w:w="1559" w:type="dxa"/>
            <w:tcBorders>
              <w:top w:val="single" w:sz="4" w:space="0" w:color="auto"/>
              <w:bottom w:val="single" w:sz="4" w:space="0" w:color="auto"/>
            </w:tcBorders>
            <w:vAlign w:val="center"/>
          </w:tcPr>
          <w:p w14:paraId="383E7B60" w14:textId="77777777" w:rsidR="00DB5BCC" w:rsidRPr="005034FE" w:rsidRDefault="00DB5BCC" w:rsidP="00DB5BCC">
            <w:pPr>
              <w:bidi w:val="0"/>
              <w:spacing w:after="0" w:line="240" w:lineRule="auto"/>
              <w:jc w:val="center"/>
              <w:rPr>
                <w:rFonts w:ascii="David" w:hAnsi="David" w:cs="David"/>
                <w:color w:val="3F3F3F"/>
              </w:rPr>
            </w:pPr>
            <w:r w:rsidRPr="005034FE">
              <w:rPr>
                <w:rFonts w:ascii="David" w:hAnsi="David" w:cs="David"/>
                <w:color w:val="3F3F3F"/>
              </w:rPr>
              <w:t>145</w:t>
            </w:r>
          </w:p>
        </w:tc>
        <w:tc>
          <w:tcPr>
            <w:tcW w:w="1559" w:type="dxa"/>
            <w:tcBorders>
              <w:top w:val="single" w:sz="4" w:space="0" w:color="auto"/>
              <w:bottom w:val="single" w:sz="4" w:space="0" w:color="auto"/>
            </w:tcBorders>
            <w:shd w:val="clear" w:color="auto" w:fill="auto"/>
            <w:noWrap/>
            <w:vAlign w:val="center"/>
          </w:tcPr>
          <w:p w14:paraId="500FF6BA" w14:textId="77777777" w:rsidR="00DB5BCC" w:rsidRPr="005034FE" w:rsidRDefault="00DB5BCC" w:rsidP="00DB5BCC">
            <w:pPr>
              <w:spacing w:after="0" w:line="240" w:lineRule="auto"/>
              <w:jc w:val="center"/>
              <w:rPr>
                <w:rFonts w:ascii="David" w:hAnsi="David" w:cs="David"/>
                <w:b/>
                <w:bCs/>
                <w:color w:val="000000"/>
              </w:rPr>
            </w:pPr>
            <w:r w:rsidRPr="005034FE">
              <w:rPr>
                <w:rFonts w:ascii="David" w:hAnsi="David" w:cs="David"/>
                <w:b/>
                <w:bCs/>
                <w:color w:val="000000"/>
              </w:rPr>
              <w:t>1:14</w:t>
            </w:r>
          </w:p>
        </w:tc>
        <w:tc>
          <w:tcPr>
            <w:tcW w:w="852" w:type="dxa"/>
            <w:tcBorders>
              <w:top w:val="single" w:sz="4" w:space="0" w:color="auto"/>
              <w:bottom w:val="single" w:sz="4" w:space="0" w:color="auto"/>
            </w:tcBorders>
            <w:shd w:val="clear" w:color="auto" w:fill="auto"/>
            <w:vAlign w:val="center"/>
          </w:tcPr>
          <w:p w14:paraId="0F792A25" w14:textId="77777777" w:rsidR="00DB5BCC" w:rsidRPr="005034FE" w:rsidRDefault="00DB5BCC" w:rsidP="00DB5BCC">
            <w:pPr>
              <w:spacing w:after="0" w:line="240" w:lineRule="auto"/>
              <w:jc w:val="center"/>
              <w:rPr>
                <w:rFonts w:ascii="David" w:hAnsi="David" w:cs="David"/>
                <w:color w:val="000000"/>
              </w:rPr>
            </w:pPr>
            <w:r w:rsidRPr="005034FE">
              <w:rPr>
                <w:rFonts w:ascii="David" w:hAnsi="David" w:cs="David" w:hint="cs"/>
                <w:color w:val="000000"/>
                <w:rtl/>
              </w:rPr>
              <w:t>1</w:t>
            </w:r>
          </w:p>
        </w:tc>
      </w:tr>
      <w:tr w:rsidR="00DB5BCC" w:rsidRPr="005034FE" w14:paraId="7A2C7EEA" w14:textId="77777777" w:rsidTr="005E68A7">
        <w:trPr>
          <w:trHeight w:val="600"/>
        </w:trPr>
        <w:tc>
          <w:tcPr>
            <w:tcW w:w="855" w:type="dxa"/>
            <w:tcBorders>
              <w:top w:val="single" w:sz="4" w:space="0" w:color="auto"/>
              <w:bottom w:val="single" w:sz="4" w:space="0" w:color="auto"/>
            </w:tcBorders>
            <w:shd w:val="clear" w:color="auto" w:fill="D9D9D9"/>
            <w:noWrap/>
            <w:vAlign w:val="center"/>
          </w:tcPr>
          <w:p w14:paraId="174ADBFC"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D9D9D9"/>
            <w:noWrap/>
            <w:vAlign w:val="center"/>
          </w:tcPr>
          <w:p w14:paraId="2DE60B58"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D9D9D9"/>
            <w:vAlign w:val="center"/>
          </w:tcPr>
          <w:p w14:paraId="6D4DFCAB"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בקשה לתשלום תכוף (בת"ת)</w:t>
            </w:r>
          </w:p>
        </w:tc>
        <w:tc>
          <w:tcPr>
            <w:tcW w:w="1559" w:type="dxa"/>
            <w:tcBorders>
              <w:top w:val="single" w:sz="4" w:space="0" w:color="auto"/>
              <w:bottom w:val="single" w:sz="4" w:space="0" w:color="auto"/>
            </w:tcBorders>
            <w:shd w:val="clear" w:color="auto" w:fill="D9D9D9"/>
            <w:vAlign w:val="center"/>
          </w:tcPr>
          <w:p w14:paraId="63E313D2" w14:textId="77777777" w:rsidR="00DB5BCC" w:rsidRPr="005034FE" w:rsidRDefault="00DB5BCC" w:rsidP="00DB5BCC">
            <w:pPr>
              <w:bidi w:val="0"/>
              <w:spacing w:after="0" w:line="240" w:lineRule="auto"/>
              <w:jc w:val="center"/>
              <w:rPr>
                <w:rFonts w:ascii="David" w:hAnsi="David" w:cs="David"/>
                <w:color w:val="3F3F3F"/>
              </w:rPr>
            </w:pPr>
            <w:r w:rsidRPr="005034FE">
              <w:rPr>
                <w:rFonts w:ascii="David" w:hAnsi="David" w:cs="David"/>
                <w:color w:val="3F3F3F"/>
              </w:rPr>
              <w:t>167</w:t>
            </w:r>
          </w:p>
        </w:tc>
        <w:tc>
          <w:tcPr>
            <w:tcW w:w="1559" w:type="dxa"/>
            <w:tcBorders>
              <w:top w:val="single" w:sz="4" w:space="0" w:color="auto"/>
              <w:bottom w:val="single" w:sz="4" w:space="0" w:color="auto"/>
            </w:tcBorders>
            <w:shd w:val="clear" w:color="auto" w:fill="D9D9D9"/>
            <w:noWrap/>
            <w:vAlign w:val="center"/>
          </w:tcPr>
          <w:p w14:paraId="197C481E" w14:textId="77777777" w:rsidR="00DB5BCC" w:rsidRPr="005034FE" w:rsidRDefault="00DB5BCC" w:rsidP="00DB5BCC">
            <w:pPr>
              <w:spacing w:after="0" w:line="240" w:lineRule="auto"/>
              <w:jc w:val="center"/>
              <w:rPr>
                <w:rFonts w:ascii="David" w:hAnsi="David" w:cs="David"/>
                <w:b/>
                <w:bCs/>
                <w:color w:val="000000"/>
              </w:rPr>
            </w:pPr>
            <w:r w:rsidRPr="005034FE">
              <w:rPr>
                <w:rFonts w:ascii="David" w:hAnsi="David" w:cs="David"/>
                <w:b/>
                <w:bCs/>
                <w:color w:val="000000"/>
              </w:rPr>
              <w:t>1:05</w:t>
            </w:r>
          </w:p>
        </w:tc>
        <w:tc>
          <w:tcPr>
            <w:tcW w:w="852" w:type="dxa"/>
            <w:tcBorders>
              <w:top w:val="single" w:sz="4" w:space="0" w:color="auto"/>
              <w:bottom w:val="single" w:sz="4" w:space="0" w:color="auto"/>
            </w:tcBorders>
            <w:shd w:val="clear" w:color="auto" w:fill="D9D9D9"/>
            <w:vAlign w:val="center"/>
          </w:tcPr>
          <w:p w14:paraId="4FE75ECB" w14:textId="77777777" w:rsidR="00DB5BCC" w:rsidRPr="005034FE" w:rsidRDefault="00DB5BCC" w:rsidP="00DB5BCC">
            <w:pPr>
              <w:spacing w:after="0" w:line="240" w:lineRule="auto"/>
              <w:jc w:val="center"/>
              <w:rPr>
                <w:rFonts w:ascii="David" w:hAnsi="David" w:cs="David"/>
                <w:color w:val="000000"/>
              </w:rPr>
            </w:pPr>
            <w:r w:rsidRPr="005034FE">
              <w:rPr>
                <w:rFonts w:ascii="David" w:hAnsi="David" w:cs="David" w:hint="cs"/>
                <w:color w:val="000000"/>
                <w:rtl/>
              </w:rPr>
              <w:t>1</w:t>
            </w:r>
          </w:p>
        </w:tc>
      </w:tr>
      <w:tr w:rsidR="00DB5BCC" w:rsidRPr="005034FE" w14:paraId="79DAFAC2" w14:textId="77777777" w:rsidTr="005E68A7">
        <w:trPr>
          <w:trHeight w:val="600"/>
        </w:trPr>
        <w:tc>
          <w:tcPr>
            <w:tcW w:w="855" w:type="dxa"/>
            <w:tcBorders>
              <w:top w:val="single" w:sz="4" w:space="0" w:color="auto"/>
              <w:bottom w:val="single" w:sz="4" w:space="0" w:color="auto"/>
            </w:tcBorders>
            <w:shd w:val="clear" w:color="auto" w:fill="auto"/>
            <w:noWrap/>
            <w:vAlign w:val="center"/>
          </w:tcPr>
          <w:p w14:paraId="180DC9CD"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auto"/>
            <w:noWrap/>
            <w:vAlign w:val="center"/>
          </w:tcPr>
          <w:p w14:paraId="64037B70"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תביעה קטנה</w:t>
            </w:r>
          </w:p>
        </w:tc>
        <w:tc>
          <w:tcPr>
            <w:tcW w:w="3258" w:type="dxa"/>
            <w:tcBorders>
              <w:top w:val="single" w:sz="4" w:space="0" w:color="auto"/>
              <w:bottom w:val="single" w:sz="4" w:space="0" w:color="auto"/>
            </w:tcBorders>
            <w:shd w:val="clear" w:color="auto" w:fill="auto"/>
            <w:vAlign w:val="center"/>
          </w:tcPr>
          <w:p w14:paraId="74A359D7"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תביעה קטנה (ת"ק)</w:t>
            </w:r>
          </w:p>
        </w:tc>
        <w:tc>
          <w:tcPr>
            <w:tcW w:w="1559" w:type="dxa"/>
            <w:tcBorders>
              <w:top w:val="single" w:sz="4" w:space="0" w:color="auto"/>
              <w:bottom w:val="single" w:sz="4" w:space="0" w:color="auto"/>
            </w:tcBorders>
            <w:vAlign w:val="center"/>
          </w:tcPr>
          <w:p w14:paraId="39BA8B5C" w14:textId="77777777" w:rsidR="00DB5BCC" w:rsidRPr="005034FE" w:rsidRDefault="00DB5BCC" w:rsidP="00DB5BCC">
            <w:pPr>
              <w:bidi w:val="0"/>
              <w:spacing w:after="0" w:line="240" w:lineRule="auto"/>
              <w:jc w:val="center"/>
              <w:rPr>
                <w:rFonts w:ascii="David" w:hAnsi="David" w:cs="David"/>
                <w:color w:val="3F3F3F"/>
              </w:rPr>
            </w:pPr>
            <w:r w:rsidRPr="005034FE">
              <w:rPr>
                <w:rFonts w:ascii="David" w:hAnsi="David" w:cs="David"/>
                <w:color w:val="3F3F3F"/>
              </w:rPr>
              <w:t>38,947</w:t>
            </w:r>
          </w:p>
        </w:tc>
        <w:tc>
          <w:tcPr>
            <w:tcW w:w="1559" w:type="dxa"/>
            <w:tcBorders>
              <w:top w:val="single" w:sz="4" w:space="0" w:color="auto"/>
              <w:bottom w:val="single" w:sz="4" w:space="0" w:color="auto"/>
            </w:tcBorders>
            <w:shd w:val="clear" w:color="auto" w:fill="auto"/>
            <w:noWrap/>
            <w:vAlign w:val="center"/>
          </w:tcPr>
          <w:p w14:paraId="448124CF" w14:textId="77777777" w:rsidR="00DB5BCC" w:rsidRPr="005034FE" w:rsidRDefault="00DB5BCC" w:rsidP="00DB5BCC">
            <w:pPr>
              <w:spacing w:after="0" w:line="240" w:lineRule="auto"/>
              <w:jc w:val="center"/>
              <w:rPr>
                <w:rFonts w:ascii="David" w:hAnsi="David" w:cs="David"/>
                <w:b/>
                <w:bCs/>
                <w:color w:val="000000"/>
              </w:rPr>
            </w:pPr>
            <w:r w:rsidRPr="005034FE">
              <w:rPr>
                <w:rFonts w:ascii="David" w:hAnsi="David" w:cs="David"/>
                <w:b/>
                <w:bCs/>
                <w:color w:val="000000"/>
              </w:rPr>
              <w:t>1:05</w:t>
            </w:r>
          </w:p>
        </w:tc>
        <w:tc>
          <w:tcPr>
            <w:tcW w:w="852" w:type="dxa"/>
            <w:tcBorders>
              <w:top w:val="single" w:sz="4" w:space="0" w:color="auto"/>
              <w:bottom w:val="single" w:sz="4" w:space="0" w:color="auto"/>
            </w:tcBorders>
            <w:shd w:val="clear" w:color="auto" w:fill="auto"/>
            <w:vAlign w:val="center"/>
          </w:tcPr>
          <w:p w14:paraId="296DF19E" w14:textId="77777777" w:rsidR="00DB5BCC" w:rsidRPr="005034FE" w:rsidRDefault="00DB5BCC" w:rsidP="00DB5BCC">
            <w:pPr>
              <w:spacing w:after="0" w:line="240" w:lineRule="auto"/>
              <w:jc w:val="center"/>
              <w:rPr>
                <w:rFonts w:ascii="David" w:hAnsi="David" w:cs="David"/>
                <w:color w:val="000000"/>
              </w:rPr>
            </w:pPr>
            <w:r w:rsidRPr="005034FE">
              <w:rPr>
                <w:rFonts w:ascii="David" w:hAnsi="David" w:cs="David" w:hint="cs"/>
                <w:color w:val="000000"/>
                <w:rtl/>
              </w:rPr>
              <w:t>1</w:t>
            </w:r>
          </w:p>
        </w:tc>
      </w:tr>
      <w:tr w:rsidR="00DB5BCC" w:rsidRPr="005034FE" w14:paraId="37A2855E" w14:textId="77777777" w:rsidTr="005E68A7">
        <w:trPr>
          <w:trHeight w:val="600"/>
        </w:trPr>
        <w:tc>
          <w:tcPr>
            <w:tcW w:w="855" w:type="dxa"/>
            <w:tcBorders>
              <w:top w:val="single" w:sz="4" w:space="0" w:color="auto"/>
              <w:bottom w:val="single" w:sz="4" w:space="0" w:color="auto"/>
            </w:tcBorders>
            <w:shd w:val="clear" w:color="auto" w:fill="D9D9D9"/>
            <w:noWrap/>
            <w:vAlign w:val="center"/>
          </w:tcPr>
          <w:p w14:paraId="60D2E5CD"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D9D9D9"/>
            <w:noWrap/>
            <w:vAlign w:val="center"/>
          </w:tcPr>
          <w:p w14:paraId="15C6D718"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D9D9D9"/>
            <w:vAlign w:val="center"/>
          </w:tcPr>
          <w:p w14:paraId="08368399"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 xml:space="preserve">הטרדה מאיימת וצו הגנה (ה"ט) </w:t>
            </w:r>
          </w:p>
        </w:tc>
        <w:tc>
          <w:tcPr>
            <w:tcW w:w="1559" w:type="dxa"/>
            <w:tcBorders>
              <w:top w:val="single" w:sz="4" w:space="0" w:color="auto"/>
              <w:bottom w:val="single" w:sz="4" w:space="0" w:color="auto"/>
            </w:tcBorders>
            <w:shd w:val="clear" w:color="auto" w:fill="D9D9D9"/>
            <w:vAlign w:val="center"/>
          </w:tcPr>
          <w:p w14:paraId="2E6329D3" w14:textId="77777777" w:rsidR="00DB5BCC" w:rsidRPr="005034FE" w:rsidRDefault="00DB5BCC" w:rsidP="00DB5BCC">
            <w:pPr>
              <w:bidi w:val="0"/>
              <w:spacing w:after="0" w:line="240" w:lineRule="auto"/>
              <w:jc w:val="center"/>
              <w:rPr>
                <w:rFonts w:ascii="David" w:hAnsi="David" w:cs="David"/>
                <w:color w:val="3F3F3F"/>
              </w:rPr>
            </w:pPr>
            <w:r w:rsidRPr="005034FE">
              <w:rPr>
                <w:rFonts w:ascii="David" w:hAnsi="David" w:cs="David"/>
                <w:color w:val="3F3F3F"/>
              </w:rPr>
              <w:t>7,558</w:t>
            </w:r>
          </w:p>
        </w:tc>
        <w:tc>
          <w:tcPr>
            <w:tcW w:w="1559" w:type="dxa"/>
            <w:tcBorders>
              <w:top w:val="single" w:sz="4" w:space="0" w:color="auto"/>
              <w:bottom w:val="single" w:sz="4" w:space="0" w:color="auto"/>
            </w:tcBorders>
            <w:shd w:val="clear" w:color="auto" w:fill="D9D9D9"/>
            <w:noWrap/>
            <w:vAlign w:val="center"/>
          </w:tcPr>
          <w:p w14:paraId="2D4841B2" w14:textId="77777777" w:rsidR="00DB5BCC" w:rsidRPr="005034FE" w:rsidRDefault="00DB5BCC" w:rsidP="00DB5BCC">
            <w:pPr>
              <w:spacing w:after="0" w:line="240" w:lineRule="auto"/>
              <w:jc w:val="center"/>
              <w:rPr>
                <w:rFonts w:ascii="David" w:hAnsi="David" w:cs="David"/>
                <w:b/>
                <w:bCs/>
                <w:color w:val="000000"/>
              </w:rPr>
            </w:pPr>
            <w:r w:rsidRPr="005034FE">
              <w:rPr>
                <w:rFonts w:ascii="David" w:hAnsi="David" w:cs="David"/>
                <w:b/>
                <w:bCs/>
                <w:color w:val="000000"/>
              </w:rPr>
              <w:t>0:58</w:t>
            </w:r>
          </w:p>
        </w:tc>
        <w:tc>
          <w:tcPr>
            <w:tcW w:w="852" w:type="dxa"/>
            <w:tcBorders>
              <w:top w:val="single" w:sz="4" w:space="0" w:color="auto"/>
              <w:bottom w:val="single" w:sz="4" w:space="0" w:color="auto"/>
            </w:tcBorders>
            <w:shd w:val="clear" w:color="auto" w:fill="D9D9D9"/>
            <w:vAlign w:val="center"/>
          </w:tcPr>
          <w:p w14:paraId="480D0C6D" w14:textId="77777777" w:rsidR="00DB5BCC" w:rsidRPr="005034FE" w:rsidRDefault="00DB5BCC" w:rsidP="00DB5BCC">
            <w:pPr>
              <w:spacing w:after="0" w:line="240" w:lineRule="auto"/>
              <w:jc w:val="center"/>
              <w:rPr>
                <w:rFonts w:ascii="David" w:hAnsi="David" w:cs="David"/>
                <w:color w:val="000000"/>
              </w:rPr>
            </w:pPr>
            <w:r w:rsidRPr="005034FE">
              <w:rPr>
                <w:rFonts w:ascii="David" w:hAnsi="David" w:cs="David" w:hint="cs"/>
                <w:color w:val="000000"/>
                <w:rtl/>
              </w:rPr>
              <w:t>1</w:t>
            </w:r>
          </w:p>
        </w:tc>
      </w:tr>
      <w:tr w:rsidR="00DB5BCC" w:rsidRPr="005034FE" w14:paraId="7B5A56B0" w14:textId="77777777" w:rsidTr="005E68A7">
        <w:trPr>
          <w:trHeight w:val="600"/>
        </w:trPr>
        <w:tc>
          <w:tcPr>
            <w:tcW w:w="855" w:type="dxa"/>
            <w:tcBorders>
              <w:top w:val="single" w:sz="4" w:space="0" w:color="auto"/>
              <w:bottom w:val="single" w:sz="4" w:space="0" w:color="auto"/>
            </w:tcBorders>
            <w:shd w:val="clear" w:color="auto" w:fill="auto"/>
            <w:noWrap/>
            <w:vAlign w:val="center"/>
          </w:tcPr>
          <w:p w14:paraId="70E343D5"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auto"/>
            <w:noWrap/>
            <w:vAlign w:val="center"/>
          </w:tcPr>
          <w:p w14:paraId="59AE36AB"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auto"/>
            <w:vAlign w:val="center"/>
          </w:tcPr>
          <w:p w14:paraId="0B74145E"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תיק אזרחי בסדר דין מהיר</w:t>
            </w:r>
            <w:r w:rsidRPr="005034FE">
              <w:rPr>
                <w:rFonts w:ascii="David" w:hAnsi="David" w:cs="David" w:hint="cs"/>
                <w:color w:val="000000"/>
                <w:rtl/>
              </w:rPr>
              <w:t xml:space="preserve"> (תא"מ) </w:t>
            </w:r>
            <w:r w:rsidRPr="005034FE">
              <w:rPr>
                <w:rFonts w:ascii="David" w:hAnsi="David" w:cs="David"/>
                <w:color w:val="000000"/>
                <w:rtl/>
              </w:rPr>
              <w:t xml:space="preserve">-נזקי רכוש רכב: </w:t>
            </w:r>
            <w:r w:rsidRPr="005034FE">
              <w:rPr>
                <w:rFonts w:ascii="David" w:hAnsi="David" w:cs="David"/>
                <w:b/>
                <w:bCs/>
                <w:color w:val="000000"/>
                <w:rtl/>
              </w:rPr>
              <w:t>כן</w:t>
            </w:r>
          </w:p>
        </w:tc>
        <w:tc>
          <w:tcPr>
            <w:tcW w:w="1559" w:type="dxa"/>
            <w:tcBorders>
              <w:top w:val="single" w:sz="4" w:space="0" w:color="auto"/>
              <w:bottom w:val="single" w:sz="4" w:space="0" w:color="auto"/>
            </w:tcBorders>
            <w:vAlign w:val="center"/>
          </w:tcPr>
          <w:p w14:paraId="7F3E103E" w14:textId="77777777" w:rsidR="00DB5BCC" w:rsidRPr="005034FE" w:rsidRDefault="00DB5BCC" w:rsidP="00DB5BCC">
            <w:pPr>
              <w:bidi w:val="0"/>
              <w:spacing w:after="0" w:line="240" w:lineRule="auto"/>
              <w:jc w:val="center"/>
              <w:rPr>
                <w:rFonts w:ascii="David" w:hAnsi="David" w:cs="David"/>
                <w:color w:val="3F3F3F"/>
              </w:rPr>
            </w:pPr>
            <w:r w:rsidRPr="005034FE">
              <w:rPr>
                <w:rFonts w:ascii="David" w:hAnsi="David" w:cs="David"/>
                <w:color w:val="3F3F3F"/>
              </w:rPr>
              <w:t>47,517</w:t>
            </w:r>
          </w:p>
        </w:tc>
        <w:tc>
          <w:tcPr>
            <w:tcW w:w="1559" w:type="dxa"/>
            <w:tcBorders>
              <w:top w:val="single" w:sz="4" w:space="0" w:color="auto"/>
              <w:bottom w:val="single" w:sz="4" w:space="0" w:color="auto"/>
            </w:tcBorders>
            <w:shd w:val="clear" w:color="auto" w:fill="auto"/>
            <w:noWrap/>
            <w:vAlign w:val="center"/>
          </w:tcPr>
          <w:p w14:paraId="0B022046" w14:textId="77777777" w:rsidR="00DB5BCC" w:rsidRPr="005034FE" w:rsidRDefault="00DB5BCC" w:rsidP="00DB5BCC">
            <w:pPr>
              <w:spacing w:after="0" w:line="240" w:lineRule="auto"/>
              <w:jc w:val="center"/>
              <w:rPr>
                <w:rFonts w:ascii="David" w:hAnsi="David" w:cs="David"/>
                <w:b/>
                <w:bCs/>
                <w:color w:val="000000"/>
              </w:rPr>
            </w:pPr>
            <w:r w:rsidRPr="005034FE">
              <w:rPr>
                <w:rFonts w:ascii="David" w:hAnsi="David" w:cs="David"/>
                <w:b/>
                <w:bCs/>
                <w:color w:val="000000"/>
              </w:rPr>
              <w:t>0:57</w:t>
            </w:r>
          </w:p>
        </w:tc>
        <w:tc>
          <w:tcPr>
            <w:tcW w:w="852" w:type="dxa"/>
            <w:tcBorders>
              <w:top w:val="single" w:sz="4" w:space="0" w:color="auto"/>
              <w:bottom w:val="single" w:sz="4" w:space="0" w:color="auto"/>
            </w:tcBorders>
            <w:shd w:val="clear" w:color="auto" w:fill="auto"/>
            <w:vAlign w:val="center"/>
          </w:tcPr>
          <w:p w14:paraId="6B9CD9BF" w14:textId="77777777" w:rsidR="00DB5BCC" w:rsidRPr="005034FE" w:rsidRDefault="00DB5BCC" w:rsidP="00DB5BCC">
            <w:pPr>
              <w:spacing w:after="0" w:line="240" w:lineRule="auto"/>
              <w:jc w:val="center"/>
              <w:rPr>
                <w:rFonts w:ascii="David" w:hAnsi="David" w:cs="David"/>
                <w:color w:val="000000"/>
              </w:rPr>
            </w:pPr>
            <w:r w:rsidRPr="005034FE">
              <w:rPr>
                <w:rFonts w:ascii="David" w:hAnsi="David" w:cs="David" w:hint="cs"/>
                <w:color w:val="000000"/>
                <w:rtl/>
              </w:rPr>
              <w:t>1</w:t>
            </w:r>
          </w:p>
        </w:tc>
      </w:tr>
      <w:tr w:rsidR="00DB5BCC" w:rsidRPr="005034FE" w14:paraId="16147F46" w14:textId="77777777" w:rsidTr="005E68A7">
        <w:trPr>
          <w:trHeight w:val="600"/>
        </w:trPr>
        <w:tc>
          <w:tcPr>
            <w:tcW w:w="855" w:type="dxa"/>
            <w:tcBorders>
              <w:top w:val="single" w:sz="4" w:space="0" w:color="auto"/>
              <w:bottom w:val="single" w:sz="4" w:space="0" w:color="auto"/>
            </w:tcBorders>
            <w:shd w:val="clear" w:color="auto" w:fill="D9D9D9"/>
            <w:noWrap/>
            <w:vAlign w:val="center"/>
          </w:tcPr>
          <w:p w14:paraId="53BCAA21"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D9D9D9"/>
            <w:noWrap/>
            <w:vAlign w:val="center"/>
          </w:tcPr>
          <w:p w14:paraId="07D78823"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D9D9D9"/>
            <w:vAlign w:val="center"/>
          </w:tcPr>
          <w:p w14:paraId="728E5983"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ביצוע תביעה בהוצאה לפועל (ת"ת)</w:t>
            </w:r>
          </w:p>
        </w:tc>
        <w:tc>
          <w:tcPr>
            <w:tcW w:w="1559" w:type="dxa"/>
            <w:tcBorders>
              <w:top w:val="single" w:sz="4" w:space="0" w:color="auto"/>
              <w:bottom w:val="single" w:sz="4" w:space="0" w:color="auto"/>
            </w:tcBorders>
            <w:shd w:val="clear" w:color="auto" w:fill="D9D9D9"/>
            <w:vAlign w:val="center"/>
          </w:tcPr>
          <w:p w14:paraId="5A0CFCA3" w14:textId="77777777" w:rsidR="00DB5BCC" w:rsidRPr="005034FE" w:rsidRDefault="00DB5BCC" w:rsidP="00DB5BCC">
            <w:pPr>
              <w:bidi w:val="0"/>
              <w:spacing w:after="0" w:line="240" w:lineRule="auto"/>
              <w:jc w:val="center"/>
              <w:rPr>
                <w:rFonts w:ascii="David" w:hAnsi="David" w:cs="David"/>
                <w:color w:val="3F3F3F"/>
              </w:rPr>
            </w:pPr>
            <w:r w:rsidRPr="005034FE">
              <w:rPr>
                <w:rFonts w:ascii="David" w:hAnsi="David" w:cs="David"/>
                <w:color w:val="3F3F3F"/>
              </w:rPr>
              <w:t>4,510</w:t>
            </w:r>
          </w:p>
        </w:tc>
        <w:tc>
          <w:tcPr>
            <w:tcW w:w="1559" w:type="dxa"/>
            <w:tcBorders>
              <w:top w:val="single" w:sz="4" w:space="0" w:color="auto"/>
              <w:bottom w:val="single" w:sz="4" w:space="0" w:color="auto"/>
            </w:tcBorders>
            <w:shd w:val="clear" w:color="auto" w:fill="D9D9D9"/>
            <w:noWrap/>
            <w:vAlign w:val="center"/>
          </w:tcPr>
          <w:p w14:paraId="3F44D168" w14:textId="77777777" w:rsidR="00DB5BCC" w:rsidRPr="005034FE" w:rsidRDefault="00DB5BCC" w:rsidP="00DB5BCC">
            <w:pPr>
              <w:spacing w:after="0" w:line="240" w:lineRule="auto"/>
              <w:jc w:val="center"/>
              <w:rPr>
                <w:rFonts w:ascii="David" w:hAnsi="David" w:cs="David"/>
                <w:b/>
                <w:bCs/>
                <w:color w:val="000000"/>
              </w:rPr>
            </w:pPr>
            <w:r w:rsidRPr="005034FE">
              <w:rPr>
                <w:rFonts w:ascii="David" w:hAnsi="David" w:cs="David"/>
                <w:b/>
                <w:bCs/>
                <w:color w:val="000000"/>
              </w:rPr>
              <w:t>0:55</w:t>
            </w:r>
          </w:p>
        </w:tc>
        <w:tc>
          <w:tcPr>
            <w:tcW w:w="852" w:type="dxa"/>
            <w:tcBorders>
              <w:top w:val="single" w:sz="4" w:space="0" w:color="auto"/>
              <w:bottom w:val="single" w:sz="4" w:space="0" w:color="auto"/>
            </w:tcBorders>
            <w:shd w:val="clear" w:color="auto" w:fill="D9D9D9"/>
            <w:vAlign w:val="center"/>
          </w:tcPr>
          <w:p w14:paraId="4E22549A" w14:textId="77777777" w:rsidR="00DB5BCC" w:rsidRPr="005034FE" w:rsidRDefault="00DB5BCC" w:rsidP="00DB5BCC">
            <w:pPr>
              <w:spacing w:after="0" w:line="240" w:lineRule="auto"/>
              <w:jc w:val="center"/>
              <w:rPr>
                <w:rFonts w:ascii="David" w:hAnsi="David" w:cs="David"/>
                <w:color w:val="000000"/>
              </w:rPr>
            </w:pPr>
            <w:r w:rsidRPr="005034FE">
              <w:rPr>
                <w:rFonts w:ascii="David" w:hAnsi="David" w:cs="David" w:hint="cs"/>
                <w:color w:val="000000"/>
                <w:rtl/>
              </w:rPr>
              <w:t>1</w:t>
            </w:r>
          </w:p>
        </w:tc>
      </w:tr>
      <w:tr w:rsidR="00DB5BCC" w:rsidRPr="005034FE" w14:paraId="5545DFCB" w14:textId="77777777" w:rsidTr="005E68A7">
        <w:trPr>
          <w:trHeight w:val="600"/>
        </w:trPr>
        <w:tc>
          <w:tcPr>
            <w:tcW w:w="855" w:type="dxa"/>
            <w:tcBorders>
              <w:top w:val="single" w:sz="4" w:space="0" w:color="auto"/>
              <w:bottom w:val="single" w:sz="4" w:space="0" w:color="auto"/>
            </w:tcBorders>
            <w:shd w:val="clear" w:color="auto" w:fill="auto"/>
            <w:noWrap/>
            <w:vAlign w:val="center"/>
          </w:tcPr>
          <w:p w14:paraId="2B63666A"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שלום</w:t>
            </w:r>
          </w:p>
        </w:tc>
        <w:tc>
          <w:tcPr>
            <w:tcW w:w="1134" w:type="dxa"/>
            <w:tcBorders>
              <w:top w:val="single" w:sz="4" w:space="0" w:color="auto"/>
              <w:bottom w:val="single" w:sz="4" w:space="0" w:color="auto"/>
            </w:tcBorders>
            <w:shd w:val="clear" w:color="auto" w:fill="auto"/>
            <w:noWrap/>
            <w:vAlign w:val="center"/>
          </w:tcPr>
          <w:p w14:paraId="1F5CBD03"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אזרחי</w:t>
            </w:r>
          </w:p>
        </w:tc>
        <w:tc>
          <w:tcPr>
            <w:tcW w:w="3258" w:type="dxa"/>
            <w:tcBorders>
              <w:top w:val="single" w:sz="4" w:space="0" w:color="auto"/>
              <w:bottom w:val="single" w:sz="4" w:space="0" w:color="auto"/>
            </w:tcBorders>
            <w:shd w:val="clear" w:color="auto" w:fill="auto"/>
            <w:vAlign w:val="center"/>
          </w:tcPr>
          <w:p w14:paraId="43CBE106" w14:textId="77777777" w:rsidR="00DB5BCC" w:rsidRPr="005034FE" w:rsidRDefault="00DB5BCC" w:rsidP="00DB5BCC">
            <w:pPr>
              <w:spacing w:after="0" w:line="240" w:lineRule="auto"/>
              <w:rPr>
                <w:rFonts w:ascii="David" w:hAnsi="David" w:cs="David"/>
                <w:color w:val="000000"/>
                <w:rtl/>
              </w:rPr>
            </w:pPr>
            <w:r w:rsidRPr="005034FE">
              <w:rPr>
                <w:rFonts w:ascii="David" w:hAnsi="David" w:cs="David"/>
                <w:color w:val="000000"/>
                <w:rtl/>
              </w:rPr>
              <w:t>תיק אזרחי בסדר דין מקוצר (תא"ק)</w:t>
            </w:r>
          </w:p>
        </w:tc>
        <w:tc>
          <w:tcPr>
            <w:tcW w:w="1559" w:type="dxa"/>
            <w:tcBorders>
              <w:top w:val="single" w:sz="4" w:space="0" w:color="auto"/>
              <w:bottom w:val="single" w:sz="4" w:space="0" w:color="auto"/>
            </w:tcBorders>
            <w:vAlign w:val="center"/>
          </w:tcPr>
          <w:p w14:paraId="7F848136" w14:textId="77777777" w:rsidR="00DB5BCC" w:rsidRPr="005034FE" w:rsidRDefault="00DB5BCC" w:rsidP="00DB5BCC">
            <w:pPr>
              <w:bidi w:val="0"/>
              <w:spacing w:after="0" w:line="240" w:lineRule="auto"/>
              <w:jc w:val="center"/>
              <w:rPr>
                <w:rFonts w:ascii="David" w:hAnsi="David" w:cs="David"/>
                <w:color w:val="3F3F3F"/>
              </w:rPr>
            </w:pPr>
            <w:r w:rsidRPr="005034FE">
              <w:rPr>
                <w:rFonts w:ascii="David" w:hAnsi="David" w:cs="David"/>
                <w:color w:val="3F3F3F"/>
              </w:rPr>
              <w:t>21,455</w:t>
            </w:r>
          </w:p>
        </w:tc>
        <w:tc>
          <w:tcPr>
            <w:tcW w:w="1559" w:type="dxa"/>
            <w:tcBorders>
              <w:top w:val="single" w:sz="4" w:space="0" w:color="auto"/>
              <w:bottom w:val="single" w:sz="4" w:space="0" w:color="auto"/>
            </w:tcBorders>
            <w:shd w:val="clear" w:color="auto" w:fill="auto"/>
            <w:noWrap/>
            <w:vAlign w:val="center"/>
          </w:tcPr>
          <w:p w14:paraId="195DF340" w14:textId="77777777" w:rsidR="00DB5BCC" w:rsidRPr="005034FE" w:rsidRDefault="00DB5BCC" w:rsidP="00DB5BCC">
            <w:pPr>
              <w:spacing w:after="0" w:line="240" w:lineRule="auto"/>
              <w:jc w:val="center"/>
              <w:rPr>
                <w:rFonts w:ascii="David" w:hAnsi="David" w:cs="David"/>
                <w:b/>
                <w:bCs/>
                <w:color w:val="000000"/>
              </w:rPr>
            </w:pPr>
            <w:r w:rsidRPr="005034FE">
              <w:rPr>
                <w:rFonts w:ascii="David" w:hAnsi="David" w:cs="David"/>
                <w:b/>
                <w:bCs/>
                <w:color w:val="000000"/>
              </w:rPr>
              <w:t>0:55</w:t>
            </w:r>
          </w:p>
        </w:tc>
        <w:tc>
          <w:tcPr>
            <w:tcW w:w="852" w:type="dxa"/>
            <w:tcBorders>
              <w:top w:val="single" w:sz="4" w:space="0" w:color="auto"/>
              <w:bottom w:val="single" w:sz="4" w:space="0" w:color="auto"/>
            </w:tcBorders>
            <w:shd w:val="clear" w:color="auto" w:fill="auto"/>
            <w:vAlign w:val="center"/>
          </w:tcPr>
          <w:p w14:paraId="444990D4" w14:textId="77777777" w:rsidR="00DB5BCC" w:rsidRPr="005034FE" w:rsidRDefault="00DB5BCC" w:rsidP="00DB5BCC">
            <w:pPr>
              <w:spacing w:after="0" w:line="240" w:lineRule="auto"/>
              <w:jc w:val="center"/>
              <w:rPr>
                <w:rFonts w:ascii="David" w:hAnsi="David" w:cs="David"/>
                <w:color w:val="000000"/>
              </w:rPr>
            </w:pPr>
            <w:r w:rsidRPr="005034FE">
              <w:rPr>
                <w:rFonts w:ascii="David" w:hAnsi="David" w:cs="David" w:hint="cs"/>
                <w:color w:val="000000"/>
                <w:rtl/>
              </w:rPr>
              <w:t>1</w:t>
            </w:r>
          </w:p>
        </w:tc>
      </w:tr>
    </w:tbl>
    <w:p w14:paraId="74A75339" w14:textId="77777777" w:rsidR="00DD0D4B" w:rsidRPr="00F25744" w:rsidRDefault="00E25AE7" w:rsidP="0043255F">
      <w:pPr>
        <w:pStyle w:val="3"/>
        <w:numPr>
          <w:ilvl w:val="0"/>
          <w:numId w:val="0"/>
        </w:numPr>
        <w:ind w:left="720"/>
        <w:rPr>
          <w:rtl/>
        </w:rPr>
      </w:pPr>
      <w:r w:rsidRPr="00F25744">
        <w:rPr>
          <w:rtl/>
        </w:rPr>
        <w:br w:type="page"/>
      </w:r>
      <w:bookmarkStart w:id="1015" w:name="_Toc46416713"/>
      <w:bookmarkStart w:id="1016" w:name="_Toc74751063"/>
      <w:r w:rsidRPr="00F25744">
        <w:rPr>
          <w:rFonts w:hint="cs"/>
          <w:rtl/>
        </w:rPr>
        <w:lastRenderedPageBreak/>
        <w:t>נספח ה5: ערכאת שלום עניינים מקומיים</w:t>
      </w:r>
      <w:bookmarkEnd w:id="1015"/>
      <w:bookmarkEnd w:id="1016"/>
    </w:p>
    <w:tbl>
      <w:tblPr>
        <w:tblpPr w:leftFromText="181" w:rightFromText="85" w:vertAnchor="text" w:tblpXSpec="right" w:tblpY="1"/>
        <w:tblOverlap w:val="never"/>
        <w:bidiVisual/>
        <w:tblW w:w="8923" w:type="dxa"/>
        <w:tblLayout w:type="fixed"/>
        <w:tblLook w:val="04A0" w:firstRow="1" w:lastRow="0" w:firstColumn="1" w:lastColumn="0" w:noHBand="0" w:noVBand="1"/>
      </w:tblPr>
      <w:tblGrid>
        <w:gridCol w:w="845"/>
        <w:gridCol w:w="1276"/>
        <w:gridCol w:w="2135"/>
        <w:gridCol w:w="1701"/>
        <w:gridCol w:w="1832"/>
        <w:gridCol w:w="1134"/>
      </w:tblGrid>
      <w:tr w:rsidR="00E0162E" w:rsidRPr="005034FE" w14:paraId="5D77C254" w14:textId="77777777" w:rsidTr="006F7B6E">
        <w:trPr>
          <w:trHeight w:val="939"/>
        </w:trPr>
        <w:tc>
          <w:tcPr>
            <w:tcW w:w="845" w:type="dxa"/>
            <w:tcBorders>
              <w:bottom w:val="single" w:sz="4" w:space="0" w:color="auto"/>
            </w:tcBorders>
            <w:shd w:val="clear" w:color="auto" w:fill="auto"/>
            <w:vAlign w:val="center"/>
            <w:hideMark/>
          </w:tcPr>
          <w:p w14:paraId="5230A1CD" w14:textId="77777777" w:rsidR="00DD0D4B" w:rsidRPr="005034FE" w:rsidRDefault="00E25AE7" w:rsidP="006F7B6E">
            <w:pPr>
              <w:spacing w:after="0" w:line="240" w:lineRule="auto"/>
              <w:jc w:val="center"/>
              <w:rPr>
                <w:rFonts w:ascii="David" w:eastAsia="Times New Roman" w:hAnsi="David" w:cs="David"/>
                <w:b/>
                <w:bCs/>
                <w:color w:val="000000"/>
              </w:rPr>
            </w:pPr>
            <w:r w:rsidRPr="005034FE">
              <w:rPr>
                <w:rFonts w:ascii="David" w:eastAsia="Times New Roman" w:hAnsi="David" w:cs="David"/>
                <w:b/>
                <w:bCs/>
                <w:color w:val="000000"/>
                <w:rtl/>
              </w:rPr>
              <w:t>ערכאה</w:t>
            </w:r>
          </w:p>
        </w:tc>
        <w:tc>
          <w:tcPr>
            <w:tcW w:w="1276" w:type="dxa"/>
            <w:tcBorders>
              <w:bottom w:val="single" w:sz="4" w:space="0" w:color="auto"/>
            </w:tcBorders>
            <w:shd w:val="clear" w:color="auto" w:fill="auto"/>
            <w:vAlign w:val="center"/>
            <w:hideMark/>
          </w:tcPr>
          <w:p w14:paraId="2EBC051F" w14:textId="77777777" w:rsidR="00DD0D4B" w:rsidRPr="005034FE" w:rsidRDefault="00E25AE7" w:rsidP="006F7B6E">
            <w:pPr>
              <w:spacing w:after="0" w:line="240" w:lineRule="auto"/>
              <w:jc w:val="center"/>
              <w:rPr>
                <w:rFonts w:ascii="David" w:eastAsia="Times New Roman" w:hAnsi="David" w:cs="David"/>
                <w:b/>
                <w:bCs/>
                <w:color w:val="000000"/>
                <w:rtl/>
              </w:rPr>
            </w:pPr>
            <w:r w:rsidRPr="005034FE">
              <w:rPr>
                <w:rFonts w:ascii="David" w:eastAsia="Times New Roman" w:hAnsi="David" w:cs="David"/>
                <w:b/>
                <w:bCs/>
                <w:color w:val="000000"/>
                <w:rtl/>
              </w:rPr>
              <w:t>הליך</w:t>
            </w:r>
          </w:p>
        </w:tc>
        <w:tc>
          <w:tcPr>
            <w:tcW w:w="2135" w:type="dxa"/>
            <w:tcBorders>
              <w:bottom w:val="single" w:sz="4" w:space="0" w:color="auto"/>
            </w:tcBorders>
            <w:shd w:val="clear" w:color="auto" w:fill="auto"/>
            <w:vAlign w:val="center"/>
            <w:hideMark/>
          </w:tcPr>
          <w:p w14:paraId="7E1D5352" w14:textId="77777777" w:rsidR="00DD0D4B" w:rsidRPr="005034FE" w:rsidRDefault="00E25AE7" w:rsidP="006F7B6E">
            <w:pPr>
              <w:spacing w:after="0" w:line="240" w:lineRule="auto"/>
              <w:jc w:val="center"/>
              <w:rPr>
                <w:rFonts w:ascii="David" w:eastAsia="Times New Roman" w:hAnsi="David" w:cs="David"/>
                <w:b/>
                <w:bCs/>
                <w:color w:val="000000"/>
                <w:rtl/>
              </w:rPr>
            </w:pPr>
            <w:r w:rsidRPr="005034FE">
              <w:rPr>
                <w:rFonts w:ascii="David" w:eastAsia="Times New Roman" w:hAnsi="David" w:cs="David"/>
                <w:b/>
                <w:bCs/>
                <w:color w:val="000000"/>
                <w:rtl/>
              </w:rPr>
              <w:t>סוג תיק</w:t>
            </w:r>
          </w:p>
        </w:tc>
        <w:tc>
          <w:tcPr>
            <w:tcW w:w="1701" w:type="dxa"/>
            <w:tcBorders>
              <w:bottom w:val="single" w:sz="4" w:space="0" w:color="auto"/>
            </w:tcBorders>
            <w:vAlign w:val="center"/>
          </w:tcPr>
          <w:p w14:paraId="4612618E" w14:textId="77777777" w:rsidR="00DD0D4B" w:rsidRPr="005034FE" w:rsidRDefault="00DD0D4B" w:rsidP="006F7B6E">
            <w:pPr>
              <w:spacing w:after="0" w:line="240" w:lineRule="auto"/>
              <w:jc w:val="center"/>
              <w:rPr>
                <w:rFonts w:ascii="David" w:eastAsia="Times New Roman" w:hAnsi="David" w:cs="David"/>
                <w:b/>
                <w:bCs/>
                <w:color w:val="000000"/>
                <w:rtl/>
              </w:rPr>
            </w:pPr>
          </w:p>
          <w:p w14:paraId="4A356CA9" w14:textId="77777777" w:rsidR="00DD0D4B" w:rsidRPr="005034FE" w:rsidRDefault="00E25AE7" w:rsidP="006F7B6E">
            <w:pPr>
              <w:spacing w:after="0" w:line="240" w:lineRule="auto"/>
              <w:jc w:val="center"/>
              <w:rPr>
                <w:rFonts w:ascii="David" w:eastAsia="Times New Roman" w:hAnsi="David" w:cs="David"/>
                <w:b/>
                <w:bCs/>
                <w:color w:val="000000"/>
                <w:rtl/>
              </w:rPr>
            </w:pPr>
            <w:r w:rsidRPr="005034FE">
              <w:rPr>
                <w:rFonts w:ascii="David" w:eastAsia="Times New Roman" w:hAnsi="David" w:cs="David" w:hint="cs"/>
                <w:b/>
                <w:bCs/>
                <w:color w:val="000000"/>
                <w:rtl/>
              </w:rPr>
              <w:t>מספר תיקים שנסגרו ב-2019</w:t>
            </w:r>
          </w:p>
        </w:tc>
        <w:tc>
          <w:tcPr>
            <w:tcW w:w="1832" w:type="dxa"/>
            <w:tcBorders>
              <w:bottom w:val="single" w:sz="4" w:space="0" w:color="auto"/>
            </w:tcBorders>
            <w:shd w:val="clear" w:color="auto" w:fill="auto"/>
            <w:vAlign w:val="center"/>
            <w:hideMark/>
          </w:tcPr>
          <w:p w14:paraId="7E9674B2" w14:textId="77777777" w:rsidR="00DD0D4B" w:rsidRPr="005034FE" w:rsidRDefault="00E25AE7" w:rsidP="006F7B6E">
            <w:pPr>
              <w:spacing w:after="0" w:line="240" w:lineRule="auto"/>
              <w:jc w:val="center"/>
              <w:rPr>
                <w:rFonts w:ascii="David" w:eastAsia="Times New Roman" w:hAnsi="David" w:cs="David"/>
                <w:b/>
                <w:bCs/>
                <w:color w:val="000000"/>
                <w:rtl/>
              </w:rPr>
            </w:pPr>
            <w:r w:rsidRPr="005034FE">
              <w:rPr>
                <w:rFonts w:ascii="David" w:eastAsia="Times New Roman" w:hAnsi="David" w:cs="David"/>
                <w:b/>
                <w:bCs/>
                <w:color w:val="000000"/>
                <w:rtl/>
              </w:rPr>
              <w:t>הזמן השיפוטי הממוצע הדרוש לטפל בתיק</w:t>
            </w:r>
            <w:r w:rsidRPr="005034FE">
              <w:rPr>
                <w:rFonts w:ascii="David" w:eastAsia="Times New Roman" w:hAnsi="David" w:cs="David" w:hint="cs"/>
                <w:b/>
                <w:bCs/>
                <w:color w:val="000000"/>
                <w:rtl/>
              </w:rPr>
              <w:t xml:space="preserve"> בשעות</w:t>
            </w:r>
          </w:p>
        </w:tc>
        <w:tc>
          <w:tcPr>
            <w:tcW w:w="1134" w:type="dxa"/>
            <w:tcBorders>
              <w:bottom w:val="single" w:sz="4" w:space="0" w:color="auto"/>
            </w:tcBorders>
            <w:vAlign w:val="center"/>
          </w:tcPr>
          <w:p w14:paraId="6D07C0AE" w14:textId="77777777" w:rsidR="00DD0D4B" w:rsidRPr="005034FE" w:rsidRDefault="00E25AE7" w:rsidP="006F7B6E">
            <w:pPr>
              <w:spacing w:after="0" w:line="240" w:lineRule="auto"/>
              <w:jc w:val="center"/>
              <w:rPr>
                <w:rFonts w:ascii="David" w:eastAsia="Times New Roman" w:hAnsi="David" w:cs="David"/>
                <w:b/>
                <w:bCs/>
                <w:color w:val="000000"/>
                <w:rtl/>
              </w:rPr>
            </w:pPr>
            <w:r w:rsidRPr="005034FE">
              <w:rPr>
                <w:rFonts w:ascii="David" w:eastAsia="Times New Roman" w:hAnsi="David" w:cs="David" w:hint="cs"/>
                <w:b/>
                <w:bCs/>
                <w:color w:val="000000"/>
                <w:rtl/>
              </w:rPr>
              <w:t>משקל ערכאתי לתיק</w:t>
            </w:r>
          </w:p>
        </w:tc>
      </w:tr>
      <w:tr w:rsidR="00E0162E" w:rsidRPr="005034FE" w14:paraId="4F20F8CA" w14:textId="77777777" w:rsidTr="006F7B6E">
        <w:trPr>
          <w:trHeight w:val="600"/>
        </w:trPr>
        <w:tc>
          <w:tcPr>
            <w:tcW w:w="845" w:type="dxa"/>
            <w:tcBorders>
              <w:top w:val="single" w:sz="4" w:space="0" w:color="auto"/>
              <w:bottom w:val="single" w:sz="4" w:space="0" w:color="auto"/>
            </w:tcBorders>
            <w:shd w:val="clear" w:color="auto" w:fill="D9D9D9"/>
            <w:noWrap/>
            <w:vAlign w:val="center"/>
          </w:tcPr>
          <w:p w14:paraId="5666F8BD" w14:textId="77777777" w:rsidR="00DD0D4B" w:rsidRPr="005034FE" w:rsidRDefault="00E25AE7" w:rsidP="006F7B6E">
            <w:pPr>
              <w:spacing w:after="0" w:line="240" w:lineRule="auto"/>
              <w:rPr>
                <w:rFonts w:ascii="David" w:hAnsi="David" w:cs="David"/>
                <w:color w:val="000000"/>
                <w:rtl/>
              </w:rPr>
            </w:pPr>
            <w:r w:rsidRPr="005034FE">
              <w:rPr>
                <w:rFonts w:ascii="David" w:hAnsi="David" w:cs="David"/>
                <w:color w:val="000000"/>
                <w:rtl/>
              </w:rPr>
              <w:t>שלום</w:t>
            </w:r>
          </w:p>
        </w:tc>
        <w:tc>
          <w:tcPr>
            <w:tcW w:w="1276" w:type="dxa"/>
            <w:tcBorders>
              <w:top w:val="single" w:sz="4" w:space="0" w:color="auto"/>
              <w:bottom w:val="single" w:sz="4" w:space="0" w:color="auto"/>
            </w:tcBorders>
            <w:shd w:val="clear" w:color="auto" w:fill="D9D9D9"/>
            <w:noWrap/>
            <w:vAlign w:val="center"/>
          </w:tcPr>
          <w:p w14:paraId="47615DE6" w14:textId="77777777" w:rsidR="00DD0D4B" w:rsidRPr="005034FE" w:rsidRDefault="00E25AE7" w:rsidP="006F7B6E">
            <w:pPr>
              <w:spacing w:after="0" w:line="240" w:lineRule="auto"/>
              <w:rPr>
                <w:rFonts w:ascii="David" w:hAnsi="David" w:cs="David"/>
                <w:color w:val="000000"/>
                <w:rtl/>
              </w:rPr>
            </w:pPr>
            <w:r w:rsidRPr="005034FE">
              <w:rPr>
                <w:rFonts w:ascii="David" w:hAnsi="David" w:cs="David"/>
                <w:color w:val="000000"/>
                <w:rtl/>
              </w:rPr>
              <w:t>עניינים מקומיים</w:t>
            </w:r>
          </w:p>
        </w:tc>
        <w:tc>
          <w:tcPr>
            <w:tcW w:w="2135" w:type="dxa"/>
            <w:tcBorders>
              <w:top w:val="single" w:sz="4" w:space="0" w:color="auto"/>
              <w:bottom w:val="single" w:sz="4" w:space="0" w:color="auto"/>
            </w:tcBorders>
            <w:shd w:val="clear" w:color="auto" w:fill="D9D9D9"/>
            <w:vAlign w:val="center"/>
          </w:tcPr>
          <w:p w14:paraId="7D5C2854" w14:textId="77777777" w:rsidR="00DD0D4B" w:rsidRPr="005034FE" w:rsidRDefault="00E25AE7" w:rsidP="006F7B6E">
            <w:pPr>
              <w:spacing w:after="0" w:line="240" w:lineRule="auto"/>
              <w:rPr>
                <w:rFonts w:ascii="David" w:hAnsi="David" w:cs="David"/>
                <w:color w:val="000000"/>
                <w:rtl/>
              </w:rPr>
            </w:pPr>
            <w:r w:rsidRPr="005034FE">
              <w:rPr>
                <w:rFonts w:ascii="David" w:hAnsi="David" w:cs="David"/>
                <w:color w:val="000000"/>
                <w:rtl/>
              </w:rPr>
              <w:t>תכנון ובנייה - ועדות מקומיות (תו"ב)</w:t>
            </w:r>
          </w:p>
        </w:tc>
        <w:tc>
          <w:tcPr>
            <w:tcW w:w="1701" w:type="dxa"/>
            <w:tcBorders>
              <w:top w:val="single" w:sz="4" w:space="0" w:color="auto"/>
              <w:bottom w:val="single" w:sz="4" w:space="0" w:color="auto"/>
            </w:tcBorders>
            <w:shd w:val="clear" w:color="auto" w:fill="D9D9D9"/>
            <w:vAlign w:val="center"/>
          </w:tcPr>
          <w:p w14:paraId="53840E4F" w14:textId="77777777" w:rsidR="00DD0D4B" w:rsidRPr="005034FE" w:rsidRDefault="00E25AE7" w:rsidP="006F7B6E">
            <w:pPr>
              <w:spacing w:after="0" w:line="240" w:lineRule="auto"/>
              <w:jc w:val="center"/>
              <w:rPr>
                <w:rFonts w:ascii="David" w:hAnsi="David" w:cs="David"/>
                <w:color w:val="000000"/>
              </w:rPr>
            </w:pPr>
            <w:r w:rsidRPr="005034FE">
              <w:rPr>
                <w:rFonts w:ascii="David" w:hAnsi="David" w:cs="David"/>
                <w:color w:val="000000"/>
              </w:rPr>
              <w:t>4,386</w:t>
            </w:r>
          </w:p>
        </w:tc>
        <w:tc>
          <w:tcPr>
            <w:tcW w:w="1832" w:type="dxa"/>
            <w:tcBorders>
              <w:top w:val="single" w:sz="4" w:space="0" w:color="auto"/>
              <w:bottom w:val="single" w:sz="4" w:space="0" w:color="auto"/>
            </w:tcBorders>
            <w:shd w:val="clear" w:color="auto" w:fill="D9D9D9"/>
            <w:noWrap/>
            <w:vAlign w:val="center"/>
          </w:tcPr>
          <w:p w14:paraId="0C25C6D7" w14:textId="77777777" w:rsidR="00DD0D4B" w:rsidRPr="005034FE" w:rsidRDefault="00460A75" w:rsidP="006F7B6E">
            <w:pPr>
              <w:spacing w:after="0" w:line="240" w:lineRule="auto"/>
              <w:jc w:val="center"/>
              <w:rPr>
                <w:rFonts w:ascii="David" w:hAnsi="David" w:cs="David"/>
                <w:b/>
                <w:bCs/>
                <w:color w:val="000000"/>
              </w:rPr>
            </w:pPr>
            <w:r w:rsidRPr="005034FE">
              <w:rPr>
                <w:rFonts w:ascii="David" w:hAnsi="David" w:cs="David" w:hint="cs"/>
                <w:b/>
                <w:bCs/>
                <w:color w:val="000000"/>
                <w:rtl/>
              </w:rPr>
              <w:t>4:07</w:t>
            </w:r>
          </w:p>
        </w:tc>
        <w:tc>
          <w:tcPr>
            <w:tcW w:w="1134" w:type="dxa"/>
            <w:tcBorders>
              <w:top w:val="single" w:sz="4" w:space="0" w:color="auto"/>
              <w:bottom w:val="single" w:sz="4" w:space="0" w:color="auto"/>
            </w:tcBorders>
            <w:shd w:val="clear" w:color="auto" w:fill="D9D9D9"/>
            <w:vAlign w:val="center"/>
          </w:tcPr>
          <w:p w14:paraId="2049ED4A" w14:textId="77777777" w:rsidR="00DD0D4B" w:rsidRPr="005034FE" w:rsidRDefault="00E25AE7" w:rsidP="006F7B6E">
            <w:pPr>
              <w:spacing w:after="0" w:line="240" w:lineRule="auto"/>
              <w:jc w:val="center"/>
              <w:rPr>
                <w:rFonts w:ascii="David" w:hAnsi="David" w:cs="David"/>
                <w:color w:val="000000"/>
                <w:rtl/>
              </w:rPr>
            </w:pPr>
            <w:r w:rsidRPr="005034FE">
              <w:rPr>
                <w:rFonts w:ascii="David" w:hAnsi="David" w:cs="David" w:hint="cs"/>
                <w:color w:val="000000"/>
                <w:rtl/>
              </w:rPr>
              <w:t>1</w:t>
            </w:r>
            <w:r w:rsidR="00460A75" w:rsidRPr="005034FE">
              <w:rPr>
                <w:rFonts w:ascii="David" w:hAnsi="David" w:cs="David" w:hint="cs"/>
                <w:color w:val="000000"/>
                <w:rtl/>
              </w:rPr>
              <w:t>2</w:t>
            </w:r>
          </w:p>
        </w:tc>
      </w:tr>
      <w:tr w:rsidR="00E0162E" w:rsidRPr="005034FE" w14:paraId="3195D1DA" w14:textId="77777777" w:rsidTr="006F7B6E">
        <w:trPr>
          <w:trHeight w:val="600"/>
        </w:trPr>
        <w:tc>
          <w:tcPr>
            <w:tcW w:w="845" w:type="dxa"/>
            <w:tcBorders>
              <w:top w:val="single" w:sz="4" w:space="0" w:color="auto"/>
              <w:bottom w:val="single" w:sz="4" w:space="0" w:color="auto"/>
            </w:tcBorders>
            <w:shd w:val="clear" w:color="auto" w:fill="auto"/>
            <w:noWrap/>
            <w:vAlign w:val="center"/>
          </w:tcPr>
          <w:p w14:paraId="3EF52D1B" w14:textId="77777777" w:rsidR="00DD0D4B" w:rsidRPr="005034FE" w:rsidRDefault="00E25AE7" w:rsidP="006F7B6E">
            <w:pPr>
              <w:spacing w:after="0" w:line="240" w:lineRule="auto"/>
              <w:rPr>
                <w:rFonts w:ascii="David" w:hAnsi="David" w:cs="David"/>
                <w:color w:val="000000"/>
                <w:rtl/>
              </w:rPr>
            </w:pPr>
            <w:r w:rsidRPr="005034FE">
              <w:rPr>
                <w:rFonts w:ascii="David" w:hAnsi="David" w:cs="David"/>
                <w:color w:val="000000"/>
                <w:rtl/>
              </w:rPr>
              <w:t>שלום</w:t>
            </w:r>
          </w:p>
        </w:tc>
        <w:tc>
          <w:tcPr>
            <w:tcW w:w="1276" w:type="dxa"/>
            <w:tcBorders>
              <w:top w:val="single" w:sz="4" w:space="0" w:color="auto"/>
              <w:bottom w:val="single" w:sz="4" w:space="0" w:color="auto"/>
            </w:tcBorders>
            <w:shd w:val="clear" w:color="auto" w:fill="auto"/>
            <w:noWrap/>
            <w:vAlign w:val="center"/>
          </w:tcPr>
          <w:p w14:paraId="5ED048D6" w14:textId="77777777" w:rsidR="00DD0D4B" w:rsidRPr="005034FE" w:rsidRDefault="00E25AE7" w:rsidP="006F7B6E">
            <w:pPr>
              <w:spacing w:after="0" w:line="240" w:lineRule="auto"/>
              <w:rPr>
                <w:rFonts w:ascii="David" w:hAnsi="David" w:cs="David"/>
                <w:color w:val="000000"/>
                <w:rtl/>
              </w:rPr>
            </w:pPr>
            <w:r w:rsidRPr="005034FE">
              <w:rPr>
                <w:rFonts w:ascii="David" w:hAnsi="David" w:cs="David"/>
                <w:color w:val="000000"/>
                <w:rtl/>
              </w:rPr>
              <w:t>עניינים מקומיים</w:t>
            </w:r>
          </w:p>
        </w:tc>
        <w:tc>
          <w:tcPr>
            <w:tcW w:w="2135" w:type="dxa"/>
            <w:tcBorders>
              <w:top w:val="single" w:sz="4" w:space="0" w:color="auto"/>
              <w:bottom w:val="single" w:sz="4" w:space="0" w:color="auto"/>
            </w:tcBorders>
            <w:shd w:val="clear" w:color="auto" w:fill="auto"/>
            <w:vAlign w:val="center"/>
          </w:tcPr>
          <w:p w14:paraId="77872663" w14:textId="77777777" w:rsidR="00DD0D4B" w:rsidRPr="005034FE" w:rsidRDefault="00E25AE7" w:rsidP="006F7B6E">
            <w:pPr>
              <w:spacing w:after="0" w:line="240" w:lineRule="auto"/>
              <w:rPr>
                <w:rFonts w:ascii="David" w:hAnsi="David" w:cs="David"/>
                <w:color w:val="000000"/>
                <w:rtl/>
              </w:rPr>
            </w:pPr>
            <w:r w:rsidRPr="005034FE">
              <w:rPr>
                <w:rFonts w:ascii="David" w:hAnsi="David" w:cs="David"/>
                <w:color w:val="000000"/>
                <w:rtl/>
              </w:rPr>
              <w:t>עניינים מקומיים אחרים (עמ"א)</w:t>
            </w:r>
          </w:p>
        </w:tc>
        <w:tc>
          <w:tcPr>
            <w:tcW w:w="1701" w:type="dxa"/>
            <w:tcBorders>
              <w:top w:val="single" w:sz="4" w:space="0" w:color="auto"/>
              <w:bottom w:val="single" w:sz="4" w:space="0" w:color="auto"/>
            </w:tcBorders>
            <w:vAlign w:val="center"/>
          </w:tcPr>
          <w:p w14:paraId="16D88C58" w14:textId="77777777" w:rsidR="00DD0D4B" w:rsidRPr="005034FE" w:rsidRDefault="00E25AE7" w:rsidP="006F7B6E">
            <w:pPr>
              <w:spacing w:after="0" w:line="240" w:lineRule="auto"/>
              <w:jc w:val="center"/>
              <w:rPr>
                <w:rFonts w:ascii="David" w:hAnsi="David" w:cs="David"/>
                <w:color w:val="000000"/>
              </w:rPr>
            </w:pPr>
            <w:r w:rsidRPr="005034FE">
              <w:rPr>
                <w:rFonts w:ascii="David" w:hAnsi="David" w:cs="David"/>
                <w:color w:val="000000"/>
              </w:rPr>
              <w:t>501</w:t>
            </w:r>
          </w:p>
        </w:tc>
        <w:tc>
          <w:tcPr>
            <w:tcW w:w="1832" w:type="dxa"/>
            <w:tcBorders>
              <w:top w:val="single" w:sz="4" w:space="0" w:color="auto"/>
              <w:bottom w:val="single" w:sz="4" w:space="0" w:color="auto"/>
            </w:tcBorders>
            <w:shd w:val="clear" w:color="auto" w:fill="auto"/>
            <w:noWrap/>
            <w:vAlign w:val="center"/>
          </w:tcPr>
          <w:p w14:paraId="0C8CC07F" w14:textId="77777777" w:rsidR="00DD0D4B" w:rsidRPr="005034FE" w:rsidRDefault="00460A75" w:rsidP="006F7B6E">
            <w:pPr>
              <w:spacing w:after="0" w:line="240" w:lineRule="auto"/>
              <w:jc w:val="center"/>
              <w:rPr>
                <w:rFonts w:ascii="David" w:hAnsi="David" w:cs="David"/>
                <w:b/>
                <w:bCs/>
                <w:color w:val="000000"/>
              </w:rPr>
            </w:pPr>
            <w:r w:rsidRPr="005034FE">
              <w:rPr>
                <w:rFonts w:ascii="David" w:hAnsi="David" w:cs="David" w:hint="cs"/>
                <w:b/>
                <w:bCs/>
                <w:color w:val="000000"/>
                <w:rtl/>
              </w:rPr>
              <w:t>2:49</w:t>
            </w:r>
          </w:p>
        </w:tc>
        <w:tc>
          <w:tcPr>
            <w:tcW w:w="1134" w:type="dxa"/>
            <w:tcBorders>
              <w:top w:val="single" w:sz="4" w:space="0" w:color="auto"/>
              <w:bottom w:val="single" w:sz="4" w:space="0" w:color="auto"/>
            </w:tcBorders>
            <w:shd w:val="clear" w:color="auto" w:fill="auto"/>
            <w:vAlign w:val="center"/>
          </w:tcPr>
          <w:p w14:paraId="0EC18847" w14:textId="77777777" w:rsidR="00DD0D4B" w:rsidRPr="005034FE" w:rsidRDefault="00460A75" w:rsidP="006F7B6E">
            <w:pPr>
              <w:spacing w:after="0" w:line="240" w:lineRule="auto"/>
              <w:jc w:val="center"/>
              <w:rPr>
                <w:rFonts w:ascii="David" w:hAnsi="David" w:cs="David"/>
                <w:color w:val="000000"/>
              </w:rPr>
            </w:pPr>
            <w:r w:rsidRPr="005034FE">
              <w:rPr>
                <w:rFonts w:ascii="David" w:hAnsi="David" w:cs="David" w:hint="cs"/>
                <w:color w:val="000000"/>
                <w:rtl/>
              </w:rPr>
              <w:t>8</w:t>
            </w:r>
          </w:p>
        </w:tc>
      </w:tr>
      <w:tr w:rsidR="003D2E5B" w:rsidRPr="005034FE" w14:paraId="07EEAE00" w14:textId="77777777" w:rsidTr="006F7B6E">
        <w:trPr>
          <w:trHeight w:val="600"/>
        </w:trPr>
        <w:tc>
          <w:tcPr>
            <w:tcW w:w="845" w:type="dxa"/>
            <w:tcBorders>
              <w:top w:val="single" w:sz="4" w:space="0" w:color="auto"/>
              <w:bottom w:val="single" w:sz="4" w:space="0" w:color="auto"/>
            </w:tcBorders>
            <w:shd w:val="clear" w:color="auto" w:fill="D0CECE" w:themeFill="background2" w:themeFillShade="E6"/>
            <w:noWrap/>
            <w:vAlign w:val="center"/>
          </w:tcPr>
          <w:p w14:paraId="5BA06BAA"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שלום</w:t>
            </w:r>
          </w:p>
        </w:tc>
        <w:tc>
          <w:tcPr>
            <w:tcW w:w="1276" w:type="dxa"/>
            <w:tcBorders>
              <w:top w:val="single" w:sz="4" w:space="0" w:color="auto"/>
              <w:bottom w:val="single" w:sz="4" w:space="0" w:color="auto"/>
            </w:tcBorders>
            <w:shd w:val="clear" w:color="auto" w:fill="D0CECE" w:themeFill="background2" w:themeFillShade="E6"/>
            <w:noWrap/>
            <w:vAlign w:val="center"/>
          </w:tcPr>
          <w:p w14:paraId="344F3FEF"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עניינים מקומיים</w:t>
            </w:r>
          </w:p>
        </w:tc>
        <w:tc>
          <w:tcPr>
            <w:tcW w:w="2135" w:type="dxa"/>
            <w:tcBorders>
              <w:top w:val="single" w:sz="4" w:space="0" w:color="auto"/>
              <w:bottom w:val="single" w:sz="4" w:space="0" w:color="auto"/>
            </w:tcBorders>
            <w:shd w:val="clear" w:color="auto" w:fill="D0CECE" w:themeFill="background2" w:themeFillShade="E6"/>
            <w:vAlign w:val="center"/>
          </w:tcPr>
          <w:p w14:paraId="5F54923B"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בקשות בנייה (בב"נ)</w:t>
            </w:r>
          </w:p>
        </w:tc>
        <w:tc>
          <w:tcPr>
            <w:tcW w:w="1701" w:type="dxa"/>
            <w:tcBorders>
              <w:top w:val="single" w:sz="4" w:space="0" w:color="auto"/>
              <w:bottom w:val="single" w:sz="4" w:space="0" w:color="auto"/>
            </w:tcBorders>
            <w:shd w:val="clear" w:color="auto" w:fill="D0CECE" w:themeFill="background2" w:themeFillShade="E6"/>
            <w:vAlign w:val="center"/>
          </w:tcPr>
          <w:p w14:paraId="4A7ADC8A"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color w:val="000000"/>
              </w:rPr>
              <w:t>1,472</w:t>
            </w:r>
          </w:p>
        </w:tc>
        <w:tc>
          <w:tcPr>
            <w:tcW w:w="1832" w:type="dxa"/>
            <w:tcBorders>
              <w:top w:val="single" w:sz="4" w:space="0" w:color="auto"/>
              <w:bottom w:val="single" w:sz="4" w:space="0" w:color="auto"/>
            </w:tcBorders>
            <w:shd w:val="clear" w:color="auto" w:fill="D0CECE" w:themeFill="background2" w:themeFillShade="E6"/>
            <w:noWrap/>
            <w:vAlign w:val="center"/>
          </w:tcPr>
          <w:p w14:paraId="666B84AE" w14:textId="77777777" w:rsidR="003D2E5B" w:rsidRPr="005034FE" w:rsidRDefault="003D2E5B" w:rsidP="006F7B6E">
            <w:pPr>
              <w:spacing w:after="0" w:line="240" w:lineRule="auto"/>
              <w:jc w:val="center"/>
              <w:rPr>
                <w:rFonts w:ascii="David" w:hAnsi="David" w:cs="David"/>
                <w:b/>
                <w:bCs/>
                <w:color w:val="000000"/>
                <w:rtl/>
              </w:rPr>
            </w:pPr>
            <w:r w:rsidRPr="005034FE">
              <w:rPr>
                <w:rFonts w:ascii="David" w:hAnsi="David" w:cs="David" w:hint="cs"/>
                <w:b/>
                <w:bCs/>
                <w:color w:val="000000"/>
                <w:rtl/>
              </w:rPr>
              <w:t>2:26</w:t>
            </w:r>
          </w:p>
        </w:tc>
        <w:tc>
          <w:tcPr>
            <w:tcW w:w="1134" w:type="dxa"/>
            <w:tcBorders>
              <w:top w:val="single" w:sz="4" w:space="0" w:color="auto"/>
              <w:bottom w:val="single" w:sz="4" w:space="0" w:color="auto"/>
            </w:tcBorders>
            <w:shd w:val="clear" w:color="auto" w:fill="D0CECE" w:themeFill="background2" w:themeFillShade="E6"/>
            <w:vAlign w:val="center"/>
          </w:tcPr>
          <w:p w14:paraId="45CDEC4A" w14:textId="77777777" w:rsidR="003D2E5B" w:rsidRPr="005034FE" w:rsidRDefault="003D2E5B" w:rsidP="006F7B6E">
            <w:pPr>
              <w:spacing w:after="0" w:line="240" w:lineRule="auto"/>
              <w:jc w:val="center"/>
              <w:rPr>
                <w:rFonts w:ascii="David" w:hAnsi="David" w:cs="David"/>
                <w:color w:val="000000"/>
                <w:rtl/>
              </w:rPr>
            </w:pPr>
            <w:r w:rsidRPr="005034FE">
              <w:rPr>
                <w:rFonts w:ascii="David" w:hAnsi="David" w:cs="David" w:hint="cs"/>
                <w:color w:val="000000"/>
                <w:rtl/>
              </w:rPr>
              <w:t>7</w:t>
            </w:r>
          </w:p>
        </w:tc>
      </w:tr>
      <w:tr w:rsidR="003D2E5B" w:rsidRPr="005034FE" w14:paraId="215BEB47" w14:textId="77777777" w:rsidTr="006F7B6E">
        <w:trPr>
          <w:trHeight w:val="600"/>
        </w:trPr>
        <w:tc>
          <w:tcPr>
            <w:tcW w:w="845" w:type="dxa"/>
            <w:tcBorders>
              <w:top w:val="single" w:sz="4" w:space="0" w:color="auto"/>
              <w:bottom w:val="single" w:sz="4" w:space="0" w:color="auto"/>
            </w:tcBorders>
            <w:shd w:val="clear" w:color="auto" w:fill="auto"/>
            <w:noWrap/>
            <w:vAlign w:val="center"/>
          </w:tcPr>
          <w:p w14:paraId="6A95E4AE"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שלום</w:t>
            </w:r>
          </w:p>
        </w:tc>
        <w:tc>
          <w:tcPr>
            <w:tcW w:w="1276" w:type="dxa"/>
            <w:tcBorders>
              <w:top w:val="single" w:sz="4" w:space="0" w:color="auto"/>
              <w:bottom w:val="single" w:sz="4" w:space="0" w:color="auto"/>
            </w:tcBorders>
            <w:shd w:val="clear" w:color="auto" w:fill="auto"/>
            <w:noWrap/>
            <w:vAlign w:val="center"/>
          </w:tcPr>
          <w:p w14:paraId="1372C746"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עניינים מקומיים</w:t>
            </w:r>
          </w:p>
        </w:tc>
        <w:tc>
          <w:tcPr>
            <w:tcW w:w="2135" w:type="dxa"/>
            <w:tcBorders>
              <w:top w:val="single" w:sz="4" w:space="0" w:color="auto"/>
              <w:bottom w:val="single" w:sz="4" w:space="0" w:color="auto"/>
            </w:tcBorders>
            <w:shd w:val="clear" w:color="auto" w:fill="auto"/>
            <w:vAlign w:val="center"/>
          </w:tcPr>
          <w:p w14:paraId="355376A9"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רישוי עסקים (רע"ס)</w:t>
            </w:r>
          </w:p>
        </w:tc>
        <w:tc>
          <w:tcPr>
            <w:tcW w:w="1701" w:type="dxa"/>
            <w:tcBorders>
              <w:top w:val="single" w:sz="4" w:space="0" w:color="auto"/>
              <w:bottom w:val="single" w:sz="4" w:space="0" w:color="auto"/>
            </w:tcBorders>
            <w:vAlign w:val="center"/>
          </w:tcPr>
          <w:p w14:paraId="5DFC0E01"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color w:val="000000"/>
              </w:rPr>
              <w:t>2,428</w:t>
            </w:r>
          </w:p>
        </w:tc>
        <w:tc>
          <w:tcPr>
            <w:tcW w:w="1832" w:type="dxa"/>
            <w:tcBorders>
              <w:top w:val="single" w:sz="4" w:space="0" w:color="auto"/>
              <w:bottom w:val="single" w:sz="4" w:space="0" w:color="auto"/>
            </w:tcBorders>
            <w:shd w:val="clear" w:color="auto" w:fill="auto"/>
            <w:noWrap/>
            <w:vAlign w:val="center"/>
          </w:tcPr>
          <w:p w14:paraId="29B229AF" w14:textId="77777777" w:rsidR="003D2E5B" w:rsidRPr="005034FE" w:rsidRDefault="003D2E5B" w:rsidP="006F7B6E">
            <w:pPr>
              <w:spacing w:after="0" w:line="240" w:lineRule="auto"/>
              <w:jc w:val="center"/>
              <w:rPr>
                <w:rFonts w:ascii="David" w:hAnsi="David" w:cs="David"/>
                <w:b/>
                <w:bCs/>
                <w:color w:val="000000"/>
                <w:rtl/>
              </w:rPr>
            </w:pPr>
            <w:r w:rsidRPr="005034FE">
              <w:rPr>
                <w:rFonts w:ascii="David" w:hAnsi="David" w:cs="David" w:hint="cs"/>
                <w:b/>
                <w:bCs/>
                <w:color w:val="000000"/>
                <w:rtl/>
              </w:rPr>
              <w:t>2:13</w:t>
            </w:r>
          </w:p>
        </w:tc>
        <w:tc>
          <w:tcPr>
            <w:tcW w:w="1134" w:type="dxa"/>
            <w:tcBorders>
              <w:top w:val="single" w:sz="4" w:space="0" w:color="auto"/>
              <w:bottom w:val="single" w:sz="4" w:space="0" w:color="auto"/>
            </w:tcBorders>
            <w:shd w:val="clear" w:color="auto" w:fill="auto"/>
            <w:vAlign w:val="center"/>
          </w:tcPr>
          <w:p w14:paraId="32F5F8F0" w14:textId="77777777" w:rsidR="003D2E5B" w:rsidRPr="005034FE" w:rsidRDefault="003D2E5B" w:rsidP="006F7B6E">
            <w:pPr>
              <w:spacing w:after="0" w:line="240" w:lineRule="auto"/>
              <w:jc w:val="center"/>
              <w:rPr>
                <w:rFonts w:ascii="David" w:hAnsi="David" w:cs="David"/>
                <w:color w:val="000000"/>
                <w:rtl/>
              </w:rPr>
            </w:pPr>
            <w:r w:rsidRPr="005034FE">
              <w:rPr>
                <w:rFonts w:ascii="David" w:hAnsi="David" w:cs="David" w:hint="cs"/>
                <w:color w:val="000000"/>
                <w:rtl/>
              </w:rPr>
              <w:t>6</w:t>
            </w:r>
          </w:p>
        </w:tc>
      </w:tr>
      <w:tr w:rsidR="003D2E5B" w:rsidRPr="005034FE" w14:paraId="61B9B7AC" w14:textId="77777777" w:rsidTr="006F7B6E">
        <w:trPr>
          <w:trHeight w:val="460"/>
        </w:trPr>
        <w:tc>
          <w:tcPr>
            <w:tcW w:w="845" w:type="dxa"/>
            <w:tcBorders>
              <w:top w:val="single" w:sz="4" w:space="0" w:color="auto"/>
              <w:bottom w:val="single" w:sz="4" w:space="0" w:color="auto"/>
            </w:tcBorders>
            <w:shd w:val="clear" w:color="auto" w:fill="D9D9D9"/>
            <w:noWrap/>
            <w:vAlign w:val="center"/>
          </w:tcPr>
          <w:p w14:paraId="5E5DBF55"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שלום</w:t>
            </w:r>
          </w:p>
        </w:tc>
        <w:tc>
          <w:tcPr>
            <w:tcW w:w="1276" w:type="dxa"/>
            <w:tcBorders>
              <w:top w:val="single" w:sz="4" w:space="0" w:color="auto"/>
              <w:bottom w:val="single" w:sz="4" w:space="0" w:color="auto"/>
            </w:tcBorders>
            <w:shd w:val="clear" w:color="auto" w:fill="D9D9D9"/>
            <w:noWrap/>
            <w:vAlign w:val="center"/>
          </w:tcPr>
          <w:p w14:paraId="4D821717"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עניינים מקומיים</w:t>
            </w:r>
          </w:p>
        </w:tc>
        <w:tc>
          <w:tcPr>
            <w:tcW w:w="2135" w:type="dxa"/>
            <w:tcBorders>
              <w:top w:val="single" w:sz="4" w:space="0" w:color="auto"/>
              <w:bottom w:val="single" w:sz="4" w:space="0" w:color="auto"/>
            </w:tcBorders>
            <w:shd w:val="clear" w:color="auto" w:fill="D9D9D9"/>
            <w:vAlign w:val="center"/>
          </w:tcPr>
          <w:p w14:paraId="12BCA6D3"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צו הריסה ללא הרשעה (212) (צ"ה)</w:t>
            </w:r>
          </w:p>
        </w:tc>
        <w:tc>
          <w:tcPr>
            <w:tcW w:w="1701" w:type="dxa"/>
            <w:tcBorders>
              <w:top w:val="single" w:sz="4" w:space="0" w:color="auto"/>
              <w:bottom w:val="single" w:sz="4" w:space="0" w:color="auto"/>
            </w:tcBorders>
            <w:shd w:val="clear" w:color="auto" w:fill="D9D9D9"/>
            <w:vAlign w:val="center"/>
          </w:tcPr>
          <w:p w14:paraId="6A589B7B"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color w:val="000000"/>
              </w:rPr>
              <w:t>395</w:t>
            </w:r>
          </w:p>
        </w:tc>
        <w:tc>
          <w:tcPr>
            <w:tcW w:w="1832" w:type="dxa"/>
            <w:tcBorders>
              <w:top w:val="single" w:sz="4" w:space="0" w:color="auto"/>
              <w:bottom w:val="single" w:sz="4" w:space="0" w:color="auto"/>
            </w:tcBorders>
            <w:shd w:val="clear" w:color="auto" w:fill="D9D9D9"/>
            <w:noWrap/>
            <w:vAlign w:val="center"/>
          </w:tcPr>
          <w:p w14:paraId="6451ABAD" w14:textId="77777777" w:rsidR="003D2E5B" w:rsidRPr="005034FE" w:rsidRDefault="003D2E5B" w:rsidP="006F7B6E">
            <w:pPr>
              <w:spacing w:after="0" w:line="240" w:lineRule="auto"/>
              <w:jc w:val="center"/>
              <w:rPr>
                <w:rFonts w:ascii="David" w:hAnsi="David" w:cs="David"/>
                <w:b/>
                <w:bCs/>
                <w:color w:val="000000"/>
              </w:rPr>
            </w:pPr>
            <w:r w:rsidRPr="005034FE">
              <w:rPr>
                <w:rFonts w:ascii="David" w:hAnsi="David" w:cs="David" w:hint="cs"/>
                <w:b/>
                <w:bCs/>
                <w:color w:val="000000"/>
                <w:rtl/>
              </w:rPr>
              <w:t>1:16</w:t>
            </w:r>
          </w:p>
        </w:tc>
        <w:tc>
          <w:tcPr>
            <w:tcW w:w="1134" w:type="dxa"/>
            <w:tcBorders>
              <w:top w:val="single" w:sz="4" w:space="0" w:color="auto"/>
              <w:bottom w:val="single" w:sz="4" w:space="0" w:color="auto"/>
            </w:tcBorders>
            <w:shd w:val="clear" w:color="auto" w:fill="D9D9D9"/>
            <w:vAlign w:val="center"/>
          </w:tcPr>
          <w:p w14:paraId="2C33FE90"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4</w:t>
            </w:r>
          </w:p>
        </w:tc>
      </w:tr>
      <w:tr w:rsidR="003D2E5B" w:rsidRPr="005034FE" w14:paraId="4724BCFE" w14:textId="77777777" w:rsidTr="006F7B6E">
        <w:trPr>
          <w:trHeight w:val="460"/>
        </w:trPr>
        <w:tc>
          <w:tcPr>
            <w:tcW w:w="845" w:type="dxa"/>
            <w:tcBorders>
              <w:top w:val="single" w:sz="4" w:space="0" w:color="auto"/>
              <w:bottom w:val="single" w:sz="4" w:space="0" w:color="auto"/>
            </w:tcBorders>
            <w:shd w:val="clear" w:color="auto" w:fill="auto"/>
            <w:noWrap/>
            <w:vAlign w:val="center"/>
          </w:tcPr>
          <w:p w14:paraId="2CC827C3"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שלום</w:t>
            </w:r>
          </w:p>
        </w:tc>
        <w:tc>
          <w:tcPr>
            <w:tcW w:w="1276" w:type="dxa"/>
            <w:tcBorders>
              <w:top w:val="single" w:sz="4" w:space="0" w:color="auto"/>
              <w:bottom w:val="single" w:sz="4" w:space="0" w:color="auto"/>
            </w:tcBorders>
            <w:shd w:val="clear" w:color="auto" w:fill="auto"/>
            <w:noWrap/>
            <w:vAlign w:val="center"/>
          </w:tcPr>
          <w:p w14:paraId="15AA3B5C"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עניינים מקומיים</w:t>
            </w:r>
          </w:p>
        </w:tc>
        <w:tc>
          <w:tcPr>
            <w:tcW w:w="2135" w:type="dxa"/>
            <w:tcBorders>
              <w:top w:val="single" w:sz="4" w:space="0" w:color="auto"/>
              <w:bottom w:val="single" w:sz="4" w:space="0" w:color="auto"/>
            </w:tcBorders>
            <w:shd w:val="clear" w:color="auto" w:fill="auto"/>
            <w:vAlign w:val="center"/>
          </w:tcPr>
          <w:p w14:paraId="3EB3F1E4"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פיקוח וחוקים אחרים (פק"ח)</w:t>
            </w:r>
          </w:p>
        </w:tc>
        <w:tc>
          <w:tcPr>
            <w:tcW w:w="1701" w:type="dxa"/>
            <w:tcBorders>
              <w:top w:val="single" w:sz="4" w:space="0" w:color="auto"/>
              <w:bottom w:val="single" w:sz="4" w:space="0" w:color="auto"/>
            </w:tcBorders>
            <w:vAlign w:val="center"/>
          </w:tcPr>
          <w:p w14:paraId="18539DE2"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color w:val="000000"/>
              </w:rPr>
              <w:t>734</w:t>
            </w:r>
          </w:p>
        </w:tc>
        <w:tc>
          <w:tcPr>
            <w:tcW w:w="1832" w:type="dxa"/>
            <w:tcBorders>
              <w:top w:val="single" w:sz="4" w:space="0" w:color="auto"/>
              <w:bottom w:val="single" w:sz="4" w:space="0" w:color="auto"/>
            </w:tcBorders>
            <w:shd w:val="clear" w:color="auto" w:fill="auto"/>
            <w:noWrap/>
            <w:vAlign w:val="center"/>
          </w:tcPr>
          <w:p w14:paraId="5ADCA9B6" w14:textId="77777777" w:rsidR="003D2E5B" w:rsidRPr="005034FE" w:rsidRDefault="003D2E5B" w:rsidP="006F7B6E">
            <w:pPr>
              <w:spacing w:after="0" w:line="240" w:lineRule="auto"/>
              <w:jc w:val="center"/>
              <w:rPr>
                <w:rFonts w:ascii="David" w:hAnsi="David" w:cs="David"/>
                <w:b/>
                <w:bCs/>
                <w:color w:val="000000"/>
              </w:rPr>
            </w:pPr>
            <w:r w:rsidRPr="005034FE">
              <w:rPr>
                <w:rFonts w:ascii="David" w:hAnsi="David" w:cs="David" w:hint="cs"/>
                <w:b/>
                <w:bCs/>
                <w:color w:val="000000"/>
                <w:rtl/>
              </w:rPr>
              <w:t>0:57</w:t>
            </w:r>
          </w:p>
        </w:tc>
        <w:tc>
          <w:tcPr>
            <w:tcW w:w="1134" w:type="dxa"/>
            <w:tcBorders>
              <w:top w:val="single" w:sz="4" w:space="0" w:color="auto"/>
              <w:bottom w:val="single" w:sz="4" w:space="0" w:color="auto"/>
            </w:tcBorders>
            <w:shd w:val="clear" w:color="auto" w:fill="auto"/>
            <w:vAlign w:val="center"/>
          </w:tcPr>
          <w:p w14:paraId="5E679750"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3</w:t>
            </w:r>
          </w:p>
        </w:tc>
      </w:tr>
      <w:tr w:rsidR="003D2E5B" w:rsidRPr="005034FE" w14:paraId="5A6906F9" w14:textId="77777777" w:rsidTr="006F7B6E">
        <w:trPr>
          <w:trHeight w:val="600"/>
        </w:trPr>
        <w:tc>
          <w:tcPr>
            <w:tcW w:w="845" w:type="dxa"/>
            <w:tcBorders>
              <w:top w:val="single" w:sz="4" w:space="0" w:color="auto"/>
              <w:bottom w:val="single" w:sz="4" w:space="0" w:color="auto"/>
            </w:tcBorders>
            <w:shd w:val="clear" w:color="auto" w:fill="D9D9D9"/>
            <w:noWrap/>
            <w:vAlign w:val="center"/>
          </w:tcPr>
          <w:p w14:paraId="67732973"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שלום</w:t>
            </w:r>
          </w:p>
        </w:tc>
        <w:tc>
          <w:tcPr>
            <w:tcW w:w="1276" w:type="dxa"/>
            <w:tcBorders>
              <w:top w:val="single" w:sz="4" w:space="0" w:color="auto"/>
              <w:bottom w:val="single" w:sz="4" w:space="0" w:color="auto"/>
            </w:tcBorders>
            <w:shd w:val="clear" w:color="auto" w:fill="D9D9D9"/>
            <w:noWrap/>
            <w:vAlign w:val="center"/>
          </w:tcPr>
          <w:p w14:paraId="4809FE10"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עניינים מקומיים</w:t>
            </w:r>
          </w:p>
        </w:tc>
        <w:tc>
          <w:tcPr>
            <w:tcW w:w="2135" w:type="dxa"/>
            <w:tcBorders>
              <w:top w:val="single" w:sz="4" w:space="0" w:color="auto"/>
              <w:bottom w:val="single" w:sz="4" w:space="0" w:color="auto"/>
            </w:tcBorders>
            <w:shd w:val="clear" w:color="auto" w:fill="D9D9D9"/>
            <w:vAlign w:val="center"/>
          </w:tcPr>
          <w:p w14:paraId="42648B1F"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חוקי עזר עירוניים - ברירת קנס (חע"ק)</w:t>
            </w:r>
          </w:p>
        </w:tc>
        <w:tc>
          <w:tcPr>
            <w:tcW w:w="1701" w:type="dxa"/>
            <w:tcBorders>
              <w:top w:val="single" w:sz="4" w:space="0" w:color="auto"/>
              <w:bottom w:val="single" w:sz="4" w:space="0" w:color="auto"/>
            </w:tcBorders>
            <w:shd w:val="clear" w:color="auto" w:fill="D9D9D9"/>
            <w:vAlign w:val="center"/>
          </w:tcPr>
          <w:p w14:paraId="2639FFE7"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color w:val="000000"/>
              </w:rPr>
              <w:t>785</w:t>
            </w:r>
          </w:p>
        </w:tc>
        <w:tc>
          <w:tcPr>
            <w:tcW w:w="1832" w:type="dxa"/>
            <w:tcBorders>
              <w:top w:val="single" w:sz="4" w:space="0" w:color="auto"/>
              <w:bottom w:val="single" w:sz="4" w:space="0" w:color="auto"/>
            </w:tcBorders>
            <w:shd w:val="clear" w:color="auto" w:fill="D9D9D9"/>
            <w:noWrap/>
            <w:vAlign w:val="center"/>
          </w:tcPr>
          <w:p w14:paraId="1A1AFA04" w14:textId="77777777" w:rsidR="003D2E5B" w:rsidRPr="005034FE" w:rsidRDefault="003D2E5B" w:rsidP="006F7B6E">
            <w:pPr>
              <w:spacing w:after="0" w:line="240" w:lineRule="auto"/>
              <w:jc w:val="center"/>
              <w:rPr>
                <w:rFonts w:ascii="David" w:hAnsi="David" w:cs="David"/>
                <w:b/>
                <w:bCs/>
                <w:color w:val="000000"/>
                <w:rtl/>
              </w:rPr>
            </w:pPr>
            <w:r w:rsidRPr="005034FE">
              <w:rPr>
                <w:rFonts w:ascii="David" w:hAnsi="David" w:cs="David" w:hint="cs"/>
                <w:b/>
                <w:bCs/>
                <w:color w:val="000000"/>
                <w:rtl/>
              </w:rPr>
              <w:t>0:36</w:t>
            </w:r>
          </w:p>
        </w:tc>
        <w:tc>
          <w:tcPr>
            <w:tcW w:w="1134" w:type="dxa"/>
            <w:tcBorders>
              <w:top w:val="single" w:sz="4" w:space="0" w:color="auto"/>
              <w:bottom w:val="single" w:sz="4" w:space="0" w:color="auto"/>
            </w:tcBorders>
            <w:shd w:val="clear" w:color="auto" w:fill="D9D9D9"/>
            <w:vAlign w:val="center"/>
          </w:tcPr>
          <w:p w14:paraId="17F62EAB"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2</w:t>
            </w:r>
          </w:p>
        </w:tc>
      </w:tr>
      <w:tr w:rsidR="003D2E5B" w:rsidRPr="005034FE" w14:paraId="3C2BD9DA" w14:textId="77777777" w:rsidTr="006F7B6E">
        <w:trPr>
          <w:trHeight w:val="600"/>
        </w:trPr>
        <w:tc>
          <w:tcPr>
            <w:tcW w:w="845" w:type="dxa"/>
            <w:tcBorders>
              <w:top w:val="single" w:sz="4" w:space="0" w:color="auto"/>
              <w:bottom w:val="single" w:sz="4" w:space="0" w:color="auto"/>
            </w:tcBorders>
            <w:shd w:val="clear" w:color="auto" w:fill="auto"/>
            <w:noWrap/>
            <w:vAlign w:val="center"/>
          </w:tcPr>
          <w:p w14:paraId="0A3D68C9"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שלום</w:t>
            </w:r>
          </w:p>
        </w:tc>
        <w:tc>
          <w:tcPr>
            <w:tcW w:w="1276" w:type="dxa"/>
            <w:tcBorders>
              <w:top w:val="single" w:sz="4" w:space="0" w:color="auto"/>
              <w:bottom w:val="single" w:sz="4" w:space="0" w:color="auto"/>
            </w:tcBorders>
            <w:shd w:val="clear" w:color="auto" w:fill="auto"/>
            <w:noWrap/>
            <w:vAlign w:val="center"/>
          </w:tcPr>
          <w:p w14:paraId="70E990D4"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עניינים מקומיים</w:t>
            </w:r>
          </w:p>
        </w:tc>
        <w:tc>
          <w:tcPr>
            <w:tcW w:w="2135" w:type="dxa"/>
            <w:tcBorders>
              <w:top w:val="single" w:sz="4" w:space="0" w:color="auto"/>
              <w:bottom w:val="single" w:sz="4" w:space="0" w:color="auto"/>
            </w:tcBorders>
            <w:shd w:val="clear" w:color="auto" w:fill="auto"/>
            <w:vAlign w:val="center"/>
          </w:tcPr>
          <w:p w14:paraId="4B65FC7E"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חנייה (ח"נ)</w:t>
            </w:r>
          </w:p>
        </w:tc>
        <w:tc>
          <w:tcPr>
            <w:tcW w:w="1701" w:type="dxa"/>
            <w:tcBorders>
              <w:top w:val="single" w:sz="4" w:space="0" w:color="auto"/>
              <w:bottom w:val="single" w:sz="4" w:space="0" w:color="auto"/>
            </w:tcBorders>
            <w:vAlign w:val="center"/>
          </w:tcPr>
          <w:p w14:paraId="229441C5"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color w:val="000000"/>
              </w:rPr>
              <w:t>23,851</w:t>
            </w:r>
          </w:p>
        </w:tc>
        <w:tc>
          <w:tcPr>
            <w:tcW w:w="1832" w:type="dxa"/>
            <w:tcBorders>
              <w:top w:val="single" w:sz="4" w:space="0" w:color="auto"/>
              <w:bottom w:val="single" w:sz="4" w:space="0" w:color="auto"/>
            </w:tcBorders>
            <w:shd w:val="clear" w:color="auto" w:fill="auto"/>
            <w:noWrap/>
            <w:vAlign w:val="center"/>
          </w:tcPr>
          <w:p w14:paraId="2CABEDCC" w14:textId="77777777" w:rsidR="003D2E5B" w:rsidRPr="005034FE" w:rsidRDefault="003D2E5B" w:rsidP="006F7B6E">
            <w:pPr>
              <w:spacing w:after="0" w:line="240" w:lineRule="auto"/>
              <w:jc w:val="center"/>
              <w:rPr>
                <w:rFonts w:ascii="David" w:hAnsi="David" w:cs="David"/>
                <w:b/>
                <w:bCs/>
                <w:color w:val="000000"/>
              </w:rPr>
            </w:pPr>
            <w:r w:rsidRPr="005034FE">
              <w:rPr>
                <w:rFonts w:ascii="David" w:hAnsi="David" w:cs="David"/>
                <w:b/>
                <w:bCs/>
                <w:color w:val="000000"/>
              </w:rPr>
              <w:t>0:23</w:t>
            </w:r>
          </w:p>
        </w:tc>
        <w:tc>
          <w:tcPr>
            <w:tcW w:w="1134" w:type="dxa"/>
            <w:tcBorders>
              <w:top w:val="single" w:sz="4" w:space="0" w:color="auto"/>
              <w:bottom w:val="single" w:sz="4" w:space="0" w:color="auto"/>
            </w:tcBorders>
            <w:shd w:val="clear" w:color="auto" w:fill="auto"/>
            <w:vAlign w:val="center"/>
          </w:tcPr>
          <w:p w14:paraId="5ACE6CAC"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1</w:t>
            </w:r>
          </w:p>
        </w:tc>
      </w:tr>
      <w:tr w:rsidR="003D2E5B" w:rsidRPr="005034FE" w14:paraId="1A0192C1" w14:textId="77777777" w:rsidTr="006F7B6E">
        <w:trPr>
          <w:trHeight w:val="600"/>
        </w:trPr>
        <w:tc>
          <w:tcPr>
            <w:tcW w:w="845" w:type="dxa"/>
            <w:tcBorders>
              <w:top w:val="single" w:sz="4" w:space="0" w:color="auto"/>
              <w:bottom w:val="single" w:sz="4" w:space="0" w:color="auto"/>
            </w:tcBorders>
            <w:shd w:val="clear" w:color="auto" w:fill="D9D9D9"/>
            <w:noWrap/>
            <w:vAlign w:val="center"/>
          </w:tcPr>
          <w:p w14:paraId="79515217"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שלום</w:t>
            </w:r>
          </w:p>
        </w:tc>
        <w:tc>
          <w:tcPr>
            <w:tcW w:w="1276" w:type="dxa"/>
            <w:tcBorders>
              <w:top w:val="single" w:sz="4" w:space="0" w:color="auto"/>
              <w:bottom w:val="single" w:sz="4" w:space="0" w:color="auto"/>
            </w:tcBorders>
            <w:shd w:val="clear" w:color="auto" w:fill="D9D9D9"/>
            <w:noWrap/>
            <w:vAlign w:val="center"/>
          </w:tcPr>
          <w:p w14:paraId="3FC72AA6"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עניינים מקומיים</w:t>
            </w:r>
          </w:p>
        </w:tc>
        <w:tc>
          <w:tcPr>
            <w:tcW w:w="2135" w:type="dxa"/>
            <w:tcBorders>
              <w:top w:val="single" w:sz="4" w:space="0" w:color="auto"/>
              <w:bottom w:val="single" w:sz="4" w:space="0" w:color="auto"/>
            </w:tcBorders>
            <w:shd w:val="clear" w:color="auto" w:fill="D9D9D9"/>
            <w:vAlign w:val="center"/>
          </w:tcPr>
          <w:p w14:paraId="56BC0A87"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חוקי עזר עירוניים - ברירת משפט (חע"מ)</w:t>
            </w:r>
          </w:p>
        </w:tc>
        <w:tc>
          <w:tcPr>
            <w:tcW w:w="1701" w:type="dxa"/>
            <w:tcBorders>
              <w:top w:val="single" w:sz="4" w:space="0" w:color="auto"/>
              <w:bottom w:val="single" w:sz="4" w:space="0" w:color="auto"/>
            </w:tcBorders>
            <w:shd w:val="clear" w:color="auto" w:fill="D9D9D9"/>
            <w:vAlign w:val="center"/>
          </w:tcPr>
          <w:p w14:paraId="06ECD049"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color w:val="000000"/>
              </w:rPr>
              <w:t>6,705</w:t>
            </w:r>
          </w:p>
        </w:tc>
        <w:tc>
          <w:tcPr>
            <w:tcW w:w="1832" w:type="dxa"/>
            <w:tcBorders>
              <w:top w:val="single" w:sz="4" w:space="0" w:color="auto"/>
              <w:bottom w:val="single" w:sz="4" w:space="0" w:color="auto"/>
            </w:tcBorders>
            <w:shd w:val="clear" w:color="auto" w:fill="D9D9D9"/>
            <w:noWrap/>
            <w:vAlign w:val="center"/>
          </w:tcPr>
          <w:p w14:paraId="45FF41EF" w14:textId="77777777" w:rsidR="003D2E5B" w:rsidRPr="005034FE" w:rsidRDefault="003D2E5B" w:rsidP="006F7B6E">
            <w:pPr>
              <w:spacing w:after="0" w:line="240" w:lineRule="auto"/>
              <w:jc w:val="center"/>
              <w:rPr>
                <w:rFonts w:ascii="David" w:hAnsi="David" w:cs="David"/>
                <w:b/>
                <w:bCs/>
                <w:color w:val="000000"/>
              </w:rPr>
            </w:pPr>
            <w:r w:rsidRPr="005034FE">
              <w:rPr>
                <w:rFonts w:ascii="David" w:hAnsi="David" w:cs="David" w:hint="cs"/>
                <w:b/>
                <w:bCs/>
                <w:color w:val="000000"/>
                <w:rtl/>
              </w:rPr>
              <w:t>0:21</w:t>
            </w:r>
          </w:p>
        </w:tc>
        <w:tc>
          <w:tcPr>
            <w:tcW w:w="1134" w:type="dxa"/>
            <w:tcBorders>
              <w:top w:val="single" w:sz="4" w:space="0" w:color="auto"/>
              <w:bottom w:val="single" w:sz="4" w:space="0" w:color="auto"/>
            </w:tcBorders>
            <w:shd w:val="clear" w:color="auto" w:fill="D9D9D9"/>
            <w:vAlign w:val="center"/>
          </w:tcPr>
          <w:p w14:paraId="6C913740"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1</w:t>
            </w:r>
          </w:p>
        </w:tc>
      </w:tr>
    </w:tbl>
    <w:p w14:paraId="4967BD5F" w14:textId="77777777" w:rsidR="00DD0D4B" w:rsidRPr="00F25744" w:rsidRDefault="00DD0D4B" w:rsidP="00DD0D4B">
      <w:pPr>
        <w:rPr>
          <w:rtl/>
        </w:rPr>
      </w:pPr>
    </w:p>
    <w:p w14:paraId="2BD8B563" w14:textId="77777777" w:rsidR="00DD0D4B" w:rsidRPr="00F25744" w:rsidRDefault="00DD0D4B" w:rsidP="00DD0D4B">
      <w:pPr>
        <w:rPr>
          <w:rtl/>
        </w:rPr>
      </w:pPr>
    </w:p>
    <w:p w14:paraId="33B36292" w14:textId="77777777" w:rsidR="00DD0D4B" w:rsidRPr="00F25744" w:rsidRDefault="00DD0D4B" w:rsidP="00DD0D4B">
      <w:pPr>
        <w:rPr>
          <w:rtl/>
        </w:rPr>
      </w:pPr>
    </w:p>
    <w:p w14:paraId="03D93915" w14:textId="77777777" w:rsidR="00DD0D4B" w:rsidRPr="00F25744" w:rsidRDefault="00DD0D4B" w:rsidP="00DD0D4B">
      <w:pPr>
        <w:rPr>
          <w:rtl/>
        </w:rPr>
      </w:pPr>
    </w:p>
    <w:p w14:paraId="3F6F9D64" w14:textId="77777777" w:rsidR="00DD0D4B" w:rsidRPr="00F25744" w:rsidRDefault="00DD0D4B" w:rsidP="00DD0D4B">
      <w:pPr>
        <w:rPr>
          <w:rtl/>
        </w:rPr>
      </w:pPr>
    </w:p>
    <w:p w14:paraId="37F5D919" w14:textId="77777777" w:rsidR="00DD0D4B" w:rsidRPr="00F25744" w:rsidRDefault="00DD0D4B" w:rsidP="00DD0D4B">
      <w:pPr>
        <w:rPr>
          <w:rtl/>
        </w:rPr>
      </w:pPr>
    </w:p>
    <w:p w14:paraId="6D9670C4" w14:textId="77777777" w:rsidR="00DD0D4B" w:rsidRPr="00F25744" w:rsidRDefault="00DD0D4B" w:rsidP="00DD0D4B">
      <w:pPr>
        <w:rPr>
          <w:rtl/>
        </w:rPr>
      </w:pPr>
    </w:p>
    <w:p w14:paraId="3F71037E" w14:textId="77777777" w:rsidR="00DD0D4B" w:rsidRPr="00F25744" w:rsidRDefault="00DD0D4B" w:rsidP="00DD0D4B">
      <w:pPr>
        <w:rPr>
          <w:rtl/>
        </w:rPr>
      </w:pPr>
    </w:p>
    <w:p w14:paraId="6D9FCF03" w14:textId="77777777" w:rsidR="00DD0D4B" w:rsidRPr="00F25744" w:rsidRDefault="00DD0D4B" w:rsidP="00DD0D4B">
      <w:pPr>
        <w:rPr>
          <w:rtl/>
        </w:rPr>
      </w:pPr>
    </w:p>
    <w:p w14:paraId="26D5A8EB" w14:textId="77777777" w:rsidR="00DD0D4B" w:rsidRPr="00F25744" w:rsidRDefault="00DD0D4B" w:rsidP="00DD0D4B">
      <w:pPr>
        <w:rPr>
          <w:rtl/>
        </w:rPr>
      </w:pPr>
    </w:p>
    <w:p w14:paraId="6DBDF88A" w14:textId="77777777" w:rsidR="00DD0D4B" w:rsidRPr="00F25744" w:rsidRDefault="00DD0D4B" w:rsidP="00DD0D4B">
      <w:pPr>
        <w:rPr>
          <w:rtl/>
        </w:rPr>
      </w:pPr>
    </w:p>
    <w:p w14:paraId="2BF4B6AD" w14:textId="77777777" w:rsidR="00DD0D4B" w:rsidRPr="00F25744" w:rsidRDefault="00DD0D4B" w:rsidP="00DD0D4B">
      <w:pPr>
        <w:rPr>
          <w:rtl/>
        </w:rPr>
      </w:pPr>
    </w:p>
    <w:p w14:paraId="6610DE17" w14:textId="77777777" w:rsidR="000B27AF" w:rsidRPr="00F25744" w:rsidRDefault="000B27AF">
      <w:pPr>
        <w:bidi w:val="0"/>
        <w:spacing w:after="0" w:line="240" w:lineRule="auto"/>
        <w:rPr>
          <w:rFonts w:asciiTheme="minorHAnsi" w:hAnsiTheme="minorHAnsi" w:cs="David"/>
          <w:b/>
          <w:bCs/>
          <w:sz w:val="24"/>
          <w:szCs w:val="24"/>
        </w:rPr>
      </w:pPr>
      <w:bookmarkStart w:id="1017" w:name="_Toc46416714"/>
      <w:r w:rsidRPr="00F25744">
        <w:rPr>
          <w:rtl/>
        </w:rPr>
        <w:br w:type="page"/>
      </w:r>
    </w:p>
    <w:p w14:paraId="1909A4B0" w14:textId="35315E37" w:rsidR="00DD0D4B" w:rsidRPr="006F7B6E" w:rsidRDefault="00E25AE7" w:rsidP="006F7B6E">
      <w:pPr>
        <w:pStyle w:val="3"/>
        <w:numPr>
          <w:ilvl w:val="0"/>
          <w:numId w:val="0"/>
        </w:numPr>
        <w:ind w:left="720"/>
        <w:rPr>
          <w:rFonts w:eastAsia="Times New Roman"/>
          <w:sz w:val="28"/>
          <w:szCs w:val="28"/>
        </w:rPr>
      </w:pPr>
      <w:bookmarkStart w:id="1018" w:name="_Toc74751064"/>
      <w:r w:rsidRPr="00F25744">
        <w:rPr>
          <w:rFonts w:hint="cs"/>
          <w:rtl/>
        </w:rPr>
        <w:lastRenderedPageBreak/>
        <w:t>נספח ה6: בתי המשפט לתעבורה</w:t>
      </w:r>
      <w:bookmarkEnd w:id="1017"/>
      <w:bookmarkEnd w:id="1018"/>
    </w:p>
    <w:tbl>
      <w:tblPr>
        <w:tblpPr w:leftFromText="181" w:rightFromText="85" w:vertAnchor="text" w:tblpXSpec="right" w:tblpY="1"/>
        <w:tblOverlap w:val="never"/>
        <w:bidiVisual/>
        <w:tblW w:w="8926" w:type="dxa"/>
        <w:tblBorders>
          <w:bottom w:val="single" w:sz="4" w:space="0" w:color="auto"/>
          <w:insideH w:val="single" w:sz="4" w:space="0" w:color="auto"/>
        </w:tblBorders>
        <w:tblLayout w:type="fixed"/>
        <w:tblLook w:val="04A0" w:firstRow="1" w:lastRow="0" w:firstColumn="1" w:lastColumn="0" w:noHBand="0" w:noVBand="1"/>
      </w:tblPr>
      <w:tblGrid>
        <w:gridCol w:w="992"/>
        <w:gridCol w:w="3194"/>
        <w:gridCol w:w="1890"/>
        <w:gridCol w:w="1858"/>
        <w:gridCol w:w="32"/>
        <w:gridCol w:w="960"/>
      </w:tblGrid>
      <w:tr w:rsidR="00E0162E" w:rsidRPr="005034FE" w14:paraId="50E2F8C6" w14:textId="77777777" w:rsidTr="006F7B6E">
        <w:trPr>
          <w:trHeight w:val="460"/>
        </w:trPr>
        <w:tc>
          <w:tcPr>
            <w:tcW w:w="992" w:type="dxa"/>
            <w:shd w:val="clear" w:color="auto" w:fill="auto"/>
            <w:noWrap/>
            <w:vAlign w:val="center"/>
          </w:tcPr>
          <w:p w14:paraId="21FFA132" w14:textId="77777777" w:rsidR="00DD0D4B" w:rsidRPr="005034FE" w:rsidRDefault="00E25AE7" w:rsidP="006F7B6E">
            <w:pPr>
              <w:spacing w:after="0" w:line="240" w:lineRule="auto"/>
              <w:jc w:val="center"/>
              <w:rPr>
                <w:rFonts w:ascii="David" w:eastAsia="Times New Roman" w:hAnsi="David" w:cs="David"/>
                <w:b/>
                <w:bCs/>
                <w:color w:val="000000"/>
              </w:rPr>
            </w:pPr>
            <w:r w:rsidRPr="005034FE">
              <w:rPr>
                <w:rFonts w:ascii="David" w:eastAsia="Times New Roman" w:hAnsi="David" w:cs="David"/>
                <w:b/>
                <w:bCs/>
                <w:color w:val="000000"/>
                <w:rtl/>
              </w:rPr>
              <w:t>ערכאה</w:t>
            </w:r>
          </w:p>
        </w:tc>
        <w:tc>
          <w:tcPr>
            <w:tcW w:w="3194" w:type="dxa"/>
            <w:shd w:val="clear" w:color="auto" w:fill="auto"/>
            <w:vAlign w:val="center"/>
          </w:tcPr>
          <w:p w14:paraId="66D7C9E9" w14:textId="77777777" w:rsidR="00DD0D4B" w:rsidRPr="005034FE" w:rsidRDefault="00E25AE7" w:rsidP="006F7B6E">
            <w:pPr>
              <w:spacing w:after="0" w:line="240" w:lineRule="auto"/>
              <w:jc w:val="center"/>
              <w:rPr>
                <w:rFonts w:ascii="David" w:eastAsia="Times New Roman" w:hAnsi="David" w:cs="David"/>
                <w:b/>
                <w:bCs/>
                <w:color w:val="000000"/>
                <w:rtl/>
              </w:rPr>
            </w:pPr>
            <w:r w:rsidRPr="005034FE">
              <w:rPr>
                <w:rFonts w:ascii="David" w:eastAsia="Times New Roman" w:hAnsi="David" w:cs="David"/>
                <w:b/>
                <w:bCs/>
                <w:color w:val="000000"/>
                <w:rtl/>
              </w:rPr>
              <w:t>סוג תיק</w:t>
            </w:r>
          </w:p>
        </w:tc>
        <w:tc>
          <w:tcPr>
            <w:tcW w:w="1890" w:type="dxa"/>
            <w:vAlign w:val="center"/>
          </w:tcPr>
          <w:p w14:paraId="7F69EC2C" w14:textId="77777777" w:rsidR="00DD0D4B" w:rsidRPr="005034FE" w:rsidRDefault="00E25AE7" w:rsidP="006F7B6E">
            <w:pPr>
              <w:spacing w:after="0" w:line="240" w:lineRule="auto"/>
              <w:jc w:val="center"/>
              <w:rPr>
                <w:rFonts w:ascii="David" w:eastAsia="Times New Roman" w:hAnsi="David" w:cs="David"/>
                <w:b/>
                <w:bCs/>
                <w:color w:val="000000"/>
                <w:rtl/>
              </w:rPr>
            </w:pPr>
            <w:r w:rsidRPr="005034FE">
              <w:rPr>
                <w:rFonts w:ascii="David" w:eastAsia="Times New Roman" w:hAnsi="David" w:cs="David" w:hint="cs"/>
                <w:b/>
                <w:bCs/>
                <w:color w:val="000000"/>
                <w:rtl/>
              </w:rPr>
              <w:t>מספר תיקים שנסגרו ב-2019</w:t>
            </w:r>
          </w:p>
        </w:tc>
        <w:tc>
          <w:tcPr>
            <w:tcW w:w="1858" w:type="dxa"/>
            <w:shd w:val="clear" w:color="auto" w:fill="auto"/>
            <w:noWrap/>
            <w:vAlign w:val="center"/>
          </w:tcPr>
          <w:p w14:paraId="1D964FD8" w14:textId="77777777" w:rsidR="00DD0D4B" w:rsidRPr="005034FE" w:rsidRDefault="00E25AE7" w:rsidP="006F7B6E">
            <w:pPr>
              <w:spacing w:after="0" w:line="240" w:lineRule="auto"/>
              <w:jc w:val="center"/>
              <w:rPr>
                <w:rFonts w:ascii="David" w:eastAsia="Times New Roman" w:hAnsi="David" w:cs="David"/>
                <w:b/>
                <w:bCs/>
                <w:color w:val="000000"/>
                <w:rtl/>
              </w:rPr>
            </w:pPr>
            <w:r w:rsidRPr="005034FE">
              <w:rPr>
                <w:rFonts w:ascii="David" w:eastAsia="Times New Roman" w:hAnsi="David" w:cs="David"/>
                <w:b/>
                <w:bCs/>
                <w:color w:val="000000"/>
                <w:rtl/>
              </w:rPr>
              <w:t>הזמן השיפוטי הממוצע הדרוש לטפל בתיק</w:t>
            </w:r>
          </w:p>
        </w:tc>
        <w:tc>
          <w:tcPr>
            <w:tcW w:w="992" w:type="dxa"/>
            <w:gridSpan w:val="2"/>
            <w:shd w:val="clear" w:color="auto" w:fill="auto"/>
            <w:vAlign w:val="center"/>
          </w:tcPr>
          <w:p w14:paraId="2A81CEB0" w14:textId="77777777" w:rsidR="00DD0D4B" w:rsidRPr="005034FE" w:rsidRDefault="00E25AE7" w:rsidP="006F7B6E">
            <w:pPr>
              <w:spacing w:after="0" w:line="240" w:lineRule="auto"/>
              <w:jc w:val="center"/>
              <w:rPr>
                <w:rFonts w:ascii="David" w:eastAsia="Times New Roman" w:hAnsi="David" w:cs="David"/>
                <w:b/>
                <w:bCs/>
                <w:color w:val="000000"/>
                <w:rtl/>
              </w:rPr>
            </w:pPr>
            <w:r w:rsidRPr="005034FE">
              <w:rPr>
                <w:rFonts w:ascii="David" w:eastAsia="Times New Roman" w:hAnsi="David" w:cs="David" w:hint="cs"/>
                <w:b/>
                <w:bCs/>
                <w:color w:val="000000"/>
                <w:rtl/>
              </w:rPr>
              <w:t>משקל ערכאתי לתיק</w:t>
            </w:r>
          </w:p>
        </w:tc>
      </w:tr>
      <w:tr w:rsidR="00E0162E" w:rsidRPr="005034FE" w14:paraId="3B51D343" w14:textId="77777777" w:rsidTr="006F7B6E">
        <w:trPr>
          <w:trHeight w:val="460"/>
        </w:trPr>
        <w:tc>
          <w:tcPr>
            <w:tcW w:w="992" w:type="dxa"/>
            <w:shd w:val="clear" w:color="auto" w:fill="D9D9D9"/>
            <w:noWrap/>
            <w:vAlign w:val="center"/>
          </w:tcPr>
          <w:p w14:paraId="2E6E9EAB" w14:textId="77777777" w:rsidR="00DD0D4B" w:rsidRPr="005034FE" w:rsidRDefault="00E25AE7" w:rsidP="006F7B6E">
            <w:pPr>
              <w:spacing w:after="0" w:line="240" w:lineRule="auto"/>
              <w:rPr>
                <w:rFonts w:ascii="David" w:hAnsi="David" w:cs="David"/>
                <w:color w:val="000000"/>
              </w:rPr>
            </w:pPr>
            <w:r w:rsidRPr="005034FE">
              <w:rPr>
                <w:rFonts w:ascii="David" w:hAnsi="David" w:cs="David"/>
                <w:color w:val="000000"/>
                <w:rtl/>
              </w:rPr>
              <w:t>תעבורה</w:t>
            </w:r>
          </w:p>
        </w:tc>
        <w:tc>
          <w:tcPr>
            <w:tcW w:w="3194" w:type="dxa"/>
            <w:shd w:val="clear" w:color="auto" w:fill="D9D9D9"/>
            <w:vAlign w:val="center"/>
          </w:tcPr>
          <w:p w14:paraId="64C9DEAF" w14:textId="77777777" w:rsidR="00DD0D4B" w:rsidRPr="005034FE" w:rsidRDefault="00E25AE7" w:rsidP="006F7B6E">
            <w:pPr>
              <w:spacing w:after="0" w:line="240" w:lineRule="auto"/>
              <w:rPr>
                <w:rFonts w:ascii="David" w:hAnsi="David" w:cs="David"/>
                <w:color w:val="000000"/>
              </w:rPr>
            </w:pPr>
            <w:r w:rsidRPr="005034FE">
              <w:rPr>
                <w:rFonts w:ascii="David" w:hAnsi="David" w:cs="David"/>
                <w:color w:val="000000"/>
                <w:rtl/>
              </w:rPr>
              <w:t>גרימת מוות בנהיגה רשלנית (גמ"ר)</w:t>
            </w:r>
          </w:p>
        </w:tc>
        <w:tc>
          <w:tcPr>
            <w:tcW w:w="1890" w:type="dxa"/>
            <w:shd w:val="clear" w:color="auto" w:fill="D9D9D9"/>
            <w:vAlign w:val="center"/>
          </w:tcPr>
          <w:p w14:paraId="2F70D43D" w14:textId="77777777" w:rsidR="00DD0D4B" w:rsidRPr="005034FE" w:rsidRDefault="00E25AE7" w:rsidP="006F7B6E">
            <w:pPr>
              <w:spacing w:after="0" w:line="240" w:lineRule="auto"/>
              <w:jc w:val="center"/>
              <w:rPr>
                <w:rFonts w:ascii="David" w:hAnsi="David" w:cs="David"/>
                <w:color w:val="000000"/>
              </w:rPr>
            </w:pPr>
            <w:r w:rsidRPr="005034FE">
              <w:rPr>
                <w:rFonts w:ascii="David" w:hAnsi="David" w:cs="David" w:hint="cs"/>
                <w:color w:val="000000"/>
                <w:rtl/>
              </w:rPr>
              <w:t>94</w:t>
            </w:r>
          </w:p>
        </w:tc>
        <w:tc>
          <w:tcPr>
            <w:tcW w:w="1890" w:type="dxa"/>
            <w:gridSpan w:val="2"/>
            <w:shd w:val="clear" w:color="auto" w:fill="D9D9D9"/>
            <w:noWrap/>
            <w:vAlign w:val="center"/>
          </w:tcPr>
          <w:p w14:paraId="168AFAE2" w14:textId="77777777" w:rsidR="00DD0D4B" w:rsidRPr="005034FE" w:rsidRDefault="00460A75" w:rsidP="006F7B6E">
            <w:pPr>
              <w:spacing w:after="0" w:line="240" w:lineRule="auto"/>
              <w:jc w:val="center"/>
              <w:rPr>
                <w:rFonts w:ascii="David" w:hAnsi="David" w:cs="David"/>
                <w:b/>
                <w:bCs/>
                <w:color w:val="000000"/>
              </w:rPr>
            </w:pPr>
            <w:r w:rsidRPr="005034FE">
              <w:rPr>
                <w:rFonts w:ascii="David" w:hAnsi="David" w:cs="David" w:hint="cs"/>
                <w:b/>
                <w:bCs/>
                <w:color w:val="000000"/>
                <w:rtl/>
              </w:rPr>
              <w:t>25:16</w:t>
            </w:r>
          </w:p>
        </w:tc>
        <w:tc>
          <w:tcPr>
            <w:tcW w:w="960" w:type="dxa"/>
            <w:shd w:val="clear" w:color="auto" w:fill="D9D9D9"/>
            <w:vAlign w:val="center"/>
          </w:tcPr>
          <w:p w14:paraId="6CC777F5" w14:textId="77777777" w:rsidR="00DD0D4B" w:rsidRPr="005034FE" w:rsidRDefault="00D27468" w:rsidP="006F7B6E">
            <w:pPr>
              <w:spacing w:after="0" w:line="240" w:lineRule="auto"/>
              <w:jc w:val="center"/>
              <w:rPr>
                <w:rFonts w:ascii="David" w:hAnsi="David" w:cs="David"/>
                <w:color w:val="000000"/>
              </w:rPr>
            </w:pPr>
            <w:r w:rsidRPr="005034FE">
              <w:rPr>
                <w:rFonts w:ascii="David" w:hAnsi="David" w:cs="David" w:hint="cs"/>
                <w:color w:val="000000"/>
                <w:rtl/>
              </w:rPr>
              <w:t>201</w:t>
            </w:r>
          </w:p>
        </w:tc>
      </w:tr>
      <w:tr w:rsidR="003D2E5B" w:rsidRPr="005034FE" w14:paraId="1D7A4572" w14:textId="77777777" w:rsidTr="006F7B6E">
        <w:trPr>
          <w:trHeight w:val="460"/>
        </w:trPr>
        <w:tc>
          <w:tcPr>
            <w:tcW w:w="992" w:type="dxa"/>
            <w:shd w:val="clear" w:color="auto" w:fill="auto"/>
            <w:noWrap/>
            <w:vAlign w:val="center"/>
          </w:tcPr>
          <w:p w14:paraId="4D22827D"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תעבורה</w:t>
            </w:r>
          </w:p>
        </w:tc>
        <w:tc>
          <w:tcPr>
            <w:tcW w:w="3194" w:type="dxa"/>
            <w:shd w:val="clear" w:color="auto" w:fill="auto"/>
            <w:vAlign w:val="center"/>
          </w:tcPr>
          <w:p w14:paraId="3FF4C463"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תיק ת"ד אדום (תד"א)</w:t>
            </w:r>
          </w:p>
        </w:tc>
        <w:tc>
          <w:tcPr>
            <w:tcW w:w="1890" w:type="dxa"/>
            <w:shd w:val="clear" w:color="auto" w:fill="auto"/>
            <w:vAlign w:val="center"/>
          </w:tcPr>
          <w:p w14:paraId="2C1ECEAD" w14:textId="77777777" w:rsidR="003D2E5B" w:rsidRPr="005034FE" w:rsidRDefault="003D2E5B" w:rsidP="006F7B6E">
            <w:pPr>
              <w:spacing w:after="0" w:line="240" w:lineRule="auto"/>
              <w:jc w:val="center"/>
              <w:rPr>
                <w:rFonts w:ascii="David" w:hAnsi="David" w:cs="David"/>
                <w:color w:val="000000"/>
                <w:rtl/>
              </w:rPr>
            </w:pPr>
            <w:r w:rsidRPr="005034FE">
              <w:rPr>
                <w:rFonts w:ascii="David" w:hAnsi="David" w:cs="David" w:hint="cs"/>
                <w:color w:val="000000"/>
                <w:rtl/>
              </w:rPr>
              <w:t>87</w:t>
            </w:r>
          </w:p>
        </w:tc>
        <w:tc>
          <w:tcPr>
            <w:tcW w:w="1890" w:type="dxa"/>
            <w:gridSpan w:val="2"/>
            <w:shd w:val="clear" w:color="auto" w:fill="auto"/>
            <w:noWrap/>
            <w:vAlign w:val="center"/>
          </w:tcPr>
          <w:p w14:paraId="34EB8BFB" w14:textId="77777777" w:rsidR="003D2E5B" w:rsidRPr="005034FE" w:rsidRDefault="003D2E5B" w:rsidP="006F7B6E">
            <w:pPr>
              <w:spacing w:after="0" w:line="240" w:lineRule="auto"/>
              <w:jc w:val="center"/>
              <w:rPr>
                <w:rFonts w:ascii="David" w:hAnsi="David" w:cs="David"/>
                <w:b/>
                <w:bCs/>
                <w:color w:val="000000"/>
                <w:rtl/>
              </w:rPr>
            </w:pPr>
            <w:r w:rsidRPr="005034FE">
              <w:rPr>
                <w:rFonts w:ascii="David" w:hAnsi="David" w:cs="David"/>
                <w:b/>
                <w:bCs/>
                <w:color w:val="000000"/>
              </w:rPr>
              <w:t>2:04</w:t>
            </w:r>
          </w:p>
        </w:tc>
        <w:tc>
          <w:tcPr>
            <w:tcW w:w="960" w:type="dxa"/>
            <w:shd w:val="clear" w:color="auto" w:fill="auto"/>
            <w:vAlign w:val="center"/>
          </w:tcPr>
          <w:p w14:paraId="4B65DA73" w14:textId="77777777" w:rsidR="003D2E5B" w:rsidRPr="005034FE" w:rsidRDefault="003D2E5B" w:rsidP="006F7B6E">
            <w:pPr>
              <w:spacing w:after="0" w:line="240" w:lineRule="auto"/>
              <w:jc w:val="center"/>
              <w:rPr>
                <w:rFonts w:ascii="David" w:hAnsi="David" w:cs="David"/>
                <w:color w:val="000000"/>
                <w:rtl/>
              </w:rPr>
            </w:pPr>
            <w:r w:rsidRPr="005034FE">
              <w:rPr>
                <w:rFonts w:ascii="David" w:hAnsi="David" w:cs="David" w:hint="cs"/>
                <w:color w:val="000000"/>
                <w:rtl/>
              </w:rPr>
              <w:t>16</w:t>
            </w:r>
          </w:p>
        </w:tc>
      </w:tr>
      <w:tr w:rsidR="003D2E5B" w:rsidRPr="005034FE" w14:paraId="12B0ADAA" w14:textId="77777777" w:rsidTr="006F7B6E">
        <w:trPr>
          <w:trHeight w:val="460"/>
        </w:trPr>
        <w:tc>
          <w:tcPr>
            <w:tcW w:w="992" w:type="dxa"/>
            <w:shd w:val="clear" w:color="auto" w:fill="D9D9D9"/>
            <w:noWrap/>
            <w:vAlign w:val="center"/>
          </w:tcPr>
          <w:p w14:paraId="76C6EDD1"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תעבורה</w:t>
            </w:r>
          </w:p>
        </w:tc>
        <w:tc>
          <w:tcPr>
            <w:tcW w:w="3194" w:type="dxa"/>
            <w:shd w:val="clear" w:color="auto" w:fill="D9D9D9"/>
            <w:vAlign w:val="center"/>
          </w:tcPr>
          <w:p w14:paraId="489E6F19"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תיק פ"ל אדום (פל"א)</w:t>
            </w:r>
          </w:p>
        </w:tc>
        <w:tc>
          <w:tcPr>
            <w:tcW w:w="1890" w:type="dxa"/>
            <w:shd w:val="clear" w:color="auto" w:fill="D9D9D9"/>
            <w:vAlign w:val="center"/>
          </w:tcPr>
          <w:p w14:paraId="0118FBCF" w14:textId="77777777" w:rsidR="003D2E5B" w:rsidRPr="005034FE" w:rsidRDefault="003D2E5B" w:rsidP="006F7B6E">
            <w:pPr>
              <w:spacing w:after="0" w:line="240" w:lineRule="auto"/>
              <w:jc w:val="center"/>
              <w:rPr>
                <w:rFonts w:ascii="David" w:hAnsi="David" w:cs="David"/>
                <w:color w:val="000000"/>
                <w:rtl/>
              </w:rPr>
            </w:pPr>
            <w:r w:rsidRPr="005034FE">
              <w:rPr>
                <w:rFonts w:ascii="David" w:hAnsi="David" w:cs="David" w:hint="cs"/>
                <w:color w:val="000000"/>
                <w:rtl/>
              </w:rPr>
              <w:t>2,113</w:t>
            </w:r>
          </w:p>
        </w:tc>
        <w:tc>
          <w:tcPr>
            <w:tcW w:w="1890" w:type="dxa"/>
            <w:gridSpan w:val="2"/>
            <w:shd w:val="clear" w:color="auto" w:fill="D9D9D9"/>
            <w:noWrap/>
            <w:vAlign w:val="center"/>
          </w:tcPr>
          <w:p w14:paraId="3680F2FD" w14:textId="77777777" w:rsidR="003D2E5B" w:rsidRPr="005034FE" w:rsidRDefault="003D2E5B" w:rsidP="006F7B6E">
            <w:pPr>
              <w:spacing w:after="0" w:line="240" w:lineRule="auto"/>
              <w:jc w:val="center"/>
              <w:rPr>
                <w:rFonts w:ascii="David" w:hAnsi="David" w:cs="David"/>
                <w:b/>
                <w:bCs/>
                <w:color w:val="000000"/>
                <w:rtl/>
              </w:rPr>
            </w:pPr>
            <w:r w:rsidRPr="005034FE">
              <w:rPr>
                <w:rFonts w:ascii="David" w:hAnsi="David" w:cs="David"/>
                <w:b/>
                <w:bCs/>
                <w:color w:val="000000"/>
              </w:rPr>
              <w:t>1:57</w:t>
            </w:r>
          </w:p>
        </w:tc>
        <w:tc>
          <w:tcPr>
            <w:tcW w:w="960" w:type="dxa"/>
            <w:shd w:val="clear" w:color="auto" w:fill="D9D9D9"/>
            <w:vAlign w:val="center"/>
          </w:tcPr>
          <w:p w14:paraId="0BF6B5FF" w14:textId="77777777" w:rsidR="003D2E5B" w:rsidRPr="005034FE" w:rsidRDefault="003D2E5B" w:rsidP="006F7B6E">
            <w:pPr>
              <w:spacing w:after="0" w:line="240" w:lineRule="auto"/>
              <w:jc w:val="center"/>
              <w:rPr>
                <w:rFonts w:ascii="David" w:hAnsi="David" w:cs="David"/>
                <w:color w:val="000000"/>
                <w:rtl/>
              </w:rPr>
            </w:pPr>
            <w:r w:rsidRPr="005034FE">
              <w:rPr>
                <w:rFonts w:ascii="David" w:hAnsi="David" w:cs="David" w:hint="cs"/>
                <w:color w:val="000000"/>
                <w:rtl/>
              </w:rPr>
              <w:t>16</w:t>
            </w:r>
          </w:p>
        </w:tc>
      </w:tr>
      <w:tr w:rsidR="003D2E5B" w:rsidRPr="005034FE" w14:paraId="64EDD354" w14:textId="77777777" w:rsidTr="006F7B6E">
        <w:trPr>
          <w:trHeight w:val="600"/>
        </w:trPr>
        <w:tc>
          <w:tcPr>
            <w:tcW w:w="992" w:type="dxa"/>
            <w:shd w:val="clear" w:color="auto" w:fill="auto"/>
            <w:noWrap/>
            <w:vAlign w:val="center"/>
          </w:tcPr>
          <w:p w14:paraId="1F0304D0" w14:textId="77777777" w:rsidR="003D2E5B" w:rsidRPr="005034FE" w:rsidRDefault="003D2E5B" w:rsidP="006F7B6E">
            <w:pPr>
              <w:spacing w:after="0" w:line="240" w:lineRule="auto"/>
              <w:rPr>
                <w:rFonts w:ascii="David" w:hAnsi="David" w:cs="David"/>
                <w:color w:val="000000"/>
              </w:rPr>
            </w:pPr>
            <w:r w:rsidRPr="005034FE">
              <w:rPr>
                <w:rFonts w:ascii="David" w:hAnsi="David" w:cs="David"/>
                <w:color w:val="000000"/>
                <w:rtl/>
              </w:rPr>
              <w:t>תעבורה</w:t>
            </w:r>
          </w:p>
        </w:tc>
        <w:tc>
          <w:tcPr>
            <w:tcW w:w="3194" w:type="dxa"/>
            <w:shd w:val="clear" w:color="auto" w:fill="auto"/>
            <w:vAlign w:val="center"/>
          </w:tcPr>
          <w:p w14:paraId="51DC5FED"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עבירות שאינן תאונות דרכים ואינן דו"חות (פ"ל)</w:t>
            </w:r>
          </w:p>
        </w:tc>
        <w:tc>
          <w:tcPr>
            <w:tcW w:w="1890" w:type="dxa"/>
            <w:vAlign w:val="center"/>
          </w:tcPr>
          <w:p w14:paraId="0E58E210"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3,449</w:t>
            </w:r>
          </w:p>
        </w:tc>
        <w:tc>
          <w:tcPr>
            <w:tcW w:w="1890" w:type="dxa"/>
            <w:gridSpan w:val="2"/>
            <w:shd w:val="clear" w:color="auto" w:fill="auto"/>
            <w:noWrap/>
            <w:vAlign w:val="center"/>
          </w:tcPr>
          <w:p w14:paraId="02E546EC" w14:textId="77777777" w:rsidR="003D2E5B" w:rsidRPr="005034FE" w:rsidRDefault="003D2E5B" w:rsidP="006F7B6E">
            <w:pPr>
              <w:spacing w:after="0" w:line="240" w:lineRule="auto"/>
              <w:jc w:val="center"/>
              <w:rPr>
                <w:rFonts w:ascii="David" w:hAnsi="David" w:cs="David"/>
                <w:b/>
                <w:bCs/>
                <w:color w:val="000000"/>
              </w:rPr>
            </w:pPr>
            <w:r w:rsidRPr="005034FE">
              <w:rPr>
                <w:rFonts w:ascii="David" w:hAnsi="David" w:cs="David"/>
                <w:b/>
                <w:bCs/>
                <w:color w:val="000000"/>
              </w:rPr>
              <w:t>1:38</w:t>
            </w:r>
          </w:p>
        </w:tc>
        <w:tc>
          <w:tcPr>
            <w:tcW w:w="960" w:type="dxa"/>
            <w:shd w:val="clear" w:color="auto" w:fill="auto"/>
            <w:vAlign w:val="center"/>
          </w:tcPr>
          <w:p w14:paraId="30DE8DAC"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13</w:t>
            </w:r>
          </w:p>
        </w:tc>
      </w:tr>
      <w:tr w:rsidR="003D2E5B" w:rsidRPr="005034FE" w14:paraId="1E2C4B2A" w14:textId="77777777" w:rsidTr="006F7B6E">
        <w:trPr>
          <w:trHeight w:val="600"/>
        </w:trPr>
        <w:tc>
          <w:tcPr>
            <w:tcW w:w="992" w:type="dxa"/>
            <w:shd w:val="clear" w:color="auto" w:fill="D9D9D9"/>
            <w:noWrap/>
            <w:vAlign w:val="center"/>
          </w:tcPr>
          <w:p w14:paraId="12D1382D" w14:textId="77777777" w:rsidR="003D2E5B" w:rsidRPr="005034FE" w:rsidRDefault="003D2E5B" w:rsidP="006F7B6E">
            <w:pPr>
              <w:spacing w:after="0" w:line="240" w:lineRule="auto"/>
              <w:rPr>
                <w:rFonts w:ascii="David" w:hAnsi="David" w:cs="David"/>
                <w:color w:val="000000"/>
              </w:rPr>
            </w:pPr>
            <w:r w:rsidRPr="005034FE">
              <w:rPr>
                <w:rFonts w:ascii="David" w:hAnsi="David" w:cs="David"/>
                <w:color w:val="000000"/>
                <w:rtl/>
              </w:rPr>
              <w:t>תעבורה</w:t>
            </w:r>
          </w:p>
        </w:tc>
        <w:tc>
          <w:tcPr>
            <w:tcW w:w="3194" w:type="dxa"/>
            <w:shd w:val="clear" w:color="auto" w:fill="D9D9D9"/>
            <w:vAlign w:val="center"/>
          </w:tcPr>
          <w:p w14:paraId="7F64D715"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מעצר עד תום ההליכים (מ"ת)</w:t>
            </w:r>
          </w:p>
        </w:tc>
        <w:tc>
          <w:tcPr>
            <w:tcW w:w="1890" w:type="dxa"/>
            <w:shd w:val="clear" w:color="auto" w:fill="D9D9D9"/>
            <w:vAlign w:val="center"/>
          </w:tcPr>
          <w:p w14:paraId="5A9C3E6F"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1,774</w:t>
            </w:r>
          </w:p>
        </w:tc>
        <w:tc>
          <w:tcPr>
            <w:tcW w:w="1890" w:type="dxa"/>
            <w:gridSpan w:val="2"/>
            <w:shd w:val="clear" w:color="auto" w:fill="D9D9D9"/>
            <w:noWrap/>
            <w:vAlign w:val="center"/>
          </w:tcPr>
          <w:p w14:paraId="37140144" w14:textId="77777777" w:rsidR="003D2E5B" w:rsidRPr="005034FE" w:rsidRDefault="003D2E5B" w:rsidP="006F7B6E">
            <w:pPr>
              <w:spacing w:after="0" w:line="240" w:lineRule="auto"/>
              <w:jc w:val="center"/>
              <w:rPr>
                <w:rFonts w:ascii="David" w:hAnsi="David" w:cs="David"/>
                <w:b/>
                <w:bCs/>
                <w:color w:val="000000"/>
              </w:rPr>
            </w:pPr>
            <w:r w:rsidRPr="005034FE">
              <w:rPr>
                <w:rFonts w:ascii="David" w:hAnsi="David" w:cs="David"/>
                <w:b/>
                <w:bCs/>
                <w:color w:val="000000"/>
              </w:rPr>
              <w:t>1:32</w:t>
            </w:r>
          </w:p>
        </w:tc>
        <w:tc>
          <w:tcPr>
            <w:tcW w:w="960" w:type="dxa"/>
            <w:shd w:val="clear" w:color="auto" w:fill="D9D9D9"/>
            <w:vAlign w:val="center"/>
          </w:tcPr>
          <w:p w14:paraId="1581587C"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12</w:t>
            </w:r>
          </w:p>
        </w:tc>
      </w:tr>
      <w:tr w:rsidR="003D2E5B" w:rsidRPr="005034FE" w14:paraId="25B2CB44" w14:textId="77777777" w:rsidTr="006F7B6E">
        <w:trPr>
          <w:trHeight w:val="600"/>
        </w:trPr>
        <w:tc>
          <w:tcPr>
            <w:tcW w:w="992" w:type="dxa"/>
            <w:shd w:val="clear" w:color="auto" w:fill="auto"/>
            <w:noWrap/>
            <w:vAlign w:val="center"/>
          </w:tcPr>
          <w:p w14:paraId="244C53FD" w14:textId="77777777" w:rsidR="003D2E5B" w:rsidRPr="005034FE" w:rsidRDefault="003D2E5B" w:rsidP="006F7B6E">
            <w:pPr>
              <w:spacing w:after="0" w:line="240" w:lineRule="auto"/>
              <w:rPr>
                <w:rFonts w:ascii="David" w:hAnsi="David" w:cs="David"/>
                <w:color w:val="000000"/>
              </w:rPr>
            </w:pPr>
            <w:r w:rsidRPr="005034FE">
              <w:rPr>
                <w:rFonts w:ascii="David" w:hAnsi="David" w:cs="David"/>
                <w:color w:val="000000"/>
                <w:rtl/>
              </w:rPr>
              <w:t>תעבורה</w:t>
            </w:r>
          </w:p>
        </w:tc>
        <w:tc>
          <w:tcPr>
            <w:tcW w:w="3194" w:type="dxa"/>
            <w:shd w:val="clear" w:color="auto" w:fill="auto"/>
            <w:vAlign w:val="center"/>
          </w:tcPr>
          <w:p w14:paraId="1F3EE090"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תאונת דרכים ללא נפגעי גוף (נ"ב)</w:t>
            </w:r>
          </w:p>
        </w:tc>
        <w:tc>
          <w:tcPr>
            <w:tcW w:w="1890" w:type="dxa"/>
            <w:vAlign w:val="center"/>
          </w:tcPr>
          <w:p w14:paraId="4A39AB03"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483</w:t>
            </w:r>
          </w:p>
        </w:tc>
        <w:tc>
          <w:tcPr>
            <w:tcW w:w="1890" w:type="dxa"/>
            <w:gridSpan w:val="2"/>
            <w:shd w:val="clear" w:color="auto" w:fill="auto"/>
            <w:noWrap/>
            <w:vAlign w:val="center"/>
          </w:tcPr>
          <w:p w14:paraId="21625C7F" w14:textId="77777777" w:rsidR="003D2E5B" w:rsidRPr="005034FE" w:rsidRDefault="003D2E5B" w:rsidP="006F7B6E">
            <w:pPr>
              <w:spacing w:after="0" w:line="240" w:lineRule="auto"/>
              <w:jc w:val="center"/>
              <w:rPr>
                <w:rFonts w:ascii="David" w:hAnsi="David" w:cs="David"/>
                <w:b/>
                <w:bCs/>
                <w:color w:val="000000"/>
              </w:rPr>
            </w:pPr>
            <w:r w:rsidRPr="005034FE">
              <w:rPr>
                <w:rFonts w:ascii="David" w:hAnsi="David" w:cs="David"/>
                <w:b/>
                <w:bCs/>
                <w:color w:val="000000"/>
              </w:rPr>
              <w:t>1:22</w:t>
            </w:r>
          </w:p>
        </w:tc>
        <w:tc>
          <w:tcPr>
            <w:tcW w:w="960" w:type="dxa"/>
            <w:shd w:val="clear" w:color="auto" w:fill="auto"/>
            <w:vAlign w:val="center"/>
          </w:tcPr>
          <w:p w14:paraId="558335C6"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11</w:t>
            </w:r>
          </w:p>
        </w:tc>
      </w:tr>
      <w:tr w:rsidR="003D2E5B" w:rsidRPr="005034FE" w14:paraId="34FE8AC1" w14:textId="77777777" w:rsidTr="006F7B6E">
        <w:trPr>
          <w:trHeight w:val="600"/>
        </w:trPr>
        <w:tc>
          <w:tcPr>
            <w:tcW w:w="992" w:type="dxa"/>
            <w:shd w:val="clear" w:color="auto" w:fill="D9D9D9"/>
            <w:noWrap/>
            <w:vAlign w:val="center"/>
          </w:tcPr>
          <w:p w14:paraId="572CBD7A" w14:textId="77777777" w:rsidR="003D2E5B" w:rsidRPr="005034FE" w:rsidRDefault="003D2E5B" w:rsidP="006F7B6E">
            <w:pPr>
              <w:spacing w:after="0" w:line="240" w:lineRule="auto"/>
              <w:rPr>
                <w:rFonts w:ascii="David" w:hAnsi="David" w:cs="David"/>
                <w:color w:val="000000"/>
              </w:rPr>
            </w:pPr>
            <w:r w:rsidRPr="005034FE">
              <w:rPr>
                <w:rFonts w:ascii="David" w:hAnsi="David" w:cs="David"/>
                <w:color w:val="000000"/>
                <w:rtl/>
              </w:rPr>
              <w:t>תעבורה</w:t>
            </w:r>
          </w:p>
        </w:tc>
        <w:tc>
          <w:tcPr>
            <w:tcW w:w="3194" w:type="dxa"/>
            <w:shd w:val="clear" w:color="auto" w:fill="D9D9D9"/>
            <w:vAlign w:val="center"/>
          </w:tcPr>
          <w:p w14:paraId="6A6DDFFD"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בקשה לעיון בחומר חקירה (בע"ח)</w:t>
            </w:r>
          </w:p>
        </w:tc>
        <w:tc>
          <w:tcPr>
            <w:tcW w:w="1890" w:type="dxa"/>
            <w:shd w:val="clear" w:color="auto" w:fill="D9D9D9"/>
            <w:vAlign w:val="center"/>
          </w:tcPr>
          <w:p w14:paraId="1436D19E"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232</w:t>
            </w:r>
          </w:p>
        </w:tc>
        <w:tc>
          <w:tcPr>
            <w:tcW w:w="1890" w:type="dxa"/>
            <w:gridSpan w:val="2"/>
            <w:shd w:val="clear" w:color="auto" w:fill="D9D9D9"/>
            <w:noWrap/>
            <w:vAlign w:val="center"/>
          </w:tcPr>
          <w:p w14:paraId="161452AC" w14:textId="77777777" w:rsidR="003D2E5B" w:rsidRPr="005034FE" w:rsidRDefault="003D2E5B" w:rsidP="006F7B6E">
            <w:pPr>
              <w:spacing w:after="0" w:line="240" w:lineRule="auto"/>
              <w:jc w:val="center"/>
              <w:rPr>
                <w:rFonts w:ascii="David" w:hAnsi="David" w:cs="David"/>
                <w:b/>
                <w:bCs/>
                <w:color w:val="000000"/>
              </w:rPr>
            </w:pPr>
            <w:r w:rsidRPr="005034FE">
              <w:rPr>
                <w:rFonts w:ascii="David" w:hAnsi="David" w:cs="David"/>
                <w:b/>
                <w:bCs/>
                <w:color w:val="000000"/>
              </w:rPr>
              <w:t>1:19</w:t>
            </w:r>
          </w:p>
        </w:tc>
        <w:tc>
          <w:tcPr>
            <w:tcW w:w="960" w:type="dxa"/>
            <w:shd w:val="clear" w:color="auto" w:fill="D9D9D9"/>
            <w:vAlign w:val="center"/>
          </w:tcPr>
          <w:p w14:paraId="24B453C6"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11</w:t>
            </w:r>
          </w:p>
        </w:tc>
      </w:tr>
      <w:tr w:rsidR="003D2E5B" w:rsidRPr="005034FE" w14:paraId="3C9E315C" w14:textId="77777777" w:rsidTr="006F7B6E">
        <w:trPr>
          <w:trHeight w:val="600"/>
        </w:trPr>
        <w:tc>
          <w:tcPr>
            <w:tcW w:w="992" w:type="dxa"/>
            <w:shd w:val="clear" w:color="auto" w:fill="auto"/>
            <w:noWrap/>
            <w:vAlign w:val="center"/>
          </w:tcPr>
          <w:p w14:paraId="241DCDF4" w14:textId="77777777" w:rsidR="003D2E5B" w:rsidRPr="005034FE" w:rsidRDefault="003D2E5B" w:rsidP="006F7B6E">
            <w:pPr>
              <w:spacing w:after="0" w:line="240" w:lineRule="auto"/>
              <w:rPr>
                <w:rFonts w:ascii="David" w:hAnsi="David" w:cs="David"/>
                <w:color w:val="000000"/>
              </w:rPr>
            </w:pPr>
            <w:r w:rsidRPr="005034FE">
              <w:rPr>
                <w:rFonts w:ascii="David" w:hAnsi="David" w:cs="David"/>
                <w:color w:val="000000"/>
                <w:rtl/>
              </w:rPr>
              <w:t>תעבורה</w:t>
            </w:r>
          </w:p>
        </w:tc>
        <w:tc>
          <w:tcPr>
            <w:tcW w:w="3194" w:type="dxa"/>
            <w:shd w:val="clear" w:color="auto" w:fill="auto"/>
            <w:vAlign w:val="center"/>
          </w:tcPr>
          <w:p w14:paraId="2672DA31"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תיק נ"ב אדום (נב"א)</w:t>
            </w:r>
          </w:p>
        </w:tc>
        <w:tc>
          <w:tcPr>
            <w:tcW w:w="1890" w:type="dxa"/>
            <w:vAlign w:val="center"/>
          </w:tcPr>
          <w:p w14:paraId="1F294765"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120</w:t>
            </w:r>
          </w:p>
        </w:tc>
        <w:tc>
          <w:tcPr>
            <w:tcW w:w="1890" w:type="dxa"/>
            <w:gridSpan w:val="2"/>
            <w:shd w:val="clear" w:color="auto" w:fill="auto"/>
            <w:noWrap/>
            <w:vAlign w:val="center"/>
          </w:tcPr>
          <w:p w14:paraId="0DA4AD02" w14:textId="77777777" w:rsidR="003D2E5B" w:rsidRPr="005034FE" w:rsidRDefault="003D2E5B" w:rsidP="006F7B6E">
            <w:pPr>
              <w:spacing w:after="0" w:line="240" w:lineRule="auto"/>
              <w:jc w:val="center"/>
              <w:rPr>
                <w:rFonts w:ascii="David" w:hAnsi="David" w:cs="David"/>
                <w:b/>
                <w:bCs/>
                <w:color w:val="000000"/>
              </w:rPr>
            </w:pPr>
            <w:r w:rsidRPr="005034FE">
              <w:rPr>
                <w:rFonts w:ascii="David" w:hAnsi="David" w:cs="David"/>
                <w:b/>
                <w:bCs/>
                <w:color w:val="000000"/>
              </w:rPr>
              <w:t>1:14</w:t>
            </w:r>
          </w:p>
        </w:tc>
        <w:tc>
          <w:tcPr>
            <w:tcW w:w="960" w:type="dxa"/>
            <w:shd w:val="clear" w:color="auto" w:fill="auto"/>
            <w:vAlign w:val="center"/>
          </w:tcPr>
          <w:p w14:paraId="018DEBDD"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10</w:t>
            </w:r>
          </w:p>
        </w:tc>
      </w:tr>
      <w:tr w:rsidR="003D2E5B" w:rsidRPr="005034FE" w14:paraId="26F9F3FB" w14:textId="77777777" w:rsidTr="006F7B6E">
        <w:trPr>
          <w:trHeight w:val="600"/>
        </w:trPr>
        <w:tc>
          <w:tcPr>
            <w:tcW w:w="992" w:type="dxa"/>
            <w:shd w:val="clear" w:color="auto" w:fill="D9D9D9"/>
            <w:noWrap/>
            <w:vAlign w:val="center"/>
          </w:tcPr>
          <w:p w14:paraId="1BD8797B" w14:textId="77777777" w:rsidR="003D2E5B" w:rsidRPr="005034FE" w:rsidRDefault="003D2E5B" w:rsidP="006F7B6E">
            <w:pPr>
              <w:spacing w:after="0" w:line="240" w:lineRule="auto"/>
              <w:rPr>
                <w:rFonts w:ascii="David" w:hAnsi="David" w:cs="David"/>
                <w:color w:val="000000"/>
              </w:rPr>
            </w:pPr>
            <w:r w:rsidRPr="005034FE">
              <w:rPr>
                <w:rFonts w:ascii="David" w:hAnsi="David" w:cs="David"/>
                <w:color w:val="000000"/>
                <w:rtl/>
              </w:rPr>
              <w:t>תעבורה</w:t>
            </w:r>
          </w:p>
        </w:tc>
        <w:tc>
          <w:tcPr>
            <w:tcW w:w="3194" w:type="dxa"/>
            <w:shd w:val="clear" w:color="auto" w:fill="D9D9D9"/>
            <w:vAlign w:val="center"/>
          </w:tcPr>
          <w:p w14:paraId="5AB92791"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תאונת דרכים (ת"ד)</w:t>
            </w:r>
          </w:p>
        </w:tc>
        <w:tc>
          <w:tcPr>
            <w:tcW w:w="1890" w:type="dxa"/>
            <w:shd w:val="clear" w:color="auto" w:fill="D9D9D9"/>
            <w:vAlign w:val="center"/>
          </w:tcPr>
          <w:p w14:paraId="0C2FD53F"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8,337</w:t>
            </w:r>
          </w:p>
        </w:tc>
        <w:tc>
          <w:tcPr>
            <w:tcW w:w="1890" w:type="dxa"/>
            <w:gridSpan w:val="2"/>
            <w:shd w:val="clear" w:color="auto" w:fill="D9D9D9"/>
            <w:noWrap/>
            <w:vAlign w:val="center"/>
          </w:tcPr>
          <w:p w14:paraId="2214971F" w14:textId="77777777" w:rsidR="003D2E5B" w:rsidRPr="005034FE" w:rsidRDefault="003D2E5B" w:rsidP="006F7B6E">
            <w:pPr>
              <w:spacing w:after="0" w:line="240" w:lineRule="auto"/>
              <w:jc w:val="center"/>
              <w:rPr>
                <w:rFonts w:ascii="David" w:hAnsi="David" w:cs="David"/>
                <w:b/>
                <w:bCs/>
                <w:color w:val="000000"/>
              </w:rPr>
            </w:pPr>
            <w:r w:rsidRPr="005034FE">
              <w:rPr>
                <w:rFonts w:ascii="David" w:hAnsi="David" w:cs="David"/>
                <w:b/>
                <w:bCs/>
                <w:color w:val="000000"/>
              </w:rPr>
              <w:t>1:02</w:t>
            </w:r>
          </w:p>
        </w:tc>
        <w:tc>
          <w:tcPr>
            <w:tcW w:w="960" w:type="dxa"/>
            <w:shd w:val="clear" w:color="auto" w:fill="D9D9D9"/>
            <w:vAlign w:val="center"/>
          </w:tcPr>
          <w:p w14:paraId="0AF653CF"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8</w:t>
            </w:r>
          </w:p>
        </w:tc>
      </w:tr>
      <w:tr w:rsidR="003D2E5B" w:rsidRPr="005034FE" w14:paraId="5BCED9FF" w14:textId="77777777" w:rsidTr="006F7B6E">
        <w:trPr>
          <w:trHeight w:val="600"/>
        </w:trPr>
        <w:tc>
          <w:tcPr>
            <w:tcW w:w="992" w:type="dxa"/>
            <w:shd w:val="clear" w:color="auto" w:fill="auto"/>
            <w:noWrap/>
            <w:vAlign w:val="center"/>
          </w:tcPr>
          <w:p w14:paraId="5E11BE78" w14:textId="77777777" w:rsidR="003D2E5B" w:rsidRPr="005034FE" w:rsidRDefault="003D2E5B" w:rsidP="006F7B6E">
            <w:pPr>
              <w:spacing w:after="0" w:line="240" w:lineRule="auto"/>
              <w:rPr>
                <w:rFonts w:ascii="David" w:hAnsi="David" w:cs="David"/>
                <w:color w:val="000000"/>
              </w:rPr>
            </w:pPr>
            <w:r w:rsidRPr="005034FE">
              <w:rPr>
                <w:rFonts w:ascii="David" w:hAnsi="David" w:cs="David"/>
                <w:color w:val="000000"/>
                <w:rtl/>
              </w:rPr>
              <w:t>תעבורה</w:t>
            </w:r>
          </w:p>
        </w:tc>
        <w:tc>
          <w:tcPr>
            <w:tcW w:w="3194" w:type="dxa"/>
            <w:shd w:val="clear" w:color="auto" w:fill="auto"/>
            <w:vAlign w:val="center"/>
          </w:tcPr>
          <w:p w14:paraId="69C4FD13"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תיק תת"ע אדום (תתע"א)</w:t>
            </w:r>
          </w:p>
        </w:tc>
        <w:tc>
          <w:tcPr>
            <w:tcW w:w="1890" w:type="dxa"/>
            <w:vAlign w:val="center"/>
          </w:tcPr>
          <w:p w14:paraId="452DA8EE"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3,425</w:t>
            </w:r>
          </w:p>
        </w:tc>
        <w:tc>
          <w:tcPr>
            <w:tcW w:w="1890" w:type="dxa"/>
            <w:gridSpan w:val="2"/>
            <w:shd w:val="clear" w:color="auto" w:fill="auto"/>
            <w:noWrap/>
            <w:vAlign w:val="center"/>
          </w:tcPr>
          <w:p w14:paraId="03B682F0" w14:textId="77777777" w:rsidR="003D2E5B" w:rsidRPr="005034FE" w:rsidRDefault="003D2E5B" w:rsidP="006F7B6E">
            <w:pPr>
              <w:spacing w:after="0" w:line="240" w:lineRule="auto"/>
              <w:jc w:val="center"/>
              <w:rPr>
                <w:rFonts w:ascii="David" w:hAnsi="David" w:cs="David"/>
                <w:b/>
                <w:bCs/>
                <w:color w:val="000000"/>
              </w:rPr>
            </w:pPr>
            <w:r w:rsidRPr="005034FE">
              <w:rPr>
                <w:rFonts w:ascii="David" w:hAnsi="David" w:cs="David"/>
                <w:b/>
                <w:bCs/>
                <w:color w:val="000000"/>
              </w:rPr>
              <w:t>0:45</w:t>
            </w:r>
          </w:p>
        </w:tc>
        <w:tc>
          <w:tcPr>
            <w:tcW w:w="960" w:type="dxa"/>
            <w:shd w:val="clear" w:color="auto" w:fill="auto"/>
            <w:vAlign w:val="center"/>
          </w:tcPr>
          <w:p w14:paraId="0BC9E7D0"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6</w:t>
            </w:r>
          </w:p>
        </w:tc>
      </w:tr>
      <w:tr w:rsidR="003D2E5B" w:rsidRPr="005034FE" w14:paraId="7EA2C41F" w14:textId="77777777" w:rsidTr="006F7B6E">
        <w:trPr>
          <w:trHeight w:val="600"/>
        </w:trPr>
        <w:tc>
          <w:tcPr>
            <w:tcW w:w="992" w:type="dxa"/>
            <w:shd w:val="clear" w:color="auto" w:fill="D9D9D9"/>
            <w:noWrap/>
            <w:vAlign w:val="center"/>
          </w:tcPr>
          <w:p w14:paraId="298DF7C3" w14:textId="77777777" w:rsidR="003D2E5B" w:rsidRPr="005034FE" w:rsidRDefault="003D2E5B" w:rsidP="006F7B6E">
            <w:pPr>
              <w:spacing w:after="0" w:line="240" w:lineRule="auto"/>
              <w:rPr>
                <w:rFonts w:ascii="David" w:hAnsi="David" w:cs="David"/>
                <w:color w:val="000000"/>
              </w:rPr>
            </w:pPr>
            <w:r w:rsidRPr="005034FE">
              <w:rPr>
                <w:rFonts w:ascii="David" w:hAnsi="David" w:cs="David"/>
                <w:color w:val="000000"/>
                <w:rtl/>
              </w:rPr>
              <w:t>תעבורה</w:t>
            </w:r>
          </w:p>
        </w:tc>
        <w:tc>
          <w:tcPr>
            <w:tcW w:w="3194" w:type="dxa"/>
            <w:shd w:val="clear" w:color="auto" w:fill="D9D9D9"/>
            <w:vAlign w:val="center"/>
          </w:tcPr>
          <w:p w14:paraId="4666AB70"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בקשה לפסילה עד תום ההליכים (בפ"ת)</w:t>
            </w:r>
          </w:p>
        </w:tc>
        <w:tc>
          <w:tcPr>
            <w:tcW w:w="1890" w:type="dxa"/>
            <w:shd w:val="clear" w:color="auto" w:fill="D9D9D9"/>
            <w:vAlign w:val="center"/>
          </w:tcPr>
          <w:p w14:paraId="6BCBB8FB"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3,726</w:t>
            </w:r>
          </w:p>
        </w:tc>
        <w:tc>
          <w:tcPr>
            <w:tcW w:w="1890" w:type="dxa"/>
            <w:gridSpan w:val="2"/>
            <w:shd w:val="clear" w:color="auto" w:fill="D9D9D9"/>
            <w:noWrap/>
            <w:vAlign w:val="center"/>
          </w:tcPr>
          <w:p w14:paraId="01847876" w14:textId="77777777" w:rsidR="003D2E5B" w:rsidRPr="005034FE" w:rsidRDefault="003D2E5B" w:rsidP="006F7B6E">
            <w:pPr>
              <w:spacing w:after="0" w:line="240" w:lineRule="auto"/>
              <w:jc w:val="center"/>
              <w:rPr>
                <w:rFonts w:ascii="David" w:hAnsi="David" w:cs="David"/>
                <w:b/>
                <w:bCs/>
                <w:color w:val="000000"/>
                <w:rtl/>
              </w:rPr>
            </w:pPr>
            <w:r w:rsidRPr="005034FE">
              <w:rPr>
                <w:rFonts w:ascii="David" w:hAnsi="David" w:cs="David"/>
                <w:b/>
                <w:bCs/>
                <w:color w:val="000000"/>
              </w:rPr>
              <w:t>0:39</w:t>
            </w:r>
          </w:p>
        </w:tc>
        <w:tc>
          <w:tcPr>
            <w:tcW w:w="960" w:type="dxa"/>
            <w:shd w:val="clear" w:color="auto" w:fill="D9D9D9"/>
            <w:vAlign w:val="center"/>
          </w:tcPr>
          <w:p w14:paraId="520E0355"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5</w:t>
            </w:r>
          </w:p>
        </w:tc>
      </w:tr>
      <w:tr w:rsidR="003D2E5B" w:rsidRPr="005034FE" w14:paraId="2B1278B1" w14:textId="77777777" w:rsidTr="006F7B6E">
        <w:trPr>
          <w:trHeight w:val="600"/>
        </w:trPr>
        <w:tc>
          <w:tcPr>
            <w:tcW w:w="992" w:type="dxa"/>
            <w:shd w:val="clear" w:color="auto" w:fill="auto"/>
            <w:noWrap/>
            <w:vAlign w:val="center"/>
          </w:tcPr>
          <w:p w14:paraId="454AC250" w14:textId="77777777" w:rsidR="003D2E5B" w:rsidRPr="005034FE" w:rsidRDefault="003D2E5B" w:rsidP="006F7B6E">
            <w:pPr>
              <w:spacing w:after="0" w:line="240" w:lineRule="auto"/>
              <w:rPr>
                <w:rFonts w:ascii="David" w:hAnsi="David" w:cs="David"/>
                <w:color w:val="000000"/>
              </w:rPr>
            </w:pPr>
            <w:r w:rsidRPr="005034FE">
              <w:rPr>
                <w:rFonts w:ascii="David" w:hAnsi="David" w:cs="David"/>
                <w:color w:val="000000"/>
                <w:rtl/>
              </w:rPr>
              <w:t>תעבורה</w:t>
            </w:r>
          </w:p>
        </w:tc>
        <w:tc>
          <w:tcPr>
            <w:tcW w:w="3194" w:type="dxa"/>
            <w:shd w:val="clear" w:color="auto" w:fill="auto"/>
            <w:vAlign w:val="center"/>
          </w:tcPr>
          <w:p w14:paraId="600D4403"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בקשה לביטול - פסילה מנהלית (בפ"מ)</w:t>
            </w:r>
          </w:p>
        </w:tc>
        <w:tc>
          <w:tcPr>
            <w:tcW w:w="1890" w:type="dxa"/>
            <w:vAlign w:val="center"/>
          </w:tcPr>
          <w:p w14:paraId="77F715D5"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4,108</w:t>
            </w:r>
          </w:p>
        </w:tc>
        <w:tc>
          <w:tcPr>
            <w:tcW w:w="1890" w:type="dxa"/>
            <w:gridSpan w:val="2"/>
            <w:shd w:val="clear" w:color="auto" w:fill="auto"/>
            <w:noWrap/>
            <w:vAlign w:val="center"/>
          </w:tcPr>
          <w:p w14:paraId="5D0D780D" w14:textId="77777777" w:rsidR="003D2E5B" w:rsidRPr="005034FE" w:rsidRDefault="003D2E5B" w:rsidP="006F7B6E">
            <w:pPr>
              <w:spacing w:after="0" w:line="240" w:lineRule="auto"/>
              <w:jc w:val="center"/>
              <w:rPr>
                <w:rFonts w:ascii="David" w:hAnsi="David" w:cs="David"/>
                <w:b/>
                <w:bCs/>
                <w:color w:val="000000"/>
              </w:rPr>
            </w:pPr>
            <w:r w:rsidRPr="005034FE">
              <w:rPr>
                <w:rFonts w:ascii="David" w:hAnsi="David" w:cs="David"/>
                <w:b/>
                <w:bCs/>
                <w:color w:val="000000"/>
              </w:rPr>
              <w:t>0:34</w:t>
            </w:r>
          </w:p>
        </w:tc>
        <w:tc>
          <w:tcPr>
            <w:tcW w:w="960" w:type="dxa"/>
            <w:shd w:val="clear" w:color="auto" w:fill="auto"/>
            <w:vAlign w:val="center"/>
          </w:tcPr>
          <w:p w14:paraId="68C3654F"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5</w:t>
            </w:r>
          </w:p>
        </w:tc>
      </w:tr>
      <w:tr w:rsidR="003D2E5B" w:rsidRPr="005034FE" w14:paraId="0B353EDC" w14:textId="77777777" w:rsidTr="006F7B6E">
        <w:trPr>
          <w:trHeight w:val="600"/>
        </w:trPr>
        <w:tc>
          <w:tcPr>
            <w:tcW w:w="992" w:type="dxa"/>
            <w:shd w:val="clear" w:color="auto" w:fill="D9D9D9"/>
            <w:noWrap/>
            <w:vAlign w:val="center"/>
          </w:tcPr>
          <w:p w14:paraId="7EACF4D7" w14:textId="77777777" w:rsidR="003D2E5B" w:rsidRPr="005034FE" w:rsidRDefault="003D2E5B" w:rsidP="006F7B6E">
            <w:pPr>
              <w:spacing w:after="0" w:line="240" w:lineRule="auto"/>
              <w:rPr>
                <w:rFonts w:ascii="David" w:hAnsi="David" w:cs="David"/>
                <w:color w:val="000000"/>
              </w:rPr>
            </w:pPr>
            <w:r w:rsidRPr="005034FE">
              <w:rPr>
                <w:rFonts w:ascii="David" w:hAnsi="David" w:cs="David"/>
                <w:color w:val="000000"/>
                <w:rtl/>
              </w:rPr>
              <w:t>תעבורה</w:t>
            </w:r>
          </w:p>
        </w:tc>
        <w:tc>
          <w:tcPr>
            <w:tcW w:w="3194" w:type="dxa"/>
            <w:shd w:val="clear" w:color="auto" w:fill="D9D9D9"/>
            <w:vAlign w:val="center"/>
          </w:tcPr>
          <w:p w14:paraId="4C39D471"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בקשה לביטול איסור שימוש ברכב (בא"ש)</w:t>
            </w:r>
          </w:p>
        </w:tc>
        <w:tc>
          <w:tcPr>
            <w:tcW w:w="1890" w:type="dxa"/>
            <w:shd w:val="clear" w:color="auto" w:fill="D9D9D9"/>
            <w:vAlign w:val="center"/>
          </w:tcPr>
          <w:p w14:paraId="6197C219"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2,909</w:t>
            </w:r>
          </w:p>
        </w:tc>
        <w:tc>
          <w:tcPr>
            <w:tcW w:w="1890" w:type="dxa"/>
            <w:gridSpan w:val="2"/>
            <w:shd w:val="clear" w:color="auto" w:fill="D9D9D9"/>
            <w:noWrap/>
            <w:vAlign w:val="center"/>
          </w:tcPr>
          <w:p w14:paraId="15FE2B20" w14:textId="77777777" w:rsidR="003D2E5B" w:rsidRPr="005034FE" w:rsidRDefault="003D2E5B" w:rsidP="006F7B6E">
            <w:pPr>
              <w:spacing w:after="0" w:line="240" w:lineRule="auto"/>
              <w:jc w:val="center"/>
              <w:rPr>
                <w:rFonts w:ascii="David" w:hAnsi="David" w:cs="David"/>
                <w:b/>
                <w:bCs/>
                <w:color w:val="000000"/>
              </w:rPr>
            </w:pPr>
            <w:r w:rsidRPr="005034FE">
              <w:rPr>
                <w:rFonts w:ascii="David" w:hAnsi="David" w:cs="David"/>
                <w:b/>
                <w:bCs/>
                <w:color w:val="000000"/>
              </w:rPr>
              <w:t>0:34</w:t>
            </w:r>
          </w:p>
        </w:tc>
        <w:tc>
          <w:tcPr>
            <w:tcW w:w="960" w:type="dxa"/>
            <w:shd w:val="clear" w:color="auto" w:fill="D9D9D9"/>
            <w:vAlign w:val="center"/>
          </w:tcPr>
          <w:p w14:paraId="52C92FA2"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5</w:t>
            </w:r>
          </w:p>
        </w:tc>
      </w:tr>
      <w:tr w:rsidR="003D2E5B" w:rsidRPr="005034FE" w14:paraId="080DBBA0" w14:textId="77777777" w:rsidTr="006F7B6E">
        <w:trPr>
          <w:trHeight w:val="600"/>
        </w:trPr>
        <w:tc>
          <w:tcPr>
            <w:tcW w:w="992" w:type="dxa"/>
            <w:shd w:val="clear" w:color="auto" w:fill="auto"/>
            <w:noWrap/>
            <w:vAlign w:val="center"/>
          </w:tcPr>
          <w:p w14:paraId="14B92BB5" w14:textId="77777777" w:rsidR="003D2E5B" w:rsidRPr="005034FE" w:rsidRDefault="003D2E5B" w:rsidP="006F7B6E">
            <w:pPr>
              <w:spacing w:after="0" w:line="240" w:lineRule="auto"/>
              <w:rPr>
                <w:rFonts w:ascii="David" w:hAnsi="David" w:cs="David"/>
                <w:color w:val="000000"/>
              </w:rPr>
            </w:pPr>
            <w:r w:rsidRPr="005034FE">
              <w:rPr>
                <w:rFonts w:ascii="David" w:hAnsi="David" w:cs="David"/>
                <w:color w:val="000000"/>
                <w:rtl/>
              </w:rPr>
              <w:t>תעבורה</w:t>
            </w:r>
          </w:p>
        </w:tc>
        <w:tc>
          <w:tcPr>
            <w:tcW w:w="3194" w:type="dxa"/>
            <w:shd w:val="clear" w:color="auto" w:fill="auto"/>
            <w:vAlign w:val="center"/>
          </w:tcPr>
          <w:p w14:paraId="1ECE718F"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תיק תעבורה (תת"ע)</w:t>
            </w:r>
          </w:p>
        </w:tc>
        <w:tc>
          <w:tcPr>
            <w:tcW w:w="1890" w:type="dxa"/>
            <w:vAlign w:val="center"/>
          </w:tcPr>
          <w:p w14:paraId="70E73444"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color w:val="000000"/>
              </w:rPr>
              <w:t>113,190</w:t>
            </w:r>
          </w:p>
        </w:tc>
        <w:tc>
          <w:tcPr>
            <w:tcW w:w="1890" w:type="dxa"/>
            <w:gridSpan w:val="2"/>
            <w:shd w:val="clear" w:color="auto" w:fill="auto"/>
            <w:noWrap/>
            <w:vAlign w:val="center"/>
          </w:tcPr>
          <w:p w14:paraId="70CD132E" w14:textId="77777777" w:rsidR="003D2E5B" w:rsidRPr="005034FE" w:rsidRDefault="003D2E5B" w:rsidP="006F7B6E">
            <w:pPr>
              <w:spacing w:after="0" w:line="240" w:lineRule="auto"/>
              <w:jc w:val="center"/>
              <w:rPr>
                <w:rFonts w:ascii="David" w:hAnsi="David" w:cs="David"/>
                <w:b/>
                <w:bCs/>
                <w:color w:val="000000"/>
              </w:rPr>
            </w:pPr>
            <w:r w:rsidRPr="005034FE">
              <w:rPr>
                <w:rFonts w:ascii="David" w:hAnsi="David" w:cs="David"/>
                <w:b/>
                <w:bCs/>
                <w:color w:val="000000"/>
              </w:rPr>
              <w:t>0:27</w:t>
            </w:r>
          </w:p>
        </w:tc>
        <w:tc>
          <w:tcPr>
            <w:tcW w:w="960" w:type="dxa"/>
            <w:shd w:val="clear" w:color="auto" w:fill="auto"/>
            <w:vAlign w:val="center"/>
          </w:tcPr>
          <w:p w14:paraId="0665BCEE"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4</w:t>
            </w:r>
          </w:p>
        </w:tc>
      </w:tr>
      <w:tr w:rsidR="003D2E5B" w:rsidRPr="005034FE" w14:paraId="100CC523" w14:textId="77777777" w:rsidTr="006F7B6E">
        <w:trPr>
          <w:trHeight w:val="600"/>
        </w:trPr>
        <w:tc>
          <w:tcPr>
            <w:tcW w:w="992" w:type="dxa"/>
            <w:shd w:val="clear" w:color="auto" w:fill="D9D9D9"/>
            <w:noWrap/>
            <w:vAlign w:val="center"/>
          </w:tcPr>
          <w:p w14:paraId="11E38F57" w14:textId="77777777" w:rsidR="003D2E5B" w:rsidRPr="005034FE" w:rsidRDefault="003D2E5B" w:rsidP="006F7B6E">
            <w:pPr>
              <w:spacing w:after="0" w:line="240" w:lineRule="auto"/>
              <w:rPr>
                <w:rFonts w:ascii="David" w:hAnsi="David" w:cs="David"/>
                <w:color w:val="000000"/>
              </w:rPr>
            </w:pPr>
            <w:r w:rsidRPr="005034FE">
              <w:rPr>
                <w:rFonts w:ascii="David" w:hAnsi="David" w:cs="David"/>
                <w:color w:val="000000"/>
                <w:rtl/>
              </w:rPr>
              <w:t>תעבורה</w:t>
            </w:r>
          </w:p>
        </w:tc>
        <w:tc>
          <w:tcPr>
            <w:tcW w:w="3194" w:type="dxa"/>
            <w:shd w:val="clear" w:color="auto" w:fill="D9D9D9"/>
            <w:vAlign w:val="center"/>
          </w:tcPr>
          <w:p w14:paraId="61FEC882"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מעצר ימים (מ"י)</w:t>
            </w:r>
          </w:p>
        </w:tc>
        <w:tc>
          <w:tcPr>
            <w:tcW w:w="1890" w:type="dxa"/>
            <w:shd w:val="clear" w:color="auto" w:fill="D9D9D9"/>
            <w:vAlign w:val="center"/>
          </w:tcPr>
          <w:p w14:paraId="065EFD25"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101</w:t>
            </w:r>
          </w:p>
        </w:tc>
        <w:tc>
          <w:tcPr>
            <w:tcW w:w="1890" w:type="dxa"/>
            <w:gridSpan w:val="2"/>
            <w:shd w:val="clear" w:color="auto" w:fill="D9D9D9"/>
            <w:noWrap/>
            <w:vAlign w:val="center"/>
          </w:tcPr>
          <w:p w14:paraId="052226B9" w14:textId="77777777" w:rsidR="003D2E5B" w:rsidRPr="005034FE" w:rsidRDefault="003D2E5B" w:rsidP="006F7B6E">
            <w:pPr>
              <w:spacing w:after="0" w:line="240" w:lineRule="auto"/>
              <w:jc w:val="center"/>
              <w:rPr>
                <w:rFonts w:ascii="David" w:hAnsi="David" w:cs="David"/>
                <w:b/>
                <w:bCs/>
                <w:color w:val="000000"/>
              </w:rPr>
            </w:pPr>
            <w:r w:rsidRPr="005034FE">
              <w:rPr>
                <w:rFonts w:ascii="David" w:hAnsi="David" w:cs="David"/>
                <w:b/>
                <w:bCs/>
                <w:color w:val="000000"/>
              </w:rPr>
              <w:t>0:21</w:t>
            </w:r>
          </w:p>
        </w:tc>
        <w:tc>
          <w:tcPr>
            <w:tcW w:w="960" w:type="dxa"/>
            <w:shd w:val="clear" w:color="auto" w:fill="D9D9D9"/>
            <w:vAlign w:val="center"/>
          </w:tcPr>
          <w:p w14:paraId="0A34361E"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3</w:t>
            </w:r>
          </w:p>
        </w:tc>
      </w:tr>
      <w:tr w:rsidR="003D2E5B" w:rsidRPr="005034FE" w14:paraId="4A1BAA53" w14:textId="77777777" w:rsidTr="006F7B6E">
        <w:trPr>
          <w:trHeight w:val="600"/>
        </w:trPr>
        <w:tc>
          <w:tcPr>
            <w:tcW w:w="992" w:type="dxa"/>
            <w:shd w:val="clear" w:color="auto" w:fill="auto"/>
            <w:noWrap/>
            <w:vAlign w:val="center"/>
          </w:tcPr>
          <w:p w14:paraId="54F397F2" w14:textId="77777777" w:rsidR="003D2E5B" w:rsidRPr="005034FE" w:rsidRDefault="003D2E5B" w:rsidP="006F7B6E">
            <w:pPr>
              <w:spacing w:after="0" w:line="240" w:lineRule="auto"/>
              <w:rPr>
                <w:rFonts w:ascii="David" w:hAnsi="David" w:cs="David"/>
                <w:color w:val="000000"/>
              </w:rPr>
            </w:pPr>
            <w:r w:rsidRPr="005034FE">
              <w:rPr>
                <w:rFonts w:ascii="David" w:hAnsi="David" w:cs="David"/>
                <w:color w:val="000000"/>
                <w:rtl/>
              </w:rPr>
              <w:t>תעבורה</w:t>
            </w:r>
          </w:p>
        </w:tc>
        <w:tc>
          <w:tcPr>
            <w:tcW w:w="3194" w:type="dxa"/>
            <w:shd w:val="clear" w:color="auto" w:fill="auto"/>
            <w:vAlign w:val="center"/>
          </w:tcPr>
          <w:p w14:paraId="2018FCA7"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בקשה לשחרור בערובה (בש"ע)</w:t>
            </w:r>
          </w:p>
        </w:tc>
        <w:tc>
          <w:tcPr>
            <w:tcW w:w="1890" w:type="dxa"/>
            <w:vAlign w:val="center"/>
          </w:tcPr>
          <w:p w14:paraId="79A14F0F"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176</w:t>
            </w:r>
          </w:p>
        </w:tc>
        <w:tc>
          <w:tcPr>
            <w:tcW w:w="1890" w:type="dxa"/>
            <w:gridSpan w:val="2"/>
            <w:shd w:val="clear" w:color="auto" w:fill="auto"/>
            <w:noWrap/>
            <w:vAlign w:val="center"/>
          </w:tcPr>
          <w:p w14:paraId="3C62DBB9" w14:textId="77777777" w:rsidR="003D2E5B" w:rsidRPr="005034FE" w:rsidRDefault="003D2E5B" w:rsidP="006F7B6E">
            <w:pPr>
              <w:spacing w:after="0" w:line="240" w:lineRule="auto"/>
              <w:jc w:val="center"/>
              <w:rPr>
                <w:rFonts w:ascii="David" w:hAnsi="David" w:cs="David"/>
                <w:b/>
                <w:bCs/>
                <w:color w:val="000000"/>
              </w:rPr>
            </w:pPr>
            <w:r w:rsidRPr="005034FE">
              <w:rPr>
                <w:rFonts w:ascii="David" w:hAnsi="David" w:cs="David"/>
                <w:b/>
                <w:bCs/>
                <w:color w:val="000000"/>
              </w:rPr>
              <w:t>0:21</w:t>
            </w:r>
          </w:p>
        </w:tc>
        <w:tc>
          <w:tcPr>
            <w:tcW w:w="960" w:type="dxa"/>
            <w:shd w:val="clear" w:color="auto" w:fill="auto"/>
            <w:vAlign w:val="center"/>
          </w:tcPr>
          <w:p w14:paraId="379429FD"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3</w:t>
            </w:r>
          </w:p>
        </w:tc>
      </w:tr>
      <w:tr w:rsidR="003D2E5B" w:rsidRPr="005034FE" w14:paraId="2616463E" w14:textId="77777777" w:rsidTr="006F7B6E">
        <w:trPr>
          <w:trHeight w:val="77"/>
        </w:trPr>
        <w:tc>
          <w:tcPr>
            <w:tcW w:w="992" w:type="dxa"/>
            <w:shd w:val="clear" w:color="auto" w:fill="D9D9D9"/>
            <w:noWrap/>
            <w:vAlign w:val="center"/>
          </w:tcPr>
          <w:p w14:paraId="2261FCB5" w14:textId="77777777" w:rsidR="003D2E5B" w:rsidRPr="005034FE" w:rsidRDefault="003D2E5B" w:rsidP="006F7B6E">
            <w:pPr>
              <w:spacing w:after="0" w:line="240" w:lineRule="auto"/>
              <w:rPr>
                <w:rFonts w:ascii="David" w:hAnsi="David" w:cs="David"/>
                <w:color w:val="000000"/>
              </w:rPr>
            </w:pPr>
            <w:r w:rsidRPr="005034FE">
              <w:rPr>
                <w:rFonts w:ascii="David" w:hAnsi="David" w:cs="David"/>
                <w:color w:val="000000"/>
                <w:rtl/>
              </w:rPr>
              <w:t>תעבורה</w:t>
            </w:r>
          </w:p>
        </w:tc>
        <w:tc>
          <w:tcPr>
            <w:tcW w:w="3194" w:type="dxa"/>
            <w:shd w:val="clear" w:color="auto" w:fill="D9D9D9"/>
            <w:vAlign w:val="center"/>
          </w:tcPr>
          <w:p w14:paraId="24287B54" w14:textId="77777777" w:rsidR="003D2E5B" w:rsidRPr="005034FE" w:rsidRDefault="003D2E5B" w:rsidP="006F7B6E">
            <w:pPr>
              <w:spacing w:after="0" w:line="240" w:lineRule="auto"/>
              <w:rPr>
                <w:rFonts w:ascii="David" w:hAnsi="David" w:cs="David"/>
                <w:color w:val="000000"/>
                <w:rtl/>
              </w:rPr>
            </w:pPr>
            <w:r w:rsidRPr="005034FE">
              <w:rPr>
                <w:rFonts w:ascii="David" w:hAnsi="David" w:cs="David"/>
                <w:color w:val="000000"/>
                <w:rtl/>
              </w:rPr>
              <w:t>הארכת מועד להישפט (המ"ש)</w:t>
            </w:r>
          </w:p>
        </w:tc>
        <w:tc>
          <w:tcPr>
            <w:tcW w:w="1890" w:type="dxa"/>
            <w:shd w:val="clear" w:color="auto" w:fill="D9D9D9"/>
            <w:vAlign w:val="center"/>
          </w:tcPr>
          <w:p w14:paraId="40101B9C"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9,283</w:t>
            </w:r>
          </w:p>
        </w:tc>
        <w:tc>
          <w:tcPr>
            <w:tcW w:w="1890" w:type="dxa"/>
            <w:gridSpan w:val="2"/>
            <w:shd w:val="clear" w:color="auto" w:fill="D9D9D9"/>
            <w:noWrap/>
            <w:vAlign w:val="center"/>
          </w:tcPr>
          <w:p w14:paraId="44FFFE32" w14:textId="77777777" w:rsidR="003D2E5B" w:rsidRPr="005034FE" w:rsidRDefault="003D2E5B" w:rsidP="006F7B6E">
            <w:pPr>
              <w:spacing w:after="0" w:line="240" w:lineRule="auto"/>
              <w:jc w:val="center"/>
              <w:rPr>
                <w:rFonts w:ascii="David" w:hAnsi="David" w:cs="David"/>
                <w:b/>
                <w:bCs/>
                <w:color w:val="000000"/>
              </w:rPr>
            </w:pPr>
            <w:r w:rsidRPr="005034FE">
              <w:rPr>
                <w:rFonts w:ascii="David" w:hAnsi="David" w:cs="David"/>
                <w:b/>
                <w:bCs/>
                <w:color w:val="000000"/>
              </w:rPr>
              <w:t>0:21</w:t>
            </w:r>
          </w:p>
        </w:tc>
        <w:tc>
          <w:tcPr>
            <w:tcW w:w="960" w:type="dxa"/>
            <w:shd w:val="clear" w:color="auto" w:fill="D9D9D9"/>
            <w:vAlign w:val="center"/>
          </w:tcPr>
          <w:p w14:paraId="2BC7ABCB" w14:textId="77777777" w:rsidR="003D2E5B" w:rsidRPr="005034FE" w:rsidRDefault="003D2E5B" w:rsidP="006F7B6E">
            <w:pPr>
              <w:spacing w:after="0" w:line="240" w:lineRule="auto"/>
              <w:jc w:val="center"/>
              <w:rPr>
                <w:rFonts w:ascii="David" w:hAnsi="David" w:cs="David"/>
                <w:color w:val="000000"/>
              </w:rPr>
            </w:pPr>
            <w:r w:rsidRPr="005034FE">
              <w:rPr>
                <w:rFonts w:ascii="David" w:hAnsi="David" w:cs="David" w:hint="cs"/>
                <w:color w:val="000000"/>
                <w:rtl/>
              </w:rPr>
              <w:t>3</w:t>
            </w:r>
          </w:p>
        </w:tc>
      </w:tr>
      <w:tr w:rsidR="003D2E5B" w:rsidRPr="005034FE" w14:paraId="27D6BC57" w14:textId="77777777" w:rsidTr="006F7B6E">
        <w:trPr>
          <w:trHeight w:val="77"/>
        </w:trPr>
        <w:tc>
          <w:tcPr>
            <w:tcW w:w="992" w:type="dxa"/>
            <w:shd w:val="clear" w:color="auto" w:fill="auto"/>
            <w:noWrap/>
            <w:vAlign w:val="center"/>
          </w:tcPr>
          <w:p w14:paraId="3F91748B" w14:textId="77777777" w:rsidR="003D2E5B" w:rsidRPr="005034FE" w:rsidRDefault="003D2E5B" w:rsidP="006F7B6E">
            <w:pPr>
              <w:spacing w:after="0" w:line="240" w:lineRule="auto"/>
              <w:rPr>
                <w:rFonts w:ascii="David" w:hAnsi="David" w:cs="David"/>
                <w:color w:val="000000"/>
                <w:rtl/>
              </w:rPr>
            </w:pPr>
            <w:r w:rsidRPr="005034FE">
              <w:rPr>
                <w:rFonts w:ascii="David" w:hAnsi="David" w:cs="David" w:hint="cs"/>
                <w:color w:val="000000"/>
                <w:rtl/>
              </w:rPr>
              <w:t>תעבורה</w:t>
            </w:r>
          </w:p>
        </w:tc>
        <w:tc>
          <w:tcPr>
            <w:tcW w:w="3194" w:type="dxa"/>
            <w:shd w:val="clear" w:color="auto" w:fill="auto"/>
            <w:vAlign w:val="center"/>
          </w:tcPr>
          <w:p w14:paraId="4A30BEEE" w14:textId="77777777" w:rsidR="003D2E5B" w:rsidRPr="005034FE" w:rsidRDefault="003D2E5B" w:rsidP="006F7B6E">
            <w:pPr>
              <w:spacing w:after="0" w:line="240" w:lineRule="auto"/>
              <w:rPr>
                <w:rFonts w:ascii="David" w:hAnsi="David" w:cs="David"/>
                <w:color w:val="000000"/>
                <w:rtl/>
              </w:rPr>
            </w:pPr>
            <w:r w:rsidRPr="005034FE">
              <w:rPr>
                <w:rFonts w:ascii="David" w:hAnsi="David" w:cs="David" w:hint="cs"/>
                <w:color w:val="000000"/>
                <w:rtl/>
              </w:rPr>
              <w:t>צו אחר (צ"א)</w:t>
            </w:r>
          </w:p>
        </w:tc>
        <w:tc>
          <w:tcPr>
            <w:tcW w:w="1890" w:type="dxa"/>
            <w:shd w:val="clear" w:color="auto" w:fill="auto"/>
            <w:vAlign w:val="center"/>
          </w:tcPr>
          <w:p w14:paraId="4B198069" w14:textId="77777777" w:rsidR="003D2E5B" w:rsidRPr="005034FE" w:rsidRDefault="003D2E5B" w:rsidP="006F7B6E">
            <w:pPr>
              <w:spacing w:after="0" w:line="240" w:lineRule="auto"/>
              <w:jc w:val="center"/>
              <w:rPr>
                <w:rFonts w:ascii="David" w:hAnsi="David" w:cs="David"/>
                <w:color w:val="000000"/>
                <w:rtl/>
              </w:rPr>
            </w:pPr>
            <w:r w:rsidRPr="005034FE">
              <w:rPr>
                <w:rFonts w:ascii="David" w:hAnsi="David" w:cs="David" w:hint="cs"/>
                <w:color w:val="000000"/>
                <w:rtl/>
              </w:rPr>
              <w:t>487</w:t>
            </w:r>
          </w:p>
        </w:tc>
        <w:tc>
          <w:tcPr>
            <w:tcW w:w="1890" w:type="dxa"/>
            <w:gridSpan w:val="2"/>
            <w:shd w:val="clear" w:color="auto" w:fill="auto"/>
            <w:noWrap/>
            <w:vAlign w:val="center"/>
          </w:tcPr>
          <w:p w14:paraId="2C600EB8" w14:textId="77777777" w:rsidR="003D2E5B" w:rsidRPr="005034FE" w:rsidRDefault="003D2E5B" w:rsidP="006F7B6E">
            <w:pPr>
              <w:spacing w:after="0" w:line="240" w:lineRule="auto"/>
              <w:jc w:val="center"/>
              <w:rPr>
                <w:rFonts w:ascii="David" w:hAnsi="David" w:cs="David"/>
                <w:b/>
                <w:bCs/>
                <w:color w:val="000000"/>
              </w:rPr>
            </w:pPr>
            <w:r w:rsidRPr="005034FE">
              <w:rPr>
                <w:rFonts w:ascii="David" w:hAnsi="David" w:cs="David" w:hint="cs"/>
                <w:b/>
                <w:bCs/>
                <w:color w:val="000000"/>
                <w:rtl/>
              </w:rPr>
              <w:t>0:08</w:t>
            </w:r>
          </w:p>
        </w:tc>
        <w:tc>
          <w:tcPr>
            <w:tcW w:w="960" w:type="dxa"/>
            <w:shd w:val="clear" w:color="auto" w:fill="auto"/>
            <w:vAlign w:val="center"/>
          </w:tcPr>
          <w:p w14:paraId="7C2162C3" w14:textId="77777777" w:rsidR="003D2E5B" w:rsidRPr="005034FE" w:rsidRDefault="003D2E5B" w:rsidP="006F7B6E">
            <w:pPr>
              <w:spacing w:after="0" w:line="240" w:lineRule="auto"/>
              <w:jc w:val="center"/>
              <w:rPr>
                <w:rFonts w:ascii="David" w:hAnsi="David" w:cs="David"/>
                <w:color w:val="000000"/>
                <w:rtl/>
              </w:rPr>
            </w:pPr>
            <w:r w:rsidRPr="005034FE">
              <w:rPr>
                <w:rFonts w:ascii="David" w:hAnsi="David" w:cs="David" w:hint="cs"/>
                <w:color w:val="000000"/>
                <w:rtl/>
              </w:rPr>
              <w:t>1</w:t>
            </w:r>
          </w:p>
        </w:tc>
      </w:tr>
    </w:tbl>
    <w:p w14:paraId="740425DA" w14:textId="77777777" w:rsidR="00DD0D4B" w:rsidRPr="00F25744" w:rsidRDefault="00DD0D4B" w:rsidP="00DD0D4B">
      <w:pPr>
        <w:rPr>
          <w:rtl/>
        </w:rPr>
      </w:pPr>
    </w:p>
    <w:p w14:paraId="5E2D0AA3" w14:textId="77777777" w:rsidR="00DD0D4B" w:rsidRPr="00F25744" w:rsidRDefault="00DD0D4B" w:rsidP="00DD0D4B">
      <w:pPr>
        <w:rPr>
          <w:rtl/>
        </w:rPr>
      </w:pPr>
    </w:p>
    <w:p w14:paraId="00FE0588" w14:textId="77777777" w:rsidR="000B27AF" w:rsidRPr="00F25744" w:rsidRDefault="000B27AF">
      <w:pPr>
        <w:bidi w:val="0"/>
        <w:spacing w:after="0" w:line="240" w:lineRule="auto"/>
        <w:rPr>
          <w:rFonts w:asciiTheme="minorHAnsi" w:hAnsiTheme="minorHAnsi" w:cs="David"/>
          <w:b/>
          <w:bCs/>
          <w:sz w:val="24"/>
          <w:szCs w:val="24"/>
        </w:rPr>
      </w:pPr>
      <w:bookmarkStart w:id="1019" w:name="_Toc46416715"/>
      <w:r w:rsidRPr="00F25744">
        <w:rPr>
          <w:rtl/>
        </w:rPr>
        <w:br w:type="page"/>
      </w:r>
    </w:p>
    <w:p w14:paraId="2C26DE9E" w14:textId="77777777" w:rsidR="00DD0D4B" w:rsidRPr="00F25744" w:rsidRDefault="00E25AE7" w:rsidP="0043255F">
      <w:pPr>
        <w:pStyle w:val="3"/>
        <w:numPr>
          <w:ilvl w:val="0"/>
          <w:numId w:val="0"/>
        </w:numPr>
        <w:ind w:left="720"/>
        <w:rPr>
          <w:rFonts w:eastAsia="Times New Roman"/>
          <w:sz w:val="28"/>
          <w:szCs w:val="28"/>
          <w:rtl/>
        </w:rPr>
      </w:pPr>
      <w:bookmarkStart w:id="1020" w:name="_Toc74751065"/>
      <w:r w:rsidRPr="00F25744">
        <w:rPr>
          <w:rFonts w:hint="cs"/>
          <w:rtl/>
        </w:rPr>
        <w:lastRenderedPageBreak/>
        <w:t>נספח ה7: בתי המשפט לענייני משפחה</w:t>
      </w:r>
      <w:bookmarkEnd w:id="1019"/>
      <w:bookmarkEnd w:id="1020"/>
    </w:p>
    <w:tbl>
      <w:tblPr>
        <w:tblpPr w:leftFromText="181" w:rightFromText="85" w:vertAnchor="text" w:tblpXSpec="right" w:tblpY="1"/>
        <w:tblOverlap w:val="never"/>
        <w:bidiVisual/>
        <w:tblW w:w="8791" w:type="dxa"/>
        <w:tblLayout w:type="fixed"/>
        <w:tblLook w:val="04A0" w:firstRow="1" w:lastRow="0" w:firstColumn="1" w:lastColumn="0" w:noHBand="0" w:noVBand="1"/>
      </w:tblPr>
      <w:tblGrid>
        <w:gridCol w:w="992"/>
        <w:gridCol w:w="2836"/>
        <w:gridCol w:w="199"/>
        <w:gridCol w:w="1643"/>
        <w:gridCol w:w="368"/>
        <w:gridCol w:w="1336"/>
        <w:gridCol w:w="141"/>
        <w:gridCol w:w="1276"/>
      </w:tblGrid>
      <w:tr w:rsidR="00E0162E" w:rsidRPr="005034FE" w14:paraId="31BF4760" w14:textId="77777777" w:rsidTr="00DB5BCC">
        <w:trPr>
          <w:trHeight w:val="700"/>
        </w:trPr>
        <w:tc>
          <w:tcPr>
            <w:tcW w:w="992" w:type="dxa"/>
            <w:tcBorders>
              <w:bottom w:val="single" w:sz="4" w:space="0" w:color="auto"/>
            </w:tcBorders>
            <w:shd w:val="clear" w:color="auto" w:fill="auto"/>
            <w:vAlign w:val="center"/>
          </w:tcPr>
          <w:p w14:paraId="6A370D51" w14:textId="77777777" w:rsidR="00DD0D4B" w:rsidRPr="005034FE" w:rsidRDefault="00E25AE7" w:rsidP="006F7B6E">
            <w:pPr>
              <w:spacing w:after="0" w:line="240" w:lineRule="auto"/>
              <w:jc w:val="center"/>
              <w:rPr>
                <w:rFonts w:ascii="David" w:eastAsia="Times New Roman" w:hAnsi="David" w:cs="David"/>
                <w:b/>
                <w:bCs/>
                <w:color w:val="000000"/>
              </w:rPr>
            </w:pPr>
            <w:r w:rsidRPr="005034FE">
              <w:rPr>
                <w:rFonts w:ascii="David" w:eastAsia="Times New Roman" w:hAnsi="David" w:cs="David"/>
                <w:b/>
                <w:bCs/>
                <w:color w:val="000000"/>
                <w:rtl/>
              </w:rPr>
              <w:t>ערכאה</w:t>
            </w:r>
          </w:p>
        </w:tc>
        <w:tc>
          <w:tcPr>
            <w:tcW w:w="3035" w:type="dxa"/>
            <w:gridSpan w:val="2"/>
            <w:tcBorders>
              <w:bottom w:val="single" w:sz="4" w:space="0" w:color="auto"/>
            </w:tcBorders>
            <w:shd w:val="clear" w:color="auto" w:fill="auto"/>
            <w:vAlign w:val="center"/>
          </w:tcPr>
          <w:p w14:paraId="5D06D16D" w14:textId="77777777" w:rsidR="00DD0D4B" w:rsidRPr="005034FE" w:rsidRDefault="00E25AE7" w:rsidP="006F7B6E">
            <w:pPr>
              <w:spacing w:after="0" w:line="240" w:lineRule="auto"/>
              <w:jc w:val="center"/>
              <w:rPr>
                <w:rFonts w:ascii="David" w:eastAsia="Times New Roman" w:hAnsi="David" w:cs="David"/>
                <w:b/>
                <w:bCs/>
                <w:color w:val="000000"/>
                <w:rtl/>
              </w:rPr>
            </w:pPr>
            <w:r w:rsidRPr="005034FE">
              <w:rPr>
                <w:rFonts w:ascii="David" w:eastAsia="Times New Roman" w:hAnsi="David" w:cs="David"/>
                <w:b/>
                <w:bCs/>
                <w:color w:val="000000"/>
                <w:rtl/>
              </w:rPr>
              <w:t>סוג תיק</w:t>
            </w:r>
          </w:p>
        </w:tc>
        <w:tc>
          <w:tcPr>
            <w:tcW w:w="1643" w:type="dxa"/>
            <w:tcBorders>
              <w:bottom w:val="single" w:sz="4" w:space="0" w:color="auto"/>
            </w:tcBorders>
            <w:vAlign w:val="center"/>
          </w:tcPr>
          <w:p w14:paraId="699D2174" w14:textId="77777777" w:rsidR="00DD0D4B" w:rsidRPr="005034FE" w:rsidRDefault="00E25AE7" w:rsidP="006F7B6E">
            <w:pPr>
              <w:spacing w:after="0" w:line="240" w:lineRule="auto"/>
              <w:jc w:val="center"/>
              <w:rPr>
                <w:rFonts w:ascii="David" w:eastAsia="Times New Roman" w:hAnsi="David" w:cs="David"/>
                <w:b/>
                <w:bCs/>
                <w:color w:val="000000"/>
                <w:rtl/>
              </w:rPr>
            </w:pPr>
            <w:r w:rsidRPr="005034FE">
              <w:rPr>
                <w:rFonts w:ascii="David" w:eastAsia="Times New Roman" w:hAnsi="David" w:cs="David" w:hint="cs"/>
                <w:b/>
                <w:bCs/>
                <w:color w:val="000000"/>
                <w:rtl/>
              </w:rPr>
              <w:t>מספר תיקים שנסגרו ב-2019</w:t>
            </w:r>
          </w:p>
        </w:tc>
        <w:tc>
          <w:tcPr>
            <w:tcW w:w="1845" w:type="dxa"/>
            <w:gridSpan w:val="3"/>
            <w:tcBorders>
              <w:bottom w:val="single" w:sz="4" w:space="0" w:color="auto"/>
            </w:tcBorders>
            <w:shd w:val="clear" w:color="auto" w:fill="auto"/>
            <w:vAlign w:val="center"/>
          </w:tcPr>
          <w:p w14:paraId="4C195DB2" w14:textId="77777777" w:rsidR="00DD0D4B" w:rsidRPr="005034FE" w:rsidRDefault="00E25AE7" w:rsidP="006F7B6E">
            <w:pPr>
              <w:spacing w:after="0" w:line="240" w:lineRule="auto"/>
              <w:jc w:val="center"/>
              <w:rPr>
                <w:rFonts w:ascii="David" w:eastAsia="Times New Roman" w:hAnsi="David" w:cs="David"/>
                <w:b/>
                <w:bCs/>
                <w:color w:val="000000"/>
                <w:rtl/>
              </w:rPr>
            </w:pPr>
            <w:r w:rsidRPr="005034FE">
              <w:rPr>
                <w:rFonts w:ascii="David" w:eastAsia="Times New Roman" w:hAnsi="David" w:cs="David"/>
                <w:b/>
                <w:bCs/>
                <w:color w:val="000000"/>
                <w:rtl/>
              </w:rPr>
              <w:t>הזמן השיפוטי הממוצע הדרוש לטפל בתיק</w:t>
            </w:r>
          </w:p>
        </w:tc>
        <w:tc>
          <w:tcPr>
            <w:tcW w:w="1276" w:type="dxa"/>
            <w:tcBorders>
              <w:bottom w:val="single" w:sz="4" w:space="0" w:color="auto"/>
            </w:tcBorders>
            <w:vAlign w:val="center"/>
          </w:tcPr>
          <w:p w14:paraId="042C477D" w14:textId="77777777" w:rsidR="00DD0D4B" w:rsidRPr="005034FE" w:rsidRDefault="00E25AE7" w:rsidP="006F7B6E">
            <w:pPr>
              <w:spacing w:after="0" w:line="240" w:lineRule="auto"/>
              <w:jc w:val="center"/>
              <w:rPr>
                <w:rFonts w:ascii="David" w:eastAsia="Times New Roman" w:hAnsi="David" w:cs="David"/>
                <w:b/>
                <w:bCs/>
                <w:color w:val="000000"/>
                <w:rtl/>
              </w:rPr>
            </w:pPr>
            <w:r w:rsidRPr="005034FE">
              <w:rPr>
                <w:rFonts w:ascii="David" w:eastAsia="Times New Roman" w:hAnsi="David" w:cs="David" w:hint="cs"/>
                <w:b/>
                <w:bCs/>
                <w:color w:val="000000"/>
                <w:rtl/>
              </w:rPr>
              <w:t>משקל ערכאתי לתיק</w:t>
            </w:r>
          </w:p>
        </w:tc>
      </w:tr>
      <w:tr w:rsidR="00E0162E" w:rsidRPr="005034FE" w14:paraId="680E3B37" w14:textId="77777777" w:rsidTr="00DB5BCC">
        <w:trPr>
          <w:trHeight w:val="460"/>
        </w:trPr>
        <w:tc>
          <w:tcPr>
            <w:tcW w:w="992" w:type="dxa"/>
            <w:tcBorders>
              <w:top w:val="single" w:sz="4" w:space="0" w:color="auto"/>
              <w:bottom w:val="single" w:sz="4" w:space="0" w:color="auto"/>
            </w:tcBorders>
            <w:shd w:val="clear" w:color="auto" w:fill="D9D9D9"/>
            <w:noWrap/>
            <w:vAlign w:val="center"/>
          </w:tcPr>
          <w:p w14:paraId="1221F3DC" w14:textId="77777777" w:rsidR="00DD0D4B" w:rsidRPr="005034FE" w:rsidRDefault="00E25AE7" w:rsidP="006F7B6E">
            <w:pPr>
              <w:spacing w:after="0" w:line="240" w:lineRule="auto"/>
              <w:jc w:val="center"/>
              <w:rPr>
                <w:rFonts w:ascii="David" w:eastAsia="Times New Roman" w:hAnsi="David" w:cs="David"/>
              </w:rPr>
            </w:pPr>
            <w:r w:rsidRPr="005034FE">
              <w:rPr>
                <w:rFonts w:ascii="David" w:eastAsia="Times New Roman" w:hAnsi="David" w:cs="David"/>
                <w:rtl/>
              </w:rPr>
              <w:t>משפחה</w:t>
            </w:r>
          </w:p>
        </w:tc>
        <w:tc>
          <w:tcPr>
            <w:tcW w:w="2836" w:type="dxa"/>
            <w:tcBorders>
              <w:top w:val="single" w:sz="4" w:space="0" w:color="auto"/>
              <w:bottom w:val="single" w:sz="4" w:space="0" w:color="auto"/>
            </w:tcBorders>
            <w:shd w:val="clear" w:color="auto" w:fill="D9D9D9"/>
            <w:vAlign w:val="center"/>
          </w:tcPr>
          <w:p w14:paraId="3B950B6D" w14:textId="77777777" w:rsidR="00DD0D4B" w:rsidRPr="005034FE" w:rsidRDefault="00E25AE7" w:rsidP="006F7B6E">
            <w:pPr>
              <w:rPr>
                <w:rFonts w:ascii="David" w:eastAsia="Times New Roman" w:hAnsi="David" w:cs="David"/>
                <w:rtl/>
              </w:rPr>
            </w:pPr>
            <w:r w:rsidRPr="005034FE">
              <w:rPr>
                <w:rFonts w:ascii="David" w:eastAsia="Times New Roman" w:hAnsi="David" w:cs="David"/>
                <w:rtl/>
              </w:rPr>
              <w:t>תיק נזקקות (תנ"ז)</w:t>
            </w:r>
          </w:p>
        </w:tc>
        <w:tc>
          <w:tcPr>
            <w:tcW w:w="2210" w:type="dxa"/>
            <w:gridSpan w:val="3"/>
            <w:tcBorders>
              <w:top w:val="single" w:sz="4" w:space="0" w:color="auto"/>
              <w:bottom w:val="single" w:sz="4" w:space="0" w:color="auto"/>
            </w:tcBorders>
            <w:shd w:val="clear" w:color="auto" w:fill="D9D9D9"/>
            <w:vAlign w:val="center"/>
          </w:tcPr>
          <w:p w14:paraId="5FE41988" w14:textId="77777777" w:rsidR="00DD0D4B" w:rsidRPr="005034FE" w:rsidRDefault="00E25AE7" w:rsidP="006F7B6E">
            <w:pPr>
              <w:spacing w:after="0" w:line="240" w:lineRule="auto"/>
              <w:jc w:val="center"/>
              <w:rPr>
                <w:rFonts w:ascii="David" w:eastAsia="Times New Roman" w:hAnsi="David" w:cs="David"/>
              </w:rPr>
            </w:pPr>
            <w:r w:rsidRPr="005034FE">
              <w:rPr>
                <w:rFonts w:ascii="David" w:eastAsia="Times New Roman" w:hAnsi="David" w:cs="David"/>
              </w:rPr>
              <w:t>148</w:t>
            </w:r>
          </w:p>
        </w:tc>
        <w:tc>
          <w:tcPr>
            <w:tcW w:w="1336" w:type="dxa"/>
            <w:tcBorders>
              <w:top w:val="single" w:sz="4" w:space="0" w:color="auto"/>
              <w:bottom w:val="single" w:sz="4" w:space="0" w:color="auto"/>
            </w:tcBorders>
            <w:shd w:val="clear" w:color="auto" w:fill="D9D9D9"/>
            <w:noWrap/>
            <w:vAlign w:val="center"/>
          </w:tcPr>
          <w:p w14:paraId="4CB45471" w14:textId="77777777" w:rsidR="00DD0D4B" w:rsidRPr="005034FE" w:rsidRDefault="005154EA" w:rsidP="006F7B6E">
            <w:pPr>
              <w:spacing w:after="0" w:line="240" w:lineRule="auto"/>
              <w:jc w:val="center"/>
              <w:rPr>
                <w:rFonts w:ascii="David" w:eastAsia="Times New Roman" w:hAnsi="David" w:cs="David"/>
                <w:b/>
                <w:bCs/>
              </w:rPr>
            </w:pPr>
            <w:r w:rsidRPr="005034FE">
              <w:rPr>
                <w:rFonts w:ascii="David" w:eastAsia="Times New Roman" w:hAnsi="David" w:cs="David" w:hint="cs"/>
                <w:b/>
                <w:bCs/>
                <w:rtl/>
              </w:rPr>
              <w:t>9:05</w:t>
            </w:r>
          </w:p>
        </w:tc>
        <w:tc>
          <w:tcPr>
            <w:tcW w:w="1417" w:type="dxa"/>
            <w:gridSpan w:val="2"/>
            <w:tcBorders>
              <w:top w:val="single" w:sz="4" w:space="0" w:color="auto"/>
              <w:bottom w:val="single" w:sz="4" w:space="0" w:color="auto"/>
            </w:tcBorders>
            <w:shd w:val="clear" w:color="auto" w:fill="D9D9D9"/>
            <w:vAlign w:val="center"/>
          </w:tcPr>
          <w:p w14:paraId="3D184B51" w14:textId="77777777" w:rsidR="00DD0D4B" w:rsidRPr="005034FE" w:rsidRDefault="005154EA" w:rsidP="006F7B6E">
            <w:pPr>
              <w:spacing w:after="0" w:line="240" w:lineRule="auto"/>
              <w:jc w:val="center"/>
              <w:rPr>
                <w:rFonts w:ascii="David" w:eastAsia="Times New Roman" w:hAnsi="David" w:cs="David"/>
              </w:rPr>
            </w:pPr>
            <w:r w:rsidRPr="005034FE">
              <w:rPr>
                <w:rFonts w:ascii="David" w:eastAsia="Times New Roman" w:hAnsi="David" w:cs="David" w:hint="cs"/>
                <w:rtl/>
              </w:rPr>
              <w:t>15</w:t>
            </w:r>
          </w:p>
        </w:tc>
      </w:tr>
      <w:tr w:rsidR="00E0162E" w:rsidRPr="005034FE" w14:paraId="2A5FA8BA" w14:textId="77777777" w:rsidTr="00DB5BCC">
        <w:trPr>
          <w:trHeight w:val="600"/>
        </w:trPr>
        <w:tc>
          <w:tcPr>
            <w:tcW w:w="992" w:type="dxa"/>
            <w:tcBorders>
              <w:top w:val="single" w:sz="4" w:space="0" w:color="auto"/>
              <w:bottom w:val="single" w:sz="4" w:space="0" w:color="auto"/>
            </w:tcBorders>
            <w:shd w:val="clear" w:color="auto" w:fill="auto"/>
            <w:noWrap/>
            <w:vAlign w:val="center"/>
          </w:tcPr>
          <w:p w14:paraId="05029030" w14:textId="77777777" w:rsidR="00C76F72" w:rsidRPr="005034FE" w:rsidRDefault="00E25AE7" w:rsidP="006F7B6E">
            <w:pPr>
              <w:spacing w:after="0" w:line="240" w:lineRule="auto"/>
              <w:jc w:val="center"/>
              <w:rPr>
                <w:rFonts w:ascii="David" w:eastAsia="Times New Roman" w:hAnsi="David" w:cs="David"/>
                <w:rtl/>
              </w:rPr>
            </w:pPr>
            <w:r w:rsidRPr="005034FE">
              <w:rPr>
                <w:rFonts w:ascii="David" w:eastAsia="Times New Roman" w:hAnsi="David" w:cs="David"/>
                <w:rtl/>
              </w:rPr>
              <w:t>משפחה</w:t>
            </w:r>
          </w:p>
        </w:tc>
        <w:tc>
          <w:tcPr>
            <w:tcW w:w="2836" w:type="dxa"/>
            <w:tcBorders>
              <w:top w:val="single" w:sz="4" w:space="0" w:color="auto"/>
              <w:bottom w:val="single" w:sz="4" w:space="0" w:color="auto"/>
            </w:tcBorders>
            <w:shd w:val="clear" w:color="auto" w:fill="auto"/>
            <w:vAlign w:val="center"/>
          </w:tcPr>
          <w:p w14:paraId="4E6247CB" w14:textId="77777777" w:rsidR="00C76F72" w:rsidRPr="005034FE" w:rsidRDefault="00E25AE7" w:rsidP="006F7B6E">
            <w:pPr>
              <w:spacing w:after="0" w:line="240" w:lineRule="auto"/>
              <w:rPr>
                <w:rFonts w:ascii="David" w:eastAsia="Times New Roman" w:hAnsi="David" w:cs="David"/>
                <w:rtl/>
              </w:rPr>
            </w:pPr>
            <w:r w:rsidRPr="005034FE">
              <w:rPr>
                <w:rFonts w:ascii="David" w:eastAsia="Times New Roman" w:hAnsi="David" w:cs="David"/>
                <w:rtl/>
              </w:rPr>
              <w:t>תיק משפחה (תמ"ש)</w:t>
            </w:r>
          </w:p>
        </w:tc>
        <w:tc>
          <w:tcPr>
            <w:tcW w:w="2210" w:type="dxa"/>
            <w:gridSpan w:val="3"/>
            <w:tcBorders>
              <w:top w:val="single" w:sz="4" w:space="0" w:color="auto"/>
              <w:bottom w:val="single" w:sz="4" w:space="0" w:color="auto"/>
            </w:tcBorders>
            <w:vAlign w:val="center"/>
          </w:tcPr>
          <w:p w14:paraId="2B692617" w14:textId="77777777" w:rsidR="00C76F72" w:rsidRPr="005034FE" w:rsidRDefault="00E25AE7" w:rsidP="006F7B6E">
            <w:pPr>
              <w:spacing w:after="0" w:line="240" w:lineRule="auto"/>
              <w:jc w:val="center"/>
              <w:rPr>
                <w:rFonts w:ascii="David" w:eastAsia="Times New Roman" w:hAnsi="David" w:cs="David"/>
              </w:rPr>
            </w:pPr>
            <w:r w:rsidRPr="005034FE">
              <w:rPr>
                <w:rFonts w:ascii="David" w:eastAsia="Times New Roman" w:hAnsi="David" w:cs="David"/>
                <w:rtl/>
              </w:rPr>
              <w:t>10,697</w:t>
            </w:r>
          </w:p>
        </w:tc>
        <w:tc>
          <w:tcPr>
            <w:tcW w:w="1336" w:type="dxa"/>
            <w:tcBorders>
              <w:top w:val="single" w:sz="4" w:space="0" w:color="auto"/>
              <w:bottom w:val="single" w:sz="4" w:space="0" w:color="auto"/>
            </w:tcBorders>
            <w:shd w:val="clear" w:color="auto" w:fill="auto"/>
            <w:noWrap/>
            <w:vAlign w:val="center"/>
          </w:tcPr>
          <w:p w14:paraId="7BE7170B" w14:textId="77777777" w:rsidR="00C76F72" w:rsidRPr="005034FE" w:rsidRDefault="005154EA" w:rsidP="006F7B6E">
            <w:pPr>
              <w:spacing w:after="0" w:line="240" w:lineRule="auto"/>
              <w:jc w:val="center"/>
              <w:rPr>
                <w:rFonts w:ascii="David" w:eastAsia="Times New Roman" w:hAnsi="David" w:cs="David"/>
                <w:b/>
                <w:bCs/>
              </w:rPr>
            </w:pPr>
            <w:r w:rsidRPr="005034FE">
              <w:rPr>
                <w:rFonts w:ascii="David" w:eastAsia="Times New Roman" w:hAnsi="David" w:cs="David" w:hint="cs"/>
                <w:b/>
                <w:bCs/>
                <w:rtl/>
              </w:rPr>
              <w:t>7:47</w:t>
            </w:r>
          </w:p>
        </w:tc>
        <w:tc>
          <w:tcPr>
            <w:tcW w:w="1417" w:type="dxa"/>
            <w:gridSpan w:val="2"/>
            <w:tcBorders>
              <w:top w:val="single" w:sz="4" w:space="0" w:color="auto"/>
              <w:bottom w:val="single" w:sz="4" w:space="0" w:color="auto"/>
            </w:tcBorders>
            <w:shd w:val="clear" w:color="auto" w:fill="auto"/>
            <w:vAlign w:val="center"/>
          </w:tcPr>
          <w:p w14:paraId="6B6C0744" w14:textId="77777777" w:rsidR="00C76F72" w:rsidRPr="005034FE" w:rsidRDefault="00E25AE7" w:rsidP="006F7B6E">
            <w:pPr>
              <w:spacing w:after="0" w:line="240" w:lineRule="auto"/>
              <w:jc w:val="center"/>
              <w:rPr>
                <w:rFonts w:ascii="David" w:eastAsia="Times New Roman" w:hAnsi="David" w:cs="David"/>
              </w:rPr>
            </w:pPr>
            <w:r w:rsidRPr="005034FE">
              <w:rPr>
                <w:rFonts w:ascii="David" w:eastAsia="Times New Roman" w:hAnsi="David" w:cs="David" w:hint="cs"/>
                <w:rtl/>
              </w:rPr>
              <w:t>1</w:t>
            </w:r>
            <w:r w:rsidR="005154EA" w:rsidRPr="005034FE">
              <w:rPr>
                <w:rFonts w:ascii="David" w:eastAsia="Times New Roman" w:hAnsi="David" w:cs="David" w:hint="cs"/>
                <w:rtl/>
              </w:rPr>
              <w:t>3</w:t>
            </w:r>
          </w:p>
        </w:tc>
      </w:tr>
      <w:tr w:rsidR="00E0162E" w:rsidRPr="005034FE" w14:paraId="4B06FD44" w14:textId="77777777" w:rsidTr="00DB5BCC">
        <w:trPr>
          <w:trHeight w:val="600"/>
        </w:trPr>
        <w:tc>
          <w:tcPr>
            <w:tcW w:w="992" w:type="dxa"/>
            <w:tcBorders>
              <w:top w:val="single" w:sz="4" w:space="0" w:color="auto"/>
              <w:bottom w:val="single" w:sz="4" w:space="0" w:color="auto"/>
            </w:tcBorders>
            <w:shd w:val="clear" w:color="auto" w:fill="D9D9D9"/>
            <w:noWrap/>
            <w:vAlign w:val="center"/>
          </w:tcPr>
          <w:p w14:paraId="32D8A623" w14:textId="77777777" w:rsidR="00C76F72" w:rsidRPr="005034FE" w:rsidRDefault="00E25AE7" w:rsidP="006F7B6E">
            <w:pPr>
              <w:spacing w:after="0" w:line="240" w:lineRule="auto"/>
              <w:jc w:val="center"/>
              <w:rPr>
                <w:rFonts w:ascii="David" w:eastAsia="Times New Roman" w:hAnsi="David" w:cs="David"/>
                <w:rtl/>
              </w:rPr>
            </w:pPr>
            <w:r w:rsidRPr="005034FE">
              <w:rPr>
                <w:rFonts w:ascii="David" w:eastAsia="Times New Roman" w:hAnsi="David" w:cs="David"/>
                <w:rtl/>
              </w:rPr>
              <w:t>משפחה</w:t>
            </w:r>
          </w:p>
        </w:tc>
        <w:tc>
          <w:tcPr>
            <w:tcW w:w="2836" w:type="dxa"/>
            <w:tcBorders>
              <w:top w:val="single" w:sz="4" w:space="0" w:color="auto"/>
              <w:bottom w:val="single" w:sz="4" w:space="0" w:color="auto"/>
            </w:tcBorders>
            <w:shd w:val="clear" w:color="auto" w:fill="D9D9D9"/>
            <w:vAlign w:val="center"/>
          </w:tcPr>
          <w:p w14:paraId="3C6A59E4" w14:textId="77777777" w:rsidR="00C76F72" w:rsidRPr="005034FE" w:rsidRDefault="00E25AE7" w:rsidP="006F7B6E">
            <w:pPr>
              <w:spacing w:after="0" w:line="240" w:lineRule="auto"/>
              <w:rPr>
                <w:rFonts w:ascii="David" w:eastAsia="Times New Roman" w:hAnsi="David" w:cs="David"/>
                <w:rtl/>
              </w:rPr>
            </w:pPr>
            <w:r w:rsidRPr="005034FE">
              <w:rPr>
                <w:rFonts w:ascii="David" w:eastAsia="Times New Roman" w:hAnsi="David" w:cs="David"/>
                <w:rtl/>
              </w:rPr>
              <w:t>תיק אימוץ (אמ"ץ)</w:t>
            </w:r>
          </w:p>
        </w:tc>
        <w:tc>
          <w:tcPr>
            <w:tcW w:w="2210" w:type="dxa"/>
            <w:gridSpan w:val="3"/>
            <w:tcBorders>
              <w:top w:val="single" w:sz="4" w:space="0" w:color="auto"/>
              <w:bottom w:val="single" w:sz="4" w:space="0" w:color="auto"/>
            </w:tcBorders>
            <w:shd w:val="clear" w:color="auto" w:fill="D9D9D9"/>
            <w:vAlign w:val="center"/>
          </w:tcPr>
          <w:p w14:paraId="57075D1D" w14:textId="77777777" w:rsidR="00C76F72" w:rsidRPr="005034FE" w:rsidRDefault="00E25AE7" w:rsidP="006F7B6E">
            <w:pPr>
              <w:spacing w:after="0" w:line="240" w:lineRule="auto"/>
              <w:jc w:val="center"/>
              <w:rPr>
                <w:rFonts w:ascii="David" w:eastAsia="Times New Roman" w:hAnsi="David" w:cs="David"/>
              </w:rPr>
            </w:pPr>
            <w:r w:rsidRPr="005034FE">
              <w:rPr>
                <w:rFonts w:ascii="David" w:eastAsia="Times New Roman" w:hAnsi="David" w:cs="David"/>
              </w:rPr>
              <w:t>486</w:t>
            </w:r>
          </w:p>
        </w:tc>
        <w:tc>
          <w:tcPr>
            <w:tcW w:w="1336" w:type="dxa"/>
            <w:tcBorders>
              <w:top w:val="single" w:sz="4" w:space="0" w:color="auto"/>
              <w:bottom w:val="single" w:sz="4" w:space="0" w:color="auto"/>
            </w:tcBorders>
            <w:shd w:val="clear" w:color="auto" w:fill="D9D9D9"/>
            <w:noWrap/>
            <w:vAlign w:val="center"/>
          </w:tcPr>
          <w:p w14:paraId="508C00D8" w14:textId="77777777" w:rsidR="00C76F72" w:rsidRPr="005034FE" w:rsidRDefault="005154EA" w:rsidP="006F7B6E">
            <w:pPr>
              <w:spacing w:after="0" w:line="240" w:lineRule="auto"/>
              <w:jc w:val="center"/>
              <w:rPr>
                <w:rFonts w:ascii="David" w:eastAsia="Times New Roman" w:hAnsi="David" w:cs="David"/>
                <w:b/>
                <w:bCs/>
              </w:rPr>
            </w:pPr>
            <w:r w:rsidRPr="005034FE">
              <w:rPr>
                <w:rFonts w:ascii="David" w:eastAsia="Times New Roman" w:hAnsi="David" w:cs="David" w:hint="cs"/>
                <w:b/>
                <w:bCs/>
                <w:rtl/>
              </w:rPr>
              <w:t>6:25</w:t>
            </w:r>
          </w:p>
        </w:tc>
        <w:tc>
          <w:tcPr>
            <w:tcW w:w="1417" w:type="dxa"/>
            <w:gridSpan w:val="2"/>
            <w:tcBorders>
              <w:top w:val="single" w:sz="4" w:space="0" w:color="auto"/>
              <w:bottom w:val="single" w:sz="4" w:space="0" w:color="auto"/>
            </w:tcBorders>
            <w:shd w:val="clear" w:color="auto" w:fill="D9D9D9"/>
            <w:vAlign w:val="center"/>
          </w:tcPr>
          <w:p w14:paraId="26093A1C" w14:textId="77777777" w:rsidR="00C76F72" w:rsidRPr="005034FE" w:rsidRDefault="00E25AE7" w:rsidP="006F7B6E">
            <w:pPr>
              <w:spacing w:after="0" w:line="240" w:lineRule="auto"/>
              <w:jc w:val="center"/>
              <w:rPr>
                <w:rFonts w:ascii="David" w:eastAsia="Times New Roman" w:hAnsi="David" w:cs="David"/>
                <w:rtl/>
              </w:rPr>
            </w:pPr>
            <w:r w:rsidRPr="005034FE">
              <w:rPr>
                <w:rFonts w:ascii="David" w:eastAsia="Times New Roman" w:hAnsi="David" w:cs="David" w:hint="cs"/>
                <w:rtl/>
              </w:rPr>
              <w:t>1</w:t>
            </w:r>
            <w:r w:rsidR="005154EA" w:rsidRPr="005034FE">
              <w:rPr>
                <w:rFonts w:ascii="David" w:eastAsia="Times New Roman" w:hAnsi="David" w:cs="David" w:hint="cs"/>
                <w:rtl/>
              </w:rPr>
              <w:t>1</w:t>
            </w:r>
          </w:p>
        </w:tc>
      </w:tr>
      <w:tr w:rsidR="00E0162E" w:rsidRPr="005034FE" w14:paraId="290A631E" w14:textId="77777777" w:rsidTr="00DB5BCC">
        <w:trPr>
          <w:trHeight w:val="600"/>
        </w:trPr>
        <w:tc>
          <w:tcPr>
            <w:tcW w:w="992" w:type="dxa"/>
            <w:tcBorders>
              <w:top w:val="single" w:sz="4" w:space="0" w:color="auto"/>
              <w:bottom w:val="single" w:sz="4" w:space="0" w:color="auto"/>
            </w:tcBorders>
            <w:shd w:val="clear" w:color="auto" w:fill="auto"/>
            <w:noWrap/>
            <w:vAlign w:val="center"/>
          </w:tcPr>
          <w:p w14:paraId="662F0346" w14:textId="77777777" w:rsidR="00C76F72" w:rsidRPr="005034FE" w:rsidRDefault="00E25AE7" w:rsidP="006F7B6E">
            <w:pPr>
              <w:spacing w:after="0" w:line="240" w:lineRule="auto"/>
              <w:jc w:val="center"/>
              <w:rPr>
                <w:rFonts w:ascii="David" w:eastAsia="Times New Roman" w:hAnsi="David" w:cs="David"/>
                <w:rtl/>
              </w:rPr>
            </w:pPr>
            <w:r w:rsidRPr="005034FE">
              <w:rPr>
                <w:rFonts w:ascii="David" w:eastAsia="Times New Roman" w:hAnsi="David" w:cs="David"/>
                <w:rtl/>
              </w:rPr>
              <w:t>משפחה</w:t>
            </w:r>
          </w:p>
        </w:tc>
        <w:tc>
          <w:tcPr>
            <w:tcW w:w="2836" w:type="dxa"/>
            <w:tcBorders>
              <w:top w:val="single" w:sz="4" w:space="0" w:color="auto"/>
              <w:bottom w:val="single" w:sz="4" w:space="0" w:color="auto"/>
            </w:tcBorders>
            <w:shd w:val="clear" w:color="auto" w:fill="auto"/>
            <w:vAlign w:val="center"/>
          </w:tcPr>
          <w:p w14:paraId="349D9203" w14:textId="77777777" w:rsidR="00C76F72" w:rsidRPr="005034FE" w:rsidRDefault="00E25AE7" w:rsidP="006F7B6E">
            <w:pPr>
              <w:spacing w:after="0" w:line="240" w:lineRule="auto"/>
              <w:rPr>
                <w:rFonts w:ascii="David" w:eastAsia="Times New Roman" w:hAnsi="David" w:cs="David"/>
                <w:rtl/>
              </w:rPr>
            </w:pPr>
            <w:r w:rsidRPr="005034FE">
              <w:rPr>
                <w:rFonts w:ascii="David" w:eastAsia="Times New Roman" w:hAnsi="David" w:cs="David"/>
                <w:rtl/>
              </w:rPr>
              <w:t>תביעה לאחר הסדר התדיינויות במשפחה (תלה"מ)</w:t>
            </w:r>
          </w:p>
        </w:tc>
        <w:tc>
          <w:tcPr>
            <w:tcW w:w="2210" w:type="dxa"/>
            <w:gridSpan w:val="3"/>
            <w:tcBorders>
              <w:top w:val="single" w:sz="4" w:space="0" w:color="auto"/>
              <w:bottom w:val="single" w:sz="4" w:space="0" w:color="auto"/>
            </w:tcBorders>
            <w:vAlign w:val="center"/>
          </w:tcPr>
          <w:p w14:paraId="1BF7410D" w14:textId="77777777" w:rsidR="00C76F72" w:rsidRPr="005034FE" w:rsidRDefault="00E25AE7" w:rsidP="006F7B6E">
            <w:pPr>
              <w:spacing w:after="0" w:line="240" w:lineRule="auto"/>
              <w:jc w:val="center"/>
              <w:rPr>
                <w:rFonts w:ascii="David" w:eastAsia="Times New Roman" w:hAnsi="David" w:cs="David"/>
                <w:rtl/>
              </w:rPr>
            </w:pPr>
            <w:r w:rsidRPr="005034FE">
              <w:rPr>
                <w:rFonts w:ascii="David" w:eastAsia="Times New Roman" w:hAnsi="David" w:cs="David"/>
                <w:rtl/>
              </w:rPr>
              <w:t>13,706</w:t>
            </w:r>
          </w:p>
        </w:tc>
        <w:tc>
          <w:tcPr>
            <w:tcW w:w="1336" w:type="dxa"/>
            <w:tcBorders>
              <w:top w:val="single" w:sz="4" w:space="0" w:color="auto"/>
              <w:bottom w:val="single" w:sz="4" w:space="0" w:color="auto"/>
            </w:tcBorders>
            <w:shd w:val="clear" w:color="auto" w:fill="auto"/>
            <w:noWrap/>
            <w:vAlign w:val="center"/>
          </w:tcPr>
          <w:p w14:paraId="77875FE5" w14:textId="77777777" w:rsidR="00C76F72" w:rsidRPr="005034FE" w:rsidRDefault="00E25AE7" w:rsidP="006F7B6E">
            <w:pPr>
              <w:spacing w:after="0" w:line="240" w:lineRule="auto"/>
              <w:jc w:val="center"/>
              <w:rPr>
                <w:rFonts w:ascii="David" w:eastAsia="Times New Roman" w:hAnsi="David" w:cs="David"/>
                <w:b/>
                <w:bCs/>
                <w:rtl/>
              </w:rPr>
            </w:pPr>
            <w:r w:rsidRPr="005034FE">
              <w:rPr>
                <w:rFonts w:ascii="David" w:eastAsia="Times New Roman" w:hAnsi="David" w:cs="David"/>
                <w:b/>
                <w:bCs/>
              </w:rPr>
              <w:t>:</w:t>
            </w:r>
            <w:r w:rsidR="005154EA" w:rsidRPr="005034FE">
              <w:rPr>
                <w:rFonts w:ascii="David" w:eastAsia="Times New Roman" w:hAnsi="David" w:cs="David"/>
                <w:b/>
                <w:bCs/>
              </w:rPr>
              <w:t>51</w:t>
            </w:r>
            <w:r w:rsidR="005154EA" w:rsidRPr="005034FE">
              <w:rPr>
                <w:rFonts w:ascii="David" w:eastAsia="Times New Roman" w:hAnsi="David" w:cs="David" w:hint="cs"/>
                <w:b/>
                <w:bCs/>
                <w:rtl/>
              </w:rPr>
              <w:t>4</w:t>
            </w:r>
          </w:p>
        </w:tc>
        <w:tc>
          <w:tcPr>
            <w:tcW w:w="1417" w:type="dxa"/>
            <w:gridSpan w:val="2"/>
            <w:tcBorders>
              <w:top w:val="single" w:sz="4" w:space="0" w:color="auto"/>
              <w:bottom w:val="single" w:sz="4" w:space="0" w:color="auto"/>
            </w:tcBorders>
            <w:shd w:val="clear" w:color="auto" w:fill="auto"/>
            <w:vAlign w:val="center"/>
          </w:tcPr>
          <w:p w14:paraId="1F76BBAB" w14:textId="77777777" w:rsidR="00C76F72" w:rsidRPr="005034FE" w:rsidRDefault="005154EA" w:rsidP="006F7B6E">
            <w:pPr>
              <w:spacing w:after="0" w:line="240" w:lineRule="auto"/>
              <w:jc w:val="center"/>
              <w:rPr>
                <w:rFonts w:ascii="David" w:eastAsia="Times New Roman" w:hAnsi="David" w:cs="David"/>
              </w:rPr>
            </w:pPr>
            <w:r w:rsidRPr="005034FE">
              <w:rPr>
                <w:rFonts w:ascii="David" w:eastAsia="Times New Roman" w:hAnsi="David" w:cs="David"/>
              </w:rPr>
              <w:t>8</w:t>
            </w:r>
          </w:p>
        </w:tc>
      </w:tr>
      <w:tr w:rsidR="00E0162E" w:rsidRPr="005034FE" w14:paraId="329A9C39" w14:textId="77777777" w:rsidTr="00DB5BCC">
        <w:trPr>
          <w:trHeight w:val="600"/>
        </w:trPr>
        <w:tc>
          <w:tcPr>
            <w:tcW w:w="992" w:type="dxa"/>
            <w:tcBorders>
              <w:top w:val="single" w:sz="4" w:space="0" w:color="auto"/>
              <w:bottom w:val="single" w:sz="4" w:space="0" w:color="auto"/>
            </w:tcBorders>
            <w:shd w:val="clear" w:color="auto" w:fill="D9D9D9"/>
            <w:noWrap/>
            <w:vAlign w:val="center"/>
          </w:tcPr>
          <w:p w14:paraId="0E894121" w14:textId="77777777" w:rsidR="00825532" w:rsidRPr="005034FE" w:rsidRDefault="00E25AE7" w:rsidP="006F7B6E">
            <w:pPr>
              <w:spacing w:after="0" w:line="240" w:lineRule="auto"/>
              <w:jc w:val="center"/>
              <w:rPr>
                <w:rFonts w:ascii="David" w:eastAsia="Times New Roman" w:hAnsi="David" w:cs="David"/>
                <w:rtl/>
              </w:rPr>
            </w:pPr>
            <w:r w:rsidRPr="005034FE">
              <w:rPr>
                <w:rFonts w:ascii="David" w:eastAsia="Times New Roman" w:hAnsi="David" w:cs="David"/>
                <w:rtl/>
              </w:rPr>
              <w:t>משפחה</w:t>
            </w:r>
          </w:p>
        </w:tc>
        <w:tc>
          <w:tcPr>
            <w:tcW w:w="2836" w:type="dxa"/>
            <w:tcBorders>
              <w:top w:val="single" w:sz="4" w:space="0" w:color="auto"/>
              <w:bottom w:val="single" w:sz="4" w:space="0" w:color="auto"/>
            </w:tcBorders>
            <w:shd w:val="clear" w:color="auto" w:fill="D9D9D9"/>
            <w:vAlign w:val="center"/>
          </w:tcPr>
          <w:p w14:paraId="4294508D" w14:textId="77777777" w:rsidR="00825532" w:rsidRPr="005034FE" w:rsidRDefault="00E25AE7" w:rsidP="006F7B6E">
            <w:pPr>
              <w:spacing w:after="0" w:line="240" w:lineRule="auto"/>
              <w:rPr>
                <w:rFonts w:ascii="David" w:eastAsia="Times New Roman" w:hAnsi="David" w:cs="David"/>
                <w:rtl/>
              </w:rPr>
            </w:pPr>
            <w:r w:rsidRPr="005034FE">
              <w:rPr>
                <w:rFonts w:ascii="David" w:eastAsia="Times New Roman" w:hAnsi="David" w:cs="David"/>
                <w:rtl/>
              </w:rPr>
              <w:t>תיק עזבונות (ת"ע)</w:t>
            </w:r>
          </w:p>
        </w:tc>
        <w:tc>
          <w:tcPr>
            <w:tcW w:w="2210" w:type="dxa"/>
            <w:gridSpan w:val="3"/>
            <w:tcBorders>
              <w:top w:val="single" w:sz="4" w:space="0" w:color="auto"/>
              <w:bottom w:val="single" w:sz="4" w:space="0" w:color="auto"/>
            </w:tcBorders>
            <w:shd w:val="clear" w:color="auto" w:fill="D9D9D9"/>
            <w:vAlign w:val="center"/>
          </w:tcPr>
          <w:p w14:paraId="4EE30897" w14:textId="77777777" w:rsidR="00825532" w:rsidRPr="005034FE" w:rsidRDefault="00E25AE7" w:rsidP="006F7B6E">
            <w:pPr>
              <w:spacing w:after="0" w:line="240" w:lineRule="auto"/>
              <w:jc w:val="center"/>
              <w:rPr>
                <w:rFonts w:ascii="David" w:eastAsia="Times New Roman" w:hAnsi="David" w:cs="David"/>
              </w:rPr>
            </w:pPr>
            <w:r w:rsidRPr="005034FE">
              <w:rPr>
                <w:rFonts w:ascii="David" w:eastAsia="Times New Roman" w:hAnsi="David" w:cs="David"/>
              </w:rPr>
              <w:t>7,720</w:t>
            </w:r>
          </w:p>
        </w:tc>
        <w:tc>
          <w:tcPr>
            <w:tcW w:w="1336" w:type="dxa"/>
            <w:tcBorders>
              <w:top w:val="single" w:sz="4" w:space="0" w:color="auto"/>
              <w:bottom w:val="single" w:sz="4" w:space="0" w:color="auto"/>
            </w:tcBorders>
            <w:shd w:val="clear" w:color="auto" w:fill="D9D9D9"/>
            <w:noWrap/>
            <w:vAlign w:val="center"/>
          </w:tcPr>
          <w:p w14:paraId="76CD5AC0" w14:textId="77777777" w:rsidR="00825532" w:rsidRPr="005034FE" w:rsidRDefault="005154EA" w:rsidP="006F7B6E">
            <w:pPr>
              <w:spacing w:after="0" w:line="240" w:lineRule="auto"/>
              <w:jc w:val="center"/>
              <w:rPr>
                <w:rFonts w:ascii="David" w:eastAsia="Times New Roman" w:hAnsi="David" w:cs="David"/>
                <w:b/>
                <w:bCs/>
              </w:rPr>
            </w:pPr>
            <w:r w:rsidRPr="005034FE">
              <w:rPr>
                <w:rFonts w:ascii="David" w:eastAsia="Times New Roman" w:hAnsi="David" w:cs="David"/>
                <w:b/>
                <w:bCs/>
              </w:rPr>
              <w:t>4:07</w:t>
            </w:r>
          </w:p>
        </w:tc>
        <w:tc>
          <w:tcPr>
            <w:tcW w:w="1417" w:type="dxa"/>
            <w:gridSpan w:val="2"/>
            <w:tcBorders>
              <w:top w:val="single" w:sz="4" w:space="0" w:color="auto"/>
              <w:bottom w:val="single" w:sz="4" w:space="0" w:color="auto"/>
            </w:tcBorders>
            <w:shd w:val="clear" w:color="auto" w:fill="D9D9D9"/>
            <w:vAlign w:val="center"/>
          </w:tcPr>
          <w:p w14:paraId="3F1F660B" w14:textId="77777777" w:rsidR="00825532" w:rsidRPr="005034FE" w:rsidRDefault="005154EA" w:rsidP="006F7B6E">
            <w:pPr>
              <w:spacing w:after="0" w:line="240" w:lineRule="auto"/>
              <w:jc w:val="center"/>
              <w:rPr>
                <w:rFonts w:ascii="David" w:eastAsia="Times New Roman" w:hAnsi="David" w:cs="David"/>
              </w:rPr>
            </w:pPr>
            <w:r w:rsidRPr="005034FE">
              <w:rPr>
                <w:rFonts w:ascii="David" w:eastAsia="Times New Roman" w:hAnsi="David" w:cs="David"/>
              </w:rPr>
              <w:t>7</w:t>
            </w:r>
          </w:p>
        </w:tc>
      </w:tr>
      <w:tr w:rsidR="00550EA7" w:rsidRPr="005034FE" w14:paraId="3B333001" w14:textId="77777777" w:rsidTr="00DB5BCC">
        <w:trPr>
          <w:trHeight w:val="600"/>
        </w:trPr>
        <w:tc>
          <w:tcPr>
            <w:tcW w:w="992" w:type="dxa"/>
            <w:tcBorders>
              <w:top w:val="single" w:sz="4" w:space="0" w:color="auto"/>
              <w:bottom w:val="single" w:sz="4" w:space="0" w:color="auto"/>
            </w:tcBorders>
            <w:shd w:val="clear" w:color="auto" w:fill="auto"/>
            <w:noWrap/>
            <w:vAlign w:val="center"/>
          </w:tcPr>
          <w:p w14:paraId="70680395" w14:textId="77777777" w:rsidR="00550EA7" w:rsidRPr="005034FE" w:rsidRDefault="00550EA7" w:rsidP="006F7B6E">
            <w:pPr>
              <w:spacing w:after="0" w:line="240" w:lineRule="auto"/>
              <w:jc w:val="center"/>
              <w:rPr>
                <w:rFonts w:ascii="David" w:eastAsia="Times New Roman" w:hAnsi="David" w:cs="David"/>
                <w:rtl/>
              </w:rPr>
            </w:pPr>
            <w:r w:rsidRPr="005034FE">
              <w:rPr>
                <w:rFonts w:ascii="David" w:eastAsia="Times New Roman" w:hAnsi="David" w:cs="David"/>
                <w:rtl/>
              </w:rPr>
              <w:t>משפחה</w:t>
            </w:r>
          </w:p>
        </w:tc>
        <w:tc>
          <w:tcPr>
            <w:tcW w:w="2836" w:type="dxa"/>
            <w:tcBorders>
              <w:top w:val="single" w:sz="4" w:space="0" w:color="auto"/>
              <w:bottom w:val="single" w:sz="4" w:space="0" w:color="auto"/>
            </w:tcBorders>
            <w:shd w:val="clear" w:color="auto" w:fill="auto"/>
            <w:vAlign w:val="center"/>
          </w:tcPr>
          <w:p w14:paraId="615E52E7" w14:textId="77777777" w:rsidR="00550EA7" w:rsidRPr="005034FE" w:rsidRDefault="00550EA7" w:rsidP="006F7B6E">
            <w:pPr>
              <w:spacing w:after="0" w:line="240" w:lineRule="auto"/>
              <w:rPr>
                <w:rFonts w:ascii="David" w:eastAsia="Times New Roman" w:hAnsi="David" w:cs="David"/>
                <w:rtl/>
              </w:rPr>
            </w:pPr>
            <w:r w:rsidRPr="005034FE">
              <w:rPr>
                <w:rFonts w:ascii="David" w:eastAsia="Times New Roman" w:hAnsi="David" w:cs="David"/>
                <w:rtl/>
              </w:rPr>
              <w:t>היתר נישואין (ה"נ)</w:t>
            </w:r>
          </w:p>
        </w:tc>
        <w:tc>
          <w:tcPr>
            <w:tcW w:w="2210" w:type="dxa"/>
            <w:gridSpan w:val="3"/>
            <w:tcBorders>
              <w:top w:val="single" w:sz="4" w:space="0" w:color="auto"/>
              <w:bottom w:val="single" w:sz="4" w:space="0" w:color="auto"/>
            </w:tcBorders>
            <w:shd w:val="clear" w:color="auto" w:fill="auto"/>
            <w:vAlign w:val="center"/>
          </w:tcPr>
          <w:p w14:paraId="7A9F57C8" w14:textId="77777777" w:rsidR="00550EA7" w:rsidRPr="005034FE" w:rsidRDefault="00550EA7" w:rsidP="006F7B6E">
            <w:pPr>
              <w:spacing w:after="0" w:line="240" w:lineRule="auto"/>
              <w:jc w:val="center"/>
              <w:rPr>
                <w:rFonts w:ascii="David" w:eastAsia="Times New Roman" w:hAnsi="David" w:cs="David"/>
              </w:rPr>
            </w:pPr>
            <w:r w:rsidRPr="005034FE">
              <w:rPr>
                <w:rFonts w:ascii="David" w:eastAsia="Times New Roman" w:hAnsi="David" w:cs="David"/>
              </w:rPr>
              <w:t>37</w:t>
            </w:r>
          </w:p>
        </w:tc>
        <w:tc>
          <w:tcPr>
            <w:tcW w:w="1336" w:type="dxa"/>
            <w:tcBorders>
              <w:top w:val="single" w:sz="4" w:space="0" w:color="auto"/>
              <w:bottom w:val="single" w:sz="4" w:space="0" w:color="auto"/>
            </w:tcBorders>
            <w:shd w:val="clear" w:color="auto" w:fill="auto"/>
            <w:noWrap/>
            <w:vAlign w:val="center"/>
          </w:tcPr>
          <w:p w14:paraId="4DF79B20" w14:textId="77777777" w:rsidR="00550EA7" w:rsidRPr="005034FE" w:rsidRDefault="00550EA7" w:rsidP="006F7B6E">
            <w:pPr>
              <w:spacing w:after="0" w:line="240" w:lineRule="auto"/>
              <w:jc w:val="center"/>
              <w:rPr>
                <w:rFonts w:ascii="David" w:eastAsia="Times New Roman" w:hAnsi="David" w:cs="David"/>
                <w:b/>
                <w:bCs/>
              </w:rPr>
            </w:pPr>
            <w:r w:rsidRPr="005034FE">
              <w:rPr>
                <w:rFonts w:ascii="David" w:eastAsia="Times New Roman" w:hAnsi="David" w:cs="David" w:hint="cs"/>
                <w:b/>
                <w:bCs/>
                <w:rtl/>
              </w:rPr>
              <w:t>2:36</w:t>
            </w:r>
          </w:p>
        </w:tc>
        <w:tc>
          <w:tcPr>
            <w:tcW w:w="1417" w:type="dxa"/>
            <w:gridSpan w:val="2"/>
            <w:tcBorders>
              <w:top w:val="single" w:sz="4" w:space="0" w:color="auto"/>
              <w:bottom w:val="single" w:sz="4" w:space="0" w:color="auto"/>
            </w:tcBorders>
            <w:shd w:val="clear" w:color="auto" w:fill="auto"/>
            <w:vAlign w:val="center"/>
          </w:tcPr>
          <w:p w14:paraId="2F07040D" w14:textId="77777777" w:rsidR="00550EA7" w:rsidRPr="005034FE" w:rsidRDefault="00550EA7" w:rsidP="006F7B6E">
            <w:pPr>
              <w:spacing w:after="0" w:line="240" w:lineRule="auto"/>
              <w:jc w:val="center"/>
              <w:rPr>
                <w:rFonts w:ascii="David" w:eastAsia="Times New Roman" w:hAnsi="David" w:cs="David"/>
              </w:rPr>
            </w:pPr>
            <w:r w:rsidRPr="005034FE">
              <w:rPr>
                <w:rFonts w:ascii="David" w:eastAsia="Times New Roman" w:hAnsi="David" w:cs="David" w:hint="cs"/>
                <w:rtl/>
              </w:rPr>
              <w:t>4</w:t>
            </w:r>
          </w:p>
        </w:tc>
      </w:tr>
      <w:tr w:rsidR="00550EA7" w:rsidRPr="005034FE" w14:paraId="1075DE11" w14:textId="77777777" w:rsidTr="00DB5BCC">
        <w:trPr>
          <w:trHeight w:val="600"/>
        </w:trPr>
        <w:tc>
          <w:tcPr>
            <w:tcW w:w="992" w:type="dxa"/>
            <w:tcBorders>
              <w:top w:val="single" w:sz="4" w:space="0" w:color="auto"/>
              <w:bottom w:val="single" w:sz="4" w:space="0" w:color="auto"/>
            </w:tcBorders>
            <w:shd w:val="clear" w:color="auto" w:fill="D9D9D9"/>
            <w:noWrap/>
            <w:vAlign w:val="center"/>
          </w:tcPr>
          <w:p w14:paraId="35C56291" w14:textId="77777777" w:rsidR="00550EA7" w:rsidRPr="005034FE" w:rsidRDefault="00550EA7" w:rsidP="006F7B6E">
            <w:pPr>
              <w:spacing w:after="0" w:line="240" w:lineRule="auto"/>
              <w:jc w:val="center"/>
              <w:rPr>
                <w:rFonts w:ascii="David" w:eastAsia="Times New Roman" w:hAnsi="David" w:cs="David"/>
                <w:rtl/>
              </w:rPr>
            </w:pPr>
            <w:r w:rsidRPr="005034FE">
              <w:rPr>
                <w:rFonts w:ascii="David" w:eastAsia="Times New Roman" w:hAnsi="David" w:cs="David"/>
                <w:rtl/>
              </w:rPr>
              <w:t>משפחה</w:t>
            </w:r>
          </w:p>
        </w:tc>
        <w:tc>
          <w:tcPr>
            <w:tcW w:w="2836" w:type="dxa"/>
            <w:tcBorders>
              <w:top w:val="single" w:sz="4" w:space="0" w:color="auto"/>
              <w:bottom w:val="single" w:sz="4" w:space="0" w:color="auto"/>
            </w:tcBorders>
            <w:shd w:val="clear" w:color="auto" w:fill="D9D9D9"/>
            <w:vAlign w:val="center"/>
          </w:tcPr>
          <w:p w14:paraId="70632419" w14:textId="77777777" w:rsidR="00550EA7" w:rsidRPr="005034FE" w:rsidRDefault="00550EA7" w:rsidP="006F7B6E">
            <w:pPr>
              <w:spacing w:after="0" w:line="240" w:lineRule="auto"/>
              <w:rPr>
                <w:rFonts w:ascii="David" w:eastAsia="Times New Roman" w:hAnsi="David" w:cs="David"/>
                <w:rtl/>
              </w:rPr>
            </w:pPr>
            <w:r w:rsidRPr="005034FE">
              <w:rPr>
                <w:rFonts w:ascii="David" w:eastAsia="Times New Roman" w:hAnsi="David" w:cs="David"/>
                <w:rtl/>
              </w:rPr>
              <w:t>ערעור על החלטת רשם (ע"ר)</w:t>
            </w:r>
          </w:p>
        </w:tc>
        <w:tc>
          <w:tcPr>
            <w:tcW w:w="2210" w:type="dxa"/>
            <w:gridSpan w:val="3"/>
            <w:tcBorders>
              <w:top w:val="single" w:sz="4" w:space="0" w:color="auto"/>
              <w:bottom w:val="single" w:sz="4" w:space="0" w:color="auto"/>
            </w:tcBorders>
            <w:shd w:val="clear" w:color="auto" w:fill="D9D9D9"/>
            <w:vAlign w:val="center"/>
          </w:tcPr>
          <w:p w14:paraId="266CC19A" w14:textId="77777777" w:rsidR="00550EA7" w:rsidRPr="005034FE" w:rsidRDefault="00550EA7" w:rsidP="006F7B6E">
            <w:pPr>
              <w:spacing w:after="0" w:line="240" w:lineRule="auto"/>
              <w:jc w:val="center"/>
              <w:rPr>
                <w:rFonts w:ascii="David" w:eastAsia="Times New Roman" w:hAnsi="David" w:cs="David"/>
              </w:rPr>
            </w:pPr>
            <w:r w:rsidRPr="005034FE">
              <w:rPr>
                <w:rFonts w:ascii="David" w:eastAsia="Times New Roman" w:hAnsi="David" w:cs="David"/>
              </w:rPr>
              <w:t>426</w:t>
            </w:r>
          </w:p>
        </w:tc>
        <w:tc>
          <w:tcPr>
            <w:tcW w:w="1336" w:type="dxa"/>
            <w:tcBorders>
              <w:top w:val="single" w:sz="4" w:space="0" w:color="auto"/>
              <w:bottom w:val="single" w:sz="4" w:space="0" w:color="auto"/>
            </w:tcBorders>
            <w:shd w:val="clear" w:color="auto" w:fill="D9D9D9"/>
            <w:noWrap/>
            <w:vAlign w:val="center"/>
          </w:tcPr>
          <w:p w14:paraId="354C07CA" w14:textId="77777777" w:rsidR="00550EA7" w:rsidRPr="005034FE" w:rsidRDefault="00550EA7" w:rsidP="006F7B6E">
            <w:pPr>
              <w:spacing w:after="0" w:line="240" w:lineRule="auto"/>
              <w:jc w:val="center"/>
              <w:rPr>
                <w:rFonts w:ascii="David" w:eastAsia="Times New Roman" w:hAnsi="David" w:cs="David"/>
                <w:b/>
                <w:bCs/>
              </w:rPr>
            </w:pPr>
            <w:r w:rsidRPr="005034FE">
              <w:rPr>
                <w:rFonts w:ascii="David" w:eastAsia="Times New Roman" w:hAnsi="David" w:cs="David"/>
                <w:b/>
                <w:bCs/>
              </w:rPr>
              <w:t>2:30</w:t>
            </w:r>
          </w:p>
        </w:tc>
        <w:tc>
          <w:tcPr>
            <w:tcW w:w="1417" w:type="dxa"/>
            <w:gridSpan w:val="2"/>
            <w:tcBorders>
              <w:top w:val="single" w:sz="4" w:space="0" w:color="auto"/>
              <w:bottom w:val="single" w:sz="4" w:space="0" w:color="auto"/>
            </w:tcBorders>
            <w:shd w:val="clear" w:color="auto" w:fill="D9D9D9"/>
            <w:vAlign w:val="center"/>
          </w:tcPr>
          <w:p w14:paraId="40D397DD" w14:textId="77777777" w:rsidR="00550EA7" w:rsidRPr="005034FE" w:rsidRDefault="00550EA7" w:rsidP="006F7B6E">
            <w:pPr>
              <w:spacing w:after="0" w:line="240" w:lineRule="auto"/>
              <w:jc w:val="center"/>
              <w:rPr>
                <w:rFonts w:ascii="David" w:eastAsia="Times New Roman" w:hAnsi="David" w:cs="David"/>
              </w:rPr>
            </w:pPr>
            <w:r w:rsidRPr="005034FE">
              <w:rPr>
                <w:rFonts w:ascii="David" w:eastAsia="Times New Roman" w:hAnsi="David" w:cs="David" w:hint="cs"/>
                <w:rtl/>
              </w:rPr>
              <w:t>4</w:t>
            </w:r>
          </w:p>
        </w:tc>
      </w:tr>
      <w:tr w:rsidR="00550EA7" w:rsidRPr="005034FE" w14:paraId="64543CEB" w14:textId="77777777" w:rsidTr="00DB5BCC">
        <w:trPr>
          <w:trHeight w:val="600"/>
        </w:trPr>
        <w:tc>
          <w:tcPr>
            <w:tcW w:w="992" w:type="dxa"/>
            <w:tcBorders>
              <w:top w:val="single" w:sz="4" w:space="0" w:color="auto"/>
              <w:bottom w:val="single" w:sz="4" w:space="0" w:color="auto"/>
            </w:tcBorders>
            <w:shd w:val="clear" w:color="auto" w:fill="auto"/>
            <w:noWrap/>
            <w:vAlign w:val="center"/>
          </w:tcPr>
          <w:p w14:paraId="14D4F16B" w14:textId="77777777" w:rsidR="00550EA7" w:rsidRPr="005034FE" w:rsidRDefault="00550EA7" w:rsidP="006F7B6E">
            <w:pPr>
              <w:spacing w:after="0" w:line="240" w:lineRule="auto"/>
              <w:jc w:val="center"/>
              <w:rPr>
                <w:rFonts w:ascii="David" w:eastAsia="Times New Roman" w:hAnsi="David" w:cs="David"/>
                <w:rtl/>
              </w:rPr>
            </w:pPr>
            <w:r w:rsidRPr="005034FE">
              <w:rPr>
                <w:rFonts w:ascii="David" w:eastAsia="Times New Roman" w:hAnsi="David" w:cs="David"/>
                <w:rtl/>
              </w:rPr>
              <w:t>משפחה</w:t>
            </w:r>
          </w:p>
        </w:tc>
        <w:tc>
          <w:tcPr>
            <w:tcW w:w="2836" w:type="dxa"/>
            <w:tcBorders>
              <w:top w:val="single" w:sz="4" w:space="0" w:color="auto"/>
              <w:bottom w:val="single" w:sz="4" w:space="0" w:color="auto"/>
            </w:tcBorders>
            <w:shd w:val="clear" w:color="auto" w:fill="auto"/>
            <w:vAlign w:val="center"/>
          </w:tcPr>
          <w:p w14:paraId="483E5509" w14:textId="77777777" w:rsidR="00550EA7" w:rsidRPr="005034FE" w:rsidRDefault="00550EA7" w:rsidP="006F7B6E">
            <w:pPr>
              <w:spacing w:after="0" w:line="240" w:lineRule="auto"/>
              <w:rPr>
                <w:rFonts w:ascii="David" w:eastAsia="Times New Roman" w:hAnsi="David" w:cs="David"/>
                <w:rtl/>
              </w:rPr>
            </w:pPr>
            <w:r w:rsidRPr="005034FE">
              <w:rPr>
                <w:rFonts w:ascii="David" w:eastAsia="Times New Roman" w:hAnsi="David" w:cs="David"/>
                <w:rtl/>
              </w:rPr>
              <w:t>הטרדה מאיימת וצו הגנה (ה"ט)</w:t>
            </w:r>
          </w:p>
        </w:tc>
        <w:tc>
          <w:tcPr>
            <w:tcW w:w="2210" w:type="dxa"/>
            <w:gridSpan w:val="3"/>
            <w:tcBorders>
              <w:top w:val="single" w:sz="4" w:space="0" w:color="auto"/>
              <w:bottom w:val="single" w:sz="4" w:space="0" w:color="auto"/>
            </w:tcBorders>
            <w:vAlign w:val="center"/>
          </w:tcPr>
          <w:p w14:paraId="1A5118D5" w14:textId="77777777" w:rsidR="00550EA7" w:rsidRPr="005034FE" w:rsidRDefault="00550EA7" w:rsidP="006F7B6E">
            <w:pPr>
              <w:spacing w:after="0" w:line="240" w:lineRule="auto"/>
              <w:jc w:val="center"/>
              <w:rPr>
                <w:rFonts w:ascii="David" w:eastAsia="Times New Roman" w:hAnsi="David" w:cs="David"/>
              </w:rPr>
            </w:pPr>
            <w:r w:rsidRPr="005034FE">
              <w:rPr>
                <w:rFonts w:ascii="David" w:eastAsia="Times New Roman" w:hAnsi="David" w:cs="David"/>
              </w:rPr>
              <w:t>10,033</w:t>
            </w:r>
          </w:p>
        </w:tc>
        <w:tc>
          <w:tcPr>
            <w:tcW w:w="1336" w:type="dxa"/>
            <w:tcBorders>
              <w:top w:val="single" w:sz="4" w:space="0" w:color="auto"/>
              <w:bottom w:val="single" w:sz="4" w:space="0" w:color="auto"/>
            </w:tcBorders>
            <w:shd w:val="clear" w:color="auto" w:fill="auto"/>
            <w:noWrap/>
            <w:vAlign w:val="center"/>
          </w:tcPr>
          <w:p w14:paraId="34325FB2" w14:textId="77777777" w:rsidR="00550EA7" w:rsidRPr="005034FE" w:rsidRDefault="00550EA7" w:rsidP="006F7B6E">
            <w:pPr>
              <w:spacing w:after="0" w:line="240" w:lineRule="auto"/>
              <w:jc w:val="center"/>
              <w:rPr>
                <w:rFonts w:ascii="David" w:eastAsia="Times New Roman" w:hAnsi="David" w:cs="David"/>
                <w:b/>
                <w:bCs/>
              </w:rPr>
            </w:pPr>
            <w:r w:rsidRPr="005034FE">
              <w:rPr>
                <w:rFonts w:ascii="David" w:eastAsia="Times New Roman" w:hAnsi="David" w:cs="David"/>
                <w:b/>
                <w:bCs/>
              </w:rPr>
              <w:t>1:39</w:t>
            </w:r>
          </w:p>
        </w:tc>
        <w:tc>
          <w:tcPr>
            <w:tcW w:w="1417" w:type="dxa"/>
            <w:gridSpan w:val="2"/>
            <w:tcBorders>
              <w:top w:val="single" w:sz="4" w:space="0" w:color="auto"/>
              <w:bottom w:val="single" w:sz="4" w:space="0" w:color="auto"/>
            </w:tcBorders>
            <w:shd w:val="clear" w:color="auto" w:fill="auto"/>
            <w:vAlign w:val="center"/>
          </w:tcPr>
          <w:p w14:paraId="0B8E11F9" w14:textId="77777777" w:rsidR="00550EA7" w:rsidRPr="005034FE" w:rsidRDefault="00550EA7" w:rsidP="006F7B6E">
            <w:pPr>
              <w:spacing w:after="0" w:line="240" w:lineRule="auto"/>
              <w:jc w:val="center"/>
              <w:rPr>
                <w:rFonts w:ascii="David" w:eastAsia="Times New Roman" w:hAnsi="David" w:cs="David"/>
              </w:rPr>
            </w:pPr>
            <w:r w:rsidRPr="005034FE">
              <w:rPr>
                <w:rFonts w:ascii="David" w:eastAsia="Times New Roman" w:hAnsi="David" w:cs="David" w:hint="cs"/>
                <w:rtl/>
              </w:rPr>
              <w:t>3</w:t>
            </w:r>
          </w:p>
        </w:tc>
      </w:tr>
      <w:tr w:rsidR="00550EA7" w:rsidRPr="005034FE" w14:paraId="2CF1184D" w14:textId="77777777" w:rsidTr="00DB5BCC">
        <w:trPr>
          <w:trHeight w:val="600"/>
        </w:trPr>
        <w:tc>
          <w:tcPr>
            <w:tcW w:w="992" w:type="dxa"/>
            <w:tcBorders>
              <w:top w:val="single" w:sz="4" w:space="0" w:color="auto"/>
              <w:bottom w:val="single" w:sz="4" w:space="0" w:color="auto"/>
            </w:tcBorders>
            <w:shd w:val="clear" w:color="auto" w:fill="E7E6E6"/>
            <w:noWrap/>
            <w:vAlign w:val="center"/>
          </w:tcPr>
          <w:p w14:paraId="0EB1FDCF" w14:textId="77777777" w:rsidR="00550EA7" w:rsidRPr="005034FE" w:rsidRDefault="00550EA7" w:rsidP="006F7B6E">
            <w:pPr>
              <w:spacing w:after="0" w:line="240" w:lineRule="auto"/>
              <w:jc w:val="center"/>
              <w:rPr>
                <w:rFonts w:ascii="David" w:eastAsia="Times New Roman" w:hAnsi="David" w:cs="David"/>
                <w:rtl/>
              </w:rPr>
            </w:pPr>
            <w:r w:rsidRPr="005034FE">
              <w:rPr>
                <w:rFonts w:ascii="David" w:eastAsia="Times New Roman" w:hAnsi="David" w:cs="David"/>
                <w:rtl/>
              </w:rPr>
              <w:t>משפחה</w:t>
            </w:r>
          </w:p>
        </w:tc>
        <w:tc>
          <w:tcPr>
            <w:tcW w:w="2836" w:type="dxa"/>
            <w:tcBorders>
              <w:top w:val="single" w:sz="4" w:space="0" w:color="auto"/>
              <w:bottom w:val="single" w:sz="4" w:space="0" w:color="auto"/>
            </w:tcBorders>
            <w:shd w:val="clear" w:color="auto" w:fill="E7E6E6"/>
            <w:vAlign w:val="center"/>
          </w:tcPr>
          <w:p w14:paraId="5D629A08" w14:textId="77777777" w:rsidR="00550EA7" w:rsidRPr="005034FE" w:rsidRDefault="00550EA7" w:rsidP="006F7B6E">
            <w:pPr>
              <w:spacing w:after="0" w:line="240" w:lineRule="auto"/>
              <w:rPr>
                <w:rFonts w:ascii="David" w:eastAsia="Times New Roman" w:hAnsi="David" w:cs="David"/>
                <w:rtl/>
              </w:rPr>
            </w:pPr>
            <w:r w:rsidRPr="005034FE">
              <w:rPr>
                <w:rFonts w:ascii="David" w:eastAsia="Times New Roman" w:hAnsi="David" w:cs="David"/>
                <w:rtl/>
              </w:rPr>
              <w:t>תיק אפוטרופסות (א"פ)</w:t>
            </w:r>
          </w:p>
        </w:tc>
        <w:tc>
          <w:tcPr>
            <w:tcW w:w="2210" w:type="dxa"/>
            <w:gridSpan w:val="3"/>
            <w:tcBorders>
              <w:top w:val="single" w:sz="4" w:space="0" w:color="auto"/>
              <w:bottom w:val="single" w:sz="4" w:space="0" w:color="auto"/>
            </w:tcBorders>
            <w:shd w:val="clear" w:color="auto" w:fill="E7E6E6"/>
            <w:vAlign w:val="center"/>
          </w:tcPr>
          <w:p w14:paraId="2ABC08B6" w14:textId="77777777" w:rsidR="00550EA7" w:rsidRPr="005034FE" w:rsidRDefault="00550EA7" w:rsidP="006F7B6E">
            <w:pPr>
              <w:spacing w:after="0" w:line="240" w:lineRule="auto"/>
              <w:jc w:val="center"/>
              <w:rPr>
                <w:rFonts w:ascii="David" w:eastAsia="Times New Roman" w:hAnsi="David" w:cs="David"/>
              </w:rPr>
            </w:pPr>
            <w:r w:rsidRPr="005034FE">
              <w:rPr>
                <w:rFonts w:ascii="David" w:eastAsia="Times New Roman" w:hAnsi="David" w:cs="David"/>
              </w:rPr>
              <w:t>18,369</w:t>
            </w:r>
          </w:p>
        </w:tc>
        <w:tc>
          <w:tcPr>
            <w:tcW w:w="1336" w:type="dxa"/>
            <w:tcBorders>
              <w:top w:val="single" w:sz="4" w:space="0" w:color="auto"/>
              <w:bottom w:val="single" w:sz="4" w:space="0" w:color="auto"/>
            </w:tcBorders>
            <w:shd w:val="clear" w:color="auto" w:fill="E7E6E6"/>
            <w:noWrap/>
            <w:vAlign w:val="center"/>
          </w:tcPr>
          <w:p w14:paraId="0AA705DD" w14:textId="77777777" w:rsidR="00550EA7" w:rsidRPr="005034FE" w:rsidRDefault="00550EA7" w:rsidP="006F7B6E">
            <w:pPr>
              <w:spacing w:after="0" w:line="240" w:lineRule="auto"/>
              <w:jc w:val="center"/>
              <w:rPr>
                <w:rFonts w:ascii="David" w:eastAsia="Times New Roman" w:hAnsi="David" w:cs="David"/>
                <w:b/>
                <w:bCs/>
              </w:rPr>
            </w:pPr>
            <w:r w:rsidRPr="005034FE">
              <w:rPr>
                <w:rFonts w:ascii="David" w:eastAsia="Times New Roman" w:hAnsi="David" w:cs="David"/>
                <w:b/>
                <w:bCs/>
              </w:rPr>
              <w:t>1:07</w:t>
            </w:r>
          </w:p>
        </w:tc>
        <w:tc>
          <w:tcPr>
            <w:tcW w:w="1417" w:type="dxa"/>
            <w:gridSpan w:val="2"/>
            <w:tcBorders>
              <w:top w:val="single" w:sz="4" w:space="0" w:color="auto"/>
              <w:bottom w:val="single" w:sz="4" w:space="0" w:color="auto"/>
            </w:tcBorders>
            <w:shd w:val="clear" w:color="auto" w:fill="E7E6E6"/>
            <w:vAlign w:val="center"/>
          </w:tcPr>
          <w:p w14:paraId="4498974C" w14:textId="77777777" w:rsidR="00550EA7" w:rsidRPr="005034FE" w:rsidRDefault="00550EA7" w:rsidP="006F7B6E">
            <w:pPr>
              <w:spacing w:after="0" w:line="240" w:lineRule="auto"/>
              <w:jc w:val="center"/>
              <w:rPr>
                <w:rFonts w:ascii="David" w:eastAsia="Times New Roman" w:hAnsi="David" w:cs="David"/>
              </w:rPr>
            </w:pPr>
            <w:r w:rsidRPr="005034FE">
              <w:rPr>
                <w:rFonts w:ascii="David" w:eastAsia="Times New Roman" w:hAnsi="David" w:cs="David"/>
              </w:rPr>
              <w:t>2</w:t>
            </w:r>
          </w:p>
        </w:tc>
      </w:tr>
      <w:tr w:rsidR="00550EA7" w:rsidRPr="005034FE" w14:paraId="54D15B2B" w14:textId="77777777" w:rsidTr="00DB5BCC">
        <w:trPr>
          <w:trHeight w:val="600"/>
        </w:trPr>
        <w:tc>
          <w:tcPr>
            <w:tcW w:w="992" w:type="dxa"/>
            <w:tcBorders>
              <w:top w:val="single" w:sz="4" w:space="0" w:color="auto"/>
              <w:bottom w:val="single" w:sz="4" w:space="0" w:color="auto"/>
            </w:tcBorders>
            <w:shd w:val="clear" w:color="auto" w:fill="FFFFFF"/>
            <w:noWrap/>
            <w:vAlign w:val="center"/>
          </w:tcPr>
          <w:p w14:paraId="383E05B5" w14:textId="77777777" w:rsidR="00550EA7" w:rsidRPr="005034FE" w:rsidRDefault="00550EA7" w:rsidP="006F7B6E">
            <w:pPr>
              <w:spacing w:after="0" w:line="240" w:lineRule="auto"/>
              <w:jc w:val="center"/>
              <w:rPr>
                <w:rFonts w:ascii="David" w:eastAsia="Times New Roman" w:hAnsi="David" w:cs="David"/>
                <w:rtl/>
              </w:rPr>
            </w:pPr>
            <w:r w:rsidRPr="005034FE">
              <w:rPr>
                <w:rFonts w:ascii="David" w:eastAsia="Times New Roman" w:hAnsi="David" w:cs="David"/>
                <w:rtl/>
              </w:rPr>
              <w:t>משפחה</w:t>
            </w:r>
          </w:p>
        </w:tc>
        <w:tc>
          <w:tcPr>
            <w:tcW w:w="2836" w:type="dxa"/>
            <w:tcBorders>
              <w:top w:val="single" w:sz="4" w:space="0" w:color="auto"/>
              <w:bottom w:val="single" w:sz="4" w:space="0" w:color="auto"/>
            </w:tcBorders>
            <w:shd w:val="clear" w:color="auto" w:fill="FFFFFF"/>
            <w:vAlign w:val="center"/>
          </w:tcPr>
          <w:p w14:paraId="3E6DD263" w14:textId="77777777" w:rsidR="00550EA7" w:rsidRPr="005034FE" w:rsidRDefault="00550EA7" w:rsidP="006F7B6E">
            <w:pPr>
              <w:spacing w:after="0" w:line="240" w:lineRule="auto"/>
              <w:rPr>
                <w:rFonts w:ascii="David" w:eastAsia="Times New Roman" w:hAnsi="David" w:cs="David"/>
                <w:rtl/>
              </w:rPr>
            </w:pPr>
            <w:r w:rsidRPr="005034FE">
              <w:rPr>
                <w:rFonts w:ascii="David" w:eastAsia="Times New Roman" w:hAnsi="David" w:cs="David"/>
                <w:rtl/>
              </w:rPr>
              <w:t>תיק הסכם (תה"ס)</w:t>
            </w:r>
          </w:p>
        </w:tc>
        <w:tc>
          <w:tcPr>
            <w:tcW w:w="2210" w:type="dxa"/>
            <w:gridSpan w:val="3"/>
            <w:tcBorders>
              <w:top w:val="single" w:sz="4" w:space="0" w:color="auto"/>
              <w:bottom w:val="single" w:sz="4" w:space="0" w:color="auto"/>
            </w:tcBorders>
            <w:shd w:val="clear" w:color="auto" w:fill="FFFFFF"/>
            <w:vAlign w:val="center"/>
          </w:tcPr>
          <w:p w14:paraId="162CED72" w14:textId="77777777" w:rsidR="00550EA7" w:rsidRPr="005034FE" w:rsidRDefault="00550EA7" w:rsidP="006F7B6E">
            <w:pPr>
              <w:spacing w:after="0" w:line="240" w:lineRule="auto"/>
              <w:jc w:val="center"/>
              <w:rPr>
                <w:rFonts w:ascii="David" w:eastAsia="Times New Roman" w:hAnsi="David" w:cs="David"/>
              </w:rPr>
            </w:pPr>
            <w:r w:rsidRPr="005034FE">
              <w:rPr>
                <w:rFonts w:ascii="David" w:eastAsia="Times New Roman" w:hAnsi="David" w:cs="David"/>
              </w:rPr>
              <w:t>9,247</w:t>
            </w:r>
          </w:p>
        </w:tc>
        <w:tc>
          <w:tcPr>
            <w:tcW w:w="1336" w:type="dxa"/>
            <w:tcBorders>
              <w:top w:val="single" w:sz="4" w:space="0" w:color="auto"/>
              <w:bottom w:val="single" w:sz="4" w:space="0" w:color="auto"/>
            </w:tcBorders>
            <w:shd w:val="clear" w:color="auto" w:fill="FFFFFF"/>
            <w:noWrap/>
            <w:vAlign w:val="center"/>
          </w:tcPr>
          <w:p w14:paraId="549DDAD8" w14:textId="77777777" w:rsidR="00550EA7" w:rsidRPr="005034FE" w:rsidRDefault="00550EA7" w:rsidP="006F7B6E">
            <w:pPr>
              <w:spacing w:after="0" w:line="240" w:lineRule="auto"/>
              <w:jc w:val="center"/>
              <w:rPr>
                <w:rFonts w:ascii="David" w:eastAsia="Times New Roman" w:hAnsi="David" w:cs="David"/>
                <w:b/>
                <w:bCs/>
              </w:rPr>
            </w:pPr>
            <w:r w:rsidRPr="005034FE">
              <w:rPr>
                <w:rFonts w:ascii="David" w:eastAsia="Times New Roman" w:hAnsi="David" w:cs="David"/>
                <w:b/>
                <w:bCs/>
              </w:rPr>
              <w:t>1:03</w:t>
            </w:r>
          </w:p>
        </w:tc>
        <w:tc>
          <w:tcPr>
            <w:tcW w:w="1417" w:type="dxa"/>
            <w:gridSpan w:val="2"/>
            <w:tcBorders>
              <w:top w:val="single" w:sz="4" w:space="0" w:color="auto"/>
              <w:bottom w:val="single" w:sz="4" w:space="0" w:color="auto"/>
            </w:tcBorders>
            <w:shd w:val="clear" w:color="auto" w:fill="FFFFFF"/>
            <w:vAlign w:val="center"/>
          </w:tcPr>
          <w:p w14:paraId="46E185A8" w14:textId="77777777" w:rsidR="00550EA7" w:rsidRPr="005034FE" w:rsidRDefault="00550EA7" w:rsidP="006F7B6E">
            <w:pPr>
              <w:spacing w:after="0" w:line="240" w:lineRule="auto"/>
              <w:jc w:val="center"/>
              <w:rPr>
                <w:rFonts w:ascii="David" w:eastAsia="Times New Roman" w:hAnsi="David" w:cs="David"/>
              </w:rPr>
            </w:pPr>
            <w:r w:rsidRPr="005034FE">
              <w:rPr>
                <w:rFonts w:ascii="David" w:eastAsia="Times New Roman" w:hAnsi="David" w:cs="David" w:hint="cs"/>
                <w:rtl/>
              </w:rPr>
              <w:t>2</w:t>
            </w:r>
          </w:p>
        </w:tc>
      </w:tr>
      <w:tr w:rsidR="00550EA7" w:rsidRPr="005034FE" w14:paraId="11622406" w14:textId="77777777" w:rsidTr="00DB5BCC">
        <w:trPr>
          <w:trHeight w:val="600"/>
        </w:trPr>
        <w:tc>
          <w:tcPr>
            <w:tcW w:w="992" w:type="dxa"/>
            <w:tcBorders>
              <w:top w:val="single" w:sz="4" w:space="0" w:color="auto"/>
              <w:bottom w:val="single" w:sz="4" w:space="0" w:color="auto"/>
            </w:tcBorders>
            <w:shd w:val="clear" w:color="auto" w:fill="D9D9D9"/>
            <w:noWrap/>
            <w:vAlign w:val="center"/>
          </w:tcPr>
          <w:p w14:paraId="7EA351FD" w14:textId="77777777" w:rsidR="00550EA7" w:rsidRPr="005034FE" w:rsidRDefault="00550EA7" w:rsidP="006F7B6E">
            <w:pPr>
              <w:spacing w:after="0" w:line="240" w:lineRule="auto"/>
              <w:jc w:val="center"/>
              <w:rPr>
                <w:rFonts w:ascii="David" w:eastAsia="Times New Roman" w:hAnsi="David" w:cs="David"/>
                <w:rtl/>
              </w:rPr>
            </w:pPr>
            <w:r w:rsidRPr="005034FE">
              <w:rPr>
                <w:rFonts w:ascii="David" w:eastAsia="Times New Roman" w:hAnsi="David" w:cs="David"/>
                <w:rtl/>
              </w:rPr>
              <w:t>משפחה</w:t>
            </w:r>
          </w:p>
        </w:tc>
        <w:tc>
          <w:tcPr>
            <w:tcW w:w="2836" w:type="dxa"/>
            <w:tcBorders>
              <w:top w:val="single" w:sz="4" w:space="0" w:color="auto"/>
              <w:bottom w:val="single" w:sz="4" w:space="0" w:color="auto"/>
            </w:tcBorders>
            <w:shd w:val="clear" w:color="auto" w:fill="D9D9D9"/>
            <w:vAlign w:val="center"/>
          </w:tcPr>
          <w:p w14:paraId="5A8D6127" w14:textId="77777777" w:rsidR="00550EA7" w:rsidRPr="005034FE" w:rsidRDefault="00550EA7" w:rsidP="006F7B6E">
            <w:pPr>
              <w:spacing w:after="0" w:line="240" w:lineRule="auto"/>
              <w:rPr>
                <w:rFonts w:ascii="David" w:eastAsia="Times New Roman" w:hAnsi="David" w:cs="David"/>
                <w:rtl/>
              </w:rPr>
            </w:pPr>
            <w:r w:rsidRPr="005034FE">
              <w:rPr>
                <w:rFonts w:ascii="David" w:eastAsia="Times New Roman" w:hAnsi="David" w:cs="David"/>
                <w:rtl/>
              </w:rPr>
              <w:t>יישוב סכסוך (י"ס)</w:t>
            </w:r>
          </w:p>
        </w:tc>
        <w:tc>
          <w:tcPr>
            <w:tcW w:w="2210" w:type="dxa"/>
            <w:gridSpan w:val="3"/>
            <w:tcBorders>
              <w:top w:val="single" w:sz="4" w:space="0" w:color="auto"/>
              <w:bottom w:val="single" w:sz="4" w:space="0" w:color="auto"/>
            </w:tcBorders>
            <w:shd w:val="clear" w:color="auto" w:fill="D9D9D9"/>
            <w:vAlign w:val="center"/>
          </w:tcPr>
          <w:p w14:paraId="7CD4F3F3" w14:textId="77777777" w:rsidR="00550EA7" w:rsidRPr="005034FE" w:rsidRDefault="00550EA7" w:rsidP="006F7B6E">
            <w:pPr>
              <w:spacing w:after="0" w:line="240" w:lineRule="auto"/>
              <w:jc w:val="center"/>
              <w:rPr>
                <w:rFonts w:ascii="David" w:eastAsia="Times New Roman" w:hAnsi="David" w:cs="David"/>
              </w:rPr>
            </w:pPr>
            <w:r w:rsidRPr="005034FE">
              <w:rPr>
                <w:rFonts w:ascii="David" w:eastAsia="Times New Roman" w:hAnsi="David" w:cs="David"/>
              </w:rPr>
              <w:t>17,589</w:t>
            </w:r>
          </w:p>
        </w:tc>
        <w:tc>
          <w:tcPr>
            <w:tcW w:w="1336" w:type="dxa"/>
            <w:tcBorders>
              <w:top w:val="single" w:sz="4" w:space="0" w:color="auto"/>
              <w:bottom w:val="single" w:sz="4" w:space="0" w:color="auto"/>
            </w:tcBorders>
            <w:shd w:val="clear" w:color="auto" w:fill="D9D9D9"/>
            <w:noWrap/>
            <w:vAlign w:val="center"/>
          </w:tcPr>
          <w:p w14:paraId="109FA8DE" w14:textId="77777777" w:rsidR="00550EA7" w:rsidRPr="005034FE" w:rsidRDefault="00550EA7" w:rsidP="006F7B6E">
            <w:pPr>
              <w:spacing w:after="0" w:line="240" w:lineRule="auto"/>
              <w:jc w:val="center"/>
              <w:rPr>
                <w:rFonts w:ascii="David" w:eastAsia="Times New Roman" w:hAnsi="David" w:cs="David"/>
                <w:b/>
                <w:bCs/>
              </w:rPr>
            </w:pPr>
            <w:r w:rsidRPr="005034FE">
              <w:rPr>
                <w:rFonts w:ascii="David" w:eastAsia="Times New Roman" w:hAnsi="David" w:cs="David"/>
                <w:b/>
                <w:bCs/>
              </w:rPr>
              <w:t>1:00</w:t>
            </w:r>
          </w:p>
        </w:tc>
        <w:tc>
          <w:tcPr>
            <w:tcW w:w="1417" w:type="dxa"/>
            <w:gridSpan w:val="2"/>
            <w:tcBorders>
              <w:top w:val="single" w:sz="4" w:space="0" w:color="auto"/>
              <w:bottom w:val="single" w:sz="4" w:space="0" w:color="auto"/>
            </w:tcBorders>
            <w:shd w:val="clear" w:color="auto" w:fill="D9D9D9"/>
            <w:vAlign w:val="center"/>
          </w:tcPr>
          <w:p w14:paraId="581DFC3A" w14:textId="77777777" w:rsidR="00550EA7" w:rsidRPr="005034FE" w:rsidRDefault="00550EA7" w:rsidP="006F7B6E">
            <w:pPr>
              <w:spacing w:after="0" w:line="240" w:lineRule="auto"/>
              <w:jc w:val="center"/>
              <w:rPr>
                <w:rFonts w:ascii="David" w:eastAsia="Times New Roman" w:hAnsi="David" w:cs="David"/>
              </w:rPr>
            </w:pPr>
            <w:r w:rsidRPr="005034FE">
              <w:rPr>
                <w:rFonts w:ascii="David" w:eastAsia="Times New Roman" w:hAnsi="David" w:cs="David" w:hint="cs"/>
                <w:rtl/>
              </w:rPr>
              <w:t>2</w:t>
            </w:r>
          </w:p>
        </w:tc>
      </w:tr>
      <w:tr w:rsidR="00550EA7" w:rsidRPr="005034FE" w14:paraId="35875A12" w14:textId="77777777" w:rsidTr="00DB5BCC">
        <w:trPr>
          <w:trHeight w:val="600"/>
        </w:trPr>
        <w:tc>
          <w:tcPr>
            <w:tcW w:w="992" w:type="dxa"/>
            <w:tcBorders>
              <w:top w:val="single" w:sz="4" w:space="0" w:color="auto"/>
              <w:bottom w:val="single" w:sz="4" w:space="0" w:color="auto"/>
            </w:tcBorders>
            <w:shd w:val="clear" w:color="auto" w:fill="auto"/>
            <w:noWrap/>
            <w:vAlign w:val="center"/>
          </w:tcPr>
          <w:p w14:paraId="7D0CC3AE" w14:textId="77777777" w:rsidR="00550EA7" w:rsidRPr="005034FE" w:rsidRDefault="00550EA7" w:rsidP="006F7B6E">
            <w:pPr>
              <w:spacing w:after="0" w:line="240" w:lineRule="auto"/>
              <w:jc w:val="center"/>
              <w:rPr>
                <w:rFonts w:ascii="David" w:eastAsia="Times New Roman" w:hAnsi="David" w:cs="David"/>
                <w:rtl/>
              </w:rPr>
            </w:pPr>
            <w:r w:rsidRPr="005034FE">
              <w:rPr>
                <w:rFonts w:ascii="David" w:eastAsia="Times New Roman" w:hAnsi="David" w:cs="David"/>
                <w:rtl/>
              </w:rPr>
              <w:t>משפחה</w:t>
            </w:r>
          </w:p>
        </w:tc>
        <w:tc>
          <w:tcPr>
            <w:tcW w:w="2836" w:type="dxa"/>
            <w:tcBorders>
              <w:top w:val="single" w:sz="4" w:space="0" w:color="auto"/>
              <w:bottom w:val="single" w:sz="4" w:space="0" w:color="auto"/>
            </w:tcBorders>
            <w:shd w:val="clear" w:color="auto" w:fill="auto"/>
            <w:vAlign w:val="center"/>
          </w:tcPr>
          <w:p w14:paraId="6DBBF1AE" w14:textId="77777777" w:rsidR="00550EA7" w:rsidRPr="005034FE" w:rsidRDefault="00550EA7" w:rsidP="006F7B6E">
            <w:pPr>
              <w:spacing w:after="0" w:line="240" w:lineRule="auto"/>
              <w:rPr>
                <w:rFonts w:ascii="David" w:eastAsia="Times New Roman" w:hAnsi="David" w:cs="David"/>
                <w:rtl/>
              </w:rPr>
            </w:pPr>
            <w:r w:rsidRPr="005034FE">
              <w:rPr>
                <w:rFonts w:ascii="David" w:eastAsia="Times New Roman" w:hAnsi="David" w:cs="David"/>
                <w:rtl/>
              </w:rPr>
              <w:t>התרת נישואין (תה"ן)</w:t>
            </w:r>
          </w:p>
        </w:tc>
        <w:tc>
          <w:tcPr>
            <w:tcW w:w="2210" w:type="dxa"/>
            <w:gridSpan w:val="3"/>
            <w:tcBorders>
              <w:top w:val="single" w:sz="4" w:space="0" w:color="auto"/>
              <w:bottom w:val="single" w:sz="4" w:space="0" w:color="auto"/>
            </w:tcBorders>
            <w:vAlign w:val="center"/>
          </w:tcPr>
          <w:p w14:paraId="5E3389A2" w14:textId="77777777" w:rsidR="00550EA7" w:rsidRPr="005034FE" w:rsidRDefault="00550EA7" w:rsidP="006F7B6E">
            <w:pPr>
              <w:spacing w:after="0" w:line="240" w:lineRule="auto"/>
              <w:jc w:val="center"/>
              <w:rPr>
                <w:rFonts w:ascii="David" w:eastAsia="Times New Roman" w:hAnsi="David" w:cs="David"/>
              </w:rPr>
            </w:pPr>
            <w:r w:rsidRPr="005034FE">
              <w:rPr>
                <w:rFonts w:ascii="David" w:eastAsia="Times New Roman" w:hAnsi="David" w:cs="David"/>
              </w:rPr>
              <w:t>1,943</w:t>
            </w:r>
          </w:p>
        </w:tc>
        <w:tc>
          <w:tcPr>
            <w:tcW w:w="1336" w:type="dxa"/>
            <w:tcBorders>
              <w:top w:val="single" w:sz="4" w:space="0" w:color="auto"/>
              <w:bottom w:val="single" w:sz="4" w:space="0" w:color="auto"/>
            </w:tcBorders>
            <w:shd w:val="clear" w:color="auto" w:fill="auto"/>
            <w:noWrap/>
            <w:vAlign w:val="center"/>
          </w:tcPr>
          <w:p w14:paraId="7A33FB91" w14:textId="77777777" w:rsidR="00550EA7" w:rsidRPr="005034FE" w:rsidRDefault="00550EA7" w:rsidP="006F7B6E">
            <w:pPr>
              <w:spacing w:after="0" w:line="240" w:lineRule="auto"/>
              <w:jc w:val="center"/>
              <w:rPr>
                <w:rFonts w:ascii="David" w:eastAsia="Times New Roman" w:hAnsi="David" w:cs="David"/>
                <w:b/>
                <w:bCs/>
              </w:rPr>
            </w:pPr>
            <w:r w:rsidRPr="005034FE">
              <w:rPr>
                <w:rFonts w:ascii="David" w:eastAsia="Times New Roman" w:hAnsi="David" w:cs="David"/>
                <w:b/>
                <w:bCs/>
              </w:rPr>
              <w:t>0:36</w:t>
            </w:r>
          </w:p>
        </w:tc>
        <w:tc>
          <w:tcPr>
            <w:tcW w:w="1417" w:type="dxa"/>
            <w:gridSpan w:val="2"/>
            <w:tcBorders>
              <w:top w:val="single" w:sz="4" w:space="0" w:color="auto"/>
              <w:bottom w:val="single" w:sz="4" w:space="0" w:color="auto"/>
            </w:tcBorders>
            <w:shd w:val="clear" w:color="auto" w:fill="auto"/>
            <w:vAlign w:val="center"/>
          </w:tcPr>
          <w:p w14:paraId="3746E336" w14:textId="77777777" w:rsidR="00550EA7" w:rsidRPr="005034FE" w:rsidRDefault="00550EA7" w:rsidP="006F7B6E">
            <w:pPr>
              <w:spacing w:after="0" w:line="240" w:lineRule="auto"/>
              <w:jc w:val="center"/>
              <w:rPr>
                <w:rFonts w:ascii="David" w:eastAsia="Times New Roman" w:hAnsi="David" w:cs="David"/>
                <w:rtl/>
              </w:rPr>
            </w:pPr>
            <w:r w:rsidRPr="005034FE">
              <w:rPr>
                <w:rFonts w:ascii="David" w:eastAsia="Times New Roman" w:hAnsi="David" w:cs="David" w:hint="cs"/>
                <w:rtl/>
              </w:rPr>
              <w:t>1</w:t>
            </w:r>
          </w:p>
        </w:tc>
      </w:tr>
    </w:tbl>
    <w:p w14:paraId="24973B02" w14:textId="77777777" w:rsidR="00DD0D4B" w:rsidRPr="00F25744" w:rsidRDefault="00DD0D4B" w:rsidP="00DD0D4B">
      <w:pPr>
        <w:rPr>
          <w:rtl/>
        </w:rPr>
      </w:pPr>
    </w:p>
    <w:p w14:paraId="58BF86BB" w14:textId="77777777" w:rsidR="00DD0D4B" w:rsidRPr="00F25744" w:rsidRDefault="00DD0D4B" w:rsidP="00DD0D4B">
      <w:pPr>
        <w:rPr>
          <w:rtl/>
        </w:rPr>
      </w:pPr>
    </w:p>
    <w:p w14:paraId="46A086F4" w14:textId="77777777" w:rsidR="00DD0D4B" w:rsidRPr="00F25744" w:rsidRDefault="00DD0D4B" w:rsidP="00DD0D4B">
      <w:pPr>
        <w:rPr>
          <w:rtl/>
        </w:rPr>
      </w:pPr>
    </w:p>
    <w:p w14:paraId="1766225F" w14:textId="77777777" w:rsidR="00DD0D4B" w:rsidRPr="00F25744" w:rsidRDefault="00DD0D4B" w:rsidP="00DD0D4B">
      <w:pPr>
        <w:rPr>
          <w:rtl/>
        </w:rPr>
      </w:pPr>
    </w:p>
    <w:p w14:paraId="44416749" w14:textId="77777777" w:rsidR="00DD0D4B" w:rsidRPr="00F25744" w:rsidRDefault="00DD0D4B" w:rsidP="00DD0D4B">
      <w:pPr>
        <w:rPr>
          <w:rtl/>
        </w:rPr>
      </w:pPr>
    </w:p>
    <w:p w14:paraId="1C242E05" w14:textId="77777777" w:rsidR="00DD0D4B" w:rsidRPr="00F25744" w:rsidRDefault="00DD0D4B" w:rsidP="00DD0D4B">
      <w:pPr>
        <w:rPr>
          <w:rtl/>
        </w:rPr>
      </w:pPr>
    </w:p>
    <w:p w14:paraId="330628C5" w14:textId="77777777" w:rsidR="00DD0D4B" w:rsidRPr="00F25744" w:rsidRDefault="00DD0D4B" w:rsidP="00DD0D4B">
      <w:pPr>
        <w:rPr>
          <w:rtl/>
        </w:rPr>
      </w:pPr>
    </w:p>
    <w:p w14:paraId="0E56D4D4" w14:textId="77777777" w:rsidR="00DD0D4B" w:rsidRPr="00F25744" w:rsidRDefault="00DD0D4B" w:rsidP="00DD0D4B">
      <w:pPr>
        <w:rPr>
          <w:rtl/>
        </w:rPr>
      </w:pPr>
    </w:p>
    <w:p w14:paraId="342F7287" w14:textId="77777777" w:rsidR="005B710A" w:rsidRPr="00F25744" w:rsidRDefault="005B710A" w:rsidP="00DD0D4B">
      <w:pPr>
        <w:rPr>
          <w:rtl/>
        </w:rPr>
      </w:pPr>
    </w:p>
    <w:p w14:paraId="1B4970A6" w14:textId="77777777" w:rsidR="000B27AF" w:rsidRPr="00F25744" w:rsidRDefault="000B27AF">
      <w:pPr>
        <w:bidi w:val="0"/>
        <w:spacing w:after="0" w:line="240" w:lineRule="auto"/>
        <w:rPr>
          <w:rFonts w:ascii="David" w:hAnsi="David" w:cs="David"/>
          <w:b/>
          <w:bCs/>
          <w:sz w:val="24"/>
          <w:szCs w:val="24"/>
          <w:rtl/>
        </w:rPr>
      </w:pPr>
      <w:bookmarkStart w:id="1021" w:name="_Toc46416716"/>
      <w:r w:rsidRPr="00F25744">
        <w:rPr>
          <w:rtl/>
        </w:rPr>
        <w:br w:type="page"/>
      </w:r>
    </w:p>
    <w:p w14:paraId="6B734E58" w14:textId="77777777" w:rsidR="00DD0D4B" w:rsidRPr="00F25744" w:rsidRDefault="00E25AE7" w:rsidP="0043255F">
      <w:pPr>
        <w:pStyle w:val="3"/>
        <w:numPr>
          <w:ilvl w:val="0"/>
          <w:numId w:val="0"/>
        </w:numPr>
        <w:ind w:left="720"/>
        <w:rPr>
          <w:rFonts w:eastAsia="Times New Roman"/>
          <w:sz w:val="28"/>
          <w:szCs w:val="28"/>
          <w:rtl/>
        </w:rPr>
      </w:pPr>
      <w:bookmarkStart w:id="1022" w:name="_Toc74751066"/>
      <w:r w:rsidRPr="00F25744">
        <w:rPr>
          <w:rFonts w:hint="cs"/>
          <w:rtl/>
        </w:rPr>
        <w:lastRenderedPageBreak/>
        <w:t>נספח ה8: בתי המשפט לנוער</w:t>
      </w:r>
      <w:bookmarkEnd w:id="1021"/>
      <w:bookmarkEnd w:id="1022"/>
    </w:p>
    <w:tbl>
      <w:tblPr>
        <w:tblpPr w:leftFromText="181" w:rightFromText="85" w:vertAnchor="text" w:tblpXSpec="right" w:tblpY="1"/>
        <w:tblOverlap w:val="never"/>
        <w:bidiVisual/>
        <w:tblW w:w="8790" w:type="dxa"/>
        <w:tblBorders>
          <w:bottom w:val="single" w:sz="4" w:space="0" w:color="auto"/>
          <w:insideH w:val="single" w:sz="4" w:space="0" w:color="auto"/>
        </w:tblBorders>
        <w:tblLayout w:type="fixed"/>
        <w:tblLook w:val="04A0" w:firstRow="1" w:lastRow="0" w:firstColumn="1" w:lastColumn="0" w:noHBand="0" w:noVBand="1"/>
      </w:tblPr>
      <w:tblGrid>
        <w:gridCol w:w="1066"/>
        <w:gridCol w:w="2913"/>
        <w:gridCol w:w="1842"/>
        <w:gridCol w:w="1552"/>
        <w:gridCol w:w="1417"/>
      </w:tblGrid>
      <w:tr w:rsidR="00E0162E" w:rsidRPr="005034FE" w14:paraId="391DD3ED" w14:textId="77777777" w:rsidTr="00502795">
        <w:trPr>
          <w:trHeight w:val="460"/>
        </w:trPr>
        <w:tc>
          <w:tcPr>
            <w:tcW w:w="1066" w:type="dxa"/>
            <w:shd w:val="clear" w:color="auto" w:fill="auto"/>
            <w:noWrap/>
            <w:vAlign w:val="center"/>
          </w:tcPr>
          <w:p w14:paraId="41916F18" w14:textId="77777777" w:rsidR="00DD0D4B" w:rsidRPr="005034FE" w:rsidRDefault="00E25AE7" w:rsidP="00502795">
            <w:pPr>
              <w:spacing w:after="0" w:line="240" w:lineRule="auto"/>
              <w:jc w:val="center"/>
              <w:rPr>
                <w:rFonts w:ascii="David" w:eastAsia="Times New Roman" w:hAnsi="David" w:cs="David"/>
                <w:b/>
                <w:bCs/>
                <w:color w:val="000000"/>
                <w:rtl/>
              </w:rPr>
            </w:pPr>
            <w:r w:rsidRPr="005034FE">
              <w:rPr>
                <w:rFonts w:ascii="David" w:eastAsia="Times New Roman" w:hAnsi="David" w:cs="David"/>
                <w:b/>
                <w:bCs/>
                <w:color w:val="000000"/>
                <w:rtl/>
              </w:rPr>
              <w:t>ערכאה</w:t>
            </w:r>
          </w:p>
        </w:tc>
        <w:tc>
          <w:tcPr>
            <w:tcW w:w="2913" w:type="dxa"/>
            <w:shd w:val="clear" w:color="auto" w:fill="auto"/>
            <w:vAlign w:val="center"/>
          </w:tcPr>
          <w:p w14:paraId="035FBF91" w14:textId="77777777" w:rsidR="00DD0D4B" w:rsidRPr="005034FE" w:rsidRDefault="00E25AE7" w:rsidP="00502795">
            <w:pPr>
              <w:spacing w:after="0" w:line="240" w:lineRule="auto"/>
              <w:jc w:val="center"/>
              <w:rPr>
                <w:rFonts w:ascii="David" w:eastAsia="Times New Roman" w:hAnsi="David" w:cs="David"/>
                <w:b/>
                <w:bCs/>
                <w:color w:val="000000"/>
                <w:rtl/>
              </w:rPr>
            </w:pPr>
            <w:r w:rsidRPr="005034FE">
              <w:rPr>
                <w:rFonts w:ascii="David" w:eastAsia="Times New Roman" w:hAnsi="David" w:cs="David"/>
                <w:b/>
                <w:bCs/>
                <w:color w:val="000000"/>
                <w:rtl/>
              </w:rPr>
              <w:t>סוג תיק</w:t>
            </w:r>
          </w:p>
        </w:tc>
        <w:tc>
          <w:tcPr>
            <w:tcW w:w="1842" w:type="dxa"/>
            <w:vAlign w:val="center"/>
          </w:tcPr>
          <w:p w14:paraId="0B44DAF8" w14:textId="77777777" w:rsidR="00DD0D4B" w:rsidRPr="005034FE" w:rsidRDefault="00E25AE7" w:rsidP="00502795">
            <w:pPr>
              <w:spacing w:after="0" w:line="240" w:lineRule="auto"/>
              <w:jc w:val="center"/>
              <w:rPr>
                <w:rFonts w:ascii="David" w:eastAsia="Times New Roman" w:hAnsi="David" w:cs="David"/>
                <w:b/>
                <w:bCs/>
                <w:color w:val="000000"/>
                <w:rtl/>
              </w:rPr>
            </w:pPr>
            <w:r w:rsidRPr="005034FE">
              <w:rPr>
                <w:rFonts w:ascii="David" w:eastAsia="Times New Roman" w:hAnsi="David" w:cs="David" w:hint="cs"/>
                <w:b/>
                <w:bCs/>
                <w:color w:val="000000"/>
                <w:rtl/>
              </w:rPr>
              <w:t>מספר תיקים שנסגרו ב-2019</w:t>
            </w:r>
          </w:p>
        </w:tc>
        <w:tc>
          <w:tcPr>
            <w:tcW w:w="1552" w:type="dxa"/>
            <w:shd w:val="clear" w:color="auto" w:fill="auto"/>
            <w:noWrap/>
            <w:vAlign w:val="center"/>
          </w:tcPr>
          <w:p w14:paraId="6B9125E5" w14:textId="77777777" w:rsidR="00DD0D4B" w:rsidRPr="005034FE" w:rsidRDefault="00E25AE7" w:rsidP="00502795">
            <w:pPr>
              <w:spacing w:after="0" w:line="240" w:lineRule="auto"/>
              <w:jc w:val="center"/>
              <w:rPr>
                <w:rFonts w:ascii="David" w:eastAsia="Times New Roman" w:hAnsi="David" w:cs="David"/>
                <w:b/>
                <w:bCs/>
                <w:color w:val="000000"/>
                <w:rtl/>
              </w:rPr>
            </w:pPr>
            <w:r w:rsidRPr="005034FE">
              <w:rPr>
                <w:rFonts w:ascii="David" w:eastAsia="Times New Roman" w:hAnsi="David" w:cs="David"/>
                <w:b/>
                <w:bCs/>
                <w:color w:val="000000"/>
                <w:rtl/>
              </w:rPr>
              <w:t>הזמן השיפוטי הממוצע הדרוש לט</w:t>
            </w:r>
            <w:r w:rsidRPr="005034FE">
              <w:rPr>
                <w:rFonts w:ascii="David" w:eastAsia="Times New Roman" w:hAnsi="David" w:cs="David" w:hint="cs"/>
                <w:b/>
                <w:bCs/>
                <w:color w:val="000000"/>
                <w:rtl/>
              </w:rPr>
              <w:t>י</w:t>
            </w:r>
            <w:r w:rsidRPr="005034FE">
              <w:rPr>
                <w:rFonts w:ascii="David" w:eastAsia="Times New Roman" w:hAnsi="David" w:cs="David"/>
                <w:b/>
                <w:bCs/>
                <w:color w:val="000000"/>
                <w:rtl/>
              </w:rPr>
              <w:t>פ</w:t>
            </w:r>
            <w:r w:rsidRPr="005034FE">
              <w:rPr>
                <w:rFonts w:ascii="David" w:eastAsia="Times New Roman" w:hAnsi="David" w:cs="David" w:hint="cs"/>
                <w:b/>
                <w:bCs/>
                <w:color w:val="000000"/>
                <w:rtl/>
              </w:rPr>
              <w:t>ו</w:t>
            </w:r>
            <w:r w:rsidRPr="005034FE">
              <w:rPr>
                <w:rFonts w:ascii="David" w:eastAsia="Times New Roman" w:hAnsi="David" w:cs="David"/>
                <w:b/>
                <w:bCs/>
                <w:color w:val="000000"/>
                <w:rtl/>
              </w:rPr>
              <w:t>ל בתיק</w:t>
            </w:r>
          </w:p>
        </w:tc>
        <w:tc>
          <w:tcPr>
            <w:tcW w:w="1417" w:type="dxa"/>
          </w:tcPr>
          <w:p w14:paraId="3A67BF2C" w14:textId="77777777" w:rsidR="00DD0D4B" w:rsidRPr="005034FE" w:rsidRDefault="00E25AE7" w:rsidP="00502795">
            <w:pPr>
              <w:spacing w:after="0" w:line="240" w:lineRule="auto"/>
              <w:jc w:val="center"/>
              <w:rPr>
                <w:rFonts w:ascii="David" w:eastAsia="Times New Roman" w:hAnsi="David" w:cs="David"/>
                <w:b/>
                <w:bCs/>
                <w:color w:val="000000"/>
                <w:rtl/>
              </w:rPr>
            </w:pPr>
            <w:r w:rsidRPr="005034FE">
              <w:rPr>
                <w:rFonts w:ascii="David" w:eastAsia="Times New Roman" w:hAnsi="David" w:cs="David" w:hint="cs"/>
                <w:b/>
                <w:bCs/>
                <w:color w:val="000000"/>
                <w:rtl/>
              </w:rPr>
              <w:t>משקל ערכאתי לתיק</w:t>
            </w:r>
          </w:p>
        </w:tc>
      </w:tr>
      <w:tr w:rsidR="00E0162E" w:rsidRPr="005034FE" w14:paraId="6D4E3EFF" w14:textId="77777777" w:rsidTr="00502795">
        <w:trPr>
          <w:trHeight w:val="460"/>
        </w:trPr>
        <w:tc>
          <w:tcPr>
            <w:tcW w:w="1066" w:type="dxa"/>
            <w:shd w:val="clear" w:color="auto" w:fill="D9D9D9"/>
            <w:noWrap/>
            <w:vAlign w:val="center"/>
          </w:tcPr>
          <w:p w14:paraId="4857F5E0" w14:textId="77777777" w:rsidR="00DD0D4B" w:rsidRPr="005034FE" w:rsidRDefault="00E25AE7" w:rsidP="00502795">
            <w:pPr>
              <w:spacing w:after="0" w:line="240" w:lineRule="auto"/>
              <w:jc w:val="center"/>
              <w:rPr>
                <w:rFonts w:ascii="David" w:hAnsi="David" w:cs="David"/>
                <w:color w:val="000000"/>
              </w:rPr>
            </w:pPr>
            <w:r w:rsidRPr="005034FE">
              <w:rPr>
                <w:rFonts w:ascii="David" w:hAnsi="David" w:cs="David" w:hint="cs"/>
                <w:color w:val="000000"/>
                <w:rtl/>
              </w:rPr>
              <w:t>נוער</w:t>
            </w:r>
          </w:p>
        </w:tc>
        <w:tc>
          <w:tcPr>
            <w:tcW w:w="2913" w:type="dxa"/>
            <w:shd w:val="clear" w:color="auto" w:fill="D9D9D9"/>
            <w:vAlign w:val="center"/>
          </w:tcPr>
          <w:p w14:paraId="718076DA" w14:textId="77777777" w:rsidR="00DD0D4B" w:rsidRPr="005034FE" w:rsidRDefault="00E25AE7" w:rsidP="00502795">
            <w:pPr>
              <w:spacing w:after="0" w:line="240" w:lineRule="auto"/>
              <w:rPr>
                <w:rFonts w:ascii="David" w:hAnsi="David" w:cs="David"/>
                <w:color w:val="000000"/>
              </w:rPr>
            </w:pPr>
            <w:r w:rsidRPr="005034FE">
              <w:rPr>
                <w:rFonts w:ascii="David" w:hAnsi="David" w:cs="David" w:hint="cs"/>
                <w:color w:val="000000"/>
                <w:rtl/>
              </w:rPr>
              <w:t>תביעת נזקקות (</w:t>
            </w:r>
            <w:r w:rsidRPr="005034FE">
              <w:rPr>
                <w:rFonts w:ascii="David" w:hAnsi="David" w:cs="David"/>
                <w:color w:val="000000"/>
                <w:rtl/>
              </w:rPr>
              <w:t>תנ"ז</w:t>
            </w:r>
            <w:r w:rsidRPr="005034FE">
              <w:rPr>
                <w:rFonts w:ascii="David" w:hAnsi="David" w:cs="David" w:hint="cs"/>
                <w:color w:val="000000"/>
                <w:rtl/>
              </w:rPr>
              <w:t>)</w:t>
            </w:r>
          </w:p>
        </w:tc>
        <w:tc>
          <w:tcPr>
            <w:tcW w:w="1842" w:type="dxa"/>
            <w:shd w:val="clear" w:color="auto" w:fill="D9D9D9"/>
            <w:vAlign w:val="center"/>
          </w:tcPr>
          <w:p w14:paraId="685C7949" w14:textId="77777777" w:rsidR="00DD0D4B" w:rsidRPr="005034FE" w:rsidRDefault="00E25AE7" w:rsidP="00502795">
            <w:pPr>
              <w:spacing w:after="0" w:line="240" w:lineRule="auto"/>
              <w:jc w:val="center"/>
              <w:rPr>
                <w:rFonts w:ascii="David" w:hAnsi="David" w:cs="David"/>
                <w:color w:val="000000"/>
                <w:rtl/>
              </w:rPr>
            </w:pPr>
            <w:r w:rsidRPr="005034FE">
              <w:rPr>
                <w:rFonts w:ascii="David" w:hAnsi="David" w:cs="David"/>
                <w:color w:val="000000"/>
              </w:rPr>
              <w:t>2,765</w:t>
            </w:r>
          </w:p>
        </w:tc>
        <w:tc>
          <w:tcPr>
            <w:tcW w:w="1552" w:type="dxa"/>
            <w:shd w:val="clear" w:color="auto" w:fill="D9D9D9"/>
            <w:noWrap/>
            <w:vAlign w:val="center"/>
          </w:tcPr>
          <w:p w14:paraId="3EA5DB88" w14:textId="77777777" w:rsidR="00DD0D4B" w:rsidRPr="005034FE" w:rsidRDefault="00FD04C9" w:rsidP="00502795">
            <w:pPr>
              <w:spacing w:after="0" w:line="240" w:lineRule="auto"/>
              <w:jc w:val="center"/>
              <w:rPr>
                <w:rFonts w:ascii="David" w:hAnsi="David" w:cs="David"/>
                <w:b/>
                <w:bCs/>
                <w:color w:val="000000"/>
              </w:rPr>
            </w:pPr>
            <w:r w:rsidRPr="005034FE">
              <w:rPr>
                <w:rFonts w:ascii="David" w:hAnsi="David" w:cs="David" w:hint="cs"/>
                <w:b/>
                <w:bCs/>
                <w:color w:val="000000"/>
                <w:rtl/>
              </w:rPr>
              <w:t>12:23</w:t>
            </w:r>
          </w:p>
        </w:tc>
        <w:tc>
          <w:tcPr>
            <w:tcW w:w="1417" w:type="dxa"/>
            <w:shd w:val="clear" w:color="auto" w:fill="D9D9D9"/>
            <w:vAlign w:val="center"/>
          </w:tcPr>
          <w:p w14:paraId="7BE3CD77" w14:textId="77777777" w:rsidR="00DD0D4B" w:rsidRPr="005034FE" w:rsidRDefault="00E25AE7" w:rsidP="00502795">
            <w:pPr>
              <w:spacing w:after="0" w:line="240" w:lineRule="auto"/>
              <w:jc w:val="center"/>
              <w:rPr>
                <w:rFonts w:ascii="David" w:hAnsi="David" w:cs="David"/>
                <w:color w:val="000000"/>
                <w:rtl/>
              </w:rPr>
            </w:pPr>
            <w:r w:rsidRPr="005034FE">
              <w:rPr>
                <w:rFonts w:ascii="David" w:hAnsi="David" w:cs="David" w:hint="cs"/>
                <w:color w:val="000000"/>
                <w:rtl/>
              </w:rPr>
              <w:t>3</w:t>
            </w:r>
            <w:r w:rsidR="00FD04C9" w:rsidRPr="005034FE">
              <w:rPr>
                <w:rFonts w:ascii="David" w:hAnsi="David" w:cs="David" w:hint="cs"/>
                <w:color w:val="000000"/>
                <w:rtl/>
              </w:rPr>
              <w:t>88</w:t>
            </w:r>
          </w:p>
        </w:tc>
      </w:tr>
      <w:tr w:rsidR="00E0162E" w:rsidRPr="005034FE" w14:paraId="61C515A2" w14:textId="77777777" w:rsidTr="00502795">
        <w:trPr>
          <w:trHeight w:val="600"/>
        </w:trPr>
        <w:tc>
          <w:tcPr>
            <w:tcW w:w="1066" w:type="dxa"/>
            <w:shd w:val="clear" w:color="auto" w:fill="auto"/>
            <w:noWrap/>
            <w:vAlign w:val="center"/>
          </w:tcPr>
          <w:p w14:paraId="6DD3A4B6" w14:textId="77777777" w:rsidR="00DD0D4B" w:rsidRPr="005034FE" w:rsidRDefault="00E25AE7" w:rsidP="00502795">
            <w:pPr>
              <w:spacing w:after="0" w:line="240" w:lineRule="auto"/>
              <w:jc w:val="center"/>
              <w:rPr>
                <w:rFonts w:ascii="David" w:hAnsi="David" w:cs="David"/>
                <w:color w:val="000000"/>
              </w:rPr>
            </w:pPr>
            <w:r w:rsidRPr="005034FE">
              <w:rPr>
                <w:rFonts w:ascii="David" w:hAnsi="David" w:cs="David" w:hint="cs"/>
                <w:color w:val="000000"/>
                <w:rtl/>
              </w:rPr>
              <w:t>נוער</w:t>
            </w:r>
          </w:p>
        </w:tc>
        <w:tc>
          <w:tcPr>
            <w:tcW w:w="2913" w:type="dxa"/>
            <w:shd w:val="clear" w:color="auto" w:fill="auto"/>
            <w:vAlign w:val="center"/>
          </w:tcPr>
          <w:p w14:paraId="6B62BF7E" w14:textId="77777777" w:rsidR="00DD0D4B" w:rsidRPr="005034FE" w:rsidRDefault="00E25AE7" w:rsidP="00502795">
            <w:pPr>
              <w:spacing w:after="0" w:line="240" w:lineRule="auto"/>
              <w:rPr>
                <w:rFonts w:ascii="David" w:hAnsi="David" w:cs="David"/>
                <w:color w:val="000000"/>
                <w:rtl/>
              </w:rPr>
            </w:pPr>
            <w:r w:rsidRPr="005034FE">
              <w:rPr>
                <w:rFonts w:ascii="David" w:hAnsi="David" w:cs="David" w:hint="cs"/>
                <w:color w:val="000000"/>
                <w:rtl/>
              </w:rPr>
              <w:t>ועדת שחרורים (</w:t>
            </w:r>
            <w:r w:rsidRPr="005034FE">
              <w:rPr>
                <w:rFonts w:ascii="David" w:hAnsi="David" w:cs="David"/>
                <w:color w:val="000000"/>
                <w:rtl/>
              </w:rPr>
              <w:t>וש"ר</w:t>
            </w:r>
            <w:r w:rsidRPr="005034FE">
              <w:rPr>
                <w:rFonts w:ascii="David" w:hAnsi="David" w:cs="David" w:hint="cs"/>
                <w:color w:val="000000"/>
                <w:rtl/>
              </w:rPr>
              <w:t>)</w:t>
            </w:r>
          </w:p>
        </w:tc>
        <w:tc>
          <w:tcPr>
            <w:tcW w:w="1842" w:type="dxa"/>
            <w:vAlign w:val="center"/>
          </w:tcPr>
          <w:p w14:paraId="46593BD6" w14:textId="77777777" w:rsidR="00DD0D4B" w:rsidRPr="005034FE" w:rsidRDefault="00E25AE7" w:rsidP="00502795">
            <w:pPr>
              <w:spacing w:after="0" w:line="240" w:lineRule="auto"/>
              <w:jc w:val="center"/>
              <w:rPr>
                <w:rFonts w:ascii="David" w:hAnsi="David" w:cs="David"/>
                <w:color w:val="000000"/>
              </w:rPr>
            </w:pPr>
            <w:r w:rsidRPr="005034FE">
              <w:rPr>
                <w:rFonts w:ascii="David" w:hAnsi="David" w:cs="David"/>
                <w:color w:val="000000"/>
              </w:rPr>
              <w:t>12</w:t>
            </w:r>
          </w:p>
        </w:tc>
        <w:tc>
          <w:tcPr>
            <w:tcW w:w="1552" w:type="dxa"/>
            <w:shd w:val="clear" w:color="auto" w:fill="auto"/>
            <w:noWrap/>
            <w:vAlign w:val="center"/>
          </w:tcPr>
          <w:p w14:paraId="68594C58" w14:textId="77777777" w:rsidR="00DD0D4B" w:rsidRPr="005034FE" w:rsidRDefault="00FD04C9" w:rsidP="00502795">
            <w:pPr>
              <w:spacing w:after="0" w:line="240" w:lineRule="auto"/>
              <w:jc w:val="center"/>
              <w:rPr>
                <w:rFonts w:ascii="David" w:hAnsi="David" w:cs="David"/>
                <w:b/>
                <w:bCs/>
                <w:color w:val="000000"/>
              </w:rPr>
            </w:pPr>
            <w:r w:rsidRPr="005034FE">
              <w:rPr>
                <w:rFonts w:ascii="David" w:hAnsi="David" w:cs="David" w:hint="cs"/>
                <w:b/>
                <w:bCs/>
                <w:color w:val="000000"/>
                <w:rtl/>
              </w:rPr>
              <w:t>10:00</w:t>
            </w:r>
          </w:p>
        </w:tc>
        <w:tc>
          <w:tcPr>
            <w:tcW w:w="1417" w:type="dxa"/>
            <w:vAlign w:val="center"/>
          </w:tcPr>
          <w:p w14:paraId="44D2B05F" w14:textId="77777777" w:rsidR="00DD0D4B" w:rsidRPr="005034FE" w:rsidRDefault="00FD04C9" w:rsidP="00502795">
            <w:pPr>
              <w:spacing w:after="0" w:line="240" w:lineRule="auto"/>
              <w:jc w:val="center"/>
              <w:rPr>
                <w:rFonts w:ascii="David" w:hAnsi="David" w:cs="David"/>
                <w:color w:val="000000"/>
              </w:rPr>
            </w:pPr>
            <w:r w:rsidRPr="005034FE">
              <w:rPr>
                <w:rFonts w:ascii="David" w:hAnsi="David" w:cs="David" w:hint="cs"/>
                <w:color w:val="000000"/>
                <w:rtl/>
              </w:rPr>
              <w:t>313</w:t>
            </w:r>
          </w:p>
        </w:tc>
      </w:tr>
      <w:tr w:rsidR="00E0162E" w:rsidRPr="005034FE" w14:paraId="6684E68B" w14:textId="77777777" w:rsidTr="00502795">
        <w:trPr>
          <w:trHeight w:val="600"/>
        </w:trPr>
        <w:tc>
          <w:tcPr>
            <w:tcW w:w="1066" w:type="dxa"/>
            <w:shd w:val="clear" w:color="auto" w:fill="D9D9D9"/>
            <w:noWrap/>
            <w:vAlign w:val="center"/>
          </w:tcPr>
          <w:p w14:paraId="60DBE1FC" w14:textId="77777777" w:rsidR="00DD0D4B" w:rsidRPr="005034FE" w:rsidRDefault="00E25AE7" w:rsidP="00502795">
            <w:pPr>
              <w:spacing w:after="0" w:line="240" w:lineRule="auto"/>
              <w:jc w:val="center"/>
              <w:rPr>
                <w:rFonts w:ascii="David" w:hAnsi="David" w:cs="David"/>
                <w:color w:val="000000"/>
              </w:rPr>
            </w:pPr>
            <w:r w:rsidRPr="005034FE">
              <w:rPr>
                <w:rFonts w:ascii="David" w:hAnsi="David" w:cs="David" w:hint="cs"/>
                <w:color w:val="000000"/>
                <w:rtl/>
              </w:rPr>
              <w:t>נוער</w:t>
            </w:r>
          </w:p>
        </w:tc>
        <w:tc>
          <w:tcPr>
            <w:tcW w:w="2913" w:type="dxa"/>
            <w:shd w:val="clear" w:color="auto" w:fill="D9D9D9"/>
            <w:vAlign w:val="center"/>
          </w:tcPr>
          <w:p w14:paraId="6E795D3B" w14:textId="77777777" w:rsidR="00DD0D4B" w:rsidRPr="005034FE" w:rsidRDefault="00E25AE7" w:rsidP="00502795">
            <w:pPr>
              <w:spacing w:after="0" w:line="240" w:lineRule="auto"/>
              <w:rPr>
                <w:rFonts w:ascii="David" w:hAnsi="David" w:cs="David"/>
                <w:color w:val="000000"/>
                <w:rtl/>
              </w:rPr>
            </w:pPr>
            <w:r w:rsidRPr="005034FE">
              <w:rPr>
                <w:rFonts w:ascii="David" w:hAnsi="David" w:cs="David" w:hint="cs"/>
                <w:color w:val="000000"/>
                <w:rtl/>
              </w:rPr>
              <w:t>מעצר עד תום ההליכים (</w:t>
            </w:r>
            <w:r w:rsidRPr="005034FE">
              <w:rPr>
                <w:rFonts w:ascii="David" w:hAnsi="David" w:cs="David"/>
                <w:color w:val="000000"/>
                <w:rtl/>
              </w:rPr>
              <w:t>מ"ת</w:t>
            </w:r>
            <w:r w:rsidRPr="005034FE">
              <w:rPr>
                <w:rFonts w:ascii="David" w:hAnsi="David" w:cs="David" w:hint="cs"/>
                <w:color w:val="000000"/>
                <w:rtl/>
              </w:rPr>
              <w:t>)</w:t>
            </w:r>
          </w:p>
        </w:tc>
        <w:tc>
          <w:tcPr>
            <w:tcW w:w="1842" w:type="dxa"/>
            <w:shd w:val="clear" w:color="auto" w:fill="D9D9D9"/>
            <w:vAlign w:val="center"/>
          </w:tcPr>
          <w:p w14:paraId="40FA94B9" w14:textId="77777777" w:rsidR="00DD0D4B" w:rsidRPr="005034FE" w:rsidRDefault="00E25AE7" w:rsidP="00502795">
            <w:pPr>
              <w:spacing w:after="0" w:line="240" w:lineRule="auto"/>
              <w:jc w:val="center"/>
              <w:rPr>
                <w:rFonts w:ascii="David" w:hAnsi="David" w:cs="David"/>
                <w:color w:val="000000"/>
              </w:rPr>
            </w:pPr>
            <w:r w:rsidRPr="005034FE">
              <w:rPr>
                <w:rFonts w:ascii="David" w:hAnsi="David" w:cs="David"/>
                <w:color w:val="000000"/>
              </w:rPr>
              <w:t>623</w:t>
            </w:r>
          </w:p>
        </w:tc>
        <w:tc>
          <w:tcPr>
            <w:tcW w:w="1552" w:type="dxa"/>
            <w:shd w:val="clear" w:color="auto" w:fill="D9D9D9"/>
            <w:noWrap/>
            <w:vAlign w:val="center"/>
          </w:tcPr>
          <w:p w14:paraId="68285373" w14:textId="77777777" w:rsidR="00DD0D4B" w:rsidRPr="005034FE" w:rsidRDefault="00FD04C9" w:rsidP="00502795">
            <w:pPr>
              <w:spacing w:after="0" w:line="240" w:lineRule="auto"/>
              <w:jc w:val="center"/>
              <w:rPr>
                <w:rFonts w:ascii="David" w:hAnsi="David" w:cs="David"/>
                <w:b/>
                <w:bCs/>
                <w:color w:val="000000"/>
              </w:rPr>
            </w:pPr>
            <w:r w:rsidRPr="005034FE">
              <w:rPr>
                <w:rFonts w:ascii="David" w:hAnsi="David" w:cs="David" w:hint="cs"/>
                <w:b/>
                <w:bCs/>
                <w:color w:val="000000"/>
                <w:rtl/>
              </w:rPr>
              <w:t>6:5</w:t>
            </w:r>
            <w:r w:rsidR="007A3871" w:rsidRPr="005034FE">
              <w:rPr>
                <w:rFonts w:ascii="David" w:hAnsi="David" w:cs="David" w:hint="cs"/>
                <w:b/>
                <w:bCs/>
                <w:color w:val="000000"/>
                <w:rtl/>
              </w:rPr>
              <w:t>5</w:t>
            </w:r>
          </w:p>
        </w:tc>
        <w:tc>
          <w:tcPr>
            <w:tcW w:w="1417" w:type="dxa"/>
            <w:shd w:val="clear" w:color="auto" w:fill="D9D9D9"/>
            <w:vAlign w:val="center"/>
          </w:tcPr>
          <w:p w14:paraId="6E163F3D" w14:textId="77777777" w:rsidR="00DD0D4B" w:rsidRPr="005034FE" w:rsidRDefault="00E25AE7" w:rsidP="00502795">
            <w:pPr>
              <w:spacing w:after="0" w:line="240" w:lineRule="auto"/>
              <w:jc w:val="center"/>
              <w:rPr>
                <w:rFonts w:ascii="David" w:hAnsi="David" w:cs="David"/>
                <w:color w:val="000000"/>
              </w:rPr>
            </w:pPr>
            <w:r w:rsidRPr="005034FE">
              <w:rPr>
                <w:rFonts w:ascii="David" w:hAnsi="David" w:cs="David" w:hint="cs"/>
                <w:color w:val="000000"/>
                <w:rtl/>
              </w:rPr>
              <w:t>2</w:t>
            </w:r>
            <w:r w:rsidR="00FD04C9" w:rsidRPr="005034FE">
              <w:rPr>
                <w:rFonts w:ascii="David" w:hAnsi="David" w:cs="David" w:hint="cs"/>
                <w:color w:val="000000"/>
                <w:rtl/>
              </w:rPr>
              <w:t>16</w:t>
            </w:r>
          </w:p>
        </w:tc>
      </w:tr>
      <w:tr w:rsidR="00E0162E" w:rsidRPr="005034FE" w14:paraId="67088F52" w14:textId="77777777" w:rsidTr="00502795">
        <w:trPr>
          <w:trHeight w:val="600"/>
        </w:trPr>
        <w:tc>
          <w:tcPr>
            <w:tcW w:w="1066" w:type="dxa"/>
            <w:shd w:val="clear" w:color="auto" w:fill="auto"/>
            <w:noWrap/>
            <w:vAlign w:val="center"/>
          </w:tcPr>
          <w:p w14:paraId="138D452E" w14:textId="77777777" w:rsidR="00DD0D4B" w:rsidRPr="005034FE" w:rsidRDefault="00E25AE7" w:rsidP="00502795">
            <w:pPr>
              <w:spacing w:after="0" w:line="240" w:lineRule="auto"/>
              <w:jc w:val="center"/>
              <w:rPr>
                <w:rFonts w:ascii="David" w:hAnsi="David" w:cs="David"/>
                <w:color w:val="000000"/>
              </w:rPr>
            </w:pPr>
            <w:r w:rsidRPr="005034FE">
              <w:rPr>
                <w:rFonts w:ascii="David" w:hAnsi="David" w:cs="David" w:hint="cs"/>
                <w:color w:val="000000"/>
                <w:rtl/>
              </w:rPr>
              <w:t>נוער</w:t>
            </w:r>
          </w:p>
        </w:tc>
        <w:tc>
          <w:tcPr>
            <w:tcW w:w="2913" w:type="dxa"/>
            <w:shd w:val="clear" w:color="auto" w:fill="auto"/>
            <w:vAlign w:val="center"/>
          </w:tcPr>
          <w:p w14:paraId="2DA3B1A8" w14:textId="77777777" w:rsidR="00DD0D4B" w:rsidRPr="005034FE" w:rsidRDefault="00E25AE7" w:rsidP="00502795">
            <w:pPr>
              <w:spacing w:after="0" w:line="240" w:lineRule="auto"/>
              <w:rPr>
                <w:rFonts w:ascii="David" w:hAnsi="David" w:cs="David"/>
                <w:color w:val="000000"/>
                <w:rtl/>
              </w:rPr>
            </w:pPr>
            <w:r w:rsidRPr="005034FE">
              <w:rPr>
                <w:rFonts w:ascii="David" w:hAnsi="David" w:cs="David" w:hint="cs"/>
                <w:color w:val="000000"/>
                <w:rtl/>
              </w:rPr>
              <w:t>תיק פלילי (</w:t>
            </w:r>
            <w:r w:rsidRPr="005034FE">
              <w:rPr>
                <w:rFonts w:ascii="David" w:hAnsi="David" w:cs="David"/>
                <w:color w:val="000000"/>
                <w:rtl/>
              </w:rPr>
              <w:t>ת"פ</w:t>
            </w:r>
            <w:r w:rsidRPr="005034FE">
              <w:rPr>
                <w:rFonts w:ascii="David" w:hAnsi="David" w:cs="David" w:hint="cs"/>
                <w:color w:val="000000"/>
                <w:rtl/>
              </w:rPr>
              <w:t>)</w:t>
            </w:r>
          </w:p>
        </w:tc>
        <w:tc>
          <w:tcPr>
            <w:tcW w:w="1842" w:type="dxa"/>
            <w:vAlign w:val="center"/>
          </w:tcPr>
          <w:p w14:paraId="7BE3397E" w14:textId="77777777" w:rsidR="00DD0D4B" w:rsidRPr="0072393E" w:rsidRDefault="00E25AE7" w:rsidP="00502795">
            <w:pPr>
              <w:spacing w:after="0" w:line="240" w:lineRule="auto"/>
              <w:jc w:val="center"/>
              <w:rPr>
                <w:rFonts w:asciiTheme="minorHAnsi" w:hAnsiTheme="minorHAnsi" w:cs="David"/>
                <w:color w:val="000000"/>
              </w:rPr>
            </w:pPr>
            <w:r w:rsidRPr="005034FE">
              <w:rPr>
                <w:rFonts w:ascii="David" w:hAnsi="David" w:cs="David"/>
                <w:color w:val="000000"/>
              </w:rPr>
              <w:t>3,558</w:t>
            </w:r>
          </w:p>
        </w:tc>
        <w:tc>
          <w:tcPr>
            <w:tcW w:w="1552" w:type="dxa"/>
            <w:shd w:val="clear" w:color="auto" w:fill="auto"/>
            <w:noWrap/>
            <w:vAlign w:val="center"/>
          </w:tcPr>
          <w:p w14:paraId="57219135" w14:textId="77777777" w:rsidR="00DD0D4B" w:rsidRPr="005034FE" w:rsidRDefault="00FD04C9" w:rsidP="00502795">
            <w:pPr>
              <w:spacing w:after="0" w:line="240" w:lineRule="auto"/>
              <w:jc w:val="center"/>
              <w:rPr>
                <w:rFonts w:ascii="David" w:hAnsi="David" w:cs="David"/>
                <w:b/>
                <w:bCs/>
                <w:color w:val="000000"/>
              </w:rPr>
            </w:pPr>
            <w:r w:rsidRPr="005034FE">
              <w:rPr>
                <w:rFonts w:ascii="David" w:hAnsi="David" w:cs="David" w:hint="cs"/>
                <w:b/>
                <w:bCs/>
                <w:color w:val="000000"/>
                <w:rtl/>
              </w:rPr>
              <w:t>6:40</w:t>
            </w:r>
          </w:p>
        </w:tc>
        <w:tc>
          <w:tcPr>
            <w:tcW w:w="1417" w:type="dxa"/>
            <w:vAlign w:val="center"/>
          </w:tcPr>
          <w:p w14:paraId="3DCC709A" w14:textId="77777777" w:rsidR="00DD0D4B" w:rsidRPr="005034FE" w:rsidRDefault="00E25AE7" w:rsidP="00502795">
            <w:pPr>
              <w:spacing w:after="0" w:line="240" w:lineRule="auto"/>
              <w:jc w:val="center"/>
              <w:rPr>
                <w:rFonts w:ascii="David" w:hAnsi="David" w:cs="David"/>
                <w:color w:val="000000"/>
              </w:rPr>
            </w:pPr>
            <w:r w:rsidRPr="005034FE">
              <w:rPr>
                <w:rFonts w:ascii="David" w:hAnsi="David" w:cs="David" w:hint="cs"/>
                <w:color w:val="000000"/>
                <w:rtl/>
              </w:rPr>
              <w:t>20</w:t>
            </w:r>
            <w:r w:rsidR="00FD04C9" w:rsidRPr="005034FE">
              <w:rPr>
                <w:rFonts w:ascii="David" w:hAnsi="David" w:cs="David" w:hint="cs"/>
                <w:color w:val="000000"/>
                <w:rtl/>
              </w:rPr>
              <w:t>8</w:t>
            </w:r>
          </w:p>
        </w:tc>
      </w:tr>
      <w:tr w:rsidR="00E0162E" w:rsidRPr="005034FE" w14:paraId="16A5E311" w14:textId="77777777" w:rsidTr="00502795">
        <w:trPr>
          <w:trHeight w:val="600"/>
        </w:trPr>
        <w:tc>
          <w:tcPr>
            <w:tcW w:w="1066" w:type="dxa"/>
            <w:shd w:val="clear" w:color="auto" w:fill="D9D9D9"/>
            <w:noWrap/>
            <w:vAlign w:val="center"/>
          </w:tcPr>
          <w:p w14:paraId="4E6F32A7" w14:textId="77777777" w:rsidR="00DD0D4B" w:rsidRPr="005034FE" w:rsidRDefault="00E25AE7" w:rsidP="00502795">
            <w:pPr>
              <w:spacing w:after="0" w:line="240" w:lineRule="auto"/>
              <w:jc w:val="center"/>
              <w:rPr>
                <w:rFonts w:ascii="David" w:hAnsi="David" w:cs="David"/>
                <w:color w:val="000000"/>
              </w:rPr>
            </w:pPr>
            <w:r w:rsidRPr="005034FE">
              <w:rPr>
                <w:rFonts w:ascii="David" w:hAnsi="David" w:cs="David" w:hint="cs"/>
                <w:color w:val="000000"/>
                <w:rtl/>
              </w:rPr>
              <w:t>נוער</w:t>
            </w:r>
          </w:p>
        </w:tc>
        <w:tc>
          <w:tcPr>
            <w:tcW w:w="2913" w:type="dxa"/>
            <w:shd w:val="clear" w:color="auto" w:fill="D9D9D9"/>
            <w:vAlign w:val="center"/>
          </w:tcPr>
          <w:p w14:paraId="1AF6FFCB" w14:textId="77777777" w:rsidR="00DD0D4B" w:rsidRPr="005034FE" w:rsidRDefault="00E25AE7" w:rsidP="00502795">
            <w:pPr>
              <w:spacing w:after="0" w:line="240" w:lineRule="auto"/>
              <w:rPr>
                <w:rFonts w:ascii="David" w:hAnsi="David" w:cs="David"/>
                <w:color w:val="000000"/>
                <w:rtl/>
              </w:rPr>
            </w:pPr>
            <w:r w:rsidRPr="005034FE">
              <w:rPr>
                <w:rFonts w:ascii="David" w:hAnsi="David" w:cs="David" w:hint="cs"/>
                <w:color w:val="000000"/>
                <w:rtl/>
              </w:rPr>
              <w:t>צו ביניים לנזקקות (</w:t>
            </w:r>
            <w:r w:rsidRPr="005034FE">
              <w:rPr>
                <w:rFonts w:ascii="David" w:hAnsi="David" w:cs="David"/>
                <w:color w:val="000000"/>
                <w:rtl/>
              </w:rPr>
              <w:t>צב"נ</w:t>
            </w:r>
            <w:r w:rsidRPr="005034FE">
              <w:rPr>
                <w:rFonts w:ascii="David" w:hAnsi="David" w:cs="David" w:hint="cs"/>
                <w:color w:val="000000"/>
                <w:rtl/>
              </w:rPr>
              <w:t>)</w:t>
            </w:r>
          </w:p>
        </w:tc>
        <w:tc>
          <w:tcPr>
            <w:tcW w:w="1842" w:type="dxa"/>
            <w:shd w:val="clear" w:color="auto" w:fill="D9D9D9"/>
            <w:vAlign w:val="center"/>
          </w:tcPr>
          <w:p w14:paraId="10BFE165" w14:textId="77777777" w:rsidR="00DD0D4B" w:rsidRPr="005034FE" w:rsidRDefault="00E25AE7" w:rsidP="00502795">
            <w:pPr>
              <w:spacing w:after="0" w:line="240" w:lineRule="auto"/>
              <w:jc w:val="center"/>
              <w:rPr>
                <w:rFonts w:ascii="David" w:hAnsi="David" w:cs="David"/>
                <w:color w:val="000000"/>
              </w:rPr>
            </w:pPr>
            <w:r w:rsidRPr="005034FE">
              <w:rPr>
                <w:rFonts w:ascii="David" w:hAnsi="David" w:cs="David"/>
                <w:color w:val="000000"/>
              </w:rPr>
              <w:t>1,765</w:t>
            </w:r>
          </w:p>
        </w:tc>
        <w:tc>
          <w:tcPr>
            <w:tcW w:w="1552" w:type="dxa"/>
            <w:shd w:val="clear" w:color="auto" w:fill="D9D9D9"/>
            <w:noWrap/>
            <w:vAlign w:val="center"/>
          </w:tcPr>
          <w:p w14:paraId="2C36A095" w14:textId="77777777" w:rsidR="00DD0D4B" w:rsidRPr="005034FE" w:rsidRDefault="00E25AE7" w:rsidP="00502795">
            <w:pPr>
              <w:spacing w:after="0" w:line="240" w:lineRule="auto"/>
              <w:jc w:val="center"/>
              <w:rPr>
                <w:rFonts w:ascii="David" w:hAnsi="David" w:cs="David"/>
                <w:b/>
                <w:bCs/>
                <w:color w:val="000000"/>
              </w:rPr>
            </w:pPr>
            <w:r w:rsidRPr="005034FE">
              <w:rPr>
                <w:rFonts w:ascii="David" w:hAnsi="David" w:cs="David"/>
                <w:b/>
                <w:bCs/>
                <w:color w:val="000000"/>
              </w:rPr>
              <w:t>4:</w:t>
            </w:r>
            <w:r w:rsidR="00FD04C9" w:rsidRPr="005034FE">
              <w:rPr>
                <w:rFonts w:ascii="David" w:hAnsi="David" w:cs="David"/>
                <w:b/>
                <w:bCs/>
                <w:color w:val="000000"/>
              </w:rPr>
              <w:t>04</w:t>
            </w:r>
          </w:p>
        </w:tc>
        <w:tc>
          <w:tcPr>
            <w:tcW w:w="1417" w:type="dxa"/>
            <w:shd w:val="clear" w:color="auto" w:fill="D9D9D9"/>
            <w:vAlign w:val="center"/>
          </w:tcPr>
          <w:p w14:paraId="46BB3325" w14:textId="77777777" w:rsidR="00DD0D4B" w:rsidRPr="005034FE" w:rsidRDefault="00E25AE7" w:rsidP="00502795">
            <w:pPr>
              <w:spacing w:after="0" w:line="240" w:lineRule="auto"/>
              <w:jc w:val="center"/>
              <w:rPr>
                <w:rFonts w:ascii="David" w:hAnsi="David" w:cs="David"/>
                <w:color w:val="000000"/>
                <w:rtl/>
              </w:rPr>
            </w:pPr>
            <w:r w:rsidRPr="005034FE">
              <w:rPr>
                <w:rFonts w:ascii="David" w:hAnsi="David" w:cs="David" w:hint="cs"/>
                <w:color w:val="000000"/>
                <w:rtl/>
              </w:rPr>
              <w:t>12</w:t>
            </w:r>
            <w:r w:rsidR="00FD04C9" w:rsidRPr="005034FE">
              <w:rPr>
                <w:rFonts w:ascii="David" w:hAnsi="David" w:cs="David" w:hint="cs"/>
                <w:color w:val="000000"/>
                <w:rtl/>
              </w:rPr>
              <w:t>7</w:t>
            </w:r>
          </w:p>
        </w:tc>
      </w:tr>
      <w:tr w:rsidR="00550EA7" w:rsidRPr="005034FE" w14:paraId="370FA86D" w14:textId="77777777" w:rsidTr="00502795">
        <w:trPr>
          <w:trHeight w:val="600"/>
        </w:trPr>
        <w:tc>
          <w:tcPr>
            <w:tcW w:w="1066" w:type="dxa"/>
            <w:shd w:val="clear" w:color="auto" w:fill="auto"/>
            <w:noWrap/>
            <w:vAlign w:val="center"/>
          </w:tcPr>
          <w:p w14:paraId="7504C7BB" w14:textId="77777777" w:rsidR="00550EA7" w:rsidRPr="005034FE" w:rsidRDefault="00550EA7" w:rsidP="00502795">
            <w:pPr>
              <w:spacing w:after="0" w:line="240" w:lineRule="auto"/>
              <w:jc w:val="center"/>
              <w:rPr>
                <w:rFonts w:ascii="David" w:hAnsi="David" w:cs="David"/>
                <w:color w:val="000000"/>
                <w:rtl/>
              </w:rPr>
            </w:pPr>
            <w:r w:rsidRPr="005034FE">
              <w:rPr>
                <w:rFonts w:ascii="David" w:hAnsi="David" w:cs="David" w:hint="cs"/>
                <w:color w:val="000000"/>
                <w:rtl/>
              </w:rPr>
              <w:t>נוער</w:t>
            </w:r>
          </w:p>
        </w:tc>
        <w:tc>
          <w:tcPr>
            <w:tcW w:w="2913" w:type="dxa"/>
            <w:shd w:val="clear" w:color="auto" w:fill="auto"/>
            <w:vAlign w:val="center"/>
          </w:tcPr>
          <w:p w14:paraId="536F58DA" w14:textId="77777777" w:rsidR="00550EA7" w:rsidRPr="005034FE" w:rsidRDefault="00550EA7" w:rsidP="00502795">
            <w:pPr>
              <w:spacing w:after="0" w:line="240" w:lineRule="auto"/>
              <w:rPr>
                <w:rFonts w:ascii="David" w:hAnsi="David" w:cs="David"/>
                <w:color w:val="000000"/>
                <w:rtl/>
              </w:rPr>
            </w:pPr>
            <w:r w:rsidRPr="005034FE">
              <w:rPr>
                <w:rFonts w:ascii="David" w:hAnsi="David" w:cs="David" w:hint="cs"/>
                <w:color w:val="000000"/>
                <w:rtl/>
              </w:rPr>
              <w:t>מעצר ימים (</w:t>
            </w:r>
            <w:r w:rsidRPr="005034FE">
              <w:rPr>
                <w:rFonts w:ascii="David" w:hAnsi="David" w:cs="David"/>
                <w:color w:val="000000"/>
                <w:rtl/>
              </w:rPr>
              <w:t>מ"י</w:t>
            </w:r>
            <w:r w:rsidRPr="005034FE">
              <w:rPr>
                <w:rFonts w:ascii="David" w:hAnsi="David" w:cs="David" w:hint="cs"/>
                <w:color w:val="000000"/>
                <w:rtl/>
              </w:rPr>
              <w:t>)</w:t>
            </w:r>
          </w:p>
        </w:tc>
        <w:tc>
          <w:tcPr>
            <w:tcW w:w="1842" w:type="dxa"/>
            <w:shd w:val="clear" w:color="auto" w:fill="auto"/>
            <w:vAlign w:val="center"/>
          </w:tcPr>
          <w:p w14:paraId="71B09037" w14:textId="77777777" w:rsidR="00550EA7" w:rsidRPr="005034FE" w:rsidRDefault="00550EA7" w:rsidP="00502795">
            <w:pPr>
              <w:spacing w:after="0" w:line="240" w:lineRule="auto"/>
              <w:jc w:val="center"/>
              <w:rPr>
                <w:rFonts w:ascii="David" w:hAnsi="David" w:cs="David"/>
                <w:color w:val="000000"/>
              </w:rPr>
            </w:pPr>
            <w:r w:rsidRPr="005034FE">
              <w:rPr>
                <w:rFonts w:ascii="David" w:hAnsi="David" w:cs="David"/>
                <w:color w:val="000000"/>
              </w:rPr>
              <w:t>2,652</w:t>
            </w:r>
          </w:p>
        </w:tc>
        <w:tc>
          <w:tcPr>
            <w:tcW w:w="1552" w:type="dxa"/>
            <w:shd w:val="clear" w:color="auto" w:fill="auto"/>
            <w:noWrap/>
            <w:vAlign w:val="center"/>
          </w:tcPr>
          <w:p w14:paraId="1D9972D6" w14:textId="77777777" w:rsidR="00550EA7" w:rsidRPr="005034FE" w:rsidRDefault="00550EA7" w:rsidP="00502795">
            <w:pPr>
              <w:spacing w:after="0" w:line="240" w:lineRule="auto"/>
              <w:jc w:val="center"/>
              <w:rPr>
                <w:rFonts w:ascii="David" w:hAnsi="David" w:cs="David"/>
                <w:b/>
                <w:bCs/>
                <w:color w:val="000000"/>
              </w:rPr>
            </w:pPr>
            <w:r w:rsidRPr="005034FE">
              <w:rPr>
                <w:rFonts w:ascii="David" w:hAnsi="David" w:cs="David"/>
                <w:b/>
                <w:bCs/>
                <w:color w:val="000000"/>
              </w:rPr>
              <w:t>1:52</w:t>
            </w:r>
          </w:p>
        </w:tc>
        <w:tc>
          <w:tcPr>
            <w:tcW w:w="1417" w:type="dxa"/>
            <w:shd w:val="clear" w:color="auto" w:fill="auto"/>
            <w:vAlign w:val="center"/>
          </w:tcPr>
          <w:p w14:paraId="22D7421A" w14:textId="77777777" w:rsidR="00550EA7" w:rsidRPr="005034FE" w:rsidRDefault="00550EA7" w:rsidP="00502795">
            <w:pPr>
              <w:spacing w:after="0" w:line="240" w:lineRule="auto"/>
              <w:jc w:val="center"/>
              <w:rPr>
                <w:rFonts w:ascii="David" w:hAnsi="David" w:cs="David"/>
                <w:color w:val="000000"/>
                <w:rtl/>
              </w:rPr>
            </w:pPr>
            <w:r w:rsidRPr="005034FE">
              <w:rPr>
                <w:rFonts w:ascii="David" w:hAnsi="David" w:cs="David" w:hint="cs"/>
                <w:color w:val="000000"/>
                <w:rtl/>
              </w:rPr>
              <w:t>59</w:t>
            </w:r>
          </w:p>
        </w:tc>
      </w:tr>
      <w:tr w:rsidR="00550EA7" w:rsidRPr="005034FE" w14:paraId="02E0D763" w14:textId="77777777" w:rsidTr="00502795">
        <w:trPr>
          <w:trHeight w:val="600"/>
        </w:trPr>
        <w:tc>
          <w:tcPr>
            <w:tcW w:w="1066" w:type="dxa"/>
            <w:shd w:val="clear" w:color="auto" w:fill="D9D9D9"/>
            <w:noWrap/>
            <w:vAlign w:val="center"/>
          </w:tcPr>
          <w:p w14:paraId="6EBD344A" w14:textId="77777777" w:rsidR="00550EA7" w:rsidRPr="005034FE" w:rsidRDefault="00550EA7" w:rsidP="00502795">
            <w:pPr>
              <w:spacing w:after="0" w:line="240" w:lineRule="auto"/>
              <w:jc w:val="center"/>
              <w:rPr>
                <w:rFonts w:ascii="David" w:hAnsi="David" w:cs="David"/>
                <w:color w:val="000000"/>
                <w:rtl/>
              </w:rPr>
            </w:pPr>
            <w:r w:rsidRPr="005034FE">
              <w:rPr>
                <w:rFonts w:ascii="David" w:hAnsi="David" w:cs="David" w:hint="cs"/>
                <w:color w:val="000000"/>
                <w:rtl/>
              </w:rPr>
              <w:t>נוער</w:t>
            </w:r>
          </w:p>
        </w:tc>
        <w:tc>
          <w:tcPr>
            <w:tcW w:w="2913" w:type="dxa"/>
            <w:shd w:val="clear" w:color="auto" w:fill="D9D9D9"/>
            <w:vAlign w:val="center"/>
          </w:tcPr>
          <w:p w14:paraId="6B8BDACA" w14:textId="77777777" w:rsidR="00550EA7" w:rsidRPr="005034FE" w:rsidRDefault="00550EA7" w:rsidP="00502795">
            <w:pPr>
              <w:spacing w:after="0" w:line="240" w:lineRule="auto"/>
              <w:rPr>
                <w:rFonts w:ascii="David" w:hAnsi="David" w:cs="David"/>
                <w:color w:val="000000"/>
                <w:rtl/>
              </w:rPr>
            </w:pPr>
            <w:r w:rsidRPr="005034FE">
              <w:rPr>
                <w:rFonts w:ascii="David" w:hAnsi="David" w:cs="David" w:hint="cs"/>
                <w:color w:val="000000"/>
                <w:rtl/>
              </w:rPr>
              <w:t>תיק תעבורה (</w:t>
            </w:r>
            <w:r w:rsidRPr="005034FE">
              <w:rPr>
                <w:rFonts w:ascii="David" w:hAnsi="David" w:cs="David"/>
                <w:color w:val="000000"/>
                <w:rtl/>
              </w:rPr>
              <w:t>תת"ע</w:t>
            </w:r>
            <w:r w:rsidRPr="005034FE">
              <w:rPr>
                <w:rFonts w:ascii="David" w:hAnsi="David" w:cs="David" w:hint="cs"/>
                <w:color w:val="000000"/>
                <w:rtl/>
              </w:rPr>
              <w:t>)</w:t>
            </w:r>
          </w:p>
        </w:tc>
        <w:tc>
          <w:tcPr>
            <w:tcW w:w="1842" w:type="dxa"/>
            <w:shd w:val="clear" w:color="auto" w:fill="D9D9D9"/>
            <w:vAlign w:val="center"/>
          </w:tcPr>
          <w:p w14:paraId="6F556467" w14:textId="77777777" w:rsidR="00550EA7" w:rsidRPr="005034FE" w:rsidRDefault="00550EA7" w:rsidP="00502795">
            <w:pPr>
              <w:spacing w:after="0" w:line="240" w:lineRule="auto"/>
              <w:jc w:val="center"/>
              <w:rPr>
                <w:rFonts w:ascii="David" w:hAnsi="David" w:cs="David"/>
                <w:color w:val="000000"/>
              </w:rPr>
            </w:pPr>
            <w:r w:rsidRPr="005034FE">
              <w:rPr>
                <w:rFonts w:ascii="David" w:hAnsi="David" w:cs="David"/>
                <w:color w:val="000000"/>
              </w:rPr>
              <w:t>798</w:t>
            </w:r>
          </w:p>
        </w:tc>
        <w:tc>
          <w:tcPr>
            <w:tcW w:w="1552" w:type="dxa"/>
            <w:shd w:val="clear" w:color="auto" w:fill="D9D9D9"/>
            <w:noWrap/>
            <w:vAlign w:val="center"/>
          </w:tcPr>
          <w:p w14:paraId="39F9A859" w14:textId="77777777" w:rsidR="00550EA7" w:rsidRPr="005034FE" w:rsidRDefault="00550EA7" w:rsidP="00502795">
            <w:pPr>
              <w:spacing w:after="0" w:line="240" w:lineRule="auto"/>
              <w:jc w:val="center"/>
              <w:rPr>
                <w:rFonts w:ascii="David" w:hAnsi="David" w:cs="David"/>
                <w:b/>
                <w:bCs/>
                <w:color w:val="000000"/>
              </w:rPr>
            </w:pPr>
            <w:r w:rsidRPr="005034FE">
              <w:rPr>
                <w:rFonts w:ascii="David" w:hAnsi="David" w:cs="David"/>
                <w:b/>
                <w:bCs/>
                <w:color w:val="000000"/>
              </w:rPr>
              <w:t>1:51</w:t>
            </w:r>
          </w:p>
        </w:tc>
        <w:tc>
          <w:tcPr>
            <w:tcW w:w="1417" w:type="dxa"/>
            <w:shd w:val="clear" w:color="auto" w:fill="D9D9D9"/>
            <w:vAlign w:val="center"/>
          </w:tcPr>
          <w:p w14:paraId="39BC2B95" w14:textId="77777777" w:rsidR="00550EA7" w:rsidRPr="005034FE" w:rsidRDefault="00550EA7" w:rsidP="00502795">
            <w:pPr>
              <w:spacing w:after="0" w:line="240" w:lineRule="auto"/>
              <w:jc w:val="center"/>
              <w:rPr>
                <w:rFonts w:ascii="David" w:hAnsi="David" w:cs="David"/>
                <w:color w:val="000000"/>
                <w:rtl/>
              </w:rPr>
            </w:pPr>
            <w:r w:rsidRPr="005034FE">
              <w:rPr>
                <w:rFonts w:ascii="David" w:hAnsi="David" w:cs="David" w:hint="cs"/>
                <w:color w:val="000000"/>
                <w:rtl/>
              </w:rPr>
              <w:t>58</w:t>
            </w:r>
          </w:p>
        </w:tc>
      </w:tr>
      <w:tr w:rsidR="00550EA7" w:rsidRPr="005034FE" w14:paraId="3D4EE376" w14:textId="77777777" w:rsidTr="00502795">
        <w:trPr>
          <w:trHeight w:val="600"/>
        </w:trPr>
        <w:tc>
          <w:tcPr>
            <w:tcW w:w="1066" w:type="dxa"/>
            <w:shd w:val="clear" w:color="auto" w:fill="auto"/>
            <w:noWrap/>
            <w:vAlign w:val="center"/>
          </w:tcPr>
          <w:p w14:paraId="06B3A5CB" w14:textId="77777777" w:rsidR="00550EA7" w:rsidRPr="005034FE" w:rsidRDefault="00550EA7" w:rsidP="00502795">
            <w:pPr>
              <w:spacing w:after="0" w:line="240" w:lineRule="auto"/>
              <w:jc w:val="center"/>
              <w:rPr>
                <w:rFonts w:ascii="David" w:hAnsi="David" w:cs="David"/>
                <w:color w:val="000000"/>
              </w:rPr>
            </w:pPr>
            <w:r w:rsidRPr="005034FE">
              <w:rPr>
                <w:rFonts w:ascii="David" w:hAnsi="David" w:cs="David" w:hint="cs"/>
                <w:color w:val="000000"/>
                <w:rtl/>
              </w:rPr>
              <w:t>נוער</w:t>
            </w:r>
          </w:p>
        </w:tc>
        <w:tc>
          <w:tcPr>
            <w:tcW w:w="2913" w:type="dxa"/>
            <w:shd w:val="clear" w:color="auto" w:fill="auto"/>
            <w:vAlign w:val="center"/>
          </w:tcPr>
          <w:p w14:paraId="34EC1266" w14:textId="77777777" w:rsidR="00550EA7" w:rsidRPr="005034FE" w:rsidRDefault="00550EA7" w:rsidP="00502795">
            <w:pPr>
              <w:spacing w:after="0" w:line="240" w:lineRule="auto"/>
              <w:rPr>
                <w:rFonts w:ascii="David" w:hAnsi="David" w:cs="David"/>
                <w:color w:val="000000"/>
                <w:rtl/>
              </w:rPr>
            </w:pPr>
            <w:r w:rsidRPr="005034FE">
              <w:rPr>
                <w:rFonts w:ascii="David" w:hAnsi="David" w:cs="David" w:hint="cs"/>
                <w:color w:val="000000"/>
                <w:rtl/>
              </w:rPr>
              <w:t>צו אחר (</w:t>
            </w:r>
            <w:r w:rsidRPr="005034FE">
              <w:rPr>
                <w:rFonts w:ascii="David" w:hAnsi="David" w:cs="David"/>
                <w:color w:val="000000"/>
                <w:rtl/>
              </w:rPr>
              <w:t>צ"א</w:t>
            </w:r>
            <w:r w:rsidRPr="005034FE">
              <w:rPr>
                <w:rFonts w:ascii="David" w:hAnsi="David" w:cs="David" w:hint="cs"/>
                <w:color w:val="000000"/>
                <w:rtl/>
              </w:rPr>
              <w:t>)</w:t>
            </w:r>
          </w:p>
        </w:tc>
        <w:tc>
          <w:tcPr>
            <w:tcW w:w="1842" w:type="dxa"/>
            <w:vAlign w:val="center"/>
          </w:tcPr>
          <w:p w14:paraId="5F8A9F9F" w14:textId="77777777" w:rsidR="00550EA7" w:rsidRPr="005034FE" w:rsidRDefault="00550EA7" w:rsidP="00502795">
            <w:pPr>
              <w:spacing w:after="0" w:line="240" w:lineRule="auto"/>
              <w:jc w:val="center"/>
              <w:rPr>
                <w:rFonts w:ascii="David" w:hAnsi="David" w:cs="David"/>
                <w:color w:val="000000"/>
                <w:rtl/>
              </w:rPr>
            </w:pPr>
            <w:r w:rsidRPr="005034FE">
              <w:rPr>
                <w:rFonts w:ascii="David" w:hAnsi="David" w:cs="David"/>
                <w:color w:val="000000"/>
              </w:rPr>
              <w:t>210</w:t>
            </w:r>
          </w:p>
        </w:tc>
        <w:tc>
          <w:tcPr>
            <w:tcW w:w="1552" w:type="dxa"/>
            <w:shd w:val="clear" w:color="auto" w:fill="auto"/>
            <w:noWrap/>
            <w:vAlign w:val="center"/>
          </w:tcPr>
          <w:p w14:paraId="641A79C7" w14:textId="77777777" w:rsidR="00550EA7" w:rsidRPr="005034FE" w:rsidRDefault="00550EA7" w:rsidP="00502795">
            <w:pPr>
              <w:spacing w:after="0" w:line="240" w:lineRule="auto"/>
              <w:jc w:val="center"/>
              <w:rPr>
                <w:rFonts w:ascii="David" w:hAnsi="David" w:cs="David"/>
                <w:b/>
                <w:bCs/>
                <w:color w:val="000000"/>
              </w:rPr>
            </w:pPr>
            <w:r w:rsidRPr="005034FE">
              <w:rPr>
                <w:rFonts w:ascii="David" w:hAnsi="David" w:cs="David" w:hint="cs"/>
                <w:b/>
                <w:bCs/>
                <w:color w:val="000000"/>
                <w:rtl/>
              </w:rPr>
              <w:t>0:54</w:t>
            </w:r>
          </w:p>
        </w:tc>
        <w:tc>
          <w:tcPr>
            <w:tcW w:w="1417" w:type="dxa"/>
            <w:vAlign w:val="center"/>
          </w:tcPr>
          <w:p w14:paraId="66BEB5BC" w14:textId="77777777" w:rsidR="00550EA7" w:rsidRPr="005034FE" w:rsidRDefault="00550EA7" w:rsidP="00502795">
            <w:pPr>
              <w:spacing w:after="0" w:line="240" w:lineRule="auto"/>
              <w:jc w:val="center"/>
              <w:rPr>
                <w:rFonts w:ascii="David" w:hAnsi="David" w:cs="David"/>
                <w:color w:val="000000"/>
              </w:rPr>
            </w:pPr>
            <w:r w:rsidRPr="005034FE">
              <w:rPr>
                <w:rFonts w:ascii="David" w:hAnsi="David" w:cs="David" w:hint="cs"/>
                <w:color w:val="000000"/>
                <w:rtl/>
              </w:rPr>
              <w:t>28</w:t>
            </w:r>
          </w:p>
        </w:tc>
      </w:tr>
      <w:tr w:rsidR="00550EA7" w:rsidRPr="005034FE" w14:paraId="4023A50C" w14:textId="77777777" w:rsidTr="00502795">
        <w:trPr>
          <w:trHeight w:val="600"/>
        </w:trPr>
        <w:tc>
          <w:tcPr>
            <w:tcW w:w="1066" w:type="dxa"/>
            <w:shd w:val="clear" w:color="auto" w:fill="D9D9D9"/>
            <w:noWrap/>
            <w:vAlign w:val="center"/>
          </w:tcPr>
          <w:p w14:paraId="1678EA81" w14:textId="77777777" w:rsidR="00550EA7" w:rsidRPr="005034FE" w:rsidRDefault="00550EA7" w:rsidP="00502795">
            <w:pPr>
              <w:spacing w:after="0" w:line="240" w:lineRule="auto"/>
              <w:jc w:val="center"/>
              <w:rPr>
                <w:rFonts w:ascii="David" w:hAnsi="David" w:cs="David"/>
                <w:color w:val="000000"/>
              </w:rPr>
            </w:pPr>
            <w:r w:rsidRPr="005034FE">
              <w:rPr>
                <w:rFonts w:ascii="David" w:hAnsi="David" w:cs="David" w:hint="cs"/>
                <w:color w:val="000000"/>
                <w:rtl/>
              </w:rPr>
              <w:t>נוער</w:t>
            </w:r>
          </w:p>
        </w:tc>
        <w:tc>
          <w:tcPr>
            <w:tcW w:w="2913" w:type="dxa"/>
            <w:shd w:val="clear" w:color="auto" w:fill="D9D9D9"/>
            <w:vAlign w:val="center"/>
          </w:tcPr>
          <w:p w14:paraId="37C91907" w14:textId="77777777" w:rsidR="00550EA7" w:rsidRPr="005034FE" w:rsidRDefault="00550EA7" w:rsidP="00502795">
            <w:pPr>
              <w:rPr>
                <w:rFonts w:ascii="David" w:hAnsi="David" w:cs="David"/>
                <w:color w:val="000000"/>
                <w:rtl/>
              </w:rPr>
            </w:pPr>
            <w:r w:rsidRPr="005034FE">
              <w:rPr>
                <w:rFonts w:ascii="David" w:hAnsi="David" w:cs="David" w:hint="cs"/>
                <w:color w:val="000000"/>
                <w:rtl/>
              </w:rPr>
              <w:t>מעצר ימים בהעדר (</w:t>
            </w:r>
            <w:r w:rsidRPr="005034FE">
              <w:rPr>
                <w:rFonts w:ascii="David" w:hAnsi="David" w:cs="David"/>
                <w:color w:val="000000"/>
                <w:rtl/>
              </w:rPr>
              <w:t>מי"ב</w:t>
            </w:r>
            <w:r w:rsidRPr="005034FE">
              <w:rPr>
                <w:rFonts w:ascii="David" w:hAnsi="David" w:cs="David" w:hint="cs"/>
                <w:color w:val="000000"/>
                <w:rtl/>
              </w:rPr>
              <w:t>)</w:t>
            </w:r>
          </w:p>
        </w:tc>
        <w:tc>
          <w:tcPr>
            <w:tcW w:w="1842" w:type="dxa"/>
            <w:shd w:val="clear" w:color="auto" w:fill="D9D9D9"/>
            <w:vAlign w:val="center"/>
          </w:tcPr>
          <w:p w14:paraId="38D1E3EE" w14:textId="77777777" w:rsidR="00550EA7" w:rsidRPr="005034FE" w:rsidRDefault="00550EA7" w:rsidP="00502795">
            <w:pPr>
              <w:spacing w:after="0" w:line="240" w:lineRule="auto"/>
              <w:jc w:val="center"/>
              <w:rPr>
                <w:rFonts w:cs="David"/>
                <w:color w:val="000000"/>
              </w:rPr>
            </w:pPr>
            <w:r w:rsidRPr="005034FE">
              <w:rPr>
                <w:rFonts w:ascii="David" w:hAnsi="David" w:cs="David"/>
                <w:color w:val="000000"/>
              </w:rPr>
              <w:t>748</w:t>
            </w:r>
          </w:p>
        </w:tc>
        <w:tc>
          <w:tcPr>
            <w:tcW w:w="1552" w:type="dxa"/>
            <w:shd w:val="clear" w:color="auto" w:fill="D9D9D9"/>
            <w:noWrap/>
            <w:vAlign w:val="center"/>
          </w:tcPr>
          <w:p w14:paraId="6721F8C0" w14:textId="77777777" w:rsidR="00550EA7" w:rsidRPr="005034FE" w:rsidRDefault="00550EA7" w:rsidP="00502795">
            <w:pPr>
              <w:spacing w:after="0" w:line="240" w:lineRule="auto"/>
              <w:jc w:val="center"/>
              <w:rPr>
                <w:rFonts w:ascii="David" w:hAnsi="David" w:cs="David"/>
                <w:b/>
                <w:bCs/>
                <w:color w:val="000000"/>
              </w:rPr>
            </w:pPr>
            <w:r w:rsidRPr="005034FE">
              <w:rPr>
                <w:rFonts w:ascii="David" w:hAnsi="David" w:cs="David"/>
                <w:b/>
                <w:bCs/>
                <w:color w:val="000000"/>
              </w:rPr>
              <w:t>0:15</w:t>
            </w:r>
          </w:p>
        </w:tc>
        <w:tc>
          <w:tcPr>
            <w:tcW w:w="1417" w:type="dxa"/>
            <w:shd w:val="clear" w:color="auto" w:fill="D9D9D9"/>
            <w:vAlign w:val="center"/>
          </w:tcPr>
          <w:p w14:paraId="1D50CF0B" w14:textId="77777777" w:rsidR="00550EA7" w:rsidRPr="005034FE" w:rsidRDefault="00550EA7" w:rsidP="00502795">
            <w:pPr>
              <w:spacing w:after="0" w:line="240" w:lineRule="auto"/>
              <w:jc w:val="center"/>
              <w:rPr>
                <w:rFonts w:ascii="David" w:hAnsi="David" w:cs="David"/>
                <w:color w:val="000000"/>
              </w:rPr>
            </w:pPr>
            <w:r w:rsidRPr="005034FE">
              <w:rPr>
                <w:rFonts w:ascii="David" w:hAnsi="David" w:cs="David"/>
                <w:color w:val="000000"/>
              </w:rPr>
              <w:t>8</w:t>
            </w:r>
          </w:p>
        </w:tc>
      </w:tr>
      <w:tr w:rsidR="00550EA7" w:rsidRPr="005034FE" w14:paraId="6AE142DF" w14:textId="77777777" w:rsidTr="00502795">
        <w:trPr>
          <w:trHeight w:val="600"/>
        </w:trPr>
        <w:tc>
          <w:tcPr>
            <w:tcW w:w="1066" w:type="dxa"/>
            <w:shd w:val="clear" w:color="auto" w:fill="auto"/>
            <w:noWrap/>
            <w:vAlign w:val="center"/>
          </w:tcPr>
          <w:p w14:paraId="327FA536" w14:textId="77777777" w:rsidR="00550EA7" w:rsidRPr="005034FE" w:rsidRDefault="00550EA7" w:rsidP="00502795">
            <w:pPr>
              <w:spacing w:after="0" w:line="240" w:lineRule="auto"/>
              <w:jc w:val="center"/>
              <w:rPr>
                <w:rFonts w:ascii="David" w:hAnsi="David" w:cs="David"/>
                <w:color w:val="000000"/>
              </w:rPr>
            </w:pPr>
            <w:r w:rsidRPr="005034FE">
              <w:rPr>
                <w:rFonts w:ascii="David" w:hAnsi="David" w:cs="David" w:hint="cs"/>
                <w:color w:val="000000"/>
                <w:rtl/>
              </w:rPr>
              <w:t>נוער</w:t>
            </w:r>
          </w:p>
        </w:tc>
        <w:tc>
          <w:tcPr>
            <w:tcW w:w="2913" w:type="dxa"/>
            <w:shd w:val="clear" w:color="auto" w:fill="auto"/>
            <w:vAlign w:val="center"/>
          </w:tcPr>
          <w:p w14:paraId="65F1D903" w14:textId="77777777" w:rsidR="00550EA7" w:rsidRPr="005034FE" w:rsidRDefault="00550EA7" w:rsidP="00502795">
            <w:pPr>
              <w:spacing w:after="0" w:line="240" w:lineRule="auto"/>
              <w:rPr>
                <w:rFonts w:ascii="David" w:hAnsi="David" w:cs="David"/>
                <w:color w:val="000000"/>
                <w:rtl/>
              </w:rPr>
            </w:pPr>
            <w:r w:rsidRPr="005034FE">
              <w:rPr>
                <w:rFonts w:ascii="David" w:hAnsi="David" w:cs="David" w:hint="cs"/>
                <w:color w:val="000000"/>
                <w:rtl/>
              </w:rPr>
              <w:t>צו חיפוש / צו כניסה (</w:t>
            </w:r>
            <w:r w:rsidRPr="005034FE">
              <w:rPr>
                <w:rFonts w:ascii="David" w:hAnsi="David" w:cs="David"/>
                <w:color w:val="000000"/>
                <w:rtl/>
              </w:rPr>
              <w:t>צ"ח</w:t>
            </w:r>
            <w:r w:rsidRPr="005034FE">
              <w:rPr>
                <w:rFonts w:ascii="David" w:hAnsi="David" w:cs="David" w:hint="cs"/>
                <w:color w:val="000000"/>
                <w:rtl/>
              </w:rPr>
              <w:t>)</w:t>
            </w:r>
          </w:p>
        </w:tc>
        <w:tc>
          <w:tcPr>
            <w:tcW w:w="1842" w:type="dxa"/>
            <w:vAlign w:val="center"/>
          </w:tcPr>
          <w:p w14:paraId="0A1F4479" w14:textId="77777777" w:rsidR="00550EA7" w:rsidRPr="005034FE" w:rsidRDefault="00550EA7" w:rsidP="00502795">
            <w:pPr>
              <w:spacing w:after="0" w:line="240" w:lineRule="auto"/>
              <w:jc w:val="center"/>
              <w:rPr>
                <w:rFonts w:ascii="David" w:hAnsi="David" w:cs="David"/>
                <w:color w:val="000000"/>
              </w:rPr>
            </w:pPr>
            <w:r w:rsidRPr="005034FE">
              <w:rPr>
                <w:rFonts w:ascii="David" w:hAnsi="David" w:cs="David"/>
                <w:color w:val="000000"/>
              </w:rPr>
              <w:t>1,503</w:t>
            </w:r>
          </w:p>
        </w:tc>
        <w:tc>
          <w:tcPr>
            <w:tcW w:w="1552" w:type="dxa"/>
            <w:shd w:val="clear" w:color="auto" w:fill="auto"/>
            <w:noWrap/>
            <w:vAlign w:val="center"/>
          </w:tcPr>
          <w:p w14:paraId="6C929D83" w14:textId="77777777" w:rsidR="00550EA7" w:rsidRPr="005034FE" w:rsidRDefault="00550EA7" w:rsidP="00502795">
            <w:pPr>
              <w:spacing w:after="0" w:line="240" w:lineRule="auto"/>
              <w:jc w:val="center"/>
              <w:rPr>
                <w:rFonts w:ascii="David" w:hAnsi="David" w:cs="David"/>
                <w:b/>
                <w:bCs/>
                <w:color w:val="000000"/>
              </w:rPr>
            </w:pPr>
            <w:r w:rsidRPr="005034FE">
              <w:rPr>
                <w:rFonts w:ascii="David" w:hAnsi="David" w:cs="David"/>
                <w:b/>
                <w:bCs/>
                <w:color w:val="000000"/>
              </w:rPr>
              <w:t>0:03</w:t>
            </w:r>
          </w:p>
        </w:tc>
        <w:tc>
          <w:tcPr>
            <w:tcW w:w="1417" w:type="dxa"/>
            <w:vAlign w:val="center"/>
          </w:tcPr>
          <w:p w14:paraId="4FB19656" w14:textId="77777777" w:rsidR="00550EA7" w:rsidRPr="005034FE" w:rsidRDefault="00550EA7" w:rsidP="00502795">
            <w:pPr>
              <w:spacing w:after="0" w:line="240" w:lineRule="auto"/>
              <w:jc w:val="center"/>
              <w:rPr>
                <w:rFonts w:ascii="David" w:hAnsi="David" w:cs="David"/>
                <w:color w:val="000000"/>
              </w:rPr>
            </w:pPr>
            <w:r w:rsidRPr="005034FE">
              <w:rPr>
                <w:rFonts w:ascii="David" w:hAnsi="David" w:cs="David" w:hint="cs"/>
                <w:color w:val="000000"/>
                <w:rtl/>
              </w:rPr>
              <w:t>1</w:t>
            </w:r>
          </w:p>
        </w:tc>
      </w:tr>
      <w:tr w:rsidR="00550EA7" w:rsidRPr="005034FE" w14:paraId="176B9C1A" w14:textId="77777777" w:rsidTr="00502795">
        <w:trPr>
          <w:trHeight w:val="600"/>
        </w:trPr>
        <w:tc>
          <w:tcPr>
            <w:tcW w:w="1066" w:type="dxa"/>
            <w:shd w:val="clear" w:color="auto" w:fill="D9D9D9"/>
            <w:noWrap/>
            <w:vAlign w:val="center"/>
          </w:tcPr>
          <w:p w14:paraId="5ECF58D9" w14:textId="77777777" w:rsidR="00550EA7" w:rsidRPr="005034FE" w:rsidRDefault="00550EA7" w:rsidP="00502795">
            <w:pPr>
              <w:spacing w:after="0" w:line="240" w:lineRule="auto"/>
              <w:jc w:val="center"/>
              <w:rPr>
                <w:rFonts w:ascii="David" w:hAnsi="David" w:cs="David"/>
                <w:color w:val="000000"/>
              </w:rPr>
            </w:pPr>
            <w:r w:rsidRPr="005034FE">
              <w:rPr>
                <w:rFonts w:ascii="David" w:hAnsi="David" w:cs="David" w:hint="cs"/>
                <w:color w:val="000000"/>
                <w:rtl/>
              </w:rPr>
              <w:t>נוער</w:t>
            </w:r>
          </w:p>
        </w:tc>
        <w:tc>
          <w:tcPr>
            <w:tcW w:w="2913" w:type="dxa"/>
            <w:shd w:val="clear" w:color="auto" w:fill="D9D9D9"/>
            <w:vAlign w:val="center"/>
          </w:tcPr>
          <w:p w14:paraId="53907624" w14:textId="77777777" w:rsidR="00550EA7" w:rsidRPr="005034FE" w:rsidRDefault="00550EA7" w:rsidP="00502795">
            <w:pPr>
              <w:spacing w:after="0" w:line="240" w:lineRule="auto"/>
              <w:rPr>
                <w:rFonts w:ascii="David" w:hAnsi="David" w:cs="David"/>
                <w:color w:val="000000"/>
                <w:rtl/>
              </w:rPr>
            </w:pPr>
            <w:r w:rsidRPr="005034FE">
              <w:rPr>
                <w:rFonts w:ascii="David" w:hAnsi="David" w:cs="David" w:hint="cs"/>
                <w:color w:val="000000"/>
                <w:rtl/>
              </w:rPr>
              <w:t>מינוי סנגור טרם כתב אישום (</w:t>
            </w:r>
            <w:r w:rsidRPr="005034FE">
              <w:rPr>
                <w:rFonts w:ascii="David" w:hAnsi="David" w:cs="David"/>
                <w:color w:val="000000"/>
                <w:rtl/>
              </w:rPr>
              <w:t>מס"ט</w:t>
            </w:r>
            <w:r w:rsidRPr="005034FE">
              <w:rPr>
                <w:rFonts w:ascii="David" w:hAnsi="David" w:cs="David" w:hint="cs"/>
                <w:color w:val="000000"/>
                <w:rtl/>
              </w:rPr>
              <w:t>)</w:t>
            </w:r>
          </w:p>
        </w:tc>
        <w:tc>
          <w:tcPr>
            <w:tcW w:w="1842" w:type="dxa"/>
            <w:shd w:val="clear" w:color="auto" w:fill="D9D9D9"/>
            <w:vAlign w:val="center"/>
          </w:tcPr>
          <w:p w14:paraId="68111FD6" w14:textId="77777777" w:rsidR="00550EA7" w:rsidRPr="005034FE" w:rsidRDefault="00550EA7" w:rsidP="00502795">
            <w:pPr>
              <w:spacing w:after="0" w:line="240" w:lineRule="auto"/>
              <w:jc w:val="center"/>
              <w:rPr>
                <w:rFonts w:cs="David"/>
                <w:color w:val="000000"/>
                <w:rtl/>
              </w:rPr>
            </w:pPr>
            <w:r w:rsidRPr="005034FE">
              <w:rPr>
                <w:rFonts w:ascii="David" w:hAnsi="David" w:cs="David"/>
                <w:color w:val="000000"/>
              </w:rPr>
              <w:t>297</w:t>
            </w:r>
          </w:p>
        </w:tc>
        <w:tc>
          <w:tcPr>
            <w:tcW w:w="1552" w:type="dxa"/>
            <w:shd w:val="clear" w:color="auto" w:fill="D9D9D9"/>
            <w:noWrap/>
            <w:vAlign w:val="center"/>
          </w:tcPr>
          <w:p w14:paraId="73FF4FFF" w14:textId="77777777" w:rsidR="00550EA7" w:rsidRPr="005034FE" w:rsidRDefault="00550EA7" w:rsidP="00502795">
            <w:pPr>
              <w:spacing w:after="0" w:line="240" w:lineRule="auto"/>
              <w:jc w:val="center"/>
              <w:rPr>
                <w:rFonts w:ascii="David" w:hAnsi="David" w:cs="David"/>
                <w:b/>
                <w:bCs/>
                <w:color w:val="000000"/>
              </w:rPr>
            </w:pPr>
            <w:r w:rsidRPr="005034FE">
              <w:rPr>
                <w:rFonts w:ascii="David" w:hAnsi="David" w:cs="David"/>
                <w:b/>
                <w:bCs/>
                <w:color w:val="000000"/>
              </w:rPr>
              <w:t>0:02</w:t>
            </w:r>
          </w:p>
        </w:tc>
        <w:tc>
          <w:tcPr>
            <w:tcW w:w="1417" w:type="dxa"/>
            <w:shd w:val="clear" w:color="auto" w:fill="D9D9D9"/>
            <w:vAlign w:val="center"/>
          </w:tcPr>
          <w:p w14:paraId="24ACE220" w14:textId="77777777" w:rsidR="00550EA7" w:rsidRPr="005034FE" w:rsidRDefault="00550EA7" w:rsidP="00502795">
            <w:pPr>
              <w:spacing w:after="0" w:line="240" w:lineRule="auto"/>
              <w:jc w:val="center"/>
              <w:rPr>
                <w:rFonts w:ascii="David" w:hAnsi="David" w:cs="David"/>
                <w:color w:val="000000"/>
              </w:rPr>
            </w:pPr>
            <w:r w:rsidRPr="005034FE">
              <w:rPr>
                <w:rFonts w:ascii="David" w:hAnsi="David" w:cs="David" w:hint="cs"/>
                <w:color w:val="000000"/>
                <w:rtl/>
              </w:rPr>
              <w:t>1</w:t>
            </w:r>
          </w:p>
        </w:tc>
      </w:tr>
      <w:tr w:rsidR="00550EA7" w:rsidRPr="005034FE" w14:paraId="5F7A21F6" w14:textId="77777777" w:rsidTr="00502795">
        <w:trPr>
          <w:trHeight w:val="274"/>
        </w:trPr>
        <w:tc>
          <w:tcPr>
            <w:tcW w:w="1066" w:type="dxa"/>
            <w:shd w:val="clear" w:color="auto" w:fill="auto"/>
            <w:noWrap/>
            <w:vAlign w:val="center"/>
          </w:tcPr>
          <w:p w14:paraId="165046F2" w14:textId="77777777" w:rsidR="00550EA7" w:rsidRPr="005034FE" w:rsidRDefault="00550EA7" w:rsidP="00502795">
            <w:pPr>
              <w:spacing w:after="0" w:line="240" w:lineRule="auto"/>
              <w:jc w:val="center"/>
              <w:rPr>
                <w:rFonts w:ascii="David" w:hAnsi="David" w:cs="David"/>
                <w:color w:val="000000"/>
              </w:rPr>
            </w:pPr>
            <w:r w:rsidRPr="005034FE">
              <w:rPr>
                <w:rFonts w:ascii="David" w:hAnsi="David" w:cs="David" w:hint="cs"/>
                <w:color w:val="000000"/>
                <w:rtl/>
              </w:rPr>
              <w:t>נוער</w:t>
            </w:r>
          </w:p>
        </w:tc>
        <w:tc>
          <w:tcPr>
            <w:tcW w:w="2913" w:type="dxa"/>
            <w:shd w:val="clear" w:color="auto" w:fill="auto"/>
            <w:vAlign w:val="center"/>
          </w:tcPr>
          <w:p w14:paraId="20BE7FEB" w14:textId="77777777" w:rsidR="00550EA7" w:rsidRPr="005034FE" w:rsidRDefault="00550EA7" w:rsidP="00502795">
            <w:pPr>
              <w:spacing w:after="0" w:line="240" w:lineRule="auto"/>
              <w:rPr>
                <w:rFonts w:ascii="David" w:hAnsi="David" w:cs="David"/>
                <w:color w:val="000000"/>
                <w:rtl/>
              </w:rPr>
            </w:pPr>
            <w:r w:rsidRPr="005034FE">
              <w:rPr>
                <w:rFonts w:ascii="David" w:hAnsi="David" w:cs="David" w:hint="cs"/>
                <w:color w:val="000000"/>
                <w:rtl/>
              </w:rPr>
              <w:t>מינוי סנגור לפי סעיף 60א' (</w:t>
            </w:r>
            <w:r w:rsidRPr="005034FE">
              <w:rPr>
                <w:rFonts w:ascii="David" w:hAnsi="David" w:cs="David"/>
                <w:color w:val="000000"/>
                <w:rtl/>
              </w:rPr>
              <w:t>מ"ס</w:t>
            </w:r>
            <w:r w:rsidRPr="005034FE">
              <w:rPr>
                <w:rFonts w:ascii="David" w:hAnsi="David" w:cs="David" w:hint="cs"/>
                <w:color w:val="000000"/>
                <w:rtl/>
              </w:rPr>
              <w:t>)</w:t>
            </w:r>
          </w:p>
        </w:tc>
        <w:tc>
          <w:tcPr>
            <w:tcW w:w="1842" w:type="dxa"/>
            <w:vAlign w:val="center"/>
          </w:tcPr>
          <w:p w14:paraId="473E1138" w14:textId="77777777" w:rsidR="00550EA7" w:rsidRPr="005034FE" w:rsidRDefault="00550EA7" w:rsidP="00502795">
            <w:pPr>
              <w:spacing w:after="0" w:line="240" w:lineRule="auto"/>
              <w:jc w:val="center"/>
              <w:rPr>
                <w:rFonts w:ascii="David" w:hAnsi="David" w:cs="David"/>
                <w:color w:val="000000"/>
              </w:rPr>
            </w:pPr>
            <w:r w:rsidRPr="005034FE">
              <w:rPr>
                <w:rFonts w:ascii="David" w:hAnsi="David" w:cs="David"/>
                <w:color w:val="000000"/>
              </w:rPr>
              <w:t>148</w:t>
            </w:r>
          </w:p>
        </w:tc>
        <w:tc>
          <w:tcPr>
            <w:tcW w:w="1552" w:type="dxa"/>
            <w:shd w:val="clear" w:color="auto" w:fill="auto"/>
            <w:noWrap/>
            <w:vAlign w:val="center"/>
          </w:tcPr>
          <w:p w14:paraId="332769AF" w14:textId="77777777" w:rsidR="00550EA7" w:rsidRPr="005034FE" w:rsidRDefault="00550EA7" w:rsidP="00502795">
            <w:pPr>
              <w:spacing w:after="0" w:line="240" w:lineRule="auto"/>
              <w:jc w:val="center"/>
              <w:rPr>
                <w:rFonts w:ascii="David" w:hAnsi="David" w:cs="David"/>
                <w:b/>
                <w:bCs/>
                <w:color w:val="000000"/>
                <w:rtl/>
              </w:rPr>
            </w:pPr>
            <w:r w:rsidRPr="005034FE">
              <w:rPr>
                <w:rFonts w:ascii="David" w:hAnsi="David" w:cs="David"/>
                <w:b/>
                <w:bCs/>
                <w:color w:val="000000"/>
              </w:rPr>
              <w:t>0:02</w:t>
            </w:r>
          </w:p>
        </w:tc>
        <w:tc>
          <w:tcPr>
            <w:tcW w:w="1417" w:type="dxa"/>
            <w:vAlign w:val="center"/>
          </w:tcPr>
          <w:p w14:paraId="0A0E3E56" w14:textId="77777777" w:rsidR="00550EA7" w:rsidRPr="005034FE" w:rsidRDefault="00550EA7" w:rsidP="00502795">
            <w:pPr>
              <w:spacing w:after="0" w:line="240" w:lineRule="auto"/>
              <w:jc w:val="center"/>
              <w:rPr>
                <w:rFonts w:ascii="David" w:hAnsi="David" w:cs="David"/>
                <w:color w:val="000000"/>
              </w:rPr>
            </w:pPr>
            <w:r w:rsidRPr="005034FE">
              <w:rPr>
                <w:rFonts w:ascii="David" w:hAnsi="David" w:cs="David" w:hint="cs"/>
                <w:color w:val="000000"/>
                <w:rtl/>
              </w:rPr>
              <w:t>1</w:t>
            </w:r>
          </w:p>
        </w:tc>
      </w:tr>
    </w:tbl>
    <w:p w14:paraId="6B75C776" w14:textId="77777777" w:rsidR="00DD0D4B" w:rsidRPr="00F25744" w:rsidRDefault="00DD0D4B" w:rsidP="00DD0D4B">
      <w:pPr>
        <w:rPr>
          <w:rtl/>
        </w:rPr>
      </w:pPr>
    </w:p>
    <w:p w14:paraId="2071E5B1" w14:textId="77777777" w:rsidR="00DD0D4B" w:rsidRPr="00F25744" w:rsidRDefault="00DD0D4B" w:rsidP="00DD0D4B">
      <w:pPr>
        <w:spacing w:after="0" w:line="360" w:lineRule="auto"/>
        <w:jc w:val="center"/>
        <w:outlineLvl w:val="1"/>
        <w:rPr>
          <w:rFonts w:ascii="David" w:hAnsi="David" w:cs="David"/>
          <w:b/>
          <w:bCs/>
          <w:sz w:val="24"/>
          <w:szCs w:val="24"/>
          <w:u w:val="single"/>
          <w:rtl/>
        </w:rPr>
      </w:pPr>
    </w:p>
    <w:p w14:paraId="4C857976" w14:textId="77777777" w:rsidR="00DD0D4B" w:rsidRPr="00F25744" w:rsidRDefault="00DD0D4B" w:rsidP="00DD0D4B">
      <w:pPr>
        <w:spacing w:after="0" w:line="360" w:lineRule="auto"/>
        <w:jc w:val="center"/>
        <w:outlineLvl w:val="1"/>
        <w:rPr>
          <w:rFonts w:ascii="David" w:hAnsi="David" w:cs="David"/>
          <w:b/>
          <w:bCs/>
          <w:sz w:val="24"/>
          <w:szCs w:val="24"/>
          <w:u w:val="single"/>
          <w:rtl/>
        </w:rPr>
      </w:pPr>
    </w:p>
    <w:p w14:paraId="37918C9E" w14:textId="77777777" w:rsidR="00DD0D4B" w:rsidRPr="00F25744" w:rsidRDefault="00DD0D4B" w:rsidP="00DD0D4B">
      <w:pPr>
        <w:spacing w:after="0" w:line="360" w:lineRule="auto"/>
        <w:jc w:val="center"/>
        <w:outlineLvl w:val="1"/>
        <w:rPr>
          <w:rFonts w:ascii="David" w:hAnsi="David" w:cs="David"/>
          <w:b/>
          <w:bCs/>
          <w:sz w:val="24"/>
          <w:szCs w:val="24"/>
          <w:u w:val="single"/>
          <w:rtl/>
        </w:rPr>
      </w:pPr>
    </w:p>
    <w:p w14:paraId="65CC60B0" w14:textId="77777777" w:rsidR="00DD0D4B" w:rsidRPr="00F25744" w:rsidRDefault="00DD0D4B" w:rsidP="00DD0D4B">
      <w:pPr>
        <w:spacing w:after="0" w:line="360" w:lineRule="auto"/>
        <w:jc w:val="center"/>
        <w:outlineLvl w:val="1"/>
        <w:rPr>
          <w:rFonts w:ascii="David" w:hAnsi="David" w:cs="David"/>
          <w:b/>
          <w:bCs/>
          <w:sz w:val="24"/>
          <w:szCs w:val="24"/>
          <w:u w:val="single"/>
          <w:rtl/>
        </w:rPr>
      </w:pPr>
    </w:p>
    <w:p w14:paraId="6CA6313A" w14:textId="77777777" w:rsidR="00DD0D4B" w:rsidRPr="00F25744" w:rsidRDefault="00DD0D4B" w:rsidP="00DD0D4B">
      <w:pPr>
        <w:spacing w:after="0" w:line="360" w:lineRule="auto"/>
        <w:jc w:val="center"/>
        <w:outlineLvl w:val="1"/>
        <w:rPr>
          <w:rFonts w:ascii="David" w:hAnsi="David" w:cs="David"/>
          <w:b/>
          <w:bCs/>
          <w:sz w:val="24"/>
          <w:szCs w:val="24"/>
          <w:u w:val="single"/>
          <w:rtl/>
        </w:rPr>
      </w:pPr>
    </w:p>
    <w:p w14:paraId="3EBB707C" w14:textId="77777777" w:rsidR="00DD0D4B" w:rsidRPr="00F25744" w:rsidRDefault="00DD0D4B" w:rsidP="00DD0D4B">
      <w:pPr>
        <w:spacing w:after="0" w:line="360" w:lineRule="auto"/>
        <w:jc w:val="center"/>
        <w:outlineLvl w:val="1"/>
        <w:rPr>
          <w:rFonts w:ascii="David" w:hAnsi="David" w:cs="David"/>
          <w:b/>
          <w:bCs/>
          <w:sz w:val="24"/>
          <w:szCs w:val="24"/>
          <w:u w:val="single"/>
          <w:rtl/>
        </w:rPr>
      </w:pPr>
    </w:p>
    <w:p w14:paraId="37D72CF9" w14:textId="77777777" w:rsidR="00DD0D4B" w:rsidRPr="00F25744" w:rsidRDefault="00DD0D4B" w:rsidP="00DD0D4B">
      <w:pPr>
        <w:spacing w:after="0" w:line="360" w:lineRule="auto"/>
        <w:jc w:val="center"/>
        <w:outlineLvl w:val="1"/>
        <w:rPr>
          <w:rFonts w:ascii="David" w:hAnsi="David" w:cs="David"/>
          <w:b/>
          <w:bCs/>
          <w:sz w:val="24"/>
          <w:szCs w:val="24"/>
          <w:u w:val="single"/>
          <w:rtl/>
        </w:rPr>
      </w:pPr>
    </w:p>
    <w:p w14:paraId="54E523D3" w14:textId="77777777" w:rsidR="00DD0D4B" w:rsidRPr="00F25744" w:rsidRDefault="00DD0D4B" w:rsidP="00DD0D4B">
      <w:pPr>
        <w:spacing w:after="0" w:line="360" w:lineRule="auto"/>
        <w:jc w:val="center"/>
        <w:outlineLvl w:val="1"/>
        <w:rPr>
          <w:rFonts w:ascii="David" w:hAnsi="David" w:cs="David"/>
          <w:b/>
          <w:bCs/>
          <w:sz w:val="24"/>
          <w:szCs w:val="24"/>
          <w:u w:val="single"/>
          <w:rtl/>
        </w:rPr>
      </w:pPr>
    </w:p>
    <w:p w14:paraId="759C278C" w14:textId="77777777" w:rsidR="0043255F" w:rsidRPr="00F25744" w:rsidRDefault="0043255F" w:rsidP="00DD0D4B">
      <w:pPr>
        <w:spacing w:after="0" w:line="360" w:lineRule="auto"/>
        <w:jc w:val="center"/>
        <w:outlineLvl w:val="1"/>
        <w:rPr>
          <w:rFonts w:ascii="David" w:hAnsi="David" w:cs="David"/>
          <w:b/>
          <w:bCs/>
          <w:sz w:val="24"/>
          <w:szCs w:val="24"/>
          <w:u w:val="single"/>
          <w:rtl/>
        </w:rPr>
      </w:pPr>
    </w:p>
    <w:p w14:paraId="02A61428" w14:textId="77777777" w:rsidR="0043255F" w:rsidRPr="00F25744" w:rsidRDefault="0043255F" w:rsidP="00DD0D4B">
      <w:pPr>
        <w:spacing w:after="0" w:line="360" w:lineRule="auto"/>
        <w:jc w:val="center"/>
        <w:outlineLvl w:val="1"/>
        <w:rPr>
          <w:rFonts w:ascii="David" w:hAnsi="David" w:cs="David"/>
          <w:b/>
          <w:bCs/>
          <w:sz w:val="24"/>
          <w:szCs w:val="24"/>
          <w:u w:val="single"/>
          <w:rtl/>
        </w:rPr>
      </w:pPr>
    </w:p>
    <w:p w14:paraId="38600465" w14:textId="77777777" w:rsidR="000B27AF" w:rsidRPr="00F25744" w:rsidRDefault="000B27AF">
      <w:pPr>
        <w:bidi w:val="0"/>
        <w:spacing w:after="0" w:line="240" w:lineRule="auto"/>
        <w:rPr>
          <w:rFonts w:ascii="David" w:hAnsi="David" w:cs="David"/>
          <w:b/>
          <w:bCs/>
          <w:sz w:val="24"/>
          <w:szCs w:val="24"/>
          <w:u w:val="single"/>
          <w:rtl/>
        </w:rPr>
      </w:pPr>
      <w:r w:rsidRPr="00F25744">
        <w:rPr>
          <w:rtl/>
        </w:rPr>
        <w:br w:type="page"/>
      </w:r>
    </w:p>
    <w:p w14:paraId="56956392" w14:textId="77777777" w:rsidR="00DD0D4B" w:rsidRPr="00F25744" w:rsidRDefault="00E25AE7" w:rsidP="0043255F">
      <w:pPr>
        <w:pStyle w:val="2"/>
        <w:numPr>
          <w:ilvl w:val="0"/>
          <w:numId w:val="0"/>
        </w:numPr>
        <w:ind w:left="360"/>
        <w:rPr>
          <w:rtl/>
        </w:rPr>
      </w:pPr>
      <w:bookmarkStart w:id="1023" w:name="_Toc74751067"/>
      <w:r w:rsidRPr="00F25744">
        <w:rPr>
          <w:rFonts w:hint="cs"/>
          <w:rtl/>
        </w:rPr>
        <w:lastRenderedPageBreak/>
        <w:t xml:space="preserve">נספח ו': </w:t>
      </w:r>
      <w:r w:rsidRPr="00F25744">
        <w:rPr>
          <w:rtl/>
        </w:rPr>
        <w:t>סוגי העניין בתיקי סדר דין רגיל (ת"א) בערכאת המחוזי והקטגוריות שקובצו אליהן</w:t>
      </w:r>
      <w:bookmarkEnd w:id="1023"/>
    </w:p>
    <w:p w14:paraId="3C19B074" w14:textId="77777777" w:rsidR="00DD0D4B" w:rsidRPr="00F25744" w:rsidRDefault="00DD0D4B" w:rsidP="00DD0D4B">
      <w:pPr>
        <w:rPr>
          <w:rtl/>
        </w:rPr>
      </w:pPr>
    </w:p>
    <w:tbl>
      <w:tblPr>
        <w:bidiVisual/>
        <w:tblW w:w="8663" w:type="dxa"/>
        <w:tblInd w:w="396" w:type="dxa"/>
        <w:tblBorders>
          <w:insideH w:val="single" w:sz="4" w:space="0" w:color="auto"/>
        </w:tblBorders>
        <w:tblLook w:val="04A0" w:firstRow="1" w:lastRow="0" w:firstColumn="1" w:lastColumn="0" w:noHBand="0" w:noVBand="1"/>
      </w:tblPr>
      <w:tblGrid>
        <w:gridCol w:w="5013"/>
        <w:gridCol w:w="3650"/>
      </w:tblGrid>
      <w:tr w:rsidR="00E0162E" w:rsidRPr="00F25744" w14:paraId="7F6E8923" w14:textId="77777777" w:rsidTr="009D01CF">
        <w:tc>
          <w:tcPr>
            <w:tcW w:w="5013" w:type="dxa"/>
            <w:shd w:val="clear" w:color="auto" w:fill="auto"/>
          </w:tcPr>
          <w:p w14:paraId="409338DE" w14:textId="77777777" w:rsidR="00DD0D4B" w:rsidRPr="00F25744" w:rsidRDefault="00E25AE7" w:rsidP="00DD0D4B">
            <w:pPr>
              <w:spacing w:after="0"/>
              <w:rPr>
                <w:rFonts w:ascii="David" w:hAnsi="David" w:cs="David"/>
                <w:b/>
                <w:bCs/>
                <w:sz w:val="24"/>
                <w:szCs w:val="24"/>
                <w:rtl/>
              </w:rPr>
            </w:pPr>
            <w:r w:rsidRPr="00F25744">
              <w:rPr>
                <w:rFonts w:ascii="David" w:hAnsi="David" w:cs="David"/>
                <w:b/>
                <w:bCs/>
                <w:sz w:val="24"/>
                <w:szCs w:val="24"/>
                <w:rtl/>
              </w:rPr>
              <w:t>סוג עניין כפי שמופיע בנט-המשפט</w:t>
            </w:r>
          </w:p>
        </w:tc>
        <w:tc>
          <w:tcPr>
            <w:tcW w:w="3650" w:type="dxa"/>
            <w:shd w:val="clear" w:color="auto" w:fill="auto"/>
          </w:tcPr>
          <w:p w14:paraId="6AF9779C" w14:textId="77777777" w:rsidR="00DD0D4B" w:rsidRPr="00F25744" w:rsidRDefault="00E25AE7" w:rsidP="00DD0D4B">
            <w:pPr>
              <w:spacing w:after="0"/>
              <w:rPr>
                <w:rFonts w:ascii="David" w:hAnsi="David" w:cs="David"/>
                <w:b/>
                <w:bCs/>
                <w:sz w:val="24"/>
                <w:szCs w:val="24"/>
                <w:rtl/>
              </w:rPr>
            </w:pPr>
            <w:r w:rsidRPr="00F25744">
              <w:rPr>
                <w:rFonts w:ascii="David" w:hAnsi="David" w:cs="David"/>
                <w:b/>
                <w:bCs/>
                <w:sz w:val="24"/>
                <w:szCs w:val="24"/>
                <w:rtl/>
              </w:rPr>
              <w:t xml:space="preserve">סוגי עניין לאחר קיבוץ לקטגוריות </w:t>
            </w:r>
          </w:p>
        </w:tc>
      </w:tr>
      <w:tr w:rsidR="00E0162E" w:rsidRPr="00F25744" w14:paraId="6C803E0B" w14:textId="77777777" w:rsidTr="009D01CF">
        <w:tc>
          <w:tcPr>
            <w:tcW w:w="5013" w:type="dxa"/>
            <w:shd w:val="clear" w:color="auto" w:fill="auto"/>
            <w:vAlign w:val="bottom"/>
          </w:tcPr>
          <w:p w14:paraId="4E901274" w14:textId="77777777" w:rsidR="00DD0D4B" w:rsidRPr="00F25744" w:rsidRDefault="00E25AE7" w:rsidP="00DD0D4B">
            <w:pPr>
              <w:spacing w:after="0"/>
              <w:rPr>
                <w:rFonts w:ascii="David" w:hAnsi="David" w:cs="David"/>
                <w:color w:val="000000"/>
                <w:sz w:val="24"/>
                <w:szCs w:val="24"/>
              </w:rPr>
            </w:pPr>
            <w:r w:rsidRPr="00F25744">
              <w:rPr>
                <w:rFonts w:ascii="David" w:hAnsi="David" w:cs="David"/>
                <w:color w:val="000000"/>
                <w:sz w:val="24"/>
                <w:szCs w:val="24"/>
                <w:rtl/>
              </w:rPr>
              <w:t>בנקים ואשראי</w:t>
            </w:r>
          </w:p>
        </w:tc>
        <w:tc>
          <w:tcPr>
            <w:tcW w:w="3650" w:type="dxa"/>
            <w:shd w:val="clear" w:color="auto" w:fill="auto"/>
          </w:tcPr>
          <w:p w14:paraId="0820C708" w14:textId="77777777" w:rsidR="00DD0D4B" w:rsidRPr="00F25744" w:rsidRDefault="00E25AE7" w:rsidP="00DD0D4B">
            <w:pPr>
              <w:spacing w:after="0"/>
              <w:rPr>
                <w:rFonts w:ascii="David" w:hAnsi="David" w:cs="David"/>
                <w:sz w:val="24"/>
                <w:szCs w:val="24"/>
                <w:rtl/>
              </w:rPr>
            </w:pPr>
            <w:r w:rsidRPr="00F25744">
              <w:rPr>
                <w:rFonts w:ascii="David" w:hAnsi="David" w:cs="David"/>
                <w:sz w:val="24"/>
                <w:szCs w:val="24"/>
                <w:rtl/>
              </w:rPr>
              <w:t>תביעה כספית</w:t>
            </w:r>
          </w:p>
        </w:tc>
      </w:tr>
      <w:tr w:rsidR="00E0162E" w:rsidRPr="00F25744" w14:paraId="146C94A8" w14:textId="77777777" w:rsidTr="009D01CF">
        <w:tc>
          <w:tcPr>
            <w:tcW w:w="5013" w:type="dxa"/>
            <w:shd w:val="clear" w:color="auto" w:fill="auto"/>
            <w:vAlign w:val="bottom"/>
          </w:tcPr>
          <w:p w14:paraId="0ED9186C"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הסדר מקרקעין</w:t>
            </w:r>
          </w:p>
        </w:tc>
        <w:tc>
          <w:tcPr>
            <w:tcW w:w="3650" w:type="dxa"/>
            <w:shd w:val="clear" w:color="auto" w:fill="auto"/>
          </w:tcPr>
          <w:p w14:paraId="398A946B" w14:textId="77777777" w:rsidR="00DD0D4B" w:rsidRPr="00F25744" w:rsidRDefault="00E25AE7" w:rsidP="00DD0D4B">
            <w:pPr>
              <w:spacing w:after="0"/>
              <w:rPr>
                <w:rFonts w:ascii="David" w:hAnsi="David" w:cs="David"/>
                <w:sz w:val="24"/>
                <w:szCs w:val="24"/>
                <w:rtl/>
              </w:rPr>
            </w:pPr>
            <w:r w:rsidRPr="00F25744">
              <w:rPr>
                <w:rFonts w:ascii="David" w:hAnsi="David" w:cs="David"/>
                <w:sz w:val="24"/>
                <w:szCs w:val="24"/>
                <w:rtl/>
              </w:rPr>
              <w:t>מקרקעין</w:t>
            </w:r>
          </w:p>
        </w:tc>
      </w:tr>
      <w:tr w:rsidR="00E0162E" w:rsidRPr="00F25744" w14:paraId="73B52C49" w14:textId="77777777" w:rsidTr="009D01CF">
        <w:tc>
          <w:tcPr>
            <w:tcW w:w="5013" w:type="dxa"/>
            <w:shd w:val="clear" w:color="auto" w:fill="auto"/>
            <w:vAlign w:val="bottom"/>
          </w:tcPr>
          <w:p w14:paraId="248FA4F5" w14:textId="77777777" w:rsidR="00DD0D4B" w:rsidRPr="00F25744" w:rsidRDefault="00E25AE7" w:rsidP="00DD0D4B">
            <w:pPr>
              <w:spacing w:after="0"/>
              <w:rPr>
                <w:rFonts w:ascii="David" w:hAnsi="David" w:cs="David"/>
                <w:color w:val="000000"/>
                <w:sz w:val="24"/>
                <w:szCs w:val="24"/>
              </w:rPr>
            </w:pPr>
            <w:r w:rsidRPr="00F25744">
              <w:rPr>
                <w:rFonts w:ascii="David" w:hAnsi="David" w:cs="David"/>
                <w:color w:val="000000"/>
                <w:sz w:val="24"/>
                <w:szCs w:val="24"/>
                <w:rtl/>
              </w:rPr>
              <w:t>התנגדות לביצוע שטר</w:t>
            </w:r>
          </w:p>
        </w:tc>
        <w:tc>
          <w:tcPr>
            <w:tcW w:w="3650" w:type="dxa"/>
            <w:shd w:val="clear" w:color="auto" w:fill="auto"/>
          </w:tcPr>
          <w:p w14:paraId="35B82020" w14:textId="77777777" w:rsidR="00DD0D4B" w:rsidRPr="00F25744" w:rsidRDefault="00E25AE7" w:rsidP="00DD0D4B">
            <w:pPr>
              <w:spacing w:after="0"/>
              <w:rPr>
                <w:rFonts w:ascii="David" w:hAnsi="David" w:cs="David"/>
                <w:sz w:val="24"/>
                <w:szCs w:val="24"/>
                <w:rtl/>
              </w:rPr>
            </w:pPr>
            <w:r w:rsidRPr="00F25744">
              <w:rPr>
                <w:rFonts w:ascii="David" w:hAnsi="David" w:cs="David"/>
                <w:sz w:val="24"/>
                <w:szCs w:val="24"/>
                <w:rtl/>
              </w:rPr>
              <w:t>אחר</w:t>
            </w:r>
          </w:p>
        </w:tc>
      </w:tr>
      <w:tr w:rsidR="00E0162E" w:rsidRPr="00F25744" w14:paraId="37EE0A89" w14:textId="77777777" w:rsidTr="009D01CF">
        <w:tc>
          <w:tcPr>
            <w:tcW w:w="5013" w:type="dxa"/>
            <w:shd w:val="clear" w:color="auto" w:fill="auto"/>
            <w:vAlign w:val="bottom"/>
          </w:tcPr>
          <w:p w14:paraId="0870E35C"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חוזים</w:t>
            </w:r>
          </w:p>
        </w:tc>
        <w:tc>
          <w:tcPr>
            <w:tcW w:w="3650" w:type="dxa"/>
            <w:shd w:val="clear" w:color="auto" w:fill="auto"/>
          </w:tcPr>
          <w:p w14:paraId="6DCEF731" w14:textId="77777777" w:rsidR="00DD0D4B" w:rsidRPr="00F25744" w:rsidRDefault="00E25AE7" w:rsidP="00DD0D4B">
            <w:pPr>
              <w:spacing w:after="0"/>
              <w:rPr>
                <w:rFonts w:ascii="David" w:hAnsi="David" w:cs="David"/>
                <w:sz w:val="24"/>
                <w:szCs w:val="24"/>
                <w:rtl/>
              </w:rPr>
            </w:pPr>
            <w:r w:rsidRPr="00F25744">
              <w:rPr>
                <w:rFonts w:ascii="David" w:hAnsi="David" w:cs="David"/>
                <w:sz w:val="24"/>
                <w:szCs w:val="24"/>
                <w:rtl/>
              </w:rPr>
              <w:t>תביעה כספית</w:t>
            </w:r>
          </w:p>
        </w:tc>
      </w:tr>
      <w:tr w:rsidR="00E0162E" w:rsidRPr="00F25744" w14:paraId="0A5CCF7E" w14:textId="77777777" w:rsidTr="009D01CF">
        <w:tc>
          <w:tcPr>
            <w:tcW w:w="5013" w:type="dxa"/>
            <w:shd w:val="clear" w:color="auto" w:fill="auto"/>
            <w:vAlign w:val="bottom"/>
          </w:tcPr>
          <w:p w14:paraId="42170DCD"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כספית - נגררת לפלילים</w:t>
            </w:r>
          </w:p>
        </w:tc>
        <w:tc>
          <w:tcPr>
            <w:tcW w:w="3650" w:type="dxa"/>
            <w:shd w:val="clear" w:color="auto" w:fill="auto"/>
          </w:tcPr>
          <w:p w14:paraId="097937C2" w14:textId="77777777" w:rsidR="00DD0D4B" w:rsidRPr="00F25744" w:rsidRDefault="00E25AE7" w:rsidP="00DD0D4B">
            <w:pPr>
              <w:spacing w:after="0"/>
              <w:rPr>
                <w:rFonts w:ascii="David" w:hAnsi="David" w:cs="David"/>
                <w:sz w:val="24"/>
                <w:szCs w:val="24"/>
                <w:rtl/>
              </w:rPr>
            </w:pPr>
            <w:r w:rsidRPr="00F25744">
              <w:rPr>
                <w:rFonts w:ascii="David" w:hAnsi="David" w:cs="David"/>
                <w:sz w:val="24"/>
                <w:szCs w:val="24"/>
                <w:rtl/>
              </w:rPr>
              <w:t>תביעה כספית</w:t>
            </w:r>
          </w:p>
        </w:tc>
      </w:tr>
      <w:tr w:rsidR="00E0162E" w:rsidRPr="00F25744" w14:paraId="79AC67B3" w14:textId="77777777" w:rsidTr="009D01CF">
        <w:tc>
          <w:tcPr>
            <w:tcW w:w="5013" w:type="dxa"/>
            <w:shd w:val="clear" w:color="auto" w:fill="auto"/>
            <w:vAlign w:val="bottom"/>
          </w:tcPr>
          <w:p w14:paraId="2590C93A"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לשון הרע</w:t>
            </w:r>
          </w:p>
        </w:tc>
        <w:tc>
          <w:tcPr>
            <w:tcW w:w="3650" w:type="dxa"/>
            <w:shd w:val="clear" w:color="auto" w:fill="auto"/>
          </w:tcPr>
          <w:p w14:paraId="3E846F3E" w14:textId="77777777" w:rsidR="00DD0D4B" w:rsidRPr="00F25744" w:rsidRDefault="00E25AE7" w:rsidP="00DD0D4B">
            <w:pPr>
              <w:spacing w:after="0"/>
              <w:rPr>
                <w:rFonts w:ascii="David" w:hAnsi="David" w:cs="David"/>
                <w:sz w:val="24"/>
                <w:szCs w:val="24"/>
                <w:rtl/>
              </w:rPr>
            </w:pPr>
            <w:r w:rsidRPr="00F25744">
              <w:rPr>
                <w:rFonts w:ascii="David" w:hAnsi="David" w:cs="David"/>
                <w:sz w:val="24"/>
                <w:szCs w:val="24"/>
                <w:rtl/>
              </w:rPr>
              <w:t>נזיקין שאיננה נזקי גוף</w:t>
            </w:r>
          </w:p>
        </w:tc>
      </w:tr>
      <w:tr w:rsidR="00E0162E" w:rsidRPr="00F25744" w14:paraId="00289DEA" w14:textId="77777777" w:rsidTr="009D01CF">
        <w:tc>
          <w:tcPr>
            <w:tcW w:w="5013" w:type="dxa"/>
            <w:shd w:val="clear" w:color="auto" w:fill="auto"/>
            <w:vAlign w:val="bottom"/>
          </w:tcPr>
          <w:p w14:paraId="6613377C"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מקרקעין</w:t>
            </w:r>
          </w:p>
        </w:tc>
        <w:tc>
          <w:tcPr>
            <w:tcW w:w="3650" w:type="dxa"/>
            <w:shd w:val="clear" w:color="auto" w:fill="auto"/>
          </w:tcPr>
          <w:p w14:paraId="0A447AD3" w14:textId="77777777" w:rsidR="00DD0D4B" w:rsidRPr="00F25744" w:rsidRDefault="00E25AE7" w:rsidP="00DD0D4B">
            <w:pPr>
              <w:spacing w:after="0"/>
              <w:rPr>
                <w:rFonts w:ascii="David" w:hAnsi="David" w:cs="David"/>
                <w:sz w:val="24"/>
                <w:szCs w:val="24"/>
                <w:rtl/>
              </w:rPr>
            </w:pPr>
            <w:r w:rsidRPr="00F25744">
              <w:rPr>
                <w:rFonts w:ascii="David" w:hAnsi="David" w:cs="David"/>
                <w:sz w:val="24"/>
                <w:szCs w:val="24"/>
                <w:rtl/>
              </w:rPr>
              <w:t>מקרקעין</w:t>
            </w:r>
          </w:p>
        </w:tc>
      </w:tr>
      <w:tr w:rsidR="00E0162E" w:rsidRPr="00F25744" w14:paraId="58A745CD" w14:textId="77777777" w:rsidTr="009D01CF">
        <w:tc>
          <w:tcPr>
            <w:tcW w:w="5013" w:type="dxa"/>
            <w:shd w:val="clear" w:color="auto" w:fill="auto"/>
            <w:vAlign w:val="bottom"/>
          </w:tcPr>
          <w:p w14:paraId="313EC265"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נזקי גוף</w:t>
            </w:r>
          </w:p>
        </w:tc>
        <w:tc>
          <w:tcPr>
            <w:tcW w:w="3650" w:type="dxa"/>
            <w:shd w:val="clear" w:color="auto" w:fill="auto"/>
          </w:tcPr>
          <w:p w14:paraId="4FB472DC" w14:textId="77777777" w:rsidR="00DD0D4B" w:rsidRPr="00F25744" w:rsidRDefault="00E25AE7" w:rsidP="00DD0D4B">
            <w:pPr>
              <w:spacing w:after="0"/>
              <w:rPr>
                <w:rFonts w:ascii="David" w:hAnsi="David" w:cs="David"/>
                <w:sz w:val="24"/>
                <w:szCs w:val="24"/>
                <w:rtl/>
              </w:rPr>
            </w:pPr>
            <w:r w:rsidRPr="00F25744">
              <w:rPr>
                <w:rFonts w:ascii="David" w:hAnsi="David" w:cs="David"/>
                <w:sz w:val="24"/>
                <w:szCs w:val="24"/>
                <w:rtl/>
              </w:rPr>
              <w:t>נזקי גוף</w:t>
            </w:r>
          </w:p>
        </w:tc>
      </w:tr>
      <w:tr w:rsidR="00E0162E" w:rsidRPr="00F25744" w14:paraId="57CCB994" w14:textId="77777777" w:rsidTr="009D01CF">
        <w:tc>
          <w:tcPr>
            <w:tcW w:w="5013" w:type="dxa"/>
            <w:shd w:val="clear" w:color="auto" w:fill="auto"/>
            <w:vAlign w:val="bottom"/>
          </w:tcPr>
          <w:p w14:paraId="242DA82F"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נזקי גוף (ח)</w:t>
            </w:r>
          </w:p>
        </w:tc>
        <w:tc>
          <w:tcPr>
            <w:tcW w:w="3650" w:type="dxa"/>
            <w:shd w:val="clear" w:color="auto" w:fill="auto"/>
          </w:tcPr>
          <w:p w14:paraId="0699DD55" w14:textId="77777777" w:rsidR="00DD0D4B" w:rsidRPr="00F25744" w:rsidRDefault="00E25AE7" w:rsidP="00DD0D4B">
            <w:pPr>
              <w:spacing w:after="0"/>
              <w:rPr>
                <w:rFonts w:ascii="David" w:hAnsi="David" w:cs="David"/>
                <w:sz w:val="24"/>
                <w:szCs w:val="24"/>
              </w:rPr>
            </w:pPr>
            <w:r w:rsidRPr="00F25744">
              <w:rPr>
                <w:rFonts w:ascii="David" w:hAnsi="David" w:cs="David"/>
                <w:sz w:val="24"/>
                <w:szCs w:val="24"/>
                <w:rtl/>
              </w:rPr>
              <w:t>נזקי גוף</w:t>
            </w:r>
          </w:p>
        </w:tc>
      </w:tr>
      <w:tr w:rsidR="00E0162E" w:rsidRPr="00F25744" w14:paraId="11E1E2FD" w14:textId="77777777" w:rsidTr="009D01CF">
        <w:tc>
          <w:tcPr>
            <w:tcW w:w="5013" w:type="dxa"/>
            <w:shd w:val="clear" w:color="auto" w:fill="auto"/>
            <w:vAlign w:val="bottom"/>
          </w:tcPr>
          <w:p w14:paraId="63F84957"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נזקי גוף - פיצוי עונשי פעולות טרור</w:t>
            </w:r>
          </w:p>
        </w:tc>
        <w:tc>
          <w:tcPr>
            <w:tcW w:w="3650" w:type="dxa"/>
            <w:shd w:val="clear" w:color="auto" w:fill="auto"/>
          </w:tcPr>
          <w:p w14:paraId="472281FF" w14:textId="77777777" w:rsidR="00DD0D4B" w:rsidRPr="00F25744" w:rsidRDefault="00E25AE7" w:rsidP="00DD0D4B">
            <w:pPr>
              <w:spacing w:after="0"/>
              <w:rPr>
                <w:rFonts w:ascii="David" w:hAnsi="David" w:cs="David"/>
                <w:sz w:val="24"/>
                <w:szCs w:val="24"/>
              </w:rPr>
            </w:pPr>
            <w:r w:rsidRPr="00F25744">
              <w:rPr>
                <w:rFonts w:ascii="David" w:hAnsi="David" w:cs="David"/>
                <w:sz w:val="24"/>
                <w:szCs w:val="24"/>
                <w:rtl/>
              </w:rPr>
              <w:t>נזקי גוף</w:t>
            </w:r>
          </w:p>
        </w:tc>
      </w:tr>
      <w:tr w:rsidR="00E0162E" w:rsidRPr="00F25744" w14:paraId="56F05298" w14:textId="77777777" w:rsidTr="009D01CF">
        <w:tc>
          <w:tcPr>
            <w:tcW w:w="5013" w:type="dxa"/>
            <w:shd w:val="clear" w:color="auto" w:fill="auto"/>
            <w:vAlign w:val="bottom"/>
          </w:tcPr>
          <w:p w14:paraId="21CDC51A"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נזקי גוף - פיצוי עונשי פעולות טרור (ח)</w:t>
            </w:r>
          </w:p>
        </w:tc>
        <w:tc>
          <w:tcPr>
            <w:tcW w:w="3650" w:type="dxa"/>
            <w:shd w:val="clear" w:color="auto" w:fill="auto"/>
          </w:tcPr>
          <w:p w14:paraId="6E0F2AF8" w14:textId="77777777" w:rsidR="00DD0D4B" w:rsidRPr="00F25744" w:rsidRDefault="00E25AE7" w:rsidP="00DD0D4B">
            <w:pPr>
              <w:spacing w:after="0"/>
              <w:rPr>
                <w:rFonts w:ascii="David" w:hAnsi="David" w:cs="David"/>
                <w:sz w:val="24"/>
                <w:szCs w:val="24"/>
              </w:rPr>
            </w:pPr>
            <w:r w:rsidRPr="00F25744">
              <w:rPr>
                <w:rFonts w:ascii="David" w:hAnsi="David" w:cs="David"/>
                <w:sz w:val="24"/>
                <w:szCs w:val="24"/>
                <w:rtl/>
              </w:rPr>
              <w:t>נזקי גוף</w:t>
            </w:r>
          </w:p>
        </w:tc>
      </w:tr>
      <w:tr w:rsidR="00E0162E" w:rsidRPr="00F25744" w14:paraId="44DF4389" w14:textId="77777777" w:rsidTr="009D01CF">
        <w:tc>
          <w:tcPr>
            <w:tcW w:w="5013" w:type="dxa"/>
            <w:shd w:val="clear" w:color="auto" w:fill="auto"/>
            <w:vAlign w:val="bottom"/>
          </w:tcPr>
          <w:p w14:paraId="5C9D7DA3"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נזקי גוף - רשלנות רפואית</w:t>
            </w:r>
          </w:p>
        </w:tc>
        <w:tc>
          <w:tcPr>
            <w:tcW w:w="3650" w:type="dxa"/>
            <w:shd w:val="clear" w:color="auto" w:fill="auto"/>
          </w:tcPr>
          <w:p w14:paraId="20E9D00D" w14:textId="77777777" w:rsidR="00DD0D4B" w:rsidRPr="00F25744" w:rsidRDefault="00E25AE7" w:rsidP="00DD0D4B">
            <w:pPr>
              <w:spacing w:after="0"/>
              <w:rPr>
                <w:rFonts w:ascii="David" w:hAnsi="David" w:cs="David"/>
                <w:sz w:val="24"/>
                <w:szCs w:val="24"/>
                <w:rtl/>
              </w:rPr>
            </w:pPr>
            <w:r w:rsidRPr="00F25744">
              <w:rPr>
                <w:rFonts w:ascii="David" w:hAnsi="David" w:cs="David"/>
                <w:sz w:val="24"/>
                <w:szCs w:val="24"/>
                <w:rtl/>
              </w:rPr>
              <w:t>רשלנות רפואית</w:t>
            </w:r>
          </w:p>
        </w:tc>
      </w:tr>
      <w:tr w:rsidR="00E0162E" w:rsidRPr="00F25744" w14:paraId="6BF9E6B0" w14:textId="77777777" w:rsidTr="009D01CF">
        <w:tc>
          <w:tcPr>
            <w:tcW w:w="5013" w:type="dxa"/>
            <w:shd w:val="clear" w:color="auto" w:fill="auto"/>
            <w:vAlign w:val="bottom"/>
          </w:tcPr>
          <w:p w14:paraId="442EBD2E"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נזקי גוף - רשלנות רפואית (ח)</w:t>
            </w:r>
          </w:p>
        </w:tc>
        <w:tc>
          <w:tcPr>
            <w:tcW w:w="3650" w:type="dxa"/>
            <w:shd w:val="clear" w:color="auto" w:fill="auto"/>
          </w:tcPr>
          <w:p w14:paraId="501C6274" w14:textId="77777777" w:rsidR="00DD0D4B" w:rsidRPr="00F25744" w:rsidRDefault="00E25AE7" w:rsidP="00DD0D4B">
            <w:pPr>
              <w:spacing w:after="0"/>
              <w:rPr>
                <w:rFonts w:ascii="David" w:hAnsi="David" w:cs="David"/>
                <w:sz w:val="24"/>
                <w:szCs w:val="24"/>
                <w:rtl/>
              </w:rPr>
            </w:pPr>
            <w:r w:rsidRPr="00F25744">
              <w:rPr>
                <w:rFonts w:ascii="David" w:hAnsi="David" w:cs="David"/>
                <w:sz w:val="24"/>
                <w:szCs w:val="24"/>
                <w:rtl/>
              </w:rPr>
              <w:t>רשלנות רפואית</w:t>
            </w:r>
          </w:p>
        </w:tc>
      </w:tr>
      <w:tr w:rsidR="00E0162E" w:rsidRPr="00F25744" w14:paraId="22983EAB" w14:textId="77777777" w:rsidTr="009D01CF">
        <w:tc>
          <w:tcPr>
            <w:tcW w:w="5013" w:type="dxa"/>
            <w:shd w:val="clear" w:color="auto" w:fill="auto"/>
            <w:vAlign w:val="bottom"/>
          </w:tcPr>
          <w:p w14:paraId="6D13D303"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נזקי גוף - תביעה אזרחית נגררת לפלילים</w:t>
            </w:r>
          </w:p>
        </w:tc>
        <w:tc>
          <w:tcPr>
            <w:tcW w:w="3650" w:type="dxa"/>
            <w:shd w:val="clear" w:color="auto" w:fill="auto"/>
          </w:tcPr>
          <w:p w14:paraId="2C931BA4" w14:textId="77777777" w:rsidR="00DD0D4B" w:rsidRPr="00F25744" w:rsidRDefault="00E25AE7" w:rsidP="00DD0D4B">
            <w:pPr>
              <w:spacing w:after="0"/>
              <w:rPr>
                <w:rFonts w:ascii="David" w:hAnsi="David" w:cs="David"/>
                <w:sz w:val="24"/>
                <w:szCs w:val="24"/>
              </w:rPr>
            </w:pPr>
            <w:r w:rsidRPr="00F25744">
              <w:rPr>
                <w:rFonts w:ascii="David" w:hAnsi="David" w:cs="David"/>
                <w:sz w:val="24"/>
                <w:szCs w:val="24"/>
                <w:rtl/>
              </w:rPr>
              <w:t>נזקי גוף</w:t>
            </w:r>
          </w:p>
        </w:tc>
      </w:tr>
      <w:tr w:rsidR="00E0162E" w:rsidRPr="00F25744" w14:paraId="257C67C6" w14:textId="77777777" w:rsidTr="009D01CF">
        <w:tc>
          <w:tcPr>
            <w:tcW w:w="5013" w:type="dxa"/>
            <w:shd w:val="clear" w:color="auto" w:fill="auto"/>
            <w:vAlign w:val="bottom"/>
          </w:tcPr>
          <w:p w14:paraId="45A8E2AA"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נזקי גוף - תביעה אזרחית נגררת לפלילים (ח)</w:t>
            </w:r>
          </w:p>
        </w:tc>
        <w:tc>
          <w:tcPr>
            <w:tcW w:w="3650" w:type="dxa"/>
            <w:shd w:val="clear" w:color="auto" w:fill="auto"/>
          </w:tcPr>
          <w:p w14:paraId="7B0C649A" w14:textId="77777777" w:rsidR="00DD0D4B" w:rsidRPr="00F25744" w:rsidRDefault="00E25AE7" w:rsidP="00DD0D4B">
            <w:pPr>
              <w:spacing w:after="0"/>
              <w:rPr>
                <w:rFonts w:ascii="David" w:hAnsi="David" w:cs="David"/>
                <w:sz w:val="24"/>
                <w:szCs w:val="24"/>
              </w:rPr>
            </w:pPr>
            <w:r w:rsidRPr="00F25744">
              <w:rPr>
                <w:rFonts w:ascii="David" w:hAnsi="David" w:cs="David"/>
                <w:sz w:val="24"/>
                <w:szCs w:val="24"/>
                <w:rtl/>
              </w:rPr>
              <w:t>נזקי גוף</w:t>
            </w:r>
          </w:p>
        </w:tc>
      </w:tr>
      <w:tr w:rsidR="00E0162E" w:rsidRPr="00F25744" w14:paraId="2E5A371C" w14:textId="77777777" w:rsidTr="009D01CF">
        <w:tc>
          <w:tcPr>
            <w:tcW w:w="5013" w:type="dxa"/>
            <w:shd w:val="clear" w:color="auto" w:fill="auto"/>
            <w:vAlign w:val="bottom"/>
          </w:tcPr>
          <w:p w14:paraId="30A5EC46"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נזקי גוף וכספי</w:t>
            </w:r>
          </w:p>
        </w:tc>
        <w:tc>
          <w:tcPr>
            <w:tcW w:w="3650" w:type="dxa"/>
            <w:shd w:val="clear" w:color="auto" w:fill="auto"/>
          </w:tcPr>
          <w:p w14:paraId="68660EFF" w14:textId="77777777" w:rsidR="00DD0D4B" w:rsidRPr="00F25744" w:rsidRDefault="00E25AE7" w:rsidP="00DD0D4B">
            <w:pPr>
              <w:spacing w:after="0"/>
              <w:rPr>
                <w:rFonts w:ascii="David" w:hAnsi="David" w:cs="David"/>
                <w:sz w:val="24"/>
                <w:szCs w:val="24"/>
              </w:rPr>
            </w:pPr>
            <w:r w:rsidRPr="00F25744">
              <w:rPr>
                <w:rFonts w:ascii="David" w:hAnsi="David" w:cs="David"/>
                <w:sz w:val="24"/>
                <w:szCs w:val="24"/>
                <w:rtl/>
              </w:rPr>
              <w:t>נזקי גוף</w:t>
            </w:r>
          </w:p>
        </w:tc>
      </w:tr>
      <w:tr w:rsidR="00E0162E" w:rsidRPr="00F25744" w14:paraId="76BAD8FE" w14:textId="77777777" w:rsidTr="009D01CF">
        <w:tc>
          <w:tcPr>
            <w:tcW w:w="5013" w:type="dxa"/>
            <w:shd w:val="clear" w:color="auto" w:fill="auto"/>
            <w:vAlign w:val="bottom"/>
          </w:tcPr>
          <w:p w14:paraId="56010B48"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נזקי גוף וכספי (ח)</w:t>
            </w:r>
          </w:p>
        </w:tc>
        <w:tc>
          <w:tcPr>
            <w:tcW w:w="3650" w:type="dxa"/>
            <w:shd w:val="clear" w:color="auto" w:fill="auto"/>
          </w:tcPr>
          <w:p w14:paraId="011AA865" w14:textId="77777777" w:rsidR="00DD0D4B" w:rsidRPr="00F25744" w:rsidRDefault="00E25AE7" w:rsidP="00DD0D4B">
            <w:pPr>
              <w:spacing w:after="0"/>
              <w:rPr>
                <w:rFonts w:ascii="David" w:hAnsi="David" w:cs="David"/>
                <w:sz w:val="24"/>
                <w:szCs w:val="24"/>
              </w:rPr>
            </w:pPr>
            <w:r w:rsidRPr="00F25744">
              <w:rPr>
                <w:rFonts w:ascii="David" w:hAnsi="David" w:cs="David"/>
                <w:sz w:val="24"/>
                <w:szCs w:val="24"/>
                <w:rtl/>
              </w:rPr>
              <w:t>נזקי גוף</w:t>
            </w:r>
          </w:p>
        </w:tc>
      </w:tr>
      <w:tr w:rsidR="00E0162E" w:rsidRPr="00F25744" w14:paraId="6502187A" w14:textId="77777777" w:rsidTr="009D01CF">
        <w:tc>
          <w:tcPr>
            <w:tcW w:w="5013" w:type="dxa"/>
            <w:shd w:val="clear" w:color="auto" w:fill="auto"/>
            <w:vAlign w:val="bottom"/>
          </w:tcPr>
          <w:p w14:paraId="79239237"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נזקי רכוש – שיבוב וביטוח</w:t>
            </w:r>
          </w:p>
        </w:tc>
        <w:tc>
          <w:tcPr>
            <w:tcW w:w="3650" w:type="dxa"/>
            <w:shd w:val="clear" w:color="auto" w:fill="auto"/>
          </w:tcPr>
          <w:p w14:paraId="64AD3CCB" w14:textId="77777777" w:rsidR="00DD0D4B" w:rsidRPr="00F25744" w:rsidRDefault="00E25AE7" w:rsidP="00DD0D4B">
            <w:pPr>
              <w:spacing w:after="0"/>
              <w:rPr>
                <w:rFonts w:ascii="David" w:hAnsi="David" w:cs="David"/>
                <w:sz w:val="24"/>
                <w:szCs w:val="24"/>
                <w:rtl/>
              </w:rPr>
            </w:pPr>
            <w:r w:rsidRPr="00F25744">
              <w:rPr>
                <w:rFonts w:ascii="David" w:hAnsi="David" w:cs="David"/>
                <w:sz w:val="24"/>
                <w:szCs w:val="24"/>
                <w:rtl/>
              </w:rPr>
              <w:t>נזיקין שאיננה נזקי גוף</w:t>
            </w:r>
          </w:p>
        </w:tc>
      </w:tr>
      <w:tr w:rsidR="00E0162E" w:rsidRPr="00F25744" w14:paraId="23039630" w14:textId="77777777" w:rsidTr="009D01CF">
        <w:tc>
          <w:tcPr>
            <w:tcW w:w="5013" w:type="dxa"/>
            <w:shd w:val="clear" w:color="auto" w:fill="auto"/>
            <w:vAlign w:val="bottom"/>
          </w:tcPr>
          <w:p w14:paraId="1C71ED45"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עבירת מין/הטרדה מינית</w:t>
            </w:r>
          </w:p>
        </w:tc>
        <w:tc>
          <w:tcPr>
            <w:tcW w:w="3650" w:type="dxa"/>
            <w:shd w:val="clear" w:color="auto" w:fill="auto"/>
          </w:tcPr>
          <w:p w14:paraId="59A82796" w14:textId="77777777" w:rsidR="00DD0D4B" w:rsidRPr="00F25744" w:rsidRDefault="00E25AE7" w:rsidP="00DD0D4B">
            <w:pPr>
              <w:spacing w:after="0"/>
              <w:rPr>
                <w:rFonts w:ascii="David" w:hAnsi="David" w:cs="David"/>
                <w:sz w:val="24"/>
                <w:szCs w:val="24"/>
                <w:rtl/>
              </w:rPr>
            </w:pPr>
            <w:r w:rsidRPr="00F25744">
              <w:rPr>
                <w:rFonts w:ascii="David" w:hAnsi="David" w:cs="David"/>
                <w:sz w:val="24"/>
                <w:szCs w:val="24"/>
                <w:rtl/>
              </w:rPr>
              <w:t>נזקי גוף</w:t>
            </w:r>
          </w:p>
        </w:tc>
      </w:tr>
      <w:tr w:rsidR="00E0162E" w:rsidRPr="00F25744" w14:paraId="1DB3AE1B" w14:textId="77777777" w:rsidTr="009D01CF">
        <w:tc>
          <w:tcPr>
            <w:tcW w:w="5013" w:type="dxa"/>
            <w:shd w:val="clear" w:color="auto" w:fill="auto"/>
            <w:vAlign w:val="bottom"/>
          </w:tcPr>
          <w:p w14:paraId="5BA56A1B"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תביעה לפי תקנה 5א' - עבירת מין/הטרדה מינית</w:t>
            </w:r>
          </w:p>
        </w:tc>
        <w:tc>
          <w:tcPr>
            <w:tcW w:w="3650" w:type="dxa"/>
            <w:shd w:val="clear" w:color="auto" w:fill="auto"/>
          </w:tcPr>
          <w:p w14:paraId="73E47043" w14:textId="77777777" w:rsidR="00DD0D4B" w:rsidRPr="00F25744" w:rsidRDefault="00E25AE7" w:rsidP="00DD0D4B">
            <w:pPr>
              <w:spacing w:after="0"/>
              <w:rPr>
                <w:rFonts w:ascii="David" w:hAnsi="David" w:cs="David"/>
                <w:sz w:val="24"/>
                <w:szCs w:val="24"/>
                <w:rtl/>
              </w:rPr>
            </w:pPr>
            <w:r w:rsidRPr="00F25744">
              <w:rPr>
                <w:rFonts w:ascii="David" w:hAnsi="David" w:cs="David"/>
                <w:sz w:val="24"/>
                <w:szCs w:val="24"/>
                <w:rtl/>
              </w:rPr>
              <w:t>נזקי גוף</w:t>
            </w:r>
          </w:p>
        </w:tc>
      </w:tr>
      <w:tr w:rsidR="00E0162E" w:rsidRPr="00F25744" w14:paraId="63C7E08B" w14:textId="77777777" w:rsidTr="009D01CF">
        <w:tc>
          <w:tcPr>
            <w:tcW w:w="5013" w:type="dxa"/>
            <w:shd w:val="clear" w:color="auto" w:fill="auto"/>
            <w:vAlign w:val="bottom"/>
          </w:tcPr>
          <w:p w14:paraId="112B0DB7"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פלת-ד</w:t>
            </w:r>
          </w:p>
        </w:tc>
        <w:tc>
          <w:tcPr>
            <w:tcW w:w="3650" w:type="dxa"/>
            <w:shd w:val="clear" w:color="auto" w:fill="auto"/>
          </w:tcPr>
          <w:p w14:paraId="3BB9D908" w14:textId="77777777" w:rsidR="00DD0D4B" w:rsidRPr="00F25744" w:rsidRDefault="00E25AE7" w:rsidP="00DD0D4B">
            <w:pPr>
              <w:spacing w:after="0"/>
              <w:rPr>
                <w:rFonts w:ascii="David" w:hAnsi="David" w:cs="David"/>
                <w:sz w:val="24"/>
                <w:szCs w:val="24"/>
                <w:rtl/>
              </w:rPr>
            </w:pPr>
            <w:r w:rsidRPr="00F25744">
              <w:rPr>
                <w:rFonts w:ascii="David" w:hAnsi="David" w:cs="David"/>
                <w:sz w:val="24"/>
                <w:szCs w:val="24"/>
                <w:rtl/>
              </w:rPr>
              <w:t>פלת"ד</w:t>
            </w:r>
          </w:p>
        </w:tc>
      </w:tr>
      <w:tr w:rsidR="00E0162E" w:rsidRPr="00F25744" w14:paraId="4119D916" w14:textId="77777777" w:rsidTr="009D01CF">
        <w:tc>
          <w:tcPr>
            <w:tcW w:w="5013" w:type="dxa"/>
            <w:shd w:val="clear" w:color="auto" w:fill="auto"/>
            <w:vAlign w:val="bottom"/>
          </w:tcPr>
          <w:p w14:paraId="05FE3022"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פלת-ד (ח)</w:t>
            </w:r>
          </w:p>
        </w:tc>
        <w:tc>
          <w:tcPr>
            <w:tcW w:w="3650" w:type="dxa"/>
            <w:shd w:val="clear" w:color="auto" w:fill="auto"/>
          </w:tcPr>
          <w:p w14:paraId="03893098" w14:textId="77777777" w:rsidR="00DD0D4B" w:rsidRPr="00F25744" w:rsidRDefault="00E25AE7" w:rsidP="00DD0D4B">
            <w:pPr>
              <w:spacing w:after="0"/>
              <w:rPr>
                <w:rFonts w:ascii="David" w:hAnsi="David" w:cs="David"/>
                <w:sz w:val="24"/>
                <w:szCs w:val="24"/>
                <w:rtl/>
              </w:rPr>
            </w:pPr>
            <w:r w:rsidRPr="00F25744">
              <w:rPr>
                <w:rFonts w:ascii="David" w:hAnsi="David" w:cs="David"/>
                <w:sz w:val="24"/>
                <w:szCs w:val="24"/>
                <w:rtl/>
              </w:rPr>
              <w:t>פלת"ד</w:t>
            </w:r>
          </w:p>
        </w:tc>
      </w:tr>
      <w:tr w:rsidR="00E0162E" w:rsidRPr="00F25744" w14:paraId="1CB2416E" w14:textId="77777777" w:rsidTr="009D01CF">
        <w:tc>
          <w:tcPr>
            <w:tcW w:w="5013" w:type="dxa"/>
            <w:shd w:val="clear" w:color="auto" w:fill="auto"/>
            <w:vAlign w:val="bottom"/>
          </w:tcPr>
          <w:p w14:paraId="17A9FEBB"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קניין רוחני - פטנטים</w:t>
            </w:r>
          </w:p>
        </w:tc>
        <w:tc>
          <w:tcPr>
            <w:tcW w:w="3650" w:type="dxa"/>
            <w:shd w:val="clear" w:color="auto" w:fill="auto"/>
          </w:tcPr>
          <w:p w14:paraId="6F9E0853" w14:textId="77777777" w:rsidR="00DD0D4B" w:rsidRPr="00F25744" w:rsidRDefault="00E25AE7" w:rsidP="00DD0D4B">
            <w:pPr>
              <w:spacing w:after="0"/>
              <w:rPr>
                <w:rFonts w:ascii="David" w:hAnsi="David" w:cs="David"/>
                <w:sz w:val="24"/>
                <w:szCs w:val="24"/>
                <w:rtl/>
              </w:rPr>
            </w:pPr>
            <w:r w:rsidRPr="00F25744">
              <w:rPr>
                <w:rFonts w:ascii="David" w:hAnsi="David" w:cs="David"/>
                <w:sz w:val="24"/>
                <w:szCs w:val="24"/>
                <w:rtl/>
              </w:rPr>
              <w:t>קניין רוחני</w:t>
            </w:r>
          </w:p>
        </w:tc>
      </w:tr>
      <w:tr w:rsidR="00E0162E" w:rsidRPr="00F25744" w14:paraId="4EBF9939" w14:textId="77777777" w:rsidTr="009D01CF">
        <w:tc>
          <w:tcPr>
            <w:tcW w:w="5013" w:type="dxa"/>
            <w:shd w:val="clear" w:color="auto" w:fill="auto"/>
            <w:vAlign w:val="bottom"/>
          </w:tcPr>
          <w:p w14:paraId="7D84D460"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קניין רוחני אחר</w:t>
            </w:r>
          </w:p>
        </w:tc>
        <w:tc>
          <w:tcPr>
            <w:tcW w:w="3650" w:type="dxa"/>
            <w:shd w:val="clear" w:color="auto" w:fill="auto"/>
          </w:tcPr>
          <w:p w14:paraId="6BD468A6" w14:textId="77777777" w:rsidR="00DD0D4B" w:rsidRPr="00F25744" w:rsidRDefault="00E25AE7" w:rsidP="00DD0D4B">
            <w:pPr>
              <w:spacing w:after="0"/>
              <w:rPr>
                <w:rFonts w:ascii="David" w:hAnsi="David" w:cs="David"/>
                <w:sz w:val="24"/>
                <w:szCs w:val="24"/>
                <w:rtl/>
              </w:rPr>
            </w:pPr>
            <w:r w:rsidRPr="00F25744">
              <w:rPr>
                <w:rFonts w:ascii="David" w:hAnsi="David" w:cs="David"/>
                <w:sz w:val="24"/>
                <w:szCs w:val="24"/>
                <w:rtl/>
              </w:rPr>
              <w:t>קניין רוחני</w:t>
            </w:r>
          </w:p>
        </w:tc>
      </w:tr>
      <w:tr w:rsidR="00E0162E" w:rsidRPr="00F25744" w14:paraId="642D96AA" w14:textId="77777777" w:rsidTr="009D01CF">
        <w:tc>
          <w:tcPr>
            <w:tcW w:w="5013" w:type="dxa"/>
            <w:shd w:val="clear" w:color="auto" w:fill="auto"/>
            <w:vAlign w:val="bottom"/>
          </w:tcPr>
          <w:p w14:paraId="2765EF5C"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תקנה 3 (אגרות) - אחר</w:t>
            </w:r>
          </w:p>
        </w:tc>
        <w:tc>
          <w:tcPr>
            <w:tcW w:w="3650" w:type="dxa"/>
            <w:shd w:val="clear" w:color="auto" w:fill="auto"/>
          </w:tcPr>
          <w:p w14:paraId="0C9C531F" w14:textId="77777777" w:rsidR="00DD0D4B" w:rsidRPr="00F25744" w:rsidRDefault="00E25AE7" w:rsidP="00DD0D4B">
            <w:pPr>
              <w:spacing w:after="0"/>
              <w:rPr>
                <w:rFonts w:ascii="David" w:hAnsi="David" w:cs="David"/>
                <w:sz w:val="24"/>
                <w:szCs w:val="24"/>
                <w:rtl/>
              </w:rPr>
            </w:pPr>
            <w:r w:rsidRPr="00F25744">
              <w:rPr>
                <w:rFonts w:ascii="David" w:hAnsi="David" w:cs="David"/>
                <w:sz w:val="24"/>
                <w:szCs w:val="24"/>
                <w:rtl/>
              </w:rPr>
              <w:t>תקנה 3 (אגרות) – אחר</w:t>
            </w:r>
          </w:p>
        </w:tc>
      </w:tr>
      <w:tr w:rsidR="00E0162E" w:rsidRPr="00F25744" w14:paraId="6CDB4056" w14:textId="77777777" w:rsidTr="009D01CF">
        <w:tc>
          <w:tcPr>
            <w:tcW w:w="5013" w:type="dxa"/>
            <w:shd w:val="clear" w:color="auto" w:fill="auto"/>
            <w:vAlign w:val="bottom"/>
          </w:tcPr>
          <w:p w14:paraId="43F9DFC2"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תביעה אחרת (שאינה כספית ואינה בגדר תקנה 3 אגרות)</w:t>
            </w:r>
          </w:p>
        </w:tc>
        <w:tc>
          <w:tcPr>
            <w:tcW w:w="3650" w:type="dxa"/>
            <w:shd w:val="clear" w:color="auto" w:fill="auto"/>
          </w:tcPr>
          <w:p w14:paraId="6409F3CF" w14:textId="77777777" w:rsidR="00DD0D4B" w:rsidRPr="00F25744" w:rsidRDefault="00E25AE7" w:rsidP="00DD0D4B">
            <w:pPr>
              <w:spacing w:after="0"/>
              <w:rPr>
                <w:rFonts w:ascii="David" w:hAnsi="David" w:cs="David"/>
                <w:sz w:val="24"/>
                <w:szCs w:val="24"/>
                <w:rtl/>
              </w:rPr>
            </w:pPr>
            <w:r w:rsidRPr="00F25744">
              <w:rPr>
                <w:rFonts w:ascii="David" w:hAnsi="David" w:cs="David"/>
                <w:sz w:val="24"/>
                <w:szCs w:val="24"/>
                <w:rtl/>
              </w:rPr>
              <w:t>תקנה 3 (אגרות) – אחר</w:t>
            </w:r>
          </w:p>
        </w:tc>
      </w:tr>
      <w:tr w:rsidR="00E0162E" w:rsidRPr="00F25744" w14:paraId="040FA0D7" w14:textId="77777777" w:rsidTr="009D01CF">
        <w:tc>
          <w:tcPr>
            <w:tcW w:w="5013" w:type="dxa"/>
            <w:shd w:val="clear" w:color="auto" w:fill="auto"/>
            <w:vAlign w:val="bottom"/>
          </w:tcPr>
          <w:p w14:paraId="324011EA"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תביעה כספית אחרת</w:t>
            </w:r>
          </w:p>
        </w:tc>
        <w:tc>
          <w:tcPr>
            <w:tcW w:w="3650" w:type="dxa"/>
            <w:shd w:val="clear" w:color="auto" w:fill="auto"/>
          </w:tcPr>
          <w:p w14:paraId="5EFBFC6C" w14:textId="77777777" w:rsidR="00DD0D4B" w:rsidRPr="00F25744" w:rsidRDefault="00E25AE7" w:rsidP="00DD0D4B">
            <w:pPr>
              <w:spacing w:after="0"/>
              <w:rPr>
                <w:rFonts w:ascii="David" w:hAnsi="David" w:cs="David"/>
                <w:sz w:val="24"/>
                <w:szCs w:val="24"/>
                <w:rtl/>
              </w:rPr>
            </w:pPr>
            <w:r w:rsidRPr="00F25744">
              <w:rPr>
                <w:rFonts w:ascii="David" w:hAnsi="David" w:cs="David"/>
                <w:sz w:val="24"/>
                <w:szCs w:val="24"/>
                <w:rtl/>
              </w:rPr>
              <w:t>תביעה כספית</w:t>
            </w:r>
          </w:p>
        </w:tc>
      </w:tr>
      <w:tr w:rsidR="00E0162E" w:rsidRPr="00F25744" w14:paraId="5F682CCE" w14:textId="77777777" w:rsidTr="009D01CF">
        <w:tc>
          <w:tcPr>
            <w:tcW w:w="5013" w:type="dxa"/>
            <w:shd w:val="clear" w:color="auto" w:fill="auto"/>
            <w:vAlign w:val="bottom"/>
          </w:tcPr>
          <w:p w14:paraId="669A1745"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תביעה כספית חוזית בשל נזק גוף</w:t>
            </w:r>
          </w:p>
        </w:tc>
        <w:tc>
          <w:tcPr>
            <w:tcW w:w="3650" w:type="dxa"/>
            <w:shd w:val="clear" w:color="auto" w:fill="auto"/>
          </w:tcPr>
          <w:p w14:paraId="407B90A0" w14:textId="77777777" w:rsidR="00DD0D4B" w:rsidRPr="00F25744" w:rsidRDefault="00E25AE7" w:rsidP="00DD0D4B">
            <w:pPr>
              <w:spacing w:after="0"/>
              <w:rPr>
                <w:rFonts w:ascii="David" w:hAnsi="David" w:cs="David"/>
                <w:sz w:val="24"/>
                <w:szCs w:val="24"/>
                <w:rtl/>
              </w:rPr>
            </w:pPr>
            <w:r w:rsidRPr="00F25744">
              <w:rPr>
                <w:rFonts w:ascii="David" w:hAnsi="David" w:cs="David"/>
                <w:sz w:val="24"/>
                <w:szCs w:val="24"/>
                <w:rtl/>
              </w:rPr>
              <w:t>נזקי גוף</w:t>
            </w:r>
          </w:p>
        </w:tc>
      </w:tr>
      <w:tr w:rsidR="00E0162E" w:rsidRPr="00F25744" w14:paraId="4D10DF5A" w14:textId="77777777" w:rsidTr="009D01CF">
        <w:tc>
          <w:tcPr>
            <w:tcW w:w="5013" w:type="dxa"/>
            <w:tcBorders>
              <w:bottom w:val="single" w:sz="4" w:space="0" w:color="auto"/>
            </w:tcBorders>
            <w:shd w:val="clear" w:color="auto" w:fill="auto"/>
            <w:vAlign w:val="bottom"/>
          </w:tcPr>
          <w:p w14:paraId="3A8BBD24"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תביעה כספית מעל 1,690,200 + נזקי גוף</w:t>
            </w:r>
          </w:p>
        </w:tc>
        <w:tc>
          <w:tcPr>
            <w:tcW w:w="3650" w:type="dxa"/>
            <w:tcBorders>
              <w:bottom w:val="single" w:sz="4" w:space="0" w:color="auto"/>
            </w:tcBorders>
            <w:shd w:val="clear" w:color="auto" w:fill="auto"/>
          </w:tcPr>
          <w:p w14:paraId="1DE3F3E8" w14:textId="77777777" w:rsidR="00DD0D4B" w:rsidRPr="00F25744" w:rsidRDefault="00E25AE7" w:rsidP="00DD0D4B">
            <w:pPr>
              <w:spacing w:after="0"/>
              <w:rPr>
                <w:rFonts w:ascii="David" w:hAnsi="David" w:cs="David"/>
                <w:sz w:val="24"/>
                <w:szCs w:val="24"/>
              </w:rPr>
            </w:pPr>
            <w:r w:rsidRPr="00F25744">
              <w:rPr>
                <w:rFonts w:ascii="David" w:hAnsi="David" w:cs="David"/>
                <w:sz w:val="24"/>
                <w:szCs w:val="24"/>
                <w:rtl/>
              </w:rPr>
              <w:t>נזקי גוף</w:t>
            </w:r>
          </w:p>
        </w:tc>
      </w:tr>
      <w:tr w:rsidR="00E0162E" w:rsidRPr="00F25744" w14:paraId="591ACD97" w14:textId="77777777" w:rsidTr="009D01CF">
        <w:tc>
          <w:tcPr>
            <w:tcW w:w="5013" w:type="dxa"/>
            <w:tcBorders>
              <w:top w:val="single" w:sz="4" w:space="0" w:color="auto"/>
              <w:bottom w:val="single" w:sz="4" w:space="0" w:color="auto"/>
            </w:tcBorders>
            <w:shd w:val="clear" w:color="auto" w:fill="auto"/>
            <w:vAlign w:val="bottom"/>
          </w:tcPr>
          <w:p w14:paraId="1B5551E5"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תביעה כספית עד 1,690,200 + נזקי גוף</w:t>
            </w:r>
          </w:p>
        </w:tc>
        <w:tc>
          <w:tcPr>
            <w:tcW w:w="3650" w:type="dxa"/>
            <w:tcBorders>
              <w:top w:val="single" w:sz="4" w:space="0" w:color="auto"/>
              <w:bottom w:val="single" w:sz="4" w:space="0" w:color="auto"/>
            </w:tcBorders>
            <w:shd w:val="clear" w:color="auto" w:fill="auto"/>
          </w:tcPr>
          <w:p w14:paraId="33337BA2" w14:textId="77777777" w:rsidR="00DD0D4B" w:rsidRPr="00F25744" w:rsidRDefault="00E25AE7" w:rsidP="00DD0D4B">
            <w:pPr>
              <w:spacing w:after="0"/>
              <w:rPr>
                <w:rFonts w:ascii="David" w:hAnsi="David" w:cs="David"/>
                <w:sz w:val="24"/>
                <w:szCs w:val="24"/>
              </w:rPr>
            </w:pPr>
            <w:r w:rsidRPr="00F25744">
              <w:rPr>
                <w:rFonts w:ascii="David" w:hAnsi="David" w:cs="David"/>
                <w:sz w:val="24"/>
                <w:szCs w:val="24"/>
                <w:rtl/>
              </w:rPr>
              <w:t>נזקי גוף</w:t>
            </w:r>
          </w:p>
        </w:tc>
      </w:tr>
    </w:tbl>
    <w:p w14:paraId="744E0E97" w14:textId="77777777" w:rsidR="00DD0D4B" w:rsidRPr="00F25744" w:rsidRDefault="00DD0D4B" w:rsidP="00DD0D4B">
      <w:pPr>
        <w:rPr>
          <w:rtl/>
        </w:rPr>
      </w:pPr>
    </w:p>
    <w:p w14:paraId="7192B6E8" w14:textId="77777777" w:rsidR="00DD0D4B" w:rsidRPr="00F25744" w:rsidRDefault="00E25AE7" w:rsidP="0043255F">
      <w:pPr>
        <w:pStyle w:val="2"/>
        <w:numPr>
          <w:ilvl w:val="0"/>
          <w:numId w:val="0"/>
        </w:numPr>
        <w:ind w:left="360"/>
        <w:rPr>
          <w:rtl/>
        </w:rPr>
      </w:pPr>
      <w:r w:rsidRPr="00F25744">
        <w:rPr>
          <w:rtl/>
        </w:rPr>
        <w:br w:type="page"/>
      </w:r>
      <w:bookmarkStart w:id="1024" w:name="_Toc74751068"/>
      <w:r w:rsidRPr="00F25744">
        <w:rPr>
          <w:rFonts w:hint="cs"/>
          <w:rtl/>
        </w:rPr>
        <w:lastRenderedPageBreak/>
        <w:t xml:space="preserve">נספח ז': </w:t>
      </w:r>
      <w:r w:rsidRPr="00F25744">
        <w:rPr>
          <w:rtl/>
        </w:rPr>
        <w:t>סוגי העניין בתיקי סדר דין רגיל (ת"א) בערכאת ה</w:t>
      </w:r>
      <w:r w:rsidRPr="00F25744">
        <w:rPr>
          <w:rFonts w:hint="cs"/>
          <w:rtl/>
        </w:rPr>
        <w:t>שלום</w:t>
      </w:r>
      <w:r w:rsidRPr="00F25744">
        <w:rPr>
          <w:rtl/>
        </w:rPr>
        <w:t xml:space="preserve"> והקטגוריות שקובצו אליהן</w:t>
      </w:r>
      <w:bookmarkEnd w:id="1024"/>
    </w:p>
    <w:tbl>
      <w:tblPr>
        <w:bidiVisual/>
        <w:tblW w:w="0" w:type="auto"/>
        <w:tblInd w:w="396" w:type="dxa"/>
        <w:tblBorders>
          <w:insideH w:val="single" w:sz="4" w:space="0" w:color="auto"/>
        </w:tblBorders>
        <w:tblLook w:val="04A0" w:firstRow="1" w:lastRow="0" w:firstColumn="1" w:lastColumn="0" w:noHBand="0" w:noVBand="1"/>
      </w:tblPr>
      <w:tblGrid>
        <w:gridCol w:w="4874"/>
        <w:gridCol w:w="3379"/>
      </w:tblGrid>
      <w:tr w:rsidR="00E0162E" w:rsidRPr="00F25744" w14:paraId="2A1C3040" w14:textId="77777777" w:rsidTr="009D01CF">
        <w:tc>
          <w:tcPr>
            <w:tcW w:w="4901" w:type="dxa"/>
            <w:shd w:val="clear" w:color="auto" w:fill="auto"/>
          </w:tcPr>
          <w:p w14:paraId="247FCC75" w14:textId="77777777" w:rsidR="00DD0D4B" w:rsidRPr="00F25744" w:rsidRDefault="00E25AE7" w:rsidP="004D4E20">
            <w:pPr>
              <w:spacing w:after="0" w:line="240" w:lineRule="auto"/>
              <w:rPr>
                <w:rFonts w:ascii="David" w:hAnsi="David" w:cs="David"/>
                <w:b/>
                <w:bCs/>
                <w:sz w:val="24"/>
                <w:szCs w:val="24"/>
                <w:rtl/>
              </w:rPr>
            </w:pPr>
            <w:r w:rsidRPr="00F25744">
              <w:rPr>
                <w:rFonts w:ascii="David" w:hAnsi="David" w:cs="David"/>
                <w:b/>
                <w:bCs/>
                <w:sz w:val="24"/>
                <w:szCs w:val="24"/>
                <w:rtl/>
              </w:rPr>
              <w:t>סוג עניין כפי שמופיע בנט-המשפט</w:t>
            </w:r>
          </w:p>
        </w:tc>
        <w:tc>
          <w:tcPr>
            <w:tcW w:w="3395" w:type="dxa"/>
            <w:shd w:val="clear" w:color="auto" w:fill="auto"/>
          </w:tcPr>
          <w:p w14:paraId="55D366D0" w14:textId="77777777" w:rsidR="00DD0D4B" w:rsidRPr="00F25744" w:rsidRDefault="00E25AE7" w:rsidP="00DD0D4B">
            <w:pPr>
              <w:spacing w:after="0"/>
              <w:rPr>
                <w:rFonts w:ascii="David" w:hAnsi="David" w:cs="David"/>
                <w:b/>
                <w:bCs/>
                <w:sz w:val="24"/>
                <w:szCs w:val="24"/>
                <w:rtl/>
              </w:rPr>
            </w:pPr>
            <w:r w:rsidRPr="00F25744">
              <w:rPr>
                <w:rFonts w:ascii="David" w:hAnsi="David" w:cs="David"/>
                <w:b/>
                <w:bCs/>
                <w:sz w:val="24"/>
                <w:szCs w:val="24"/>
                <w:rtl/>
              </w:rPr>
              <w:t xml:space="preserve">סוגי עניין לאחר קיבוץ לקטגוריות </w:t>
            </w:r>
          </w:p>
        </w:tc>
      </w:tr>
      <w:tr w:rsidR="00E0162E" w:rsidRPr="00F25744" w14:paraId="5F8BB2AD" w14:textId="77777777" w:rsidTr="009D01CF">
        <w:tc>
          <w:tcPr>
            <w:tcW w:w="4901" w:type="dxa"/>
            <w:shd w:val="clear" w:color="auto" w:fill="auto"/>
            <w:vAlign w:val="bottom"/>
          </w:tcPr>
          <w:p w14:paraId="1673D64D" w14:textId="77777777" w:rsidR="00DD0D4B" w:rsidRPr="00F25744" w:rsidRDefault="00E25AE7" w:rsidP="00DD0D4B">
            <w:pPr>
              <w:spacing w:after="0"/>
              <w:rPr>
                <w:rFonts w:ascii="David" w:hAnsi="David" w:cs="David"/>
                <w:color w:val="000000"/>
                <w:sz w:val="24"/>
                <w:szCs w:val="24"/>
              </w:rPr>
            </w:pPr>
            <w:r w:rsidRPr="00F25744">
              <w:rPr>
                <w:rFonts w:ascii="David" w:hAnsi="David" w:cs="David"/>
                <w:color w:val="000000"/>
                <w:sz w:val="24"/>
                <w:szCs w:val="24"/>
                <w:rtl/>
              </w:rPr>
              <w:t>אכיפת פסק חוץ</w:t>
            </w:r>
          </w:p>
        </w:tc>
        <w:tc>
          <w:tcPr>
            <w:tcW w:w="3395" w:type="dxa"/>
            <w:shd w:val="clear" w:color="auto" w:fill="auto"/>
          </w:tcPr>
          <w:p w14:paraId="74F113A6"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sz w:val="24"/>
                <w:szCs w:val="24"/>
                <w:rtl/>
              </w:rPr>
              <w:t>אחר</w:t>
            </w:r>
          </w:p>
        </w:tc>
      </w:tr>
      <w:tr w:rsidR="00E0162E" w:rsidRPr="00F25744" w14:paraId="495302A9" w14:textId="77777777" w:rsidTr="009D01CF">
        <w:tc>
          <w:tcPr>
            <w:tcW w:w="4901" w:type="dxa"/>
            <w:shd w:val="clear" w:color="auto" w:fill="auto"/>
            <w:vAlign w:val="bottom"/>
          </w:tcPr>
          <w:p w14:paraId="0D527BEE"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ביטוח ימי / אווירי</w:t>
            </w:r>
          </w:p>
        </w:tc>
        <w:tc>
          <w:tcPr>
            <w:tcW w:w="3395" w:type="dxa"/>
            <w:shd w:val="clear" w:color="auto" w:fill="auto"/>
          </w:tcPr>
          <w:p w14:paraId="30690E36"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sz w:val="24"/>
                <w:szCs w:val="24"/>
                <w:rtl/>
              </w:rPr>
              <w:t>שיבוב וביטוח</w:t>
            </w:r>
          </w:p>
        </w:tc>
      </w:tr>
      <w:tr w:rsidR="00E0162E" w:rsidRPr="00F25744" w14:paraId="70FABBE8" w14:textId="77777777" w:rsidTr="009D01CF">
        <w:tc>
          <w:tcPr>
            <w:tcW w:w="4901" w:type="dxa"/>
            <w:shd w:val="clear" w:color="auto" w:fill="auto"/>
            <w:vAlign w:val="bottom"/>
          </w:tcPr>
          <w:p w14:paraId="1099ED75"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בנקים ואשראי</w:t>
            </w:r>
          </w:p>
        </w:tc>
        <w:tc>
          <w:tcPr>
            <w:tcW w:w="3395" w:type="dxa"/>
            <w:shd w:val="clear" w:color="auto" w:fill="auto"/>
          </w:tcPr>
          <w:p w14:paraId="7C374FBB"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sz w:val="24"/>
                <w:szCs w:val="24"/>
                <w:rtl/>
              </w:rPr>
              <w:t>בנקים ואשראי</w:t>
            </w:r>
          </w:p>
        </w:tc>
      </w:tr>
      <w:tr w:rsidR="00E0162E" w:rsidRPr="00F25744" w14:paraId="2199A8A9" w14:textId="77777777" w:rsidTr="009D01CF">
        <w:tc>
          <w:tcPr>
            <w:tcW w:w="4901" w:type="dxa"/>
            <w:shd w:val="clear" w:color="auto" w:fill="auto"/>
            <w:vAlign w:val="bottom"/>
          </w:tcPr>
          <w:p w14:paraId="5E07A09A"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בקשה לביצוע תביעה</w:t>
            </w:r>
          </w:p>
        </w:tc>
        <w:tc>
          <w:tcPr>
            <w:tcW w:w="3395" w:type="dxa"/>
            <w:shd w:val="clear" w:color="auto" w:fill="auto"/>
          </w:tcPr>
          <w:p w14:paraId="65A90E62"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sz w:val="24"/>
                <w:szCs w:val="24"/>
                <w:rtl/>
              </w:rPr>
              <w:t>התנגדות לביצוע שטר/ ביצוע תביעה</w:t>
            </w:r>
          </w:p>
        </w:tc>
      </w:tr>
      <w:tr w:rsidR="00E0162E" w:rsidRPr="00F25744" w14:paraId="4E8B29BF" w14:textId="77777777" w:rsidTr="009D01CF">
        <w:tc>
          <w:tcPr>
            <w:tcW w:w="4901" w:type="dxa"/>
            <w:shd w:val="clear" w:color="auto" w:fill="auto"/>
            <w:vAlign w:val="bottom"/>
          </w:tcPr>
          <w:p w14:paraId="1EE813D1"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החזרים כספיים נגד מוסדות</w:t>
            </w:r>
          </w:p>
        </w:tc>
        <w:tc>
          <w:tcPr>
            <w:tcW w:w="3395" w:type="dxa"/>
            <w:shd w:val="clear" w:color="auto" w:fill="auto"/>
          </w:tcPr>
          <w:p w14:paraId="484D0A26"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hint="cs"/>
                <w:sz w:val="24"/>
                <w:szCs w:val="24"/>
                <w:rtl/>
              </w:rPr>
              <w:t>תביעה כספית</w:t>
            </w:r>
          </w:p>
        </w:tc>
      </w:tr>
      <w:tr w:rsidR="00E0162E" w:rsidRPr="00F25744" w14:paraId="4A0CBD47" w14:textId="77777777" w:rsidTr="009D01CF">
        <w:tc>
          <w:tcPr>
            <w:tcW w:w="4901" w:type="dxa"/>
            <w:shd w:val="clear" w:color="auto" w:fill="auto"/>
            <w:vAlign w:val="bottom"/>
          </w:tcPr>
          <w:p w14:paraId="4BCD6B56"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הפקעה או פסיקת דמי שכירות - הגנת הדייר</w:t>
            </w:r>
          </w:p>
        </w:tc>
        <w:tc>
          <w:tcPr>
            <w:tcW w:w="3395" w:type="dxa"/>
            <w:shd w:val="clear" w:color="auto" w:fill="auto"/>
          </w:tcPr>
          <w:p w14:paraId="229BB21D"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hint="cs"/>
                <w:sz w:val="24"/>
                <w:szCs w:val="24"/>
                <w:rtl/>
              </w:rPr>
              <w:t>אחר</w:t>
            </w:r>
          </w:p>
        </w:tc>
      </w:tr>
      <w:tr w:rsidR="00E0162E" w:rsidRPr="00F25744" w14:paraId="1F028554" w14:textId="77777777" w:rsidTr="009D01CF">
        <w:tc>
          <w:tcPr>
            <w:tcW w:w="4901" w:type="dxa"/>
            <w:shd w:val="clear" w:color="auto" w:fill="auto"/>
            <w:vAlign w:val="bottom"/>
          </w:tcPr>
          <w:p w14:paraId="65C63637"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התנגדות לביצוע שטר</w:t>
            </w:r>
          </w:p>
        </w:tc>
        <w:tc>
          <w:tcPr>
            <w:tcW w:w="3395" w:type="dxa"/>
            <w:shd w:val="clear" w:color="auto" w:fill="auto"/>
          </w:tcPr>
          <w:p w14:paraId="001ACBA1" w14:textId="77777777" w:rsidR="00DD0D4B" w:rsidRPr="00F25744" w:rsidRDefault="00E25AE7" w:rsidP="00DD0D4B">
            <w:pPr>
              <w:spacing w:after="0"/>
              <w:rPr>
                <w:rFonts w:ascii="David" w:hAnsi="David" w:cs="David"/>
                <w:sz w:val="24"/>
                <w:szCs w:val="24"/>
              </w:rPr>
            </w:pPr>
            <w:r w:rsidRPr="00F25744">
              <w:rPr>
                <w:rFonts w:ascii="David" w:hAnsi="David" w:cs="David"/>
                <w:sz w:val="24"/>
                <w:szCs w:val="24"/>
                <w:rtl/>
              </w:rPr>
              <w:t>התנגדות לביצוע שטר/ ביצוע תביעה</w:t>
            </w:r>
          </w:p>
        </w:tc>
      </w:tr>
      <w:tr w:rsidR="00E0162E" w:rsidRPr="00F25744" w14:paraId="5386F4B0" w14:textId="77777777" w:rsidTr="009D01CF">
        <w:tc>
          <w:tcPr>
            <w:tcW w:w="4901" w:type="dxa"/>
            <w:shd w:val="clear" w:color="auto" w:fill="auto"/>
            <w:vAlign w:val="bottom"/>
          </w:tcPr>
          <w:p w14:paraId="3EC1B6F1"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התנגדות לבקשה לביצוע תביעה</w:t>
            </w:r>
          </w:p>
        </w:tc>
        <w:tc>
          <w:tcPr>
            <w:tcW w:w="3395" w:type="dxa"/>
            <w:shd w:val="clear" w:color="auto" w:fill="auto"/>
          </w:tcPr>
          <w:p w14:paraId="28941218" w14:textId="77777777" w:rsidR="00DD0D4B" w:rsidRPr="00F25744" w:rsidRDefault="00E25AE7" w:rsidP="00DD0D4B">
            <w:pPr>
              <w:spacing w:after="0"/>
              <w:rPr>
                <w:rFonts w:ascii="David" w:hAnsi="David" w:cs="David"/>
                <w:sz w:val="24"/>
                <w:szCs w:val="24"/>
              </w:rPr>
            </w:pPr>
            <w:r w:rsidRPr="00F25744">
              <w:rPr>
                <w:rFonts w:ascii="David" w:hAnsi="David" w:cs="David"/>
                <w:sz w:val="24"/>
                <w:szCs w:val="24"/>
                <w:rtl/>
              </w:rPr>
              <w:t>התנגדות לביצוע שטר/ ביצוע תביעה</w:t>
            </w:r>
          </w:p>
        </w:tc>
      </w:tr>
      <w:tr w:rsidR="00E0162E" w:rsidRPr="00F25744" w14:paraId="70AFFD1A" w14:textId="77777777" w:rsidTr="009D01CF">
        <w:tc>
          <w:tcPr>
            <w:tcW w:w="4901" w:type="dxa"/>
            <w:shd w:val="clear" w:color="auto" w:fill="auto"/>
            <w:vAlign w:val="bottom"/>
          </w:tcPr>
          <w:p w14:paraId="7B65F932"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חוזים</w:t>
            </w:r>
          </w:p>
        </w:tc>
        <w:tc>
          <w:tcPr>
            <w:tcW w:w="3395" w:type="dxa"/>
            <w:shd w:val="clear" w:color="auto" w:fill="auto"/>
          </w:tcPr>
          <w:p w14:paraId="1215FDA2"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sz w:val="24"/>
                <w:szCs w:val="24"/>
                <w:rtl/>
              </w:rPr>
              <w:t>תביעה כספית</w:t>
            </w:r>
          </w:p>
        </w:tc>
      </w:tr>
      <w:tr w:rsidR="00E0162E" w:rsidRPr="00F25744" w14:paraId="3003D1BC" w14:textId="77777777" w:rsidTr="009D01CF">
        <w:tc>
          <w:tcPr>
            <w:tcW w:w="4901" w:type="dxa"/>
            <w:shd w:val="clear" w:color="auto" w:fill="auto"/>
            <w:vAlign w:val="bottom"/>
          </w:tcPr>
          <w:p w14:paraId="2A8DB2B3"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כספית - נגררת לפלילים</w:t>
            </w:r>
          </w:p>
        </w:tc>
        <w:tc>
          <w:tcPr>
            <w:tcW w:w="3395" w:type="dxa"/>
            <w:shd w:val="clear" w:color="auto" w:fill="auto"/>
          </w:tcPr>
          <w:p w14:paraId="190D585E"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sz w:val="24"/>
                <w:szCs w:val="24"/>
                <w:rtl/>
              </w:rPr>
              <w:t>תביעה כספית</w:t>
            </w:r>
          </w:p>
        </w:tc>
      </w:tr>
      <w:tr w:rsidR="00E0162E" w:rsidRPr="00F25744" w14:paraId="117C5F53" w14:textId="77777777" w:rsidTr="009D01CF">
        <w:tc>
          <w:tcPr>
            <w:tcW w:w="4901" w:type="dxa"/>
            <w:shd w:val="clear" w:color="auto" w:fill="auto"/>
            <w:vAlign w:val="bottom"/>
          </w:tcPr>
          <w:p w14:paraId="1D91ECFF"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לשון הרע</w:t>
            </w:r>
          </w:p>
        </w:tc>
        <w:tc>
          <w:tcPr>
            <w:tcW w:w="3395" w:type="dxa"/>
            <w:shd w:val="clear" w:color="auto" w:fill="auto"/>
          </w:tcPr>
          <w:p w14:paraId="023DA1FF"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sz w:val="24"/>
                <w:szCs w:val="24"/>
                <w:rtl/>
              </w:rPr>
              <w:t>לשון הרע</w:t>
            </w:r>
          </w:p>
        </w:tc>
      </w:tr>
      <w:tr w:rsidR="00E0162E" w:rsidRPr="00F25744" w14:paraId="6382CA60" w14:textId="77777777" w:rsidTr="009D01CF">
        <w:tc>
          <w:tcPr>
            <w:tcW w:w="4901" w:type="dxa"/>
            <w:shd w:val="clear" w:color="auto" w:fill="auto"/>
            <w:vAlign w:val="bottom"/>
          </w:tcPr>
          <w:p w14:paraId="6B61A2A8"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מקרקעין</w:t>
            </w:r>
          </w:p>
        </w:tc>
        <w:tc>
          <w:tcPr>
            <w:tcW w:w="3395" w:type="dxa"/>
            <w:shd w:val="clear" w:color="auto" w:fill="auto"/>
          </w:tcPr>
          <w:p w14:paraId="1BA9FE05"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sz w:val="24"/>
                <w:szCs w:val="24"/>
                <w:rtl/>
              </w:rPr>
              <w:t>מקרקעין (כולל פינוי סילוק ואחר)</w:t>
            </w:r>
          </w:p>
        </w:tc>
      </w:tr>
      <w:tr w:rsidR="00E0162E" w:rsidRPr="00F25744" w14:paraId="1545E04C" w14:textId="77777777" w:rsidTr="009D01CF">
        <w:tc>
          <w:tcPr>
            <w:tcW w:w="4901" w:type="dxa"/>
            <w:shd w:val="clear" w:color="auto" w:fill="auto"/>
            <w:vAlign w:val="bottom"/>
          </w:tcPr>
          <w:p w14:paraId="2B9AA66F"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מקרקעין - ליקויי בנייה</w:t>
            </w:r>
          </w:p>
        </w:tc>
        <w:tc>
          <w:tcPr>
            <w:tcW w:w="3395" w:type="dxa"/>
            <w:shd w:val="clear" w:color="auto" w:fill="auto"/>
          </w:tcPr>
          <w:p w14:paraId="66EFB6D4"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sz w:val="24"/>
                <w:szCs w:val="24"/>
                <w:rtl/>
              </w:rPr>
              <w:t>מקרקעין ליקויי בניה</w:t>
            </w:r>
          </w:p>
        </w:tc>
      </w:tr>
      <w:tr w:rsidR="00E0162E" w:rsidRPr="00F25744" w14:paraId="409633C9" w14:textId="77777777" w:rsidTr="009D01CF">
        <w:tc>
          <w:tcPr>
            <w:tcW w:w="4901" w:type="dxa"/>
            <w:shd w:val="clear" w:color="auto" w:fill="auto"/>
            <w:vAlign w:val="bottom"/>
          </w:tcPr>
          <w:p w14:paraId="34BA920F"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מקרקעין - פינוי/סילוק</w:t>
            </w:r>
          </w:p>
        </w:tc>
        <w:tc>
          <w:tcPr>
            <w:tcW w:w="3395" w:type="dxa"/>
            <w:shd w:val="clear" w:color="auto" w:fill="auto"/>
          </w:tcPr>
          <w:p w14:paraId="74822A1B"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sz w:val="24"/>
                <w:szCs w:val="24"/>
                <w:rtl/>
              </w:rPr>
              <w:t>מקרקעין (כולל פינוי סילוק ואחר)</w:t>
            </w:r>
          </w:p>
        </w:tc>
      </w:tr>
      <w:tr w:rsidR="00E0162E" w:rsidRPr="00F25744" w14:paraId="6278DC94" w14:textId="77777777" w:rsidTr="009D01CF">
        <w:tc>
          <w:tcPr>
            <w:tcW w:w="4901" w:type="dxa"/>
            <w:shd w:val="clear" w:color="auto" w:fill="auto"/>
            <w:vAlign w:val="bottom"/>
          </w:tcPr>
          <w:p w14:paraId="5D4D8819"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מקרקעין - פירוק שיתוף</w:t>
            </w:r>
          </w:p>
        </w:tc>
        <w:tc>
          <w:tcPr>
            <w:tcW w:w="3395" w:type="dxa"/>
            <w:shd w:val="clear" w:color="auto" w:fill="auto"/>
          </w:tcPr>
          <w:p w14:paraId="026B1E5F"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sz w:val="24"/>
                <w:szCs w:val="24"/>
                <w:rtl/>
              </w:rPr>
              <w:t>מקרקעין פירוק שיתוף</w:t>
            </w:r>
          </w:p>
        </w:tc>
      </w:tr>
      <w:tr w:rsidR="00E0162E" w:rsidRPr="00F25744" w14:paraId="0AEC1BAF" w14:textId="77777777" w:rsidTr="009D01CF">
        <w:tc>
          <w:tcPr>
            <w:tcW w:w="4901" w:type="dxa"/>
            <w:shd w:val="clear" w:color="auto" w:fill="auto"/>
            <w:vAlign w:val="bottom"/>
          </w:tcPr>
          <w:p w14:paraId="51B31134"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נזקי גוף</w:t>
            </w:r>
          </w:p>
        </w:tc>
        <w:tc>
          <w:tcPr>
            <w:tcW w:w="3395" w:type="dxa"/>
            <w:shd w:val="clear" w:color="auto" w:fill="auto"/>
          </w:tcPr>
          <w:p w14:paraId="5DA7D6E6"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נזקי גוף - חבויות</w:t>
            </w:r>
          </w:p>
        </w:tc>
      </w:tr>
      <w:tr w:rsidR="00E0162E" w:rsidRPr="00F25744" w14:paraId="01F2D1D5" w14:textId="77777777" w:rsidTr="009D01CF">
        <w:tc>
          <w:tcPr>
            <w:tcW w:w="4901" w:type="dxa"/>
            <w:shd w:val="clear" w:color="auto" w:fill="auto"/>
            <w:vAlign w:val="bottom"/>
          </w:tcPr>
          <w:p w14:paraId="1EEED228"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נזקי גוף (ח)</w:t>
            </w:r>
          </w:p>
        </w:tc>
        <w:tc>
          <w:tcPr>
            <w:tcW w:w="3395" w:type="dxa"/>
            <w:shd w:val="clear" w:color="auto" w:fill="auto"/>
          </w:tcPr>
          <w:p w14:paraId="4B010A3E" w14:textId="77777777" w:rsidR="00DD0D4B" w:rsidRPr="00F25744" w:rsidRDefault="00E25AE7" w:rsidP="00DD0D4B">
            <w:pPr>
              <w:spacing w:after="0"/>
              <w:rPr>
                <w:rFonts w:ascii="David" w:hAnsi="David" w:cs="David"/>
                <w:sz w:val="24"/>
                <w:szCs w:val="24"/>
              </w:rPr>
            </w:pPr>
            <w:r w:rsidRPr="00F25744">
              <w:rPr>
                <w:rFonts w:ascii="David" w:hAnsi="David" w:cs="David"/>
                <w:color w:val="000000"/>
                <w:sz w:val="24"/>
                <w:szCs w:val="24"/>
                <w:rtl/>
              </w:rPr>
              <w:t>נזקי גוף - חבויות</w:t>
            </w:r>
          </w:p>
        </w:tc>
      </w:tr>
      <w:tr w:rsidR="00E0162E" w:rsidRPr="00F25744" w14:paraId="5E26C971" w14:textId="77777777" w:rsidTr="009D01CF">
        <w:tc>
          <w:tcPr>
            <w:tcW w:w="4901" w:type="dxa"/>
            <w:shd w:val="clear" w:color="auto" w:fill="auto"/>
            <w:vAlign w:val="bottom"/>
          </w:tcPr>
          <w:p w14:paraId="5B687BAB"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נזקי גוף - רשות הבטחון</w:t>
            </w:r>
          </w:p>
        </w:tc>
        <w:tc>
          <w:tcPr>
            <w:tcW w:w="3395" w:type="dxa"/>
            <w:shd w:val="clear" w:color="auto" w:fill="auto"/>
          </w:tcPr>
          <w:p w14:paraId="525D3E2B" w14:textId="77777777" w:rsidR="00DD0D4B" w:rsidRPr="00F25744" w:rsidRDefault="00E25AE7" w:rsidP="00DD0D4B">
            <w:pPr>
              <w:spacing w:after="0"/>
              <w:rPr>
                <w:rFonts w:ascii="David" w:hAnsi="David" w:cs="David"/>
                <w:sz w:val="24"/>
                <w:szCs w:val="24"/>
              </w:rPr>
            </w:pPr>
            <w:r w:rsidRPr="00F25744">
              <w:rPr>
                <w:rFonts w:ascii="David" w:hAnsi="David" w:cs="David"/>
                <w:color w:val="000000"/>
                <w:sz w:val="24"/>
                <w:szCs w:val="24"/>
                <w:rtl/>
              </w:rPr>
              <w:t>נזקי גוף - חבויות</w:t>
            </w:r>
          </w:p>
        </w:tc>
      </w:tr>
      <w:tr w:rsidR="00E0162E" w:rsidRPr="00F25744" w14:paraId="4BEFFD35" w14:textId="77777777" w:rsidTr="009D01CF">
        <w:tc>
          <w:tcPr>
            <w:tcW w:w="4901" w:type="dxa"/>
            <w:shd w:val="clear" w:color="auto" w:fill="auto"/>
            <w:vAlign w:val="bottom"/>
          </w:tcPr>
          <w:p w14:paraId="110ADB61"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נזקי גוף - רשות הבטחון (ח)</w:t>
            </w:r>
          </w:p>
        </w:tc>
        <w:tc>
          <w:tcPr>
            <w:tcW w:w="3395" w:type="dxa"/>
            <w:shd w:val="clear" w:color="auto" w:fill="auto"/>
          </w:tcPr>
          <w:p w14:paraId="688EDE38" w14:textId="77777777" w:rsidR="00DD0D4B" w:rsidRPr="00F25744" w:rsidRDefault="00E25AE7" w:rsidP="00DD0D4B">
            <w:pPr>
              <w:spacing w:after="0"/>
              <w:rPr>
                <w:rFonts w:ascii="David" w:hAnsi="David" w:cs="David"/>
                <w:sz w:val="24"/>
                <w:szCs w:val="24"/>
              </w:rPr>
            </w:pPr>
            <w:r w:rsidRPr="00F25744">
              <w:rPr>
                <w:rFonts w:ascii="David" w:hAnsi="David" w:cs="David"/>
                <w:color w:val="000000"/>
                <w:sz w:val="24"/>
                <w:szCs w:val="24"/>
                <w:rtl/>
              </w:rPr>
              <w:t>נזקי גוף - חבויות</w:t>
            </w:r>
          </w:p>
        </w:tc>
      </w:tr>
      <w:tr w:rsidR="00E0162E" w:rsidRPr="00F25744" w14:paraId="506F0C3E" w14:textId="77777777" w:rsidTr="009D01CF">
        <w:tc>
          <w:tcPr>
            <w:tcW w:w="4901" w:type="dxa"/>
            <w:shd w:val="clear" w:color="auto" w:fill="auto"/>
            <w:vAlign w:val="bottom"/>
          </w:tcPr>
          <w:p w14:paraId="50D1C58D"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נזקי גוף - רשלנות רפואית</w:t>
            </w:r>
          </w:p>
        </w:tc>
        <w:tc>
          <w:tcPr>
            <w:tcW w:w="3395" w:type="dxa"/>
            <w:shd w:val="clear" w:color="auto" w:fill="auto"/>
          </w:tcPr>
          <w:p w14:paraId="1A949043" w14:textId="77777777" w:rsidR="00DD0D4B" w:rsidRPr="00F25744" w:rsidRDefault="00E25AE7" w:rsidP="00DD0D4B">
            <w:pPr>
              <w:spacing w:after="0"/>
              <w:rPr>
                <w:rFonts w:ascii="David" w:hAnsi="David" w:cs="David"/>
                <w:sz w:val="24"/>
                <w:szCs w:val="24"/>
              </w:rPr>
            </w:pPr>
            <w:r w:rsidRPr="00F25744">
              <w:rPr>
                <w:rFonts w:ascii="David" w:hAnsi="David" w:cs="David"/>
                <w:sz w:val="24"/>
                <w:szCs w:val="24"/>
                <w:rtl/>
              </w:rPr>
              <w:t>נזקי גוף - רשלנות רפואית</w:t>
            </w:r>
          </w:p>
        </w:tc>
      </w:tr>
      <w:tr w:rsidR="00E0162E" w:rsidRPr="00F25744" w14:paraId="1524346D" w14:textId="77777777" w:rsidTr="009D01CF">
        <w:tc>
          <w:tcPr>
            <w:tcW w:w="4901" w:type="dxa"/>
            <w:shd w:val="clear" w:color="auto" w:fill="auto"/>
            <w:vAlign w:val="bottom"/>
          </w:tcPr>
          <w:p w14:paraId="4F357F50"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נזקי גוף - רשלנות רפואית (ח)</w:t>
            </w:r>
          </w:p>
        </w:tc>
        <w:tc>
          <w:tcPr>
            <w:tcW w:w="3395" w:type="dxa"/>
            <w:shd w:val="clear" w:color="auto" w:fill="auto"/>
          </w:tcPr>
          <w:p w14:paraId="52620344" w14:textId="77777777" w:rsidR="00DD0D4B" w:rsidRPr="00F25744" w:rsidRDefault="00E25AE7" w:rsidP="00DD0D4B">
            <w:pPr>
              <w:spacing w:after="0"/>
              <w:rPr>
                <w:rFonts w:ascii="David" w:hAnsi="David" w:cs="David"/>
                <w:sz w:val="24"/>
                <w:szCs w:val="24"/>
              </w:rPr>
            </w:pPr>
            <w:r w:rsidRPr="00F25744">
              <w:rPr>
                <w:rFonts w:ascii="David" w:hAnsi="David" w:cs="David"/>
                <w:sz w:val="24"/>
                <w:szCs w:val="24"/>
                <w:rtl/>
              </w:rPr>
              <w:t>נזקי גוף - רשלנות רפואית</w:t>
            </w:r>
          </w:p>
        </w:tc>
      </w:tr>
      <w:tr w:rsidR="00E0162E" w:rsidRPr="00F25744" w14:paraId="62C66E69" w14:textId="77777777" w:rsidTr="009D01CF">
        <w:tc>
          <w:tcPr>
            <w:tcW w:w="4901" w:type="dxa"/>
            <w:shd w:val="clear" w:color="auto" w:fill="auto"/>
            <w:vAlign w:val="bottom"/>
          </w:tcPr>
          <w:p w14:paraId="28FC0294"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נזקי גוף - תביעה אזרחית נגררת לפלילים (ח)</w:t>
            </w:r>
          </w:p>
        </w:tc>
        <w:tc>
          <w:tcPr>
            <w:tcW w:w="3395" w:type="dxa"/>
            <w:shd w:val="clear" w:color="auto" w:fill="auto"/>
          </w:tcPr>
          <w:p w14:paraId="66FBBE75"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color w:val="000000"/>
                <w:sz w:val="24"/>
                <w:szCs w:val="24"/>
                <w:rtl/>
              </w:rPr>
              <w:t>נזקי גוף - חבויות</w:t>
            </w:r>
          </w:p>
        </w:tc>
      </w:tr>
      <w:tr w:rsidR="00E0162E" w:rsidRPr="00F25744" w14:paraId="713F65E4" w14:textId="77777777" w:rsidTr="009D01CF">
        <w:tc>
          <w:tcPr>
            <w:tcW w:w="4901" w:type="dxa"/>
            <w:shd w:val="clear" w:color="auto" w:fill="auto"/>
            <w:vAlign w:val="bottom"/>
          </w:tcPr>
          <w:p w14:paraId="71869F2A"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נזקי גוף וכספי</w:t>
            </w:r>
          </w:p>
        </w:tc>
        <w:tc>
          <w:tcPr>
            <w:tcW w:w="3395" w:type="dxa"/>
            <w:shd w:val="clear" w:color="auto" w:fill="auto"/>
          </w:tcPr>
          <w:p w14:paraId="5494F31C"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sz w:val="24"/>
                <w:szCs w:val="24"/>
                <w:rtl/>
              </w:rPr>
              <w:t>נזקי גוף ביטוח (פוליסה)</w:t>
            </w:r>
          </w:p>
        </w:tc>
      </w:tr>
      <w:tr w:rsidR="00E0162E" w:rsidRPr="00F25744" w14:paraId="53E1E57F" w14:textId="77777777" w:rsidTr="009D01CF">
        <w:tc>
          <w:tcPr>
            <w:tcW w:w="4901" w:type="dxa"/>
            <w:shd w:val="clear" w:color="auto" w:fill="auto"/>
            <w:vAlign w:val="bottom"/>
          </w:tcPr>
          <w:p w14:paraId="2834CB2C"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נזקי גוף וכספי (ח)</w:t>
            </w:r>
          </w:p>
        </w:tc>
        <w:tc>
          <w:tcPr>
            <w:tcW w:w="3395" w:type="dxa"/>
            <w:shd w:val="clear" w:color="auto" w:fill="auto"/>
          </w:tcPr>
          <w:p w14:paraId="0C632DD4"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sz w:val="24"/>
                <w:szCs w:val="24"/>
                <w:rtl/>
              </w:rPr>
              <w:t>נזקי גוף ביטוח (פוליסה)</w:t>
            </w:r>
          </w:p>
        </w:tc>
      </w:tr>
      <w:tr w:rsidR="00E0162E" w:rsidRPr="00F25744" w14:paraId="68B26933" w14:textId="77777777" w:rsidTr="009D01CF">
        <w:tc>
          <w:tcPr>
            <w:tcW w:w="4901" w:type="dxa"/>
            <w:shd w:val="clear" w:color="auto" w:fill="auto"/>
            <w:vAlign w:val="bottom"/>
          </w:tcPr>
          <w:p w14:paraId="1C2E1DEB"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נזקי רכוש – רכב</w:t>
            </w:r>
          </w:p>
        </w:tc>
        <w:tc>
          <w:tcPr>
            <w:tcW w:w="3395" w:type="dxa"/>
            <w:shd w:val="clear" w:color="auto" w:fill="auto"/>
          </w:tcPr>
          <w:p w14:paraId="303E7F9D"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color w:val="000000"/>
                <w:sz w:val="24"/>
                <w:szCs w:val="24"/>
                <w:rtl/>
              </w:rPr>
              <w:t>נזקי רכוש – רכב</w:t>
            </w:r>
          </w:p>
        </w:tc>
      </w:tr>
      <w:tr w:rsidR="00E0162E" w:rsidRPr="00F25744" w14:paraId="743146CA" w14:textId="77777777" w:rsidTr="009D01CF">
        <w:tc>
          <w:tcPr>
            <w:tcW w:w="4901" w:type="dxa"/>
            <w:shd w:val="clear" w:color="auto" w:fill="auto"/>
            <w:vAlign w:val="bottom"/>
          </w:tcPr>
          <w:p w14:paraId="1F7AA817"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נזקי רכוש – שיבוב וביטוח</w:t>
            </w:r>
          </w:p>
        </w:tc>
        <w:tc>
          <w:tcPr>
            <w:tcW w:w="3395" w:type="dxa"/>
            <w:shd w:val="clear" w:color="auto" w:fill="auto"/>
          </w:tcPr>
          <w:p w14:paraId="3F8F36AC"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sz w:val="24"/>
                <w:szCs w:val="24"/>
                <w:rtl/>
              </w:rPr>
              <w:t>שיבוב וביטוח</w:t>
            </w:r>
          </w:p>
        </w:tc>
      </w:tr>
      <w:tr w:rsidR="00E0162E" w:rsidRPr="00F25744" w14:paraId="4AEF9201" w14:textId="77777777" w:rsidTr="009D01CF">
        <w:tc>
          <w:tcPr>
            <w:tcW w:w="4901" w:type="dxa"/>
            <w:shd w:val="clear" w:color="auto" w:fill="auto"/>
            <w:vAlign w:val="bottom"/>
          </w:tcPr>
          <w:p w14:paraId="21759936"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ספק - לקוח</w:t>
            </w:r>
          </w:p>
        </w:tc>
        <w:tc>
          <w:tcPr>
            <w:tcW w:w="3395" w:type="dxa"/>
            <w:shd w:val="clear" w:color="auto" w:fill="auto"/>
          </w:tcPr>
          <w:p w14:paraId="378380C3"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sz w:val="24"/>
                <w:szCs w:val="24"/>
                <w:rtl/>
              </w:rPr>
              <w:t>תביעה כספית</w:t>
            </w:r>
          </w:p>
        </w:tc>
      </w:tr>
      <w:tr w:rsidR="00E0162E" w:rsidRPr="00F25744" w14:paraId="672E372C" w14:textId="77777777" w:rsidTr="009D01CF">
        <w:tc>
          <w:tcPr>
            <w:tcW w:w="4901" w:type="dxa"/>
            <w:shd w:val="clear" w:color="auto" w:fill="auto"/>
            <w:vAlign w:val="bottom"/>
          </w:tcPr>
          <w:p w14:paraId="63C1100B"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עבירת מין/הטרדה מינית</w:t>
            </w:r>
          </w:p>
        </w:tc>
        <w:tc>
          <w:tcPr>
            <w:tcW w:w="3395" w:type="dxa"/>
            <w:shd w:val="clear" w:color="auto" w:fill="auto"/>
          </w:tcPr>
          <w:p w14:paraId="0091747B" w14:textId="77777777" w:rsidR="00DD0D4B" w:rsidRPr="00F25744" w:rsidRDefault="00E25AE7" w:rsidP="00DD0D4B">
            <w:pPr>
              <w:spacing w:after="0"/>
              <w:rPr>
                <w:rFonts w:ascii="David" w:hAnsi="David" w:cs="David"/>
                <w:sz w:val="24"/>
                <w:szCs w:val="24"/>
              </w:rPr>
            </w:pPr>
            <w:r w:rsidRPr="00F25744">
              <w:rPr>
                <w:rFonts w:ascii="David" w:hAnsi="David" w:cs="David"/>
                <w:color w:val="000000"/>
                <w:sz w:val="24"/>
                <w:szCs w:val="24"/>
                <w:rtl/>
              </w:rPr>
              <w:t>נזקי גוף - חבויות</w:t>
            </w:r>
          </w:p>
        </w:tc>
      </w:tr>
      <w:tr w:rsidR="00E0162E" w:rsidRPr="00F25744" w14:paraId="2EC8C636" w14:textId="77777777" w:rsidTr="009D01CF">
        <w:tc>
          <w:tcPr>
            <w:tcW w:w="4901" w:type="dxa"/>
            <w:shd w:val="clear" w:color="auto" w:fill="auto"/>
            <w:vAlign w:val="bottom"/>
          </w:tcPr>
          <w:p w14:paraId="73077E6E"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תביעה לפי תקנה 5א' - עבירת מין/הטרדה מינית</w:t>
            </w:r>
          </w:p>
        </w:tc>
        <w:tc>
          <w:tcPr>
            <w:tcW w:w="3395" w:type="dxa"/>
            <w:shd w:val="clear" w:color="auto" w:fill="auto"/>
          </w:tcPr>
          <w:p w14:paraId="018A3967" w14:textId="77777777" w:rsidR="00DD0D4B" w:rsidRPr="00F25744" w:rsidRDefault="00E25AE7" w:rsidP="00DD0D4B">
            <w:pPr>
              <w:spacing w:after="0"/>
              <w:rPr>
                <w:rFonts w:ascii="David" w:hAnsi="David" w:cs="David"/>
                <w:sz w:val="24"/>
                <w:szCs w:val="24"/>
              </w:rPr>
            </w:pPr>
            <w:r w:rsidRPr="00F25744">
              <w:rPr>
                <w:rFonts w:ascii="David" w:hAnsi="David" w:cs="David"/>
                <w:color w:val="000000"/>
                <w:sz w:val="24"/>
                <w:szCs w:val="24"/>
                <w:rtl/>
              </w:rPr>
              <w:t>נזקי גוף - חבויות</w:t>
            </w:r>
          </w:p>
        </w:tc>
      </w:tr>
      <w:tr w:rsidR="00E0162E" w:rsidRPr="00F25744" w14:paraId="4DE2A768" w14:textId="77777777" w:rsidTr="009D01CF">
        <w:tc>
          <w:tcPr>
            <w:tcW w:w="4901" w:type="dxa"/>
            <w:shd w:val="clear" w:color="auto" w:fill="auto"/>
            <w:vAlign w:val="bottom"/>
          </w:tcPr>
          <w:p w14:paraId="6768DC62"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פינוי/סילוק יד – תביעה כספית</w:t>
            </w:r>
          </w:p>
        </w:tc>
        <w:tc>
          <w:tcPr>
            <w:tcW w:w="3395" w:type="dxa"/>
            <w:shd w:val="clear" w:color="auto" w:fill="auto"/>
          </w:tcPr>
          <w:p w14:paraId="3CDB8DFB"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sz w:val="24"/>
                <w:szCs w:val="24"/>
                <w:rtl/>
              </w:rPr>
              <w:t>מקרקעין (כולל פינוי סילוק ואחר)</w:t>
            </w:r>
          </w:p>
        </w:tc>
      </w:tr>
      <w:tr w:rsidR="00E0162E" w:rsidRPr="00F25744" w14:paraId="56C95466" w14:textId="77777777" w:rsidTr="009D01CF">
        <w:tc>
          <w:tcPr>
            <w:tcW w:w="4901" w:type="dxa"/>
            <w:shd w:val="clear" w:color="auto" w:fill="auto"/>
            <w:vAlign w:val="bottom"/>
          </w:tcPr>
          <w:p w14:paraId="0B3D16BA"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פלת-ד</w:t>
            </w:r>
          </w:p>
        </w:tc>
        <w:tc>
          <w:tcPr>
            <w:tcW w:w="3395" w:type="dxa"/>
            <w:shd w:val="clear" w:color="auto" w:fill="auto"/>
          </w:tcPr>
          <w:p w14:paraId="419D9E29"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sz w:val="24"/>
                <w:szCs w:val="24"/>
                <w:rtl/>
              </w:rPr>
              <w:t>פלת"ד</w:t>
            </w:r>
          </w:p>
        </w:tc>
      </w:tr>
      <w:tr w:rsidR="00E0162E" w:rsidRPr="00F25744" w14:paraId="66C6C711" w14:textId="77777777" w:rsidTr="009D01CF">
        <w:tc>
          <w:tcPr>
            <w:tcW w:w="4901" w:type="dxa"/>
            <w:shd w:val="clear" w:color="auto" w:fill="auto"/>
            <w:vAlign w:val="bottom"/>
          </w:tcPr>
          <w:p w14:paraId="04B7AE2A"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פלת-ד (ח)</w:t>
            </w:r>
          </w:p>
        </w:tc>
        <w:tc>
          <w:tcPr>
            <w:tcW w:w="3395" w:type="dxa"/>
            <w:shd w:val="clear" w:color="auto" w:fill="auto"/>
          </w:tcPr>
          <w:p w14:paraId="15A14452"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sz w:val="24"/>
                <w:szCs w:val="24"/>
                <w:rtl/>
              </w:rPr>
              <w:t>פלת"ד</w:t>
            </w:r>
          </w:p>
        </w:tc>
      </w:tr>
      <w:tr w:rsidR="00E0162E" w:rsidRPr="00F25744" w14:paraId="1D56FCF0" w14:textId="77777777" w:rsidTr="009D01CF">
        <w:tc>
          <w:tcPr>
            <w:tcW w:w="4901" w:type="dxa"/>
            <w:shd w:val="clear" w:color="auto" w:fill="auto"/>
            <w:vAlign w:val="bottom"/>
          </w:tcPr>
          <w:p w14:paraId="72CFC9BD"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קניין רוחני - פטנטים</w:t>
            </w:r>
          </w:p>
        </w:tc>
        <w:tc>
          <w:tcPr>
            <w:tcW w:w="3395" w:type="dxa"/>
            <w:shd w:val="clear" w:color="auto" w:fill="auto"/>
          </w:tcPr>
          <w:p w14:paraId="287B4D73"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sz w:val="24"/>
                <w:szCs w:val="24"/>
                <w:rtl/>
              </w:rPr>
              <w:t>קניין רוחני</w:t>
            </w:r>
          </w:p>
        </w:tc>
      </w:tr>
      <w:tr w:rsidR="00E0162E" w:rsidRPr="00F25744" w14:paraId="562C04D5" w14:textId="77777777" w:rsidTr="009D01CF">
        <w:tc>
          <w:tcPr>
            <w:tcW w:w="4901" w:type="dxa"/>
            <w:shd w:val="clear" w:color="auto" w:fill="auto"/>
            <w:vAlign w:val="bottom"/>
          </w:tcPr>
          <w:p w14:paraId="2D323398"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קניין רוחני אחר</w:t>
            </w:r>
          </w:p>
        </w:tc>
        <w:tc>
          <w:tcPr>
            <w:tcW w:w="3395" w:type="dxa"/>
            <w:shd w:val="clear" w:color="auto" w:fill="auto"/>
          </w:tcPr>
          <w:p w14:paraId="79F20EBB"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sz w:val="24"/>
                <w:szCs w:val="24"/>
                <w:rtl/>
              </w:rPr>
              <w:t>קניין רוחני</w:t>
            </w:r>
          </w:p>
        </w:tc>
      </w:tr>
      <w:tr w:rsidR="00E0162E" w:rsidRPr="00F25744" w14:paraId="4E28B15F" w14:textId="77777777" w:rsidTr="009D01CF">
        <w:tc>
          <w:tcPr>
            <w:tcW w:w="4901" w:type="dxa"/>
            <w:shd w:val="clear" w:color="auto" w:fill="auto"/>
            <w:vAlign w:val="bottom"/>
          </w:tcPr>
          <w:p w14:paraId="71C2449B"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תביעה אחרת (שאינה כספית ואינה תקנה 3 אגרות)</w:t>
            </w:r>
          </w:p>
        </w:tc>
        <w:tc>
          <w:tcPr>
            <w:tcW w:w="3395" w:type="dxa"/>
            <w:shd w:val="clear" w:color="auto" w:fill="auto"/>
          </w:tcPr>
          <w:p w14:paraId="44CED75C"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sz w:val="24"/>
                <w:szCs w:val="24"/>
                <w:rtl/>
              </w:rPr>
              <w:t>תקנה 3 (אגרות)</w:t>
            </w:r>
          </w:p>
        </w:tc>
      </w:tr>
      <w:tr w:rsidR="00E0162E" w:rsidRPr="00F25744" w14:paraId="6F906808" w14:textId="77777777" w:rsidTr="009D01CF">
        <w:tc>
          <w:tcPr>
            <w:tcW w:w="4901" w:type="dxa"/>
            <w:shd w:val="clear" w:color="auto" w:fill="auto"/>
            <w:vAlign w:val="bottom"/>
          </w:tcPr>
          <w:p w14:paraId="0A297842"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תקנה 3 (אגרות) - אחר</w:t>
            </w:r>
          </w:p>
        </w:tc>
        <w:tc>
          <w:tcPr>
            <w:tcW w:w="3395" w:type="dxa"/>
            <w:shd w:val="clear" w:color="auto" w:fill="auto"/>
          </w:tcPr>
          <w:p w14:paraId="73F74148"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sz w:val="24"/>
                <w:szCs w:val="24"/>
                <w:rtl/>
              </w:rPr>
              <w:t>תקנה 3 (אגרות)</w:t>
            </w:r>
          </w:p>
        </w:tc>
      </w:tr>
      <w:tr w:rsidR="00E0162E" w:rsidRPr="00F25744" w14:paraId="7344D217" w14:textId="77777777" w:rsidTr="009D01CF">
        <w:tc>
          <w:tcPr>
            <w:tcW w:w="4901" w:type="dxa"/>
            <w:shd w:val="clear" w:color="auto" w:fill="auto"/>
            <w:vAlign w:val="bottom"/>
          </w:tcPr>
          <w:p w14:paraId="11F3E4EF"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תביעה כספית אחרת</w:t>
            </w:r>
          </w:p>
        </w:tc>
        <w:tc>
          <w:tcPr>
            <w:tcW w:w="3395" w:type="dxa"/>
            <w:shd w:val="clear" w:color="auto" w:fill="auto"/>
          </w:tcPr>
          <w:p w14:paraId="54A25933"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sz w:val="24"/>
                <w:szCs w:val="24"/>
                <w:rtl/>
              </w:rPr>
              <w:t>תביעה כספית</w:t>
            </w:r>
          </w:p>
        </w:tc>
      </w:tr>
      <w:tr w:rsidR="00E0162E" w:rsidRPr="00F25744" w14:paraId="421258DC" w14:textId="77777777" w:rsidTr="009D01CF">
        <w:tc>
          <w:tcPr>
            <w:tcW w:w="4901" w:type="dxa"/>
            <w:shd w:val="clear" w:color="auto" w:fill="auto"/>
            <w:vAlign w:val="bottom"/>
          </w:tcPr>
          <w:p w14:paraId="323CB105"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תביעה כספית חוזית בשל נזק גוף</w:t>
            </w:r>
          </w:p>
        </w:tc>
        <w:tc>
          <w:tcPr>
            <w:tcW w:w="3395" w:type="dxa"/>
            <w:shd w:val="clear" w:color="auto" w:fill="auto"/>
          </w:tcPr>
          <w:p w14:paraId="5D5FDF9C"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sz w:val="24"/>
                <w:szCs w:val="24"/>
                <w:rtl/>
              </w:rPr>
              <w:t>נזקי גוף ביטוח (פוליסה)</w:t>
            </w:r>
          </w:p>
        </w:tc>
      </w:tr>
      <w:tr w:rsidR="00E0162E" w:rsidRPr="00F25744" w14:paraId="6B5E212B" w14:textId="77777777" w:rsidTr="009D01CF">
        <w:tc>
          <w:tcPr>
            <w:tcW w:w="4901" w:type="dxa"/>
            <w:shd w:val="clear" w:color="auto" w:fill="auto"/>
            <w:vAlign w:val="bottom"/>
          </w:tcPr>
          <w:p w14:paraId="54E7CD0F"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תביעה כספית מעל 270,440 + נזקי גוף</w:t>
            </w:r>
          </w:p>
        </w:tc>
        <w:tc>
          <w:tcPr>
            <w:tcW w:w="3395" w:type="dxa"/>
            <w:shd w:val="clear" w:color="auto" w:fill="auto"/>
          </w:tcPr>
          <w:p w14:paraId="5BB289D2"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sz w:val="24"/>
                <w:szCs w:val="24"/>
                <w:rtl/>
              </w:rPr>
              <w:t>נזקי גוף ביטוח (פוליסה)</w:t>
            </w:r>
          </w:p>
        </w:tc>
      </w:tr>
      <w:tr w:rsidR="00E0162E" w:rsidRPr="00F25744" w14:paraId="473A726A" w14:textId="77777777" w:rsidTr="009D01CF">
        <w:tc>
          <w:tcPr>
            <w:tcW w:w="4901" w:type="dxa"/>
            <w:tcBorders>
              <w:bottom w:val="single" w:sz="4" w:space="0" w:color="auto"/>
            </w:tcBorders>
            <w:shd w:val="clear" w:color="auto" w:fill="auto"/>
            <w:vAlign w:val="bottom"/>
          </w:tcPr>
          <w:p w14:paraId="152B4D55"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תביעה כספית עד 270,440 + נזקי גוף</w:t>
            </w:r>
          </w:p>
        </w:tc>
        <w:tc>
          <w:tcPr>
            <w:tcW w:w="3395" w:type="dxa"/>
            <w:tcBorders>
              <w:bottom w:val="single" w:sz="4" w:space="0" w:color="auto"/>
            </w:tcBorders>
            <w:shd w:val="clear" w:color="auto" w:fill="auto"/>
          </w:tcPr>
          <w:p w14:paraId="39428022"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sz w:val="24"/>
                <w:szCs w:val="24"/>
                <w:rtl/>
              </w:rPr>
              <w:t>נזקי גוף ביטוח (פוליסה)</w:t>
            </w:r>
          </w:p>
        </w:tc>
      </w:tr>
      <w:tr w:rsidR="00E0162E" w:rsidRPr="00F25744" w14:paraId="57CFAF2A" w14:textId="77777777" w:rsidTr="009D01CF">
        <w:tc>
          <w:tcPr>
            <w:tcW w:w="4901" w:type="dxa"/>
            <w:tcBorders>
              <w:top w:val="single" w:sz="4" w:space="0" w:color="auto"/>
              <w:bottom w:val="single" w:sz="4" w:space="0" w:color="auto"/>
            </w:tcBorders>
            <w:shd w:val="clear" w:color="auto" w:fill="auto"/>
            <w:vAlign w:val="bottom"/>
          </w:tcPr>
          <w:p w14:paraId="28443316" w14:textId="77777777" w:rsidR="00DD0D4B" w:rsidRPr="00F25744" w:rsidRDefault="00E25AE7" w:rsidP="00DD0D4B">
            <w:pPr>
              <w:spacing w:after="0"/>
              <w:rPr>
                <w:rFonts w:ascii="David" w:hAnsi="David" w:cs="David"/>
                <w:color w:val="000000"/>
                <w:sz w:val="24"/>
                <w:szCs w:val="24"/>
                <w:rtl/>
              </w:rPr>
            </w:pPr>
            <w:r w:rsidRPr="00F25744">
              <w:rPr>
                <w:rFonts w:ascii="David" w:hAnsi="David" w:cs="David"/>
                <w:color w:val="000000"/>
                <w:sz w:val="24"/>
                <w:szCs w:val="24"/>
                <w:rtl/>
              </w:rPr>
              <w:t>תביעות חוב מוסדיות</w:t>
            </w:r>
          </w:p>
        </w:tc>
        <w:tc>
          <w:tcPr>
            <w:tcW w:w="3395" w:type="dxa"/>
            <w:tcBorders>
              <w:top w:val="single" w:sz="4" w:space="0" w:color="auto"/>
              <w:bottom w:val="single" w:sz="4" w:space="0" w:color="auto"/>
            </w:tcBorders>
            <w:shd w:val="clear" w:color="auto" w:fill="auto"/>
          </w:tcPr>
          <w:p w14:paraId="5B68A004" w14:textId="77777777" w:rsidR="00DD0D4B" w:rsidRPr="00F25744" w:rsidRDefault="00E25AE7" w:rsidP="00DD0D4B">
            <w:pPr>
              <w:tabs>
                <w:tab w:val="left" w:pos="1040"/>
              </w:tabs>
              <w:spacing w:after="0"/>
              <w:rPr>
                <w:rFonts w:ascii="David" w:hAnsi="David" w:cs="David"/>
                <w:sz w:val="24"/>
                <w:szCs w:val="24"/>
                <w:rtl/>
              </w:rPr>
            </w:pPr>
            <w:r w:rsidRPr="00F25744">
              <w:rPr>
                <w:rFonts w:ascii="David" w:hAnsi="David" w:cs="David"/>
                <w:sz w:val="24"/>
                <w:szCs w:val="24"/>
                <w:rtl/>
              </w:rPr>
              <w:t>תביעה כספית</w:t>
            </w:r>
          </w:p>
        </w:tc>
      </w:tr>
    </w:tbl>
    <w:p w14:paraId="557FC5CF" w14:textId="77777777" w:rsidR="00DD0D4B" w:rsidRPr="00F25744" w:rsidRDefault="00DD0D4B" w:rsidP="00DD0D4B">
      <w:pPr>
        <w:spacing w:after="0" w:line="360" w:lineRule="auto"/>
        <w:jc w:val="both"/>
        <w:outlineLvl w:val="1"/>
        <w:rPr>
          <w:rFonts w:ascii="David" w:hAnsi="David" w:cs="David"/>
          <w:b/>
          <w:bCs/>
          <w:sz w:val="24"/>
          <w:szCs w:val="24"/>
          <w:u w:val="single"/>
          <w:rtl/>
        </w:rPr>
      </w:pPr>
      <w:bookmarkStart w:id="1025" w:name="_Toc46416717"/>
    </w:p>
    <w:p w14:paraId="21D47117" w14:textId="17E65761" w:rsidR="00DD0D4B" w:rsidRPr="00F25744" w:rsidRDefault="00E25AE7" w:rsidP="0043255F">
      <w:pPr>
        <w:pStyle w:val="2"/>
        <w:numPr>
          <w:ilvl w:val="0"/>
          <w:numId w:val="0"/>
        </w:numPr>
        <w:ind w:left="360"/>
        <w:rPr>
          <w:rtl/>
        </w:rPr>
      </w:pPr>
      <w:r w:rsidRPr="00F25744">
        <w:rPr>
          <w:rtl/>
        </w:rPr>
        <w:br w:type="page"/>
      </w:r>
      <w:bookmarkStart w:id="1026" w:name="_Toc74751069"/>
      <w:r w:rsidR="007F3A52" w:rsidRPr="00F25744">
        <w:rPr>
          <w:rFonts w:hint="cs"/>
          <w:rtl/>
        </w:rPr>
        <w:lastRenderedPageBreak/>
        <w:t>נ</w:t>
      </w:r>
      <w:r w:rsidR="007F3A52" w:rsidRPr="00F25744">
        <w:rPr>
          <w:rtl/>
        </w:rPr>
        <w:t>ספח ח': טבלת משקלות לפי זמנים ופירוט הזמן לתיק בהתאם למספר התיקים הממוצע שנסגרים</w:t>
      </w:r>
      <w:bookmarkEnd w:id="1025"/>
      <w:bookmarkEnd w:id="1026"/>
      <w:r w:rsidR="002E6A4E">
        <w:rPr>
          <w:rFonts w:hint="cs"/>
          <w:rtl/>
        </w:rPr>
        <w:t xml:space="preserve"> בפס"ד</w:t>
      </w:r>
    </w:p>
    <w:tbl>
      <w:tblPr>
        <w:tblpPr w:leftFromText="181" w:rightFromText="85" w:vertAnchor="text" w:tblpXSpec="right" w:tblpY="1"/>
        <w:tblOverlap w:val="never"/>
        <w:bidiVisual/>
        <w:tblW w:w="9922" w:type="dxa"/>
        <w:tblBorders>
          <w:insideH w:val="single" w:sz="4" w:space="0" w:color="auto"/>
        </w:tblBorders>
        <w:tblLayout w:type="fixed"/>
        <w:tblLook w:val="04A0" w:firstRow="1" w:lastRow="0" w:firstColumn="1" w:lastColumn="0" w:noHBand="0" w:noVBand="1"/>
      </w:tblPr>
      <w:tblGrid>
        <w:gridCol w:w="851"/>
        <w:gridCol w:w="993"/>
        <w:gridCol w:w="2267"/>
        <w:gridCol w:w="992"/>
        <w:gridCol w:w="1134"/>
        <w:gridCol w:w="993"/>
        <w:gridCol w:w="1134"/>
        <w:gridCol w:w="1558"/>
      </w:tblGrid>
      <w:tr w:rsidR="00E0162E" w:rsidRPr="0052793E" w14:paraId="65A8A57E" w14:textId="77777777" w:rsidTr="00DB5BCC">
        <w:trPr>
          <w:trHeight w:val="1276"/>
        </w:trPr>
        <w:tc>
          <w:tcPr>
            <w:tcW w:w="851" w:type="dxa"/>
            <w:tcBorders>
              <w:top w:val="nil"/>
              <w:left w:val="nil"/>
              <w:bottom w:val="single" w:sz="4" w:space="0" w:color="auto"/>
              <w:right w:val="nil"/>
            </w:tcBorders>
            <w:shd w:val="clear" w:color="auto" w:fill="auto"/>
            <w:vAlign w:val="center"/>
            <w:hideMark/>
          </w:tcPr>
          <w:p w14:paraId="6E033F7E" w14:textId="77777777" w:rsidR="00DD0D4B" w:rsidRPr="0052793E" w:rsidRDefault="00E25AE7" w:rsidP="00502795">
            <w:pPr>
              <w:spacing w:after="0" w:line="240" w:lineRule="auto"/>
              <w:rPr>
                <w:rFonts w:ascii="Arial" w:eastAsia="Times New Roman" w:hAnsi="Arial" w:cs="David"/>
                <w:b/>
                <w:bCs/>
                <w:rtl/>
              </w:rPr>
            </w:pPr>
            <w:r w:rsidRPr="0052793E">
              <w:rPr>
                <w:rFonts w:ascii="Arial" w:eastAsia="Times New Roman" w:hAnsi="Arial" w:cs="David" w:hint="cs"/>
                <w:b/>
                <w:bCs/>
                <w:rtl/>
              </w:rPr>
              <w:t>ערכאה</w:t>
            </w:r>
          </w:p>
        </w:tc>
        <w:tc>
          <w:tcPr>
            <w:tcW w:w="993" w:type="dxa"/>
            <w:tcBorders>
              <w:top w:val="nil"/>
              <w:left w:val="nil"/>
              <w:bottom w:val="single" w:sz="4" w:space="0" w:color="auto"/>
              <w:right w:val="nil"/>
            </w:tcBorders>
            <w:shd w:val="clear" w:color="auto" w:fill="auto"/>
            <w:vAlign w:val="center"/>
            <w:hideMark/>
          </w:tcPr>
          <w:p w14:paraId="0DA7B133" w14:textId="77777777" w:rsidR="00DD0D4B" w:rsidRPr="0052793E" w:rsidRDefault="00E25AE7" w:rsidP="00502795">
            <w:pPr>
              <w:spacing w:after="0" w:line="240" w:lineRule="auto"/>
              <w:rPr>
                <w:rFonts w:ascii="Arial" w:eastAsia="Times New Roman" w:hAnsi="Arial" w:cs="David"/>
                <w:b/>
                <w:bCs/>
                <w:rtl/>
              </w:rPr>
            </w:pPr>
            <w:r w:rsidRPr="0052793E">
              <w:rPr>
                <w:rFonts w:ascii="Arial" w:eastAsia="Times New Roman" w:hAnsi="Arial" w:cs="David" w:hint="cs"/>
                <w:b/>
                <w:bCs/>
                <w:rtl/>
              </w:rPr>
              <w:t>הליך</w:t>
            </w:r>
          </w:p>
        </w:tc>
        <w:tc>
          <w:tcPr>
            <w:tcW w:w="2267" w:type="dxa"/>
            <w:tcBorders>
              <w:top w:val="nil"/>
              <w:left w:val="nil"/>
              <w:bottom w:val="single" w:sz="4" w:space="0" w:color="auto"/>
              <w:right w:val="nil"/>
            </w:tcBorders>
            <w:shd w:val="clear" w:color="auto" w:fill="auto"/>
            <w:vAlign w:val="center"/>
            <w:hideMark/>
          </w:tcPr>
          <w:p w14:paraId="75459EB5" w14:textId="77777777" w:rsidR="00DD0D4B" w:rsidRPr="0052793E" w:rsidRDefault="00E25AE7" w:rsidP="00502795">
            <w:pPr>
              <w:spacing w:after="0" w:line="240" w:lineRule="auto"/>
              <w:rPr>
                <w:rFonts w:ascii="Arial" w:eastAsia="Times New Roman" w:hAnsi="Arial" w:cs="David"/>
                <w:b/>
                <w:bCs/>
                <w:rtl/>
              </w:rPr>
            </w:pPr>
            <w:r w:rsidRPr="0052793E">
              <w:rPr>
                <w:rFonts w:ascii="Arial" w:eastAsia="Times New Roman" w:hAnsi="Arial" w:cs="David" w:hint="cs"/>
                <w:b/>
                <w:bCs/>
                <w:rtl/>
              </w:rPr>
              <w:t>סוג תיק</w:t>
            </w:r>
          </w:p>
        </w:tc>
        <w:tc>
          <w:tcPr>
            <w:tcW w:w="992" w:type="dxa"/>
            <w:tcBorders>
              <w:top w:val="nil"/>
              <w:left w:val="nil"/>
              <w:bottom w:val="single" w:sz="4" w:space="0" w:color="auto"/>
              <w:right w:val="nil"/>
            </w:tcBorders>
            <w:shd w:val="clear" w:color="auto" w:fill="auto"/>
            <w:vAlign w:val="center"/>
            <w:hideMark/>
          </w:tcPr>
          <w:p w14:paraId="0AE673E7" w14:textId="77777777" w:rsidR="00DD0D4B" w:rsidRPr="0052793E" w:rsidRDefault="00E25AE7" w:rsidP="00502795">
            <w:pPr>
              <w:spacing w:after="0" w:line="240" w:lineRule="auto"/>
              <w:rPr>
                <w:rFonts w:ascii="Arial" w:eastAsia="Times New Roman" w:hAnsi="Arial" w:cs="David"/>
                <w:b/>
                <w:bCs/>
                <w:rtl/>
              </w:rPr>
            </w:pPr>
            <w:r w:rsidRPr="0052793E">
              <w:rPr>
                <w:rFonts w:ascii="Arial" w:eastAsia="Times New Roman" w:hAnsi="Arial" w:cs="David" w:hint="cs"/>
                <w:b/>
                <w:bCs/>
                <w:rtl/>
              </w:rPr>
              <w:t>מספר תיקים שנסגרו ב-2019</w:t>
            </w:r>
          </w:p>
        </w:tc>
        <w:tc>
          <w:tcPr>
            <w:tcW w:w="1134" w:type="dxa"/>
            <w:tcBorders>
              <w:top w:val="nil"/>
              <w:left w:val="nil"/>
              <w:bottom w:val="single" w:sz="4" w:space="0" w:color="auto"/>
              <w:right w:val="nil"/>
            </w:tcBorders>
            <w:shd w:val="clear" w:color="auto" w:fill="auto"/>
            <w:vAlign w:val="center"/>
            <w:hideMark/>
          </w:tcPr>
          <w:p w14:paraId="45F918FE" w14:textId="77777777" w:rsidR="00DD0D4B" w:rsidRPr="0052793E" w:rsidRDefault="00E25AE7" w:rsidP="00502795">
            <w:pPr>
              <w:spacing w:after="0" w:line="240" w:lineRule="auto"/>
              <w:rPr>
                <w:rFonts w:ascii="Arial" w:eastAsia="Times New Roman" w:hAnsi="Arial" w:cs="David"/>
                <w:b/>
                <w:bCs/>
                <w:rtl/>
              </w:rPr>
            </w:pPr>
            <w:r w:rsidRPr="0052793E">
              <w:rPr>
                <w:rFonts w:ascii="Arial" w:eastAsia="Times New Roman" w:hAnsi="Arial" w:cs="David" w:hint="cs"/>
                <w:b/>
                <w:bCs/>
                <w:rtl/>
              </w:rPr>
              <w:t>הזמן השיפוטי הממוצע לטיפול בתיק</w:t>
            </w:r>
          </w:p>
        </w:tc>
        <w:tc>
          <w:tcPr>
            <w:tcW w:w="993" w:type="dxa"/>
            <w:tcBorders>
              <w:top w:val="nil"/>
              <w:left w:val="nil"/>
              <w:bottom w:val="single" w:sz="4" w:space="0" w:color="auto"/>
              <w:right w:val="nil"/>
            </w:tcBorders>
            <w:shd w:val="clear" w:color="auto" w:fill="auto"/>
            <w:vAlign w:val="center"/>
            <w:hideMark/>
          </w:tcPr>
          <w:p w14:paraId="0040AB55" w14:textId="77777777" w:rsidR="00DD0D4B" w:rsidRPr="0052793E" w:rsidRDefault="00E25AE7" w:rsidP="00502795">
            <w:pPr>
              <w:spacing w:after="0" w:line="240" w:lineRule="auto"/>
              <w:rPr>
                <w:rFonts w:ascii="Arial" w:eastAsia="Times New Roman" w:hAnsi="Arial" w:cs="David"/>
                <w:b/>
                <w:bCs/>
                <w:rtl/>
              </w:rPr>
            </w:pPr>
            <w:r w:rsidRPr="0052793E">
              <w:rPr>
                <w:rFonts w:ascii="Arial" w:eastAsia="Times New Roman" w:hAnsi="Arial" w:cs="David" w:hint="cs"/>
                <w:b/>
                <w:bCs/>
                <w:rtl/>
              </w:rPr>
              <w:t>הזמן השיפוטי הממוצע לפי המחקר הקודם</w:t>
            </w:r>
          </w:p>
        </w:tc>
        <w:tc>
          <w:tcPr>
            <w:tcW w:w="1134" w:type="dxa"/>
            <w:tcBorders>
              <w:top w:val="nil"/>
              <w:left w:val="nil"/>
              <w:bottom w:val="single" w:sz="4" w:space="0" w:color="auto"/>
              <w:right w:val="nil"/>
            </w:tcBorders>
            <w:shd w:val="clear" w:color="auto" w:fill="auto"/>
            <w:vAlign w:val="center"/>
          </w:tcPr>
          <w:p w14:paraId="4BF9944D" w14:textId="77777777" w:rsidR="00DD0D4B" w:rsidRPr="0052793E" w:rsidRDefault="00E25AE7" w:rsidP="00502795">
            <w:pPr>
              <w:spacing w:after="0" w:line="240" w:lineRule="auto"/>
              <w:jc w:val="center"/>
              <w:rPr>
                <w:rFonts w:ascii="Arial" w:eastAsia="Times New Roman" w:hAnsi="Arial" w:cs="David"/>
                <w:b/>
                <w:bCs/>
                <w:rtl/>
              </w:rPr>
            </w:pPr>
            <w:r w:rsidRPr="0052793E">
              <w:rPr>
                <w:rFonts w:ascii="Arial" w:eastAsia="Times New Roman" w:hAnsi="Arial" w:cs="David" w:hint="cs"/>
                <w:b/>
                <w:bCs/>
                <w:rtl/>
              </w:rPr>
              <w:t>כמות התיקים הממוצעת שפסק דין סוגר</w:t>
            </w:r>
          </w:p>
        </w:tc>
        <w:tc>
          <w:tcPr>
            <w:tcW w:w="1558" w:type="dxa"/>
            <w:tcBorders>
              <w:top w:val="nil"/>
              <w:left w:val="nil"/>
              <w:bottom w:val="single" w:sz="4" w:space="0" w:color="auto"/>
              <w:right w:val="nil"/>
            </w:tcBorders>
            <w:shd w:val="clear" w:color="auto" w:fill="auto"/>
            <w:vAlign w:val="center"/>
          </w:tcPr>
          <w:p w14:paraId="40BB1F32" w14:textId="77777777" w:rsidR="00DD0D4B" w:rsidRPr="0052793E" w:rsidRDefault="00E25AE7" w:rsidP="00502795">
            <w:pPr>
              <w:spacing w:after="0" w:line="240" w:lineRule="auto"/>
              <w:jc w:val="center"/>
              <w:rPr>
                <w:rFonts w:ascii="Arial" w:eastAsia="Times New Roman" w:hAnsi="Arial" w:cs="David"/>
                <w:b/>
                <w:bCs/>
                <w:rtl/>
              </w:rPr>
            </w:pPr>
            <w:r w:rsidRPr="0052793E">
              <w:rPr>
                <w:rFonts w:ascii="Arial" w:eastAsia="Times New Roman" w:hAnsi="Arial" w:cs="David" w:hint="cs"/>
                <w:b/>
                <w:bCs/>
                <w:rtl/>
              </w:rPr>
              <w:t>הזמן השיפוטי הממוצע לטיפול בתיק חלקי כמות התיקים שפסק הדין סוגר</w:t>
            </w:r>
          </w:p>
        </w:tc>
      </w:tr>
      <w:tr w:rsidR="00946FA0" w:rsidRPr="0052793E" w14:paraId="1ABFD89D" w14:textId="77777777" w:rsidTr="00DB5BCC">
        <w:trPr>
          <w:trHeight w:val="489"/>
        </w:trPr>
        <w:tc>
          <w:tcPr>
            <w:tcW w:w="851" w:type="dxa"/>
            <w:tcBorders>
              <w:top w:val="single" w:sz="4" w:space="0" w:color="auto"/>
              <w:left w:val="nil"/>
              <w:bottom w:val="single" w:sz="4" w:space="0" w:color="auto"/>
              <w:right w:val="nil"/>
            </w:tcBorders>
            <w:shd w:val="clear" w:color="auto" w:fill="auto"/>
            <w:noWrap/>
            <w:vAlign w:val="center"/>
            <w:hideMark/>
          </w:tcPr>
          <w:p w14:paraId="11E1B4EF" w14:textId="77777777" w:rsidR="00946FA0" w:rsidRPr="0052793E" w:rsidRDefault="00946FA0" w:rsidP="00502795">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tcBorders>
              <w:top w:val="single" w:sz="4" w:space="0" w:color="auto"/>
              <w:left w:val="nil"/>
              <w:bottom w:val="single" w:sz="4" w:space="0" w:color="auto"/>
              <w:right w:val="nil"/>
            </w:tcBorders>
            <w:shd w:val="clear" w:color="auto" w:fill="auto"/>
            <w:noWrap/>
            <w:vAlign w:val="center"/>
            <w:hideMark/>
          </w:tcPr>
          <w:p w14:paraId="1AE6E65B" w14:textId="77777777" w:rsidR="00946FA0" w:rsidRPr="0052793E" w:rsidRDefault="00946FA0" w:rsidP="00502795">
            <w:pPr>
              <w:spacing w:after="0" w:line="240" w:lineRule="auto"/>
              <w:rPr>
                <w:rFonts w:ascii="David" w:eastAsia="Times New Roman" w:hAnsi="David" w:cs="David"/>
                <w:rtl/>
              </w:rPr>
            </w:pPr>
            <w:r w:rsidRPr="0052793E">
              <w:rPr>
                <w:rFonts w:ascii="David" w:eastAsia="Times New Roman" w:hAnsi="David" w:cs="David"/>
                <w:rtl/>
              </w:rPr>
              <w:t>פלילי</w:t>
            </w:r>
          </w:p>
        </w:tc>
        <w:tc>
          <w:tcPr>
            <w:tcW w:w="2267" w:type="dxa"/>
            <w:tcBorders>
              <w:top w:val="single" w:sz="4" w:space="0" w:color="auto"/>
              <w:left w:val="nil"/>
              <w:bottom w:val="single" w:sz="4" w:space="0" w:color="auto"/>
              <w:right w:val="nil"/>
            </w:tcBorders>
            <w:shd w:val="clear" w:color="auto" w:fill="auto"/>
            <w:vAlign w:val="center"/>
            <w:hideMark/>
          </w:tcPr>
          <w:p w14:paraId="271FE702" w14:textId="77777777" w:rsidR="00946FA0" w:rsidRPr="0052793E" w:rsidRDefault="00946FA0" w:rsidP="00502795">
            <w:pPr>
              <w:spacing w:after="0" w:line="240" w:lineRule="auto"/>
              <w:rPr>
                <w:rFonts w:ascii="David" w:eastAsia="Times New Roman" w:hAnsi="David" w:cs="David"/>
                <w:rtl/>
              </w:rPr>
            </w:pPr>
            <w:r w:rsidRPr="0052793E">
              <w:rPr>
                <w:rFonts w:ascii="David" w:eastAsia="Times New Roman" w:hAnsi="David" w:cs="David"/>
                <w:rtl/>
              </w:rPr>
              <w:t>תיק פשעים חמורים (תפ"ח) – הרכב</w:t>
            </w:r>
          </w:p>
        </w:tc>
        <w:tc>
          <w:tcPr>
            <w:tcW w:w="992" w:type="dxa"/>
            <w:tcBorders>
              <w:top w:val="single" w:sz="4" w:space="0" w:color="auto"/>
              <w:left w:val="nil"/>
              <w:bottom w:val="single" w:sz="4" w:space="0" w:color="auto"/>
              <w:right w:val="nil"/>
            </w:tcBorders>
            <w:shd w:val="clear" w:color="auto" w:fill="auto"/>
            <w:vAlign w:val="center"/>
            <w:hideMark/>
          </w:tcPr>
          <w:p w14:paraId="0DEE092D" w14:textId="77777777" w:rsidR="00946FA0" w:rsidRPr="0052793E" w:rsidRDefault="00946FA0" w:rsidP="00502795">
            <w:pPr>
              <w:spacing w:after="0" w:line="240" w:lineRule="auto"/>
              <w:jc w:val="center"/>
              <w:rPr>
                <w:rFonts w:ascii="David" w:eastAsia="Times New Roman" w:hAnsi="David" w:cs="David"/>
                <w:rtl/>
              </w:rPr>
            </w:pPr>
            <w:r w:rsidRPr="0052793E">
              <w:rPr>
                <w:rFonts w:ascii="David" w:eastAsia="Times New Roman" w:hAnsi="David" w:cs="David"/>
              </w:rPr>
              <w:t>274</w:t>
            </w:r>
          </w:p>
        </w:tc>
        <w:tc>
          <w:tcPr>
            <w:tcW w:w="1134" w:type="dxa"/>
            <w:tcBorders>
              <w:top w:val="single" w:sz="4" w:space="0" w:color="auto"/>
              <w:left w:val="nil"/>
              <w:bottom w:val="single" w:sz="4" w:space="0" w:color="auto"/>
              <w:right w:val="nil"/>
            </w:tcBorders>
            <w:shd w:val="clear" w:color="auto" w:fill="auto"/>
            <w:noWrap/>
            <w:vAlign w:val="center"/>
            <w:hideMark/>
          </w:tcPr>
          <w:p w14:paraId="7FE2C7D4" w14:textId="77777777" w:rsidR="00946FA0" w:rsidRPr="0052793E" w:rsidRDefault="00946FA0" w:rsidP="00502795">
            <w:pPr>
              <w:spacing w:after="0" w:line="240" w:lineRule="auto"/>
              <w:jc w:val="center"/>
              <w:rPr>
                <w:rFonts w:ascii="David" w:eastAsia="Times New Roman" w:hAnsi="David" w:cs="David"/>
                <w:b/>
                <w:bCs/>
                <w:rtl/>
              </w:rPr>
            </w:pPr>
            <w:r w:rsidRPr="0052793E">
              <w:rPr>
                <w:rFonts w:ascii="David" w:eastAsia="Times New Roman" w:hAnsi="David" w:cs="David" w:hint="cs"/>
                <w:b/>
                <w:bCs/>
                <w:rtl/>
              </w:rPr>
              <w:t>148:41</w:t>
            </w:r>
          </w:p>
        </w:tc>
        <w:tc>
          <w:tcPr>
            <w:tcW w:w="993" w:type="dxa"/>
            <w:tcBorders>
              <w:top w:val="single" w:sz="4" w:space="0" w:color="auto"/>
              <w:left w:val="nil"/>
              <w:bottom w:val="single" w:sz="4" w:space="0" w:color="auto"/>
              <w:right w:val="nil"/>
            </w:tcBorders>
            <w:shd w:val="clear" w:color="auto" w:fill="auto"/>
            <w:vAlign w:val="center"/>
            <w:hideMark/>
          </w:tcPr>
          <w:p w14:paraId="3A1910F8" w14:textId="77777777" w:rsidR="00946FA0" w:rsidRPr="0052793E" w:rsidRDefault="00946FA0" w:rsidP="00502795">
            <w:pPr>
              <w:spacing w:after="0" w:line="240" w:lineRule="auto"/>
              <w:jc w:val="center"/>
              <w:rPr>
                <w:rFonts w:ascii="David" w:eastAsia="Times New Roman" w:hAnsi="David" w:cs="David"/>
                <w:rtl/>
              </w:rPr>
            </w:pPr>
            <w:r w:rsidRPr="0052793E">
              <w:rPr>
                <w:rFonts w:ascii="David" w:eastAsia="Times New Roman" w:hAnsi="David" w:cs="David"/>
              </w:rPr>
              <w:t>85:13</w:t>
            </w:r>
          </w:p>
        </w:tc>
        <w:tc>
          <w:tcPr>
            <w:tcW w:w="1134" w:type="dxa"/>
            <w:tcBorders>
              <w:top w:val="single" w:sz="4" w:space="0" w:color="auto"/>
              <w:left w:val="nil"/>
              <w:bottom w:val="single" w:sz="4" w:space="0" w:color="auto"/>
              <w:right w:val="nil"/>
            </w:tcBorders>
            <w:shd w:val="clear" w:color="auto" w:fill="auto"/>
            <w:vAlign w:val="center"/>
          </w:tcPr>
          <w:p w14:paraId="6EACC4CB" w14:textId="77777777" w:rsidR="00946FA0" w:rsidRPr="0052793E" w:rsidRDefault="00946FA0" w:rsidP="00502795">
            <w:pPr>
              <w:spacing w:after="0" w:line="240" w:lineRule="auto"/>
              <w:jc w:val="center"/>
              <w:rPr>
                <w:rFonts w:ascii="David" w:eastAsia="Times New Roman" w:hAnsi="David" w:cs="David"/>
                <w:rtl/>
              </w:rPr>
            </w:pPr>
            <w:r w:rsidRPr="0052793E">
              <w:rPr>
                <w:rFonts w:ascii="David" w:eastAsia="Times New Roman" w:hAnsi="David" w:cs="David"/>
                <w:rtl/>
              </w:rPr>
              <w:t>1.09</w:t>
            </w:r>
          </w:p>
        </w:tc>
        <w:tc>
          <w:tcPr>
            <w:tcW w:w="1558" w:type="dxa"/>
            <w:tcBorders>
              <w:top w:val="single" w:sz="4" w:space="0" w:color="auto"/>
              <w:left w:val="nil"/>
              <w:bottom w:val="single" w:sz="4" w:space="0" w:color="auto"/>
              <w:right w:val="nil"/>
            </w:tcBorders>
            <w:shd w:val="clear" w:color="auto" w:fill="auto"/>
            <w:vAlign w:val="center"/>
          </w:tcPr>
          <w:p w14:paraId="7506A39E" w14:textId="77777777" w:rsidR="00946FA0" w:rsidRPr="0052793E" w:rsidRDefault="00946FA0" w:rsidP="00502795">
            <w:pPr>
              <w:spacing w:after="0" w:line="240" w:lineRule="auto"/>
              <w:jc w:val="center"/>
              <w:rPr>
                <w:rFonts w:ascii="David" w:eastAsia="Times New Roman" w:hAnsi="David" w:cs="David"/>
                <w:rtl/>
              </w:rPr>
            </w:pPr>
            <w:r w:rsidRPr="0052793E">
              <w:rPr>
                <w:rFonts w:ascii="David" w:eastAsia="Times New Roman" w:hAnsi="David" w:cs="David" w:hint="cs"/>
                <w:rtl/>
              </w:rPr>
              <w:t>14</w:t>
            </w:r>
            <w:r w:rsidR="00DD507A" w:rsidRPr="0052793E">
              <w:rPr>
                <w:rFonts w:ascii="David" w:eastAsia="Times New Roman" w:hAnsi="David" w:cs="David" w:hint="cs"/>
                <w:rtl/>
              </w:rPr>
              <w:t>6</w:t>
            </w:r>
            <w:r w:rsidRPr="0052793E">
              <w:rPr>
                <w:rFonts w:ascii="David" w:eastAsia="Times New Roman" w:hAnsi="David" w:cs="David" w:hint="cs"/>
                <w:rtl/>
              </w:rPr>
              <w:t>:</w:t>
            </w:r>
            <w:r w:rsidR="00DD507A" w:rsidRPr="0052793E">
              <w:rPr>
                <w:rFonts w:ascii="David" w:eastAsia="Times New Roman" w:hAnsi="David" w:cs="David" w:hint="cs"/>
                <w:rtl/>
              </w:rPr>
              <w:t>38</w:t>
            </w:r>
          </w:p>
        </w:tc>
      </w:tr>
      <w:tr w:rsidR="008F5AF4" w:rsidRPr="0052793E" w14:paraId="6CA77D9A" w14:textId="77777777" w:rsidTr="00DB5BCC">
        <w:trPr>
          <w:trHeight w:val="489"/>
        </w:trPr>
        <w:tc>
          <w:tcPr>
            <w:tcW w:w="851" w:type="dxa"/>
            <w:tcBorders>
              <w:top w:val="single" w:sz="4" w:space="0" w:color="auto"/>
              <w:left w:val="nil"/>
              <w:bottom w:val="single" w:sz="4" w:space="0" w:color="auto"/>
              <w:right w:val="nil"/>
            </w:tcBorders>
            <w:shd w:val="clear" w:color="auto" w:fill="auto"/>
            <w:noWrap/>
            <w:vAlign w:val="center"/>
          </w:tcPr>
          <w:p w14:paraId="4CE5CE62"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עבודה</w:t>
            </w:r>
          </w:p>
        </w:tc>
        <w:tc>
          <w:tcPr>
            <w:tcW w:w="993" w:type="dxa"/>
            <w:tcBorders>
              <w:top w:val="single" w:sz="4" w:space="0" w:color="auto"/>
              <w:left w:val="nil"/>
              <w:bottom w:val="single" w:sz="4" w:space="0" w:color="auto"/>
              <w:right w:val="nil"/>
            </w:tcBorders>
            <w:shd w:val="clear" w:color="auto" w:fill="auto"/>
            <w:noWrap/>
            <w:vAlign w:val="center"/>
          </w:tcPr>
          <w:p w14:paraId="272B6D28"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tcBorders>
              <w:top w:val="single" w:sz="4" w:space="0" w:color="auto"/>
              <w:left w:val="nil"/>
              <w:bottom w:val="single" w:sz="4" w:space="0" w:color="auto"/>
              <w:right w:val="nil"/>
            </w:tcBorders>
            <w:shd w:val="clear" w:color="auto" w:fill="auto"/>
            <w:vAlign w:val="center"/>
          </w:tcPr>
          <w:p w14:paraId="48074C0E"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תובענה ייצוגית (ת"צ)</w:t>
            </w:r>
          </w:p>
        </w:tc>
        <w:tc>
          <w:tcPr>
            <w:tcW w:w="992" w:type="dxa"/>
            <w:tcBorders>
              <w:top w:val="single" w:sz="4" w:space="0" w:color="auto"/>
              <w:left w:val="nil"/>
              <w:bottom w:val="single" w:sz="4" w:space="0" w:color="auto"/>
              <w:right w:val="nil"/>
            </w:tcBorders>
            <w:shd w:val="clear" w:color="auto" w:fill="auto"/>
            <w:vAlign w:val="center"/>
          </w:tcPr>
          <w:p w14:paraId="5AFD9B96" w14:textId="77777777" w:rsidR="008F5AF4" w:rsidRPr="0052793E" w:rsidRDefault="008F5AF4" w:rsidP="00502795">
            <w:pPr>
              <w:spacing w:after="0" w:line="240" w:lineRule="auto"/>
              <w:jc w:val="center"/>
              <w:rPr>
                <w:rFonts w:ascii="David" w:eastAsia="Times New Roman" w:hAnsi="David" w:cs="David"/>
              </w:rPr>
            </w:pPr>
            <w:r w:rsidRPr="0052793E">
              <w:rPr>
                <w:rFonts w:ascii="David" w:eastAsia="Times New Roman" w:hAnsi="David" w:cs="David"/>
                <w:rtl/>
              </w:rPr>
              <w:t>82</w:t>
            </w:r>
          </w:p>
        </w:tc>
        <w:tc>
          <w:tcPr>
            <w:tcW w:w="1134" w:type="dxa"/>
            <w:tcBorders>
              <w:top w:val="single" w:sz="4" w:space="0" w:color="auto"/>
              <w:left w:val="nil"/>
              <w:bottom w:val="single" w:sz="4" w:space="0" w:color="auto"/>
              <w:right w:val="nil"/>
            </w:tcBorders>
            <w:shd w:val="clear" w:color="auto" w:fill="auto"/>
            <w:noWrap/>
            <w:vAlign w:val="center"/>
          </w:tcPr>
          <w:p w14:paraId="4E46B5EA" w14:textId="77777777" w:rsidR="008F5AF4" w:rsidRPr="0052793E" w:rsidRDefault="008F5AF4" w:rsidP="00502795">
            <w:pPr>
              <w:spacing w:after="0" w:line="240" w:lineRule="auto"/>
              <w:jc w:val="center"/>
              <w:rPr>
                <w:rFonts w:ascii="David" w:eastAsia="Times New Roman" w:hAnsi="David" w:cs="David"/>
                <w:b/>
                <w:bCs/>
                <w:rtl/>
              </w:rPr>
            </w:pPr>
            <w:r w:rsidRPr="0052793E">
              <w:rPr>
                <w:rFonts w:ascii="David" w:eastAsia="Times New Roman" w:hAnsi="David" w:cs="David"/>
                <w:b/>
                <w:bCs/>
              </w:rPr>
              <w:t>45:41</w:t>
            </w:r>
          </w:p>
        </w:tc>
        <w:tc>
          <w:tcPr>
            <w:tcW w:w="993" w:type="dxa"/>
            <w:tcBorders>
              <w:top w:val="single" w:sz="4" w:space="0" w:color="auto"/>
              <w:left w:val="nil"/>
              <w:bottom w:val="single" w:sz="4" w:space="0" w:color="auto"/>
              <w:right w:val="nil"/>
            </w:tcBorders>
            <w:shd w:val="clear" w:color="auto" w:fill="auto"/>
            <w:vAlign w:val="center"/>
          </w:tcPr>
          <w:p w14:paraId="09BDA57B" w14:textId="77777777" w:rsidR="008F5AF4" w:rsidRPr="0052793E" w:rsidRDefault="008F5AF4" w:rsidP="00502795">
            <w:pPr>
              <w:spacing w:after="0" w:line="240" w:lineRule="auto"/>
              <w:jc w:val="center"/>
              <w:rPr>
                <w:rFonts w:ascii="David" w:eastAsia="Times New Roman" w:hAnsi="David" w:cs="David"/>
              </w:rPr>
            </w:pPr>
            <w:r w:rsidRPr="0052793E">
              <w:rPr>
                <w:rFonts w:ascii="David" w:eastAsia="Times New Roman" w:hAnsi="David" w:cs="David"/>
                <w:rtl/>
              </w:rPr>
              <w:t>-</w:t>
            </w:r>
          </w:p>
        </w:tc>
        <w:tc>
          <w:tcPr>
            <w:tcW w:w="1134" w:type="dxa"/>
            <w:tcBorders>
              <w:top w:val="single" w:sz="4" w:space="0" w:color="auto"/>
              <w:left w:val="nil"/>
              <w:bottom w:val="single" w:sz="4" w:space="0" w:color="auto"/>
              <w:right w:val="nil"/>
            </w:tcBorders>
            <w:shd w:val="clear" w:color="auto" w:fill="auto"/>
            <w:vAlign w:val="center"/>
          </w:tcPr>
          <w:p w14:paraId="4B82207F"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hint="cs"/>
                <w:rtl/>
              </w:rPr>
              <w:t>1</w:t>
            </w:r>
          </w:p>
        </w:tc>
        <w:tc>
          <w:tcPr>
            <w:tcW w:w="1558" w:type="dxa"/>
            <w:tcBorders>
              <w:top w:val="single" w:sz="4" w:space="0" w:color="auto"/>
              <w:left w:val="nil"/>
              <w:bottom w:val="single" w:sz="4" w:space="0" w:color="auto"/>
              <w:right w:val="nil"/>
            </w:tcBorders>
            <w:shd w:val="clear" w:color="auto" w:fill="auto"/>
            <w:vAlign w:val="center"/>
          </w:tcPr>
          <w:p w14:paraId="5A25868C"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hint="cs"/>
                <w:rtl/>
              </w:rPr>
              <w:t>45:41</w:t>
            </w:r>
          </w:p>
        </w:tc>
      </w:tr>
      <w:tr w:rsidR="008F5AF4" w:rsidRPr="0052793E" w14:paraId="3B4637C0" w14:textId="77777777" w:rsidTr="00DB5BCC">
        <w:trPr>
          <w:trHeight w:val="628"/>
        </w:trPr>
        <w:tc>
          <w:tcPr>
            <w:tcW w:w="851" w:type="dxa"/>
            <w:tcBorders>
              <w:top w:val="single" w:sz="4" w:space="0" w:color="auto"/>
            </w:tcBorders>
            <w:shd w:val="clear" w:color="auto" w:fill="auto"/>
            <w:noWrap/>
            <w:vAlign w:val="center"/>
            <w:hideMark/>
          </w:tcPr>
          <w:p w14:paraId="708A677E"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tcBorders>
              <w:top w:val="single" w:sz="4" w:space="0" w:color="auto"/>
            </w:tcBorders>
            <w:shd w:val="clear" w:color="auto" w:fill="auto"/>
            <w:noWrap/>
            <w:vAlign w:val="center"/>
            <w:hideMark/>
          </w:tcPr>
          <w:p w14:paraId="08B13201"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tcBorders>
              <w:top w:val="single" w:sz="4" w:space="0" w:color="auto"/>
            </w:tcBorders>
            <w:shd w:val="clear" w:color="auto" w:fill="auto"/>
            <w:vAlign w:val="center"/>
            <w:hideMark/>
          </w:tcPr>
          <w:p w14:paraId="10D81321" w14:textId="77777777" w:rsidR="008F5AF4" w:rsidRPr="0052793E" w:rsidRDefault="008F5AF4" w:rsidP="00502795">
            <w:pPr>
              <w:spacing w:after="0" w:line="240" w:lineRule="auto"/>
              <w:ind w:right="450"/>
              <w:rPr>
                <w:rFonts w:ascii="David" w:eastAsia="Times New Roman" w:hAnsi="David" w:cs="David"/>
                <w:rtl/>
              </w:rPr>
            </w:pPr>
            <w:r w:rsidRPr="0052793E">
              <w:rPr>
                <w:rFonts w:ascii="David" w:eastAsia="Times New Roman" w:hAnsi="David" w:cs="David"/>
                <w:rtl/>
              </w:rPr>
              <w:t>תיק אזרחי בסדר דין רגיל (ת"א) - תביעה כספית</w:t>
            </w:r>
          </w:p>
        </w:tc>
        <w:tc>
          <w:tcPr>
            <w:tcW w:w="992" w:type="dxa"/>
            <w:tcBorders>
              <w:top w:val="single" w:sz="4" w:space="0" w:color="auto"/>
            </w:tcBorders>
            <w:shd w:val="clear" w:color="auto" w:fill="auto"/>
            <w:vAlign w:val="center"/>
            <w:hideMark/>
          </w:tcPr>
          <w:p w14:paraId="4C628665"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Pr>
              <w:t>1,191</w:t>
            </w:r>
          </w:p>
        </w:tc>
        <w:tc>
          <w:tcPr>
            <w:tcW w:w="1134" w:type="dxa"/>
            <w:tcBorders>
              <w:top w:val="single" w:sz="4" w:space="0" w:color="auto"/>
            </w:tcBorders>
            <w:shd w:val="clear" w:color="auto" w:fill="auto"/>
            <w:noWrap/>
            <w:vAlign w:val="center"/>
            <w:hideMark/>
          </w:tcPr>
          <w:p w14:paraId="7ACAAD60" w14:textId="77777777" w:rsidR="008F5AF4" w:rsidRPr="0052793E" w:rsidRDefault="008F5AF4" w:rsidP="00502795">
            <w:pPr>
              <w:spacing w:after="0" w:line="240" w:lineRule="auto"/>
              <w:jc w:val="center"/>
              <w:rPr>
                <w:rFonts w:ascii="David" w:eastAsia="Times New Roman" w:hAnsi="David" w:cs="David"/>
                <w:b/>
                <w:bCs/>
                <w:rtl/>
              </w:rPr>
            </w:pPr>
            <w:r w:rsidRPr="0052793E">
              <w:rPr>
                <w:rFonts w:ascii="David" w:eastAsia="Times New Roman" w:hAnsi="David" w:cs="David" w:hint="cs"/>
                <w:b/>
                <w:bCs/>
                <w:rtl/>
              </w:rPr>
              <w:t>36:17</w:t>
            </w:r>
          </w:p>
        </w:tc>
        <w:tc>
          <w:tcPr>
            <w:tcW w:w="993" w:type="dxa"/>
            <w:tcBorders>
              <w:top w:val="single" w:sz="4" w:space="0" w:color="auto"/>
            </w:tcBorders>
            <w:shd w:val="clear" w:color="auto" w:fill="auto"/>
            <w:vAlign w:val="center"/>
            <w:hideMark/>
          </w:tcPr>
          <w:p w14:paraId="4C6A302A"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Pr>
              <w:t>21:28</w:t>
            </w:r>
          </w:p>
        </w:tc>
        <w:tc>
          <w:tcPr>
            <w:tcW w:w="1134" w:type="dxa"/>
            <w:tcBorders>
              <w:top w:val="single" w:sz="4" w:space="0" w:color="auto"/>
            </w:tcBorders>
            <w:shd w:val="clear" w:color="auto" w:fill="auto"/>
            <w:vAlign w:val="center"/>
          </w:tcPr>
          <w:p w14:paraId="20C69181"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tl/>
              </w:rPr>
              <w:t>1.19</w:t>
            </w:r>
          </w:p>
        </w:tc>
        <w:tc>
          <w:tcPr>
            <w:tcW w:w="1558" w:type="dxa"/>
            <w:tcBorders>
              <w:top w:val="single" w:sz="4" w:space="0" w:color="auto"/>
            </w:tcBorders>
            <w:shd w:val="clear" w:color="auto" w:fill="auto"/>
            <w:vAlign w:val="center"/>
          </w:tcPr>
          <w:p w14:paraId="7CC8B7F5"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hint="cs"/>
                <w:rtl/>
              </w:rPr>
              <w:t>30:31</w:t>
            </w:r>
          </w:p>
        </w:tc>
      </w:tr>
      <w:tr w:rsidR="008F5AF4" w:rsidRPr="0052793E" w14:paraId="60215188" w14:textId="77777777" w:rsidTr="00DB5BCC">
        <w:trPr>
          <w:trHeight w:val="628"/>
        </w:trPr>
        <w:tc>
          <w:tcPr>
            <w:tcW w:w="851" w:type="dxa"/>
            <w:tcBorders>
              <w:top w:val="single" w:sz="4" w:space="0" w:color="auto"/>
            </w:tcBorders>
            <w:shd w:val="clear" w:color="auto" w:fill="auto"/>
            <w:noWrap/>
            <w:vAlign w:val="center"/>
          </w:tcPr>
          <w:p w14:paraId="0FD5A36F"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tcBorders>
              <w:top w:val="single" w:sz="4" w:space="0" w:color="auto"/>
            </w:tcBorders>
            <w:shd w:val="clear" w:color="auto" w:fill="auto"/>
            <w:noWrap/>
            <w:vAlign w:val="center"/>
          </w:tcPr>
          <w:p w14:paraId="11EB9545"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tcBorders>
              <w:top w:val="single" w:sz="4" w:space="0" w:color="auto"/>
            </w:tcBorders>
            <w:shd w:val="clear" w:color="auto" w:fill="auto"/>
            <w:vAlign w:val="center"/>
          </w:tcPr>
          <w:p w14:paraId="15CA3789"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תביעה נגזרת (תנ"ג)</w:t>
            </w:r>
          </w:p>
        </w:tc>
        <w:tc>
          <w:tcPr>
            <w:tcW w:w="992" w:type="dxa"/>
            <w:tcBorders>
              <w:top w:val="single" w:sz="4" w:space="0" w:color="auto"/>
            </w:tcBorders>
            <w:shd w:val="clear" w:color="auto" w:fill="auto"/>
            <w:vAlign w:val="center"/>
          </w:tcPr>
          <w:p w14:paraId="09C1307B"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tl/>
              </w:rPr>
              <w:t>48</w:t>
            </w:r>
          </w:p>
        </w:tc>
        <w:tc>
          <w:tcPr>
            <w:tcW w:w="1134" w:type="dxa"/>
            <w:tcBorders>
              <w:top w:val="single" w:sz="4" w:space="0" w:color="auto"/>
            </w:tcBorders>
            <w:shd w:val="clear" w:color="auto" w:fill="auto"/>
            <w:noWrap/>
            <w:vAlign w:val="center"/>
          </w:tcPr>
          <w:p w14:paraId="536D8A84" w14:textId="77777777" w:rsidR="008F5AF4" w:rsidRPr="0052793E" w:rsidRDefault="008F5AF4" w:rsidP="00502795">
            <w:pPr>
              <w:spacing w:after="0" w:line="240" w:lineRule="auto"/>
              <w:jc w:val="center"/>
              <w:rPr>
                <w:rFonts w:ascii="David" w:eastAsia="Times New Roman" w:hAnsi="David" w:cs="David"/>
                <w:b/>
                <w:bCs/>
              </w:rPr>
            </w:pPr>
            <w:r w:rsidRPr="0052793E">
              <w:rPr>
                <w:rFonts w:ascii="David" w:eastAsia="Times New Roman" w:hAnsi="David" w:cs="David"/>
                <w:b/>
                <w:bCs/>
              </w:rPr>
              <w:t>33:03</w:t>
            </w:r>
          </w:p>
        </w:tc>
        <w:tc>
          <w:tcPr>
            <w:tcW w:w="993" w:type="dxa"/>
            <w:tcBorders>
              <w:top w:val="single" w:sz="4" w:space="0" w:color="auto"/>
            </w:tcBorders>
            <w:shd w:val="clear" w:color="auto" w:fill="auto"/>
            <w:vAlign w:val="center"/>
          </w:tcPr>
          <w:p w14:paraId="2C67CDC2"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Pr>
              <w:t>06:40</w:t>
            </w:r>
          </w:p>
        </w:tc>
        <w:tc>
          <w:tcPr>
            <w:tcW w:w="1134" w:type="dxa"/>
            <w:tcBorders>
              <w:top w:val="single" w:sz="4" w:space="0" w:color="auto"/>
            </w:tcBorders>
            <w:shd w:val="clear" w:color="auto" w:fill="auto"/>
            <w:vAlign w:val="center"/>
          </w:tcPr>
          <w:p w14:paraId="254D6338"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tl/>
              </w:rPr>
              <w:t>1.02</w:t>
            </w:r>
          </w:p>
        </w:tc>
        <w:tc>
          <w:tcPr>
            <w:tcW w:w="1558" w:type="dxa"/>
            <w:tcBorders>
              <w:top w:val="single" w:sz="4" w:space="0" w:color="auto"/>
            </w:tcBorders>
            <w:shd w:val="clear" w:color="auto" w:fill="auto"/>
            <w:vAlign w:val="center"/>
          </w:tcPr>
          <w:p w14:paraId="24E429B9"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hint="cs"/>
                <w:rtl/>
              </w:rPr>
              <w:t>32:16</w:t>
            </w:r>
          </w:p>
        </w:tc>
      </w:tr>
      <w:tr w:rsidR="008F5AF4" w:rsidRPr="0052793E" w14:paraId="5A519688" w14:textId="77777777" w:rsidTr="00DB5BCC">
        <w:trPr>
          <w:trHeight w:val="345"/>
        </w:trPr>
        <w:tc>
          <w:tcPr>
            <w:tcW w:w="851" w:type="dxa"/>
            <w:shd w:val="clear" w:color="auto" w:fill="auto"/>
            <w:noWrap/>
            <w:vAlign w:val="center"/>
          </w:tcPr>
          <w:p w14:paraId="7941B880"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shd w:val="clear" w:color="auto" w:fill="auto"/>
            <w:noWrap/>
            <w:vAlign w:val="center"/>
          </w:tcPr>
          <w:p w14:paraId="69500E7E"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פלילי</w:t>
            </w:r>
          </w:p>
        </w:tc>
        <w:tc>
          <w:tcPr>
            <w:tcW w:w="2267" w:type="dxa"/>
            <w:shd w:val="clear" w:color="auto" w:fill="auto"/>
            <w:vAlign w:val="center"/>
          </w:tcPr>
          <w:p w14:paraId="3F48EBB0"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תיק פלילי (ת"פ)</w:t>
            </w:r>
          </w:p>
        </w:tc>
        <w:tc>
          <w:tcPr>
            <w:tcW w:w="992" w:type="dxa"/>
            <w:shd w:val="clear" w:color="auto" w:fill="auto"/>
            <w:vAlign w:val="center"/>
          </w:tcPr>
          <w:p w14:paraId="6B8698B3" w14:textId="77777777" w:rsidR="008F5AF4" w:rsidRPr="0052793E" w:rsidRDefault="008F5AF4" w:rsidP="00502795">
            <w:pPr>
              <w:spacing w:after="0" w:line="240" w:lineRule="auto"/>
              <w:jc w:val="center"/>
              <w:rPr>
                <w:rFonts w:ascii="David" w:eastAsia="Times New Roman" w:hAnsi="David" w:cs="David"/>
              </w:rPr>
            </w:pPr>
            <w:r w:rsidRPr="0052793E">
              <w:rPr>
                <w:rFonts w:ascii="David" w:eastAsia="Times New Roman" w:hAnsi="David" w:cs="David"/>
              </w:rPr>
              <w:t>1,308</w:t>
            </w:r>
          </w:p>
        </w:tc>
        <w:tc>
          <w:tcPr>
            <w:tcW w:w="1134" w:type="dxa"/>
            <w:shd w:val="clear" w:color="auto" w:fill="auto"/>
            <w:noWrap/>
            <w:vAlign w:val="center"/>
          </w:tcPr>
          <w:p w14:paraId="259CFC19" w14:textId="77777777" w:rsidR="008F5AF4" w:rsidRPr="0052793E" w:rsidRDefault="008F5AF4" w:rsidP="00502795">
            <w:pPr>
              <w:spacing w:after="0" w:line="240" w:lineRule="auto"/>
              <w:jc w:val="center"/>
              <w:rPr>
                <w:rFonts w:ascii="David" w:eastAsia="Times New Roman" w:hAnsi="David" w:cs="David"/>
                <w:b/>
                <w:bCs/>
              </w:rPr>
            </w:pPr>
            <w:r w:rsidRPr="0052793E">
              <w:rPr>
                <w:rFonts w:ascii="David" w:eastAsia="Times New Roman" w:hAnsi="David" w:cs="David" w:hint="cs"/>
                <w:b/>
                <w:bCs/>
                <w:rtl/>
              </w:rPr>
              <w:t>31:39</w:t>
            </w:r>
          </w:p>
        </w:tc>
        <w:tc>
          <w:tcPr>
            <w:tcW w:w="993" w:type="dxa"/>
            <w:shd w:val="clear" w:color="auto" w:fill="auto"/>
            <w:vAlign w:val="center"/>
          </w:tcPr>
          <w:p w14:paraId="1280024F" w14:textId="77777777" w:rsidR="008F5AF4" w:rsidRPr="0052793E" w:rsidRDefault="008F5AF4" w:rsidP="00502795">
            <w:pPr>
              <w:spacing w:after="0" w:line="240" w:lineRule="auto"/>
              <w:jc w:val="center"/>
              <w:rPr>
                <w:rFonts w:ascii="David" w:eastAsia="Times New Roman" w:hAnsi="David" w:cs="David"/>
              </w:rPr>
            </w:pPr>
            <w:r w:rsidRPr="0052793E">
              <w:rPr>
                <w:rFonts w:ascii="David" w:eastAsia="Times New Roman" w:hAnsi="David" w:cs="David"/>
              </w:rPr>
              <w:t>11:18</w:t>
            </w:r>
          </w:p>
        </w:tc>
        <w:tc>
          <w:tcPr>
            <w:tcW w:w="1134" w:type="dxa"/>
            <w:shd w:val="clear" w:color="auto" w:fill="auto"/>
            <w:vAlign w:val="center"/>
          </w:tcPr>
          <w:p w14:paraId="53E53F27"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tl/>
              </w:rPr>
              <w:t>1.1</w:t>
            </w:r>
          </w:p>
        </w:tc>
        <w:tc>
          <w:tcPr>
            <w:tcW w:w="1558" w:type="dxa"/>
            <w:shd w:val="clear" w:color="auto" w:fill="auto"/>
            <w:vAlign w:val="center"/>
          </w:tcPr>
          <w:p w14:paraId="1CB4ACB0"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hint="cs"/>
                <w:rtl/>
              </w:rPr>
              <w:t>28:44</w:t>
            </w:r>
          </w:p>
        </w:tc>
      </w:tr>
      <w:tr w:rsidR="008F5AF4" w:rsidRPr="0052793E" w14:paraId="1F1D6F95" w14:textId="77777777" w:rsidTr="00DB5BCC">
        <w:trPr>
          <w:trHeight w:val="424"/>
        </w:trPr>
        <w:tc>
          <w:tcPr>
            <w:tcW w:w="851" w:type="dxa"/>
            <w:shd w:val="clear" w:color="auto" w:fill="auto"/>
            <w:noWrap/>
            <w:vAlign w:val="center"/>
          </w:tcPr>
          <w:p w14:paraId="0708BAE6"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shd w:val="clear" w:color="auto" w:fill="auto"/>
            <w:noWrap/>
            <w:vAlign w:val="center"/>
          </w:tcPr>
          <w:p w14:paraId="74F6B4B6"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377F9BEF"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תיק אזרחי בסדר דין רגיל (ת"א) - נזקי גוף - חבויות</w:t>
            </w:r>
          </w:p>
        </w:tc>
        <w:tc>
          <w:tcPr>
            <w:tcW w:w="992" w:type="dxa"/>
            <w:shd w:val="clear" w:color="auto" w:fill="auto"/>
            <w:vAlign w:val="center"/>
          </w:tcPr>
          <w:p w14:paraId="358DF65E"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Pr>
              <w:t>453</w:t>
            </w:r>
          </w:p>
        </w:tc>
        <w:tc>
          <w:tcPr>
            <w:tcW w:w="1134" w:type="dxa"/>
            <w:shd w:val="clear" w:color="auto" w:fill="auto"/>
            <w:noWrap/>
            <w:vAlign w:val="center"/>
          </w:tcPr>
          <w:p w14:paraId="2231461F" w14:textId="77777777" w:rsidR="008F5AF4" w:rsidRPr="0052793E" w:rsidRDefault="008F5AF4" w:rsidP="00502795">
            <w:pPr>
              <w:spacing w:after="0" w:line="240" w:lineRule="auto"/>
              <w:jc w:val="center"/>
              <w:rPr>
                <w:rFonts w:ascii="David" w:eastAsia="Times New Roman" w:hAnsi="David" w:cs="David"/>
                <w:b/>
                <w:bCs/>
              </w:rPr>
            </w:pPr>
            <w:r w:rsidRPr="0052793E">
              <w:rPr>
                <w:rFonts w:ascii="David" w:eastAsia="Times New Roman" w:hAnsi="David" w:cs="David"/>
                <w:b/>
                <w:bCs/>
              </w:rPr>
              <w:t>27:27</w:t>
            </w:r>
          </w:p>
        </w:tc>
        <w:tc>
          <w:tcPr>
            <w:tcW w:w="993" w:type="dxa"/>
            <w:shd w:val="clear" w:color="auto" w:fill="auto"/>
            <w:vAlign w:val="center"/>
          </w:tcPr>
          <w:p w14:paraId="575BE229"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Pr>
              <w:t>21:28</w:t>
            </w:r>
          </w:p>
        </w:tc>
        <w:tc>
          <w:tcPr>
            <w:tcW w:w="1134" w:type="dxa"/>
            <w:shd w:val="clear" w:color="auto" w:fill="auto"/>
            <w:vAlign w:val="center"/>
          </w:tcPr>
          <w:p w14:paraId="7B0022FF"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tl/>
              </w:rPr>
              <w:t>1.08</w:t>
            </w:r>
          </w:p>
        </w:tc>
        <w:tc>
          <w:tcPr>
            <w:tcW w:w="1558" w:type="dxa"/>
            <w:shd w:val="clear" w:color="auto" w:fill="auto"/>
            <w:vAlign w:val="center"/>
          </w:tcPr>
          <w:p w14:paraId="4F4B8440"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hint="cs"/>
                <w:rtl/>
              </w:rPr>
              <w:t>25:31</w:t>
            </w:r>
          </w:p>
        </w:tc>
      </w:tr>
      <w:tr w:rsidR="008F5AF4" w:rsidRPr="0052793E" w14:paraId="37EF2B77" w14:textId="77777777" w:rsidTr="00DB5BCC">
        <w:trPr>
          <w:trHeight w:val="621"/>
        </w:trPr>
        <w:tc>
          <w:tcPr>
            <w:tcW w:w="851" w:type="dxa"/>
            <w:shd w:val="clear" w:color="auto" w:fill="auto"/>
            <w:noWrap/>
            <w:vAlign w:val="center"/>
          </w:tcPr>
          <w:p w14:paraId="474E62EC"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תעבורה</w:t>
            </w:r>
          </w:p>
        </w:tc>
        <w:tc>
          <w:tcPr>
            <w:tcW w:w="993" w:type="dxa"/>
            <w:shd w:val="clear" w:color="auto" w:fill="auto"/>
            <w:noWrap/>
            <w:vAlign w:val="center"/>
          </w:tcPr>
          <w:p w14:paraId="2535CFA1" w14:textId="77777777" w:rsidR="008F5AF4" w:rsidRPr="0052793E" w:rsidRDefault="008F5AF4" w:rsidP="00502795">
            <w:pPr>
              <w:spacing w:after="0" w:line="240" w:lineRule="auto"/>
              <w:rPr>
                <w:rFonts w:ascii="David" w:eastAsia="Times New Roman" w:hAnsi="David" w:cs="David"/>
                <w:rtl/>
              </w:rPr>
            </w:pPr>
          </w:p>
        </w:tc>
        <w:tc>
          <w:tcPr>
            <w:tcW w:w="2267" w:type="dxa"/>
            <w:shd w:val="clear" w:color="auto" w:fill="auto"/>
            <w:vAlign w:val="center"/>
          </w:tcPr>
          <w:p w14:paraId="1C6B0970"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גרימת מוות בנהיגה רשלנית (גמ"ר)</w:t>
            </w:r>
          </w:p>
        </w:tc>
        <w:tc>
          <w:tcPr>
            <w:tcW w:w="992" w:type="dxa"/>
            <w:shd w:val="clear" w:color="auto" w:fill="auto"/>
            <w:vAlign w:val="center"/>
          </w:tcPr>
          <w:p w14:paraId="5155DF22"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tl/>
              </w:rPr>
              <w:t>94</w:t>
            </w:r>
          </w:p>
        </w:tc>
        <w:tc>
          <w:tcPr>
            <w:tcW w:w="1134" w:type="dxa"/>
            <w:shd w:val="clear" w:color="auto" w:fill="auto"/>
            <w:noWrap/>
            <w:vAlign w:val="center"/>
          </w:tcPr>
          <w:p w14:paraId="665E0633" w14:textId="77777777" w:rsidR="008F5AF4" w:rsidRPr="0052793E" w:rsidRDefault="008F5AF4" w:rsidP="00502795">
            <w:pPr>
              <w:spacing w:after="0" w:line="240" w:lineRule="auto"/>
              <w:jc w:val="center"/>
              <w:rPr>
                <w:rFonts w:ascii="David" w:eastAsia="Times New Roman" w:hAnsi="David" w:cs="David"/>
                <w:b/>
                <w:bCs/>
              </w:rPr>
            </w:pPr>
            <w:r w:rsidRPr="0052793E">
              <w:rPr>
                <w:rFonts w:ascii="David" w:eastAsia="Times New Roman" w:hAnsi="David" w:cs="David"/>
                <w:b/>
                <w:bCs/>
              </w:rPr>
              <w:t>25:16</w:t>
            </w:r>
          </w:p>
        </w:tc>
        <w:tc>
          <w:tcPr>
            <w:tcW w:w="993" w:type="dxa"/>
            <w:shd w:val="clear" w:color="auto" w:fill="auto"/>
            <w:vAlign w:val="center"/>
          </w:tcPr>
          <w:p w14:paraId="4020AD1E"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Pr>
              <w:t>10:52</w:t>
            </w:r>
          </w:p>
        </w:tc>
        <w:tc>
          <w:tcPr>
            <w:tcW w:w="1134" w:type="dxa"/>
            <w:shd w:val="clear" w:color="auto" w:fill="auto"/>
            <w:vAlign w:val="center"/>
          </w:tcPr>
          <w:p w14:paraId="409E2287"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0D9F6B97"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hint="cs"/>
                <w:rtl/>
              </w:rPr>
              <w:t>25:16</w:t>
            </w:r>
          </w:p>
        </w:tc>
      </w:tr>
      <w:tr w:rsidR="008F5AF4" w:rsidRPr="0052793E" w14:paraId="70A4FF42" w14:textId="77777777" w:rsidTr="00DB5BCC">
        <w:trPr>
          <w:trHeight w:val="651"/>
        </w:trPr>
        <w:tc>
          <w:tcPr>
            <w:tcW w:w="851" w:type="dxa"/>
            <w:shd w:val="clear" w:color="auto" w:fill="auto"/>
            <w:noWrap/>
            <w:vAlign w:val="center"/>
          </w:tcPr>
          <w:p w14:paraId="6D634321"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shd w:val="clear" w:color="auto" w:fill="auto"/>
            <w:noWrap/>
            <w:vAlign w:val="center"/>
          </w:tcPr>
          <w:p w14:paraId="14132D18"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עניינים מנהליים/ אזרחי</w:t>
            </w:r>
          </w:p>
        </w:tc>
        <w:tc>
          <w:tcPr>
            <w:tcW w:w="2267" w:type="dxa"/>
            <w:shd w:val="clear" w:color="auto" w:fill="auto"/>
            <w:vAlign w:val="center"/>
          </w:tcPr>
          <w:p w14:paraId="3EB5BEF8"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תובענה ייצוגית (ת"צ)</w:t>
            </w:r>
          </w:p>
        </w:tc>
        <w:tc>
          <w:tcPr>
            <w:tcW w:w="992" w:type="dxa"/>
            <w:shd w:val="clear" w:color="auto" w:fill="auto"/>
            <w:vAlign w:val="center"/>
          </w:tcPr>
          <w:p w14:paraId="5D6C1459"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Pr>
              <w:t>922</w:t>
            </w:r>
          </w:p>
        </w:tc>
        <w:tc>
          <w:tcPr>
            <w:tcW w:w="1134" w:type="dxa"/>
            <w:shd w:val="clear" w:color="auto" w:fill="auto"/>
            <w:noWrap/>
            <w:vAlign w:val="center"/>
          </w:tcPr>
          <w:p w14:paraId="16557586" w14:textId="77777777" w:rsidR="008F5AF4" w:rsidRPr="0052793E" w:rsidRDefault="008F5AF4" w:rsidP="00502795">
            <w:pPr>
              <w:spacing w:after="0" w:line="240" w:lineRule="auto"/>
              <w:jc w:val="center"/>
              <w:rPr>
                <w:rFonts w:ascii="David" w:eastAsia="Times New Roman" w:hAnsi="David" w:cs="David"/>
                <w:b/>
                <w:bCs/>
              </w:rPr>
            </w:pPr>
            <w:r w:rsidRPr="0052793E">
              <w:rPr>
                <w:rFonts w:ascii="David" w:eastAsia="Times New Roman" w:hAnsi="David" w:cs="David"/>
                <w:b/>
                <w:bCs/>
              </w:rPr>
              <w:t>24:58</w:t>
            </w:r>
          </w:p>
        </w:tc>
        <w:tc>
          <w:tcPr>
            <w:tcW w:w="993" w:type="dxa"/>
            <w:shd w:val="clear" w:color="auto" w:fill="auto"/>
            <w:vAlign w:val="center"/>
          </w:tcPr>
          <w:p w14:paraId="678A4B54"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Pr>
              <w:t>24:36</w:t>
            </w:r>
          </w:p>
        </w:tc>
        <w:tc>
          <w:tcPr>
            <w:tcW w:w="1134" w:type="dxa"/>
            <w:shd w:val="clear" w:color="auto" w:fill="auto"/>
            <w:vAlign w:val="center"/>
          </w:tcPr>
          <w:p w14:paraId="3F78B174"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143C841D"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hint="cs"/>
                <w:rtl/>
              </w:rPr>
              <w:t>24:58</w:t>
            </w:r>
          </w:p>
        </w:tc>
      </w:tr>
      <w:tr w:rsidR="008F5AF4" w:rsidRPr="0052793E" w14:paraId="5C32421A" w14:textId="77777777" w:rsidTr="00DB5BCC">
        <w:trPr>
          <w:trHeight w:val="338"/>
        </w:trPr>
        <w:tc>
          <w:tcPr>
            <w:tcW w:w="851" w:type="dxa"/>
            <w:shd w:val="clear" w:color="auto" w:fill="auto"/>
            <w:noWrap/>
            <w:vAlign w:val="center"/>
          </w:tcPr>
          <w:p w14:paraId="04E1860F"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shd w:val="clear" w:color="auto" w:fill="auto"/>
            <w:noWrap/>
            <w:vAlign w:val="center"/>
          </w:tcPr>
          <w:p w14:paraId="5AE0A352"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76E671A1"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תיק אזרחי בסדר דין רגיל (ת"א) - נזקי גוף - רשלנות רפואית</w:t>
            </w:r>
          </w:p>
        </w:tc>
        <w:tc>
          <w:tcPr>
            <w:tcW w:w="992" w:type="dxa"/>
            <w:shd w:val="clear" w:color="auto" w:fill="auto"/>
            <w:vAlign w:val="center"/>
          </w:tcPr>
          <w:p w14:paraId="01A21C76"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tl/>
              </w:rPr>
              <w:t>565</w:t>
            </w:r>
          </w:p>
        </w:tc>
        <w:tc>
          <w:tcPr>
            <w:tcW w:w="1134" w:type="dxa"/>
            <w:shd w:val="clear" w:color="auto" w:fill="auto"/>
            <w:noWrap/>
            <w:vAlign w:val="center"/>
          </w:tcPr>
          <w:p w14:paraId="432A8ECB" w14:textId="77777777" w:rsidR="008F5AF4" w:rsidRPr="0052793E" w:rsidRDefault="008F5AF4" w:rsidP="00502795">
            <w:pPr>
              <w:spacing w:after="0" w:line="240" w:lineRule="auto"/>
              <w:jc w:val="center"/>
              <w:rPr>
                <w:rFonts w:ascii="David" w:eastAsia="Times New Roman" w:hAnsi="David" w:cs="David"/>
                <w:b/>
                <w:bCs/>
              </w:rPr>
            </w:pPr>
            <w:r w:rsidRPr="0052793E">
              <w:rPr>
                <w:rFonts w:ascii="David" w:eastAsia="Times New Roman" w:hAnsi="David" w:cs="David" w:hint="cs"/>
                <w:b/>
                <w:bCs/>
                <w:rtl/>
              </w:rPr>
              <w:t>23:00</w:t>
            </w:r>
          </w:p>
        </w:tc>
        <w:tc>
          <w:tcPr>
            <w:tcW w:w="993" w:type="dxa"/>
            <w:shd w:val="clear" w:color="auto" w:fill="auto"/>
            <w:vAlign w:val="center"/>
          </w:tcPr>
          <w:p w14:paraId="52B4D6DD"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Pr>
              <w:t>21:28</w:t>
            </w:r>
          </w:p>
        </w:tc>
        <w:tc>
          <w:tcPr>
            <w:tcW w:w="1134" w:type="dxa"/>
            <w:shd w:val="clear" w:color="auto" w:fill="auto"/>
            <w:vAlign w:val="center"/>
          </w:tcPr>
          <w:p w14:paraId="7EA3CEC6"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tl/>
              </w:rPr>
              <w:t>1.09</w:t>
            </w:r>
          </w:p>
        </w:tc>
        <w:tc>
          <w:tcPr>
            <w:tcW w:w="1558" w:type="dxa"/>
            <w:shd w:val="clear" w:color="auto" w:fill="auto"/>
            <w:vAlign w:val="center"/>
          </w:tcPr>
          <w:p w14:paraId="6D4070BF"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hint="cs"/>
                <w:rtl/>
              </w:rPr>
              <w:t>21:08</w:t>
            </w:r>
          </w:p>
        </w:tc>
      </w:tr>
      <w:tr w:rsidR="008F5AF4" w:rsidRPr="0052793E" w14:paraId="2F81D981" w14:textId="77777777" w:rsidTr="00DB5BCC">
        <w:trPr>
          <w:trHeight w:val="633"/>
        </w:trPr>
        <w:tc>
          <w:tcPr>
            <w:tcW w:w="851" w:type="dxa"/>
            <w:shd w:val="clear" w:color="auto" w:fill="auto"/>
            <w:noWrap/>
            <w:vAlign w:val="center"/>
            <w:hideMark/>
          </w:tcPr>
          <w:p w14:paraId="0F1EBCE2"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shd w:val="clear" w:color="auto" w:fill="auto"/>
            <w:noWrap/>
            <w:vAlign w:val="center"/>
            <w:hideMark/>
          </w:tcPr>
          <w:p w14:paraId="2940F0FC"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hideMark/>
          </w:tcPr>
          <w:p w14:paraId="3B69C6F1"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 xml:space="preserve">תיק אזרחי בסדר דין רגיל (ת"א) - </w:t>
            </w:r>
            <w:r w:rsidRPr="0052793E">
              <w:rPr>
                <w:rFonts w:ascii="David" w:eastAsia="Times New Roman" w:hAnsi="David" w:cs="David"/>
                <w:b/>
                <w:bCs/>
                <w:rtl/>
              </w:rPr>
              <w:t>משוקלל</w:t>
            </w:r>
          </w:p>
        </w:tc>
        <w:tc>
          <w:tcPr>
            <w:tcW w:w="992" w:type="dxa"/>
            <w:shd w:val="clear" w:color="auto" w:fill="auto"/>
            <w:vAlign w:val="center"/>
            <w:hideMark/>
          </w:tcPr>
          <w:p w14:paraId="6401EBC2"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tl/>
              </w:rPr>
              <w:t>4,881</w:t>
            </w:r>
          </w:p>
        </w:tc>
        <w:tc>
          <w:tcPr>
            <w:tcW w:w="1134" w:type="dxa"/>
            <w:shd w:val="clear" w:color="auto" w:fill="auto"/>
            <w:noWrap/>
            <w:vAlign w:val="center"/>
            <w:hideMark/>
          </w:tcPr>
          <w:p w14:paraId="38BE5402" w14:textId="77777777" w:rsidR="008F5AF4" w:rsidRPr="0052793E" w:rsidRDefault="008F5AF4" w:rsidP="00502795">
            <w:pPr>
              <w:spacing w:after="0" w:line="240" w:lineRule="auto"/>
              <w:jc w:val="center"/>
              <w:rPr>
                <w:rFonts w:ascii="David" w:eastAsia="Times New Roman" w:hAnsi="David" w:cs="David"/>
                <w:b/>
                <w:bCs/>
              </w:rPr>
            </w:pPr>
            <w:r w:rsidRPr="0052793E">
              <w:rPr>
                <w:rFonts w:ascii="David" w:eastAsia="Times New Roman" w:hAnsi="David" w:cs="David"/>
                <w:b/>
                <w:bCs/>
              </w:rPr>
              <w:t>21:21</w:t>
            </w:r>
          </w:p>
        </w:tc>
        <w:tc>
          <w:tcPr>
            <w:tcW w:w="993" w:type="dxa"/>
            <w:shd w:val="clear" w:color="auto" w:fill="auto"/>
            <w:vAlign w:val="center"/>
            <w:hideMark/>
          </w:tcPr>
          <w:p w14:paraId="78A9A518"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tl/>
              </w:rPr>
              <w:t>21:28</w:t>
            </w:r>
          </w:p>
        </w:tc>
        <w:tc>
          <w:tcPr>
            <w:tcW w:w="1134" w:type="dxa"/>
            <w:shd w:val="clear" w:color="auto" w:fill="auto"/>
            <w:vAlign w:val="center"/>
          </w:tcPr>
          <w:p w14:paraId="1F2F77CA"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tl/>
              </w:rPr>
              <w:t>1.11</w:t>
            </w:r>
          </w:p>
        </w:tc>
        <w:tc>
          <w:tcPr>
            <w:tcW w:w="1558" w:type="dxa"/>
            <w:shd w:val="clear" w:color="auto" w:fill="auto"/>
            <w:vAlign w:val="center"/>
          </w:tcPr>
          <w:p w14:paraId="7B1353C6" w14:textId="77777777" w:rsidR="008F5AF4" w:rsidRPr="0052793E" w:rsidRDefault="008F5AF4" w:rsidP="00502795">
            <w:pPr>
              <w:spacing w:after="0" w:line="240" w:lineRule="auto"/>
              <w:jc w:val="center"/>
              <w:rPr>
                <w:rFonts w:ascii="David" w:eastAsia="Times New Roman" w:hAnsi="David" w:cs="David"/>
              </w:rPr>
            </w:pPr>
          </w:p>
        </w:tc>
      </w:tr>
      <w:tr w:rsidR="008F5AF4" w:rsidRPr="0052793E" w14:paraId="5F2190A1" w14:textId="77777777" w:rsidTr="00DB5BCC">
        <w:trPr>
          <w:trHeight w:val="645"/>
        </w:trPr>
        <w:tc>
          <w:tcPr>
            <w:tcW w:w="851" w:type="dxa"/>
            <w:shd w:val="clear" w:color="auto" w:fill="auto"/>
            <w:noWrap/>
            <w:vAlign w:val="center"/>
          </w:tcPr>
          <w:p w14:paraId="2381E608"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shd w:val="clear" w:color="auto" w:fill="auto"/>
            <w:noWrap/>
            <w:vAlign w:val="center"/>
          </w:tcPr>
          <w:p w14:paraId="49629546"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66058C7F" w14:textId="77777777" w:rsidR="008F5AF4" w:rsidRPr="0052793E" w:rsidRDefault="008F5AF4" w:rsidP="00502795">
            <w:pPr>
              <w:spacing w:after="0" w:line="240" w:lineRule="auto"/>
              <w:rPr>
                <w:rFonts w:ascii="David" w:eastAsia="Times New Roman" w:hAnsi="David" w:cs="David"/>
              </w:rPr>
            </w:pPr>
            <w:r w:rsidRPr="0052793E">
              <w:rPr>
                <w:rFonts w:ascii="David" w:eastAsia="Times New Roman" w:hAnsi="David" w:cs="David"/>
                <w:rtl/>
              </w:rPr>
              <w:t>תיק אזרחי בסדר דין רגיל (ת"א) - פלת"ד</w:t>
            </w:r>
          </w:p>
        </w:tc>
        <w:tc>
          <w:tcPr>
            <w:tcW w:w="992" w:type="dxa"/>
            <w:shd w:val="clear" w:color="auto" w:fill="auto"/>
            <w:vAlign w:val="center"/>
          </w:tcPr>
          <w:p w14:paraId="7DEBDDD1"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Pr>
              <w:t>353</w:t>
            </w:r>
          </w:p>
        </w:tc>
        <w:tc>
          <w:tcPr>
            <w:tcW w:w="1134" w:type="dxa"/>
            <w:shd w:val="clear" w:color="auto" w:fill="auto"/>
            <w:noWrap/>
            <w:vAlign w:val="center"/>
          </w:tcPr>
          <w:p w14:paraId="5CA99A87" w14:textId="77777777" w:rsidR="008F5AF4" w:rsidRPr="0052793E" w:rsidRDefault="008F5AF4" w:rsidP="00502795">
            <w:pPr>
              <w:spacing w:after="0" w:line="240" w:lineRule="auto"/>
              <w:jc w:val="center"/>
              <w:rPr>
                <w:rFonts w:ascii="David" w:eastAsia="Times New Roman" w:hAnsi="David" w:cs="David"/>
                <w:b/>
                <w:bCs/>
                <w:rtl/>
              </w:rPr>
            </w:pPr>
            <w:r w:rsidRPr="0052793E">
              <w:rPr>
                <w:rFonts w:ascii="David" w:eastAsia="Times New Roman" w:hAnsi="David" w:cs="David"/>
                <w:b/>
                <w:bCs/>
              </w:rPr>
              <w:t>17:49</w:t>
            </w:r>
          </w:p>
        </w:tc>
        <w:tc>
          <w:tcPr>
            <w:tcW w:w="993" w:type="dxa"/>
            <w:shd w:val="clear" w:color="auto" w:fill="auto"/>
            <w:vAlign w:val="center"/>
          </w:tcPr>
          <w:p w14:paraId="719A13C4"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Pr>
              <w:t>21:28</w:t>
            </w:r>
          </w:p>
        </w:tc>
        <w:tc>
          <w:tcPr>
            <w:tcW w:w="1134" w:type="dxa"/>
            <w:shd w:val="clear" w:color="auto" w:fill="auto"/>
            <w:vAlign w:val="center"/>
          </w:tcPr>
          <w:p w14:paraId="3EF54788"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tl/>
              </w:rPr>
              <w:t>1.04</w:t>
            </w:r>
          </w:p>
        </w:tc>
        <w:tc>
          <w:tcPr>
            <w:tcW w:w="1558" w:type="dxa"/>
            <w:shd w:val="clear" w:color="auto" w:fill="auto"/>
            <w:vAlign w:val="center"/>
          </w:tcPr>
          <w:p w14:paraId="62C5F3A9" w14:textId="77777777" w:rsidR="008F5AF4" w:rsidRPr="0052793E" w:rsidRDefault="008F5AF4" w:rsidP="00502795">
            <w:pPr>
              <w:spacing w:after="0" w:line="240" w:lineRule="auto"/>
              <w:jc w:val="center"/>
              <w:rPr>
                <w:rFonts w:ascii="David" w:eastAsia="Times New Roman" w:hAnsi="David" w:cs="David"/>
              </w:rPr>
            </w:pPr>
            <w:r w:rsidRPr="0052793E">
              <w:rPr>
                <w:rFonts w:ascii="David" w:eastAsia="Times New Roman" w:hAnsi="David" w:cs="David" w:hint="cs"/>
                <w:rtl/>
              </w:rPr>
              <w:t>17:09</w:t>
            </w:r>
          </w:p>
        </w:tc>
      </w:tr>
      <w:tr w:rsidR="008F5AF4" w:rsidRPr="0052793E" w14:paraId="1C736E28" w14:textId="77777777" w:rsidTr="00DB5BCC">
        <w:trPr>
          <w:trHeight w:val="285"/>
        </w:trPr>
        <w:tc>
          <w:tcPr>
            <w:tcW w:w="851" w:type="dxa"/>
            <w:shd w:val="clear" w:color="auto" w:fill="auto"/>
            <w:noWrap/>
            <w:vAlign w:val="center"/>
          </w:tcPr>
          <w:p w14:paraId="25B66275"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shd w:val="clear" w:color="auto" w:fill="auto"/>
            <w:noWrap/>
            <w:vAlign w:val="center"/>
          </w:tcPr>
          <w:p w14:paraId="60EBE08B"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ערעור פלילי</w:t>
            </w:r>
          </w:p>
        </w:tc>
        <w:tc>
          <w:tcPr>
            <w:tcW w:w="2267" w:type="dxa"/>
            <w:shd w:val="clear" w:color="auto" w:fill="auto"/>
            <w:vAlign w:val="center"/>
          </w:tcPr>
          <w:p w14:paraId="54121D9F"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ערעור פלילי (ע"פ) - הרכב</w:t>
            </w:r>
          </w:p>
        </w:tc>
        <w:tc>
          <w:tcPr>
            <w:tcW w:w="992" w:type="dxa"/>
            <w:shd w:val="clear" w:color="auto" w:fill="auto"/>
            <w:vAlign w:val="center"/>
          </w:tcPr>
          <w:p w14:paraId="56073088"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Pr>
              <w:t>366</w:t>
            </w:r>
          </w:p>
        </w:tc>
        <w:tc>
          <w:tcPr>
            <w:tcW w:w="1134" w:type="dxa"/>
            <w:shd w:val="clear" w:color="auto" w:fill="auto"/>
            <w:noWrap/>
            <w:vAlign w:val="center"/>
          </w:tcPr>
          <w:p w14:paraId="6CDDAE17" w14:textId="77777777" w:rsidR="008F5AF4" w:rsidRPr="0052793E" w:rsidRDefault="008F5AF4" w:rsidP="00502795">
            <w:pPr>
              <w:spacing w:after="0" w:line="240" w:lineRule="auto"/>
              <w:jc w:val="center"/>
              <w:rPr>
                <w:rFonts w:ascii="David" w:eastAsia="Times New Roman" w:hAnsi="David" w:cs="David"/>
                <w:b/>
                <w:bCs/>
              </w:rPr>
            </w:pPr>
            <w:r w:rsidRPr="0052793E">
              <w:rPr>
                <w:rFonts w:ascii="David" w:eastAsia="Times New Roman" w:hAnsi="David" w:cs="David" w:hint="cs"/>
                <w:b/>
                <w:bCs/>
                <w:rtl/>
              </w:rPr>
              <w:t>15:03</w:t>
            </w:r>
          </w:p>
        </w:tc>
        <w:tc>
          <w:tcPr>
            <w:tcW w:w="993" w:type="dxa"/>
            <w:shd w:val="clear" w:color="auto" w:fill="auto"/>
            <w:vAlign w:val="center"/>
          </w:tcPr>
          <w:p w14:paraId="0F6C9CA6"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Pr>
              <w:t>09:12</w:t>
            </w:r>
          </w:p>
        </w:tc>
        <w:tc>
          <w:tcPr>
            <w:tcW w:w="1134" w:type="dxa"/>
            <w:shd w:val="clear" w:color="auto" w:fill="auto"/>
            <w:vAlign w:val="center"/>
          </w:tcPr>
          <w:p w14:paraId="54C23C2F"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3A8BB389" w14:textId="77777777" w:rsidR="008F5AF4" w:rsidRPr="0052793E" w:rsidRDefault="008F5AF4" w:rsidP="00502795">
            <w:pPr>
              <w:spacing w:after="0" w:line="240" w:lineRule="auto"/>
              <w:jc w:val="center"/>
              <w:rPr>
                <w:rFonts w:ascii="David" w:eastAsia="Times New Roman" w:hAnsi="David" w:cs="David"/>
              </w:rPr>
            </w:pPr>
            <w:r w:rsidRPr="0052793E">
              <w:rPr>
                <w:rFonts w:ascii="David" w:eastAsia="Times New Roman" w:hAnsi="David" w:cs="David" w:hint="cs"/>
                <w:rtl/>
              </w:rPr>
              <w:t>15:03</w:t>
            </w:r>
          </w:p>
        </w:tc>
      </w:tr>
      <w:tr w:rsidR="008F5AF4" w:rsidRPr="0052793E" w14:paraId="25D7E3C5" w14:textId="77777777" w:rsidTr="00DB5BCC">
        <w:trPr>
          <w:trHeight w:val="397"/>
        </w:trPr>
        <w:tc>
          <w:tcPr>
            <w:tcW w:w="851" w:type="dxa"/>
            <w:tcBorders>
              <w:bottom w:val="single" w:sz="4" w:space="0" w:color="auto"/>
            </w:tcBorders>
            <w:shd w:val="clear" w:color="auto" w:fill="auto"/>
            <w:noWrap/>
            <w:vAlign w:val="center"/>
          </w:tcPr>
          <w:p w14:paraId="1355B0C7"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tcBorders>
              <w:bottom w:val="single" w:sz="4" w:space="0" w:color="auto"/>
            </w:tcBorders>
            <w:shd w:val="clear" w:color="auto" w:fill="auto"/>
            <w:noWrap/>
            <w:vAlign w:val="center"/>
          </w:tcPr>
          <w:p w14:paraId="596B7744"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tcBorders>
              <w:bottom w:val="single" w:sz="4" w:space="0" w:color="auto"/>
            </w:tcBorders>
            <w:shd w:val="clear" w:color="auto" w:fill="auto"/>
            <w:vAlign w:val="center"/>
          </w:tcPr>
          <w:p w14:paraId="0ACB55A8"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תיק אזרחי בסדר דין רגיל (ת"א) - תקנה 3 (אגרות)</w:t>
            </w:r>
          </w:p>
        </w:tc>
        <w:tc>
          <w:tcPr>
            <w:tcW w:w="992" w:type="dxa"/>
            <w:tcBorders>
              <w:bottom w:val="single" w:sz="4" w:space="0" w:color="auto"/>
            </w:tcBorders>
            <w:shd w:val="clear" w:color="auto" w:fill="auto"/>
            <w:vAlign w:val="center"/>
          </w:tcPr>
          <w:p w14:paraId="35A1BB5D" w14:textId="77777777" w:rsidR="008F5AF4" w:rsidRPr="0072393E" w:rsidRDefault="008F5AF4" w:rsidP="00502795">
            <w:pPr>
              <w:spacing w:after="0" w:line="240" w:lineRule="auto"/>
              <w:jc w:val="center"/>
              <w:rPr>
                <w:rFonts w:asciiTheme="minorHAnsi" w:eastAsia="Times New Roman" w:hAnsiTheme="minorHAnsi" w:cs="David"/>
              </w:rPr>
            </w:pPr>
            <w:r w:rsidRPr="0052793E">
              <w:rPr>
                <w:rFonts w:ascii="David" w:eastAsia="Times New Roman" w:hAnsi="David" w:cs="David"/>
              </w:rPr>
              <w:t>1,272</w:t>
            </w:r>
          </w:p>
        </w:tc>
        <w:tc>
          <w:tcPr>
            <w:tcW w:w="1134" w:type="dxa"/>
            <w:tcBorders>
              <w:bottom w:val="single" w:sz="4" w:space="0" w:color="auto"/>
            </w:tcBorders>
            <w:shd w:val="clear" w:color="auto" w:fill="auto"/>
            <w:noWrap/>
            <w:vAlign w:val="center"/>
          </w:tcPr>
          <w:p w14:paraId="189DB481" w14:textId="77777777" w:rsidR="008F5AF4" w:rsidRPr="0052793E" w:rsidRDefault="008F5AF4" w:rsidP="00502795">
            <w:pPr>
              <w:spacing w:after="0" w:line="240" w:lineRule="auto"/>
              <w:jc w:val="center"/>
              <w:rPr>
                <w:rFonts w:ascii="David" w:eastAsia="Times New Roman" w:hAnsi="David" w:cs="David"/>
                <w:b/>
                <w:bCs/>
              </w:rPr>
            </w:pPr>
            <w:r w:rsidRPr="0052793E">
              <w:rPr>
                <w:rFonts w:ascii="David" w:eastAsia="Times New Roman" w:hAnsi="David" w:cs="David"/>
                <w:b/>
                <w:bCs/>
              </w:rPr>
              <w:t>14:35</w:t>
            </w:r>
          </w:p>
        </w:tc>
        <w:tc>
          <w:tcPr>
            <w:tcW w:w="993" w:type="dxa"/>
            <w:tcBorders>
              <w:bottom w:val="single" w:sz="4" w:space="0" w:color="auto"/>
            </w:tcBorders>
            <w:shd w:val="clear" w:color="auto" w:fill="auto"/>
            <w:vAlign w:val="center"/>
          </w:tcPr>
          <w:p w14:paraId="75228AE8"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Pr>
              <w:t>21:28</w:t>
            </w:r>
          </w:p>
        </w:tc>
        <w:tc>
          <w:tcPr>
            <w:tcW w:w="1134" w:type="dxa"/>
            <w:tcBorders>
              <w:bottom w:val="single" w:sz="4" w:space="0" w:color="auto"/>
            </w:tcBorders>
            <w:shd w:val="clear" w:color="auto" w:fill="auto"/>
            <w:vAlign w:val="center"/>
          </w:tcPr>
          <w:p w14:paraId="4937E283"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tl/>
              </w:rPr>
              <w:t>1.04</w:t>
            </w:r>
          </w:p>
        </w:tc>
        <w:tc>
          <w:tcPr>
            <w:tcW w:w="1558" w:type="dxa"/>
            <w:tcBorders>
              <w:bottom w:val="single" w:sz="4" w:space="0" w:color="auto"/>
            </w:tcBorders>
            <w:shd w:val="clear" w:color="auto" w:fill="auto"/>
            <w:vAlign w:val="center"/>
          </w:tcPr>
          <w:p w14:paraId="7FF99BB8" w14:textId="77777777" w:rsidR="008F5AF4" w:rsidRPr="0052793E" w:rsidRDefault="008F5AF4" w:rsidP="00502795">
            <w:pPr>
              <w:spacing w:after="0" w:line="240" w:lineRule="auto"/>
              <w:jc w:val="center"/>
              <w:rPr>
                <w:rFonts w:ascii="David" w:eastAsia="Times New Roman" w:hAnsi="David" w:cs="David"/>
              </w:rPr>
            </w:pPr>
            <w:r w:rsidRPr="0052793E">
              <w:rPr>
                <w:rFonts w:ascii="David" w:eastAsia="Times New Roman" w:hAnsi="David" w:cs="David" w:hint="cs"/>
                <w:rtl/>
              </w:rPr>
              <w:t>13:57</w:t>
            </w:r>
          </w:p>
        </w:tc>
      </w:tr>
      <w:tr w:rsidR="008F5AF4" w:rsidRPr="0052793E" w14:paraId="2BBBFF11" w14:textId="77777777" w:rsidTr="00DB5BCC">
        <w:trPr>
          <w:trHeight w:val="397"/>
        </w:trPr>
        <w:tc>
          <w:tcPr>
            <w:tcW w:w="851" w:type="dxa"/>
            <w:tcBorders>
              <w:bottom w:val="single" w:sz="4" w:space="0" w:color="auto"/>
            </w:tcBorders>
            <w:shd w:val="clear" w:color="auto" w:fill="auto"/>
            <w:noWrap/>
            <w:vAlign w:val="center"/>
          </w:tcPr>
          <w:p w14:paraId="6649D534"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עבודה</w:t>
            </w:r>
          </w:p>
        </w:tc>
        <w:tc>
          <w:tcPr>
            <w:tcW w:w="993" w:type="dxa"/>
            <w:tcBorders>
              <w:bottom w:val="single" w:sz="4" w:space="0" w:color="auto"/>
            </w:tcBorders>
            <w:shd w:val="clear" w:color="auto" w:fill="auto"/>
            <w:noWrap/>
            <w:vAlign w:val="center"/>
          </w:tcPr>
          <w:p w14:paraId="39852786"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tcBorders>
              <w:bottom w:val="single" w:sz="4" w:space="0" w:color="auto"/>
            </w:tcBorders>
            <w:shd w:val="clear" w:color="auto" w:fill="auto"/>
            <w:vAlign w:val="center"/>
          </w:tcPr>
          <w:p w14:paraId="444A0E48"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סכסוך קיבוצי (ס"ק)</w:t>
            </w:r>
          </w:p>
        </w:tc>
        <w:tc>
          <w:tcPr>
            <w:tcW w:w="992" w:type="dxa"/>
            <w:tcBorders>
              <w:bottom w:val="single" w:sz="4" w:space="0" w:color="auto"/>
            </w:tcBorders>
            <w:shd w:val="clear" w:color="auto" w:fill="auto"/>
            <w:vAlign w:val="center"/>
          </w:tcPr>
          <w:p w14:paraId="6812A863" w14:textId="77777777" w:rsidR="008F5AF4" w:rsidRPr="0052793E" w:rsidRDefault="008F5AF4" w:rsidP="00502795">
            <w:pPr>
              <w:spacing w:after="0" w:line="240" w:lineRule="auto"/>
              <w:jc w:val="center"/>
              <w:rPr>
                <w:rFonts w:ascii="David" w:eastAsia="Times New Roman" w:hAnsi="David" w:cs="David"/>
              </w:rPr>
            </w:pPr>
            <w:r w:rsidRPr="0052793E">
              <w:rPr>
                <w:rFonts w:ascii="David" w:eastAsia="Times New Roman" w:hAnsi="David" w:cs="David"/>
                <w:rtl/>
              </w:rPr>
              <w:t>214</w:t>
            </w:r>
          </w:p>
        </w:tc>
        <w:tc>
          <w:tcPr>
            <w:tcW w:w="1134" w:type="dxa"/>
            <w:tcBorders>
              <w:bottom w:val="single" w:sz="4" w:space="0" w:color="auto"/>
            </w:tcBorders>
            <w:shd w:val="clear" w:color="auto" w:fill="auto"/>
            <w:noWrap/>
            <w:vAlign w:val="center"/>
          </w:tcPr>
          <w:p w14:paraId="2ED2BBB4" w14:textId="77777777" w:rsidR="008F5AF4" w:rsidRPr="0052793E" w:rsidRDefault="008F5AF4" w:rsidP="00502795">
            <w:pPr>
              <w:spacing w:after="0" w:line="240" w:lineRule="auto"/>
              <w:jc w:val="center"/>
              <w:rPr>
                <w:rFonts w:ascii="David" w:eastAsia="Times New Roman" w:hAnsi="David" w:cs="David"/>
                <w:b/>
                <w:bCs/>
              </w:rPr>
            </w:pPr>
            <w:r w:rsidRPr="0052793E">
              <w:rPr>
                <w:rFonts w:ascii="David" w:eastAsia="Times New Roman" w:hAnsi="David" w:cs="David" w:hint="cs"/>
                <w:b/>
                <w:bCs/>
                <w:rtl/>
              </w:rPr>
              <w:t>14:22</w:t>
            </w:r>
          </w:p>
        </w:tc>
        <w:tc>
          <w:tcPr>
            <w:tcW w:w="993" w:type="dxa"/>
            <w:tcBorders>
              <w:bottom w:val="single" w:sz="4" w:space="0" w:color="auto"/>
            </w:tcBorders>
            <w:shd w:val="clear" w:color="auto" w:fill="auto"/>
            <w:vAlign w:val="center"/>
          </w:tcPr>
          <w:p w14:paraId="6577A4C8" w14:textId="77777777" w:rsidR="008F5AF4" w:rsidRPr="0052793E" w:rsidRDefault="008F5AF4" w:rsidP="00502795">
            <w:pPr>
              <w:spacing w:after="0" w:line="240" w:lineRule="auto"/>
              <w:jc w:val="center"/>
              <w:rPr>
                <w:rFonts w:ascii="David" w:eastAsia="Times New Roman" w:hAnsi="David" w:cs="David"/>
              </w:rPr>
            </w:pPr>
            <w:r w:rsidRPr="0052793E">
              <w:rPr>
                <w:rFonts w:ascii="David" w:eastAsia="Times New Roman" w:hAnsi="David" w:cs="David"/>
              </w:rPr>
              <w:t>18:34</w:t>
            </w:r>
          </w:p>
        </w:tc>
        <w:tc>
          <w:tcPr>
            <w:tcW w:w="1134" w:type="dxa"/>
            <w:tcBorders>
              <w:bottom w:val="single" w:sz="4" w:space="0" w:color="auto"/>
            </w:tcBorders>
            <w:shd w:val="clear" w:color="auto" w:fill="auto"/>
            <w:vAlign w:val="center"/>
          </w:tcPr>
          <w:p w14:paraId="39F975EE"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hint="cs"/>
                <w:rtl/>
              </w:rPr>
              <w:t>1.05</w:t>
            </w:r>
          </w:p>
        </w:tc>
        <w:tc>
          <w:tcPr>
            <w:tcW w:w="1558" w:type="dxa"/>
            <w:tcBorders>
              <w:bottom w:val="single" w:sz="4" w:space="0" w:color="auto"/>
            </w:tcBorders>
            <w:shd w:val="clear" w:color="auto" w:fill="auto"/>
            <w:vAlign w:val="center"/>
          </w:tcPr>
          <w:p w14:paraId="322E0D2B"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hint="cs"/>
                <w:rtl/>
              </w:rPr>
              <w:t>13:41</w:t>
            </w:r>
          </w:p>
        </w:tc>
      </w:tr>
      <w:tr w:rsidR="008F5AF4" w:rsidRPr="0052793E" w14:paraId="6BF17048" w14:textId="77777777" w:rsidTr="00DB5BCC">
        <w:trPr>
          <w:trHeight w:val="397"/>
        </w:trPr>
        <w:tc>
          <w:tcPr>
            <w:tcW w:w="851" w:type="dxa"/>
            <w:tcBorders>
              <w:bottom w:val="single" w:sz="4" w:space="0" w:color="auto"/>
            </w:tcBorders>
            <w:shd w:val="clear" w:color="auto" w:fill="auto"/>
            <w:noWrap/>
            <w:vAlign w:val="center"/>
          </w:tcPr>
          <w:p w14:paraId="6634FDD9"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tcBorders>
              <w:bottom w:val="single" w:sz="4" w:space="0" w:color="auto"/>
            </w:tcBorders>
            <w:shd w:val="clear" w:color="auto" w:fill="auto"/>
            <w:noWrap/>
            <w:vAlign w:val="center"/>
          </w:tcPr>
          <w:p w14:paraId="19FB6366"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tcBorders>
              <w:bottom w:val="single" w:sz="4" w:space="0" w:color="auto"/>
            </w:tcBorders>
            <w:shd w:val="clear" w:color="auto" w:fill="auto"/>
            <w:vAlign w:val="center"/>
          </w:tcPr>
          <w:p w14:paraId="5C20F34E" w14:textId="77777777" w:rsidR="008F5AF4" w:rsidRPr="0052793E" w:rsidRDefault="008F5AF4" w:rsidP="00502795">
            <w:pPr>
              <w:spacing w:after="0" w:line="240" w:lineRule="auto"/>
              <w:rPr>
                <w:rFonts w:ascii="David" w:eastAsia="Times New Roman" w:hAnsi="David" w:cs="David"/>
                <w:rtl/>
              </w:rPr>
            </w:pPr>
            <w:r w:rsidRPr="0052793E">
              <w:rPr>
                <w:rFonts w:ascii="David" w:eastAsia="Times New Roman" w:hAnsi="David" w:cs="David"/>
                <w:rtl/>
              </w:rPr>
              <w:t>ערעור לפי חוק חיילים שנספו במערכה (עמ"ח)</w:t>
            </w:r>
          </w:p>
        </w:tc>
        <w:tc>
          <w:tcPr>
            <w:tcW w:w="992" w:type="dxa"/>
            <w:tcBorders>
              <w:bottom w:val="single" w:sz="4" w:space="0" w:color="auto"/>
            </w:tcBorders>
            <w:shd w:val="clear" w:color="auto" w:fill="auto"/>
            <w:vAlign w:val="center"/>
          </w:tcPr>
          <w:p w14:paraId="7722DA77"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Pr>
              <w:t>37</w:t>
            </w:r>
          </w:p>
        </w:tc>
        <w:tc>
          <w:tcPr>
            <w:tcW w:w="1134" w:type="dxa"/>
            <w:tcBorders>
              <w:bottom w:val="single" w:sz="4" w:space="0" w:color="auto"/>
            </w:tcBorders>
            <w:shd w:val="clear" w:color="auto" w:fill="auto"/>
            <w:noWrap/>
            <w:vAlign w:val="center"/>
          </w:tcPr>
          <w:p w14:paraId="0F23ECFD" w14:textId="77777777" w:rsidR="008F5AF4" w:rsidRPr="0052793E" w:rsidRDefault="008F5AF4" w:rsidP="00502795">
            <w:pPr>
              <w:spacing w:after="0" w:line="240" w:lineRule="auto"/>
              <w:jc w:val="center"/>
              <w:rPr>
                <w:rFonts w:ascii="David" w:eastAsia="Times New Roman" w:hAnsi="David" w:cs="David"/>
                <w:b/>
                <w:bCs/>
              </w:rPr>
            </w:pPr>
            <w:r w:rsidRPr="0052793E">
              <w:rPr>
                <w:rFonts w:ascii="David" w:eastAsia="Times New Roman" w:hAnsi="David" w:cs="David"/>
                <w:b/>
                <w:bCs/>
              </w:rPr>
              <w:t>14:17</w:t>
            </w:r>
          </w:p>
        </w:tc>
        <w:tc>
          <w:tcPr>
            <w:tcW w:w="993" w:type="dxa"/>
            <w:tcBorders>
              <w:bottom w:val="single" w:sz="4" w:space="0" w:color="auto"/>
            </w:tcBorders>
            <w:shd w:val="clear" w:color="auto" w:fill="auto"/>
            <w:vAlign w:val="center"/>
          </w:tcPr>
          <w:p w14:paraId="70474CCC" w14:textId="77777777" w:rsidR="008F5AF4" w:rsidRPr="0052793E" w:rsidRDefault="008F5AF4" w:rsidP="00502795">
            <w:pPr>
              <w:spacing w:after="0" w:line="240" w:lineRule="auto"/>
              <w:jc w:val="center"/>
              <w:rPr>
                <w:rFonts w:ascii="David" w:eastAsia="Times New Roman" w:hAnsi="David" w:cs="David"/>
                <w:rtl/>
              </w:rPr>
            </w:pPr>
            <w:r w:rsidRPr="0052793E">
              <w:rPr>
                <w:rFonts w:ascii="David" w:eastAsia="Times New Roman" w:hAnsi="David" w:cs="David"/>
              </w:rPr>
              <w:t>-</w:t>
            </w:r>
          </w:p>
        </w:tc>
        <w:tc>
          <w:tcPr>
            <w:tcW w:w="1134" w:type="dxa"/>
            <w:tcBorders>
              <w:bottom w:val="single" w:sz="4" w:space="0" w:color="auto"/>
            </w:tcBorders>
            <w:shd w:val="clear" w:color="auto" w:fill="auto"/>
            <w:vAlign w:val="center"/>
          </w:tcPr>
          <w:p w14:paraId="7A5A125C" w14:textId="77777777" w:rsidR="008F5AF4" w:rsidRPr="0052793E" w:rsidRDefault="008F5AF4" w:rsidP="00502795">
            <w:pPr>
              <w:spacing w:after="0" w:line="240" w:lineRule="auto"/>
              <w:jc w:val="center"/>
              <w:rPr>
                <w:rFonts w:ascii="David" w:eastAsia="Times New Roman" w:hAnsi="David" w:cs="David"/>
              </w:rPr>
            </w:pPr>
            <w:r w:rsidRPr="0052793E">
              <w:rPr>
                <w:rFonts w:ascii="David" w:eastAsia="Times New Roman" w:hAnsi="David" w:cs="David"/>
                <w:rtl/>
              </w:rPr>
              <w:t>1.02</w:t>
            </w:r>
          </w:p>
        </w:tc>
        <w:tc>
          <w:tcPr>
            <w:tcW w:w="1558" w:type="dxa"/>
            <w:tcBorders>
              <w:bottom w:val="single" w:sz="4" w:space="0" w:color="auto"/>
            </w:tcBorders>
            <w:shd w:val="clear" w:color="auto" w:fill="auto"/>
            <w:vAlign w:val="center"/>
          </w:tcPr>
          <w:p w14:paraId="6C7F551F" w14:textId="77777777" w:rsidR="008F5AF4" w:rsidRPr="0052793E" w:rsidRDefault="008F5AF4" w:rsidP="00502795">
            <w:pPr>
              <w:spacing w:after="0" w:line="240" w:lineRule="auto"/>
              <w:jc w:val="center"/>
              <w:rPr>
                <w:rFonts w:ascii="David" w:eastAsia="Times New Roman" w:hAnsi="David" w:cs="David"/>
              </w:rPr>
            </w:pPr>
            <w:r w:rsidRPr="0052793E">
              <w:rPr>
                <w:rFonts w:ascii="David" w:eastAsia="Times New Roman" w:hAnsi="David" w:cs="David" w:hint="cs"/>
                <w:rtl/>
              </w:rPr>
              <w:t>14:00</w:t>
            </w:r>
          </w:p>
        </w:tc>
      </w:tr>
      <w:tr w:rsidR="00E872D0" w:rsidRPr="0052793E" w14:paraId="5788CAC8" w14:textId="77777777" w:rsidTr="00DB5BCC">
        <w:trPr>
          <w:trHeight w:val="397"/>
        </w:trPr>
        <w:tc>
          <w:tcPr>
            <w:tcW w:w="851" w:type="dxa"/>
            <w:tcBorders>
              <w:bottom w:val="single" w:sz="4" w:space="0" w:color="auto"/>
            </w:tcBorders>
            <w:shd w:val="clear" w:color="auto" w:fill="auto"/>
            <w:noWrap/>
            <w:vAlign w:val="center"/>
          </w:tcPr>
          <w:p w14:paraId="286D7B42" w14:textId="77777777" w:rsidR="00E872D0" w:rsidRPr="0052793E" w:rsidRDefault="00E872D0" w:rsidP="00502795">
            <w:pPr>
              <w:spacing w:after="0" w:line="240" w:lineRule="auto"/>
              <w:rPr>
                <w:rFonts w:ascii="David" w:eastAsia="Times New Roman" w:hAnsi="David" w:cs="David"/>
                <w:rtl/>
              </w:rPr>
            </w:pPr>
            <w:r w:rsidRPr="0052793E">
              <w:rPr>
                <w:rFonts w:ascii="David" w:eastAsia="Times New Roman" w:hAnsi="David" w:cs="David"/>
                <w:rtl/>
              </w:rPr>
              <w:t>עבודה</w:t>
            </w:r>
          </w:p>
        </w:tc>
        <w:tc>
          <w:tcPr>
            <w:tcW w:w="993" w:type="dxa"/>
            <w:tcBorders>
              <w:bottom w:val="single" w:sz="4" w:space="0" w:color="auto"/>
            </w:tcBorders>
            <w:shd w:val="clear" w:color="auto" w:fill="auto"/>
            <w:noWrap/>
            <w:vAlign w:val="center"/>
          </w:tcPr>
          <w:p w14:paraId="0B1E6B9F" w14:textId="77777777" w:rsidR="00E872D0" w:rsidRPr="0052793E" w:rsidRDefault="00E872D0" w:rsidP="00502795">
            <w:pPr>
              <w:spacing w:after="0" w:line="240" w:lineRule="auto"/>
              <w:rPr>
                <w:rFonts w:ascii="David" w:eastAsia="Times New Roman" w:hAnsi="David" w:cs="David"/>
                <w:rtl/>
              </w:rPr>
            </w:pPr>
            <w:r w:rsidRPr="0052793E">
              <w:rPr>
                <w:rFonts w:ascii="David" w:eastAsia="Times New Roman" w:hAnsi="David" w:cs="David"/>
                <w:rtl/>
              </w:rPr>
              <w:t>פלילי</w:t>
            </w:r>
          </w:p>
        </w:tc>
        <w:tc>
          <w:tcPr>
            <w:tcW w:w="2267" w:type="dxa"/>
            <w:tcBorders>
              <w:bottom w:val="single" w:sz="4" w:space="0" w:color="auto"/>
            </w:tcBorders>
            <w:shd w:val="clear" w:color="auto" w:fill="auto"/>
            <w:vAlign w:val="center"/>
          </w:tcPr>
          <w:p w14:paraId="291361AB" w14:textId="77777777" w:rsidR="00E872D0" w:rsidRPr="0052793E" w:rsidRDefault="00E872D0" w:rsidP="00502795">
            <w:pPr>
              <w:spacing w:after="0" w:line="240" w:lineRule="auto"/>
              <w:rPr>
                <w:rFonts w:ascii="David" w:eastAsia="Times New Roman" w:hAnsi="David" w:cs="David"/>
                <w:rtl/>
              </w:rPr>
            </w:pPr>
            <w:r w:rsidRPr="0052793E">
              <w:rPr>
                <w:rFonts w:ascii="David" w:eastAsia="Times New Roman" w:hAnsi="David" w:cs="David"/>
                <w:rtl/>
              </w:rPr>
              <w:t>תיק פלילי (ת"פ)</w:t>
            </w:r>
          </w:p>
        </w:tc>
        <w:tc>
          <w:tcPr>
            <w:tcW w:w="992" w:type="dxa"/>
            <w:tcBorders>
              <w:bottom w:val="single" w:sz="4" w:space="0" w:color="auto"/>
            </w:tcBorders>
            <w:shd w:val="clear" w:color="auto" w:fill="auto"/>
            <w:vAlign w:val="center"/>
          </w:tcPr>
          <w:p w14:paraId="6796ABB8" w14:textId="77777777" w:rsidR="00E872D0" w:rsidRPr="0052793E" w:rsidRDefault="00E872D0" w:rsidP="00502795">
            <w:pPr>
              <w:spacing w:after="0" w:line="240" w:lineRule="auto"/>
              <w:jc w:val="center"/>
              <w:rPr>
                <w:rFonts w:ascii="David" w:eastAsia="Times New Roman" w:hAnsi="David" w:cs="David"/>
              </w:rPr>
            </w:pPr>
            <w:r w:rsidRPr="0052793E">
              <w:rPr>
                <w:rFonts w:ascii="David" w:eastAsia="Times New Roman" w:hAnsi="David" w:cs="David"/>
                <w:rtl/>
              </w:rPr>
              <w:t>153</w:t>
            </w:r>
          </w:p>
        </w:tc>
        <w:tc>
          <w:tcPr>
            <w:tcW w:w="1134" w:type="dxa"/>
            <w:tcBorders>
              <w:bottom w:val="single" w:sz="4" w:space="0" w:color="auto"/>
            </w:tcBorders>
            <w:shd w:val="clear" w:color="auto" w:fill="auto"/>
            <w:noWrap/>
            <w:vAlign w:val="center"/>
          </w:tcPr>
          <w:p w14:paraId="1A46A071" w14:textId="77777777" w:rsidR="00E872D0" w:rsidRPr="0052793E" w:rsidRDefault="00E872D0" w:rsidP="00502795">
            <w:pPr>
              <w:spacing w:after="0" w:line="240" w:lineRule="auto"/>
              <w:jc w:val="center"/>
              <w:rPr>
                <w:rFonts w:ascii="David" w:eastAsia="Times New Roman" w:hAnsi="David" w:cs="David"/>
                <w:b/>
                <w:bCs/>
              </w:rPr>
            </w:pPr>
            <w:r w:rsidRPr="0052793E">
              <w:rPr>
                <w:rFonts w:ascii="David" w:eastAsia="Times New Roman" w:hAnsi="David" w:cs="David" w:hint="cs"/>
                <w:b/>
                <w:bCs/>
                <w:rtl/>
              </w:rPr>
              <w:t>14:10</w:t>
            </w:r>
          </w:p>
        </w:tc>
        <w:tc>
          <w:tcPr>
            <w:tcW w:w="993" w:type="dxa"/>
            <w:tcBorders>
              <w:bottom w:val="single" w:sz="4" w:space="0" w:color="auto"/>
            </w:tcBorders>
            <w:shd w:val="clear" w:color="auto" w:fill="auto"/>
            <w:vAlign w:val="center"/>
          </w:tcPr>
          <w:p w14:paraId="2285C66D" w14:textId="77777777" w:rsidR="00E872D0" w:rsidRPr="0052793E" w:rsidRDefault="00E872D0" w:rsidP="00502795">
            <w:pPr>
              <w:spacing w:after="0" w:line="240" w:lineRule="auto"/>
              <w:jc w:val="center"/>
              <w:rPr>
                <w:rFonts w:ascii="David" w:eastAsia="Times New Roman" w:hAnsi="David" w:cs="David"/>
              </w:rPr>
            </w:pPr>
            <w:r w:rsidRPr="0052793E">
              <w:rPr>
                <w:rFonts w:ascii="David" w:eastAsia="Times New Roman" w:hAnsi="David" w:cs="David"/>
                <w:rtl/>
              </w:rPr>
              <w:t>5:30</w:t>
            </w:r>
          </w:p>
        </w:tc>
        <w:tc>
          <w:tcPr>
            <w:tcW w:w="1134" w:type="dxa"/>
            <w:tcBorders>
              <w:bottom w:val="single" w:sz="4" w:space="0" w:color="auto"/>
            </w:tcBorders>
            <w:shd w:val="clear" w:color="auto" w:fill="auto"/>
            <w:vAlign w:val="center"/>
          </w:tcPr>
          <w:p w14:paraId="0119FFFE" w14:textId="77777777" w:rsidR="00E872D0" w:rsidRPr="0052793E" w:rsidRDefault="00E872D0" w:rsidP="00502795">
            <w:pPr>
              <w:spacing w:after="0" w:line="240" w:lineRule="auto"/>
              <w:jc w:val="center"/>
              <w:rPr>
                <w:rFonts w:ascii="David" w:eastAsia="Times New Roman" w:hAnsi="David" w:cs="David"/>
                <w:rtl/>
              </w:rPr>
            </w:pPr>
            <w:r w:rsidRPr="0052793E">
              <w:rPr>
                <w:rFonts w:ascii="David" w:eastAsia="Times New Roman" w:hAnsi="David" w:cs="David" w:hint="cs"/>
                <w:rtl/>
              </w:rPr>
              <w:t>1</w:t>
            </w:r>
          </w:p>
        </w:tc>
        <w:tc>
          <w:tcPr>
            <w:tcW w:w="1558" w:type="dxa"/>
            <w:tcBorders>
              <w:bottom w:val="single" w:sz="4" w:space="0" w:color="auto"/>
            </w:tcBorders>
            <w:shd w:val="clear" w:color="auto" w:fill="auto"/>
            <w:vAlign w:val="center"/>
          </w:tcPr>
          <w:p w14:paraId="5D7E762F" w14:textId="77777777" w:rsidR="00E872D0" w:rsidRPr="0052793E" w:rsidRDefault="00E872D0" w:rsidP="00502795">
            <w:pPr>
              <w:spacing w:after="0" w:line="240" w:lineRule="auto"/>
              <w:jc w:val="center"/>
              <w:rPr>
                <w:rFonts w:ascii="David" w:eastAsia="Times New Roman" w:hAnsi="David" w:cs="David"/>
                <w:rtl/>
              </w:rPr>
            </w:pPr>
            <w:r w:rsidRPr="0052793E">
              <w:rPr>
                <w:rFonts w:ascii="David" w:eastAsia="Times New Roman" w:hAnsi="David" w:cs="David" w:hint="cs"/>
                <w:rtl/>
              </w:rPr>
              <w:t>14:10</w:t>
            </w:r>
          </w:p>
        </w:tc>
      </w:tr>
      <w:tr w:rsidR="00E872D0" w:rsidRPr="0052793E" w14:paraId="0DDAA5EC" w14:textId="77777777" w:rsidTr="00DB5BCC">
        <w:trPr>
          <w:trHeight w:val="285"/>
        </w:trPr>
        <w:tc>
          <w:tcPr>
            <w:tcW w:w="851" w:type="dxa"/>
            <w:tcBorders>
              <w:top w:val="single" w:sz="4" w:space="0" w:color="auto"/>
              <w:bottom w:val="single" w:sz="4" w:space="0" w:color="auto"/>
            </w:tcBorders>
            <w:shd w:val="clear" w:color="auto" w:fill="auto"/>
            <w:noWrap/>
            <w:vAlign w:val="center"/>
          </w:tcPr>
          <w:p w14:paraId="35D83A91" w14:textId="77777777" w:rsidR="00E872D0" w:rsidRPr="0052793E" w:rsidRDefault="00E872D0" w:rsidP="00502795">
            <w:pPr>
              <w:spacing w:after="0" w:line="240" w:lineRule="auto"/>
              <w:rPr>
                <w:rFonts w:ascii="David" w:eastAsia="Times New Roman" w:hAnsi="David" w:cs="David"/>
                <w:rtl/>
              </w:rPr>
            </w:pPr>
            <w:r w:rsidRPr="0052793E">
              <w:rPr>
                <w:rFonts w:ascii="David" w:eastAsia="Times New Roman" w:hAnsi="David" w:cs="David"/>
                <w:rtl/>
              </w:rPr>
              <w:t>עבודה</w:t>
            </w:r>
          </w:p>
        </w:tc>
        <w:tc>
          <w:tcPr>
            <w:tcW w:w="993" w:type="dxa"/>
            <w:tcBorders>
              <w:top w:val="single" w:sz="4" w:space="0" w:color="auto"/>
              <w:bottom w:val="single" w:sz="4" w:space="0" w:color="auto"/>
            </w:tcBorders>
            <w:shd w:val="clear" w:color="auto" w:fill="auto"/>
            <w:noWrap/>
            <w:vAlign w:val="center"/>
          </w:tcPr>
          <w:p w14:paraId="434B9355" w14:textId="77777777" w:rsidR="00E872D0" w:rsidRPr="0052793E" w:rsidRDefault="00E872D0" w:rsidP="00502795">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tcBorders>
              <w:top w:val="single" w:sz="4" w:space="0" w:color="auto"/>
              <w:bottom w:val="single" w:sz="4" w:space="0" w:color="auto"/>
            </w:tcBorders>
            <w:shd w:val="clear" w:color="auto" w:fill="auto"/>
            <w:vAlign w:val="center"/>
          </w:tcPr>
          <w:p w14:paraId="456008BB" w14:textId="77777777" w:rsidR="00E872D0" w:rsidRPr="0052793E" w:rsidRDefault="00E872D0" w:rsidP="00502795">
            <w:pPr>
              <w:spacing w:after="0" w:line="240" w:lineRule="auto"/>
              <w:rPr>
                <w:rFonts w:ascii="David" w:eastAsia="Times New Roman" w:hAnsi="David" w:cs="David"/>
                <w:rtl/>
              </w:rPr>
            </w:pPr>
            <w:r w:rsidRPr="0052793E">
              <w:rPr>
                <w:rFonts w:ascii="David" w:eastAsia="Times New Roman" w:hAnsi="David" w:cs="David"/>
                <w:rtl/>
              </w:rPr>
              <w:t>סכסוך עבודה בסמכות שופט (סע"ש) – הטרדה מינית</w:t>
            </w:r>
          </w:p>
        </w:tc>
        <w:tc>
          <w:tcPr>
            <w:tcW w:w="992" w:type="dxa"/>
            <w:tcBorders>
              <w:top w:val="single" w:sz="4" w:space="0" w:color="auto"/>
              <w:bottom w:val="single" w:sz="4" w:space="0" w:color="auto"/>
            </w:tcBorders>
            <w:shd w:val="clear" w:color="auto" w:fill="auto"/>
            <w:vAlign w:val="center"/>
          </w:tcPr>
          <w:p w14:paraId="103BDA82" w14:textId="77777777" w:rsidR="00E872D0" w:rsidRPr="0052793E" w:rsidRDefault="00E872D0" w:rsidP="00502795">
            <w:pPr>
              <w:spacing w:after="0" w:line="240" w:lineRule="auto"/>
              <w:jc w:val="center"/>
              <w:rPr>
                <w:rFonts w:ascii="David" w:eastAsia="Times New Roman" w:hAnsi="David" w:cs="David"/>
                <w:rtl/>
              </w:rPr>
            </w:pPr>
            <w:r w:rsidRPr="0052793E">
              <w:rPr>
                <w:rFonts w:ascii="David" w:eastAsia="Times New Roman" w:hAnsi="David" w:cs="David"/>
                <w:rtl/>
              </w:rPr>
              <w:t>120</w:t>
            </w:r>
          </w:p>
        </w:tc>
        <w:tc>
          <w:tcPr>
            <w:tcW w:w="1134" w:type="dxa"/>
            <w:tcBorders>
              <w:top w:val="single" w:sz="4" w:space="0" w:color="auto"/>
              <w:bottom w:val="single" w:sz="4" w:space="0" w:color="auto"/>
            </w:tcBorders>
            <w:shd w:val="clear" w:color="auto" w:fill="auto"/>
            <w:noWrap/>
            <w:vAlign w:val="center"/>
          </w:tcPr>
          <w:p w14:paraId="633A6845" w14:textId="77777777" w:rsidR="00E872D0" w:rsidRPr="0052793E" w:rsidRDefault="00E872D0" w:rsidP="00502795">
            <w:pPr>
              <w:spacing w:after="0" w:line="240" w:lineRule="auto"/>
              <w:jc w:val="center"/>
              <w:rPr>
                <w:rFonts w:ascii="David" w:eastAsia="Times New Roman" w:hAnsi="David" w:cs="David"/>
                <w:b/>
                <w:bCs/>
                <w:rtl/>
              </w:rPr>
            </w:pPr>
            <w:r w:rsidRPr="0052793E">
              <w:rPr>
                <w:rFonts w:ascii="David" w:eastAsia="Times New Roman" w:hAnsi="David" w:cs="David" w:hint="cs"/>
                <w:b/>
                <w:bCs/>
                <w:rtl/>
              </w:rPr>
              <w:t>13:21</w:t>
            </w:r>
          </w:p>
        </w:tc>
        <w:tc>
          <w:tcPr>
            <w:tcW w:w="993" w:type="dxa"/>
            <w:tcBorders>
              <w:top w:val="single" w:sz="4" w:space="0" w:color="auto"/>
              <w:bottom w:val="single" w:sz="4" w:space="0" w:color="auto"/>
            </w:tcBorders>
            <w:shd w:val="clear" w:color="auto" w:fill="auto"/>
            <w:vAlign w:val="center"/>
          </w:tcPr>
          <w:p w14:paraId="52BEFE00" w14:textId="77777777" w:rsidR="00E872D0" w:rsidRPr="0052793E" w:rsidRDefault="00E872D0" w:rsidP="00502795">
            <w:pPr>
              <w:spacing w:after="0" w:line="240" w:lineRule="auto"/>
              <w:jc w:val="center"/>
              <w:rPr>
                <w:rFonts w:ascii="David" w:eastAsia="Times New Roman" w:hAnsi="David" w:cs="David"/>
                <w:rtl/>
              </w:rPr>
            </w:pPr>
            <w:r w:rsidRPr="0052793E">
              <w:rPr>
                <w:rFonts w:ascii="David" w:eastAsia="Times New Roman" w:hAnsi="David" w:cs="David"/>
                <w:rtl/>
              </w:rPr>
              <w:t>-</w:t>
            </w:r>
          </w:p>
        </w:tc>
        <w:tc>
          <w:tcPr>
            <w:tcW w:w="1134" w:type="dxa"/>
            <w:tcBorders>
              <w:top w:val="single" w:sz="4" w:space="0" w:color="auto"/>
              <w:bottom w:val="single" w:sz="4" w:space="0" w:color="auto"/>
            </w:tcBorders>
            <w:shd w:val="clear" w:color="auto" w:fill="auto"/>
            <w:vAlign w:val="center"/>
          </w:tcPr>
          <w:p w14:paraId="0423252A" w14:textId="77777777" w:rsidR="00E872D0" w:rsidRPr="0052793E" w:rsidRDefault="00E872D0" w:rsidP="00502795">
            <w:pPr>
              <w:spacing w:after="0" w:line="240" w:lineRule="auto"/>
              <w:jc w:val="center"/>
              <w:rPr>
                <w:rFonts w:ascii="David" w:eastAsia="Times New Roman" w:hAnsi="David" w:cs="David"/>
                <w:rtl/>
              </w:rPr>
            </w:pPr>
            <w:r w:rsidRPr="0052793E">
              <w:rPr>
                <w:rFonts w:ascii="David" w:eastAsia="Times New Roman" w:hAnsi="David" w:cs="David" w:hint="cs"/>
                <w:rtl/>
              </w:rPr>
              <w:t>1.28</w:t>
            </w:r>
          </w:p>
        </w:tc>
        <w:tc>
          <w:tcPr>
            <w:tcW w:w="1558" w:type="dxa"/>
            <w:tcBorders>
              <w:top w:val="single" w:sz="4" w:space="0" w:color="auto"/>
              <w:bottom w:val="single" w:sz="4" w:space="0" w:color="auto"/>
            </w:tcBorders>
            <w:shd w:val="clear" w:color="auto" w:fill="auto"/>
            <w:vAlign w:val="center"/>
          </w:tcPr>
          <w:p w14:paraId="53556398" w14:textId="77777777" w:rsidR="00E872D0" w:rsidRPr="0052793E" w:rsidRDefault="00E872D0" w:rsidP="00502795">
            <w:pPr>
              <w:spacing w:after="0" w:line="240" w:lineRule="auto"/>
              <w:jc w:val="center"/>
              <w:rPr>
                <w:rFonts w:ascii="David" w:eastAsia="Times New Roman" w:hAnsi="David" w:cs="David"/>
              </w:rPr>
            </w:pPr>
            <w:r w:rsidRPr="0052793E">
              <w:rPr>
                <w:rFonts w:ascii="David" w:eastAsia="Times New Roman" w:hAnsi="David" w:cs="David" w:hint="cs"/>
                <w:rtl/>
              </w:rPr>
              <w:t>10:25</w:t>
            </w:r>
          </w:p>
        </w:tc>
      </w:tr>
      <w:tr w:rsidR="00E872D0" w:rsidRPr="0052793E" w14:paraId="10DF3FF4" w14:textId="77777777" w:rsidTr="00DB5BCC">
        <w:trPr>
          <w:trHeight w:val="285"/>
        </w:trPr>
        <w:tc>
          <w:tcPr>
            <w:tcW w:w="851" w:type="dxa"/>
            <w:tcBorders>
              <w:top w:val="single" w:sz="4" w:space="0" w:color="auto"/>
              <w:bottom w:val="single" w:sz="4" w:space="0" w:color="auto"/>
            </w:tcBorders>
            <w:shd w:val="clear" w:color="auto" w:fill="auto"/>
            <w:noWrap/>
            <w:vAlign w:val="center"/>
          </w:tcPr>
          <w:p w14:paraId="181C1133" w14:textId="77777777" w:rsidR="00E872D0" w:rsidRPr="0052793E" w:rsidRDefault="00E872D0" w:rsidP="00502795">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tcBorders>
              <w:top w:val="single" w:sz="4" w:space="0" w:color="auto"/>
              <w:bottom w:val="single" w:sz="4" w:space="0" w:color="auto"/>
            </w:tcBorders>
            <w:shd w:val="clear" w:color="auto" w:fill="auto"/>
            <w:noWrap/>
            <w:vAlign w:val="center"/>
          </w:tcPr>
          <w:p w14:paraId="07CC896D" w14:textId="77777777" w:rsidR="00E872D0" w:rsidRPr="0052793E" w:rsidRDefault="00E872D0" w:rsidP="00502795">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tcBorders>
              <w:top w:val="single" w:sz="4" w:space="0" w:color="auto"/>
              <w:bottom w:val="single" w:sz="4" w:space="0" w:color="auto"/>
            </w:tcBorders>
            <w:shd w:val="clear" w:color="auto" w:fill="auto"/>
            <w:vAlign w:val="center"/>
          </w:tcPr>
          <w:p w14:paraId="4CC0E168" w14:textId="77777777" w:rsidR="00E872D0" w:rsidRPr="0052793E" w:rsidRDefault="00E872D0" w:rsidP="00502795">
            <w:pPr>
              <w:spacing w:after="0" w:line="240" w:lineRule="auto"/>
              <w:rPr>
                <w:rFonts w:ascii="David" w:eastAsia="Times New Roman" w:hAnsi="David" w:cs="David"/>
                <w:rtl/>
              </w:rPr>
            </w:pPr>
            <w:r w:rsidRPr="0052793E">
              <w:rPr>
                <w:rFonts w:ascii="David" w:eastAsia="Times New Roman" w:hAnsi="David" w:cs="David"/>
                <w:rtl/>
              </w:rPr>
              <w:t>תיק אזרחי בסדר דין רגיל (ת"א)-מקרקעין (כולל פינוי סילוק ואחר)</w:t>
            </w:r>
          </w:p>
        </w:tc>
        <w:tc>
          <w:tcPr>
            <w:tcW w:w="992" w:type="dxa"/>
            <w:tcBorders>
              <w:top w:val="single" w:sz="4" w:space="0" w:color="auto"/>
              <w:bottom w:val="single" w:sz="4" w:space="0" w:color="auto"/>
            </w:tcBorders>
            <w:shd w:val="clear" w:color="auto" w:fill="auto"/>
            <w:vAlign w:val="center"/>
          </w:tcPr>
          <w:p w14:paraId="1E941F36" w14:textId="77777777" w:rsidR="00E872D0" w:rsidRPr="0052793E" w:rsidRDefault="00E872D0" w:rsidP="00502795">
            <w:pPr>
              <w:spacing w:after="0" w:line="240" w:lineRule="auto"/>
              <w:jc w:val="center"/>
              <w:rPr>
                <w:rFonts w:ascii="David" w:eastAsia="Times New Roman" w:hAnsi="David" w:cs="David"/>
                <w:rtl/>
              </w:rPr>
            </w:pPr>
            <w:r w:rsidRPr="0052793E">
              <w:rPr>
                <w:rFonts w:ascii="David" w:eastAsia="Times New Roman" w:hAnsi="David" w:cs="David"/>
              </w:rPr>
              <w:t>1,635</w:t>
            </w:r>
          </w:p>
        </w:tc>
        <w:tc>
          <w:tcPr>
            <w:tcW w:w="1134" w:type="dxa"/>
            <w:tcBorders>
              <w:top w:val="single" w:sz="4" w:space="0" w:color="auto"/>
              <w:bottom w:val="single" w:sz="4" w:space="0" w:color="auto"/>
            </w:tcBorders>
            <w:shd w:val="clear" w:color="auto" w:fill="auto"/>
            <w:noWrap/>
            <w:vAlign w:val="center"/>
          </w:tcPr>
          <w:p w14:paraId="337E1895" w14:textId="77777777" w:rsidR="00E872D0" w:rsidRPr="0052793E" w:rsidRDefault="00E872D0" w:rsidP="00502795">
            <w:pPr>
              <w:spacing w:after="0" w:line="240" w:lineRule="auto"/>
              <w:jc w:val="center"/>
              <w:rPr>
                <w:rFonts w:ascii="David" w:eastAsia="Times New Roman" w:hAnsi="David" w:cs="David"/>
                <w:b/>
                <w:bCs/>
                <w:rtl/>
              </w:rPr>
            </w:pPr>
            <w:r w:rsidRPr="0052793E">
              <w:rPr>
                <w:rFonts w:ascii="David" w:eastAsia="Times New Roman" w:hAnsi="David" w:cs="David"/>
                <w:b/>
                <w:bCs/>
              </w:rPr>
              <w:t>12:33</w:t>
            </w:r>
          </w:p>
        </w:tc>
        <w:tc>
          <w:tcPr>
            <w:tcW w:w="993" w:type="dxa"/>
            <w:tcBorders>
              <w:top w:val="single" w:sz="4" w:space="0" w:color="auto"/>
              <w:bottom w:val="single" w:sz="4" w:space="0" w:color="auto"/>
            </w:tcBorders>
            <w:shd w:val="clear" w:color="auto" w:fill="auto"/>
            <w:vAlign w:val="center"/>
          </w:tcPr>
          <w:p w14:paraId="0781EE4A" w14:textId="77777777" w:rsidR="00E872D0" w:rsidRPr="0052793E" w:rsidRDefault="00E872D0" w:rsidP="00502795">
            <w:pPr>
              <w:spacing w:after="0" w:line="240" w:lineRule="auto"/>
              <w:jc w:val="center"/>
              <w:rPr>
                <w:rFonts w:ascii="David" w:eastAsia="Times New Roman" w:hAnsi="David" w:cs="David"/>
                <w:rtl/>
              </w:rPr>
            </w:pPr>
            <w:r w:rsidRPr="0052793E">
              <w:rPr>
                <w:rFonts w:ascii="David" w:eastAsia="Times New Roman" w:hAnsi="David" w:cs="David"/>
              </w:rPr>
              <w:t>05:42</w:t>
            </w:r>
          </w:p>
        </w:tc>
        <w:tc>
          <w:tcPr>
            <w:tcW w:w="1134" w:type="dxa"/>
            <w:tcBorders>
              <w:top w:val="single" w:sz="4" w:space="0" w:color="auto"/>
              <w:bottom w:val="single" w:sz="4" w:space="0" w:color="auto"/>
            </w:tcBorders>
            <w:shd w:val="clear" w:color="auto" w:fill="auto"/>
            <w:vAlign w:val="center"/>
          </w:tcPr>
          <w:p w14:paraId="1E9F3E6A" w14:textId="77777777" w:rsidR="00E872D0" w:rsidRPr="0052793E" w:rsidRDefault="00E872D0" w:rsidP="00502795">
            <w:pPr>
              <w:spacing w:after="0" w:line="240" w:lineRule="auto"/>
              <w:jc w:val="center"/>
              <w:rPr>
                <w:rFonts w:ascii="David" w:eastAsia="Times New Roman" w:hAnsi="David" w:cs="David"/>
                <w:rtl/>
              </w:rPr>
            </w:pPr>
            <w:r w:rsidRPr="0052793E">
              <w:rPr>
                <w:rFonts w:ascii="David" w:eastAsia="Times New Roman" w:hAnsi="David" w:cs="David"/>
                <w:rtl/>
              </w:rPr>
              <w:t>1.33</w:t>
            </w:r>
          </w:p>
        </w:tc>
        <w:tc>
          <w:tcPr>
            <w:tcW w:w="1558" w:type="dxa"/>
            <w:tcBorders>
              <w:top w:val="single" w:sz="4" w:space="0" w:color="auto"/>
              <w:bottom w:val="single" w:sz="4" w:space="0" w:color="auto"/>
            </w:tcBorders>
            <w:shd w:val="clear" w:color="auto" w:fill="auto"/>
            <w:vAlign w:val="center"/>
          </w:tcPr>
          <w:p w14:paraId="5E2A1E74" w14:textId="77777777" w:rsidR="00E872D0" w:rsidRPr="0052793E" w:rsidRDefault="00E872D0" w:rsidP="00502795">
            <w:pPr>
              <w:spacing w:after="0" w:line="240" w:lineRule="auto"/>
              <w:jc w:val="center"/>
              <w:rPr>
                <w:rFonts w:ascii="David" w:eastAsia="Times New Roman" w:hAnsi="David" w:cs="David"/>
                <w:rtl/>
              </w:rPr>
            </w:pPr>
            <w:r w:rsidRPr="0052793E">
              <w:rPr>
                <w:rFonts w:ascii="David" w:eastAsia="Times New Roman" w:hAnsi="David" w:cs="David" w:hint="cs"/>
                <w:rtl/>
              </w:rPr>
              <w:t>9:26</w:t>
            </w:r>
          </w:p>
        </w:tc>
      </w:tr>
      <w:tr w:rsidR="00E872D0" w:rsidRPr="0052793E" w14:paraId="43B77266" w14:textId="77777777" w:rsidTr="00DB5BCC">
        <w:trPr>
          <w:trHeight w:val="285"/>
        </w:trPr>
        <w:tc>
          <w:tcPr>
            <w:tcW w:w="851" w:type="dxa"/>
            <w:tcBorders>
              <w:top w:val="single" w:sz="4" w:space="0" w:color="auto"/>
              <w:bottom w:val="single" w:sz="4" w:space="0" w:color="auto"/>
            </w:tcBorders>
            <w:shd w:val="clear" w:color="auto" w:fill="auto"/>
            <w:noWrap/>
            <w:vAlign w:val="center"/>
          </w:tcPr>
          <w:p w14:paraId="5FA53820" w14:textId="77777777" w:rsidR="00E872D0" w:rsidRPr="0052793E" w:rsidRDefault="00E872D0" w:rsidP="00502795">
            <w:pPr>
              <w:spacing w:after="0" w:line="240" w:lineRule="auto"/>
              <w:rPr>
                <w:rFonts w:ascii="David" w:eastAsia="Times New Roman" w:hAnsi="David" w:cs="David"/>
                <w:rtl/>
              </w:rPr>
            </w:pPr>
            <w:r w:rsidRPr="0052793E">
              <w:rPr>
                <w:rFonts w:ascii="David" w:eastAsia="Times New Roman" w:hAnsi="David" w:cs="David"/>
                <w:rtl/>
              </w:rPr>
              <w:t>נוער</w:t>
            </w:r>
          </w:p>
        </w:tc>
        <w:tc>
          <w:tcPr>
            <w:tcW w:w="993" w:type="dxa"/>
            <w:tcBorders>
              <w:top w:val="single" w:sz="4" w:space="0" w:color="auto"/>
              <w:bottom w:val="single" w:sz="4" w:space="0" w:color="auto"/>
            </w:tcBorders>
            <w:shd w:val="clear" w:color="auto" w:fill="auto"/>
            <w:noWrap/>
            <w:vAlign w:val="center"/>
          </w:tcPr>
          <w:p w14:paraId="6066FE36" w14:textId="77777777" w:rsidR="00E872D0" w:rsidRPr="0052793E" w:rsidRDefault="00E872D0" w:rsidP="00502795">
            <w:pPr>
              <w:spacing w:after="0" w:line="240" w:lineRule="auto"/>
              <w:rPr>
                <w:rFonts w:ascii="David" w:eastAsia="Times New Roman" w:hAnsi="David" w:cs="David"/>
                <w:rtl/>
              </w:rPr>
            </w:pPr>
          </w:p>
        </w:tc>
        <w:tc>
          <w:tcPr>
            <w:tcW w:w="2267" w:type="dxa"/>
            <w:tcBorders>
              <w:top w:val="single" w:sz="4" w:space="0" w:color="auto"/>
              <w:bottom w:val="single" w:sz="4" w:space="0" w:color="auto"/>
            </w:tcBorders>
            <w:shd w:val="clear" w:color="auto" w:fill="auto"/>
            <w:vAlign w:val="center"/>
          </w:tcPr>
          <w:p w14:paraId="6A334E9B" w14:textId="77777777" w:rsidR="00E872D0" w:rsidRPr="0052793E" w:rsidRDefault="00E872D0" w:rsidP="00502795">
            <w:pPr>
              <w:spacing w:after="0" w:line="240" w:lineRule="auto"/>
              <w:rPr>
                <w:rFonts w:ascii="David" w:eastAsia="Times New Roman" w:hAnsi="David" w:cs="David"/>
                <w:rtl/>
              </w:rPr>
            </w:pPr>
            <w:r w:rsidRPr="0052793E">
              <w:rPr>
                <w:rFonts w:ascii="David" w:eastAsia="Times New Roman" w:hAnsi="David" w:cs="David"/>
                <w:rtl/>
              </w:rPr>
              <w:t>תביעת נזקקות (תנ"ז)</w:t>
            </w:r>
          </w:p>
        </w:tc>
        <w:tc>
          <w:tcPr>
            <w:tcW w:w="992" w:type="dxa"/>
            <w:tcBorders>
              <w:top w:val="single" w:sz="4" w:space="0" w:color="auto"/>
              <w:bottom w:val="single" w:sz="4" w:space="0" w:color="auto"/>
            </w:tcBorders>
            <w:shd w:val="clear" w:color="auto" w:fill="auto"/>
            <w:vAlign w:val="center"/>
          </w:tcPr>
          <w:p w14:paraId="4D5B8D37" w14:textId="77777777" w:rsidR="00E872D0" w:rsidRPr="0052793E" w:rsidRDefault="00E872D0" w:rsidP="00502795">
            <w:pPr>
              <w:spacing w:after="0" w:line="240" w:lineRule="auto"/>
              <w:jc w:val="center"/>
              <w:rPr>
                <w:rFonts w:ascii="David" w:eastAsia="Times New Roman" w:hAnsi="David" w:cs="David"/>
                <w:rtl/>
              </w:rPr>
            </w:pPr>
            <w:r w:rsidRPr="0052793E">
              <w:rPr>
                <w:rFonts w:ascii="David" w:eastAsia="Times New Roman" w:hAnsi="David" w:cs="David"/>
              </w:rPr>
              <w:t>2,765</w:t>
            </w:r>
          </w:p>
        </w:tc>
        <w:tc>
          <w:tcPr>
            <w:tcW w:w="1134" w:type="dxa"/>
            <w:tcBorders>
              <w:top w:val="single" w:sz="4" w:space="0" w:color="auto"/>
              <w:bottom w:val="single" w:sz="4" w:space="0" w:color="auto"/>
            </w:tcBorders>
            <w:shd w:val="clear" w:color="auto" w:fill="auto"/>
            <w:noWrap/>
            <w:vAlign w:val="center"/>
          </w:tcPr>
          <w:p w14:paraId="4C4548F4" w14:textId="77777777" w:rsidR="00E872D0" w:rsidRPr="0052793E" w:rsidRDefault="00E872D0" w:rsidP="00502795">
            <w:pPr>
              <w:spacing w:after="0" w:line="240" w:lineRule="auto"/>
              <w:jc w:val="center"/>
              <w:rPr>
                <w:rFonts w:ascii="David" w:eastAsia="Times New Roman" w:hAnsi="David" w:cs="David"/>
                <w:b/>
                <w:bCs/>
                <w:rtl/>
              </w:rPr>
            </w:pPr>
            <w:r w:rsidRPr="0052793E">
              <w:rPr>
                <w:rFonts w:ascii="David" w:eastAsia="Times New Roman" w:hAnsi="David" w:cs="David" w:hint="cs"/>
                <w:b/>
                <w:bCs/>
                <w:rtl/>
              </w:rPr>
              <w:t>12:23</w:t>
            </w:r>
          </w:p>
        </w:tc>
        <w:tc>
          <w:tcPr>
            <w:tcW w:w="993" w:type="dxa"/>
            <w:tcBorders>
              <w:top w:val="single" w:sz="4" w:space="0" w:color="auto"/>
              <w:bottom w:val="single" w:sz="4" w:space="0" w:color="auto"/>
            </w:tcBorders>
            <w:shd w:val="clear" w:color="auto" w:fill="auto"/>
            <w:vAlign w:val="center"/>
          </w:tcPr>
          <w:p w14:paraId="190C878B" w14:textId="77777777" w:rsidR="00E872D0" w:rsidRPr="0052793E" w:rsidRDefault="00E872D0" w:rsidP="00502795">
            <w:pPr>
              <w:spacing w:after="0" w:line="240" w:lineRule="auto"/>
              <w:jc w:val="center"/>
              <w:rPr>
                <w:rFonts w:ascii="David" w:eastAsia="Times New Roman" w:hAnsi="David" w:cs="David"/>
                <w:rtl/>
              </w:rPr>
            </w:pPr>
            <w:r w:rsidRPr="0052793E">
              <w:rPr>
                <w:rFonts w:ascii="David" w:eastAsia="Times New Roman" w:hAnsi="David" w:cs="David"/>
              </w:rPr>
              <w:t>04:20</w:t>
            </w:r>
          </w:p>
        </w:tc>
        <w:tc>
          <w:tcPr>
            <w:tcW w:w="1134" w:type="dxa"/>
            <w:tcBorders>
              <w:top w:val="single" w:sz="4" w:space="0" w:color="auto"/>
              <w:bottom w:val="single" w:sz="4" w:space="0" w:color="auto"/>
            </w:tcBorders>
            <w:shd w:val="clear" w:color="auto" w:fill="auto"/>
            <w:vAlign w:val="center"/>
          </w:tcPr>
          <w:p w14:paraId="10B89D3D" w14:textId="77777777" w:rsidR="00E872D0" w:rsidRPr="0052793E" w:rsidRDefault="00E872D0" w:rsidP="00502795">
            <w:pPr>
              <w:spacing w:after="0" w:line="240" w:lineRule="auto"/>
              <w:jc w:val="center"/>
              <w:rPr>
                <w:rFonts w:ascii="David" w:eastAsia="Times New Roman" w:hAnsi="David" w:cs="David"/>
                <w:rtl/>
              </w:rPr>
            </w:pPr>
            <w:r w:rsidRPr="0052793E">
              <w:rPr>
                <w:rFonts w:ascii="David" w:eastAsia="Times New Roman" w:hAnsi="David" w:cs="David"/>
              </w:rPr>
              <w:t>1.06</w:t>
            </w:r>
          </w:p>
        </w:tc>
        <w:tc>
          <w:tcPr>
            <w:tcW w:w="1558" w:type="dxa"/>
            <w:tcBorders>
              <w:top w:val="single" w:sz="4" w:space="0" w:color="auto"/>
              <w:bottom w:val="single" w:sz="4" w:space="0" w:color="auto"/>
            </w:tcBorders>
            <w:shd w:val="clear" w:color="auto" w:fill="auto"/>
            <w:vAlign w:val="center"/>
          </w:tcPr>
          <w:p w14:paraId="1574FA6A" w14:textId="77777777" w:rsidR="00E872D0" w:rsidRPr="0052793E" w:rsidRDefault="00E872D0" w:rsidP="00502795">
            <w:pPr>
              <w:spacing w:after="0" w:line="240" w:lineRule="auto"/>
              <w:jc w:val="center"/>
              <w:rPr>
                <w:rFonts w:ascii="David" w:eastAsia="Times New Roman" w:hAnsi="David" w:cs="David"/>
                <w:rtl/>
              </w:rPr>
            </w:pPr>
            <w:r w:rsidRPr="0052793E">
              <w:rPr>
                <w:rFonts w:ascii="David" w:eastAsia="Times New Roman" w:hAnsi="David" w:cs="David" w:hint="cs"/>
                <w:rtl/>
              </w:rPr>
              <w:t>11:41</w:t>
            </w:r>
          </w:p>
        </w:tc>
      </w:tr>
      <w:tr w:rsidR="00E872D0" w:rsidRPr="0052793E" w14:paraId="2D98A0AD" w14:textId="77777777" w:rsidTr="00DB5BCC">
        <w:trPr>
          <w:trHeight w:val="274"/>
        </w:trPr>
        <w:tc>
          <w:tcPr>
            <w:tcW w:w="851" w:type="dxa"/>
            <w:tcBorders>
              <w:top w:val="single" w:sz="4" w:space="0" w:color="auto"/>
            </w:tcBorders>
            <w:shd w:val="clear" w:color="auto" w:fill="auto"/>
            <w:noWrap/>
            <w:vAlign w:val="center"/>
          </w:tcPr>
          <w:p w14:paraId="6FAC8E3D" w14:textId="77777777" w:rsidR="00E872D0" w:rsidRPr="0052793E" w:rsidRDefault="00E872D0" w:rsidP="00502795">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tcBorders>
              <w:top w:val="single" w:sz="4" w:space="0" w:color="auto"/>
            </w:tcBorders>
            <w:shd w:val="clear" w:color="auto" w:fill="auto"/>
            <w:noWrap/>
            <w:vAlign w:val="center"/>
          </w:tcPr>
          <w:p w14:paraId="49D9BC89" w14:textId="77777777" w:rsidR="00E872D0" w:rsidRPr="0052793E" w:rsidRDefault="00E872D0" w:rsidP="00502795">
            <w:pPr>
              <w:spacing w:after="0" w:line="240" w:lineRule="auto"/>
              <w:rPr>
                <w:rFonts w:ascii="David" w:eastAsia="Times New Roman" w:hAnsi="David" w:cs="David"/>
                <w:rtl/>
              </w:rPr>
            </w:pPr>
            <w:r w:rsidRPr="0052793E">
              <w:rPr>
                <w:rFonts w:ascii="David" w:eastAsia="Times New Roman" w:hAnsi="David" w:cs="David"/>
                <w:rtl/>
              </w:rPr>
              <w:t>ערעור אזרחי</w:t>
            </w:r>
          </w:p>
        </w:tc>
        <w:tc>
          <w:tcPr>
            <w:tcW w:w="2267" w:type="dxa"/>
            <w:tcBorders>
              <w:top w:val="single" w:sz="4" w:space="0" w:color="auto"/>
            </w:tcBorders>
            <w:shd w:val="clear" w:color="auto" w:fill="auto"/>
            <w:vAlign w:val="center"/>
          </w:tcPr>
          <w:p w14:paraId="4122AFB5" w14:textId="77777777" w:rsidR="00E872D0" w:rsidRPr="0052793E" w:rsidRDefault="00E872D0" w:rsidP="00502795">
            <w:pPr>
              <w:spacing w:after="0" w:line="240" w:lineRule="auto"/>
              <w:rPr>
                <w:rFonts w:ascii="David" w:eastAsia="Times New Roman" w:hAnsi="David" w:cs="David"/>
                <w:rtl/>
              </w:rPr>
            </w:pPr>
            <w:r w:rsidRPr="0052793E">
              <w:rPr>
                <w:rFonts w:ascii="David" w:eastAsia="Times New Roman" w:hAnsi="David" w:cs="David"/>
                <w:rtl/>
              </w:rPr>
              <w:t>ערעור אזרחי (ע"א) - הרכב</w:t>
            </w:r>
          </w:p>
        </w:tc>
        <w:tc>
          <w:tcPr>
            <w:tcW w:w="992" w:type="dxa"/>
            <w:tcBorders>
              <w:top w:val="single" w:sz="4" w:space="0" w:color="auto"/>
            </w:tcBorders>
            <w:shd w:val="clear" w:color="auto" w:fill="auto"/>
            <w:vAlign w:val="center"/>
          </w:tcPr>
          <w:p w14:paraId="6ABB87B8" w14:textId="77777777" w:rsidR="00E872D0" w:rsidRPr="0052793E" w:rsidRDefault="00E872D0" w:rsidP="00502795">
            <w:pPr>
              <w:spacing w:after="0" w:line="240" w:lineRule="auto"/>
              <w:jc w:val="center"/>
              <w:rPr>
                <w:rFonts w:ascii="David" w:eastAsia="Times New Roman" w:hAnsi="David" w:cs="David"/>
                <w:rtl/>
              </w:rPr>
            </w:pPr>
            <w:r w:rsidRPr="0052793E">
              <w:rPr>
                <w:rFonts w:ascii="David" w:eastAsia="Times New Roman" w:hAnsi="David" w:cs="David"/>
                <w:rtl/>
              </w:rPr>
              <w:t>1,286</w:t>
            </w:r>
          </w:p>
        </w:tc>
        <w:tc>
          <w:tcPr>
            <w:tcW w:w="1134" w:type="dxa"/>
            <w:tcBorders>
              <w:top w:val="single" w:sz="4" w:space="0" w:color="auto"/>
            </w:tcBorders>
            <w:shd w:val="clear" w:color="auto" w:fill="auto"/>
            <w:noWrap/>
            <w:vAlign w:val="center"/>
          </w:tcPr>
          <w:p w14:paraId="37529D4C" w14:textId="77777777" w:rsidR="00E872D0" w:rsidRPr="0052793E" w:rsidRDefault="00E872D0" w:rsidP="00502795">
            <w:pPr>
              <w:spacing w:after="0" w:line="240" w:lineRule="auto"/>
              <w:jc w:val="center"/>
              <w:rPr>
                <w:rFonts w:ascii="David" w:eastAsia="Times New Roman" w:hAnsi="David" w:cs="David"/>
                <w:b/>
                <w:bCs/>
                <w:rtl/>
              </w:rPr>
            </w:pPr>
            <w:r w:rsidRPr="0052793E">
              <w:rPr>
                <w:rFonts w:ascii="David" w:eastAsia="Times New Roman" w:hAnsi="David" w:cs="David" w:hint="cs"/>
                <w:b/>
                <w:bCs/>
                <w:rtl/>
              </w:rPr>
              <w:t>10:53</w:t>
            </w:r>
          </w:p>
        </w:tc>
        <w:tc>
          <w:tcPr>
            <w:tcW w:w="993" w:type="dxa"/>
            <w:tcBorders>
              <w:top w:val="single" w:sz="4" w:space="0" w:color="auto"/>
            </w:tcBorders>
            <w:shd w:val="clear" w:color="auto" w:fill="auto"/>
            <w:vAlign w:val="center"/>
          </w:tcPr>
          <w:p w14:paraId="77694552" w14:textId="77777777" w:rsidR="00E872D0" w:rsidRPr="0052793E" w:rsidRDefault="00E872D0" w:rsidP="00502795">
            <w:pPr>
              <w:spacing w:after="0" w:line="240" w:lineRule="auto"/>
              <w:jc w:val="center"/>
              <w:rPr>
                <w:rFonts w:ascii="David" w:eastAsia="Times New Roman" w:hAnsi="David" w:cs="David"/>
              </w:rPr>
            </w:pPr>
            <w:r w:rsidRPr="0052793E">
              <w:rPr>
                <w:rFonts w:ascii="David" w:eastAsia="Times New Roman" w:hAnsi="David" w:cs="David" w:hint="cs"/>
                <w:rtl/>
              </w:rPr>
              <w:t>-</w:t>
            </w:r>
          </w:p>
        </w:tc>
        <w:tc>
          <w:tcPr>
            <w:tcW w:w="1134" w:type="dxa"/>
            <w:tcBorders>
              <w:top w:val="single" w:sz="4" w:space="0" w:color="auto"/>
            </w:tcBorders>
            <w:shd w:val="clear" w:color="auto" w:fill="auto"/>
            <w:vAlign w:val="center"/>
          </w:tcPr>
          <w:p w14:paraId="1C955D64" w14:textId="77777777" w:rsidR="00E872D0" w:rsidRPr="0052793E" w:rsidRDefault="00E872D0" w:rsidP="00502795">
            <w:pPr>
              <w:spacing w:after="0" w:line="240" w:lineRule="auto"/>
              <w:jc w:val="center"/>
              <w:rPr>
                <w:rFonts w:ascii="David" w:eastAsia="Times New Roman" w:hAnsi="David" w:cs="David"/>
              </w:rPr>
            </w:pPr>
            <w:r w:rsidRPr="0052793E">
              <w:rPr>
                <w:rFonts w:ascii="David" w:eastAsia="Times New Roman" w:hAnsi="David" w:cs="David"/>
                <w:rtl/>
              </w:rPr>
              <w:t>1.02</w:t>
            </w:r>
          </w:p>
        </w:tc>
        <w:tc>
          <w:tcPr>
            <w:tcW w:w="1558" w:type="dxa"/>
            <w:tcBorders>
              <w:top w:val="single" w:sz="4" w:space="0" w:color="auto"/>
            </w:tcBorders>
            <w:shd w:val="clear" w:color="auto" w:fill="auto"/>
            <w:vAlign w:val="center"/>
          </w:tcPr>
          <w:p w14:paraId="292C8FE2" w14:textId="77777777" w:rsidR="00E872D0" w:rsidRPr="0052793E" w:rsidRDefault="00E872D0" w:rsidP="00502795">
            <w:pPr>
              <w:spacing w:after="0" w:line="240" w:lineRule="auto"/>
              <w:jc w:val="center"/>
              <w:rPr>
                <w:rFonts w:ascii="David" w:eastAsia="Times New Roman" w:hAnsi="David" w:cs="David"/>
              </w:rPr>
            </w:pPr>
            <w:r w:rsidRPr="0052793E">
              <w:rPr>
                <w:rFonts w:ascii="David" w:eastAsia="Times New Roman" w:hAnsi="David" w:cs="David" w:hint="cs"/>
                <w:rtl/>
              </w:rPr>
              <w:t>10:51</w:t>
            </w:r>
          </w:p>
        </w:tc>
      </w:tr>
      <w:tr w:rsidR="00502795" w:rsidRPr="0052793E" w14:paraId="29E525F6" w14:textId="77777777" w:rsidTr="00DB5BCC">
        <w:trPr>
          <w:trHeight w:val="274"/>
        </w:trPr>
        <w:tc>
          <w:tcPr>
            <w:tcW w:w="851" w:type="dxa"/>
            <w:tcBorders>
              <w:top w:val="single" w:sz="4" w:space="0" w:color="auto"/>
            </w:tcBorders>
            <w:shd w:val="clear" w:color="auto" w:fill="auto"/>
            <w:noWrap/>
            <w:vAlign w:val="center"/>
          </w:tcPr>
          <w:p w14:paraId="5358E2F0" w14:textId="77777777" w:rsidR="00502795" w:rsidRPr="0052793E" w:rsidRDefault="00502795" w:rsidP="00502795">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tcBorders>
              <w:top w:val="single" w:sz="4" w:space="0" w:color="auto"/>
            </w:tcBorders>
            <w:shd w:val="clear" w:color="auto" w:fill="auto"/>
            <w:noWrap/>
            <w:vAlign w:val="center"/>
          </w:tcPr>
          <w:p w14:paraId="14070614" w14:textId="77777777" w:rsidR="00502795" w:rsidRPr="0052793E" w:rsidRDefault="00502795" w:rsidP="00502795">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tcBorders>
              <w:top w:val="single" w:sz="4" w:space="0" w:color="auto"/>
            </w:tcBorders>
            <w:shd w:val="clear" w:color="auto" w:fill="auto"/>
            <w:vAlign w:val="center"/>
          </w:tcPr>
          <w:p w14:paraId="6C80EE87" w14:textId="77777777" w:rsidR="00502795" w:rsidRPr="0052793E" w:rsidRDefault="00502795" w:rsidP="00502795">
            <w:pPr>
              <w:spacing w:after="0" w:line="240" w:lineRule="auto"/>
              <w:rPr>
                <w:rFonts w:ascii="David" w:eastAsia="Times New Roman" w:hAnsi="David" w:cs="David"/>
                <w:rtl/>
              </w:rPr>
            </w:pPr>
            <w:r w:rsidRPr="0052793E">
              <w:rPr>
                <w:rFonts w:ascii="David" w:eastAsia="Times New Roman" w:hAnsi="David" w:cs="David"/>
                <w:rtl/>
              </w:rPr>
              <w:t>תיק אזרחי בסדר דין רגיל (ת"א)-מקרקעין ליקויי בניה</w:t>
            </w:r>
          </w:p>
        </w:tc>
        <w:tc>
          <w:tcPr>
            <w:tcW w:w="992" w:type="dxa"/>
            <w:tcBorders>
              <w:top w:val="single" w:sz="4" w:space="0" w:color="auto"/>
            </w:tcBorders>
            <w:shd w:val="clear" w:color="auto" w:fill="auto"/>
            <w:vAlign w:val="center"/>
          </w:tcPr>
          <w:p w14:paraId="294B92E7" w14:textId="77777777" w:rsidR="00502795" w:rsidRPr="0052793E" w:rsidRDefault="00502795" w:rsidP="00502795">
            <w:pPr>
              <w:spacing w:after="0" w:line="240" w:lineRule="auto"/>
              <w:jc w:val="center"/>
              <w:rPr>
                <w:rFonts w:ascii="David" w:eastAsia="Times New Roman" w:hAnsi="David" w:cs="David"/>
                <w:rtl/>
              </w:rPr>
            </w:pPr>
            <w:r w:rsidRPr="0052793E">
              <w:rPr>
                <w:rFonts w:ascii="David" w:eastAsia="Times New Roman" w:hAnsi="David" w:cs="David"/>
              </w:rPr>
              <w:t>352</w:t>
            </w:r>
          </w:p>
        </w:tc>
        <w:tc>
          <w:tcPr>
            <w:tcW w:w="1134" w:type="dxa"/>
            <w:tcBorders>
              <w:top w:val="single" w:sz="4" w:space="0" w:color="auto"/>
            </w:tcBorders>
            <w:shd w:val="clear" w:color="auto" w:fill="auto"/>
            <w:noWrap/>
            <w:vAlign w:val="center"/>
          </w:tcPr>
          <w:p w14:paraId="534F6416" w14:textId="77777777" w:rsidR="00502795" w:rsidRPr="0052793E" w:rsidRDefault="00502795" w:rsidP="00502795">
            <w:pPr>
              <w:spacing w:after="0" w:line="240" w:lineRule="auto"/>
              <w:jc w:val="center"/>
              <w:rPr>
                <w:rFonts w:ascii="David" w:eastAsia="Times New Roman" w:hAnsi="David" w:cs="David"/>
                <w:b/>
                <w:bCs/>
                <w:rtl/>
              </w:rPr>
            </w:pPr>
            <w:r w:rsidRPr="0052793E">
              <w:rPr>
                <w:rFonts w:ascii="David" w:eastAsia="Times New Roman" w:hAnsi="David" w:cs="David" w:hint="cs"/>
                <w:b/>
                <w:bCs/>
                <w:rtl/>
              </w:rPr>
              <w:t>10:44</w:t>
            </w:r>
          </w:p>
        </w:tc>
        <w:tc>
          <w:tcPr>
            <w:tcW w:w="993" w:type="dxa"/>
            <w:tcBorders>
              <w:top w:val="single" w:sz="4" w:space="0" w:color="auto"/>
            </w:tcBorders>
            <w:shd w:val="clear" w:color="auto" w:fill="auto"/>
            <w:vAlign w:val="center"/>
          </w:tcPr>
          <w:p w14:paraId="27BF745D" w14:textId="77777777" w:rsidR="00502795" w:rsidRPr="0052793E" w:rsidRDefault="00502795" w:rsidP="00502795">
            <w:pPr>
              <w:spacing w:after="0" w:line="240" w:lineRule="auto"/>
              <w:jc w:val="center"/>
              <w:rPr>
                <w:rFonts w:ascii="David" w:eastAsia="Times New Roman" w:hAnsi="David" w:cs="David"/>
                <w:rtl/>
              </w:rPr>
            </w:pPr>
            <w:r w:rsidRPr="0052793E">
              <w:rPr>
                <w:rFonts w:ascii="David" w:eastAsia="Times New Roman" w:hAnsi="David" w:cs="David"/>
              </w:rPr>
              <w:t>5:42</w:t>
            </w:r>
          </w:p>
        </w:tc>
        <w:tc>
          <w:tcPr>
            <w:tcW w:w="1134" w:type="dxa"/>
            <w:tcBorders>
              <w:top w:val="single" w:sz="4" w:space="0" w:color="auto"/>
            </w:tcBorders>
            <w:shd w:val="clear" w:color="auto" w:fill="auto"/>
            <w:vAlign w:val="center"/>
          </w:tcPr>
          <w:p w14:paraId="76DFDB7D" w14:textId="77777777" w:rsidR="00502795" w:rsidRPr="0052793E" w:rsidRDefault="00502795" w:rsidP="00502795">
            <w:pPr>
              <w:spacing w:after="0" w:line="240" w:lineRule="auto"/>
              <w:jc w:val="center"/>
              <w:rPr>
                <w:rFonts w:ascii="David" w:eastAsia="Times New Roman" w:hAnsi="David" w:cs="David"/>
                <w:rtl/>
              </w:rPr>
            </w:pPr>
            <w:r w:rsidRPr="0052793E">
              <w:rPr>
                <w:rFonts w:ascii="David" w:eastAsia="Times New Roman" w:hAnsi="David" w:cs="David"/>
                <w:rtl/>
              </w:rPr>
              <w:t>1.09</w:t>
            </w:r>
          </w:p>
        </w:tc>
        <w:tc>
          <w:tcPr>
            <w:tcW w:w="1558" w:type="dxa"/>
            <w:tcBorders>
              <w:top w:val="single" w:sz="4" w:space="0" w:color="auto"/>
            </w:tcBorders>
            <w:shd w:val="clear" w:color="auto" w:fill="auto"/>
            <w:vAlign w:val="center"/>
          </w:tcPr>
          <w:p w14:paraId="04F44419" w14:textId="77777777" w:rsidR="00502795" w:rsidRPr="0052793E" w:rsidRDefault="00502795" w:rsidP="00502795">
            <w:pPr>
              <w:spacing w:after="0" w:line="240" w:lineRule="auto"/>
              <w:jc w:val="center"/>
              <w:rPr>
                <w:rFonts w:ascii="David" w:eastAsia="Times New Roman" w:hAnsi="David" w:cs="David"/>
                <w:rtl/>
              </w:rPr>
            </w:pPr>
            <w:r w:rsidRPr="0052793E">
              <w:rPr>
                <w:rFonts w:ascii="David" w:eastAsia="Times New Roman" w:hAnsi="David" w:cs="David" w:hint="cs"/>
                <w:rtl/>
              </w:rPr>
              <w:t>9:51</w:t>
            </w:r>
          </w:p>
        </w:tc>
      </w:tr>
      <w:tr w:rsidR="00DB5BCC" w:rsidRPr="0052793E" w14:paraId="1397F1A6" w14:textId="77777777" w:rsidTr="00DB5BCC">
        <w:trPr>
          <w:trHeight w:val="419"/>
        </w:trPr>
        <w:tc>
          <w:tcPr>
            <w:tcW w:w="851" w:type="dxa"/>
            <w:shd w:val="clear" w:color="auto" w:fill="auto"/>
            <w:noWrap/>
            <w:vAlign w:val="center"/>
          </w:tcPr>
          <w:p w14:paraId="38F23760" w14:textId="6D2ED6D8" w:rsidR="00DB5BCC" w:rsidRPr="0052793E" w:rsidRDefault="00DB5BCC" w:rsidP="00DB5BCC">
            <w:pPr>
              <w:spacing w:after="0" w:line="240" w:lineRule="auto"/>
              <w:rPr>
                <w:rFonts w:ascii="David" w:eastAsia="Times New Roman" w:hAnsi="David" w:cs="David"/>
                <w:rtl/>
              </w:rPr>
            </w:pPr>
            <w:r w:rsidRPr="0052793E">
              <w:rPr>
                <w:rFonts w:ascii="Arial" w:eastAsia="Times New Roman" w:hAnsi="Arial" w:cs="David" w:hint="cs"/>
                <w:b/>
                <w:bCs/>
                <w:rtl/>
              </w:rPr>
              <w:lastRenderedPageBreak/>
              <w:t>ערכאה</w:t>
            </w:r>
          </w:p>
        </w:tc>
        <w:tc>
          <w:tcPr>
            <w:tcW w:w="993" w:type="dxa"/>
            <w:shd w:val="clear" w:color="auto" w:fill="auto"/>
            <w:noWrap/>
            <w:vAlign w:val="center"/>
          </w:tcPr>
          <w:p w14:paraId="3F432FB2" w14:textId="38F50631" w:rsidR="00DB5BCC" w:rsidRPr="0052793E" w:rsidRDefault="00DB5BCC" w:rsidP="00DB5BCC">
            <w:pPr>
              <w:spacing w:after="0" w:line="240" w:lineRule="auto"/>
              <w:rPr>
                <w:rFonts w:ascii="David" w:eastAsia="Times New Roman" w:hAnsi="David" w:cs="David"/>
                <w:rtl/>
              </w:rPr>
            </w:pPr>
            <w:r w:rsidRPr="0052793E">
              <w:rPr>
                <w:rFonts w:ascii="Arial" w:eastAsia="Times New Roman" w:hAnsi="Arial" w:cs="David" w:hint="cs"/>
                <w:b/>
                <w:bCs/>
                <w:rtl/>
              </w:rPr>
              <w:t>הליך</w:t>
            </w:r>
          </w:p>
        </w:tc>
        <w:tc>
          <w:tcPr>
            <w:tcW w:w="2267" w:type="dxa"/>
            <w:shd w:val="clear" w:color="auto" w:fill="auto"/>
            <w:vAlign w:val="center"/>
          </w:tcPr>
          <w:p w14:paraId="0F89A6FE" w14:textId="2AFB6B08" w:rsidR="00DB5BCC" w:rsidRPr="0052793E" w:rsidRDefault="00DB5BCC" w:rsidP="00DB5BCC">
            <w:pPr>
              <w:spacing w:after="0" w:line="240" w:lineRule="auto"/>
              <w:rPr>
                <w:rFonts w:ascii="David" w:eastAsia="Times New Roman" w:hAnsi="David" w:cs="David"/>
                <w:rtl/>
              </w:rPr>
            </w:pPr>
            <w:r w:rsidRPr="0052793E">
              <w:rPr>
                <w:rFonts w:ascii="Arial" w:eastAsia="Times New Roman" w:hAnsi="Arial" w:cs="David" w:hint="cs"/>
                <w:b/>
                <w:bCs/>
                <w:rtl/>
              </w:rPr>
              <w:t>סוג תיק</w:t>
            </w:r>
          </w:p>
        </w:tc>
        <w:tc>
          <w:tcPr>
            <w:tcW w:w="992" w:type="dxa"/>
            <w:shd w:val="clear" w:color="auto" w:fill="auto"/>
            <w:vAlign w:val="center"/>
          </w:tcPr>
          <w:p w14:paraId="2ED82442" w14:textId="0A45D499" w:rsidR="00DB5BCC" w:rsidRPr="0052793E" w:rsidRDefault="00DB5BCC" w:rsidP="00DB5BCC">
            <w:pPr>
              <w:spacing w:after="0" w:line="240" w:lineRule="auto"/>
              <w:jc w:val="center"/>
              <w:rPr>
                <w:rFonts w:ascii="David" w:eastAsia="Times New Roman" w:hAnsi="David" w:cs="David"/>
                <w:rtl/>
              </w:rPr>
            </w:pPr>
            <w:r w:rsidRPr="0052793E">
              <w:rPr>
                <w:rFonts w:ascii="Arial" w:eastAsia="Times New Roman" w:hAnsi="Arial" w:cs="David" w:hint="cs"/>
                <w:b/>
                <w:bCs/>
                <w:rtl/>
              </w:rPr>
              <w:t>מספר תיקים שנסגרו ב-2019</w:t>
            </w:r>
          </w:p>
        </w:tc>
        <w:tc>
          <w:tcPr>
            <w:tcW w:w="1134" w:type="dxa"/>
            <w:shd w:val="clear" w:color="auto" w:fill="auto"/>
            <w:noWrap/>
            <w:vAlign w:val="center"/>
          </w:tcPr>
          <w:p w14:paraId="34F3C47B" w14:textId="33F99805" w:rsidR="00DB5BCC" w:rsidRPr="0052793E" w:rsidRDefault="00DB5BCC" w:rsidP="00DB5BCC">
            <w:pPr>
              <w:spacing w:after="0" w:line="240" w:lineRule="auto"/>
              <w:jc w:val="center"/>
              <w:rPr>
                <w:rFonts w:ascii="David" w:eastAsia="Times New Roman" w:hAnsi="David" w:cs="David"/>
                <w:b/>
                <w:bCs/>
                <w:rtl/>
              </w:rPr>
            </w:pPr>
            <w:r w:rsidRPr="0052793E">
              <w:rPr>
                <w:rFonts w:ascii="Arial" w:eastAsia="Times New Roman" w:hAnsi="Arial" w:cs="David" w:hint="cs"/>
                <w:b/>
                <w:bCs/>
                <w:rtl/>
              </w:rPr>
              <w:t>הזמן השיפוטי הממוצע לטיפול בתיק</w:t>
            </w:r>
          </w:p>
        </w:tc>
        <w:tc>
          <w:tcPr>
            <w:tcW w:w="993" w:type="dxa"/>
            <w:shd w:val="clear" w:color="auto" w:fill="auto"/>
            <w:vAlign w:val="center"/>
          </w:tcPr>
          <w:p w14:paraId="06C5679F" w14:textId="0949D8A1" w:rsidR="00DB5BCC" w:rsidRPr="0052793E" w:rsidRDefault="00DB5BCC" w:rsidP="00DB5BCC">
            <w:pPr>
              <w:spacing w:after="0" w:line="240" w:lineRule="auto"/>
              <w:jc w:val="center"/>
              <w:rPr>
                <w:rFonts w:ascii="David" w:eastAsia="Times New Roman" w:hAnsi="David" w:cs="David"/>
              </w:rPr>
            </w:pPr>
            <w:r w:rsidRPr="0052793E">
              <w:rPr>
                <w:rFonts w:ascii="Arial" w:eastAsia="Times New Roman" w:hAnsi="Arial" w:cs="David" w:hint="cs"/>
                <w:b/>
                <w:bCs/>
                <w:rtl/>
              </w:rPr>
              <w:t>הזמן השיפוטי הממוצע לפי המחקר הקודם</w:t>
            </w:r>
          </w:p>
        </w:tc>
        <w:tc>
          <w:tcPr>
            <w:tcW w:w="1134" w:type="dxa"/>
            <w:shd w:val="clear" w:color="auto" w:fill="auto"/>
            <w:vAlign w:val="center"/>
          </w:tcPr>
          <w:p w14:paraId="5E24F66F" w14:textId="71083FAC" w:rsidR="00DB5BCC" w:rsidRPr="0052793E" w:rsidRDefault="00DB5BCC" w:rsidP="00DB5BCC">
            <w:pPr>
              <w:spacing w:after="0" w:line="240" w:lineRule="auto"/>
              <w:jc w:val="center"/>
              <w:rPr>
                <w:rFonts w:ascii="David" w:eastAsia="Times New Roman" w:hAnsi="David" w:cs="David"/>
                <w:rtl/>
              </w:rPr>
            </w:pPr>
            <w:r w:rsidRPr="0052793E">
              <w:rPr>
                <w:rFonts w:ascii="Arial" w:eastAsia="Times New Roman" w:hAnsi="Arial" w:cs="David" w:hint="cs"/>
                <w:b/>
                <w:bCs/>
                <w:rtl/>
              </w:rPr>
              <w:t>כמות התיקים הממוצעת שפסק דין סוגר</w:t>
            </w:r>
          </w:p>
        </w:tc>
        <w:tc>
          <w:tcPr>
            <w:tcW w:w="1558" w:type="dxa"/>
            <w:shd w:val="clear" w:color="auto" w:fill="auto"/>
            <w:vAlign w:val="center"/>
          </w:tcPr>
          <w:p w14:paraId="4B0ED897" w14:textId="647FA99C" w:rsidR="00DB5BCC" w:rsidRPr="0052793E" w:rsidRDefault="00DB5BCC" w:rsidP="00DB5BCC">
            <w:pPr>
              <w:spacing w:after="0" w:line="240" w:lineRule="auto"/>
              <w:jc w:val="center"/>
              <w:rPr>
                <w:rFonts w:ascii="David" w:eastAsia="Times New Roman" w:hAnsi="David" w:cs="David"/>
                <w:rtl/>
              </w:rPr>
            </w:pPr>
            <w:r w:rsidRPr="0052793E">
              <w:rPr>
                <w:rFonts w:ascii="Arial" w:eastAsia="Times New Roman" w:hAnsi="Arial" w:cs="David" w:hint="cs"/>
                <w:b/>
                <w:bCs/>
                <w:rtl/>
              </w:rPr>
              <w:t>הזמן השיפוטי הממוצע לטיפול בתיק חלקי כמות התיקים שפסק הדין סוגר</w:t>
            </w:r>
          </w:p>
        </w:tc>
      </w:tr>
      <w:tr w:rsidR="00DB5BCC" w:rsidRPr="0052793E" w14:paraId="7D6DACB1" w14:textId="77777777" w:rsidTr="00DB5BCC">
        <w:trPr>
          <w:trHeight w:val="419"/>
        </w:trPr>
        <w:tc>
          <w:tcPr>
            <w:tcW w:w="851" w:type="dxa"/>
            <w:shd w:val="clear" w:color="auto" w:fill="auto"/>
            <w:noWrap/>
            <w:vAlign w:val="center"/>
            <w:hideMark/>
          </w:tcPr>
          <w:p w14:paraId="56EE0EA8"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shd w:val="clear" w:color="auto" w:fill="auto"/>
            <w:noWrap/>
            <w:vAlign w:val="center"/>
            <w:hideMark/>
          </w:tcPr>
          <w:p w14:paraId="05B51708"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hideMark/>
          </w:tcPr>
          <w:p w14:paraId="0F4132C6"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תיק אזרחי בסדר דין רגיל (ת"א) -מקרקעין</w:t>
            </w:r>
          </w:p>
        </w:tc>
        <w:tc>
          <w:tcPr>
            <w:tcW w:w="992" w:type="dxa"/>
            <w:shd w:val="clear" w:color="auto" w:fill="auto"/>
            <w:vAlign w:val="center"/>
            <w:hideMark/>
          </w:tcPr>
          <w:p w14:paraId="5345977E"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722</w:t>
            </w:r>
          </w:p>
        </w:tc>
        <w:tc>
          <w:tcPr>
            <w:tcW w:w="1134" w:type="dxa"/>
            <w:shd w:val="clear" w:color="auto" w:fill="auto"/>
            <w:noWrap/>
            <w:vAlign w:val="center"/>
            <w:hideMark/>
          </w:tcPr>
          <w:p w14:paraId="2FD19424"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hint="cs"/>
                <w:b/>
                <w:bCs/>
                <w:rtl/>
              </w:rPr>
              <w:t>10:33</w:t>
            </w:r>
          </w:p>
        </w:tc>
        <w:tc>
          <w:tcPr>
            <w:tcW w:w="993" w:type="dxa"/>
            <w:shd w:val="clear" w:color="auto" w:fill="auto"/>
            <w:vAlign w:val="center"/>
            <w:hideMark/>
          </w:tcPr>
          <w:p w14:paraId="162CFAFA"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21:28</w:t>
            </w:r>
          </w:p>
        </w:tc>
        <w:tc>
          <w:tcPr>
            <w:tcW w:w="1134" w:type="dxa"/>
            <w:shd w:val="clear" w:color="auto" w:fill="auto"/>
            <w:vAlign w:val="center"/>
          </w:tcPr>
          <w:p w14:paraId="56A510C0"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1.17</w:t>
            </w:r>
          </w:p>
        </w:tc>
        <w:tc>
          <w:tcPr>
            <w:tcW w:w="1558" w:type="dxa"/>
            <w:shd w:val="clear" w:color="auto" w:fill="auto"/>
            <w:vAlign w:val="center"/>
          </w:tcPr>
          <w:p w14:paraId="15807DFA"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9:00</w:t>
            </w:r>
          </w:p>
        </w:tc>
      </w:tr>
      <w:tr w:rsidR="00DB5BCC" w:rsidRPr="0052793E" w14:paraId="35FD8F89" w14:textId="77777777" w:rsidTr="00DB5BCC">
        <w:trPr>
          <w:trHeight w:val="420"/>
        </w:trPr>
        <w:tc>
          <w:tcPr>
            <w:tcW w:w="851" w:type="dxa"/>
            <w:shd w:val="clear" w:color="auto" w:fill="auto"/>
            <w:noWrap/>
            <w:vAlign w:val="center"/>
          </w:tcPr>
          <w:p w14:paraId="73871070"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עבודה</w:t>
            </w:r>
          </w:p>
        </w:tc>
        <w:tc>
          <w:tcPr>
            <w:tcW w:w="993" w:type="dxa"/>
            <w:shd w:val="clear" w:color="auto" w:fill="auto"/>
            <w:noWrap/>
            <w:vAlign w:val="center"/>
          </w:tcPr>
          <w:p w14:paraId="1F8E888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פלילי</w:t>
            </w:r>
          </w:p>
        </w:tc>
        <w:tc>
          <w:tcPr>
            <w:tcW w:w="2267" w:type="dxa"/>
            <w:shd w:val="clear" w:color="auto" w:fill="auto"/>
            <w:vAlign w:val="center"/>
          </w:tcPr>
          <w:p w14:paraId="3A1990C5"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תיק פלילי עובדים זרים (הע"ז)</w:t>
            </w:r>
          </w:p>
        </w:tc>
        <w:tc>
          <w:tcPr>
            <w:tcW w:w="992" w:type="dxa"/>
            <w:shd w:val="clear" w:color="auto" w:fill="auto"/>
            <w:vAlign w:val="center"/>
          </w:tcPr>
          <w:p w14:paraId="01D39F9A"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134</w:t>
            </w:r>
          </w:p>
        </w:tc>
        <w:tc>
          <w:tcPr>
            <w:tcW w:w="1134" w:type="dxa"/>
            <w:shd w:val="clear" w:color="auto" w:fill="auto"/>
            <w:noWrap/>
            <w:vAlign w:val="center"/>
          </w:tcPr>
          <w:p w14:paraId="2E9E75BE"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10:33</w:t>
            </w:r>
          </w:p>
        </w:tc>
        <w:tc>
          <w:tcPr>
            <w:tcW w:w="993" w:type="dxa"/>
            <w:shd w:val="clear" w:color="auto" w:fill="auto"/>
            <w:vAlign w:val="center"/>
          </w:tcPr>
          <w:p w14:paraId="1017C69B"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3:36</w:t>
            </w:r>
          </w:p>
        </w:tc>
        <w:tc>
          <w:tcPr>
            <w:tcW w:w="1134" w:type="dxa"/>
            <w:shd w:val="clear" w:color="auto" w:fill="auto"/>
            <w:vAlign w:val="center"/>
          </w:tcPr>
          <w:p w14:paraId="7B2AE4D9"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1</w:t>
            </w:r>
          </w:p>
        </w:tc>
        <w:tc>
          <w:tcPr>
            <w:tcW w:w="1558" w:type="dxa"/>
            <w:shd w:val="clear" w:color="auto" w:fill="auto"/>
            <w:vAlign w:val="center"/>
          </w:tcPr>
          <w:p w14:paraId="379A500B"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10:33</w:t>
            </w:r>
          </w:p>
        </w:tc>
      </w:tr>
      <w:tr w:rsidR="00DB5BCC" w:rsidRPr="0052793E" w14:paraId="3D976E44" w14:textId="77777777" w:rsidTr="00DB5BCC">
        <w:trPr>
          <w:trHeight w:val="471"/>
        </w:trPr>
        <w:tc>
          <w:tcPr>
            <w:tcW w:w="851" w:type="dxa"/>
            <w:shd w:val="clear" w:color="auto" w:fill="auto"/>
            <w:noWrap/>
            <w:vAlign w:val="center"/>
          </w:tcPr>
          <w:p w14:paraId="5B7856EE"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32ABD256"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04B0F9F9"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תיק אזרחי בסדר דין רגיל (ת"א)-מקרקעין פירוק שיתוף</w:t>
            </w:r>
          </w:p>
        </w:tc>
        <w:tc>
          <w:tcPr>
            <w:tcW w:w="992" w:type="dxa"/>
            <w:shd w:val="clear" w:color="auto" w:fill="auto"/>
            <w:vAlign w:val="center"/>
          </w:tcPr>
          <w:p w14:paraId="147278F0"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489</w:t>
            </w:r>
          </w:p>
        </w:tc>
        <w:tc>
          <w:tcPr>
            <w:tcW w:w="1134" w:type="dxa"/>
            <w:shd w:val="clear" w:color="auto" w:fill="auto"/>
            <w:noWrap/>
            <w:vAlign w:val="center"/>
          </w:tcPr>
          <w:p w14:paraId="06963A80"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hint="cs"/>
                <w:b/>
                <w:bCs/>
                <w:rtl/>
              </w:rPr>
              <w:t>10:31</w:t>
            </w:r>
          </w:p>
        </w:tc>
        <w:tc>
          <w:tcPr>
            <w:tcW w:w="993" w:type="dxa"/>
            <w:shd w:val="clear" w:color="auto" w:fill="auto"/>
            <w:vAlign w:val="center"/>
          </w:tcPr>
          <w:p w14:paraId="4C4EF387" w14:textId="77777777" w:rsidR="00DB5BCC" w:rsidRPr="0052793E" w:rsidRDefault="00DB5BCC" w:rsidP="00DB5BCC">
            <w:pPr>
              <w:bidi w:val="0"/>
              <w:spacing w:after="0" w:line="240" w:lineRule="auto"/>
              <w:jc w:val="center"/>
              <w:rPr>
                <w:rFonts w:ascii="David" w:eastAsia="Times New Roman" w:hAnsi="David" w:cs="David"/>
              </w:rPr>
            </w:pPr>
            <w:r w:rsidRPr="0052793E">
              <w:rPr>
                <w:rFonts w:ascii="David" w:eastAsia="Times New Roman" w:hAnsi="David" w:cs="David"/>
              </w:rPr>
              <w:t>5:42</w:t>
            </w:r>
          </w:p>
        </w:tc>
        <w:tc>
          <w:tcPr>
            <w:tcW w:w="1134" w:type="dxa"/>
            <w:shd w:val="clear" w:color="auto" w:fill="auto"/>
            <w:vAlign w:val="center"/>
          </w:tcPr>
          <w:p w14:paraId="0BE15046" w14:textId="77777777" w:rsidR="00DB5BCC" w:rsidRPr="0052793E" w:rsidRDefault="00DB5BCC" w:rsidP="00DB5BCC">
            <w:pPr>
              <w:bidi w:val="0"/>
              <w:spacing w:after="0" w:line="240" w:lineRule="auto"/>
              <w:jc w:val="center"/>
              <w:rPr>
                <w:rFonts w:ascii="David" w:eastAsia="Times New Roman" w:hAnsi="David" w:cs="David"/>
              </w:rPr>
            </w:pPr>
            <w:r w:rsidRPr="0052793E">
              <w:rPr>
                <w:rFonts w:ascii="David" w:eastAsia="Times New Roman" w:hAnsi="David" w:cs="David"/>
                <w:rtl/>
              </w:rPr>
              <w:t>1</w:t>
            </w:r>
          </w:p>
        </w:tc>
        <w:tc>
          <w:tcPr>
            <w:tcW w:w="1558" w:type="dxa"/>
            <w:shd w:val="clear" w:color="auto" w:fill="auto"/>
            <w:vAlign w:val="center"/>
          </w:tcPr>
          <w:p w14:paraId="5DD132D1"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10:31</w:t>
            </w:r>
          </w:p>
        </w:tc>
      </w:tr>
      <w:tr w:rsidR="00DB5BCC" w:rsidRPr="0052793E" w14:paraId="101DC4D7" w14:textId="77777777" w:rsidTr="00DB5BCC">
        <w:trPr>
          <w:trHeight w:val="471"/>
        </w:trPr>
        <w:tc>
          <w:tcPr>
            <w:tcW w:w="851" w:type="dxa"/>
            <w:shd w:val="clear" w:color="auto" w:fill="auto"/>
            <w:noWrap/>
            <w:vAlign w:val="center"/>
          </w:tcPr>
          <w:p w14:paraId="756E0795"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shd w:val="clear" w:color="auto" w:fill="auto"/>
            <w:noWrap/>
            <w:vAlign w:val="center"/>
          </w:tcPr>
          <w:p w14:paraId="1925DA04"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ערעור אזרחי</w:t>
            </w:r>
          </w:p>
        </w:tc>
        <w:tc>
          <w:tcPr>
            <w:tcW w:w="2267" w:type="dxa"/>
            <w:shd w:val="clear" w:color="auto" w:fill="auto"/>
            <w:vAlign w:val="center"/>
          </w:tcPr>
          <w:p w14:paraId="5C297ABB"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ערעור משפחה (עמ"ש) - הרכב</w:t>
            </w:r>
          </w:p>
        </w:tc>
        <w:tc>
          <w:tcPr>
            <w:tcW w:w="992" w:type="dxa"/>
            <w:shd w:val="clear" w:color="auto" w:fill="auto"/>
            <w:vAlign w:val="center"/>
          </w:tcPr>
          <w:p w14:paraId="3E564960"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1,120</w:t>
            </w:r>
          </w:p>
        </w:tc>
        <w:tc>
          <w:tcPr>
            <w:tcW w:w="1134" w:type="dxa"/>
            <w:shd w:val="clear" w:color="auto" w:fill="auto"/>
            <w:noWrap/>
            <w:vAlign w:val="center"/>
          </w:tcPr>
          <w:p w14:paraId="0F49C1DE"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10:09</w:t>
            </w:r>
          </w:p>
        </w:tc>
        <w:tc>
          <w:tcPr>
            <w:tcW w:w="993" w:type="dxa"/>
            <w:shd w:val="clear" w:color="auto" w:fill="auto"/>
            <w:vAlign w:val="center"/>
          </w:tcPr>
          <w:p w14:paraId="1B9F1AE5" w14:textId="77777777" w:rsidR="00DB5BCC" w:rsidRPr="0052793E" w:rsidRDefault="00DB5BCC" w:rsidP="00DB5BCC">
            <w:pPr>
              <w:bidi w:val="0"/>
              <w:spacing w:after="0" w:line="240" w:lineRule="auto"/>
              <w:jc w:val="center"/>
              <w:rPr>
                <w:rFonts w:ascii="David" w:eastAsia="Times New Roman" w:hAnsi="David" w:cs="David"/>
              </w:rPr>
            </w:pPr>
            <w:r w:rsidRPr="0052793E">
              <w:rPr>
                <w:rFonts w:ascii="David" w:eastAsia="Times New Roman" w:hAnsi="David" w:cs="David"/>
              </w:rPr>
              <w:t>10:05</w:t>
            </w:r>
          </w:p>
        </w:tc>
        <w:tc>
          <w:tcPr>
            <w:tcW w:w="1134" w:type="dxa"/>
            <w:shd w:val="clear" w:color="auto" w:fill="auto"/>
            <w:vAlign w:val="center"/>
          </w:tcPr>
          <w:p w14:paraId="41D79457" w14:textId="77777777" w:rsidR="00DB5BCC" w:rsidRPr="0052793E" w:rsidRDefault="00DB5BCC" w:rsidP="00DB5BCC">
            <w:pPr>
              <w:bidi w:val="0"/>
              <w:spacing w:after="0" w:line="240" w:lineRule="auto"/>
              <w:jc w:val="center"/>
              <w:rPr>
                <w:rFonts w:ascii="David" w:eastAsia="Times New Roman" w:hAnsi="David" w:cs="David"/>
                <w:rtl/>
              </w:rPr>
            </w:pPr>
            <w:r w:rsidRPr="0052793E">
              <w:rPr>
                <w:rFonts w:ascii="David" w:eastAsia="Times New Roman" w:hAnsi="David" w:cs="David"/>
                <w:rtl/>
              </w:rPr>
              <w:t>1.02</w:t>
            </w:r>
          </w:p>
        </w:tc>
        <w:tc>
          <w:tcPr>
            <w:tcW w:w="1558" w:type="dxa"/>
            <w:shd w:val="clear" w:color="auto" w:fill="auto"/>
            <w:vAlign w:val="center"/>
          </w:tcPr>
          <w:p w14:paraId="06629C95"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10:06</w:t>
            </w:r>
          </w:p>
        </w:tc>
      </w:tr>
      <w:tr w:rsidR="00DB5BCC" w:rsidRPr="0052793E" w14:paraId="55A5C4B4" w14:textId="77777777" w:rsidTr="00DB5BCC">
        <w:trPr>
          <w:trHeight w:val="552"/>
        </w:trPr>
        <w:tc>
          <w:tcPr>
            <w:tcW w:w="851" w:type="dxa"/>
            <w:shd w:val="clear" w:color="auto" w:fill="auto"/>
            <w:noWrap/>
            <w:vAlign w:val="center"/>
          </w:tcPr>
          <w:p w14:paraId="6115353C"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נוער</w:t>
            </w:r>
          </w:p>
        </w:tc>
        <w:tc>
          <w:tcPr>
            <w:tcW w:w="993" w:type="dxa"/>
            <w:shd w:val="clear" w:color="auto" w:fill="auto"/>
            <w:noWrap/>
            <w:vAlign w:val="center"/>
          </w:tcPr>
          <w:p w14:paraId="05A8236E" w14:textId="77777777" w:rsidR="00DB5BCC" w:rsidRPr="0052793E" w:rsidRDefault="00DB5BCC" w:rsidP="00DB5BCC">
            <w:pPr>
              <w:spacing w:after="0" w:line="240" w:lineRule="auto"/>
              <w:rPr>
                <w:rFonts w:ascii="David" w:eastAsia="Times New Roman" w:hAnsi="David" w:cs="David"/>
                <w:rtl/>
              </w:rPr>
            </w:pPr>
          </w:p>
        </w:tc>
        <w:tc>
          <w:tcPr>
            <w:tcW w:w="2267" w:type="dxa"/>
            <w:shd w:val="clear" w:color="auto" w:fill="auto"/>
            <w:vAlign w:val="center"/>
          </w:tcPr>
          <w:p w14:paraId="1E63E444"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ועדת שחרורים (וש"ר)</w:t>
            </w:r>
          </w:p>
        </w:tc>
        <w:tc>
          <w:tcPr>
            <w:tcW w:w="992" w:type="dxa"/>
            <w:shd w:val="clear" w:color="auto" w:fill="auto"/>
            <w:vAlign w:val="center"/>
          </w:tcPr>
          <w:p w14:paraId="7938CC1B"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12</w:t>
            </w:r>
          </w:p>
        </w:tc>
        <w:tc>
          <w:tcPr>
            <w:tcW w:w="1134" w:type="dxa"/>
            <w:shd w:val="clear" w:color="auto" w:fill="auto"/>
            <w:noWrap/>
            <w:vAlign w:val="center"/>
          </w:tcPr>
          <w:p w14:paraId="12FB2BFC" w14:textId="77777777" w:rsidR="00DB5BCC" w:rsidRPr="0052793E" w:rsidRDefault="00DB5BCC" w:rsidP="00DB5BCC">
            <w:pPr>
              <w:bidi w:val="0"/>
              <w:spacing w:after="0" w:line="240" w:lineRule="auto"/>
              <w:jc w:val="center"/>
              <w:rPr>
                <w:rFonts w:ascii="David" w:eastAsia="Times New Roman" w:hAnsi="David" w:cs="David"/>
                <w:b/>
                <w:bCs/>
                <w:rtl/>
              </w:rPr>
            </w:pPr>
            <w:r w:rsidRPr="0052793E">
              <w:rPr>
                <w:rFonts w:ascii="David" w:eastAsia="Times New Roman" w:hAnsi="David" w:cs="David" w:hint="cs"/>
                <w:b/>
                <w:bCs/>
                <w:rtl/>
              </w:rPr>
              <w:t>10:00</w:t>
            </w:r>
          </w:p>
        </w:tc>
        <w:tc>
          <w:tcPr>
            <w:tcW w:w="993" w:type="dxa"/>
            <w:shd w:val="clear" w:color="auto" w:fill="auto"/>
            <w:vAlign w:val="center"/>
          </w:tcPr>
          <w:p w14:paraId="48D325E8"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w:t>
            </w:r>
          </w:p>
        </w:tc>
        <w:tc>
          <w:tcPr>
            <w:tcW w:w="1134" w:type="dxa"/>
            <w:shd w:val="clear" w:color="auto" w:fill="auto"/>
            <w:vAlign w:val="center"/>
          </w:tcPr>
          <w:p w14:paraId="67621A6F"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w:t>
            </w:r>
          </w:p>
        </w:tc>
        <w:tc>
          <w:tcPr>
            <w:tcW w:w="1558" w:type="dxa"/>
            <w:shd w:val="clear" w:color="auto" w:fill="auto"/>
            <w:vAlign w:val="center"/>
          </w:tcPr>
          <w:p w14:paraId="399CF668"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10:00</w:t>
            </w:r>
          </w:p>
        </w:tc>
      </w:tr>
      <w:tr w:rsidR="00DB5BCC" w:rsidRPr="0052793E" w14:paraId="3B1316BD" w14:textId="77777777" w:rsidTr="00DB5BCC">
        <w:trPr>
          <w:trHeight w:val="552"/>
        </w:trPr>
        <w:tc>
          <w:tcPr>
            <w:tcW w:w="851" w:type="dxa"/>
            <w:shd w:val="clear" w:color="auto" w:fill="auto"/>
            <w:noWrap/>
            <w:vAlign w:val="center"/>
          </w:tcPr>
          <w:p w14:paraId="53780DD3"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3FB728BA"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70A22F93"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תיק אזרחי בסדר דין רגיל (ת"א)-התנגדות לביצוע שטר/ביצוע תביעה</w:t>
            </w:r>
          </w:p>
        </w:tc>
        <w:tc>
          <w:tcPr>
            <w:tcW w:w="992" w:type="dxa"/>
            <w:shd w:val="clear" w:color="auto" w:fill="auto"/>
            <w:vAlign w:val="center"/>
          </w:tcPr>
          <w:p w14:paraId="19080999"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622</w:t>
            </w:r>
          </w:p>
        </w:tc>
        <w:tc>
          <w:tcPr>
            <w:tcW w:w="1134" w:type="dxa"/>
            <w:shd w:val="clear" w:color="auto" w:fill="auto"/>
            <w:noWrap/>
            <w:vAlign w:val="center"/>
          </w:tcPr>
          <w:p w14:paraId="6464FB56"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hint="cs"/>
                <w:b/>
                <w:bCs/>
                <w:rtl/>
              </w:rPr>
              <w:t>9:51</w:t>
            </w:r>
          </w:p>
        </w:tc>
        <w:tc>
          <w:tcPr>
            <w:tcW w:w="993" w:type="dxa"/>
            <w:shd w:val="clear" w:color="auto" w:fill="auto"/>
            <w:vAlign w:val="center"/>
          </w:tcPr>
          <w:p w14:paraId="110AFA65" w14:textId="77777777" w:rsidR="00DB5BCC" w:rsidRPr="0052793E" w:rsidRDefault="00DB5BCC" w:rsidP="00DB5BCC">
            <w:pPr>
              <w:bidi w:val="0"/>
              <w:spacing w:after="0" w:line="240" w:lineRule="auto"/>
              <w:jc w:val="center"/>
              <w:rPr>
                <w:rFonts w:ascii="David" w:eastAsia="Times New Roman" w:hAnsi="David" w:cs="David"/>
              </w:rPr>
            </w:pPr>
            <w:r w:rsidRPr="0052793E">
              <w:rPr>
                <w:rFonts w:ascii="David" w:eastAsia="Times New Roman" w:hAnsi="David" w:cs="David"/>
              </w:rPr>
              <w:t>5:42</w:t>
            </w:r>
          </w:p>
        </w:tc>
        <w:tc>
          <w:tcPr>
            <w:tcW w:w="1134" w:type="dxa"/>
            <w:shd w:val="clear" w:color="auto" w:fill="auto"/>
            <w:vAlign w:val="center"/>
          </w:tcPr>
          <w:p w14:paraId="6D34BA99" w14:textId="77777777" w:rsidR="00DB5BCC" w:rsidRPr="0052793E" w:rsidRDefault="00DB5BCC" w:rsidP="00DB5BCC">
            <w:pPr>
              <w:bidi w:val="0"/>
              <w:spacing w:after="0" w:line="240" w:lineRule="auto"/>
              <w:jc w:val="center"/>
              <w:rPr>
                <w:rFonts w:ascii="David" w:eastAsia="Times New Roman" w:hAnsi="David" w:cs="David"/>
              </w:rPr>
            </w:pPr>
            <w:r w:rsidRPr="0052793E">
              <w:rPr>
                <w:rFonts w:ascii="David" w:eastAsia="Times New Roman" w:hAnsi="David" w:cs="David"/>
                <w:rtl/>
              </w:rPr>
              <w:t>1.4</w:t>
            </w:r>
          </w:p>
        </w:tc>
        <w:tc>
          <w:tcPr>
            <w:tcW w:w="1558" w:type="dxa"/>
            <w:shd w:val="clear" w:color="auto" w:fill="auto"/>
            <w:vAlign w:val="center"/>
          </w:tcPr>
          <w:p w14:paraId="1AE76B7B"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7:02</w:t>
            </w:r>
          </w:p>
        </w:tc>
      </w:tr>
      <w:tr w:rsidR="00DB5BCC" w:rsidRPr="0052793E" w14:paraId="39801DFC" w14:textId="77777777" w:rsidTr="00DB5BCC">
        <w:trPr>
          <w:trHeight w:val="552"/>
        </w:trPr>
        <w:tc>
          <w:tcPr>
            <w:tcW w:w="851" w:type="dxa"/>
            <w:tcBorders>
              <w:top w:val="single" w:sz="4" w:space="0" w:color="auto"/>
              <w:bottom w:val="single" w:sz="4" w:space="0" w:color="auto"/>
            </w:tcBorders>
            <w:shd w:val="clear" w:color="auto" w:fill="FFFFFF"/>
            <w:noWrap/>
            <w:vAlign w:val="center"/>
          </w:tcPr>
          <w:p w14:paraId="665C2E52" w14:textId="77777777" w:rsidR="00DB5BCC" w:rsidRPr="0052793E" w:rsidRDefault="00DB5BCC" w:rsidP="00DB5BCC">
            <w:pPr>
              <w:spacing w:after="0" w:line="240" w:lineRule="auto"/>
              <w:rPr>
                <w:rFonts w:ascii="David" w:hAnsi="David" w:cs="David"/>
                <w:color w:val="000000"/>
              </w:rPr>
            </w:pPr>
            <w:r w:rsidRPr="0052793E">
              <w:rPr>
                <w:rFonts w:ascii="David" w:eastAsia="Times New Roman" w:hAnsi="David" w:cs="David"/>
                <w:rtl/>
              </w:rPr>
              <w:t>מחוזי</w:t>
            </w:r>
          </w:p>
        </w:tc>
        <w:tc>
          <w:tcPr>
            <w:tcW w:w="993" w:type="dxa"/>
            <w:tcBorders>
              <w:top w:val="single" w:sz="4" w:space="0" w:color="auto"/>
              <w:bottom w:val="single" w:sz="4" w:space="0" w:color="auto"/>
            </w:tcBorders>
            <w:shd w:val="clear" w:color="auto" w:fill="FFFFFF"/>
            <w:noWrap/>
            <w:vAlign w:val="center"/>
          </w:tcPr>
          <w:p w14:paraId="7969DB93" w14:textId="77777777" w:rsidR="00DB5BCC" w:rsidRPr="0052793E" w:rsidRDefault="00DB5BCC" w:rsidP="00DB5BCC">
            <w:pPr>
              <w:spacing w:after="0" w:line="240" w:lineRule="auto"/>
              <w:rPr>
                <w:rFonts w:ascii="David" w:hAnsi="David" w:cs="David"/>
                <w:color w:val="000000"/>
              </w:rPr>
            </w:pPr>
            <w:r w:rsidRPr="0052793E">
              <w:rPr>
                <w:rFonts w:ascii="David" w:eastAsia="Times New Roman" w:hAnsi="David" w:cs="David"/>
                <w:rtl/>
              </w:rPr>
              <w:t>ערעור אזרחי</w:t>
            </w:r>
          </w:p>
        </w:tc>
        <w:tc>
          <w:tcPr>
            <w:tcW w:w="2267" w:type="dxa"/>
            <w:tcBorders>
              <w:top w:val="single" w:sz="4" w:space="0" w:color="auto"/>
              <w:bottom w:val="single" w:sz="4" w:space="0" w:color="auto"/>
            </w:tcBorders>
            <w:shd w:val="clear" w:color="auto" w:fill="FFFFFF"/>
            <w:vAlign w:val="center"/>
          </w:tcPr>
          <w:p w14:paraId="6D1983CC" w14:textId="77777777" w:rsidR="00DB5BCC" w:rsidRPr="0052793E" w:rsidRDefault="00DB5BCC" w:rsidP="00DB5BCC">
            <w:pPr>
              <w:spacing w:after="0" w:line="240" w:lineRule="auto"/>
              <w:rPr>
                <w:rFonts w:ascii="David" w:hAnsi="David" w:cs="David"/>
                <w:color w:val="000000"/>
                <w:rtl/>
              </w:rPr>
            </w:pPr>
            <w:r w:rsidRPr="0052793E">
              <w:rPr>
                <w:rFonts w:ascii="David" w:eastAsia="Times New Roman" w:hAnsi="David" w:cs="David"/>
                <w:rtl/>
              </w:rPr>
              <w:t>ערעור מסים (ע"מ)</w:t>
            </w:r>
          </w:p>
        </w:tc>
        <w:tc>
          <w:tcPr>
            <w:tcW w:w="992" w:type="dxa"/>
            <w:tcBorders>
              <w:top w:val="single" w:sz="4" w:space="0" w:color="auto"/>
              <w:bottom w:val="single" w:sz="4" w:space="0" w:color="auto"/>
            </w:tcBorders>
            <w:shd w:val="clear" w:color="auto" w:fill="FFFFFF"/>
            <w:vAlign w:val="center"/>
          </w:tcPr>
          <w:p w14:paraId="06E20A72" w14:textId="77777777" w:rsidR="00DB5BCC" w:rsidRPr="0052793E" w:rsidRDefault="00DB5BCC" w:rsidP="00DB5BCC">
            <w:pPr>
              <w:spacing w:after="0" w:line="240" w:lineRule="auto"/>
              <w:jc w:val="center"/>
              <w:rPr>
                <w:rFonts w:ascii="David" w:hAnsi="David" w:cs="David"/>
                <w:color w:val="000000"/>
              </w:rPr>
            </w:pPr>
            <w:r w:rsidRPr="0052793E">
              <w:rPr>
                <w:rFonts w:ascii="David" w:eastAsia="Times New Roman" w:hAnsi="David" w:cs="David"/>
                <w:rtl/>
              </w:rPr>
              <w:t>789</w:t>
            </w:r>
          </w:p>
        </w:tc>
        <w:tc>
          <w:tcPr>
            <w:tcW w:w="1134" w:type="dxa"/>
            <w:tcBorders>
              <w:top w:val="single" w:sz="4" w:space="0" w:color="auto"/>
              <w:bottom w:val="single" w:sz="4" w:space="0" w:color="auto"/>
            </w:tcBorders>
            <w:shd w:val="clear" w:color="auto" w:fill="FFFFFF"/>
            <w:noWrap/>
            <w:vAlign w:val="center"/>
          </w:tcPr>
          <w:p w14:paraId="28B76918"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hint="cs"/>
                <w:b/>
                <w:bCs/>
                <w:rtl/>
              </w:rPr>
              <w:t>9:33</w:t>
            </w:r>
          </w:p>
        </w:tc>
        <w:tc>
          <w:tcPr>
            <w:tcW w:w="993" w:type="dxa"/>
            <w:tcBorders>
              <w:top w:val="single" w:sz="4" w:space="0" w:color="auto"/>
              <w:bottom w:val="single" w:sz="4" w:space="0" w:color="auto"/>
            </w:tcBorders>
            <w:shd w:val="clear" w:color="auto" w:fill="FFFFFF"/>
            <w:vAlign w:val="center"/>
          </w:tcPr>
          <w:p w14:paraId="1F47819B" w14:textId="77777777" w:rsidR="00DB5BCC" w:rsidRPr="0052793E" w:rsidRDefault="00DB5BCC" w:rsidP="00DB5BCC">
            <w:pPr>
              <w:spacing w:after="0" w:line="240" w:lineRule="auto"/>
              <w:jc w:val="center"/>
              <w:rPr>
                <w:rFonts w:ascii="David" w:hAnsi="David" w:cs="David"/>
                <w:color w:val="000000"/>
              </w:rPr>
            </w:pPr>
            <w:r w:rsidRPr="0052793E">
              <w:rPr>
                <w:rFonts w:ascii="David" w:eastAsia="Times New Roman" w:hAnsi="David" w:cs="David"/>
              </w:rPr>
              <w:t>04:12</w:t>
            </w:r>
          </w:p>
        </w:tc>
        <w:tc>
          <w:tcPr>
            <w:tcW w:w="1134" w:type="dxa"/>
            <w:tcBorders>
              <w:top w:val="single" w:sz="4" w:space="0" w:color="auto"/>
              <w:bottom w:val="single" w:sz="4" w:space="0" w:color="auto"/>
            </w:tcBorders>
            <w:shd w:val="clear" w:color="auto" w:fill="FFFFFF"/>
            <w:vAlign w:val="center"/>
          </w:tcPr>
          <w:p w14:paraId="1543E084" w14:textId="77777777" w:rsidR="00DB5BCC" w:rsidRPr="0052793E" w:rsidRDefault="00DB5BCC" w:rsidP="00DB5BCC">
            <w:pPr>
              <w:spacing w:after="0" w:line="240" w:lineRule="auto"/>
              <w:jc w:val="center"/>
              <w:rPr>
                <w:rFonts w:ascii="David" w:hAnsi="David" w:cs="David"/>
                <w:color w:val="000000"/>
                <w:rtl/>
              </w:rPr>
            </w:pPr>
            <w:r w:rsidRPr="0052793E">
              <w:rPr>
                <w:rFonts w:ascii="David" w:eastAsia="Times New Roman" w:hAnsi="David" w:cs="David"/>
                <w:rtl/>
              </w:rPr>
              <w:t>1</w:t>
            </w:r>
          </w:p>
        </w:tc>
        <w:tc>
          <w:tcPr>
            <w:tcW w:w="1558" w:type="dxa"/>
            <w:shd w:val="clear" w:color="auto" w:fill="FFFFFF"/>
            <w:vAlign w:val="center"/>
          </w:tcPr>
          <w:p w14:paraId="6808ED2F"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9:33</w:t>
            </w:r>
          </w:p>
        </w:tc>
      </w:tr>
      <w:tr w:rsidR="00DB5BCC" w:rsidRPr="0052793E" w14:paraId="790A57D5" w14:textId="77777777" w:rsidTr="00DB5BCC">
        <w:trPr>
          <w:trHeight w:val="836"/>
        </w:trPr>
        <w:tc>
          <w:tcPr>
            <w:tcW w:w="851" w:type="dxa"/>
            <w:shd w:val="clear" w:color="auto" w:fill="auto"/>
            <w:noWrap/>
            <w:vAlign w:val="center"/>
          </w:tcPr>
          <w:p w14:paraId="030B1455"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shd w:val="clear" w:color="auto" w:fill="auto"/>
            <w:noWrap/>
            <w:vAlign w:val="center"/>
          </w:tcPr>
          <w:p w14:paraId="5B17B4CE"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378017F5"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תיק אזרחי בסדר דין רגיל (ת"א) - קניין רוחני</w:t>
            </w:r>
          </w:p>
        </w:tc>
        <w:tc>
          <w:tcPr>
            <w:tcW w:w="992" w:type="dxa"/>
            <w:shd w:val="clear" w:color="auto" w:fill="auto"/>
            <w:vAlign w:val="center"/>
          </w:tcPr>
          <w:p w14:paraId="4823E9AB"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3,008</w:t>
            </w:r>
          </w:p>
        </w:tc>
        <w:tc>
          <w:tcPr>
            <w:tcW w:w="1134" w:type="dxa"/>
            <w:shd w:val="clear" w:color="auto" w:fill="auto"/>
            <w:noWrap/>
            <w:vAlign w:val="center"/>
          </w:tcPr>
          <w:p w14:paraId="24C832E5" w14:textId="77777777" w:rsidR="00DB5BCC" w:rsidRPr="0052793E" w:rsidRDefault="00DB5BCC" w:rsidP="00DB5BCC">
            <w:pPr>
              <w:bidi w:val="0"/>
              <w:spacing w:after="0" w:line="240" w:lineRule="auto"/>
              <w:jc w:val="center"/>
              <w:rPr>
                <w:rFonts w:ascii="David" w:eastAsia="Times New Roman" w:hAnsi="David" w:cs="David"/>
                <w:b/>
                <w:bCs/>
                <w:rtl/>
              </w:rPr>
            </w:pPr>
            <w:r w:rsidRPr="0052793E">
              <w:rPr>
                <w:rFonts w:ascii="David" w:eastAsia="Times New Roman" w:hAnsi="David" w:cs="David"/>
                <w:b/>
                <w:bCs/>
              </w:rPr>
              <w:t>9:28</w:t>
            </w:r>
          </w:p>
        </w:tc>
        <w:tc>
          <w:tcPr>
            <w:tcW w:w="993" w:type="dxa"/>
            <w:shd w:val="clear" w:color="auto" w:fill="auto"/>
            <w:vAlign w:val="center"/>
          </w:tcPr>
          <w:p w14:paraId="2F5532A4"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21:28</w:t>
            </w:r>
          </w:p>
        </w:tc>
        <w:tc>
          <w:tcPr>
            <w:tcW w:w="1134" w:type="dxa"/>
            <w:shd w:val="clear" w:color="auto" w:fill="auto"/>
            <w:vAlign w:val="center"/>
          </w:tcPr>
          <w:p w14:paraId="728480F0"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1.17</w:t>
            </w:r>
          </w:p>
        </w:tc>
        <w:tc>
          <w:tcPr>
            <w:tcW w:w="1558" w:type="dxa"/>
            <w:shd w:val="clear" w:color="auto" w:fill="auto"/>
            <w:vAlign w:val="center"/>
          </w:tcPr>
          <w:p w14:paraId="60535C57"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8:05</w:t>
            </w:r>
          </w:p>
        </w:tc>
      </w:tr>
      <w:tr w:rsidR="00DB5BCC" w:rsidRPr="0052793E" w14:paraId="0F019E6F" w14:textId="77777777" w:rsidTr="00DB5BCC">
        <w:trPr>
          <w:trHeight w:val="415"/>
        </w:trPr>
        <w:tc>
          <w:tcPr>
            <w:tcW w:w="851" w:type="dxa"/>
            <w:shd w:val="clear" w:color="auto" w:fill="auto"/>
            <w:noWrap/>
            <w:vAlign w:val="center"/>
          </w:tcPr>
          <w:p w14:paraId="1CD88B9B"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משפחה</w:t>
            </w:r>
          </w:p>
        </w:tc>
        <w:tc>
          <w:tcPr>
            <w:tcW w:w="993" w:type="dxa"/>
            <w:shd w:val="clear" w:color="auto" w:fill="auto"/>
            <w:noWrap/>
            <w:vAlign w:val="center"/>
          </w:tcPr>
          <w:p w14:paraId="3A706B49" w14:textId="77777777" w:rsidR="00DB5BCC" w:rsidRPr="0052793E" w:rsidRDefault="00DB5BCC" w:rsidP="00DB5BCC">
            <w:pPr>
              <w:spacing w:after="0" w:line="240" w:lineRule="auto"/>
              <w:rPr>
                <w:rFonts w:ascii="David" w:eastAsia="Times New Roman" w:hAnsi="David" w:cs="David"/>
                <w:rtl/>
              </w:rPr>
            </w:pPr>
          </w:p>
        </w:tc>
        <w:tc>
          <w:tcPr>
            <w:tcW w:w="2267" w:type="dxa"/>
            <w:shd w:val="clear" w:color="auto" w:fill="auto"/>
            <w:vAlign w:val="center"/>
          </w:tcPr>
          <w:p w14:paraId="05D0AF48"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תיק נזקקות (תנ"ז)</w:t>
            </w:r>
          </w:p>
        </w:tc>
        <w:tc>
          <w:tcPr>
            <w:tcW w:w="992" w:type="dxa"/>
            <w:shd w:val="clear" w:color="auto" w:fill="auto"/>
            <w:vAlign w:val="center"/>
          </w:tcPr>
          <w:p w14:paraId="31E115E1"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148</w:t>
            </w:r>
          </w:p>
        </w:tc>
        <w:tc>
          <w:tcPr>
            <w:tcW w:w="1134" w:type="dxa"/>
            <w:shd w:val="clear" w:color="auto" w:fill="auto"/>
            <w:noWrap/>
            <w:vAlign w:val="center"/>
          </w:tcPr>
          <w:p w14:paraId="23111F79"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9:05</w:t>
            </w:r>
          </w:p>
        </w:tc>
        <w:tc>
          <w:tcPr>
            <w:tcW w:w="993" w:type="dxa"/>
            <w:shd w:val="clear" w:color="auto" w:fill="auto"/>
            <w:vAlign w:val="center"/>
          </w:tcPr>
          <w:p w14:paraId="62F12A6A"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1:32</w:t>
            </w:r>
          </w:p>
        </w:tc>
        <w:tc>
          <w:tcPr>
            <w:tcW w:w="1134" w:type="dxa"/>
            <w:shd w:val="clear" w:color="auto" w:fill="auto"/>
            <w:vAlign w:val="center"/>
          </w:tcPr>
          <w:p w14:paraId="58F50CF5"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1.95</w:t>
            </w:r>
          </w:p>
        </w:tc>
        <w:tc>
          <w:tcPr>
            <w:tcW w:w="1558" w:type="dxa"/>
            <w:shd w:val="clear" w:color="auto" w:fill="auto"/>
            <w:vAlign w:val="center"/>
          </w:tcPr>
          <w:p w14:paraId="4BFEF4C9"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4:39</w:t>
            </w:r>
          </w:p>
        </w:tc>
      </w:tr>
      <w:tr w:rsidR="00DB5BCC" w:rsidRPr="0052793E" w14:paraId="46865215" w14:textId="77777777" w:rsidTr="00DB5BCC">
        <w:trPr>
          <w:trHeight w:val="415"/>
        </w:trPr>
        <w:tc>
          <w:tcPr>
            <w:tcW w:w="851" w:type="dxa"/>
            <w:shd w:val="clear" w:color="auto" w:fill="auto"/>
            <w:noWrap/>
            <w:vAlign w:val="center"/>
          </w:tcPr>
          <w:p w14:paraId="4C27D2E1"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2ED1D150"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4257C028"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תיק אזרחי בסדר דין רגיל (ת"א)-תביעה כספית</w:t>
            </w:r>
          </w:p>
        </w:tc>
        <w:tc>
          <w:tcPr>
            <w:tcW w:w="992" w:type="dxa"/>
            <w:shd w:val="clear" w:color="auto" w:fill="auto"/>
            <w:vAlign w:val="center"/>
          </w:tcPr>
          <w:p w14:paraId="3B738D0F"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15,589</w:t>
            </w:r>
          </w:p>
        </w:tc>
        <w:tc>
          <w:tcPr>
            <w:tcW w:w="1134" w:type="dxa"/>
            <w:shd w:val="clear" w:color="auto" w:fill="auto"/>
            <w:noWrap/>
            <w:vAlign w:val="center"/>
          </w:tcPr>
          <w:p w14:paraId="5AF739B6"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hint="cs"/>
                <w:b/>
                <w:bCs/>
                <w:rtl/>
              </w:rPr>
              <w:t>8:36</w:t>
            </w:r>
          </w:p>
        </w:tc>
        <w:tc>
          <w:tcPr>
            <w:tcW w:w="993" w:type="dxa"/>
            <w:shd w:val="clear" w:color="auto" w:fill="auto"/>
            <w:vAlign w:val="center"/>
          </w:tcPr>
          <w:p w14:paraId="596DDCF9"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5:42</w:t>
            </w:r>
          </w:p>
        </w:tc>
        <w:tc>
          <w:tcPr>
            <w:tcW w:w="1134" w:type="dxa"/>
            <w:shd w:val="clear" w:color="auto" w:fill="auto"/>
            <w:vAlign w:val="center"/>
          </w:tcPr>
          <w:p w14:paraId="66C31ED6"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6682E489"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8:36</w:t>
            </w:r>
          </w:p>
        </w:tc>
      </w:tr>
      <w:tr w:rsidR="00DB5BCC" w:rsidRPr="0052793E" w14:paraId="4D165DBE" w14:textId="77777777" w:rsidTr="00DB5BCC">
        <w:trPr>
          <w:trHeight w:val="415"/>
        </w:trPr>
        <w:tc>
          <w:tcPr>
            <w:tcW w:w="851" w:type="dxa"/>
            <w:shd w:val="clear" w:color="auto" w:fill="auto"/>
            <w:noWrap/>
            <w:vAlign w:val="center"/>
          </w:tcPr>
          <w:p w14:paraId="2A07C234"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shd w:val="clear" w:color="auto" w:fill="auto"/>
            <w:noWrap/>
            <w:vAlign w:val="center"/>
          </w:tcPr>
          <w:p w14:paraId="06B1FED0"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ערעור פלילי</w:t>
            </w:r>
          </w:p>
        </w:tc>
        <w:tc>
          <w:tcPr>
            <w:tcW w:w="2267" w:type="dxa"/>
            <w:shd w:val="clear" w:color="auto" w:fill="auto"/>
            <w:vAlign w:val="center"/>
          </w:tcPr>
          <w:p w14:paraId="758934B2"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ערעור פלילי גזר דין (עפ"ג) - הרכב</w:t>
            </w:r>
          </w:p>
        </w:tc>
        <w:tc>
          <w:tcPr>
            <w:tcW w:w="992" w:type="dxa"/>
            <w:shd w:val="clear" w:color="auto" w:fill="auto"/>
            <w:vAlign w:val="center"/>
          </w:tcPr>
          <w:p w14:paraId="2BB78747"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1,092</w:t>
            </w:r>
          </w:p>
        </w:tc>
        <w:tc>
          <w:tcPr>
            <w:tcW w:w="1134" w:type="dxa"/>
            <w:shd w:val="clear" w:color="auto" w:fill="auto"/>
            <w:noWrap/>
            <w:vAlign w:val="center"/>
          </w:tcPr>
          <w:p w14:paraId="3ACD76F3"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hint="cs"/>
                <w:b/>
                <w:bCs/>
                <w:rtl/>
              </w:rPr>
              <w:t>8:14</w:t>
            </w:r>
          </w:p>
        </w:tc>
        <w:tc>
          <w:tcPr>
            <w:tcW w:w="993" w:type="dxa"/>
            <w:shd w:val="clear" w:color="auto" w:fill="auto"/>
            <w:vAlign w:val="center"/>
          </w:tcPr>
          <w:p w14:paraId="77591F0B"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8:07</w:t>
            </w:r>
          </w:p>
        </w:tc>
        <w:tc>
          <w:tcPr>
            <w:tcW w:w="1134" w:type="dxa"/>
            <w:shd w:val="clear" w:color="auto" w:fill="auto"/>
            <w:vAlign w:val="center"/>
          </w:tcPr>
          <w:p w14:paraId="3108CFE0"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3A1B86FD"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8:14</w:t>
            </w:r>
          </w:p>
        </w:tc>
      </w:tr>
      <w:tr w:rsidR="00DB5BCC" w:rsidRPr="0052793E" w14:paraId="28C91CF4" w14:textId="77777777" w:rsidTr="00DB5BCC">
        <w:trPr>
          <w:trHeight w:val="415"/>
        </w:trPr>
        <w:tc>
          <w:tcPr>
            <w:tcW w:w="851" w:type="dxa"/>
            <w:shd w:val="clear" w:color="auto" w:fill="auto"/>
            <w:noWrap/>
            <w:vAlign w:val="center"/>
          </w:tcPr>
          <w:p w14:paraId="6E1726F3"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shd w:val="clear" w:color="auto" w:fill="auto"/>
            <w:noWrap/>
            <w:vAlign w:val="center"/>
          </w:tcPr>
          <w:p w14:paraId="093E2BD2"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פלילי</w:t>
            </w:r>
          </w:p>
        </w:tc>
        <w:tc>
          <w:tcPr>
            <w:tcW w:w="2267" w:type="dxa"/>
            <w:shd w:val="clear" w:color="auto" w:fill="auto"/>
            <w:vAlign w:val="center"/>
          </w:tcPr>
          <w:p w14:paraId="3123CE5D"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מעצר עד תום ההליכים (מ"ת)</w:t>
            </w:r>
          </w:p>
        </w:tc>
        <w:tc>
          <w:tcPr>
            <w:tcW w:w="992" w:type="dxa"/>
            <w:shd w:val="clear" w:color="auto" w:fill="auto"/>
            <w:vAlign w:val="center"/>
          </w:tcPr>
          <w:p w14:paraId="45B08CAB"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1,407</w:t>
            </w:r>
          </w:p>
        </w:tc>
        <w:tc>
          <w:tcPr>
            <w:tcW w:w="1134" w:type="dxa"/>
            <w:shd w:val="clear" w:color="auto" w:fill="auto"/>
            <w:noWrap/>
            <w:vAlign w:val="center"/>
          </w:tcPr>
          <w:p w14:paraId="21114F85"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8:00</w:t>
            </w:r>
          </w:p>
        </w:tc>
        <w:tc>
          <w:tcPr>
            <w:tcW w:w="993" w:type="dxa"/>
            <w:shd w:val="clear" w:color="auto" w:fill="auto"/>
            <w:vAlign w:val="center"/>
          </w:tcPr>
          <w:p w14:paraId="30245B2A"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5:53</w:t>
            </w:r>
          </w:p>
        </w:tc>
        <w:tc>
          <w:tcPr>
            <w:tcW w:w="1134" w:type="dxa"/>
            <w:shd w:val="clear" w:color="auto" w:fill="auto"/>
            <w:vAlign w:val="center"/>
          </w:tcPr>
          <w:p w14:paraId="7DCA166C"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4CCB27F7"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8:00</w:t>
            </w:r>
          </w:p>
        </w:tc>
      </w:tr>
      <w:tr w:rsidR="00DB5BCC" w:rsidRPr="0052793E" w14:paraId="5CAD7546" w14:textId="77777777" w:rsidTr="00DB5BCC">
        <w:trPr>
          <w:trHeight w:val="421"/>
        </w:trPr>
        <w:tc>
          <w:tcPr>
            <w:tcW w:w="851" w:type="dxa"/>
            <w:shd w:val="clear" w:color="auto" w:fill="auto"/>
            <w:noWrap/>
            <w:vAlign w:val="center"/>
          </w:tcPr>
          <w:p w14:paraId="46687789"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משפחה</w:t>
            </w:r>
          </w:p>
        </w:tc>
        <w:tc>
          <w:tcPr>
            <w:tcW w:w="993" w:type="dxa"/>
            <w:shd w:val="clear" w:color="auto" w:fill="auto"/>
            <w:noWrap/>
            <w:vAlign w:val="center"/>
          </w:tcPr>
          <w:p w14:paraId="30BE93C5" w14:textId="77777777" w:rsidR="00DB5BCC" w:rsidRPr="0052793E" w:rsidRDefault="00DB5BCC" w:rsidP="00DB5BCC">
            <w:pPr>
              <w:spacing w:after="0" w:line="240" w:lineRule="auto"/>
              <w:rPr>
                <w:rFonts w:ascii="David" w:eastAsia="Times New Roman" w:hAnsi="David" w:cs="David"/>
                <w:rtl/>
              </w:rPr>
            </w:pPr>
          </w:p>
        </w:tc>
        <w:tc>
          <w:tcPr>
            <w:tcW w:w="2267" w:type="dxa"/>
            <w:shd w:val="clear" w:color="auto" w:fill="auto"/>
            <w:vAlign w:val="center"/>
          </w:tcPr>
          <w:p w14:paraId="1A37AD9B"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תיק משפחה (תמ"ש)</w:t>
            </w:r>
          </w:p>
        </w:tc>
        <w:tc>
          <w:tcPr>
            <w:tcW w:w="992" w:type="dxa"/>
            <w:shd w:val="clear" w:color="auto" w:fill="auto"/>
            <w:vAlign w:val="center"/>
          </w:tcPr>
          <w:p w14:paraId="650BE042"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10,697</w:t>
            </w:r>
          </w:p>
        </w:tc>
        <w:tc>
          <w:tcPr>
            <w:tcW w:w="1134" w:type="dxa"/>
            <w:shd w:val="clear" w:color="auto" w:fill="auto"/>
            <w:noWrap/>
            <w:vAlign w:val="center"/>
          </w:tcPr>
          <w:p w14:paraId="13A732B9"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hint="cs"/>
                <w:b/>
                <w:bCs/>
                <w:rtl/>
              </w:rPr>
              <w:t>7:47</w:t>
            </w:r>
          </w:p>
        </w:tc>
        <w:tc>
          <w:tcPr>
            <w:tcW w:w="993" w:type="dxa"/>
            <w:shd w:val="clear" w:color="auto" w:fill="auto"/>
            <w:vAlign w:val="center"/>
          </w:tcPr>
          <w:p w14:paraId="1051A885"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4:31</w:t>
            </w:r>
          </w:p>
        </w:tc>
        <w:tc>
          <w:tcPr>
            <w:tcW w:w="1134" w:type="dxa"/>
            <w:shd w:val="clear" w:color="auto" w:fill="auto"/>
            <w:vAlign w:val="center"/>
          </w:tcPr>
          <w:p w14:paraId="27BAAA78"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1.22</w:t>
            </w:r>
          </w:p>
        </w:tc>
        <w:tc>
          <w:tcPr>
            <w:tcW w:w="1558" w:type="dxa"/>
            <w:shd w:val="clear" w:color="auto" w:fill="auto"/>
            <w:vAlign w:val="center"/>
          </w:tcPr>
          <w:p w14:paraId="3F2A8141"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6:23</w:t>
            </w:r>
          </w:p>
        </w:tc>
      </w:tr>
      <w:tr w:rsidR="00DB5BCC" w:rsidRPr="0052793E" w14:paraId="2262DA8D" w14:textId="77777777" w:rsidTr="00DB5BCC">
        <w:trPr>
          <w:trHeight w:val="421"/>
        </w:trPr>
        <w:tc>
          <w:tcPr>
            <w:tcW w:w="851" w:type="dxa"/>
            <w:shd w:val="clear" w:color="auto" w:fill="auto"/>
            <w:noWrap/>
            <w:vAlign w:val="center"/>
          </w:tcPr>
          <w:p w14:paraId="0578F665"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shd w:val="clear" w:color="auto" w:fill="auto"/>
            <w:noWrap/>
            <w:vAlign w:val="center"/>
          </w:tcPr>
          <w:p w14:paraId="0C912CC1"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עניינים מנהליים</w:t>
            </w:r>
          </w:p>
        </w:tc>
        <w:tc>
          <w:tcPr>
            <w:tcW w:w="2267" w:type="dxa"/>
            <w:shd w:val="clear" w:color="auto" w:fill="auto"/>
            <w:vAlign w:val="center"/>
          </w:tcPr>
          <w:p w14:paraId="386E9419"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ערעור מנהלי (עמ"נ)</w:t>
            </w:r>
          </w:p>
        </w:tc>
        <w:tc>
          <w:tcPr>
            <w:tcW w:w="992" w:type="dxa"/>
            <w:shd w:val="clear" w:color="auto" w:fill="auto"/>
            <w:vAlign w:val="center"/>
          </w:tcPr>
          <w:p w14:paraId="05344E77"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785</w:t>
            </w:r>
          </w:p>
        </w:tc>
        <w:tc>
          <w:tcPr>
            <w:tcW w:w="1134" w:type="dxa"/>
            <w:shd w:val="clear" w:color="auto" w:fill="auto"/>
            <w:noWrap/>
            <w:vAlign w:val="center"/>
          </w:tcPr>
          <w:p w14:paraId="42B2D45E"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hint="cs"/>
                <w:b/>
                <w:bCs/>
                <w:rtl/>
              </w:rPr>
              <w:t>7:46</w:t>
            </w:r>
          </w:p>
        </w:tc>
        <w:tc>
          <w:tcPr>
            <w:tcW w:w="993" w:type="dxa"/>
            <w:shd w:val="clear" w:color="auto" w:fill="auto"/>
            <w:vAlign w:val="center"/>
          </w:tcPr>
          <w:p w14:paraId="6189E945"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6:24</w:t>
            </w:r>
          </w:p>
        </w:tc>
        <w:tc>
          <w:tcPr>
            <w:tcW w:w="1134" w:type="dxa"/>
            <w:shd w:val="clear" w:color="auto" w:fill="auto"/>
            <w:vAlign w:val="center"/>
          </w:tcPr>
          <w:p w14:paraId="02C6F514"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1.12</w:t>
            </w:r>
          </w:p>
        </w:tc>
        <w:tc>
          <w:tcPr>
            <w:tcW w:w="1558" w:type="dxa"/>
            <w:shd w:val="clear" w:color="auto" w:fill="auto"/>
            <w:vAlign w:val="center"/>
          </w:tcPr>
          <w:p w14:paraId="25B4C128"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6:56</w:t>
            </w:r>
          </w:p>
        </w:tc>
      </w:tr>
      <w:tr w:rsidR="00DB5BCC" w:rsidRPr="0052793E" w14:paraId="770FE7E4" w14:textId="77777777" w:rsidTr="00DB5BCC">
        <w:trPr>
          <w:trHeight w:val="698"/>
        </w:trPr>
        <w:tc>
          <w:tcPr>
            <w:tcW w:w="851" w:type="dxa"/>
            <w:shd w:val="clear" w:color="auto" w:fill="auto"/>
            <w:noWrap/>
            <w:vAlign w:val="center"/>
          </w:tcPr>
          <w:p w14:paraId="4567147C" w14:textId="77777777" w:rsidR="00DB5BCC" w:rsidRPr="0052793E" w:rsidRDefault="00DB5BCC" w:rsidP="00DB5BCC">
            <w:pPr>
              <w:spacing w:after="0" w:line="240" w:lineRule="auto"/>
              <w:rPr>
                <w:rFonts w:ascii="David" w:eastAsia="Times New Roman" w:hAnsi="David" w:cs="David"/>
                <w:rtl/>
              </w:rPr>
            </w:pPr>
            <w:r w:rsidRPr="0052793E">
              <w:rPr>
                <w:rFonts w:ascii="David" w:hAnsi="David" w:cs="David"/>
                <w:color w:val="000000"/>
                <w:rtl/>
              </w:rPr>
              <w:t>מחוזי</w:t>
            </w:r>
          </w:p>
        </w:tc>
        <w:tc>
          <w:tcPr>
            <w:tcW w:w="993" w:type="dxa"/>
            <w:shd w:val="clear" w:color="auto" w:fill="auto"/>
            <w:noWrap/>
            <w:vAlign w:val="center"/>
          </w:tcPr>
          <w:p w14:paraId="1E89BAE8"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ערעור</w:t>
            </w:r>
            <w:r w:rsidRPr="0052793E">
              <w:rPr>
                <w:rFonts w:ascii="David" w:hAnsi="David" w:cs="David"/>
                <w:color w:val="000000"/>
                <w:rtl/>
              </w:rPr>
              <w:t xml:space="preserve"> אזרחי</w:t>
            </w:r>
          </w:p>
        </w:tc>
        <w:tc>
          <w:tcPr>
            <w:tcW w:w="2267" w:type="dxa"/>
            <w:shd w:val="clear" w:color="auto" w:fill="auto"/>
            <w:vAlign w:val="center"/>
          </w:tcPr>
          <w:p w14:paraId="24D4124D" w14:textId="77777777" w:rsidR="00DB5BCC" w:rsidRPr="0052793E" w:rsidRDefault="00DB5BCC" w:rsidP="00DB5BCC">
            <w:pPr>
              <w:spacing w:after="0" w:line="240" w:lineRule="auto"/>
              <w:rPr>
                <w:rFonts w:ascii="David" w:eastAsia="Times New Roman" w:hAnsi="David" w:cs="David"/>
                <w:rtl/>
              </w:rPr>
            </w:pPr>
            <w:r w:rsidRPr="0052793E">
              <w:rPr>
                <w:rFonts w:ascii="David" w:hAnsi="David" w:cs="David"/>
                <w:color w:val="000000"/>
                <w:rtl/>
              </w:rPr>
              <w:t xml:space="preserve">ערעור אזרחי (ע"א) - </w:t>
            </w:r>
            <w:r w:rsidRPr="0052793E">
              <w:rPr>
                <w:rFonts w:ascii="David" w:hAnsi="David" w:cs="David"/>
                <w:b/>
                <w:bCs/>
                <w:color w:val="000000"/>
                <w:rtl/>
              </w:rPr>
              <w:t>משוקלל</w:t>
            </w:r>
          </w:p>
        </w:tc>
        <w:tc>
          <w:tcPr>
            <w:tcW w:w="992" w:type="dxa"/>
            <w:shd w:val="clear" w:color="auto" w:fill="auto"/>
            <w:vAlign w:val="center"/>
          </w:tcPr>
          <w:p w14:paraId="76CEDA67"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hAnsi="David" w:cs="David"/>
                <w:color w:val="000000"/>
                <w:rtl/>
              </w:rPr>
              <w:t>2,680</w:t>
            </w:r>
          </w:p>
        </w:tc>
        <w:tc>
          <w:tcPr>
            <w:tcW w:w="1134" w:type="dxa"/>
            <w:shd w:val="clear" w:color="auto" w:fill="auto"/>
            <w:noWrap/>
            <w:vAlign w:val="center"/>
          </w:tcPr>
          <w:p w14:paraId="789D97BA"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hint="cs"/>
                <w:b/>
                <w:bCs/>
                <w:rtl/>
              </w:rPr>
              <w:t>7:44</w:t>
            </w:r>
          </w:p>
        </w:tc>
        <w:tc>
          <w:tcPr>
            <w:tcW w:w="993" w:type="dxa"/>
            <w:shd w:val="clear" w:color="auto" w:fill="auto"/>
            <w:vAlign w:val="center"/>
          </w:tcPr>
          <w:p w14:paraId="50D2B394" w14:textId="77777777" w:rsidR="00DB5BCC" w:rsidRPr="0052793E" w:rsidRDefault="00DB5BCC" w:rsidP="00DB5BCC">
            <w:pPr>
              <w:spacing w:after="0" w:line="240" w:lineRule="auto"/>
              <w:jc w:val="center"/>
              <w:rPr>
                <w:rFonts w:ascii="David" w:eastAsia="Times New Roman" w:hAnsi="David" w:cs="David"/>
              </w:rPr>
            </w:pPr>
            <w:r w:rsidRPr="0052793E">
              <w:rPr>
                <w:rFonts w:ascii="David" w:hAnsi="David" w:cs="David"/>
                <w:color w:val="000000"/>
              </w:rPr>
              <w:t>7:11</w:t>
            </w:r>
          </w:p>
        </w:tc>
        <w:tc>
          <w:tcPr>
            <w:tcW w:w="1134" w:type="dxa"/>
            <w:shd w:val="clear" w:color="auto" w:fill="auto"/>
            <w:vAlign w:val="center"/>
          </w:tcPr>
          <w:p w14:paraId="3E401C18" w14:textId="77777777" w:rsidR="00DB5BCC" w:rsidRPr="0052793E" w:rsidRDefault="00DB5BCC" w:rsidP="00DB5BCC">
            <w:pPr>
              <w:spacing w:after="0" w:line="240" w:lineRule="auto"/>
              <w:jc w:val="center"/>
              <w:rPr>
                <w:rFonts w:ascii="David" w:eastAsia="Times New Roman" w:hAnsi="David" w:cs="David"/>
                <w:rtl/>
              </w:rPr>
            </w:pPr>
          </w:p>
        </w:tc>
        <w:tc>
          <w:tcPr>
            <w:tcW w:w="1558" w:type="dxa"/>
            <w:shd w:val="clear" w:color="auto" w:fill="auto"/>
            <w:vAlign w:val="center"/>
          </w:tcPr>
          <w:p w14:paraId="3C828AB4" w14:textId="77777777" w:rsidR="00DB5BCC" w:rsidRPr="0052793E" w:rsidRDefault="00DB5BCC" w:rsidP="00DB5BCC">
            <w:pPr>
              <w:spacing w:after="0" w:line="240" w:lineRule="auto"/>
              <w:jc w:val="center"/>
              <w:rPr>
                <w:rFonts w:ascii="David" w:eastAsia="Times New Roman" w:hAnsi="David" w:cs="David"/>
              </w:rPr>
            </w:pPr>
          </w:p>
        </w:tc>
      </w:tr>
      <w:tr w:rsidR="00DB5BCC" w:rsidRPr="0052793E" w14:paraId="7478EDDC" w14:textId="77777777" w:rsidTr="00DB5BCC">
        <w:trPr>
          <w:trHeight w:val="698"/>
        </w:trPr>
        <w:tc>
          <w:tcPr>
            <w:tcW w:w="851" w:type="dxa"/>
            <w:shd w:val="clear" w:color="auto" w:fill="auto"/>
            <w:noWrap/>
            <w:vAlign w:val="center"/>
          </w:tcPr>
          <w:p w14:paraId="38400120" w14:textId="77777777" w:rsidR="00DB5BCC" w:rsidRPr="0052793E" w:rsidRDefault="00DB5BCC" w:rsidP="00DB5BCC">
            <w:pPr>
              <w:spacing w:after="0" w:line="240" w:lineRule="auto"/>
              <w:rPr>
                <w:rFonts w:ascii="David" w:hAnsi="David" w:cs="David"/>
                <w:color w:val="000000"/>
                <w:rtl/>
              </w:rPr>
            </w:pPr>
            <w:r w:rsidRPr="0052793E">
              <w:rPr>
                <w:rFonts w:ascii="David" w:eastAsia="Times New Roman" w:hAnsi="David" w:cs="David"/>
                <w:rtl/>
              </w:rPr>
              <w:t>מחוזי</w:t>
            </w:r>
          </w:p>
        </w:tc>
        <w:tc>
          <w:tcPr>
            <w:tcW w:w="993" w:type="dxa"/>
            <w:shd w:val="clear" w:color="auto" w:fill="auto"/>
            <w:noWrap/>
            <w:vAlign w:val="center"/>
          </w:tcPr>
          <w:p w14:paraId="0A7806AA"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ערעור פלילי</w:t>
            </w:r>
          </w:p>
        </w:tc>
        <w:tc>
          <w:tcPr>
            <w:tcW w:w="2267" w:type="dxa"/>
            <w:shd w:val="clear" w:color="auto" w:fill="auto"/>
            <w:vAlign w:val="center"/>
          </w:tcPr>
          <w:p w14:paraId="39A459A9" w14:textId="77777777" w:rsidR="00DB5BCC" w:rsidRPr="0052793E" w:rsidRDefault="00DB5BCC" w:rsidP="00DB5BCC">
            <w:pPr>
              <w:spacing w:after="0" w:line="240" w:lineRule="auto"/>
              <w:rPr>
                <w:rFonts w:ascii="David" w:hAnsi="David" w:cs="David"/>
                <w:color w:val="000000"/>
                <w:rtl/>
              </w:rPr>
            </w:pPr>
            <w:r w:rsidRPr="0052793E">
              <w:rPr>
                <w:rFonts w:ascii="David" w:eastAsia="Times New Roman" w:hAnsi="David" w:cs="David"/>
                <w:rtl/>
              </w:rPr>
              <w:t>ערעור נוער פלילי (ענ"פ) - הרכב</w:t>
            </w:r>
          </w:p>
        </w:tc>
        <w:tc>
          <w:tcPr>
            <w:tcW w:w="992" w:type="dxa"/>
            <w:shd w:val="clear" w:color="auto" w:fill="auto"/>
            <w:vAlign w:val="center"/>
          </w:tcPr>
          <w:p w14:paraId="7110812F" w14:textId="77777777" w:rsidR="00DB5BCC" w:rsidRPr="0052793E" w:rsidRDefault="00DB5BCC" w:rsidP="00DB5BCC">
            <w:pPr>
              <w:spacing w:after="0" w:line="240" w:lineRule="auto"/>
              <w:jc w:val="center"/>
              <w:rPr>
                <w:rFonts w:ascii="David" w:hAnsi="David" w:cs="David"/>
                <w:color w:val="000000"/>
                <w:rtl/>
              </w:rPr>
            </w:pPr>
            <w:r w:rsidRPr="0052793E">
              <w:rPr>
                <w:rFonts w:ascii="David" w:eastAsia="Times New Roman" w:hAnsi="David" w:cs="David"/>
                <w:rtl/>
              </w:rPr>
              <w:t>96</w:t>
            </w:r>
          </w:p>
        </w:tc>
        <w:tc>
          <w:tcPr>
            <w:tcW w:w="1134" w:type="dxa"/>
            <w:shd w:val="clear" w:color="auto" w:fill="auto"/>
            <w:noWrap/>
            <w:vAlign w:val="center"/>
          </w:tcPr>
          <w:p w14:paraId="2138CB48"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hint="cs"/>
                <w:b/>
                <w:bCs/>
                <w:rtl/>
              </w:rPr>
              <w:t>7:31</w:t>
            </w:r>
          </w:p>
        </w:tc>
        <w:tc>
          <w:tcPr>
            <w:tcW w:w="993" w:type="dxa"/>
            <w:shd w:val="clear" w:color="auto" w:fill="auto"/>
            <w:vAlign w:val="center"/>
          </w:tcPr>
          <w:p w14:paraId="1ADB4F84" w14:textId="77777777" w:rsidR="00DB5BCC" w:rsidRPr="0052793E" w:rsidRDefault="00DB5BCC" w:rsidP="00DB5BCC">
            <w:pPr>
              <w:spacing w:after="0" w:line="240" w:lineRule="auto"/>
              <w:jc w:val="center"/>
              <w:rPr>
                <w:rFonts w:ascii="David" w:hAnsi="David" w:cs="David"/>
                <w:color w:val="000000"/>
              </w:rPr>
            </w:pPr>
            <w:r w:rsidRPr="0052793E">
              <w:rPr>
                <w:rFonts w:ascii="David" w:eastAsia="Times New Roman" w:hAnsi="David" w:cs="David"/>
              </w:rPr>
              <w:t>-</w:t>
            </w:r>
          </w:p>
        </w:tc>
        <w:tc>
          <w:tcPr>
            <w:tcW w:w="1134" w:type="dxa"/>
            <w:shd w:val="clear" w:color="auto" w:fill="auto"/>
            <w:vAlign w:val="center"/>
          </w:tcPr>
          <w:p w14:paraId="6A8643EE"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3BE8FE84"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7:31</w:t>
            </w:r>
          </w:p>
        </w:tc>
      </w:tr>
      <w:tr w:rsidR="00DB5BCC" w:rsidRPr="0052793E" w14:paraId="69A5B3FD" w14:textId="77777777" w:rsidTr="00DB5BCC">
        <w:trPr>
          <w:trHeight w:val="630"/>
        </w:trPr>
        <w:tc>
          <w:tcPr>
            <w:tcW w:w="851" w:type="dxa"/>
            <w:shd w:val="clear" w:color="auto" w:fill="auto"/>
            <w:noWrap/>
            <w:vAlign w:val="center"/>
          </w:tcPr>
          <w:p w14:paraId="5E49FDF1"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shd w:val="clear" w:color="auto" w:fill="auto"/>
            <w:noWrap/>
            <w:vAlign w:val="center"/>
          </w:tcPr>
          <w:p w14:paraId="579FEB7A"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2D199ADC"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פירוקים (פר"ק)</w:t>
            </w:r>
          </w:p>
        </w:tc>
        <w:tc>
          <w:tcPr>
            <w:tcW w:w="992" w:type="dxa"/>
            <w:shd w:val="clear" w:color="auto" w:fill="auto"/>
            <w:vAlign w:val="center"/>
          </w:tcPr>
          <w:p w14:paraId="4A56C735"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1,348</w:t>
            </w:r>
          </w:p>
        </w:tc>
        <w:tc>
          <w:tcPr>
            <w:tcW w:w="1134" w:type="dxa"/>
            <w:shd w:val="clear" w:color="auto" w:fill="auto"/>
            <w:noWrap/>
            <w:vAlign w:val="center"/>
          </w:tcPr>
          <w:p w14:paraId="7E251B8F"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hint="cs"/>
                <w:b/>
                <w:bCs/>
                <w:rtl/>
              </w:rPr>
              <w:t>7:28</w:t>
            </w:r>
          </w:p>
        </w:tc>
        <w:tc>
          <w:tcPr>
            <w:tcW w:w="993" w:type="dxa"/>
            <w:shd w:val="clear" w:color="auto" w:fill="auto"/>
            <w:vAlign w:val="center"/>
          </w:tcPr>
          <w:p w14:paraId="709F3EF2"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6:29</w:t>
            </w:r>
          </w:p>
        </w:tc>
        <w:tc>
          <w:tcPr>
            <w:tcW w:w="1134" w:type="dxa"/>
            <w:shd w:val="clear" w:color="auto" w:fill="auto"/>
            <w:vAlign w:val="center"/>
          </w:tcPr>
          <w:p w14:paraId="283ECFD0"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1.04</w:t>
            </w:r>
          </w:p>
        </w:tc>
        <w:tc>
          <w:tcPr>
            <w:tcW w:w="1558" w:type="dxa"/>
            <w:shd w:val="clear" w:color="auto" w:fill="auto"/>
            <w:vAlign w:val="center"/>
          </w:tcPr>
          <w:p w14:paraId="0CB728D2"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7:28</w:t>
            </w:r>
          </w:p>
        </w:tc>
      </w:tr>
      <w:tr w:rsidR="00DB5BCC" w:rsidRPr="0052793E" w14:paraId="42C2E0CE" w14:textId="77777777" w:rsidTr="00DB5BCC">
        <w:trPr>
          <w:trHeight w:val="475"/>
        </w:trPr>
        <w:tc>
          <w:tcPr>
            <w:tcW w:w="851" w:type="dxa"/>
            <w:shd w:val="clear" w:color="auto" w:fill="auto"/>
            <w:noWrap/>
            <w:vAlign w:val="center"/>
          </w:tcPr>
          <w:p w14:paraId="14F6D77D"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5CB5A36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פלילי</w:t>
            </w:r>
          </w:p>
        </w:tc>
        <w:tc>
          <w:tcPr>
            <w:tcW w:w="2267" w:type="dxa"/>
            <w:shd w:val="clear" w:color="auto" w:fill="auto"/>
            <w:vAlign w:val="center"/>
          </w:tcPr>
          <w:p w14:paraId="3F4BCF09"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תיק פלילי קהילתי (תפ"ק)</w:t>
            </w:r>
          </w:p>
        </w:tc>
        <w:tc>
          <w:tcPr>
            <w:tcW w:w="992" w:type="dxa"/>
            <w:shd w:val="clear" w:color="auto" w:fill="auto"/>
            <w:vAlign w:val="center"/>
          </w:tcPr>
          <w:p w14:paraId="5A5273D2"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228</w:t>
            </w:r>
          </w:p>
        </w:tc>
        <w:tc>
          <w:tcPr>
            <w:tcW w:w="1134" w:type="dxa"/>
            <w:shd w:val="clear" w:color="auto" w:fill="auto"/>
            <w:noWrap/>
            <w:vAlign w:val="center"/>
          </w:tcPr>
          <w:p w14:paraId="28321A2E"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7:11</w:t>
            </w:r>
          </w:p>
        </w:tc>
        <w:tc>
          <w:tcPr>
            <w:tcW w:w="993" w:type="dxa"/>
            <w:shd w:val="clear" w:color="auto" w:fill="auto"/>
            <w:vAlign w:val="center"/>
          </w:tcPr>
          <w:p w14:paraId="252316DA"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w:t>
            </w:r>
          </w:p>
        </w:tc>
        <w:tc>
          <w:tcPr>
            <w:tcW w:w="1134" w:type="dxa"/>
            <w:shd w:val="clear" w:color="auto" w:fill="auto"/>
            <w:vAlign w:val="center"/>
          </w:tcPr>
          <w:p w14:paraId="4E306F41"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1.2</w:t>
            </w:r>
          </w:p>
        </w:tc>
        <w:tc>
          <w:tcPr>
            <w:tcW w:w="1558" w:type="dxa"/>
            <w:shd w:val="clear" w:color="auto" w:fill="auto"/>
            <w:vAlign w:val="center"/>
          </w:tcPr>
          <w:p w14:paraId="3328E416"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5:59</w:t>
            </w:r>
          </w:p>
        </w:tc>
      </w:tr>
      <w:tr w:rsidR="00DB5BCC" w:rsidRPr="0052793E" w14:paraId="4BCB02E4" w14:textId="77777777" w:rsidTr="00DB5BCC">
        <w:trPr>
          <w:trHeight w:val="569"/>
        </w:trPr>
        <w:tc>
          <w:tcPr>
            <w:tcW w:w="851" w:type="dxa"/>
            <w:tcBorders>
              <w:bottom w:val="single" w:sz="4" w:space="0" w:color="auto"/>
            </w:tcBorders>
            <w:shd w:val="clear" w:color="auto" w:fill="auto"/>
            <w:noWrap/>
            <w:vAlign w:val="center"/>
          </w:tcPr>
          <w:p w14:paraId="49371D3F"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שלום</w:t>
            </w:r>
          </w:p>
        </w:tc>
        <w:tc>
          <w:tcPr>
            <w:tcW w:w="993" w:type="dxa"/>
            <w:tcBorders>
              <w:bottom w:val="single" w:sz="4" w:space="0" w:color="auto"/>
            </w:tcBorders>
            <w:shd w:val="clear" w:color="auto" w:fill="auto"/>
            <w:noWrap/>
            <w:vAlign w:val="center"/>
          </w:tcPr>
          <w:p w14:paraId="6269CEA1"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tcBorders>
              <w:bottom w:val="single" w:sz="4" w:space="0" w:color="auto"/>
            </w:tcBorders>
            <w:shd w:val="clear" w:color="auto" w:fill="auto"/>
            <w:vAlign w:val="center"/>
          </w:tcPr>
          <w:p w14:paraId="1028E10A"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תיק אזרחי בסדר דין רגיל (ת"א)-לשון הרע</w:t>
            </w:r>
          </w:p>
        </w:tc>
        <w:tc>
          <w:tcPr>
            <w:tcW w:w="992" w:type="dxa"/>
            <w:tcBorders>
              <w:bottom w:val="single" w:sz="4" w:space="0" w:color="auto"/>
            </w:tcBorders>
            <w:shd w:val="clear" w:color="auto" w:fill="auto"/>
            <w:vAlign w:val="center"/>
          </w:tcPr>
          <w:p w14:paraId="0B4DFB5A" w14:textId="77777777" w:rsidR="00DB5BCC" w:rsidRPr="0052793E" w:rsidRDefault="00DB5BCC" w:rsidP="00DB5BCC">
            <w:pPr>
              <w:spacing w:after="0" w:line="240" w:lineRule="auto"/>
              <w:jc w:val="center"/>
              <w:rPr>
                <w:rFonts w:asciiTheme="minorHAnsi" w:eastAsia="Times New Roman" w:hAnsiTheme="minorHAnsi" w:cs="David"/>
                <w:rtl/>
              </w:rPr>
            </w:pPr>
            <w:r w:rsidRPr="0052793E">
              <w:rPr>
                <w:rFonts w:ascii="David" w:eastAsia="Times New Roman" w:hAnsi="David" w:cs="David"/>
              </w:rPr>
              <w:t>1,002</w:t>
            </w:r>
          </w:p>
        </w:tc>
        <w:tc>
          <w:tcPr>
            <w:tcW w:w="1134" w:type="dxa"/>
            <w:tcBorders>
              <w:bottom w:val="single" w:sz="4" w:space="0" w:color="auto"/>
            </w:tcBorders>
            <w:shd w:val="clear" w:color="auto" w:fill="auto"/>
            <w:noWrap/>
            <w:vAlign w:val="center"/>
          </w:tcPr>
          <w:p w14:paraId="49B06072"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7:11</w:t>
            </w:r>
          </w:p>
        </w:tc>
        <w:tc>
          <w:tcPr>
            <w:tcW w:w="993" w:type="dxa"/>
            <w:tcBorders>
              <w:bottom w:val="single" w:sz="4" w:space="0" w:color="auto"/>
            </w:tcBorders>
            <w:shd w:val="clear" w:color="auto" w:fill="auto"/>
            <w:vAlign w:val="center"/>
          </w:tcPr>
          <w:p w14:paraId="0E70CA76"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5:42</w:t>
            </w:r>
          </w:p>
        </w:tc>
        <w:tc>
          <w:tcPr>
            <w:tcW w:w="1134" w:type="dxa"/>
            <w:tcBorders>
              <w:bottom w:val="single" w:sz="4" w:space="0" w:color="auto"/>
            </w:tcBorders>
            <w:shd w:val="clear" w:color="auto" w:fill="auto"/>
            <w:vAlign w:val="center"/>
          </w:tcPr>
          <w:p w14:paraId="1813CA91"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1.09</w:t>
            </w:r>
          </w:p>
        </w:tc>
        <w:tc>
          <w:tcPr>
            <w:tcW w:w="1558" w:type="dxa"/>
            <w:tcBorders>
              <w:bottom w:val="single" w:sz="4" w:space="0" w:color="auto"/>
            </w:tcBorders>
            <w:shd w:val="clear" w:color="auto" w:fill="auto"/>
            <w:vAlign w:val="center"/>
          </w:tcPr>
          <w:p w14:paraId="4A4ECAE8"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6:35</w:t>
            </w:r>
          </w:p>
        </w:tc>
      </w:tr>
      <w:tr w:rsidR="00DB5BCC" w:rsidRPr="0052793E" w14:paraId="66A95967" w14:textId="77777777" w:rsidTr="00DB5BCC">
        <w:trPr>
          <w:trHeight w:val="550"/>
        </w:trPr>
        <w:tc>
          <w:tcPr>
            <w:tcW w:w="851" w:type="dxa"/>
            <w:tcBorders>
              <w:top w:val="single" w:sz="4" w:space="0" w:color="auto"/>
              <w:bottom w:val="single" w:sz="4" w:space="0" w:color="auto"/>
            </w:tcBorders>
            <w:shd w:val="clear" w:color="auto" w:fill="auto"/>
            <w:noWrap/>
            <w:vAlign w:val="center"/>
          </w:tcPr>
          <w:p w14:paraId="463AD226"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עבודה</w:t>
            </w:r>
          </w:p>
        </w:tc>
        <w:tc>
          <w:tcPr>
            <w:tcW w:w="993" w:type="dxa"/>
            <w:tcBorders>
              <w:top w:val="single" w:sz="4" w:space="0" w:color="auto"/>
              <w:bottom w:val="single" w:sz="4" w:space="0" w:color="auto"/>
            </w:tcBorders>
            <w:shd w:val="clear" w:color="auto" w:fill="auto"/>
            <w:noWrap/>
            <w:vAlign w:val="center"/>
          </w:tcPr>
          <w:p w14:paraId="599CD62B"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tcBorders>
              <w:top w:val="single" w:sz="4" w:space="0" w:color="auto"/>
              <w:bottom w:val="single" w:sz="4" w:space="0" w:color="auto"/>
            </w:tcBorders>
            <w:shd w:val="clear" w:color="auto" w:fill="auto"/>
            <w:vAlign w:val="center"/>
          </w:tcPr>
          <w:p w14:paraId="70D10BB5"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פסק דין הצהרתי (פ"ה)</w:t>
            </w:r>
          </w:p>
        </w:tc>
        <w:tc>
          <w:tcPr>
            <w:tcW w:w="992" w:type="dxa"/>
            <w:tcBorders>
              <w:top w:val="single" w:sz="4" w:space="0" w:color="auto"/>
              <w:bottom w:val="single" w:sz="4" w:space="0" w:color="auto"/>
            </w:tcBorders>
            <w:shd w:val="clear" w:color="auto" w:fill="auto"/>
            <w:vAlign w:val="center"/>
          </w:tcPr>
          <w:p w14:paraId="1EBB01A9"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777</w:t>
            </w:r>
          </w:p>
        </w:tc>
        <w:tc>
          <w:tcPr>
            <w:tcW w:w="1134" w:type="dxa"/>
            <w:tcBorders>
              <w:top w:val="single" w:sz="4" w:space="0" w:color="auto"/>
              <w:bottom w:val="single" w:sz="4" w:space="0" w:color="auto"/>
            </w:tcBorders>
            <w:shd w:val="clear" w:color="auto" w:fill="auto"/>
            <w:noWrap/>
            <w:vAlign w:val="center"/>
          </w:tcPr>
          <w:p w14:paraId="073B813F"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hint="cs"/>
                <w:b/>
                <w:bCs/>
                <w:rtl/>
              </w:rPr>
              <w:t>7:09</w:t>
            </w:r>
          </w:p>
        </w:tc>
        <w:tc>
          <w:tcPr>
            <w:tcW w:w="993" w:type="dxa"/>
            <w:tcBorders>
              <w:top w:val="single" w:sz="4" w:space="0" w:color="auto"/>
              <w:bottom w:val="single" w:sz="4" w:space="0" w:color="auto"/>
            </w:tcBorders>
            <w:shd w:val="clear" w:color="auto" w:fill="auto"/>
            <w:vAlign w:val="center"/>
          </w:tcPr>
          <w:p w14:paraId="10DA00FE"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w:t>
            </w:r>
          </w:p>
        </w:tc>
        <w:tc>
          <w:tcPr>
            <w:tcW w:w="1134" w:type="dxa"/>
            <w:tcBorders>
              <w:top w:val="single" w:sz="4" w:space="0" w:color="auto"/>
              <w:bottom w:val="single" w:sz="4" w:space="0" w:color="auto"/>
            </w:tcBorders>
            <w:shd w:val="clear" w:color="auto" w:fill="auto"/>
            <w:vAlign w:val="center"/>
          </w:tcPr>
          <w:p w14:paraId="1664BF1B"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1.4</w:t>
            </w:r>
          </w:p>
        </w:tc>
        <w:tc>
          <w:tcPr>
            <w:tcW w:w="1558" w:type="dxa"/>
            <w:tcBorders>
              <w:top w:val="single" w:sz="4" w:space="0" w:color="auto"/>
              <w:bottom w:val="single" w:sz="4" w:space="0" w:color="auto"/>
            </w:tcBorders>
            <w:shd w:val="clear" w:color="auto" w:fill="auto"/>
            <w:vAlign w:val="center"/>
          </w:tcPr>
          <w:p w14:paraId="32043671"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5:07</w:t>
            </w:r>
          </w:p>
        </w:tc>
      </w:tr>
      <w:tr w:rsidR="00DB5BCC" w:rsidRPr="0052793E" w14:paraId="082D2C6F" w14:textId="77777777" w:rsidTr="00DB5BCC">
        <w:trPr>
          <w:trHeight w:val="558"/>
        </w:trPr>
        <w:tc>
          <w:tcPr>
            <w:tcW w:w="851" w:type="dxa"/>
            <w:tcBorders>
              <w:top w:val="single" w:sz="4" w:space="0" w:color="auto"/>
            </w:tcBorders>
            <w:shd w:val="clear" w:color="auto" w:fill="auto"/>
            <w:noWrap/>
            <w:vAlign w:val="center"/>
          </w:tcPr>
          <w:p w14:paraId="09D7A1C8"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נוער</w:t>
            </w:r>
          </w:p>
        </w:tc>
        <w:tc>
          <w:tcPr>
            <w:tcW w:w="993" w:type="dxa"/>
            <w:tcBorders>
              <w:top w:val="single" w:sz="4" w:space="0" w:color="auto"/>
            </w:tcBorders>
            <w:shd w:val="clear" w:color="auto" w:fill="auto"/>
            <w:noWrap/>
            <w:vAlign w:val="center"/>
          </w:tcPr>
          <w:p w14:paraId="30663592" w14:textId="77777777" w:rsidR="00DB5BCC" w:rsidRPr="0052793E" w:rsidRDefault="00DB5BCC" w:rsidP="00DB5BCC">
            <w:pPr>
              <w:spacing w:after="0" w:line="240" w:lineRule="auto"/>
              <w:rPr>
                <w:rFonts w:ascii="David" w:eastAsia="Times New Roman" w:hAnsi="David" w:cs="David"/>
                <w:rtl/>
              </w:rPr>
            </w:pPr>
          </w:p>
        </w:tc>
        <w:tc>
          <w:tcPr>
            <w:tcW w:w="2267" w:type="dxa"/>
            <w:tcBorders>
              <w:top w:val="single" w:sz="4" w:space="0" w:color="auto"/>
            </w:tcBorders>
            <w:shd w:val="clear" w:color="auto" w:fill="auto"/>
            <w:vAlign w:val="center"/>
          </w:tcPr>
          <w:p w14:paraId="5C21F98E"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מעצר עד תום ההליכים (מ"ת)</w:t>
            </w:r>
          </w:p>
        </w:tc>
        <w:tc>
          <w:tcPr>
            <w:tcW w:w="992" w:type="dxa"/>
            <w:tcBorders>
              <w:top w:val="single" w:sz="4" w:space="0" w:color="auto"/>
            </w:tcBorders>
            <w:shd w:val="clear" w:color="auto" w:fill="auto"/>
            <w:vAlign w:val="center"/>
          </w:tcPr>
          <w:p w14:paraId="1E6F9C6C"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623</w:t>
            </w:r>
          </w:p>
        </w:tc>
        <w:tc>
          <w:tcPr>
            <w:tcW w:w="1134" w:type="dxa"/>
            <w:tcBorders>
              <w:top w:val="single" w:sz="4" w:space="0" w:color="auto"/>
            </w:tcBorders>
            <w:shd w:val="clear" w:color="auto" w:fill="auto"/>
            <w:noWrap/>
            <w:vAlign w:val="center"/>
          </w:tcPr>
          <w:p w14:paraId="3AD09AED"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hint="cs"/>
                <w:b/>
                <w:bCs/>
                <w:rtl/>
              </w:rPr>
              <w:t>6:55</w:t>
            </w:r>
          </w:p>
        </w:tc>
        <w:tc>
          <w:tcPr>
            <w:tcW w:w="993" w:type="dxa"/>
            <w:tcBorders>
              <w:top w:val="single" w:sz="4" w:space="0" w:color="auto"/>
            </w:tcBorders>
            <w:shd w:val="clear" w:color="auto" w:fill="auto"/>
            <w:vAlign w:val="center"/>
          </w:tcPr>
          <w:p w14:paraId="6FD438B5" w14:textId="77777777" w:rsidR="00DB5BCC" w:rsidRPr="0052793E" w:rsidRDefault="00DB5BCC" w:rsidP="00DB5BCC">
            <w:pPr>
              <w:bidi w:val="0"/>
              <w:spacing w:after="0" w:line="240" w:lineRule="auto"/>
              <w:jc w:val="center"/>
              <w:rPr>
                <w:rFonts w:ascii="David" w:eastAsia="Times New Roman" w:hAnsi="David" w:cs="David"/>
              </w:rPr>
            </w:pPr>
            <w:r w:rsidRPr="0052793E">
              <w:rPr>
                <w:rFonts w:ascii="David" w:eastAsia="Times New Roman" w:hAnsi="David" w:cs="David"/>
              </w:rPr>
              <w:t>4:57</w:t>
            </w:r>
          </w:p>
        </w:tc>
        <w:tc>
          <w:tcPr>
            <w:tcW w:w="1134" w:type="dxa"/>
            <w:tcBorders>
              <w:top w:val="single" w:sz="4" w:space="0" w:color="auto"/>
            </w:tcBorders>
            <w:shd w:val="clear" w:color="auto" w:fill="auto"/>
            <w:vAlign w:val="center"/>
          </w:tcPr>
          <w:p w14:paraId="3B9063F3" w14:textId="77777777" w:rsidR="00DB5BCC" w:rsidRPr="0052793E" w:rsidRDefault="00DB5BCC" w:rsidP="00DB5BCC">
            <w:pPr>
              <w:bidi w:val="0"/>
              <w:spacing w:after="0" w:line="240" w:lineRule="auto"/>
              <w:jc w:val="center"/>
              <w:rPr>
                <w:rFonts w:ascii="David" w:eastAsia="Times New Roman" w:hAnsi="David" w:cs="David"/>
              </w:rPr>
            </w:pPr>
            <w:r w:rsidRPr="0052793E">
              <w:rPr>
                <w:rFonts w:ascii="David" w:eastAsia="Times New Roman" w:hAnsi="David" w:cs="David"/>
              </w:rPr>
              <w:t>1</w:t>
            </w:r>
          </w:p>
        </w:tc>
        <w:tc>
          <w:tcPr>
            <w:tcW w:w="1558" w:type="dxa"/>
            <w:tcBorders>
              <w:top w:val="single" w:sz="4" w:space="0" w:color="auto"/>
            </w:tcBorders>
            <w:shd w:val="clear" w:color="auto" w:fill="auto"/>
            <w:vAlign w:val="center"/>
          </w:tcPr>
          <w:p w14:paraId="2D574635"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6:55</w:t>
            </w:r>
          </w:p>
        </w:tc>
      </w:tr>
      <w:tr w:rsidR="00DB5BCC" w:rsidRPr="0052793E" w14:paraId="7807790C" w14:textId="77777777" w:rsidTr="00DB5BCC">
        <w:trPr>
          <w:trHeight w:val="289"/>
        </w:trPr>
        <w:tc>
          <w:tcPr>
            <w:tcW w:w="851" w:type="dxa"/>
            <w:shd w:val="clear" w:color="auto" w:fill="auto"/>
            <w:noWrap/>
            <w:vAlign w:val="center"/>
          </w:tcPr>
          <w:p w14:paraId="480E553F"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נוער</w:t>
            </w:r>
          </w:p>
        </w:tc>
        <w:tc>
          <w:tcPr>
            <w:tcW w:w="993" w:type="dxa"/>
            <w:shd w:val="clear" w:color="auto" w:fill="auto"/>
            <w:noWrap/>
            <w:vAlign w:val="center"/>
          </w:tcPr>
          <w:p w14:paraId="68E93131" w14:textId="77777777" w:rsidR="00DB5BCC" w:rsidRPr="0052793E" w:rsidRDefault="00DB5BCC" w:rsidP="00DB5BCC">
            <w:pPr>
              <w:spacing w:after="0" w:line="240" w:lineRule="auto"/>
              <w:rPr>
                <w:rFonts w:ascii="David" w:eastAsia="Times New Roman" w:hAnsi="David" w:cs="David"/>
                <w:rtl/>
              </w:rPr>
            </w:pPr>
          </w:p>
        </w:tc>
        <w:tc>
          <w:tcPr>
            <w:tcW w:w="2267" w:type="dxa"/>
            <w:shd w:val="clear" w:color="auto" w:fill="auto"/>
            <w:vAlign w:val="center"/>
          </w:tcPr>
          <w:p w14:paraId="551126CD"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תיק פלילי (ת"פ)</w:t>
            </w:r>
          </w:p>
        </w:tc>
        <w:tc>
          <w:tcPr>
            <w:tcW w:w="992" w:type="dxa"/>
            <w:shd w:val="clear" w:color="auto" w:fill="auto"/>
            <w:vAlign w:val="center"/>
          </w:tcPr>
          <w:p w14:paraId="0E0A65EF"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3,558</w:t>
            </w:r>
          </w:p>
        </w:tc>
        <w:tc>
          <w:tcPr>
            <w:tcW w:w="1134" w:type="dxa"/>
            <w:shd w:val="clear" w:color="auto" w:fill="auto"/>
            <w:noWrap/>
            <w:vAlign w:val="center"/>
          </w:tcPr>
          <w:p w14:paraId="3FF54509" w14:textId="77777777" w:rsidR="00DB5BCC" w:rsidRPr="0052793E" w:rsidRDefault="00DB5BCC" w:rsidP="00DB5BCC">
            <w:pPr>
              <w:bidi w:val="0"/>
              <w:spacing w:after="0" w:line="240" w:lineRule="auto"/>
              <w:jc w:val="center"/>
              <w:rPr>
                <w:rFonts w:ascii="David" w:eastAsia="Times New Roman" w:hAnsi="David" w:cs="David"/>
                <w:b/>
                <w:bCs/>
                <w:rtl/>
              </w:rPr>
            </w:pPr>
            <w:r w:rsidRPr="0052793E">
              <w:rPr>
                <w:rFonts w:ascii="David" w:eastAsia="Times New Roman" w:hAnsi="David" w:cs="David"/>
                <w:b/>
                <w:bCs/>
              </w:rPr>
              <w:t>6:40</w:t>
            </w:r>
          </w:p>
        </w:tc>
        <w:tc>
          <w:tcPr>
            <w:tcW w:w="993" w:type="dxa"/>
            <w:shd w:val="clear" w:color="auto" w:fill="auto"/>
            <w:vAlign w:val="center"/>
          </w:tcPr>
          <w:p w14:paraId="3F66417D"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4:01</w:t>
            </w:r>
          </w:p>
        </w:tc>
        <w:tc>
          <w:tcPr>
            <w:tcW w:w="1134" w:type="dxa"/>
            <w:shd w:val="clear" w:color="auto" w:fill="auto"/>
            <w:vAlign w:val="center"/>
          </w:tcPr>
          <w:p w14:paraId="50EB1C5F"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1.7</w:t>
            </w:r>
          </w:p>
        </w:tc>
        <w:tc>
          <w:tcPr>
            <w:tcW w:w="1558" w:type="dxa"/>
            <w:shd w:val="clear" w:color="auto" w:fill="auto"/>
            <w:vAlign w:val="center"/>
          </w:tcPr>
          <w:p w14:paraId="66AC38AF"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3:55</w:t>
            </w:r>
          </w:p>
        </w:tc>
      </w:tr>
      <w:tr w:rsidR="00DB5BCC" w:rsidRPr="0052793E" w14:paraId="0227AD32" w14:textId="77777777" w:rsidTr="00DB5BCC">
        <w:trPr>
          <w:trHeight w:val="421"/>
        </w:trPr>
        <w:tc>
          <w:tcPr>
            <w:tcW w:w="851" w:type="dxa"/>
            <w:tcBorders>
              <w:top w:val="single" w:sz="4" w:space="0" w:color="auto"/>
              <w:bottom w:val="single" w:sz="4" w:space="0" w:color="auto"/>
            </w:tcBorders>
            <w:shd w:val="clear" w:color="auto" w:fill="auto"/>
            <w:noWrap/>
            <w:vAlign w:val="center"/>
          </w:tcPr>
          <w:p w14:paraId="71AAE6BD" w14:textId="7278EBD6" w:rsidR="00DB5BCC" w:rsidRPr="0052793E" w:rsidRDefault="00DB5BCC" w:rsidP="00DB5BCC">
            <w:pPr>
              <w:spacing w:after="0" w:line="240" w:lineRule="auto"/>
              <w:rPr>
                <w:rFonts w:ascii="David" w:eastAsia="Times New Roman" w:hAnsi="David" w:cs="David"/>
                <w:rtl/>
              </w:rPr>
            </w:pPr>
            <w:r w:rsidRPr="0052793E">
              <w:rPr>
                <w:rFonts w:ascii="Arial" w:eastAsia="Times New Roman" w:hAnsi="Arial" w:cs="David" w:hint="cs"/>
                <w:b/>
                <w:bCs/>
                <w:rtl/>
              </w:rPr>
              <w:lastRenderedPageBreak/>
              <w:t>ערכאה</w:t>
            </w:r>
          </w:p>
        </w:tc>
        <w:tc>
          <w:tcPr>
            <w:tcW w:w="993" w:type="dxa"/>
            <w:tcBorders>
              <w:top w:val="single" w:sz="4" w:space="0" w:color="auto"/>
              <w:bottom w:val="single" w:sz="4" w:space="0" w:color="auto"/>
            </w:tcBorders>
            <w:shd w:val="clear" w:color="auto" w:fill="auto"/>
            <w:noWrap/>
            <w:vAlign w:val="center"/>
          </w:tcPr>
          <w:p w14:paraId="4462CBF5" w14:textId="23FC5FF0" w:rsidR="00DB5BCC" w:rsidRPr="0052793E" w:rsidRDefault="00DB5BCC" w:rsidP="00DB5BCC">
            <w:pPr>
              <w:spacing w:after="0" w:line="240" w:lineRule="auto"/>
              <w:rPr>
                <w:rFonts w:ascii="David" w:eastAsia="Times New Roman" w:hAnsi="David" w:cs="David"/>
                <w:rtl/>
              </w:rPr>
            </w:pPr>
            <w:r w:rsidRPr="0052793E">
              <w:rPr>
                <w:rFonts w:ascii="Arial" w:eastAsia="Times New Roman" w:hAnsi="Arial" w:cs="David" w:hint="cs"/>
                <w:b/>
                <w:bCs/>
                <w:rtl/>
              </w:rPr>
              <w:t>הליך</w:t>
            </w:r>
          </w:p>
        </w:tc>
        <w:tc>
          <w:tcPr>
            <w:tcW w:w="2267" w:type="dxa"/>
            <w:tcBorders>
              <w:top w:val="single" w:sz="4" w:space="0" w:color="auto"/>
              <w:bottom w:val="single" w:sz="4" w:space="0" w:color="auto"/>
            </w:tcBorders>
            <w:shd w:val="clear" w:color="auto" w:fill="auto"/>
            <w:vAlign w:val="center"/>
          </w:tcPr>
          <w:p w14:paraId="1D37540B" w14:textId="23F942F2" w:rsidR="00DB5BCC" w:rsidRPr="0052793E" w:rsidRDefault="00DB5BCC" w:rsidP="00DB5BCC">
            <w:pPr>
              <w:spacing w:after="0" w:line="240" w:lineRule="auto"/>
              <w:rPr>
                <w:rFonts w:ascii="David" w:eastAsia="Times New Roman" w:hAnsi="David" w:cs="David"/>
                <w:rtl/>
              </w:rPr>
            </w:pPr>
            <w:r w:rsidRPr="0052793E">
              <w:rPr>
                <w:rFonts w:ascii="Arial" w:eastAsia="Times New Roman" w:hAnsi="Arial" w:cs="David" w:hint="cs"/>
                <w:b/>
                <w:bCs/>
                <w:rtl/>
              </w:rPr>
              <w:t>סוג תיק</w:t>
            </w:r>
          </w:p>
        </w:tc>
        <w:tc>
          <w:tcPr>
            <w:tcW w:w="992" w:type="dxa"/>
            <w:tcBorders>
              <w:top w:val="single" w:sz="4" w:space="0" w:color="auto"/>
              <w:bottom w:val="single" w:sz="4" w:space="0" w:color="auto"/>
            </w:tcBorders>
            <w:shd w:val="clear" w:color="auto" w:fill="auto"/>
            <w:vAlign w:val="center"/>
          </w:tcPr>
          <w:p w14:paraId="6E9FDBE5" w14:textId="2C89FFB4" w:rsidR="00DB5BCC" w:rsidRPr="0052793E" w:rsidRDefault="00DB5BCC" w:rsidP="00DB5BCC">
            <w:pPr>
              <w:spacing w:after="0" w:line="240" w:lineRule="auto"/>
              <w:jc w:val="center"/>
              <w:rPr>
                <w:rFonts w:ascii="David" w:eastAsia="Times New Roman" w:hAnsi="David" w:cs="David"/>
                <w:rtl/>
              </w:rPr>
            </w:pPr>
            <w:r w:rsidRPr="0052793E">
              <w:rPr>
                <w:rFonts w:ascii="Arial" w:eastAsia="Times New Roman" w:hAnsi="Arial" w:cs="David" w:hint="cs"/>
                <w:b/>
                <w:bCs/>
                <w:rtl/>
              </w:rPr>
              <w:t>מספר תיקים שנסגרו ב-2019</w:t>
            </w:r>
          </w:p>
        </w:tc>
        <w:tc>
          <w:tcPr>
            <w:tcW w:w="1134" w:type="dxa"/>
            <w:tcBorders>
              <w:top w:val="single" w:sz="4" w:space="0" w:color="auto"/>
              <w:bottom w:val="single" w:sz="4" w:space="0" w:color="auto"/>
            </w:tcBorders>
            <w:shd w:val="clear" w:color="auto" w:fill="auto"/>
            <w:noWrap/>
            <w:vAlign w:val="center"/>
          </w:tcPr>
          <w:p w14:paraId="05C3DF59" w14:textId="4523624C" w:rsidR="00DB5BCC" w:rsidRPr="0052793E" w:rsidRDefault="00DB5BCC" w:rsidP="00DB5BCC">
            <w:pPr>
              <w:spacing w:after="0" w:line="240" w:lineRule="auto"/>
              <w:jc w:val="center"/>
              <w:rPr>
                <w:rFonts w:ascii="David" w:eastAsia="Times New Roman" w:hAnsi="David" w:cs="David"/>
                <w:b/>
                <w:bCs/>
                <w:rtl/>
              </w:rPr>
            </w:pPr>
            <w:r w:rsidRPr="0052793E">
              <w:rPr>
                <w:rFonts w:ascii="Arial" w:eastAsia="Times New Roman" w:hAnsi="Arial" w:cs="David" w:hint="cs"/>
                <w:b/>
                <w:bCs/>
                <w:rtl/>
              </w:rPr>
              <w:t>הזמן השיפוטי הממוצע לטיפול בתיק</w:t>
            </w:r>
          </w:p>
        </w:tc>
        <w:tc>
          <w:tcPr>
            <w:tcW w:w="993" w:type="dxa"/>
            <w:tcBorders>
              <w:top w:val="single" w:sz="4" w:space="0" w:color="auto"/>
              <w:bottom w:val="single" w:sz="4" w:space="0" w:color="auto"/>
            </w:tcBorders>
            <w:shd w:val="clear" w:color="auto" w:fill="auto"/>
            <w:vAlign w:val="center"/>
          </w:tcPr>
          <w:p w14:paraId="465C1640" w14:textId="797EE981" w:rsidR="00DB5BCC" w:rsidRPr="0052793E" w:rsidRDefault="00DB5BCC" w:rsidP="00DB5BCC">
            <w:pPr>
              <w:spacing w:after="0" w:line="240" w:lineRule="auto"/>
              <w:jc w:val="center"/>
              <w:rPr>
                <w:rFonts w:ascii="David" w:eastAsia="Times New Roman" w:hAnsi="David" w:cs="David"/>
              </w:rPr>
            </w:pPr>
            <w:r w:rsidRPr="0052793E">
              <w:rPr>
                <w:rFonts w:ascii="Arial" w:eastAsia="Times New Roman" w:hAnsi="Arial" w:cs="David" w:hint="cs"/>
                <w:b/>
                <w:bCs/>
                <w:rtl/>
              </w:rPr>
              <w:t>הזמן השיפוטי הממוצע לפי המחקר הקודם</w:t>
            </w:r>
          </w:p>
        </w:tc>
        <w:tc>
          <w:tcPr>
            <w:tcW w:w="1134" w:type="dxa"/>
            <w:tcBorders>
              <w:top w:val="single" w:sz="4" w:space="0" w:color="auto"/>
              <w:bottom w:val="single" w:sz="4" w:space="0" w:color="auto"/>
            </w:tcBorders>
            <w:shd w:val="clear" w:color="auto" w:fill="auto"/>
            <w:vAlign w:val="center"/>
          </w:tcPr>
          <w:p w14:paraId="55CE6293" w14:textId="14D0E949" w:rsidR="00DB5BCC" w:rsidRPr="0052793E" w:rsidRDefault="00DB5BCC" w:rsidP="00DB5BCC">
            <w:pPr>
              <w:spacing w:after="0" w:line="240" w:lineRule="auto"/>
              <w:jc w:val="center"/>
              <w:rPr>
                <w:rFonts w:ascii="David" w:eastAsia="Times New Roman" w:hAnsi="David" w:cs="David"/>
                <w:rtl/>
              </w:rPr>
            </w:pPr>
            <w:r w:rsidRPr="0052793E">
              <w:rPr>
                <w:rFonts w:ascii="Arial" w:eastAsia="Times New Roman" w:hAnsi="Arial" w:cs="David" w:hint="cs"/>
                <w:b/>
                <w:bCs/>
                <w:rtl/>
              </w:rPr>
              <w:t>כמות התיקים הממוצעת שפסק דין סוגר</w:t>
            </w:r>
          </w:p>
        </w:tc>
        <w:tc>
          <w:tcPr>
            <w:tcW w:w="1558" w:type="dxa"/>
            <w:tcBorders>
              <w:top w:val="single" w:sz="4" w:space="0" w:color="auto"/>
              <w:bottom w:val="single" w:sz="4" w:space="0" w:color="auto"/>
            </w:tcBorders>
            <w:shd w:val="clear" w:color="auto" w:fill="auto"/>
            <w:vAlign w:val="center"/>
          </w:tcPr>
          <w:p w14:paraId="69A88C9F" w14:textId="2D924CE5" w:rsidR="00DB5BCC" w:rsidRPr="0052793E" w:rsidRDefault="00DB5BCC" w:rsidP="00DB5BCC">
            <w:pPr>
              <w:spacing w:after="0" w:line="240" w:lineRule="auto"/>
              <w:jc w:val="center"/>
              <w:rPr>
                <w:rFonts w:ascii="David" w:eastAsia="Times New Roman" w:hAnsi="David" w:cs="David"/>
                <w:rtl/>
              </w:rPr>
            </w:pPr>
            <w:r w:rsidRPr="0052793E">
              <w:rPr>
                <w:rFonts w:ascii="Arial" w:eastAsia="Times New Roman" w:hAnsi="Arial" w:cs="David" w:hint="cs"/>
                <w:b/>
                <w:bCs/>
                <w:rtl/>
              </w:rPr>
              <w:t>הזמן השיפוטי הממוצע לטיפול בתיק חלקי כמות התיקים שפסק הדין סוגר</w:t>
            </w:r>
          </w:p>
        </w:tc>
      </w:tr>
      <w:tr w:rsidR="00DB5BCC" w:rsidRPr="0052793E" w14:paraId="76D615F5" w14:textId="77777777" w:rsidTr="00DB5BCC">
        <w:trPr>
          <w:trHeight w:val="421"/>
        </w:trPr>
        <w:tc>
          <w:tcPr>
            <w:tcW w:w="851" w:type="dxa"/>
            <w:tcBorders>
              <w:top w:val="single" w:sz="4" w:space="0" w:color="auto"/>
              <w:bottom w:val="single" w:sz="4" w:space="0" w:color="auto"/>
            </w:tcBorders>
            <w:shd w:val="clear" w:color="auto" w:fill="auto"/>
            <w:noWrap/>
            <w:vAlign w:val="center"/>
          </w:tcPr>
          <w:p w14:paraId="51BBBBA4"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מחוזי</w:t>
            </w:r>
          </w:p>
        </w:tc>
        <w:tc>
          <w:tcPr>
            <w:tcW w:w="993" w:type="dxa"/>
            <w:tcBorders>
              <w:top w:val="single" w:sz="4" w:space="0" w:color="auto"/>
              <w:bottom w:val="single" w:sz="4" w:space="0" w:color="auto"/>
            </w:tcBorders>
            <w:shd w:val="clear" w:color="auto" w:fill="auto"/>
            <w:noWrap/>
            <w:vAlign w:val="center"/>
          </w:tcPr>
          <w:p w14:paraId="2A1A6D34"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ערעור פלילי</w:t>
            </w:r>
          </w:p>
        </w:tc>
        <w:tc>
          <w:tcPr>
            <w:tcW w:w="2267" w:type="dxa"/>
            <w:tcBorders>
              <w:top w:val="single" w:sz="4" w:space="0" w:color="auto"/>
              <w:bottom w:val="single" w:sz="4" w:space="0" w:color="auto"/>
            </w:tcBorders>
            <w:shd w:val="clear" w:color="auto" w:fill="auto"/>
            <w:vAlign w:val="center"/>
          </w:tcPr>
          <w:p w14:paraId="52DC2993"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ערעור פלילי אחר (עפ"א)</w:t>
            </w:r>
          </w:p>
        </w:tc>
        <w:tc>
          <w:tcPr>
            <w:tcW w:w="992" w:type="dxa"/>
            <w:tcBorders>
              <w:top w:val="single" w:sz="4" w:space="0" w:color="auto"/>
              <w:bottom w:val="single" w:sz="4" w:space="0" w:color="auto"/>
            </w:tcBorders>
            <w:shd w:val="clear" w:color="auto" w:fill="auto"/>
            <w:vAlign w:val="center"/>
          </w:tcPr>
          <w:p w14:paraId="6333C364"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212</w:t>
            </w:r>
          </w:p>
        </w:tc>
        <w:tc>
          <w:tcPr>
            <w:tcW w:w="1134" w:type="dxa"/>
            <w:tcBorders>
              <w:top w:val="single" w:sz="4" w:space="0" w:color="auto"/>
              <w:bottom w:val="single" w:sz="4" w:space="0" w:color="auto"/>
            </w:tcBorders>
            <w:shd w:val="clear" w:color="auto" w:fill="auto"/>
            <w:noWrap/>
            <w:vAlign w:val="center"/>
          </w:tcPr>
          <w:p w14:paraId="53DBCF1C"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hint="cs"/>
                <w:b/>
                <w:bCs/>
                <w:rtl/>
              </w:rPr>
              <w:t>6:37</w:t>
            </w:r>
          </w:p>
        </w:tc>
        <w:tc>
          <w:tcPr>
            <w:tcW w:w="993" w:type="dxa"/>
            <w:tcBorders>
              <w:top w:val="single" w:sz="4" w:space="0" w:color="auto"/>
              <w:bottom w:val="single" w:sz="4" w:space="0" w:color="auto"/>
            </w:tcBorders>
            <w:shd w:val="clear" w:color="auto" w:fill="auto"/>
            <w:vAlign w:val="center"/>
          </w:tcPr>
          <w:p w14:paraId="32A541B6"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w:t>
            </w:r>
          </w:p>
        </w:tc>
        <w:tc>
          <w:tcPr>
            <w:tcW w:w="1134" w:type="dxa"/>
            <w:tcBorders>
              <w:top w:val="single" w:sz="4" w:space="0" w:color="auto"/>
              <w:bottom w:val="single" w:sz="4" w:space="0" w:color="auto"/>
            </w:tcBorders>
            <w:shd w:val="clear" w:color="auto" w:fill="auto"/>
            <w:vAlign w:val="center"/>
          </w:tcPr>
          <w:p w14:paraId="08D6A31C"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tcBorders>
              <w:top w:val="single" w:sz="4" w:space="0" w:color="auto"/>
              <w:bottom w:val="single" w:sz="4" w:space="0" w:color="auto"/>
            </w:tcBorders>
            <w:shd w:val="clear" w:color="auto" w:fill="auto"/>
            <w:vAlign w:val="center"/>
          </w:tcPr>
          <w:p w14:paraId="2D3C214B"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6:37</w:t>
            </w:r>
          </w:p>
        </w:tc>
      </w:tr>
      <w:tr w:rsidR="00DB5BCC" w:rsidRPr="0052793E" w14:paraId="6F8BD839" w14:textId="77777777" w:rsidTr="00DB5BCC">
        <w:trPr>
          <w:trHeight w:val="566"/>
        </w:trPr>
        <w:tc>
          <w:tcPr>
            <w:tcW w:w="851" w:type="dxa"/>
            <w:shd w:val="clear" w:color="auto" w:fill="auto"/>
            <w:noWrap/>
            <w:vAlign w:val="center"/>
          </w:tcPr>
          <w:p w14:paraId="0E153E6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6008E77D"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ועדת ערר</w:t>
            </w:r>
          </w:p>
        </w:tc>
        <w:tc>
          <w:tcPr>
            <w:tcW w:w="2267" w:type="dxa"/>
            <w:shd w:val="clear" w:color="auto" w:fill="auto"/>
            <w:vAlign w:val="center"/>
          </w:tcPr>
          <w:p w14:paraId="50A584F8"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ערעור לפי חוק הנכים (ע"נ)</w:t>
            </w:r>
          </w:p>
        </w:tc>
        <w:tc>
          <w:tcPr>
            <w:tcW w:w="992" w:type="dxa"/>
            <w:shd w:val="clear" w:color="auto" w:fill="auto"/>
            <w:vAlign w:val="center"/>
          </w:tcPr>
          <w:p w14:paraId="78EB00C5"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1,261</w:t>
            </w:r>
          </w:p>
        </w:tc>
        <w:tc>
          <w:tcPr>
            <w:tcW w:w="1134" w:type="dxa"/>
            <w:shd w:val="clear" w:color="auto" w:fill="auto"/>
            <w:noWrap/>
            <w:vAlign w:val="center"/>
          </w:tcPr>
          <w:p w14:paraId="6A898E3C"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hint="cs"/>
                <w:b/>
                <w:bCs/>
                <w:rtl/>
              </w:rPr>
              <w:t>6:27</w:t>
            </w:r>
          </w:p>
        </w:tc>
        <w:tc>
          <w:tcPr>
            <w:tcW w:w="993" w:type="dxa"/>
            <w:shd w:val="clear" w:color="auto" w:fill="auto"/>
            <w:vAlign w:val="center"/>
          </w:tcPr>
          <w:p w14:paraId="3A2279A0"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3:24</w:t>
            </w:r>
          </w:p>
        </w:tc>
        <w:tc>
          <w:tcPr>
            <w:tcW w:w="1134" w:type="dxa"/>
            <w:shd w:val="clear" w:color="auto" w:fill="auto"/>
            <w:vAlign w:val="center"/>
          </w:tcPr>
          <w:p w14:paraId="57A0C332"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1.11</w:t>
            </w:r>
          </w:p>
        </w:tc>
        <w:tc>
          <w:tcPr>
            <w:tcW w:w="1558" w:type="dxa"/>
            <w:shd w:val="clear" w:color="auto" w:fill="auto"/>
            <w:vAlign w:val="center"/>
          </w:tcPr>
          <w:p w14:paraId="4D6D275C"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5:48</w:t>
            </w:r>
          </w:p>
        </w:tc>
      </w:tr>
      <w:tr w:rsidR="00DB5BCC" w:rsidRPr="0052793E" w14:paraId="4CACB7FA" w14:textId="77777777" w:rsidTr="00DB5BCC">
        <w:trPr>
          <w:trHeight w:val="566"/>
        </w:trPr>
        <w:tc>
          <w:tcPr>
            <w:tcW w:w="851" w:type="dxa"/>
            <w:tcBorders>
              <w:top w:val="single" w:sz="4" w:space="0" w:color="auto"/>
              <w:bottom w:val="single" w:sz="4" w:space="0" w:color="auto"/>
            </w:tcBorders>
            <w:shd w:val="clear" w:color="auto" w:fill="auto"/>
            <w:noWrap/>
            <w:vAlign w:val="center"/>
          </w:tcPr>
          <w:p w14:paraId="62F300C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משפחה</w:t>
            </w:r>
          </w:p>
        </w:tc>
        <w:tc>
          <w:tcPr>
            <w:tcW w:w="993" w:type="dxa"/>
            <w:tcBorders>
              <w:top w:val="single" w:sz="4" w:space="0" w:color="auto"/>
              <w:bottom w:val="single" w:sz="4" w:space="0" w:color="auto"/>
            </w:tcBorders>
            <w:shd w:val="clear" w:color="auto" w:fill="auto"/>
            <w:noWrap/>
            <w:vAlign w:val="center"/>
          </w:tcPr>
          <w:p w14:paraId="1F72FA04" w14:textId="77777777" w:rsidR="00DB5BCC" w:rsidRPr="0052793E" w:rsidRDefault="00DB5BCC" w:rsidP="00DB5BCC">
            <w:pPr>
              <w:spacing w:after="0" w:line="240" w:lineRule="auto"/>
              <w:rPr>
                <w:rFonts w:ascii="David" w:eastAsia="Times New Roman" w:hAnsi="David" w:cs="David"/>
                <w:rtl/>
              </w:rPr>
            </w:pPr>
          </w:p>
        </w:tc>
        <w:tc>
          <w:tcPr>
            <w:tcW w:w="2267" w:type="dxa"/>
            <w:tcBorders>
              <w:top w:val="single" w:sz="4" w:space="0" w:color="auto"/>
              <w:bottom w:val="single" w:sz="4" w:space="0" w:color="auto"/>
            </w:tcBorders>
            <w:shd w:val="clear" w:color="auto" w:fill="auto"/>
            <w:vAlign w:val="center"/>
          </w:tcPr>
          <w:p w14:paraId="18EE25C0"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תיק אימוץ (אמ"ץ)</w:t>
            </w:r>
          </w:p>
        </w:tc>
        <w:tc>
          <w:tcPr>
            <w:tcW w:w="992" w:type="dxa"/>
            <w:tcBorders>
              <w:top w:val="single" w:sz="4" w:space="0" w:color="auto"/>
              <w:bottom w:val="single" w:sz="4" w:space="0" w:color="auto"/>
            </w:tcBorders>
            <w:shd w:val="clear" w:color="auto" w:fill="auto"/>
            <w:vAlign w:val="center"/>
          </w:tcPr>
          <w:p w14:paraId="032AF65E"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486</w:t>
            </w:r>
          </w:p>
        </w:tc>
        <w:tc>
          <w:tcPr>
            <w:tcW w:w="1134" w:type="dxa"/>
            <w:tcBorders>
              <w:top w:val="single" w:sz="4" w:space="0" w:color="auto"/>
              <w:bottom w:val="single" w:sz="4" w:space="0" w:color="auto"/>
            </w:tcBorders>
            <w:shd w:val="clear" w:color="auto" w:fill="auto"/>
            <w:noWrap/>
            <w:vAlign w:val="center"/>
          </w:tcPr>
          <w:p w14:paraId="223A2FCB"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hint="cs"/>
                <w:b/>
                <w:bCs/>
                <w:rtl/>
              </w:rPr>
              <w:t>6:25</w:t>
            </w:r>
          </w:p>
        </w:tc>
        <w:tc>
          <w:tcPr>
            <w:tcW w:w="993" w:type="dxa"/>
            <w:tcBorders>
              <w:top w:val="single" w:sz="4" w:space="0" w:color="auto"/>
              <w:bottom w:val="single" w:sz="4" w:space="0" w:color="auto"/>
            </w:tcBorders>
            <w:shd w:val="clear" w:color="auto" w:fill="auto"/>
            <w:vAlign w:val="center"/>
          </w:tcPr>
          <w:p w14:paraId="2D4848B4" w14:textId="77777777" w:rsidR="00DB5BCC" w:rsidRPr="0052793E" w:rsidRDefault="00DB5BCC" w:rsidP="00DB5BCC">
            <w:pPr>
              <w:bidi w:val="0"/>
              <w:spacing w:after="0" w:line="240" w:lineRule="auto"/>
              <w:jc w:val="center"/>
              <w:rPr>
                <w:rFonts w:ascii="David" w:eastAsia="Times New Roman" w:hAnsi="David" w:cs="David"/>
              </w:rPr>
            </w:pPr>
            <w:r w:rsidRPr="0052793E">
              <w:rPr>
                <w:rFonts w:ascii="David" w:eastAsia="Times New Roman" w:hAnsi="David" w:cs="David"/>
              </w:rPr>
              <w:t>2:51</w:t>
            </w:r>
          </w:p>
        </w:tc>
        <w:tc>
          <w:tcPr>
            <w:tcW w:w="1134" w:type="dxa"/>
            <w:tcBorders>
              <w:top w:val="single" w:sz="4" w:space="0" w:color="auto"/>
              <w:bottom w:val="single" w:sz="4" w:space="0" w:color="auto"/>
            </w:tcBorders>
            <w:shd w:val="clear" w:color="auto" w:fill="auto"/>
            <w:vAlign w:val="center"/>
          </w:tcPr>
          <w:p w14:paraId="4919F695" w14:textId="77777777" w:rsidR="00DB5BCC" w:rsidRPr="0052793E" w:rsidRDefault="00DB5BCC" w:rsidP="00DB5BCC">
            <w:pPr>
              <w:bidi w:val="0"/>
              <w:spacing w:after="0" w:line="240" w:lineRule="auto"/>
              <w:jc w:val="center"/>
              <w:rPr>
                <w:rFonts w:ascii="David" w:eastAsia="Times New Roman" w:hAnsi="David" w:cs="David"/>
              </w:rPr>
            </w:pPr>
            <w:r w:rsidRPr="0052793E">
              <w:rPr>
                <w:rFonts w:ascii="David" w:eastAsia="Times New Roman" w:hAnsi="David" w:cs="David"/>
                <w:rtl/>
              </w:rPr>
              <w:t>1</w:t>
            </w:r>
          </w:p>
        </w:tc>
        <w:tc>
          <w:tcPr>
            <w:tcW w:w="1558" w:type="dxa"/>
            <w:tcBorders>
              <w:top w:val="single" w:sz="4" w:space="0" w:color="auto"/>
              <w:bottom w:val="single" w:sz="4" w:space="0" w:color="auto"/>
            </w:tcBorders>
            <w:shd w:val="clear" w:color="auto" w:fill="auto"/>
            <w:vAlign w:val="center"/>
          </w:tcPr>
          <w:p w14:paraId="0415A021"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6:25</w:t>
            </w:r>
          </w:p>
        </w:tc>
      </w:tr>
      <w:tr w:rsidR="00DB5BCC" w:rsidRPr="0052793E" w14:paraId="118AA249" w14:textId="77777777" w:rsidTr="00DB5BCC">
        <w:trPr>
          <w:trHeight w:val="630"/>
        </w:trPr>
        <w:tc>
          <w:tcPr>
            <w:tcW w:w="851" w:type="dxa"/>
            <w:tcBorders>
              <w:top w:val="single" w:sz="4" w:space="0" w:color="auto"/>
            </w:tcBorders>
            <w:shd w:val="clear" w:color="auto" w:fill="auto"/>
            <w:noWrap/>
            <w:vAlign w:val="center"/>
          </w:tcPr>
          <w:p w14:paraId="191ACF2F"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מחוזי</w:t>
            </w:r>
          </w:p>
        </w:tc>
        <w:tc>
          <w:tcPr>
            <w:tcW w:w="993" w:type="dxa"/>
            <w:tcBorders>
              <w:top w:val="single" w:sz="4" w:space="0" w:color="auto"/>
            </w:tcBorders>
            <w:shd w:val="clear" w:color="auto" w:fill="auto"/>
            <w:noWrap/>
            <w:vAlign w:val="center"/>
          </w:tcPr>
          <w:p w14:paraId="348AFDFD"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עניינים מנהליים</w:t>
            </w:r>
          </w:p>
        </w:tc>
        <w:tc>
          <w:tcPr>
            <w:tcW w:w="2267" w:type="dxa"/>
            <w:tcBorders>
              <w:top w:val="single" w:sz="4" w:space="0" w:color="auto"/>
            </w:tcBorders>
            <w:shd w:val="clear" w:color="auto" w:fill="auto"/>
            <w:vAlign w:val="center"/>
          </w:tcPr>
          <w:p w14:paraId="533EAA6D"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עתירות אסירים (עת"א) - הרכב</w:t>
            </w:r>
          </w:p>
        </w:tc>
        <w:tc>
          <w:tcPr>
            <w:tcW w:w="992" w:type="dxa"/>
            <w:tcBorders>
              <w:top w:val="single" w:sz="4" w:space="0" w:color="auto"/>
            </w:tcBorders>
            <w:shd w:val="clear" w:color="auto" w:fill="auto"/>
            <w:vAlign w:val="center"/>
          </w:tcPr>
          <w:p w14:paraId="261CF76F"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409</w:t>
            </w:r>
          </w:p>
        </w:tc>
        <w:tc>
          <w:tcPr>
            <w:tcW w:w="1134" w:type="dxa"/>
            <w:tcBorders>
              <w:top w:val="single" w:sz="4" w:space="0" w:color="auto"/>
            </w:tcBorders>
            <w:shd w:val="clear" w:color="auto" w:fill="auto"/>
            <w:noWrap/>
            <w:vAlign w:val="center"/>
          </w:tcPr>
          <w:p w14:paraId="404D1D03" w14:textId="77777777" w:rsidR="00DB5BCC" w:rsidRPr="0052793E" w:rsidRDefault="00DB5BCC" w:rsidP="00DB5BCC">
            <w:pPr>
              <w:bidi w:val="0"/>
              <w:spacing w:after="0" w:line="240" w:lineRule="auto"/>
              <w:jc w:val="center"/>
              <w:rPr>
                <w:rFonts w:ascii="David" w:eastAsia="Times New Roman" w:hAnsi="David" w:cs="David"/>
                <w:b/>
                <w:bCs/>
                <w:rtl/>
              </w:rPr>
            </w:pPr>
            <w:r w:rsidRPr="0052793E">
              <w:rPr>
                <w:rFonts w:ascii="David" w:eastAsia="Times New Roman" w:hAnsi="David" w:cs="David"/>
                <w:b/>
                <w:bCs/>
              </w:rPr>
              <w:t>6:16</w:t>
            </w:r>
          </w:p>
        </w:tc>
        <w:tc>
          <w:tcPr>
            <w:tcW w:w="993" w:type="dxa"/>
            <w:tcBorders>
              <w:top w:val="single" w:sz="4" w:space="0" w:color="auto"/>
            </w:tcBorders>
            <w:shd w:val="clear" w:color="auto" w:fill="auto"/>
            <w:vAlign w:val="center"/>
          </w:tcPr>
          <w:p w14:paraId="695EE510"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5:58</w:t>
            </w:r>
          </w:p>
        </w:tc>
        <w:tc>
          <w:tcPr>
            <w:tcW w:w="1134" w:type="dxa"/>
            <w:tcBorders>
              <w:top w:val="single" w:sz="4" w:space="0" w:color="auto"/>
            </w:tcBorders>
            <w:shd w:val="clear" w:color="auto" w:fill="auto"/>
            <w:vAlign w:val="center"/>
          </w:tcPr>
          <w:p w14:paraId="78868301"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1.12</w:t>
            </w:r>
          </w:p>
        </w:tc>
        <w:tc>
          <w:tcPr>
            <w:tcW w:w="1558" w:type="dxa"/>
            <w:tcBorders>
              <w:top w:val="single" w:sz="4" w:space="0" w:color="auto"/>
            </w:tcBorders>
            <w:shd w:val="clear" w:color="auto" w:fill="auto"/>
            <w:vAlign w:val="center"/>
          </w:tcPr>
          <w:p w14:paraId="5B5CC8A7"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6:06</w:t>
            </w:r>
          </w:p>
        </w:tc>
      </w:tr>
      <w:tr w:rsidR="00DB5BCC" w:rsidRPr="0052793E" w14:paraId="66E1C70F" w14:textId="77777777" w:rsidTr="00DB5BCC">
        <w:trPr>
          <w:trHeight w:val="495"/>
        </w:trPr>
        <w:tc>
          <w:tcPr>
            <w:tcW w:w="851" w:type="dxa"/>
            <w:shd w:val="clear" w:color="auto" w:fill="auto"/>
            <w:noWrap/>
            <w:vAlign w:val="center"/>
          </w:tcPr>
          <w:p w14:paraId="0E80886A"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73FDFF54"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72393BE3"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תיק אזרחי בסדר דין רגיל (ת"א)-נזקי גוף - רשלנות רפואית</w:t>
            </w:r>
          </w:p>
        </w:tc>
        <w:tc>
          <w:tcPr>
            <w:tcW w:w="992" w:type="dxa"/>
            <w:shd w:val="clear" w:color="auto" w:fill="auto"/>
            <w:vAlign w:val="center"/>
          </w:tcPr>
          <w:p w14:paraId="18BB75C5"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1,433</w:t>
            </w:r>
          </w:p>
        </w:tc>
        <w:tc>
          <w:tcPr>
            <w:tcW w:w="1134" w:type="dxa"/>
            <w:shd w:val="clear" w:color="auto" w:fill="auto"/>
            <w:noWrap/>
            <w:vAlign w:val="center"/>
          </w:tcPr>
          <w:p w14:paraId="6AA1B53F"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hint="cs"/>
                <w:b/>
                <w:bCs/>
                <w:rtl/>
              </w:rPr>
              <w:t>6:13</w:t>
            </w:r>
          </w:p>
        </w:tc>
        <w:tc>
          <w:tcPr>
            <w:tcW w:w="993" w:type="dxa"/>
            <w:shd w:val="clear" w:color="auto" w:fill="auto"/>
            <w:vAlign w:val="center"/>
          </w:tcPr>
          <w:p w14:paraId="58B311F2"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5:02</w:t>
            </w:r>
          </w:p>
        </w:tc>
        <w:tc>
          <w:tcPr>
            <w:tcW w:w="1134" w:type="dxa"/>
            <w:shd w:val="clear" w:color="auto" w:fill="auto"/>
            <w:vAlign w:val="center"/>
          </w:tcPr>
          <w:p w14:paraId="68C44582"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4CAB68D6"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6:13</w:t>
            </w:r>
          </w:p>
        </w:tc>
      </w:tr>
      <w:tr w:rsidR="00DB5BCC" w:rsidRPr="0052793E" w14:paraId="676AE830" w14:textId="77777777" w:rsidTr="00DB5BCC">
        <w:trPr>
          <w:trHeight w:val="699"/>
        </w:trPr>
        <w:tc>
          <w:tcPr>
            <w:tcW w:w="851" w:type="dxa"/>
            <w:shd w:val="clear" w:color="auto" w:fill="auto"/>
            <w:noWrap/>
            <w:vAlign w:val="center"/>
          </w:tcPr>
          <w:p w14:paraId="7E9E8B2C"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shd w:val="clear" w:color="auto" w:fill="auto"/>
            <w:noWrap/>
            <w:vAlign w:val="center"/>
          </w:tcPr>
          <w:p w14:paraId="234E1970"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06329A4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המרצת פתיחה (ה"פ)</w:t>
            </w:r>
          </w:p>
        </w:tc>
        <w:tc>
          <w:tcPr>
            <w:tcW w:w="992" w:type="dxa"/>
            <w:shd w:val="clear" w:color="auto" w:fill="auto"/>
            <w:vAlign w:val="center"/>
          </w:tcPr>
          <w:p w14:paraId="5E567A26"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2,177</w:t>
            </w:r>
          </w:p>
        </w:tc>
        <w:tc>
          <w:tcPr>
            <w:tcW w:w="1134" w:type="dxa"/>
            <w:shd w:val="clear" w:color="auto" w:fill="auto"/>
            <w:noWrap/>
            <w:vAlign w:val="center"/>
          </w:tcPr>
          <w:p w14:paraId="3698FF83"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tl/>
              </w:rPr>
              <w:t>6:</w:t>
            </w:r>
            <w:r w:rsidRPr="0052793E">
              <w:rPr>
                <w:rFonts w:ascii="David" w:eastAsia="Times New Roman" w:hAnsi="David" w:cs="David" w:hint="cs"/>
                <w:b/>
                <w:bCs/>
                <w:rtl/>
              </w:rPr>
              <w:t>12</w:t>
            </w:r>
          </w:p>
        </w:tc>
        <w:tc>
          <w:tcPr>
            <w:tcW w:w="993" w:type="dxa"/>
            <w:shd w:val="clear" w:color="auto" w:fill="auto"/>
            <w:vAlign w:val="center"/>
          </w:tcPr>
          <w:p w14:paraId="268F1A29"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8:24</w:t>
            </w:r>
          </w:p>
        </w:tc>
        <w:tc>
          <w:tcPr>
            <w:tcW w:w="1134" w:type="dxa"/>
            <w:shd w:val="clear" w:color="auto" w:fill="auto"/>
            <w:vAlign w:val="center"/>
          </w:tcPr>
          <w:p w14:paraId="5AEB5B01"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1.08</w:t>
            </w:r>
          </w:p>
        </w:tc>
        <w:tc>
          <w:tcPr>
            <w:tcW w:w="1558" w:type="dxa"/>
            <w:shd w:val="clear" w:color="auto" w:fill="auto"/>
            <w:vAlign w:val="center"/>
          </w:tcPr>
          <w:p w14:paraId="120F137A"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5:45</w:t>
            </w:r>
          </w:p>
        </w:tc>
      </w:tr>
      <w:tr w:rsidR="00DB5BCC" w:rsidRPr="0052793E" w14:paraId="7D8DB483" w14:textId="77777777" w:rsidTr="00DB5BCC">
        <w:trPr>
          <w:trHeight w:val="630"/>
        </w:trPr>
        <w:tc>
          <w:tcPr>
            <w:tcW w:w="851" w:type="dxa"/>
            <w:shd w:val="clear" w:color="auto" w:fill="auto"/>
            <w:noWrap/>
            <w:vAlign w:val="center"/>
          </w:tcPr>
          <w:p w14:paraId="0B5A7479"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2833032D"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480D982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תיק אזרחי בסדר דין רגיל (ת"א)-שיבוב וביטוח</w:t>
            </w:r>
          </w:p>
        </w:tc>
        <w:tc>
          <w:tcPr>
            <w:tcW w:w="992" w:type="dxa"/>
            <w:shd w:val="clear" w:color="auto" w:fill="auto"/>
            <w:vAlign w:val="center"/>
          </w:tcPr>
          <w:p w14:paraId="4C941DD0"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1,167</w:t>
            </w:r>
          </w:p>
        </w:tc>
        <w:tc>
          <w:tcPr>
            <w:tcW w:w="1134" w:type="dxa"/>
            <w:shd w:val="clear" w:color="auto" w:fill="auto"/>
            <w:noWrap/>
            <w:vAlign w:val="center"/>
          </w:tcPr>
          <w:p w14:paraId="69488D20"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6:10</w:t>
            </w:r>
          </w:p>
        </w:tc>
        <w:tc>
          <w:tcPr>
            <w:tcW w:w="993" w:type="dxa"/>
            <w:shd w:val="clear" w:color="auto" w:fill="auto"/>
            <w:vAlign w:val="center"/>
          </w:tcPr>
          <w:p w14:paraId="1F5AF94A"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05:42</w:t>
            </w:r>
          </w:p>
        </w:tc>
        <w:tc>
          <w:tcPr>
            <w:tcW w:w="1134" w:type="dxa"/>
            <w:shd w:val="clear" w:color="auto" w:fill="auto"/>
            <w:vAlign w:val="center"/>
          </w:tcPr>
          <w:p w14:paraId="001A5E9C"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1.13</w:t>
            </w:r>
          </w:p>
        </w:tc>
        <w:tc>
          <w:tcPr>
            <w:tcW w:w="1558" w:type="dxa"/>
            <w:shd w:val="clear" w:color="auto" w:fill="auto"/>
            <w:vAlign w:val="center"/>
          </w:tcPr>
          <w:p w14:paraId="0EAC282B"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5:28</w:t>
            </w:r>
          </w:p>
        </w:tc>
      </w:tr>
      <w:tr w:rsidR="00DB5BCC" w:rsidRPr="0052793E" w14:paraId="2D8539CE" w14:textId="77777777" w:rsidTr="00DB5BCC">
        <w:trPr>
          <w:trHeight w:val="630"/>
        </w:trPr>
        <w:tc>
          <w:tcPr>
            <w:tcW w:w="851" w:type="dxa"/>
            <w:shd w:val="clear" w:color="auto" w:fill="auto"/>
            <w:noWrap/>
            <w:vAlign w:val="center"/>
          </w:tcPr>
          <w:p w14:paraId="40530B52"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4CE60CE6"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3089B1AA"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תיק אזרחי בסדר דין רגיל (ת"א)-תקנה 3 (אגרות)</w:t>
            </w:r>
          </w:p>
        </w:tc>
        <w:tc>
          <w:tcPr>
            <w:tcW w:w="992" w:type="dxa"/>
            <w:shd w:val="clear" w:color="auto" w:fill="auto"/>
            <w:vAlign w:val="center"/>
          </w:tcPr>
          <w:p w14:paraId="2D71A5FE"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2,387</w:t>
            </w:r>
          </w:p>
        </w:tc>
        <w:tc>
          <w:tcPr>
            <w:tcW w:w="1134" w:type="dxa"/>
            <w:shd w:val="clear" w:color="auto" w:fill="auto"/>
            <w:noWrap/>
            <w:vAlign w:val="center"/>
          </w:tcPr>
          <w:p w14:paraId="7BF9D5F0" w14:textId="77777777" w:rsidR="00DB5BCC" w:rsidRPr="0052793E" w:rsidRDefault="00DB5BCC" w:rsidP="00DB5BCC">
            <w:pPr>
              <w:bidi w:val="0"/>
              <w:spacing w:after="0" w:line="240" w:lineRule="auto"/>
              <w:jc w:val="center"/>
              <w:rPr>
                <w:rFonts w:ascii="David" w:eastAsia="Times New Roman" w:hAnsi="David" w:cs="David"/>
                <w:b/>
                <w:bCs/>
                <w:rtl/>
              </w:rPr>
            </w:pPr>
            <w:r w:rsidRPr="0052793E">
              <w:rPr>
                <w:rFonts w:ascii="David" w:eastAsia="Times New Roman" w:hAnsi="David" w:cs="David" w:hint="cs"/>
                <w:b/>
                <w:bCs/>
                <w:rtl/>
              </w:rPr>
              <w:t>6</w:t>
            </w:r>
            <w:r w:rsidRPr="0052793E">
              <w:rPr>
                <w:rFonts w:ascii="David" w:eastAsia="Times New Roman" w:hAnsi="David" w:cs="David"/>
                <w:b/>
                <w:bCs/>
                <w:rtl/>
              </w:rPr>
              <w:t>:</w:t>
            </w:r>
            <w:r w:rsidRPr="0052793E">
              <w:rPr>
                <w:rFonts w:ascii="David" w:eastAsia="Times New Roman" w:hAnsi="David" w:cs="David" w:hint="cs"/>
                <w:b/>
                <w:bCs/>
                <w:rtl/>
              </w:rPr>
              <w:t>04</w:t>
            </w:r>
          </w:p>
        </w:tc>
        <w:tc>
          <w:tcPr>
            <w:tcW w:w="993" w:type="dxa"/>
            <w:shd w:val="clear" w:color="auto" w:fill="auto"/>
            <w:vAlign w:val="center"/>
          </w:tcPr>
          <w:p w14:paraId="3A916222" w14:textId="77777777" w:rsidR="00DB5BCC" w:rsidRPr="0052793E" w:rsidRDefault="00DB5BCC" w:rsidP="00DB5BCC">
            <w:pPr>
              <w:bidi w:val="0"/>
              <w:spacing w:after="0" w:line="240" w:lineRule="auto"/>
              <w:jc w:val="center"/>
              <w:rPr>
                <w:rFonts w:ascii="David" w:eastAsia="Times New Roman" w:hAnsi="David" w:cs="David"/>
              </w:rPr>
            </w:pPr>
            <w:r w:rsidRPr="0052793E">
              <w:rPr>
                <w:rFonts w:ascii="David" w:eastAsia="Times New Roman" w:hAnsi="David" w:cs="David"/>
              </w:rPr>
              <w:t>5:42</w:t>
            </w:r>
          </w:p>
        </w:tc>
        <w:tc>
          <w:tcPr>
            <w:tcW w:w="1134" w:type="dxa"/>
            <w:shd w:val="clear" w:color="auto" w:fill="auto"/>
            <w:vAlign w:val="center"/>
          </w:tcPr>
          <w:p w14:paraId="766E7542" w14:textId="77777777" w:rsidR="00DB5BCC" w:rsidRPr="0052793E" w:rsidRDefault="00DB5BCC" w:rsidP="00DB5BCC">
            <w:pPr>
              <w:bidi w:val="0"/>
              <w:spacing w:after="0" w:line="240" w:lineRule="auto"/>
              <w:jc w:val="center"/>
              <w:rPr>
                <w:rFonts w:ascii="David" w:eastAsia="Times New Roman" w:hAnsi="David" w:cs="David"/>
              </w:rPr>
            </w:pPr>
            <w:r w:rsidRPr="0052793E">
              <w:rPr>
                <w:rFonts w:ascii="David" w:eastAsia="Times New Roman" w:hAnsi="David" w:cs="David"/>
                <w:rtl/>
              </w:rPr>
              <w:t>1</w:t>
            </w:r>
          </w:p>
        </w:tc>
        <w:tc>
          <w:tcPr>
            <w:tcW w:w="1558" w:type="dxa"/>
            <w:shd w:val="clear" w:color="auto" w:fill="auto"/>
            <w:vAlign w:val="center"/>
          </w:tcPr>
          <w:p w14:paraId="06956D0D"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6:04</w:t>
            </w:r>
          </w:p>
        </w:tc>
      </w:tr>
      <w:tr w:rsidR="00DB5BCC" w:rsidRPr="0052793E" w14:paraId="6368B680" w14:textId="77777777" w:rsidTr="00DB5BCC">
        <w:trPr>
          <w:trHeight w:val="517"/>
        </w:trPr>
        <w:tc>
          <w:tcPr>
            <w:tcW w:w="851" w:type="dxa"/>
            <w:shd w:val="clear" w:color="auto" w:fill="auto"/>
            <w:noWrap/>
            <w:vAlign w:val="center"/>
          </w:tcPr>
          <w:p w14:paraId="6B076282"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shd w:val="clear" w:color="auto" w:fill="auto"/>
            <w:noWrap/>
            <w:vAlign w:val="center"/>
          </w:tcPr>
          <w:p w14:paraId="155B0ACB"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עניינים מנהליים</w:t>
            </w:r>
          </w:p>
        </w:tc>
        <w:tc>
          <w:tcPr>
            <w:tcW w:w="2267" w:type="dxa"/>
            <w:shd w:val="clear" w:color="auto" w:fill="auto"/>
            <w:vAlign w:val="center"/>
          </w:tcPr>
          <w:p w14:paraId="60B9C112"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עתירה מנהלית (עת"מ)</w:t>
            </w:r>
          </w:p>
        </w:tc>
        <w:tc>
          <w:tcPr>
            <w:tcW w:w="992" w:type="dxa"/>
            <w:shd w:val="clear" w:color="auto" w:fill="auto"/>
            <w:vAlign w:val="center"/>
          </w:tcPr>
          <w:p w14:paraId="5130B9A3"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4971</w:t>
            </w:r>
          </w:p>
        </w:tc>
        <w:tc>
          <w:tcPr>
            <w:tcW w:w="1134" w:type="dxa"/>
            <w:shd w:val="clear" w:color="auto" w:fill="auto"/>
            <w:noWrap/>
            <w:vAlign w:val="center"/>
          </w:tcPr>
          <w:p w14:paraId="554E83D8"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5:51</w:t>
            </w:r>
          </w:p>
        </w:tc>
        <w:tc>
          <w:tcPr>
            <w:tcW w:w="993" w:type="dxa"/>
            <w:shd w:val="clear" w:color="auto" w:fill="auto"/>
            <w:vAlign w:val="center"/>
          </w:tcPr>
          <w:p w14:paraId="4024E94F"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7:25</w:t>
            </w:r>
          </w:p>
        </w:tc>
        <w:tc>
          <w:tcPr>
            <w:tcW w:w="1134" w:type="dxa"/>
            <w:shd w:val="clear" w:color="auto" w:fill="auto"/>
            <w:vAlign w:val="center"/>
          </w:tcPr>
          <w:p w14:paraId="63174E7E"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1.05</w:t>
            </w:r>
          </w:p>
        </w:tc>
        <w:tc>
          <w:tcPr>
            <w:tcW w:w="1558" w:type="dxa"/>
            <w:shd w:val="clear" w:color="auto" w:fill="auto"/>
            <w:vAlign w:val="center"/>
          </w:tcPr>
          <w:p w14:paraId="102B2CF7"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5:35</w:t>
            </w:r>
          </w:p>
        </w:tc>
      </w:tr>
      <w:tr w:rsidR="00DB5BCC" w:rsidRPr="0052793E" w14:paraId="62BCBC3B" w14:textId="77777777" w:rsidTr="00DB5BCC">
        <w:trPr>
          <w:trHeight w:val="370"/>
        </w:trPr>
        <w:tc>
          <w:tcPr>
            <w:tcW w:w="851" w:type="dxa"/>
            <w:shd w:val="clear" w:color="auto" w:fill="auto"/>
            <w:noWrap/>
            <w:vAlign w:val="center"/>
          </w:tcPr>
          <w:p w14:paraId="432E443C"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60FC95AD"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5506EC8E"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תיק אזרחי בסדר דין רגיל (ת"א)-בנקים ואשראי</w:t>
            </w:r>
          </w:p>
        </w:tc>
        <w:tc>
          <w:tcPr>
            <w:tcW w:w="992" w:type="dxa"/>
            <w:shd w:val="clear" w:color="auto" w:fill="auto"/>
            <w:vAlign w:val="center"/>
          </w:tcPr>
          <w:p w14:paraId="05ADF435"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109</w:t>
            </w:r>
          </w:p>
        </w:tc>
        <w:tc>
          <w:tcPr>
            <w:tcW w:w="1134" w:type="dxa"/>
            <w:shd w:val="clear" w:color="auto" w:fill="auto"/>
            <w:noWrap/>
            <w:vAlign w:val="center"/>
          </w:tcPr>
          <w:p w14:paraId="7D7E48F3"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5:46</w:t>
            </w:r>
          </w:p>
        </w:tc>
        <w:tc>
          <w:tcPr>
            <w:tcW w:w="993" w:type="dxa"/>
            <w:shd w:val="clear" w:color="auto" w:fill="auto"/>
            <w:vAlign w:val="center"/>
          </w:tcPr>
          <w:p w14:paraId="70C19F37"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5:42</w:t>
            </w:r>
          </w:p>
        </w:tc>
        <w:tc>
          <w:tcPr>
            <w:tcW w:w="1134" w:type="dxa"/>
            <w:shd w:val="clear" w:color="auto" w:fill="auto"/>
            <w:vAlign w:val="center"/>
          </w:tcPr>
          <w:p w14:paraId="4F05F472"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1</w:t>
            </w:r>
          </w:p>
        </w:tc>
        <w:tc>
          <w:tcPr>
            <w:tcW w:w="1558" w:type="dxa"/>
            <w:shd w:val="clear" w:color="auto" w:fill="auto"/>
            <w:vAlign w:val="center"/>
          </w:tcPr>
          <w:p w14:paraId="327F8FCF"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5:46</w:t>
            </w:r>
          </w:p>
        </w:tc>
      </w:tr>
      <w:tr w:rsidR="00DB5BCC" w:rsidRPr="0052793E" w14:paraId="7C47C564" w14:textId="77777777" w:rsidTr="00DB5BCC">
        <w:trPr>
          <w:trHeight w:val="629"/>
        </w:trPr>
        <w:tc>
          <w:tcPr>
            <w:tcW w:w="851" w:type="dxa"/>
            <w:shd w:val="clear" w:color="auto" w:fill="auto"/>
            <w:noWrap/>
            <w:vAlign w:val="center"/>
          </w:tcPr>
          <w:p w14:paraId="7D8E20E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50927A8B"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פלילי</w:t>
            </w:r>
          </w:p>
        </w:tc>
        <w:tc>
          <w:tcPr>
            <w:tcW w:w="2267" w:type="dxa"/>
            <w:shd w:val="clear" w:color="auto" w:fill="auto"/>
            <w:vAlign w:val="center"/>
          </w:tcPr>
          <w:p w14:paraId="1E73FAF1"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תיק פלילי (ת"פ)</w:t>
            </w:r>
          </w:p>
        </w:tc>
        <w:tc>
          <w:tcPr>
            <w:tcW w:w="992" w:type="dxa"/>
            <w:shd w:val="clear" w:color="auto" w:fill="auto"/>
            <w:vAlign w:val="center"/>
          </w:tcPr>
          <w:p w14:paraId="626EBE39"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30,372</w:t>
            </w:r>
          </w:p>
        </w:tc>
        <w:tc>
          <w:tcPr>
            <w:tcW w:w="1134" w:type="dxa"/>
            <w:shd w:val="clear" w:color="auto" w:fill="auto"/>
            <w:noWrap/>
            <w:vAlign w:val="center"/>
          </w:tcPr>
          <w:p w14:paraId="4D848645"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5:17</w:t>
            </w:r>
          </w:p>
        </w:tc>
        <w:tc>
          <w:tcPr>
            <w:tcW w:w="993" w:type="dxa"/>
            <w:shd w:val="clear" w:color="auto" w:fill="auto"/>
            <w:vAlign w:val="center"/>
          </w:tcPr>
          <w:p w14:paraId="701FDEAE"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2:37</w:t>
            </w:r>
          </w:p>
        </w:tc>
        <w:tc>
          <w:tcPr>
            <w:tcW w:w="1134" w:type="dxa"/>
            <w:shd w:val="clear" w:color="auto" w:fill="auto"/>
            <w:vAlign w:val="center"/>
          </w:tcPr>
          <w:p w14:paraId="11AE9C58"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1.11</w:t>
            </w:r>
          </w:p>
        </w:tc>
        <w:tc>
          <w:tcPr>
            <w:tcW w:w="1558" w:type="dxa"/>
            <w:shd w:val="clear" w:color="auto" w:fill="auto"/>
            <w:vAlign w:val="center"/>
          </w:tcPr>
          <w:p w14:paraId="72B09B6E"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5:02</w:t>
            </w:r>
          </w:p>
        </w:tc>
      </w:tr>
      <w:tr w:rsidR="00DB5BCC" w:rsidRPr="0052793E" w14:paraId="24C87019" w14:textId="77777777" w:rsidTr="00DB5BCC">
        <w:trPr>
          <w:trHeight w:val="630"/>
        </w:trPr>
        <w:tc>
          <w:tcPr>
            <w:tcW w:w="851" w:type="dxa"/>
            <w:shd w:val="clear" w:color="auto" w:fill="auto"/>
            <w:noWrap/>
            <w:vAlign w:val="center"/>
          </w:tcPr>
          <w:p w14:paraId="686C8609"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shd w:val="clear" w:color="auto" w:fill="auto"/>
            <w:noWrap/>
            <w:vAlign w:val="center"/>
          </w:tcPr>
          <w:p w14:paraId="265EF916"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24869776"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המרצת פתיחה בוררות (הפ"ב)</w:t>
            </w:r>
          </w:p>
        </w:tc>
        <w:tc>
          <w:tcPr>
            <w:tcW w:w="992" w:type="dxa"/>
            <w:shd w:val="clear" w:color="auto" w:fill="auto"/>
            <w:vAlign w:val="center"/>
          </w:tcPr>
          <w:p w14:paraId="5A6D54DE"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697</w:t>
            </w:r>
          </w:p>
        </w:tc>
        <w:tc>
          <w:tcPr>
            <w:tcW w:w="1134" w:type="dxa"/>
            <w:shd w:val="clear" w:color="auto" w:fill="auto"/>
            <w:noWrap/>
            <w:vAlign w:val="center"/>
          </w:tcPr>
          <w:p w14:paraId="2F5DC209"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5:12</w:t>
            </w:r>
          </w:p>
        </w:tc>
        <w:tc>
          <w:tcPr>
            <w:tcW w:w="993" w:type="dxa"/>
            <w:shd w:val="clear" w:color="auto" w:fill="auto"/>
            <w:vAlign w:val="center"/>
          </w:tcPr>
          <w:p w14:paraId="3AE990A3"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4:46</w:t>
            </w:r>
          </w:p>
        </w:tc>
        <w:tc>
          <w:tcPr>
            <w:tcW w:w="1134" w:type="dxa"/>
            <w:shd w:val="clear" w:color="auto" w:fill="auto"/>
            <w:vAlign w:val="center"/>
          </w:tcPr>
          <w:p w14:paraId="2D5E8DFD"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1.03</w:t>
            </w:r>
          </w:p>
        </w:tc>
        <w:tc>
          <w:tcPr>
            <w:tcW w:w="1558" w:type="dxa"/>
            <w:shd w:val="clear" w:color="auto" w:fill="auto"/>
            <w:vAlign w:val="center"/>
          </w:tcPr>
          <w:p w14:paraId="1F79F569"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5:03</w:t>
            </w:r>
          </w:p>
        </w:tc>
      </w:tr>
      <w:tr w:rsidR="00DB5BCC" w:rsidRPr="0052793E" w14:paraId="60F102EE" w14:textId="77777777" w:rsidTr="00DB5BCC">
        <w:trPr>
          <w:trHeight w:val="920"/>
        </w:trPr>
        <w:tc>
          <w:tcPr>
            <w:tcW w:w="851" w:type="dxa"/>
            <w:shd w:val="clear" w:color="auto" w:fill="auto"/>
            <w:noWrap/>
            <w:vAlign w:val="center"/>
          </w:tcPr>
          <w:p w14:paraId="38813657"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500E777A"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560A7549"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תיק אזרחי בסדר דין רגיל (ת"א)-</w:t>
            </w:r>
            <w:r w:rsidRPr="0052793E">
              <w:rPr>
                <w:rFonts w:ascii="David" w:eastAsia="Times New Roman" w:hAnsi="David" w:cs="David"/>
                <w:b/>
                <w:bCs/>
                <w:rtl/>
              </w:rPr>
              <w:t>משוקלל</w:t>
            </w:r>
          </w:p>
        </w:tc>
        <w:tc>
          <w:tcPr>
            <w:tcW w:w="992" w:type="dxa"/>
            <w:shd w:val="clear" w:color="auto" w:fill="auto"/>
            <w:vAlign w:val="center"/>
          </w:tcPr>
          <w:p w14:paraId="6A4255EC"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71,215</w:t>
            </w:r>
          </w:p>
        </w:tc>
        <w:tc>
          <w:tcPr>
            <w:tcW w:w="1134" w:type="dxa"/>
            <w:shd w:val="clear" w:color="auto" w:fill="auto"/>
            <w:noWrap/>
            <w:vAlign w:val="center"/>
          </w:tcPr>
          <w:p w14:paraId="0DE727DD"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4:59</w:t>
            </w:r>
          </w:p>
        </w:tc>
        <w:tc>
          <w:tcPr>
            <w:tcW w:w="993" w:type="dxa"/>
            <w:shd w:val="clear" w:color="auto" w:fill="auto"/>
            <w:vAlign w:val="center"/>
          </w:tcPr>
          <w:p w14:paraId="77F0F6B0"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05:42</w:t>
            </w:r>
          </w:p>
        </w:tc>
        <w:tc>
          <w:tcPr>
            <w:tcW w:w="1134" w:type="dxa"/>
            <w:shd w:val="clear" w:color="auto" w:fill="auto"/>
            <w:vAlign w:val="center"/>
          </w:tcPr>
          <w:p w14:paraId="7234C0FC"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1.02</w:t>
            </w:r>
          </w:p>
        </w:tc>
        <w:tc>
          <w:tcPr>
            <w:tcW w:w="1558" w:type="dxa"/>
            <w:shd w:val="clear" w:color="auto" w:fill="auto"/>
            <w:vAlign w:val="center"/>
          </w:tcPr>
          <w:p w14:paraId="6CDC77E8" w14:textId="77777777" w:rsidR="00DB5BCC" w:rsidRPr="0052793E" w:rsidRDefault="00DB5BCC" w:rsidP="00DB5BCC">
            <w:pPr>
              <w:spacing w:after="0" w:line="240" w:lineRule="auto"/>
              <w:jc w:val="center"/>
              <w:rPr>
                <w:rFonts w:ascii="David" w:eastAsia="Times New Roman" w:hAnsi="David" w:cs="David"/>
              </w:rPr>
            </w:pPr>
          </w:p>
        </w:tc>
      </w:tr>
      <w:tr w:rsidR="00DB5BCC" w:rsidRPr="0052793E" w14:paraId="65EE06A0" w14:textId="77777777" w:rsidTr="00DB5BCC">
        <w:trPr>
          <w:trHeight w:val="706"/>
        </w:trPr>
        <w:tc>
          <w:tcPr>
            <w:tcW w:w="851" w:type="dxa"/>
            <w:shd w:val="clear" w:color="auto" w:fill="auto"/>
            <w:noWrap/>
            <w:vAlign w:val="center"/>
          </w:tcPr>
          <w:p w14:paraId="190A43D9"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משפחה</w:t>
            </w:r>
          </w:p>
        </w:tc>
        <w:tc>
          <w:tcPr>
            <w:tcW w:w="993" w:type="dxa"/>
            <w:shd w:val="clear" w:color="auto" w:fill="auto"/>
            <w:noWrap/>
            <w:vAlign w:val="center"/>
          </w:tcPr>
          <w:p w14:paraId="39D99813" w14:textId="77777777" w:rsidR="00DB5BCC" w:rsidRPr="0052793E" w:rsidRDefault="00DB5BCC" w:rsidP="00DB5BCC">
            <w:pPr>
              <w:spacing w:after="0" w:line="240" w:lineRule="auto"/>
              <w:rPr>
                <w:rFonts w:ascii="David" w:eastAsia="Times New Roman" w:hAnsi="David" w:cs="David"/>
                <w:rtl/>
              </w:rPr>
            </w:pPr>
          </w:p>
        </w:tc>
        <w:tc>
          <w:tcPr>
            <w:tcW w:w="2267" w:type="dxa"/>
            <w:shd w:val="clear" w:color="auto" w:fill="auto"/>
            <w:vAlign w:val="center"/>
          </w:tcPr>
          <w:p w14:paraId="6BABEC3D"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תביעה לאחר הסדר התדיינויות במשפחה (תלה"מ)</w:t>
            </w:r>
          </w:p>
        </w:tc>
        <w:tc>
          <w:tcPr>
            <w:tcW w:w="992" w:type="dxa"/>
            <w:shd w:val="clear" w:color="auto" w:fill="auto"/>
            <w:vAlign w:val="center"/>
          </w:tcPr>
          <w:p w14:paraId="3D92CA1C"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13,706</w:t>
            </w:r>
          </w:p>
        </w:tc>
        <w:tc>
          <w:tcPr>
            <w:tcW w:w="1134" w:type="dxa"/>
            <w:shd w:val="clear" w:color="auto" w:fill="auto"/>
            <w:noWrap/>
            <w:vAlign w:val="center"/>
          </w:tcPr>
          <w:p w14:paraId="43606804"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4:51</w:t>
            </w:r>
          </w:p>
        </w:tc>
        <w:tc>
          <w:tcPr>
            <w:tcW w:w="993" w:type="dxa"/>
            <w:shd w:val="clear" w:color="auto" w:fill="auto"/>
            <w:vAlign w:val="center"/>
          </w:tcPr>
          <w:p w14:paraId="6483451B"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2:34</w:t>
            </w:r>
          </w:p>
        </w:tc>
        <w:tc>
          <w:tcPr>
            <w:tcW w:w="1134" w:type="dxa"/>
            <w:shd w:val="clear" w:color="auto" w:fill="auto"/>
            <w:vAlign w:val="center"/>
          </w:tcPr>
          <w:p w14:paraId="1AFF0CFB"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1.18</w:t>
            </w:r>
          </w:p>
        </w:tc>
        <w:tc>
          <w:tcPr>
            <w:tcW w:w="1558" w:type="dxa"/>
            <w:shd w:val="clear" w:color="auto" w:fill="auto"/>
            <w:vAlign w:val="center"/>
          </w:tcPr>
          <w:p w14:paraId="45A1A970"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4:07</w:t>
            </w:r>
          </w:p>
        </w:tc>
      </w:tr>
      <w:tr w:rsidR="00DB5BCC" w:rsidRPr="0052793E" w14:paraId="783127D2" w14:textId="77777777" w:rsidTr="00DB5BCC">
        <w:trPr>
          <w:trHeight w:val="748"/>
        </w:trPr>
        <w:tc>
          <w:tcPr>
            <w:tcW w:w="851" w:type="dxa"/>
            <w:shd w:val="clear" w:color="auto" w:fill="auto"/>
            <w:noWrap/>
            <w:vAlign w:val="center"/>
          </w:tcPr>
          <w:p w14:paraId="77811943"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2EB32A2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פלילי</w:t>
            </w:r>
          </w:p>
        </w:tc>
        <w:tc>
          <w:tcPr>
            <w:tcW w:w="2267" w:type="dxa"/>
            <w:shd w:val="clear" w:color="auto" w:fill="auto"/>
            <w:vAlign w:val="center"/>
          </w:tcPr>
          <w:p w14:paraId="2A6616E1"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קובלנה פלילית (ק"פ)</w:t>
            </w:r>
          </w:p>
        </w:tc>
        <w:tc>
          <w:tcPr>
            <w:tcW w:w="992" w:type="dxa"/>
            <w:shd w:val="clear" w:color="auto" w:fill="auto"/>
            <w:vAlign w:val="center"/>
          </w:tcPr>
          <w:p w14:paraId="29888C5B"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92</w:t>
            </w:r>
          </w:p>
        </w:tc>
        <w:tc>
          <w:tcPr>
            <w:tcW w:w="1134" w:type="dxa"/>
            <w:shd w:val="clear" w:color="auto" w:fill="auto"/>
            <w:noWrap/>
            <w:vAlign w:val="center"/>
          </w:tcPr>
          <w:p w14:paraId="767D57FF"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4:48</w:t>
            </w:r>
          </w:p>
        </w:tc>
        <w:tc>
          <w:tcPr>
            <w:tcW w:w="993" w:type="dxa"/>
            <w:shd w:val="clear" w:color="auto" w:fill="auto"/>
            <w:vAlign w:val="center"/>
          </w:tcPr>
          <w:p w14:paraId="41A5C2C7"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w:t>
            </w:r>
          </w:p>
        </w:tc>
        <w:tc>
          <w:tcPr>
            <w:tcW w:w="1134" w:type="dxa"/>
            <w:shd w:val="clear" w:color="auto" w:fill="auto"/>
            <w:vAlign w:val="center"/>
          </w:tcPr>
          <w:p w14:paraId="0F2E30ED"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1</w:t>
            </w:r>
          </w:p>
        </w:tc>
        <w:tc>
          <w:tcPr>
            <w:tcW w:w="1558" w:type="dxa"/>
            <w:shd w:val="clear" w:color="auto" w:fill="auto"/>
            <w:vAlign w:val="center"/>
          </w:tcPr>
          <w:p w14:paraId="7A17A566"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4:48</w:t>
            </w:r>
          </w:p>
        </w:tc>
      </w:tr>
      <w:tr w:rsidR="00DB5BCC" w:rsidRPr="0052793E" w14:paraId="6B4B0CAC" w14:textId="77777777" w:rsidTr="00DB5BCC">
        <w:trPr>
          <w:trHeight w:val="748"/>
        </w:trPr>
        <w:tc>
          <w:tcPr>
            <w:tcW w:w="851" w:type="dxa"/>
            <w:shd w:val="clear" w:color="auto" w:fill="auto"/>
            <w:noWrap/>
            <w:vAlign w:val="center"/>
          </w:tcPr>
          <w:p w14:paraId="10D1A78A"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shd w:val="clear" w:color="auto" w:fill="auto"/>
            <w:noWrap/>
            <w:vAlign w:val="center"/>
          </w:tcPr>
          <w:p w14:paraId="56152389"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040126C6"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ערעור אזרחי (ע"א) - דן יחיד</w:t>
            </w:r>
          </w:p>
        </w:tc>
        <w:tc>
          <w:tcPr>
            <w:tcW w:w="992" w:type="dxa"/>
            <w:shd w:val="clear" w:color="auto" w:fill="auto"/>
            <w:vAlign w:val="center"/>
          </w:tcPr>
          <w:p w14:paraId="3B3931E7"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1,394</w:t>
            </w:r>
          </w:p>
        </w:tc>
        <w:tc>
          <w:tcPr>
            <w:tcW w:w="1134" w:type="dxa"/>
            <w:shd w:val="clear" w:color="auto" w:fill="auto"/>
            <w:noWrap/>
            <w:vAlign w:val="center"/>
          </w:tcPr>
          <w:p w14:paraId="1C3C38B2"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4:35</w:t>
            </w:r>
          </w:p>
        </w:tc>
        <w:tc>
          <w:tcPr>
            <w:tcW w:w="993" w:type="dxa"/>
            <w:shd w:val="clear" w:color="auto" w:fill="auto"/>
            <w:vAlign w:val="center"/>
          </w:tcPr>
          <w:p w14:paraId="4D57CCF8"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w:t>
            </w:r>
          </w:p>
        </w:tc>
        <w:tc>
          <w:tcPr>
            <w:tcW w:w="1134" w:type="dxa"/>
            <w:shd w:val="clear" w:color="auto" w:fill="auto"/>
            <w:vAlign w:val="center"/>
          </w:tcPr>
          <w:p w14:paraId="3C5F2ACC"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1.02</w:t>
            </w:r>
          </w:p>
        </w:tc>
        <w:tc>
          <w:tcPr>
            <w:tcW w:w="1558" w:type="dxa"/>
            <w:shd w:val="clear" w:color="auto" w:fill="auto"/>
            <w:vAlign w:val="center"/>
          </w:tcPr>
          <w:p w14:paraId="29F9B2BF"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4:30</w:t>
            </w:r>
          </w:p>
        </w:tc>
      </w:tr>
      <w:tr w:rsidR="00DB5BCC" w:rsidRPr="0052793E" w14:paraId="00A44A1F" w14:textId="77777777" w:rsidTr="00DB5BCC">
        <w:trPr>
          <w:trHeight w:val="386"/>
        </w:trPr>
        <w:tc>
          <w:tcPr>
            <w:tcW w:w="851" w:type="dxa"/>
            <w:shd w:val="clear" w:color="auto" w:fill="auto"/>
            <w:noWrap/>
            <w:vAlign w:val="center"/>
          </w:tcPr>
          <w:p w14:paraId="393200AC"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4E508666"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0240CE93"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תיק אזרחי בסדר דין רגיל (ת"א)-נזקי גוף - חבויות</w:t>
            </w:r>
          </w:p>
        </w:tc>
        <w:tc>
          <w:tcPr>
            <w:tcW w:w="992" w:type="dxa"/>
            <w:shd w:val="clear" w:color="auto" w:fill="auto"/>
            <w:vAlign w:val="center"/>
          </w:tcPr>
          <w:p w14:paraId="0B4196E0"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15,694</w:t>
            </w:r>
          </w:p>
        </w:tc>
        <w:tc>
          <w:tcPr>
            <w:tcW w:w="1134" w:type="dxa"/>
            <w:shd w:val="clear" w:color="auto" w:fill="auto"/>
            <w:noWrap/>
            <w:vAlign w:val="center"/>
          </w:tcPr>
          <w:p w14:paraId="6E45CF10"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hint="cs"/>
                <w:b/>
                <w:bCs/>
                <w:rtl/>
              </w:rPr>
              <w:t>4:29</w:t>
            </w:r>
          </w:p>
        </w:tc>
        <w:tc>
          <w:tcPr>
            <w:tcW w:w="993" w:type="dxa"/>
            <w:shd w:val="clear" w:color="auto" w:fill="auto"/>
            <w:vAlign w:val="center"/>
          </w:tcPr>
          <w:p w14:paraId="072598C9"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5:42</w:t>
            </w:r>
          </w:p>
        </w:tc>
        <w:tc>
          <w:tcPr>
            <w:tcW w:w="1134" w:type="dxa"/>
            <w:shd w:val="clear" w:color="auto" w:fill="auto"/>
            <w:vAlign w:val="center"/>
          </w:tcPr>
          <w:p w14:paraId="486304A7"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1</w:t>
            </w:r>
          </w:p>
        </w:tc>
        <w:tc>
          <w:tcPr>
            <w:tcW w:w="1558" w:type="dxa"/>
            <w:shd w:val="clear" w:color="auto" w:fill="auto"/>
            <w:vAlign w:val="center"/>
          </w:tcPr>
          <w:p w14:paraId="19B645E6"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4:29</w:t>
            </w:r>
          </w:p>
        </w:tc>
      </w:tr>
      <w:tr w:rsidR="00DB5BCC" w:rsidRPr="0052793E" w14:paraId="25AA3986" w14:textId="77777777" w:rsidTr="00DB5BCC">
        <w:trPr>
          <w:trHeight w:val="416"/>
        </w:trPr>
        <w:tc>
          <w:tcPr>
            <w:tcW w:w="851" w:type="dxa"/>
            <w:shd w:val="clear" w:color="auto" w:fill="auto"/>
            <w:noWrap/>
            <w:vAlign w:val="center"/>
          </w:tcPr>
          <w:p w14:paraId="39BC3844"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מחוזי</w:t>
            </w:r>
          </w:p>
        </w:tc>
        <w:tc>
          <w:tcPr>
            <w:tcW w:w="993" w:type="dxa"/>
            <w:shd w:val="clear" w:color="auto" w:fill="auto"/>
            <w:noWrap/>
            <w:vAlign w:val="center"/>
          </w:tcPr>
          <w:p w14:paraId="04C75A9B"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6EEB9957"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פשיטת רגל (פש"ר)</w:t>
            </w:r>
          </w:p>
        </w:tc>
        <w:tc>
          <w:tcPr>
            <w:tcW w:w="992" w:type="dxa"/>
            <w:shd w:val="clear" w:color="auto" w:fill="auto"/>
            <w:vAlign w:val="center"/>
          </w:tcPr>
          <w:p w14:paraId="5F667ED0"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18,578</w:t>
            </w:r>
          </w:p>
        </w:tc>
        <w:tc>
          <w:tcPr>
            <w:tcW w:w="1134" w:type="dxa"/>
            <w:shd w:val="clear" w:color="auto" w:fill="auto"/>
            <w:noWrap/>
            <w:vAlign w:val="center"/>
          </w:tcPr>
          <w:p w14:paraId="7A1BD417"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hint="cs"/>
                <w:b/>
                <w:bCs/>
                <w:rtl/>
              </w:rPr>
              <w:t>4:20</w:t>
            </w:r>
          </w:p>
        </w:tc>
        <w:tc>
          <w:tcPr>
            <w:tcW w:w="993" w:type="dxa"/>
            <w:shd w:val="clear" w:color="auto" w:fill="auto"/>
            <w:vAlign w:val="center"/>
          </w:tcPr>
          <w:p w14:paraId="18A47117"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4:34</w:t>
            </w:r>
          </w:p>
        </w:tc>
        <w:tc>
          <w:tcPr>
            <w:tcW w:w="1134" w:type="dxa"/>
            <w:shd w:val="clear" w:color="auto" w:fill="auto"/>
            <w:vAlign w:val="center"/>
          </w:tcPr>
          <w:p w14:paraId="77934735"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1.02</w:t>
            </w:r>
          </w:p>
        </w:tc>
        <w:tc>
          <w:tcPr>
            <w:tcW w:w="1558" w:type="dxa"/>
            <w:shd w:val="clear" w:color="auto" w:fill="auto"/>
            <w:vAlign w:val="center"/>
          </w:tcPr>
          <w:p w14:paraId="681FC3DF"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4:15</w:t>
            </w:r>
          </w:p>
        </w:tc>
      </w:tr>
      <w:tr w:rsidR="00DB5BCC" w:rsidRPr="0052793E" w14:paraId="18DC1447" w14:textId="77777777" w:rsidTr="00DB5BCC">
        <w:trPr>
          <w:trHeight w:val="512"/>
        </w:trPr>
        <w:tc>
          <w:tcPr>
            <w:tcW w:w="851" w:type="dxa"/>
            <w:shd w:val="clear" w:color="auto" w:fill="auto"/>
            <w:noWrap/>
            <w:vAlign w:val="center"/>
          </w:tcPr>
          <w:p w14:paraId="0E6D98A8"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shd w:val="clear" w:color="auto" w:fill="auto"/>
            <w:noWrap/>
            <w:vAlign w:val="center"/>
          </w:tcPr>
          <w:p w14:paraId="1D8629BE"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עניינים מנהליים/ אזרחי</w:t>
            </w:r>
          </w:p>
        </w:tc>
        <w:tc>
          <w:tcPr>
            <w:tcW w:w="2267" w:type="dxa"/>
            <w:shd w:val="clear" w:color="auto" w:fill="auto"/>
            <w:vAlign w:val="center"/>
          </w:tcPr>
          <w:p w14:paraId="3EFC2727"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ועדת ערר (ו"ע)</w:t>
            </w:r>
          </w:p>
        </w:tc>
        <w:tc>
          <w:tcPr>
            <w:tcW w:w="992" w:type="dxa"/>
            <w:shd w:val="clear" w:color="auto" w:fill="auto"/>
            <w:vAlign w:val="center"/>
          </w:tcPr>
          <w:p w14:paraId="6A76E7CB"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777</w:t>
            </w:r>
          </w:p>
        </w:tc>
        <w:tc>
          <w:tcPr>
            <w:tcW w:w="1134" w:type="dxa"/>
            <w:shd w:val="clear" w:color="auto" w:fill="auto"/>
            <w:noWrap/>
            <w:vAlign w:val="center"/>
          </w:tcPr>
          <w:p w14:paraId="6EA754C6"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4:15</w:t>
            </w:r>
          </w:p>
        </w:tc>
        <w:tc>
          <w:tcPr>
            <w:tcW w:w="993" w:type="dxa"/>
            <w:shd w:val="clear" w:color="auto" w:fill="auto"/>
            <w:vAlign w:val="center"/>
          </w:tcPr>
          <w:p w14:paraId="246C1DB4"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3:36</w:t>
            </w:r>
          </w:p>
        </w:tc>
        <w:tc>
          <w:tcPr>
            <w:tcW w:w="1134" w:type="dxa"/>
            <w:shd w:val="clear" w:color="auto" w:fill="auto"/>
            <w:vAlign w:val="center"/>
          </w:tcPr>
          <w:p w14:paraId="62BC39E9"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1.01</w:t>
            </w:r>
          </w:p>
        </w:tc>
        <w:tc>
          <w:tcPr>
            <w:tcW w:w="1558" w:type="dxa"/>
            <w:shd w:val="clear" w:color="auto" w:fill="auto"/>
            <w:vAlign w:val="center"/>
          </w:tcPr>
          <w:p w14:paraId="6A069056"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4:13</w:t>
            </w:r>
          </w:p>
        </w:tc>
      </w:tr>
      <w:tr w:rsidR="00DB5BCC" w:rsidRPr="0052793E" w14:paraId="3C95F47F" w14:textId="77777777" w:rsidTr="00DB5BCC">
        <w:trPr>
          <w:trHeight w:val="686"/>
        </w:trPr>
        <w:tc>
          <w:tcPr>
            <w:tcW w:w="851" w:type="dxa"/>
            <w:shd w:val="clear" w:color="auto" w:fill="auto"/>
            <w:noWrap/>
            <w:vAlign w:val="center"/>
          </w:tcPr>
          <w:p w14:paraId="05F1CEB1" w14:textId="304A08A3" w:rsidR="00DB5BCC" w:rsidRPr="0052793E" w:rsidRDefault="00DB5BCC" w:rsidP="00DB5BCC">
            <w:pPr>
              <w:spacing w:after="0" w:line="240" w:lineRule="auto"/>
              <w:rPr>
                <w:rFonts w:ascii="David" w:eastAsia="Times New Roman" w:hAnsi="David" w:cs="David"/>
                <w:rtl/>
              </w:rPr>
            </w:pPr>
            <w:r w:rsidRPr="0052793E">
              <w:rPr>
                <w:rFonts w:ascii="Arial" w:eastAsia="Times New Roman" w:hAnsi="Arial" w:cs="David" w:hint="cs"/>
                <w:b/>
                <w:bCs/>
                <w:rtl/>
              </w:rPr>
              <w:lastRenderedPageBreak/>
              <w:t>ערכאה</w:t>
            </w:r>
          </w:p>
        </w:tc>
        <w:tc>
          <w:tcPr>
            <w:tcW w:w="993" w:type="dxa"/>
            <w:shd w:val="clear" w:color="auto" w:fill="auto"/>
            <w:noWrap/>
            <w:vAlign w:val="center"/>
          </w:tcPr>
          <w:p w14:paraId="289300CC" w14:textId="233A120F" w:rsidR="00DB5BCC" w:rsidRPr="0052793E" w:rsidRDefault="00DB5BCC" w:rsidP="00DB5BCC">
            <w:pPr>
              <w:spacing w:after="0" w:line="240" w:lineRule="auto"/>
              <w:rPr>
                <w:rFonts w:ascii="David" w:eastAsia="Times New Roman" w:hAnsi="David" w:cs="David"/>
                <w:rtl/>
              </w:rPr>
            </w:pPr>
            <w:r w:rsidRPr="0052793E">
              <w:rPr>
                <w:rFonts w:ascii="Arial" w:eastAsia="Times New Roman" w:hAnsi="Arial" w:cs="David" w:hint="cs"/>
                <w:b/>
                <w:bCs/>
                <w:rtl/>
              </w:rPr>
              <w:t>הליך</w:t>
            </w:r>
          </w:p>
        </w:tc>
        <w:tc>
          <w:tcPr>
            <w:tcW w:w="2267" w:type="dxa"/>
            <w:shd w:val="clear" w:color="auto" w:fill="auto"/>
            <w:vAlign w:val="center"/>
          </w:tcPr>
          <w:p w14:paraId="2A9247D3" w14:textId="05D38FD0" w:rsidR="00DB5BCC" w:rsidRPr="0052793E" w:rsidRDefault="00DB5BCC" w:rsidP="00DB5BCC">
            <w:pPr>
              <w:spacing w:after="0" w:line="240" w:lineRule="auto"/>
              <w:rPr>
                <w:rFonts w:ascii="David" w:eastAsia="Times New Roman" w:hAnsi="David" w:cs="David"/>
                <w:rtl/>
              </w:rPr>
            </w:pPr>
            <w:r w:rsidRPr="0052793E">
              <w:rPr>
                <w:rFonts w:ascii="Arial" w:eastAsia="Times New Roman" w:hAnsi="Arial" w:cs="David" w:hint="cs"/>
                <w:b/>
                <w:bCs/>
                <w:rtl/>
              </w:rPr>
              <w:t>סוג תיק</w:t>
            </w:r>
          </w:p>
        </w:tc>
        <w:tc>
          <w:tcPr>
            <w:tcW w:w="992" w:type="dxa"/>
            <w:shd w:val="clear" w:color="auto" w:fill="auto"/>
            <w:vAlign w:val="center"/>
          </w:tcPr>
          <w:p w14:paraId="48DA3D4F" w14:textId="2040C12E" w:rsidR="00DB5BCC" w:rsidRPr="0052793E" w:rsidRDefault="00DB5BCC" w:rsidP="00DB5BCC">
            <w:pPr>
              <w:spacing w:after="0" w:line="240" w:lineRule="auto"/>
              <w:jc w:val="center"/>
              <w:rPr>
                <w:rFonts w:ascii="David" w:eastAsia="Times New Roman" w:hAnsi="David" w:cs="David"/>
              </w:rPr>
            </w:pPr>
            <w:r w:rsidRPr="0052793E">
              <w:rPr>
                <w:rFonts w:ascii="Arial" w:eastAsia="Times New Roman" w:hAnsi="Arial" w:cs="David" w:hint="cs"/>
                <w:b/>
                <w:bCs/>
                <w:rtl/>
              </w:rPr>
              <w:t>מספר תיקים שנסגרו ב-2019</w:t>
            </w:r>
          </w:p>
        </w:tc>
        <w:tc>
          <w:tcPr>
            <w:tcW w:w="1134" w:type="dxa"/>
            <w:shd w:val="clear" w:color="auto" w:fill="auto"/>
            <w:noWrap/>
            <w:vAlign w:val="center"/>
          </w:tcPr>
          <w:p w14:paraId="776EE51D" w14:textId="6F3FD867" w:rsidR="00DB5BCC" w:rsidRPr="0052793E" w:rsidRDefault="00DB5BCC" w:rsidP="00DB5BCC">
            <w:pPr>
              <w:spacing w:after="0" w:line="240" w:lineRule="auto"/>
              <w:jc w:val="center"/>
              <w:rPr>
                <w:rFonts w:ascii="David" w:eastAsia="Times New Roman" w:hAnsi="David" w:cs="David"/>
                <w:b/>
                <w:bCs/>
              </w:rPr>
            </w:pPr>
            <w:r w:rsidRPr="0052793E">
              <w:rPr>
                <w:rFonts w:ascii="Arial" w:eastAsia="Times New Roman" w:hAnsi="Arial" w:cs="David" w:hint="cs"/>
                <w:b/>
                <w:bCs/>
                <w:rtl/>
              </w:rPr>
              <w:t>הזמן השיפוטי הממוצע לטיפול בתיק</w:t>
            </w:r>
          </w:p>
        </w:tc>
        <w:tc>
          <w:tcPr>
            <w:tcW w:w="993" w:type="dxa"/>
            <w:shd w:val="clear" w:color="auto" w:fill="auto"/>
            <w:vAlign w:val="center"/>
          </w:tcPr>
          <w:p w14:paraId="745870C9" w14:textId="7F5DC753" w:rsidR="00DB5BCC" w:rsidRPr="0052793E" w:rsidRDefault="00DB5BCC" w:rsidP="00DB5BCC">
            <w:pPr>
              <w:spacing w:after="0" w:line="240" w:lineRule="auto"/>
              <w:jc w:val="center"/>
              <w:rPr>
                <w:rFonts w:ascii="David" w:eastAsia="Times New Roman" w:hAnsi="David" w:cs="David"/>
                <w:rtl/>
              </w:rPr>
            </w:pPr>
            <w:r w:rsidRPr="0052793E">
              <w:rPr>
                <w:rFonts w:ascii="Arial" w:eastAsia="Times New Roman" w:hAnsi="Arial" w:cs="David" w:hint="cs"/>
                <w:b/>
                <w:bCs/>
                <w:rtl/>
              </w:rPr>
              <w:t>הזמן השיפוטי הממוצע לפי המחקר הקודם</w:t>
            </w:r>
          </w:p>
        </w:tc>
        <w:tc>
          <w:tcPr>
            <w:tcW w:w="1134" w:type="dxa"/>
            <w:shd w:val="clear" w:color="auto" w:fill="auto"/>
            <w:vAlign w:val="center"/>
          </w:tcPr>
          <w:p w14:paraId="7FEBB48B" w14:textId="4BB4A82C" w:rsidR="00DB5BCC" w:rsidRPr="0052793E" w:rsidRDefault="00DB5BCC" w:rsidP="00DB5BCC">
            <w:pPr>
              <w:spacing w:after="0" w:line="240" w:lineRule="auto"/>
              <w:jc w:val="center"/>
              <w:rPr>
                <w:rFonts w:ascii="David" w:eastAsia="Times New Roman" w:hAnsi="David" w:cs="David"/>
                <w:rtl/>
              </w:rPr>
            </w:pPr>
            <w:r w:rsidRPr="0052793E">
              <w:rPr>
                <w:rFonts w:ascii="Arial" w:eastAsia="Times New Roman" w:hAnsi="Arial" w:cs="David" w:hint="cs"/>
                <w:b/>
                <w:bCs/>
                <w:rtl/>
              </w:rPr>
              <w:t>כמות התיקים הממוצעת שפסק דין סוגר</w:t>
            </w:r>
          </w:p>
        </w:tc>
        <w:tc>
          <w:tcPr>
            <w:tcW w:w="1558" w:type="dxa"/>
            <w:shd w:val="clear" w:color="auto" w:fill="auto"/>
            <w:vAlign w:val="center"/>
          </w:tcPr>
          <w:p w14:paraId="107A3D7F" w14:textId="6CA484E9" w:rsidR="00DB5BCC" w:rsidRPr="0052793E" w:rsidRDefault="00DB5BCC" w:rsidP="00DB5BCC">
            <w:pPr>
              <w:spacing w:after="0" w:line="240" w:lineRule="auto"/>
              <w:jc w:val="center"/>
              <w:rPr>
                <w:rFonts w:ascii="David" w:eastAsia="Times New Roman" w:hAnsi="David" w:cs="David"/>
                <w:rtl/>
              </w:rPr>
            </w:pPr>
            <w:r w:rsidRPr="0052793E">
              <w:rPr>
                <w:rFonts w:ascii="Arial" w:eastAsia="Times New Roman" w:hAnsi="Arial" w:cs="David" w:hint="cs"/>
                <w:b/>
                <w:bCs/>
                <w:rtl/>
              </w:rPr>
              <w:t>הזמן השיפוטי הממוצע לטיפול בתיק חלקי כמות התיקים שפסק הדין סוגר</w:t>
            </w:r>
          </w:p>
        </w:tc>
      </w:tr>
      <w:tr w:rsidR="00DB5BCC" w:rsidRPr="0052793E" w14:paraId="7868DD91" w14:textId="77777777" w:rsidTr="00DB5BCC">
        <w:trPr>
          <w:trHeight w:val="686"/>
        </w:trPr>
        <w:tc>
          <w:tcPr>
            <w:tcW w:w="851" w:type="dxa"/>
            <w:shd w:val="clear" w:color="auto" w:fill="auto"/>
            <w:noWrap/>
            <w:vAlign w:val="center"/>
          </w:tcPr>
          <w:p w14:paraId="4E02A3E3"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565608DD"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עניינים מקומיים</w:t>
            </w:r>
          </w:p>
        </w:tc>
        <w:tc>
          <w:tcPr>
            <w:tcW w:w="2267" w:type="dxa"/>
            <w:shd w:val="clear" w:color="auto" w:fill="auto"/>
            <w:vAlign w:val="center"/>
          </w:tcPr>
          <w:p w14:paraId="3D9EF87A"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תכנון ובנייה - ועדות מקומיות (תו"ב)</w:t>
            </w:r>
          </w:p>
        </w:tc>
        <w:tc>
          <w:tcPr>
            <w:tcW w:w="992" w:type="dxa"/>
            <w:shd w:val="clear" w:color="auto" w:fill="auto"/>
            <w:vAlign w:val="center"/>
          </w:tcPr>
          <w:p w14:paraId="16AF3345"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4,386</w:t>
            </w:r>
          </w:p>
        </w:tc>
        <w:tc>
          <w:tcPr>
            <w:tcW w:w="1134" w:type="dxa"/>
            <w:shd w:val="clear" w:color="auto" w:fill="auto"/>
            <w:noWrap/>
            <w:vAlign w:val="center"/>
          </w:tcPr>
          <w:p w14:paraId="5A4E9477"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4:07</w:t>
            </w:r>
          </w:p>
        </w:tc>
        <w:tc>
          <w:tcPr>
            <w:tcW w:w="993" w:type="dxa"/>
            <w:shd w:val="clear" w:color="auto" w:fill="auto"/>
            <w:vAlign w:val="center"/>
          </w:tcPr>
          <w:p w14:paraId="13A26E21"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1:04</w:t>
            </w:r>
          </w:p>
        </w:tc>
        <w:tc>
          <w:tcPr>
            <w:tcW w:w="1134" w:type="dxa"/>
            <w:shd w:val="clear" w:color="auto" w:fill="auto"/>
            <w:vAlign w:val="center"/>
          </w:tcPr>
          <w:p w14:paraId="596793BF"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3.11</w:t>
            </w:r>
          </w:p>
        </w:tc>
        <w:tc>
          <w:tcPr>
            <w:tcW w:w="1558" w:type="dxa"/>
            <w:shd w:val="clear" w:color="auto" w:fill="auto"/>
            <w:vAlign w:val="center"/>
          </w:tcPr>
          <w:p w14:paraId="759BE338"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1:19</w:t>
            </w:r>
          </w:p>
        </w:tc>
      </w:tr>
      <w:tr w:rsidR="00DB5BCC" w:rsidRPr="0052793E" w14:paraId="54753747" w14:textId="77777777" w:rsidTr="00DB5BCC">
        <w:trPr>
          <w:trHeight w:val="567"/>
        </w:trPr>
        <w:tc>
          <w:tcPr>
            <w:tcW w:w="851" w:type="dxa"/>
            <w:shd w:val="clear" w:color="auto" w:fill="auto"/>
            <w:noWrap/>
            <w:vAlign w:val="center"/>
          </w:tcPr>
          <w:p w14:paraId="6A08F830"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משפחה</w:t>
            </w:r>
          </w:p>
        </w:tc>
        <w:tc>
          <w:tcPr>
            <w:tcW w:w="993" w:type="dxa"/>
            <w:shd w:val="clear" w:color="auto" w:fill="auto"/>
            <w:noWrap/>
            <w:vAlign w:val="center"/>
          </w:tcPr>
          <w:p w14:paraId="752634A8" w14:textId="77777777" w:rsidR="00DB5BCC" w:rsidRPr="0052793E" w:rsidRDefault="00DB5BCC" w:rsidP="00DB5BCC">
            <w:pPr>
              <w:spacing w:after="0" w:line="240" w:lineRule="auto"/>
              <w:rPr>
                <w:rFonts w:ascii="David" w:eastAsia="Times New Roman" w:hAnsi="David" w:cs="David"/>
                <w:rtl/>
              </w:rPr>
            </w:pPr>
          </w:p>
        </w:tc>
        <w:tc>
          <w:tcPr>
            <w:tcW w:w="2267" w:type="dxa"/>
            <w:shd w:val="clear" w:color="auto" w:fill="auto"/>
            <w:vAlign w:val="center"/>
          </w:tcPr>
          <w:p w14:paraId="55BF0E76"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תיק עזבונות (ת"ע)</w:t>
            </w:r>
          </w:p>
        </w:tc>
        <w:tc>
          <w:tcPr>
            <w:tcW w:w="992" w:type="dxa"/>
            <w:shd w:val="clear" w:color="auto" w:fill="auto"/>
            <w:vAlign w:val="center"/>
          </w:tcPr>
          <w:p w14:paraId="1D9AA168"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7,720</w:t>
            </w:r>
          </w:p>
        </w:tc>
        <w:tc>
          <w:tcPr>
            <w:tcW w:w="1134" w:type="dxa"/>
            <w:shd w:val="clear" w:color="auto" w:fill="auto"/>
            <w:noWrap/>
            <w:vAlign w:val="center"/>
          </w:tcPr>
          <w:p w14:paraId="502ED2C5"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hint="cs"/>
                <w:b/>
                <w:bCs/>
                <w:rtl/>
              </w:rPr>
              <w:t>4:07</w:t>
            </w:r>
          </w:p>
        </w:tc>
        <w:tc>
          <w:tcPr>
            <w:tcW w:w="993" w:type="dxa"/>
            <w:shd w:val="clear" w:color="auto" w:fill="auto"/>
            <w:vAlign w:val="center"/>
          </w:tcPr>
          <w:p w14:paraId="2F58AE0D"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2:22</w:t>
            </w:r>
          </w:p>
        </w:tc>
        <w:tc>
          <w:tcPr>
            <w:tcW w:w="1134" w:type="dxa"/>
            <w:shd w:val="clear" w:color="auto" w:fill="auto"/>
            <w:vAlign w:val="center"/>
          </w:tcPr>
          <w:p w14:paraId="781A046F"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1.18</w:t>
            </w:r>
          </w:p>
        </w:tc>
        <w:tc>
          <w:tcPr>
            <w:tcW w:w="1558" w:type="dxa"/>
            <w:shd w:val="clear" w:color="auto" w:fill="auto"/>
            <w:vAlign w:val="center"/>
          </w:tcPr>
          <w:p w14:paraId="1928FCC1"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4:29</w:t>
            </w:r>
          </w:p>
        </w:tc>
      </w:tr>
      <w:tr w:rsidR="00DB5BCC" w:rsidRPr="0052793E" w14:paraId="06E3DF93" w14:textId="77777777" w:rsidTr="00DB5BCC">
        <w:trPr>
          <w:trHeight w:val="577"/>
        </w:trPr>
        <w:tc>
          <w:tcPr>
            <w:tcW w:w="851" w:type="dxa"/>
            <w:shd w:val="clear" w:color="auto" w:fill="auto"/>
            <w:noWrap/>
            <w:vAlign w:val="center"/>
          </w:tcPr>
          <w:p w14:paraId="2FD67D5B"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נוער</w:t>
            </w:r>
          </w:p>
        </w:tc>
        <w:tc>
          <w:tcPr>
            <w:tcW w:w="993" w:type="dxa"/>
            <w:shd w:val="clear" w:color="auto" w:fill="auto"/>
            <w:noWrap/>
            <w:vAlign w:val="center"/>
          </w:tcPr>
          <w:p w14:paraId="5293C860" w14:textId="77777777" w:rsidR="00DB5BCC" w:rsidRPr="0052793E" w:rsidRDefault="00DB5BCC" w:rsidP="00DB5BCC">
            <w:pPr>
              <w:spacing w:after="0" w:line="240" w:lineRule="auto"/>
              <w:rPr>
                <w:rFonts w:ascii="David" w:eastAsia="Times New Roman" w:hAnsi="David" w:cs="David"/>
                <w:rtl/>
              </w:rPr>
            </w:pPr>
          </w:p>
        </w:tc>
        <w:tc>
          <w:tcPr>
            <w:tcW w:w="2267" w:type="dxa"/>
            <w:shd w:val="clear" w:color="auto" w:fill="auto"/>
            <w:vAlign w:val="center"/>
          </w:tcPr>
          <w:p w14:paraId="0A7AED2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צו ביניים לנזקקות (צב"נ)</w:t>
            </w:r>
          </w:p>
        </w:tc>
        <w:tc>
          <w:tcPr>
            <w:tcW w:w="992" w:type="dxa"/>
            <w:shd w:val="clear" w:color="auto" w:fill="auto"/>
            <w:vAlign w:val="center"/>
          </w:tcPr>
          <w:p w14:paraId="28E9E38A"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1,765</w:t>
            </w:r>
          </w:p>
        </w:tc>
        <w:tc>
          <w:tcPr>
            <w:tcW w:w="1134" w:type="dxa"/>
            <w:shd w:val="clear" w:color="auto" w:fill="auto"/>
            <w:noWrap/>
            <w:vAlign w:val="center"/>
          </w:tcPr>
          <w:p w14:paraId="2FCAF934"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hint="cs"/>
                <w:b/>
                <w:bCs/>
                <w:rtl/>
              </w:rPr>
              <w:t>4:04</w:t>
            </w:r>
          </w:p>
        </w:tc>
        <w:tc>
          <w:tcPr>
            <w:tcW w:w="993" w:type="dxa"/>
            <w:shd w:val="clear" w:color="auto" w:fill="auto"/>
            <w:vAlign w:val="center"/>
          </w:tcPr>
          <w:p w14:paraId="18C71217"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01:04</w:t>
            </w:r>
          </w:p>
        </w:tc>
        <w:tc>
          <w:tcPr>
            <w:tcW w:w="1134" w:type="dxa"/>
            <w:shd w:val="clear" w:color="auto" w:fill="auto"/>
            <w:vAlign w:val="center"/>
          </w:tcPr>
          <w:p w14:paraId="280DB9CC"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1.05</w:t>
            </w:r>
          </w:p>
        </w:tc>
        <w:tc>
          <w:tcPr>
            <w:tcW w:w="1558" w:type="dxa"/>
            <w:shd w:val="clear" w:color="auto" w:fill="auto"/>
            <w:vAlign w:val="center"/>
          </w:tcPr>
          <w:p w14:paraId="319D9EDA"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3:52</w:t>
            </w:r>
          </w:p>
        </w:tc>
      </w:tr>
      <w:tr w:rsidR="00DB5BCC" w:rsidRPr="0052793E" w14:paraId="51BB3B55" w14:textId="77777777" w:rsidTr="00DB5BCC">
        <w:trPr>
          <w:trHeight w:val="608"/>
        </w:trPr>
        <w:tc>
          <w:tcPr>
            <w:tcW w:w="851" w:type="dxa"/>
            <w:shd w:val="clear" w:color="auto" w:fill="auto"/>
            <w:noWrap/>
            <w:vAlign w:val="center"/>
          </w:tcPr>
          <w:p w14:paraId="6F04BDBA"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עבודה</w:t>
            </w:r>
          </w:p>
        </w:tc>
        <w:tc>
          <w:tcPr>
            <w:tcW w:w="993" w:type="dxa"/>
            <w:shd w:val="clear" w:color="auto" w:fill="auto"/>
            <w:noWrap/>
            <w:vAlign w:val="center"/>
          </w:tcPr>
          <w:p w14:paraId="23EF72AC"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340EEBC1"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סכסוך עבודה בסמכות שופט (סע"ש)</w:t>
            </w:r>
          </w:p>
        </w:tc>
        <w:tc>
          <w:tcPr>
            <w:tcW w:w="992" w:type="dxa"/>
            <w:shd w:val="clear" w:color="auto" w:fill="auto"/>
            <w:vAlign w:val="center"/>
          </w:tcPr>
          <w:p w14:paraId="3B771897"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19,316</w:t>
            </w:r>
          </w:p>
        </w:tc>
        <w:tc>
          <w:tcPr>
            <w:tcW w:w="1134" w:type="dxa"/>
            <w:shd w:val="clear" w:color="auto" w:fill="auto"/>
            <w:noWrap/>
            <w:vAlign w:val="center"/>
          </w:tcPr>
          <w:p w14:paraId="62F72BA6"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hint="cs"/>
                <w:b/>
                <w:bCs/>
                <w:rtl/>
              </w:rPr>
              <w:t>4:04</w:t>
            </w:r>
          </w:p>
        </w:tc>
        <w:tc>
          <w:tcPr>
            <w:tcW w:w="993" w:type="dxa"/>
            <w:shd w:val="clear" w:color="auto" w:fill="auto"/>
            <w:vAlign w:val="center"/>
          </w:tcPr>
          <w:p w14:paraId="3F52747E"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w:t>
            </w:r>
          </w:p>
        </w:tc>
        <w:tc>
          <w:tcPr>
            <w:tcW w:w="1134" w:type="dxa"/>
            <w:shd w:val="clear" w:color="auto" w:fill="auto"/>
            <w:vAlign w:val="center"/>
          </w:tcPr>
          <w:p w14:paraId="594BE2E8"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1.06</w:t>
            </w:r>
          </w:p>
        </w:tc>
        <w:tc>
          <w:tcPr>
            <w:tcW w:w="1558" w:type="dxa"/>
            <w:shd w:val="clear" w:color="auto" w:fill="auto"/>
            <w:vAlign w:val="center"/>
          </w:tcPr>
          <w:p w14:paraId="4F4CD604"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3:51</w:t>
            </w:r>
          </w:p>
        </w:tc>
      </w:tr>
      <w:tr w:rsidR="00DB5BCC" w:rsidRPr="0052793E" w14:paraId="38965FE5" w14:textId="77777777" w:rsidTr="00DB5BCC">
        <w:trPr>
          <w:trHeight w:val="569"/>
        </w:trPr>
        <w:tc>
          <w:tcPr>
            <w:tcW w:w="851" w:type="dxa"/>
            <w:shd w:val="clear" w:color="auto" w:fill="auto"/>
            <w:noWrap/>
            <w:vAlign w:val="center"/>
          </w:tcPr>
          <w:p w14:paraId="16E00A97"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שלום</w:t>
            </w:r>
          </w:p>
        </w:tc>
        <w:tc>
          <w:tcPr>
            <w:tcW w:w="993" w:type="dxa"/>
            <w:shd w:val="clear" w:color="auto" w:fill="auto"/>
            <w:noWrap/>
            <w:vAlign w:val="center"/>
          </w:tcPr>
          <w:p w14:paraId="2C030D1C"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0C1AC53D"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תובענה ייצוגית (ת"צ)</w:t>
            </w:r>
          </w:p>
        </w:tc>
        <w:tc>
          <w:tcPr>
            <w:tcW w:w="992" w:type="dxa"/>
            <w:shd w:val="clear" w:color="auto" w:fill="auto"/>
            <w:vAlign w:val="center"/>
          </w:tcPr>
          <w:p w14:paraId="7A0D755F"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133</w:t>
            </w:r>
          </w:p>
        </w:tc>
        <w:tc>
          <w:tcPr>
            <w:tcW w:w="1134" w:type="dxa"/>
            <w:shd w:val="clear" w:color="auto" w:fill="auto"/>
            <w:noWrap/>
            <w:vAlign w:val="center"/>
          </w:tcPr>
          <w:p w14:paraId="715CB0E6"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4:04</w:t>
            </w:r>
          </w:p>
        </w:tc>
        <w:tc>
          <w:tcPr>
            <w:tcW w:w="993" w:type="dxa"/>
            <w:shd w:val="clear" w:color="auto" w:fill="auto"/>
            <w:vAlign w:val="center"/>
          </w:tcPr>
          <w:p w14:paraId="0BFB5D45"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4:54</w:t>
            </w:r>
          </w:p>
        </w:tc>
        <w:tc>
          <w:tcPr>
            <w:tcW w:w="1134" w:type="dxa"/>
            <w:shd w:val="clear" w:color="auto" w:fill="auto"/>
            <w:vAlign w:val="center"/>
          </w:tcPr>
          <w:p w14:paraId="4535E154"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1.01</w:t>
            </w:r>
          </w:p>
        </w:tc>
        <w:tc>
          <w:tcPr>
            <w:tcW w:w="1558" w:type="dxa"/>
            <w:shd w:val="clear" w:color="auto" w:fill="auto"/>
            <w:vAlign w:val="center"/>
          </w:tcPr>
          <w:p w14:paraId="3F12355F"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4:02</w:t>
            </w:r>
          </w:p>
        </w:tc>
      </w:tr>
      <w:tr w:rsidR="00DB5BCC" w:rsidRPr="0052793E" w14:paraId="54B83A1F" w14:textId="77777777" w:rsidTr="00DB5BCC">
        <w:trPr>
          <w:trHeight w:val="662"/>
        </w:trPr>
        <w:tc>
          <w:tcPr>
            <w:tcW w:w="851" w:type="dxa"/>
            <w:shd w:val="clear" w:color="auto" w:fill="auto"/>
            <w:noWrap/>
            <w:vAlign w:val="center"/>
          </w:tcPr>
          <w:p w14:paraId="7BE99A9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4BDDBC13"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פלילי</w:t>
            </w:r>
          </w:p>
        </w:tc>
        <w:tc>
          <w:tcPr>
            <w:tcW w:w="2267" w:type="dxa"/>
            <w:shd w:val="clear" w:color="auto" w:fill="auto"/>
            <w:vAlign w:val="center"/>
          </w:tcPr>
          <w:p w14:paraId="1484F78D"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ביטול צו הריסה מינהלי (בצה"מ)</w:t>
            </w:r>
          </w:p>
        </w:tc>
        <w:tc>
          <w:tcPr>
            <w:tcW w:w="992" w:type="dxa"/>
            <w:shd w:val="clear" w:color="auto" w:fill="auto"/>
            <w:vAlign w:val="center"/>
          </w:tcPr>
          <w:p w14:paraId="4C199D1C"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353</w:t>
            </w:r>
          </w:p>
        </w:tc>
        <w:tc>
          <w:tcPr>
            <w:tcW w:w="1134" w:type="dxa"/>
            <w:shd w:val="clear" w:color="auto" w:fill="auto"/>
            <w:noWrap/>
            <w:vAlign w:val="center"/>
          </w:tcPr>
          <w:p w14:paraId="0DAD208E"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3:57</w:t>
            </w:r>
          </w:p>
        </w:tc>
        <w:tc>
          <w:tcPr>
            <w:tcW w:w="993" w:type="dxa"/>
            <w:shd w:val="clear" w:color="auto" w:fill="auto"/>
            <w:vAlign w:val="center"/>
          </w:tcPr>
          <w:p w14:paraId="45C691D8"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w:t>
            </w:r>
          </w:p>
        </w:tc>
        <w:tc>
          <w:tcPr>
            <w:tcW w:w="1134" w:type="dxa"/>
            <w:shd w:val="clear" w:color="auto" w:fill="auto"/>
            <w:vAlign w:val="center"/>
          </w:tcPr>
          <w:p w14:paraId="6DD5F664"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445A3BE3"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3:57</w:t>
            </w:r>
          </w:p>
        </w:tc>
      </w:tr>
      <w:tr w:rsidR="00DB5BCC" w:rsidRPr="0052793E" w14:paraId="4FAE4A34" w14:textId="77777777" w:rsidTr="00DB5BCC">
        <w:trPr>
          <w:trHeight w:val="510"/>
        </w:trPr>
        <w:tc>
          <w:tcPr>
            <w:tcW w:w="851" w:type="dxa"/>
            <w:shd w:val="clear" w:color="auto" w:fill="auto"/>
            <w:noWrap/>
            <w:vAlign w:val="center"/>
          </w:tcPr>
          <w:p w14:paraId="3A9A9C1E"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5863F11B"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0D257A38"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רשות ערעור על החלטת ראש הוצל"פ (רע"צ)</w:t>
            </w:r>
          </w:p>
        </w:tc>
        <w:tc>
          <w:tcPr>
            <w:tcW w:w="992" w:type="dxa"/>
            <w:shd w:val="clear" w:color="auto" w:fill="auto"/>
            <w:vAlign w:val="center"/>
          </w:tcPr>
          <w:p w14:paraId="71CE6EE9"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432</w:t>
            </w:r>
          </w:p>
        </w:tc>
        <w:tc>
          <w:tcPr>
            <w:tcW w:w="1134" w:type="dxa"/>
            <w:shd w:val="clear" w:color="auto" w:fill="auto"/>
            <w:noWrap/>
            <w:vAlign w:val="center"/>
          </w:tcPr>
          <w:p w14:paraId="1781E62B"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hint="cs"/>
                <w:b/>
                <w:bCs/>
                <w:rtl/>
              </w:rPr>
              <w:t>3:50</w:t>
            </w:r>
          </w:p>
        </w:tc>
        <w:tc>
          <w:tcPr>
            <w:tcW w:w="993" w:type="dxa"/>
            <w:shd w:val="clear" w:color="auto" w:fill="auto"/>
            <w:vAlign w:val="center"/>
          </w:tcPr>
          <w:p w14:paraId="6D67CD78"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1:52</w:t>
            </w:r>
          </w:p>
        </w:tc>
        <w:tc>
          <w:tcPr>
            <w:tcW w:w="1134" w:type="dxa"/>
            <w:shd w:val="clear" w:color="auto" w:fill="auto"/>
            <w:vAlign w:val="center"/>
          </w:tcPr>
          <w:p w14:paraId="42426A3B"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1.01</w:t>
            </w:r>
          </w:p>
        </w:tc>
        <w:tc>
          <w:tcPr>
            <w:tcW w:w="1558" w:type="dxa"/>
            <w:shd w:val="clear" w:color="auto" w:fill="auto"/>
            <w:vAlign w:val="center"/>
          </w:tcPr>
          <w:p w14:paraId="08F23A2B"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3:48</w:t>
            </w:r>
          </w:p>
        </w:tc>
      </w:tr>
      <w:tr w:rsidR="00DB5BCC" w:rsidRPr="0052793E" w14:paraId="37566DE9" w14:textId="77777777" w:rsidTr="00DB5BCC">
        <w:trPr>
          <w:trHeight w:val="510"/>
        </w:trPr>
        <w:tc>
          <w:tcPr>
            <w:tcW w:w="851" w:type="dxa"/>
            <w:shd w:val="clear" w:color="auto" w:fill="auto"/>
            <w:noWrap/>
            <w:vAlign w:val="center"/>
            <w:hideMark/>
          </w:tcPr>
          <w:p w14:paraId="6C618AC6"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shd w:val="clear" w:color="auto" w:fill="auto"/>
            <w:noWrap/>
            <w:vAlign w:val="center"/>
            <w:hideMark/>
          </w:tcPr>
          <w:p w14:paraId="7515BE9E"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hideMark/>
          </w:tcPr>
          <w:p w14:paraId="5E3EBACB"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ערעור שונה - אזרחי (עש"א)</w:t>
            </w:r>
          </w:p>
        </w:tc>
        <w:tc>
          <w:tcPr>
            <w:tcW w:w="992" w:type="dxa"/>
            <w:shd w:val="clear" w:color="auto" w:fill="auto"/>
            <w:vAlign w:val="center"/>
            <w:hideMark/>
          </w:tcPr>
          <w:p w14:paraId="2790E047"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446</w:t>
            </w:r>
          </w:p>
        </w:tc>
        <w:tc>
          <w:tcPr>
            <w:tcW w:w="1134" w:type="dxa"/>
            <w:shd w:val="clear" w:color="auto" w:fill="auto"/>
            <w:noWrap/>
            <w:vAlign w:val="center"/>
            <w:hideMark/>
          </w:tcPr>
          <w:p w14:paraId="7BF8D829"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3:49</w:t>
            </w:r>
          </w:p>
        </w:tc>
        <w:tc>
          <w:tcPr>
            <w:tcW w:w="993" w:type="dxa"/>
            <w:shd w:val="clear" w:color="auto" w:fill="auto"/>
            <w:vAlign w:val="center"/>
            <w:hideMark/>
          </w:tcPr>
          <w:p w14:paraId="14898AF8"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w:t>
            </w:r>
          </w:p>
        </w:tc>
        <w:tc>
          <w:tcPr>
            <w:tcW w:w="1134" w:type="dxa"/>
            <w:shd w:val="clear" w:color="auto" w:fill="auto"/>
            <w:vAlign w:val="center"/>
          </w:tcPr>
          <w:p w14:paraId="7BA4F91F"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02F620D6"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3:49</w:t>
            </w:r>
          </w:p>
        </w:tc>
      </w:tr>
      <w:tr w:rsidR="00DB5BCC" w:rsidRPr="0052793E" w14:paraId="0B75B64D" w14:textId="77777777" w:rsidTr="00DB5BCC">
        <w:trPr>
          <w:trHeight w:val="630"/>
        </w:trPr>
        <w:tc>
          <w:tcPr>
            <w:tcW w:w="851" w:type="dxa"/>
            <w:shd w:val="clear" w:color="auto" w:fill="auto"/>
            <w:noWrap/>
            <w:vAlign w:val="center"/>
          </w:tcPr>
          <w:p w14:paraId="09C35805"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2614702A"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 ועדת ערר</w:t>
            </w:r>
          </w:p>
        </w:tc>
        <w:tc>
          <w:tcPr>
            <w:tcW w:w="2267" w:type="dxa"/>
            <w:shd w:val="clear" w:color="auto" w:fill="auto"/>
            <w:vAlign w:val="center"/>
          </w:tcPr>
          <w:p w14:paraId="791FC582"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ועדת ערר (ו"ע)</w:t>
            </w:r>
          </w:p>
        </w:tc>
        <w:tc>
          <w:tcPr>
            <w:tcW w:w="992" w:type="dxa"/>
            <w:shd w:val="clear" w:color="auto" w:fill="auto"/>
            <w:vAlign w:val="center"/>
          </w:tcPr>
          <w:p w14:paraId="52E90CA7"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1,905</w:t>
            </w:r>
          </w:p>
        </w:tc>
        <w:tc>
          <w:tcPr>
            <w:tcW w:w="1134" w:type="dxa"/>
            <w:shd w:val="clear" w:color="auto" w:fill="auto"/>
            <w:noWrap/>
            <w:vAlign w:val="center"/>
          </w:tcPr>
          <w:p w14:paraId="51974965"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3:38</w:t>
            </w:r>
          </w:p>
        </w:tc>
        <w:tc>
          <w:tcPr>
            <w:tcW w:w="993" w:type="dxa"/>
            <w:shd w:val="clear" w:color="auto" w:fill="auto"/>
            <w:vAlign w:val="center"/>
          </w:tcPr>
          <w:p w14:paraId="33E782A8"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2:26</w:t>
            </w:r>
          </w:p>
        </w:tc>
        <w:tc>
          <w:tcPr>
            <w:tcW w:w="1134" w:type="dxa"/>
            <w:shd w:val="clear" w:color="auto" w:fill="auto"/>
            <w:vAlign w:val="center"/>
          </w:tcPr>
          <w:p w14:paraId="538C2E23"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3.08</w:t>
            </w:r>
          </w:p>
        </w:tc>
        <w:tc>
          <w:tcPr>
            <w:tcW w:w="1558" w:type="dxa"/>
            <w:shd w:val="clear" w:color="auto" w:fill="auto"/>
            <w:vAlign w:val="center"/>
          </w:tcPr>
          <w:p w14:paraId="43D2DD04"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1:10</w:t>
            </w:r>
          </w:p>
        </w:tc>
      </w:tr>
      <w:tr w:rsidR="00DB5BCC" w:rsidRPr="0052793E" w14:paraId="02C987AC" w14:textId="77777777" w:rsidTr="00DB5BCC">
        <w:trPr>
          <w:trHeight w:val="630"/>
        </w:trPr>
        <w:tc>
          <w:tcPr>
            <w:tcW w:w="851" w:type="dxa"/>
            <w:shd w:val="clear" w:color="auto" w:fill="auto"/>
            <w:noWrap/>
            <w:vAlign w:val="center"/>
          </w:tcPr>
          <w:p w14:paraId="3DDF6544"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עבודה</w:t>
            </w:r>
          </w:p>
        </w:tc>
        <w:tc>
          <w:tcPr>
            <w:tcW w:w="993" w:type="dxa"/>
            <w:shd w:val="clear" w:color="auto" w:fill="auto"/>
            <w:noWrap/>
            <w:vAlign w:val="center"/>
          </w:tcPr>
          <w:p w14:paraId="3E3CAB82"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388C70D8"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ביטוח לאומי (ב"ל) – נפגעי עבודה</w:t>
            </w:r>
          </w:p>
        </w:tc>
        <w:tc>
          <w:tcPr>
            <w:tcW w:w="992" w:type="dxa"/>
            <w:shd w:val="clear" w:color="auto" w:fill="auto"/>
            <w:vAlign w:val="center"/>
          </w:tcPr>
          <w:p w14:paraId="7ED1E768"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4,167</w:t>
            </w:r>
          </w:p>
        </w:tc>
        <w:tc>
          <w:tcPr>
            <w:tcW w:w="1134" w:type="dxa"/>
            <w:shd w:val="clear" w:color="auto" w:fill="auto"/>
            <w:noWrap/>
            <w:vAlign w:val="center"/>
          </w:tcPr>
          <w:p w14:paraId="55A771EC"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tl/>
              </w:rPr>
              <w:t>3:2</w:t>
            </w:r>
            <w:r w:rsidRPr="0052793E">
              <w:rPr>
                <w:rFonts w:ascii="David" w:eastAsia="Times New Roman" w:hAnsi="David" w:cs="David" w:hint="cs"/>
                <w:b/>
                <w:bCs/>
                <w:rtl/>
              </w:rPr>
              <w:t>9</w:t>
            </w:r>
          </w:p>
        </w:tc>
        <w:tc>
          <w:tcPr>
            <w:tcW w:w="993" w:type="dxa"/>
            <w:shd w:val="clear" w:color="auto" w:fill="auto"/>
            <w:vAlign w:val="center"/>
          </w:tcPr>
          <w:p w14:paraId="13CA4F5E"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3:24</w:t>
            </w:r>
          </w:p>
        </w:tc>
        <w:tc>
          <w:tcPr>
            <w:tcW w:w="1134" w:type="dxa"/>
            <w:shd w:val="clear" w:color="auto" w:fill="auto"/>
            <w:vAlign w:val="center"/>
          </w:tcPr>
          <w:p w14:paraId="53537A73"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1.01</w:t>
            </w:r>
          </w:p>
        </w:tc>
        <w:tc>
          <w:tcPr>
            <w:tcW w:w="1558" w:type="dxa"/>
            <w:shd w:val="clear" w:color="auto" w:fill="auto"/>
            <w:vAlign w:val="center"/>
          </w:tcPr>
          <w:p w14:paraId="448D7B8C"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3:26</w:t>
            </w:r>
          </w:p>
        </w:tc>
      </w:tr>
      <w:tr w:rsidR="00DB5BCC" w:rsidRPr="0052793E" w14:paraId="406EE628" w14:textId="77777777" w:rsidTr="00DB5BCC">
        <w:trPr>
          <w:trHeight w:val="471"/>
        </w:trPr>
        <w:tc>
          <w:tcPr>
            <w:tcW w:w="851" w:type="dxa"/>
            <w:shd w:val="clear" w:color="auto" w:fill="auto"/>
            <w:noWrap/>
            <w:vAlign w:val="center"/>
          </w:tcPr>
          <w:p w14:paraId="086694D9"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שלום</w:t>
            </w:r>
          </w:p>
        </w:tc>
        <w:tc>
          <w:tcPr>
            <w:tcW w:w="993" w:type="dxa"/>
            <w:shd w:val="clear" w:color="auto" w:fill="auto"/>
            <w:noWrap/>
            <w:vAlign w:val="center"/>
          </w:tcPr>
          <w:p w14:paraId="6269079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725657D5"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תיק אזרחי בסדר דין רגיל (ת"א)-נזקי רכוש - רכב</w:t>
            </w:r>
          </w:p>
        </w:tc>
        <w:tc>
          <w:tcPr>
            <w:tcW w:w="992" w:type="dxa"/>
            <w:shd w:val="clear" w:color="auto" w:fill="auto"/>
            <w:vAlign w:val="center"/>
          </w:tcPr>
          <w:p w14:paraId="75748BAC"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874</w:t>
            </w:r>
          </w:p>
        </w:tc>
        <w:tc>
          <w:tcPr>
            <w:tcW w:w="1134" w:type="dxa"/>
            <w:shd w:val="clear" w:color="auto" w:fill="auto"/>
            <w:noWrap/>
            <w:vAlign w:val="center"/>
          </w:tcPr>
          <w:p w14:paraId="131F4B16" w14:textId="77777777" w:rsidR="00DB5BCC" w:rsidRPr="0052793E" w:rsidRDefault="00DB5BCC" w:rsidP="00DB5BCC">
            <w:pPr>
              <w:bidi w:val="0"/>
              <w:spacing w:after="0" w:line="240" w:lineRule="auto"/>
              <w:jc w:val="center"/>
              <w:rPr>
                <w:rFonts w:ascii="David" w:eastAsia="Times New Roman" w:hAnsi="David" w:cs="David"/>
                <w:b/>
                <w:bCs/>
                <w:rtl/>
              </w:rPr>
            </w:pPr>
            <w:r w:rsidRPr="0052793E">
              <w:rPr>
                <w:rFonts w:ascii="David" w:eastAsia="Times New Roman" w:hAnsi="David" w:cs="David"/>
                <w:b/>
                <w:bCs/>
              </w:rPr>
              <w:t>3:23</w:t>
            </w:r>
          </w:p>
        </w:tc>
        <w:tc>
          <w:tcPr>
            <w:tcW w:w="993" w:type="dxa"/>
            <w:shd w:val="clear" w:color="auto" w:fill="auto"/>
            <w:vAlign w:val="center"/>
          </w:tcPr>
          <w:p w14:paraId="32903960"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5:42</w:t>
            </w:r>
          </w:p>
        </w:tc>
        <w:tc>
          <w:tcPr>
            <w:tcW w:w="1134" w:type="dxa"/>
            <w:shd w:val="clear" w:color="auto" w:fill="auto"/>
            <w:vAlign w:val="center"/>
          </w:tcPr>
          <w:p w14:paraId="61F5DC0F"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1.1</w:t>
            </w:r>
          </w:p>
        </w:tc>
        <w:tc>
          <w:tcPr>
            <w:tcW w:w="1558" w:type="dxa"/>
            <w:shd w:val="clear" w:color="auto" w:fill="auto"/>
            <w:vAlign w:val="center"/>
          </w:tcPr>
          <w:p w14:paraId="30081087"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3:05</w:t>
            </w:r>
          </w:p>
        </w:tc>
      </w:tr>
      <w:tr w:rsidR="00DB5BCC" w:rsidRPr="0052793E" w14:paraId="25225B6C" w14:textId="77777777" w:rsidTr="00DB5BCC">
        <w:trPr>
          <w:trHeight w:val="471"/>
        </w:trPr>
        <w:tc>
          <w:tcPr>
            <w:tcW w:w="851" w:type="dxa"/>
            <w:shd w:val="clear" w:color="auto" w:fill="auto"/>
            <w:noWrap/>
            <w:vAlign w:val="center"/>
          </w:tcPr>
          <w:p w14:paraId="79806192"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shd w:val="clear" w:color="auto" w:fill="auto"/>
            <w:noWrap/>
            <w:vAlign w:val="center"/>
          </w:tcPr>
          <w:p w14:paraId="4D2C2476"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עניינים מנהליים/ אזרחי</w:t>
            </w:r>
          </w:p>
        </w:tc>
        <w:tc>
          <w:tcPr>
            <w:tcW w:w="2267" w:type="dxa"/>
            <w:shd w:val="clear" w:color="auto" w:fill="auto"/>
            <w:vAlign w:val="center"/>
          </w:tcPr>
          <w:p w14:paraId="317F979D"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ערעור על ועדה (ע"ו)</w:t>
            </w:r>
          </w:p>
        </w:tc>
        <w:tc>
          <w:tcPr>
            <w:tcW w:w="992" w:type="dxa"/>
            <w:shd w:val="clear" w:color="auto" w:fill="auto"/>
            <w:vAlign w:val="center"/>
          </w:tcPr>
          <w:p w14:paraId="06E82639"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1,034</w:t>
            </w:r>
          </w:p>
        </w:tc>
        <w:tc>
          <w:tcPr>
            <w:tcW w:w="1134" w:type="dxa"/>
            <w:shd w:val="clear" w:color="auto" w:fill="auto"/>
            <w:noWrap/>
            <w:vAlign w:val="center"/>
          </w:tcPr>
          <w:p w14:paraId="130F176D"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3:16</w:t>
            </w:r>
          </w:p>
        </w:tc>
        <w:tc>
          <w:tcPr>
            <w:tcW w:w="993" w:type="dxa"/>
            <w:shd w:val="clear" w:color="auto" w:fill="auto"/>
            <w:vAlign w:val="center"/>
          </w:tcPr>
          <w:p w14:paraId="45026559" w14:textId="77777777" w:rsidR="00DB5BCC" w:rsidRPr="0052793E" w:rsidRDefault="00DB5BCC" w:rsidP="00DB5BCC">
            <w:pPr>
              <w:bidi w:val="0"/>
              <w:spacing w:after="0" w:line="240" w:lineRule="auto"/>
              <w:jc w:val="center"/>
              <w:rPr>
                <w:rFonts w:ascii="David" w:eastAsia="Times New Roman" w:hAnsi="David" w:cs="David"/>
              </w:rPr>
            </w:pPr>
            <w:r w:rsidRPr="0052793E">
              <w:rPr>
                <w:rFonts w:ascii="David" w:eastAsia="Times New Roman" w:hAnsi="David" w:cs="David"/>
                <w:rtl/>
              </w:rPr>
              <w:t>5:58</w:t>
            </w:r>
          </w:p>
        </w:tc>
        <w:tc>
          <w:tcPr>
            <w:tcW w:w="1134" w:type="dxa"/>
            <w:shd w:val="clear" w:color="auto" w:fill="auto"/>
            <w:vAlign w:val="center"/>
          </w:tcPr>
          <w:p w14:paraId="07F6DC61" w14:textId="77777777" w:rsidR="00DB5BCC" w:rsidRPr="0052793E" w:rsidRDefault="00DB5BCC" w:rsidP="00DB5BCC">
            <w:pPr>
              <w:bidi w:val="0"/>
              <w:spacing w:after="0" w:line="240" w:lineRule="auto"/>
              <w:jc w:val="center"/>
              <w:rPr>
                <w:rFonts w:ascii="David" w:eastAsia="Times New Roman" w:hAnsi="David" w:cs="David"/>
              </w:rPr>
            </w:pPr>
            <w:r w:rsidRPr="0052793E">
              <w:rPr>
                <w:rFonts w:ascii="David" w:eastAsia="Times New Roman" w:hAnsi="David" w:cs="David"/>
                <w:rtl/>
              </w:rPr>
              <w:t>1</w:t>
            </w:r>
          </w:p>
        </w:tc>
        <w:tc>
          <w:tcPr>
            <w:tcW w:w="1558" w:type="dxa"/>
            <w:shd w:val="clear" w:color="auto" w:fill="auto"/>
            <w:vAlign w:val="center"/>
          </w:tcPr>
          <w:p w14:paraId="24712EEF"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3:16</w:t>
            </w:r>
          </w:p>
        </w:tc>
      </w:tr>
      <w:tr w:rsidR="00DB5BCC" w:rsidRPr="0052793E" w14:paraId="6C008E67" w14:textId="77777777" w:rsidTr="00DB5BCC">
        <w:trPr>
          <w:trHeight w:val="531"/>
        </w:trPr>
        <w:tc>
          <w:tcPr>
            <w:tcW w:w="851" w:type="dxa"/>
            <w:shd w:val="clear" w:color="auto" w:fill="auto"/>
            <w:noWrap/>
            <w:vAlign w:val="center"/>
          </w:tcPr>
          <w:p w14:paraId="3219F47C"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28C50001"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289E00BB"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תיק אזרחי בסדר דין רגיל (ת"א)-קניין רוחני</w:t>
            </w:r>
          </w:p>
        </w:tc>
        <w:tc>
          <w:tcPr>
            <w:tcW w:w="992" w:type="dxa"/>
            <w:shd w:val="clear" w:color="auto" w:fill="auto"/>
            <w:vAlign w:val="center"/>
          </w:tcPr>
          <w:p w14:paraId="508EBBA8"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287</w:t>
            </w:r>
          </w:p>
        </w:tc>
        <w:tc>
          <w:tcPr>
            <w:tcW w:w="1134" w:type="dxa"/>
            <w:shd w:val="clear" w:color="auto" w:fill="auto"/>
            <w:noWrap/>
            <w:vAlign w:val="center"/>
          </w:tcPr>
          <w:p w14:paraId="0EC1FEF1"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3:12</w:t>
            </w:r>
          </w:p>
        </w:tc>
        <w:tc>
          <w:tcPr>
            <w:tcW w:w="993" w:type="dxa"/>
            <w:shd w:val="clear" w:color="auto" w:fill="auto"/>
            <w:vAlign w:val="center"/>
          </w:tcPr>
          <w:p w14:paraId="435E0E09"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5:42</w:t>
            </w:r>
          </w:p>
        </w:tc>
        <w:tc>
          <w:tcPr>
            <w:tcW w:w="1134" w:type="dxa"/>
            <w:shd w:val="clear" w:color="auto" w:fill="auto"/>
            <w:vAlign w:val="center"/>
          </w:tcPr>
          <w:p w14:paraId="0A4D48BD"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1.04</w:t>
            </w:r>
          </w:p>
        </w:tc>
        <w:tc>
          <w:tcPr>
            <w:tcW w:w="1558" w:type="dxa"/>
            <w:shd w:val="clear" w:color="auto" w:fill="auto"/>
            <w:vAlign w:val="center"/>
          </w:tcPr>
          <w:p w14:paraId="51EC297D"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3:04</w:t>
            </w:r>
          </w:p>
        </w:tc>
      </w:tr>
      <w:tr w:rsidR="00DB5BCC" w:rsidRPr="0052793E" w14:paraId="57CD2EC2" w14:textId="77777777" w:rsidTr="00DB5BCC">
        <w:trPr>
          <w:trHeight w:val="630"/>
        </w:trPr>
        <w:tc>
          <w:tcPr>
            <w:tcW w:w="851" w:type="dxa"/>
            <w:tcBorders>
              <w:bottom w:val="single" w:sz="4" w:space="0" w:color="auto"/>
            </w:tcBorders>
            <w:shd w:val="clear" w:color="auto" w:fill="auto"/>
            <w:noWrap/>
            <w:vAlign w:val="center"/>
          </w:tcPr>
          <w:p w14:paraId="6C63F821"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tcBorders>
              <w:bottom w:val="single" w:sz="4" w:space="0" w:color="auto"/>
            </w:tcBorders>
            <w:shd w:val="clear" w:color="auto" w:fill="auto"/>
            <w:noWrap/>
            <w:vAlign w:val="center"/>
          </w:tcPr>
          <w:p w14:paraId="52330DC9"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tcBorders>
              <w:bottom w:val="single" w:sz="4" w:space="0" w:color="auto"/>
            </w:tcBorders>
            <w:shd w:val="clear" w:color="auto" w:fill="auto"/>
            <w:vAlign w:val="center"/>
          </w:tcPr>
          <w:p w14:paraId="0BA4C558"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המרצת פתיחה (ה"פ)</w:t>
            </w:r>
          </w:p>
        </w:tc>
        <w:tc>
          <w:tcPr>
            <w:tcW w:w="992" w:type="dxa"/>
            <w:tcBorders>
              <w:bottom w:val="single" w:sz="4" w:space="0" w:color="auto"/>
            </w:tcBorders>
            <w:shd w:val="clear" w:color="auto" w:fill="auto"/>
            <w:vAlign w:val="center"/>
          </w:tcPr>
          <w:p w14:paraId="4B3374F8"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1,992</w:t>
            </w:r>
          </w:p>
        </w:tc>
        <w:tc>
          <w:tcPr>
            <w:tcW w:w="1134" w:type="dxa"/>
            <w:tcBorders>
              <w:bottom w:val="single" w:sz="4" w:space="0" w:color="auto"/>
            </w:tcBorders>
            <w:shd w:val="clear" w:color="auto" w:fill="auto"/>
            <w:noWrap/>
            <w:vAlign w:val="center"/>
          </w:tcPr>
          <w:p w14:paraId="101B2A2F"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3:04</w:t>
            </w:r>
          </w:p>
        </w:tc>
        <w:tc>
          <w:tcPr>
            <w:tcW w:w="993" w:type="dxa"/>
            <w:tcBorders>
              <w:bottom w:val="single" w:sz="4" w:space="0" w:color="auto"/>
            </w:tcBorders>
            <w:shd w:val="clear" w:color="auto" w:fill="auto"/>
            <w:vAlign w:val="center"/>
          </w:tcPr>
          <w:p w14:paraId="7D2E099D"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2:31</w:t>
            </w:r>
          </w:p>
        </w:tc>
        <w:tc>
          <w:tcPr>
            <w:tcW w:w="1134" w:type="dxa"/>
            <w:tcBorders>
              <w:bottom w:val="single" w:sz="4" w:space="0" w:color="auto"/>
            </w:tcBorders>
            <w:shd w:val="clear" w:color="auto" w:fill="auto"/>
            <w:vAlign w:val="center"/>
          </w:tcPr>
          <w:p w14:paraId="6A33C33E"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tcBorders>
              <w:bottom w:val="single" w:sz="4" w:space="0" w:color="auto"/>
            </w:tcBorders>
            <w:shd w:val="clear" w:color="auto" w:fill="auto"/>
            <w:vAlign w:val="center"/>
          </w:tcPr>
          <w:p w14:paraId="5ED6216D"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3:04</w:t>
            </w:r>
          </w:p>
        </w:tc>
      </w:tr>
      <w:tr w:rsidR="00DB5BCC" w:rsidRPr="0052793E" w14:paraId="331C2D6A" w14:textId="77777777" w:rsidTr="00DB5BCC">
        <w:trPr>
          <w:trHeight w:val="630"/>
        </w:trPr>
        <w:tc>
          <w:tcPr>
            <w:tcW w:w="851" w:type="dxa"/>
            <w:tcBorders>
              <w:top w:val="single" w:sz="4" w:space="0" w:color="auto"/>
              <w:bottom w:val="single" w:sz="4" w:space="0" w:color="auto"/>
            </w:tcBorders>
            <w:shd w:val="clear" w:color="auto" w:fill="auto"/>
            <w:noWrap/>
            <w:vAlign w:val="center"/>
          </w:tcPr>
          <w:p w14:paraId="7587B259"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tcBorders>
              <w:top w:val="single" w:sz="4" w:space="0" w:color="auto"/>
              <w:bottom w:val="single" w:sz="4" w:space="0" w:color="auto"/>
            </w:tcBorders>
            <w:shd w:val="clear" w:color="auto" w:fill="auto"/>
            <w:noWrap/>
            <w:vAlign w:val="center"/>
          </w:tcPr>
          <w:p w14:paraId="71D1F36B"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פלילי</w:t>
            </w:r>
          </w:p>
        </w:tc>
        <w:tc>
          <w:tcPr>
            <w:tcW w:w="2267" w:type="dxa"/>
            <w:tcBorders>
              <w:top w:val="single" w:sz="4" w:space="0" w:color="auto"/>
              <w:bottom w:val="single" w:sz="4" w:space="0" w:color="auto"/>
            </w:tcBorders>
            <w:shd w:val="clear" w:color="auto" w:fill="auto"/>
            <w:vAlign w:val="center"/>
          </w:tcPr>
          <w:p w14:paraId="1E745013"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פיקוח על עבריין מין (פע"מ)</w:t>
            </w:r>
          </w:p>
        </w:tc>
        <w:tc>
          <w:tcPr>
            <w:tcW w:w="992" w:type="dxa"/>
            <w:tcBorders>
              <w:top w:val="single" w:sz="4" w:space="0" w:color="auto"/>
              <w:bottom w:val="single" w:sz="4" w:space="0" w:color="auto"/>
            </w:tcBorders>
            <w:shd w:val="clear" w:color="auto" w:fill="auto"/>
            <w:vAlign w:val="center"/>
          </w:tcPr>
          <w:p w14:paraId="6F30BAA6"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350</w:t>
            </w:r>
          </w:p>
        </w:tc>
        <w:tc>
          <w:tcPr>
            <w:tcW w:w="1134" w:type="dxa"/>
            <w:tcBorders>
              <w:top w:val="single" w:sz="4" w:space="0" w:color="auto"/>
              <w:bottom w:val="single" w:sz="4" w:space="0" w:color="auto"/>
            </w:tcBorders>
            <w:shd w:val="clear" w:color="auto" w:fill="auto"/>
            <w:noWrap/>
            <w:vAlign w:val="center"/>
          </w:tcPr>
          <w:p w14:paraId="3B7552AA"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3:00</w:t>
            </w:r>
          </w:p>
        </w:tc>
        <w:tc>
          <w:tcPr>
            <w:tcW w:w="993" w:type="dxa"/>
            <w:tcBorders>
              <w:top w:val="single" w:sz="4" w:space="0" w:color="auto"/>
              <w:bottom w:val="single" w:sz="4" w:space="0" w:color="auto"/>
            </w:tcBorders>
            <w:shd w:val="clear" w:color="auto" w:fill="auto"/>
            <w:vAlign w:val="center"/>
          </w:tcPr>
          <w:p w14:paraId="1EF10E04"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w:t>
            </w:r>
          </w:p>
        </w:tc>
        <w:tc>
          <w:tcPr>
            <w:tcW w:w="1134" w:type="dxa"/>
            <w:tcBorders>
              <w:top w:val="single" w:sz="4" w:space="0" w:color="auto"/>
              <w:bottom w:val="single" w:sz="4" w:space="0" w:color="auto"/>
            </w:tcBorders>
            <w:shd w:val="clear" w:color="auto" w:fill="auto"/>
            <w:vAlign w:val="center"/>
          </w:tcPr>
          <w:p w14:paraId="20B36328"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tcBorders>
              <w:top w:val="single" w:sz="4" w:space="0" w:color="auto"/>
              <w:bottom w:val="single" w:sz="4" w:space="0" w:color="auto"/>
            </w:tcBorders>
            <w:shd w:val="clear" w:color="auto" w:fill="auto"/>
            <w:vAlign w:val="center"/>
          </w:tcPr>
          <w:p w14:paraId="1CEFB5BF"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3:00</w:t>
            </w:r>
          </w:p>
        </w:tc>
      </w:tr>
      <w:tr w:rsidR="00DB5BCC" w:rsidRPr="0052793E" w14:paraId="07A59DB4" w14:textId="77777777" w:rsidTr="00DB5BCC">
        <w:trPr>
          <w:trHeight w:val="614"/>
        </w:trPr>
        <w:tc>
          <w:tcPr>
            <w:tcW w:w="851" w:type="dxa"/>
            <w:tcBorders>
              <w:top w:val="single" w:sz="4" w:space="0" w:color="auto"/>
            </w:tcBorders>
            <w:shd w:val="clear" w:color="auto" w:fill="auto"/>
            <w:noWrap/>
            <w:vAlign w:val="center"/>
          </w:tcPr>
          <w:p w14:paraId="5B070ADB"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שלום</w:t>
            </w:r>
          </w:p>
        </w:tc>
        <w:tc>
          <w:tcPr>
            <w:tcW w:w="993" w:type="dxa"/>
            <w:tcBorders>
              <w:top w:val="single" w:sz="4" w:space="0" w:color="auto"/>
            </w:tcBorders>
            <w:shd w:val="clear" w:color="auto" w:fill="auto"/>
            <w:noWrap/>
            <w:vAlign w:val="center"/>
          </w:tcPr>
          <w:p w14:paraId="38385B1C"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tcBorders>
              <w:top w:val="single" w:sz="4" w:space="0" w:color="auto"/>
            </w:tcBorders>
            <w:shd w:val="clear" w:color="auto" w:fill="auto"/>
            <w:vAlign w:val="center"/>
          </w:tcPr>
          <w:p w14:paraId="650C1C0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צו מניעה - סגירה מנהלית לעסק (צ"מ)</w:t>
            </w:r>
          </w:p>
        </w:tc>
        <w:tc>
          <w:tcPr>
            <w:tcW w:w="992" w:type="dxa"/>
            <w:tcBorders>
              <w:top w:val="single" w:sz="4" w:space="0" w:color="auto"/>
            </w:tcBorders>
            <w:shd w:val="clear" w:color="auto" w:fill="auto"/>
            <w:vAlign w:val="center"/>
          </w:tcPr>
          <w:p w14:paraId="1C9D51F4"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36</w:t>
            </w:r>
          </w:p>
        </w:tc>
        <w:tc>
          <w:tcPr>
            <w:tcW w:w="1134" w:type="dxa"/>
            <w:tcBorders>
              <w:top w:val="single" w:sz="4" w:space="0" w:color="auto"/>
            </w:tcBorders>
            <w:shd w:val="clear" w:color="auto" w:fill="auto"/>
            <w:noWrap/>
            <w:vAlign w:val="center"/>
          </w:tcPr>
          <w:p w14:paraId="5A5DC3B3" w14:textId="77777777" w:rsidR="00DB5BCC" w:rsidRPr="0052793E" w:rsidRDefault="00DB5BCC" w:rsidP="00DB5BCC">
            <w:pPr>
              <w:spacing w:after="0" w:line="240" w:lineRule="auto"/>
              <w:jc w:val="center"/>
              <w:rPr>
                <w:rFonts w:asciiTheme="minorHAnsi" w:eastAsia="Times New Roman" w:hAnsiTheme="minorHAnsi" w:cs="David"/>
                <w:b/>
                <w:bCs/>
              </w:rPr>
            </w:pPr>
            <w:r w:rsidRPr="0052793E">
              <w:rPr>
                <w:rFonts w:ascii="David" w:eastAsia="Times New Roman" w:hAnsi="David" w:cs="David"/>
                <w:b/>
                <w:bCs/>
              </w:rPr>
              <w:t>2:53</w:t>
            </w:r>
          </w:p>
        </w:tc>
        <w:tc>
          <w:tcPr>
            <w:tcW w:w="993" w:type="dxa"/>
            <w:tcBorders>
              <w:top w:val="single" w:sz="4" w:space="0" w:color="auto"/>
            </w:tcBorders>
            <w:shd w:val="clear" w:color="auto" w:fill="auto"/>
            <w:vAlign w:val="center"/>
          </w:tcPr>
          <w:p w14:paraId="5A297D7F"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w:t>
            </w:r>
          </w:p>
        </w:tc>
        <w:tc>
          <w:tcPr>
            <w:tcW w:w="1134" w:type="dxa"/>
            <w:tcBorders>
              <w:top w:val="single" w:sz="4" w:space="0" w:color="auto"/>
            </w:tcBorders>
            <w:shd w:val="clear" w:color="auto" w:fill="auto"/>
            <w:vAlign w:val="center"/>
          </w:tcPr>
          <w:p w14:paraId="04C05851"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tcBorders>
              <w:top w:val="single" w:sz="4" w:space="0" w:color="auto"/>
            </w:tcBorders>
            <w:shd w:val="clear" w:color="auto" w:fill="auto"/>
            <w:vAlign w:val="center"/>
          </w:tcPr>
          <w:p w14:paraId="6208D378"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2:53</w:t>
            </w:r>
          </w:p>
        </w:tc>
      </w:tr>
      <w:tr w:rsidR="00DB5BCC" w:rsidRPr="0052793E" w14:paraId="3B2141FC" w14:textId="77777777" w:rsidTr="00DB5BCC">
        <w:trPr>
          <w:trHeight w:val="422"/>
        </w:trPr>
        <w:tc>
          <w:tcPr>
            <w:tcW w:w="851" w:type="dxa"/>
            <w:shd w:val="clear" w:color="auto" w:fill="auto"/>
            <w:noWrap/>
            <w:vAlign w:val="center"/>
          </w:tcPr>
          <w:p w14:paraId="779FC693"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shd w:val="clear" w:color="auto" w:fill="auto"/>
            <w:noWrap/>
            <w:vAlign w:val="center"/>
          </w:tcPr>
          <w:p w14:paraId="4791DA7B"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מעצרים/ ערעור פלילי/ פלילי</w:t>
            </w:r>
          </w:p>
        </w:tc>
        <w:tc>
          <w:tcPr>
            <w:tcW w:w="2267" w:type="dxa"/>
            <w:shd w:val="clear" w:color="auto" w:fill="auto"/>
            <w:vAlign w:val="center"/>
          </w:tcPr>
          <w:p w14:paraId="41777BD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ערר אחר (ע"ח)</w:t>
            </w:r>
          </w:p>
        </w:tc>
        <w:tc>
          <w:tcPr>
            <w:tcW w:w="992" w:type="dxa"/>
            <w:shd w:val="clear" w:color="auto" w:fill="auto"/>
            <w:vAlign w:val="center"/>
          </w:tcPr>
          <w:p w14:paraId="1FD7F607"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624</w:t>
            </w:r>
          </w:p>
        </w:tc>
        <w:tc>
          <w:tcPr>
            <w:tcW w:w="1134" w:type="dxa"/>
            <w:shd w:val="clear" w:color="auto" w:fill="auto"/>
            <w:noWrap/>
            <w:vAlign w:val="center"/>
          </w:tcPr>
          <w:p w14:paraId="3B06201E"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2:53</w:t>
            </w:r>
          </w:p>
        </w:tc>
        <w:tc>
          <w:tcPr>
            <w:tcW w:w="993" w:type="dxa"/>
            <w:shd w:val="clear" w:color="auto" w:fill="auto"/>
            <w:vAlign w:val="center"/>
          </w:tcPr>
          <w:p w14:paraId="750AF3DD"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w:t>
            </w:r>
          </w:p>
        </w:tc>
        <w:tc>
          <w:tcPr>
            <w:tcW w:w="1134" w:type="dxa"/>
            <w:shd w:val="clear" w:color="auto" w:fill="auto"/>
            <w:vAlign w:val="center"/>
          </w:tcPr>
          <w:p w14:paraId="403A64BD"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1B377F74"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2:53</w:t>
            </w:r>
          </w:p>
        </w:tc>
      </w:tr>
      <w:tr w:rsidR="00DB5BCC" w:rsidRPr="0052793E" w14:paraId="133E4E0D" w14:textId="77777777" w:rsidTr="00DB5BCC">
        <w:trPr>
          <w:trHeight w:val="663"/>
        </w:trPr>
        <w:tc>
          <w:tcPr>
            <w:tcW w:w="851" w:type="dxa"/>
            <w:shd w:val="clear" w:color="auto" w:fill="auto"/>
            <w:noWrap/>
            <w:vAlign w:val="center"/>
          </w:tcPr>
          <w:p w14:paraId="05ED26E9"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shd w:val="clear" w:color="auto" w:fill="auto"/>
            <w:noWrap/>
            <w:vAlign w:val="center"/>
          </w:tcPr>
          <w:p w14:paraId="75FA5B42"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ערעור פלילי</w:t>
            </w:r>
          </w:p>
        </w:tc>
        <w:tc>
          <w:tcPr>
            <w:tcW w:w="2267" w:type="dxa"/>
            <w:shd w:val="clear" w:color="auto" w:fill="auto"/>
            <w:vAlign w:val="center"/>
          </w:tcPr>
          <w:p w14:paraId="208BF009"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ערעור פלילי תעבורה (עפ"ת)</w:t>
            </w:r>
          </w:p>
        </w:tc>
        <w:tc>
          <w:tcPr>
            <w:tcW w:w="992" w:type="dxa"/>
            <w:shd w:val="clear" w:color="auto" w:fill="auto"/>
            <w:vAlign w:val="center"/>
          </w:tcPr>
          <w:p w14:paraId="338442E4"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1,289</w:t>
            </w:r>
          </w:p>
        </w:tc>
        <w:tc>
          <w:tcPr>
            <w:tcW w:w="1134" w:type="dxa"/>
            <w:shd w:val="clear" w:color="auto" w:fill="auto"/>
            <w:noWrap/>
            <w:vAlign w:val="center"/>
          </w:tcPr>
          <w:p w14:paraId="7406F273"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2:50</w:t>
            </w:r>
          </w:p>
        </w:tc>
        <w:tc>
          <w:tcPr>
            <w:tcW w:w="993" w:type="dxa"/>
            <w:shd w:val="clear" w:color="auto" w:fill="auto"/>
            <w:vAlign w:val="center"/>
          </w:tcPr>
          <w:p w14:paraId="49902CDF"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4:23</w:t>
            </w:r>
          </w:p>
        </w:tc>
        <w:tc>
          <w:tcPr>
            <w:tcW w:w="1134" w:type="dxa"/>
            <w:shd w:val="clear" w:color="auto" w:fill="auto"/>
            <w:vAlign w:val="center"/>
          </w:tcPr>
          <w:p w14:paraId="3B165408"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62A29BC2"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2:50</w:t>
            </w:r>
          </w:p>
        </w:tc>
      </w:tr>
      <w:tr w:rsidR="00DB5BCC" w:rsidRPr="0052793E" w14:paraId="0BE07BF9" w14:textId="77777777" w:rsidTr="00DB5BCC">
        <w:trPr>
          <w:trHeight w:val="630"/>
        </w:trPr>
        <w:tc>
          <w:tcPr>
            <w:tcW w:w="851" w:type="dxa"/>
            <w:shd w:val="clear" w:color="auto" w:fill="auto"/>
            <w:noWrap/>
            <w:vAlign w:val="center"/>
          </w:tcPr>
          <w:p w14:paraId="584503C4"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6AAE5523"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עניינים מקומיים</w:t>
            </w:r>
          </w:p>
        </w:tc>
        <w:tc>
          <w:tcPr>
            <w:tcW w:w="2267" w:type="dxa"/>
            <w:shd w:val="clear" w:color="auto" w:fill="auto"/>
            <w:vAlign w:val="center"/>
          </w:tcPr>
          <w:p w14:paraId="3D04FEE0"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עניינים מקומיים אחרים (עמ"א)</w:t>
            </w:r>
          </w:p>
        </w:tc>
        <w:tc>
          <w:tcPr>
            <w:tcW w:w="992" w:type="dxa"/>
            <w:shd w:val="clear" w:color="auto" w:fill="auto"/>
            <w:vAlign w:val="center"/>
          </w:tcPr>
          <w:p w14:paraId="03B2A514"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501</w:t>
            </w:r>
          </w:p>
        </w:tc>
        <w:tc>
          <w:tcPr>
            <w:tcW w:w="1134" w:type="dxa"/>
            <w:shd w:val="clear" w:color="auto" w:fill="auto"/>
            <w:noWrap/>
            <w:vAlign w:val="center"/>
          </w:tcPr>
          <w:p w14:paraId="7773B19A"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2:49</w:t>
            </w:r>
          </w:p>
        </w:tc>
        <w:tc>
          <w:tcPr>
            <w:tcW w:w="993" w:type="dxa"/>
            <w:shd w:val="clear" w:color="auto" w:fill="auto"/>
            <w:vAlign w:val="center"/>
          </w:tcPr>
          <w:p w14:paraId="2C7149C6"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w:t>
            </w:r>
          </w:p>
        </w:tc>
        <w:tc>
          <w:tcPr>
            <w:tcW w:w="1134" w:type="dxa"/>
            <w:shd w:val="clear" w:color="auto" w:fill="auto"/>
            <w:vAlign w:val="center"/>
          </w:tcPr>
          <w:p w14:paraId="1127E8E8"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2.5</w:t>
            </w:r>
          </w:p>
        </w:tc>
        <w:tc>
          <w:tcPr>
            <w:tcW w:w="1558" w:type="dxa"/>
            <w:shd w:val="clear" w:color="auto" w:fill="auto"/>
            <w:vAlign w:val="center"/>
          </w:tcPr>
          <w:p w14:paraId="431EB3B2"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1:08</w:t>
            </w:r>
          </w:p>
        </w:tc>
      </w:tr>
      <w:tr w:rsidR="00DB5BCC" w:rsidRPr="0052793E" w14:paraId="317E973C" w14:textId="77777777" w:rsidTr="00DB5BCC">
        <w:trPr>
          <w:trHeight w:val="551"/>
        </w:trPr>
        <w:tc>
          <w:tcPr>
            <w:tcW w:w="851" w:type="dxa"/>
            <w:shd w:val="clear" w:color="auto" w:fill="auto"/>
            <w:noWrap/>
            <w:vAlign w:val="center"/>
          </w:tcPr>
          <w:p w14:paraId="75AEF096" w14:textId="6336D63D" w:rsidR="00DB5BCC" w:rsidRPr="0052793E" w:rsidRDefault="00DB5BCC" w:rsidP="00DB5BCC">
            <w:pPr>
              <w:spacing w:after="0" w:line="240" w:lineRule="auto"/>
              <w:rPr>
                <w:rFonts w:ascii="David" w:eastAsia="Times New Roman" w:hAnsi="David" w:cs="David"/>
                <w:rtl/>
              </w:rPr>
            </w:pPr>
            <w:r w:rsidRPr="0052793E">
              <w:rPr>
                <w:rFonts w:ascii="Arial" w:eastAsia="Times New Roman" w:hAnsi="Arial" w:cs="David" w:hint="cs"/>
                <w:b/>
                <w:bCs/>
                <w:rtl/>
              </w:rPr>
              <w:lastRenderedPageBreak/>
              <w:t>ערכאה</w:t>
            </w:r>
          </w:p>
        </w:tc>
        <w:tc>
          <w:tcPr>
            <w:tcW w:w="993" w:type="dxa"/>
            <w:shd w:val="clear" w:color="auto" w:fill="auto"/>
            <w:noWrap/>
            <w:vAlign w:val="center"/>
          </w:tcPr>
          <w:p w14:paraId="53509FE7" w14:textId="49C5CF1B" w:rsidR="00DB5BCC" w:rsidRPr="0052793E" w:rsidRDefault="00DB5BCC" w:rsidP="00DB5BCC">
            <w:pPr>
              <w:spacing w:after="0" w:line="240" w:lineRule="auto"/>
              <w:rPr>
                <w:rFonts w:ascii="David" w:eastAsia="Times New Roman" w:hAnsi="David" w:cs="David"/>
                <w:rtl/>
              </w:rPr>
            </w:pPr>
            <w:r w:rsidRPr="0052793E">
              <w:rPr>
                <w:rFonts w:ascii="Arial" w:eastAsia="Times New Roman" w:hAnsi="Arial" w:cs="David" w:hint="cs"/>
                <w:b/>
                <w:bCs/>
                <w:rtl/>
              </w:rPr>
              <w:t>הליך</w:t>
            </w:r>
          </w:p>
        </w:tc>
        <w:tc>
          <w:tcPr>
            <w:tcW w:w="2267" w:type="dxa"/>
            <w:shd w:val="clear" w:color="auto" w:fill="auto"/>
            <w:vAlign w:val="center"/>
          </w:tcPr>
          <w:p w14:paraId="57135308" w14:textId="44A71CB2" w:rsidR="00DB5BCC" w:rsidRPr="0052793E" w:rsidRDefault="00DB5BCC" w:rsidP="00DB5BCC">
            <w:pPr>
              <w:spacing w:after="0" w:line="240" w:lineRule="auto"/>
              <w:rPr>
                <w:rFonts w:ascii="David" w:eastAsia="Times New Roman" w:hAnsi="David" w:cs="David"/>
                <w:rtl/>
              </w:rPr>
            </w:pPr>
            <w:r w:rsidRPr="0052793E">
              <w:rPr>
                <w:rFonts w:ascii="Arial" w:eastAsia="Times New Roman" w:hAnsi="Arial" w:cs="David" w:hint="cs"/>
                <w:b/>
                <w:bCs/>
                <w:rtl/>
              </w:rPr>
              <w:t>סוג תיק</w:t>
            </w:r>
          </w:p>
        </w:tc>
        <w:tc>
          <w:tcPr>
            <w:tcW w:w="992" w:type="dxa"/>
            <w:shd w:val="clear" w:color="auto" w:fill="auto"/>
            <w:vAlign w:val="center"/>
          </w:tcPr>
          <w:p w14:paraId="1B654C40" w14:textId="5A04A2FE" w:rsidR="00DB5BCC" w:rsidRPr="0052793E" w:rsidRDefault="00DB5BCC" w:rsidP="00DB5BCC">
            <w:pPr>
              <w:spacing w:after="0" w:line="240" w:lineRule="auto"/>
              <w:jc w:val="center"/>
              <w:rPr>
                <w:rFonts w:ascii="David" w:eastAsia="Times New Roman" w:hAnsi="David" w:cs="David"/>
              </w:rPr>
            </w:pPr>
            <w:r w:rsidRPr="0052793E">
              <w:rPr>
                <w:rFonts w:ascii="Arial" w:eastAsia="Times New Roman" w:hAnsi="Arial" w:cs="David" w:hint="cs"/>
                <w:b/>
                <w:bCs/>
                <w:rtl/>
              </w:rPr>
              <w:t>מספר תיקים שנסגרו ב-2019</w:t>
            </w:r>
          </w:p>
        </w:tc>
        <w:tc>
          <w:tcPr>
            <w:tcW w:w="1134" w:type="dxa"/>
            <w:shd w:val="clear" w:color="auto" w:fill="auto"/>
            <w:noWrap/>
            <w:vAlign w:val="center"/>
          </w:tcPr>
          <w:p w14:paraId="182AEDC6" w14:textId="7EEDCB4D" w:rsidR="00DB5BCC" w:rsidRPr="0052793E" w:rsidRDefault="00DB5BCC" w:rsidP="00DB5BCC">
            <w:pPr>
              <w:spacing w:after="0" w:line="240" w:lineRule="auto"/>
              <w:jc w:val="center"/>
              <w:rPr>
                <w:rFonts w:ascii="David" w:eastAsia="Times New Roman" w:hAnsi="David" w:cs="David"/>
                <w:b/>
                <w:bCs/>
              </w:rPr>
            </w:pPr>
            <w:r w:rsidRPr="0052793E">
              <w:rPr>
                <w:rFonts w:ascii="Arial" w:eastAsia="Times New Roman" w:hAnsi="Arial" w:cs="David" w:hint="cs"/>
                <w:b/>
                <w:bCs/>
                <w:rtl/>
              </w:rPr>
              <w:t>הזמן השיפוטי הממוצע לטיפול בתיק</w:t>
            </w:r>
          </w:p>
        </w:tc>
        <w:tc>
          <w:tcPr>
            <w:tcW w:w="993" w:type="dxa"/>
            <w:shd w:val="clear" w:color="auto" w:fill="auto"/>
            <w:vAlign w:val="center"/>
          </w:tcPr>
          <w:p w14:paraId="41F07316" w14:textId="039D51CC" w:rsidR="00DB5BCC" w:rsidRPr="0052793E" w:rsidRDefault="00DB5BCC" w:rsidP="00DB5BCC">
            <w:pPr>
              <w:spacing w:after="0" w:line="240" w:lineRule="auto"/>
              <w:jc w:val="center"/>
              <w:rPr>
                <w:rFonts w:ascii="David" w:eastAsia="Times New Roman" w:hAnsi="David" w:cs="David"/>
              </w:rPr>
            </w:pPr>
            <w:r w:rsidRPr="0052793E">
              <w:rPr>
                <w:rFonts w:ascii="Arial" w:eastAsia="Times New Roman" w:hAnsi="Arial" w:cs="David" w:hint="cs"/>
                <w:b/>
                <w:bCs/>
                <w:rtl/>
              </w:rPr>
              <w:t>הזמן השיפוטי הממוצע לפי המחקר הקודם</w:t>
            </w:r>
          </w:p>
        </w:tc>
        <w:tc>
          <w:tcPr>
            <w:tcW w:w="1134" w:type="dxa"/>
            <w:shd w:val="clear" w:color="auto" w:fill="auto"/>
            <w:vAlign w:val="center"/>
          </w:tcPr>
          <w:p w14:paraId="407BE8A3" w14:textId="4557A64C" w:rsidR="00DB5BCC" w:rsidRPr="0052793E" w:rsidRDefault="00DB5BCC" w:rsidP="00DB5BCC">
            <w:pPr>
              <w:spacing w:after="0" w:line="240" w:lineRule="auto"/>
              <w:jc w:val="center"/>
              <w:rPr>
                <w:rFonts w:ascii="David" w:eastAsia="Times New Roman" w:hAnsi="David" w:cs="David"/>
                <w:rtl/>
              </w:rPr>
            </w:pPr>
            <w:r w:rsidRPr="0052793E">
              <w:rPr>
                <w:rFonts w:ascii="Arial" w:eastAsia="Times New Roman" w:hAnsi="Arial" w:cs="David" w:hint="cs"/>
                <w:b/>
                <w:bCs/>
                <w:rtl/>
              </w:rPr>
              <w:t>כמות התיקים הממוצעת שפסק דין סוגר</w:t>
            </w:r>
          </w:p>
        </w:tc>
        <w:tc>
          <w:tcPr>
            <w:tcW w:w="1558" w:type="dxa"/>
            <w:shd w:val="clear" w:color="auto" w:fill="auto"/>
            <w:vAlign w:val="center"/>
          </w:tcPr>
          <w:p w14:paraId="6C98804A" w14:textId="4E938B5F" w:rsidR="00DB5BCC" w:rsidRPr="0052793E" w:rsidRDefault="00DB5BCC" w:rsidP="00DB5BCC">
            <w:pPr>
              <w:spacing w:after="0" w:line="240" w:lineRule="auto"/>
              <w:jc w:val="center"/>
              <w:rPr>
                <w:rFonts w:ascii="David" w:eastAsia="Times New Roman" w:hAnsi="David" w:cs="David"/>
                <w:rtl/>
              </w:rPr>
            </w:pPr>
            <w:r w:rsidRPr="0052793E">
              <w:rPr>
                <w:rFonts w:ascii="Arial" w:eastAsia="Times New Roman" w:hAnsi="Arial" w:cs="David" w:hint="cs"/>
                <w:b/>
                <w:bCs/>
                <w:rtl/>
              </w:rPr>
              <w:t>הזמן השיפוטי הממוצע לטיפול בתיק חלקי כמות התיקים שפסק הדין סוגר</w:t>
            </w:r>
          </w:p>
        </w:tc>
      </w:tr>
      <w:tr w:rsidR="00DB5BCC" w:rsidRPr="0052793E" w14:paraId="762A1D7D" w14:textId="77777777" w:rsidTr="00DB5BCC">
        <w:trPr>
          <w:trHeight w:val="551"/>
        </w:trPr>
        <w:tc>
          <w:tcPr>
            <w:tcW w:w="851" w:type="dxa"/>
            <w:shd w:val="clear" w:color="auto" w:fill="auto"/>
            <w:noWrap/>
            <w:vAlign w:val="center"/>
          </w:tcPr>
          <w:p w14:paraId="3E00BDCC"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3D7E19B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29AE77AD"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ערעור על החלטת רשם (ע"ר)</w:t>
            </w:r>
          </w:p>
        </w:tc>
        <w:tc>
          <w:tcPr>
            <w:tcW w:w="992" w:type="dxa"/>
            <w:shd w:val="clear" w:color="auto" w:fill="auto"/>
            <w:vAlign w:val="center"/>
          </w:tcPr>
          <w:p w14:paraId="2531DFAC"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123</w:t>
            </w:r>
          </w:p>
        </w:tc>
        <w:tc>
          <w:tcPr>
            <w:tcW w:w="1134" w:type="dxa"/>
            <w:shd w:val="clear" w:color="auto" w:fill="auto"/>
            <w:noWrap/>
            <w:vAlign w:val="center"/>
          </w:tcPr>
          <w:p w14:paraId="055E8954"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2:42</w:t>
            </w:r>
          </w:p>
        </w:tc>
        <w:tc>
          <w:tcPr>
            <w:tcW w:w="993" w:type="dxa"/>
            <w:shd w:val="clear" w:color="auto" w:fill="auto"/>
            <w:vAlign w:val="center"/>
          </w:tcPr>
          <w:p w14:paraId="16C705B4"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w:t>
            </w:r>
          </w:p>
        </w:tc>
        <w:tc>
          <w:tcPr>
            <w:tcW w:w="1134" w:type="dxa"/>
            <w:shd w:val="clear" w:color="auto" w:fill="auto"/>
            <w:vAlign w:val="center"/>
          </w:tcPr>
          <w:p w14:paraId="6C3287FB"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1.01</w:t>
            </w:r>
          </w:p>
        </w:tc>
        <w:tc>
          <w:tcPr>
            <w:tcW w:w="1558" w:type="dxa"/>
            <w:shd w:val="clear" w:color="auto" w:fill="auto"/>
            <w:vAlign w:val="center"/>
          </w:tcPr>
          <w:p w14:paraId="69978DDC"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2:40</w:t>
            </w:r>
          </w:p>
        </w:tc>
      </w:tr>
      <w:tr w:rsidR="00DB5BCC" w:rsidRPr="0052793E" w14:paraId="4F500CD1" w14:textId="77777777" w:rsidTr="00DB5BCC">
        <w:trPr>
          <w:trHeight w:val="742"/>
        </w:trPr>
        <w:tc>
          <w:tcPr>
            <w:tcW w:w="851" w:type="dxa"/>
            <w:shd w:val="clear" w:color="auto" w:fill="auto"/>
            <w:noWrap/>
            <w:vAlign w:val="center"/>
          </w:tcPr>
          <w:p w14:paraId="48BA4C2E"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2E095FA6"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מעצרים/ פלילי</w:t>
            </w:r>
          </w:p>
        </w:tc>
        <w:tc>
          <w:tcPr>
            <w:tcW w:w="2267" w:type="dxa"/>
            <w:shd w:val="clear" w:color="auto" w:fill="auto"/>
            <w:vAlign w:val="center"/>
          </w:tcPr>
          <w:p w14:paraId="38A71C1A"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מעצר עד תום ההליכים (מ"ת)</w:t>
            </w:r>
          </w:p>
        </w:tc>
        <w:tc>
          <w:tcPr>
            <w:tcW w:w="992" w:type="dxa"/>
            <w:shd w:val="clear" w:color="auto" w:fill="auto"/>
            <w:vAlign w:val="center"/>
          </w:tcPr>
          <w:p w14:paraId="7DEDDF24"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10,583</w:t>
            </w:r>
          </w:p>
        </w:tc>
        <w:tc>
          <w:tcPr>
            <w:tcW w:w="1134" w:type="dxa"/>
            <w:shd w:val="clear" w:color="auto" w:fill="auto"/>
            <w:noWrap/>
            <w:vAlign w:val="center"/>
          </w:tcPr>
          <w:p w14:paraId="29967625"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2:37</w:t>
            </w:r>
          </w:p>
        </w:tc>
        <w:tc>
          <w:tcPr>
            <w:tcW w:w="993" w:type="dxa"/>
            <w:shd w:val="clear" w:color="auto" w:fill="auto"/>
            <w:vAlign w:val="center"/>
          </w:tcPr>
          <w:p w14:paraId="0C3F2BE8"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2:26</w:t>
            </w:r>
          </w:p>
        </w:tc>
        <w:tc>
          <w:tcPr>
            <w:tcW w:w="1134" w:type="dxa"/>
            <w:shd w:val="clear" w:color="auto" w:fill="auto"/>
            <w:vAlign w:val="center"/>
          </w:tcPr>
          <w:p w14:paraId="6E841B2D"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5D137A84"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2:37</w:t>
            </w:r>
          </w:p>
        </w:tc>
      </w:tr>
      <w:tr w:rsidR="00DB5BCC" w:rsidRPr="0052793E" w14:paraId="2EA6AD96" w14:textId="77777777" w:rsidTr="00DB5BCC">
        <w:trPr>
          <w:trHeight w:val="742"/>
        </w:trPr>
        <w:tc>
          <w:tcPr>
            <w:tcW w:w="851" w:type="dxa"/>
            <w:shd w:val="clear" w:color="auto" w:fill="auto"/>
            <w:noWrap/>
            <w:vAlign w:val="center"/>
          </w:tcPr>
          <w:p w14:paraId="4D089939"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משפחה</w:t>
            </w:r>
          </w:p>
        </w:tc>
        <w:tc>
          <w:tcPr>
            <w:tcW w:w="993" w:type="dxa"/>
            <w:shd w:val="clear" w:color="auto" w:fill="auto"/>
            <w:noWrap/>
            <w:vAlign w:val="center"/>
          </w:tcPr>
          <w:p w14:paraId="5DEAFDBE" w14:textId="77777777" w:rsidR="00DB5BCC" w:rsidRPr="0052793E" w:rsidRDefault="00DB5BCC" w:rsidP="00DB5BCC">
            <w:pPr>
              <w:spacing w:after="0" w:line="240" w:lineRule="auto"/>
              <w:rPr>
                <w:rFonts w:ascii="David" w:eastAsia="Times New Roman" w:hAnsi="David" w:cs="David"/>
                <w:rtl/>
              </w:rPr>
            </w:pPr>
          </w:p>
        </w:tc>
        <w:tc>
          <w:tcPr>
            <w:tcW w:w="2267" w:type="dxa"/>
            <w:shd w:val="clear" w:color="auto" w:fill="auto"/>
            <w:vAlign w:val="center"/>
          </w:tcPr>
          <w:p w14:paraId="1B153A4B"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היתר נישואין (ה"נ)</w:t>
            </w:r>
          </w:p>
        </w:tc>
        <w:tc>
          <w:tcPr>
            <w:tcW w:w="992" w:type="dxa"/>
            <w:shd w:val="clear" w:color="auto" w:fill="auto"/>
            <w:vAlign w:val="center"/>
          </w:tcPr>
          <w:p w14:paraId="186A01AD"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37</w:t>
            </w:r>
          </w:p>
        </w:tc>
        <w:tc>
          <w:tcPr>
            <w:tcW w:w="1134" w:type="dxa"/>
            <w:shd w:val="clear" w:color="auto" w:fill="auto"/>
            <w:noWrap/>
            <w:vAlign w:val="center"/>
          </w:tcPr>
          <w:p w14:paraId="35CF06B1"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2:36</w:t>
            </w:r>
          </w:p>
        </w:tc>
        <w:tc>
          <w:tcPr>
            <w:tcW w:w="993" w:type="dxa"/>
            <w:shd w:val="clear" w:color="auto" w:fill="auto"/>
            <w:vAlign w:val="center"/>
          </w:tcPr>
          <w:p w14:paraId="62407AA8"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2:34</w:t>
            </w:r>
          </w:p>
        </w:tc>
        <w:tc>
          <w:tcPr>
            <w:tcW w:w="1134" w:type="dxa"/>
            <w:shd w:val="clear" w:color="auto" w:fill="auto"/>
            <w:vAlign w:val="center"/>
          </w:tcPr>
          <w:p w14:paraId="5EAE6E60"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64CD2F91"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2:36</w:t>
            </w:r>
          </w:p>
        </w:tc>
      </w:tr>
      <w:tr w:rsidR="00DB5BCC" w:rsidRPr="0052793E" w14:paraId="4392758B" w14:textId="77777777" w:rsidTr="00DB5BCC">
        <w:trPr>
          <w:trHeight w:val="742"/>
        </w:trPr>
        <w:tc>
          <w:tcPr>
            <w:tcW w:w="851" w:type="dxa"/>
            <w:shd w:val="clear" w:color="auto" w:fill="auto"/>
            <w:noWrap/>
            <w:vAlign w:val="center"/>
          </w:tcPr>
          <w:p w14:paraId="4B5E1A26"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741E08A8"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3F3F019A"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תיק אזרחי בסדר דין רגיל (ת"א)-נזקי גוף ביטוח (פוליסה)</w:t>
            </w:r>
          </w:p>
        </w:tc>
        <w:tc>
          <w:tcPr>
            <w:tcW w:w="992" w:type="dxa"/>
            <w:shd w:val="clear" w:color="auto" w:fill="auto"/>
            <w:vAlign w:val="center"/>
          </w:tcPr>
          <w:p w14:paraId="6F2D526D"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894</w:t>
            </w:r>
          </w:p>
        </w:tc>
        <w:tc>
          <w:tcPr>
            <w:tcW w:w="1134" w:type="dxa"/>
            <w:shd w:val="clear" w:color="auto" w:fill="auto"/>
            <w:noWrap/>
            <w:vAlign w:val="center"/>
          </w:tcPr>
          <w:p w14:paraId="38C00580"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2:32</w:t>
            </w:r>
          </w:p>
        </w:tc>
        <w:tc>
          <w:tcPr>
            <w:tcW w:w="993" w:type="dxa"/>
            <w:shd w:val="clear" w:color="auto" w:fill="auto"/>
            <w:vAlign w:val="center"/>
          </w:tcPr>
          <w:p w14:paraId="399FDA8A"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5:42</w:t>
            </w:r>
          </w:p>
        </w:tc>
        <w:tc>
          <w:tcPr>
            <w:tcW w:w="1134" w:type="dxa"/>
            <w:shd w:val="clear" w:color="auto" w:fill="auto"/>
            <w:vAlign w:val="center"/>
          </w:tcPr>
          <w:p w14:paraId="448FAE35"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571B0B6F"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2:32</w:t>
            </w:r>
          </w:p>
        </w:tc>
      </w:tr>
      <w:tr w:rsidR="00DB5BCC" w:rsidRPr="0052793E" w14:paraId="7114C382" w14:textId="77777777" w:rsidTr="00DB5BCC">
        <w:trPr>
          <w:trHeight w:val="742"/>
        </w:trPr>
        <w:tc>
          <w:tcPr>
            <w:tcW w:w="851" w:type="dxa"/>
            <w:shd w:val="clear" w:color="auto" w:fill="auto"/>
            <w:noWrap/>
            <w:vAlign w:val="center"/>
          </w:tcPr>
          <w:p w14:paraId="64B435A1"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shd w:val="clear" w:color="auto" w:fill="auto"/>
            <w:noWrap/>
            <w:vAlign w:val="center"/>
          </w:tcPr>
          <w:p w14:paraId="707A3D0C"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ערעור אזרחי</w:t>
            </w:r>
          </w:p>
        </w:tc>
        <w:tc>
          <w:tcPr>
            <w:tcW w:w="2267" w:type="dxa"/>
            <w:shd w:val="clear" w:color="auto" w:fill="auto"/>
            <w:vAlign w:val="center"/>
          </w:tcPr>
          <w:p w14:paraId="1C84F437"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רשות ערעור אזרחי (רע"א) - דן יחיד</w:t>
            </w:r>
          </w:p>
        </w:tc>
        <w:tc>
          <w:tcPr>
            <w:tcW w:w="992" w:type="dxa"/>
            <w:shd w:val="clear" w:color="auto" w:fill="auto"/>
            <w:vAlign w:val="center"/>
          </w:tcPr>
          <w:p w14:paraId="3399A963"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1,268</w:t>
            </w:r>
          </w:p>
        </w:tc>
        <w:tc>
          <w:tcPr>
            <w:tcW w:w="1134" w:type="dxa"/>
            <w:shd w:val="clear" w:color="auto" w:fill="auto"/>
            <w:noWrap/>
            <w:vAlign w:val="center"/>
          </w:tcPr>
          <w:p w14:paraId="290418C7"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2:31</w:t>
            </w:r>
          </w:p>
        </w:tc>
        <w:tc>
          <w:tcPr>
            <w:tcW w:w="993" w:type="dxa"/>
            <w:shd w:val="clear" w:color="auto" w:fill="auto"/>
            <w:vAlign w:val="center"/>
          </w:tcPr>
          <w:p w14:paraId="1D374DA8"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1:07</w:t>
            </w:r>
          </w:p>
        </w:tc>
        <w:tc>
          <w:tcPr>
            <w:tcW w:w="1134" w:type="dxa"/>
            <w:shd w:val="clear" w:color="auto" w:fill="auto"/>
            <w:vAlign w:val="center"/>
          </w:tcPr>
          <w:p w14:paraId="6DAAE4D2"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50192E5F"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2:31</w:t>
            </w:r>
          </w:p>
        </w:tc>
      </w:tr>
      <w:tr w:rsidR="00DB5BCC" w:rsidRPr="0052793E" w14:paraId="534A240A" w14:textId="77777777" w:rsidTr="00DB5BCC">
        <w:trPr>
          <w:trHeight w:val="698"/>
        </w:trPr>
        <w:tc>
          <w:tcPr>
            <w:tcW w:w="851" w:type="dxa"/>
            <w:shd w:val="clear" w:color="auto" w:fill="auto"/>
            <w:noWrap/>
            <w:vAlign w:val="center"/>
          </w:tcPr>
          <w:p w14:paraId="449D39A1"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משפחה</w:t>
            </w:r>
          </w:p>
        </w:tc>
        <w:tc>
          <w:tcPr>
            <w:tcW w:w="993" w:type="dxa"/>
            <w:shd w:val="clear" w:color="auto" w:fill="auto"/>
            <w:noWrap/>
            <w:vAlign w:val="center"/>
          </w:tcPr>
          <w:p w14:paraId="5EB8A270" w14:textId="77777777" w:rsidR="00DB5BCC" w:rsidRPr="0052793E" w:rsidRDefault="00DB5BCC" w:rsidP="00DB5BCC">
            <w:pPr>
              <w:spacing w:after="0" w:line="240" w:lineRule="auto"/>
              <w:rPr>
                <w:rFonts w:ascii="David" w:eastAsia="Times New Roman" w:hAnsi="David" w:cs="David"/>
                <w:rtl/>
              </w:rPr>
            </w:pPr>
          </w:p>
        </w:tc>
        <w:tc>
          <w:tcPr>
            <w:tcW w:w="2267" w:type="dxa"/>
            <w:shd w:val="clear" w:color="auto" w:fill="auto"/>
            <w:vAlign w:val="center"/>
          </w:tcPr>
          <w:p w14:paraId="6C3C916E"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ערעור על החלטת רשם (ע"ר)</w:t>
            </w:r>
          </w:p>
        </w:tc>
        <w:tc>
          <w:tcPr>
            <w:tcW w:w="992" w:type="dxa"/>
            <w:shd w:val="clear" w:color="auto" w:fill="auto"/>
            <w:vAlign w:val="center"/>
          </w:tcPr>
          <w:p w14:paraId="6AA414A1"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426</w:t>
            </w:r>
          </w:p>
        </w:tc>
        <w:tc>
          <w:tcPr>
            <w:tcW w:w="1134" w:type="dxa"/>
            <w:shd w:val="clear" w:color="auto" w:fill="auto"/>
            <w:noWrap/>
            <w:vAlign w:val="center"/>
          </w:tcPr>
          <w:p w14:paraId="33B86571" w14:textId="77777777" w:rsidR="00DB5BCC" w:rsidRPr="0052793E" w:rsidRDefault="00DB5BCC" w:rsidP="00DB5BCC">
            <w:pPr>
              <w:spacing w:after="0" w:line="240" w:lineRule="auto"/>
              <w:jc w:val="center"/>
              <w:rPr>
                <w:rFonts w:asciiTheme="minorHAnsi" w:eastAsia="Times New Roman" w:hAnsiTheme="minorHAnsi" w:cs="David"/>
                <w:b/>
                <w:bCs/>
                <w:rtl/>
              </w:rPr>
            </w:pPr>
            <w:r w:rsidRPr="0052793E">
              <w:rPr>
                <w:rFonts w:ascii="David" w:eastAsia="Times New Roman" w:hAnsi="David" w:cs="David" w:hint="cs"/>
                <w:b/>
                <w:bCs/>
                <w:rtl/>
              </w:rPr>
              <w:t>2:30</w:t>
            </w:r>
          </w:p>
        </w:tc>
        <w:tc>
          <w:tcPr>
            <w:tcW w:w="993" w:type="dxa"/>
            <w:shd w:val="clear" w:color="auto" w:fill="auto"/>
            <w:vAlign w:val="center"/>
          </w:tcPr>
          <w:p w14:paraId="44186AAE"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1:46</w:t>
            </w:r>
          </w:p>
        </w:tc>
        <w:tc>
          <w:tcPr>
            <w:tcW w:w="1134" w:type="dxa"/>
            <w:shd w:val="clear" w:color="auto" w:fill="auto"/>
            <w:vAlign w:val="center"/>
          </w:tcPr>
          <w:p w14:paraId="77C16BC0"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1.02</w:t>
            </w:r>
          </w:p>
        </w:tc>
        <w:tc>
          <w:tcPr>
            <w:tcW w:w="1558" w:type="dxa"/>
            <w:shd w:val="clear" w:color="auto" w:fill="auto"/>
            <w:vAlign w:val="center"/>
          </w:tcPr>
          <w:p w14:paraId="524F9D16"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2:27</w:t>
            </w:r>
          </w:p>
        </w:tc>
      </w:tr>
      <w:tr w:rsidR="00DB5BCC" w:rsidRPr="0052793E" w14:paraId="500246A0" w14:textId="77777777" w:rsidTr="00DB5BCC">
        <w:trPr>
          <w:trHeight w:val="319"/>
        </w:trPr>
        <w:tc>
          <w:tcPr>
            <w:tcW w:w="851" w:type="dxa"/>
            <w:shd w:val="clear" w:color="auto" w:fill="auto"/>
            <w:noWrap/>
            <w:vAlign w:val="center"/>
          </w:tcPr>
          <w:p w14:paraId="5E5585AC"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עבודה</w:t>
            </w:r>
          </w:p>
        </w:tc>
        <w:tc>
          <w:tcPr>
            <w:tcW w:w="993" w:type="dxa"/>
            <w:shd w:val="clear" w:color="auto" w:fill="auto"/>
            <w:noWrap/>
            <w:vAlign w:val="center"/>
          </w:tcPr>
          <w:p w14:paraId="11F602DC"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25D87090"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ערעור על החלטת רשם (ע"ר)</w:t>
            </w:r>
          </w:p>
        </w:tc>
        <w:tc>
          <w:tcPr>
            <w:tcW w:w="992" w:type="dxa"/>
            <w:shd w:val="clear" w:color="auto" w:fill="auto"/>
            <w:vAlign w:val="center"/>
          </w:tcPr>
          <w:p w14:paraId="7B631874"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122</w:t>
            </w:r>
          </w:p>
        </w:tc>
        <w:tc>
          <w:tcPr>
            <w:tcW w:w="1134" w:type="dxa"/>
            <w:shd w:val="clear" w:color="auto" w:fill="auto"/>
            <w:noWrap/>
            <w:vAlign w:val="center"/>
          </w:tcPr>
          <w:p w14:paraId="23AE19AC"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2:28</w:t>
            </w:r>
          </w:p>
        </w:tc>
        <w:tc>
          <w:tcPr>
            <w:tcW w:w="993" w:type="dxa"/>
            <w:shd w:val="clear" w:color="auto" w:fill="auto"/>
            <w:vAlign w:val="center"/>
          </w:tcPr>
          <w:p w14:paraId="691B94F4"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1:21</w:t>
            </w:r>
          </w:p>
        </w:tc>
        <w:tc>
          <w:tcPr>
            <w:tcW w:w="1134" w:type="dxa"/>
            <w:shd w:val="clear" w:color="auto" w:fill="auto"/>
            <w:vAlign w:val="center"/>
          </w:tcPr>
          <w:p w14:paraId="622E3AB1"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1</w:t>
            </w:r>
          </w:p>
        </w:tc>
        <w:tc>
          <w:tcPr>
            <w:tcW w:w="1558" w:type="dxa"/>
            <w:shd w:val="clear" w:color="auto" w:fill="auto"/>
            <w:vAlign w:val="center"/>
          </w:tcPr>
          <w:p w14:paraId="228E8147"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2:28</w:t>
            </w:r>
          </w:p>
        </w:tc>
      </w:tr>
      <w:tr w:rsidR="00DB5BCC" w:rsidRPr="0052793E" w14:paraId="01EEBF20" w14:textId="77777777" w:rsidTr="00DB5BCC">
        <w:trPr>
          <w:trHeight w:val="611"/>
        </w:trPr>
        <w:tc>
          <w:tcPr>
            <w:tcW w:w="851" w:type="dxa"/>
            <w:shd w:val="clear" w:color="auto" w:fill="auto"/>
            <w:noWrap/>
            <w:vAlign w:val="center"/>
          </w:tcPr>
          <w:p w14:paraId="025C4D0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2A04DF44"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17F5EAA1"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תיק אזרחי בסדר דין רגיל (ת"א)-פלת"ד</w:t>
            </w:r>
          </w:p>
        </w:tc>
        <w:tc>
          <w:tcPr>
            <w:tcW w:w="992" w:type="dxa"/>
            <w:shd w:val="clear" w:color="auto" w:fill="auto"/>
            <w:vAlign w:val="center"/>
          </w:tcPr>
          <w:p w14:paraId="5036F270"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28,681</w:t>
            </w:r>
          </w:p>
        </w:tc>
        <w:tc>
          <w:tcPr>
            <w:tcW w:w="1134" w:type="dxa"/>
            <w:shd w:val="clear" w:color="auto" w:fill="auto"/>
            <w:noWrap/>
            <w:vAlign w:val="center"/>
          </w:tcPr>
          <w:p w14:paraId="66FF8542"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2:26</w:t>
            </w:r>
          </w:p>
        </w:tc>
        <w:tc>
          <w:tcPr>
            <w:tcW w:w="993" w:type="dxa"/>
            <w:shd w:val="clear" w:color="auto" w:fill="auto"/>
            <w:vAlign w:val="center"/>
          </w:tcPr>
          <w:p w14:paraId="73A81542"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3:27</w:t>
            </w:r>
          </w:p>
        </w:tc>
        <w:tc>
          <w:tcPr>
            <w:tcW w:w="1134" w:type="dxa"/>
            <w:shd w:val="clear" w:color="auto" w:fill="auto"/>
            <w:vAlign w:val="center"/>
          </w:tcPr>
          <w:p w14:paraId="12446E7B"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664F0E91"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2:26</w:t>
            </w:r>
          </w:p>
        </w:tc>
      </w:tr>
      <w:tr w:rsidR="00DB5BCC" w:rsidRPr="0052793E" w14:paraId="0E910D4A" w14:textId="77777777" w:rsidTr="00DB5BCC">
        <w:trPr>
          <w:trHeight w:val="656"/>
        </w:trPr>
        <w:tc>
          <w:tcPr>
            <w:tcW w:w="851" w:type="dxa"/>
            <w:shd w:val="clear" w:color="auto" w:fill="auto"/>
            <w:noWrap/>
            <w:vAlign w:val="center"/>
          </w:tcPr>
          <w:p w14:paraId="3F26D810"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503BA273"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עניינים מקומיים</w:t>
            </w:r>
          </w:p>
        </w:tc>
        <w:tc>
          <w:tcPr>
            <w:tcW w:w="2267" w:type="dxa"/>
            <w:shd w:val="clear" w:color="auto" w:fill="auto"/>
            <w:vAlign w:val="center"/>
          </w:tcPr>
          <w:p w14:paraId="1AD3EEF2"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בקשות בנייה (בב"נ)</w:t>
            </w:r>
          </w:p>
        </w:tc>
        <w:tc>
          <w:tcPr>
            <w:tcW w:w="992" w:type="dxa"/>
            <w:shd w:val="clear" w:color="auto" w:fill="auto"/>
            <w:vAlign w:val="center"/>
          </w:tcPr>
          <w:p w14:paraId="4F82733C"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1,472</w:t>
            </w:r>
          </w:p>
        </w:tc>
        <w:tc>
          <w:tcPr>
            <w:tcW w:w="1134" w:type="dxa"/>
            <w:shd w:val="clear" w:color="auto" w:fill="auto"/>
            <w:noWrap/>
            <w:vAlign w:val="center"/>
          </w:tcPr>
          <w:p w14:paraId="5A8B9CE9"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hint="cs"/>
                <w:b/>
                <w:bCs/>
                <w:rtl/>
              </w:rPr>
              <w:t>2:26</w:t>
            </w:r>
          </w:p>
        </w:tc>
        <w:tc>
          <w:tcPr>
            <w:tcW w:w="993" w:type="dxa"/>
            <w:shd w:val="clear" w:color="auto" w:fill="auto"/>
            <w:vAlign w:val="center"/>
          </w:tcPr>
          <w:p w14:paraId="390F87DD"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w:t>
            </w:r>
          </w:p>
        </w:tc>
        <w:tc>
          <w:tcPr>
            <w:tcW w:w="1134" w:type="dxa"/>
            <w:shd w:val="clear" w:color="auto" w:fill="auto"/>
            <w:vAlign w:val="center"/>
          </w:tcPr>
          <w:p w14:paraId="23DBEE5F"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1.67</w:t>
            </w:r>
          </w:p>
        </w:tc>
        <w:tc>
          <w:tcPr>
            <w:tcW w:w="1558" w:type="dxa"/>
            <w:shd w:val="clear" w:color="auto" w:fill="auto"/>
            <w:vAlign w:val="center"/>
          </w:tcPr>
          <w:p w14:paraId="4754781F"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1:27</w:t>
            </w:r>
          </w:p>
        </w:tc>
      </w:tr>
      <w:tr w:rsidR="00DB5BCC" w:rsidRPr="0052793E" w14:paraId="28FBEA67" w14:textId="77777777" w:rsidTr="00DB5BCC">
        <w:trPr>
          <w:trHeight w:val="656"/>
        </w:trPr>
        <w:tc>
          <w:tcPr>
            <w:tcW w:w="851" w:type="dxa"/>
            <w:shd w:val="clear" w:color="auto" w:fill="auto"/>
            <w:noWrap/>
            <w:vAlign w:val="center"/>
          </w:tcPr>
          <w:p w14:paraId="6DB7830E"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shd w:val="clear" w:color="auto" w:fill="auto"/>
            <w:noWrap/>
            <w:vAlign w:val="center"/>
          </w:tcPr>
          <w:p w14:paraId="342BB29D"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פלילי</w:t>
            </w:r>
          </w:p>
        </w:tc>
        <w:tc>
          <w:tcPr>
            <w:tcW w:w="2267" w:type="dxa"/>
            <w:shd w:val="clear" w:color="auto" w:fill="auto"/>
            <w:vAlign w:val="center"/>
          </w:tcPr>
          <w:p w14:paraId="0B6FF4B3"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בקשה לעיון בחומר חקירה (בע"ח)</w:t>
            </w:r>
          </w:p>
        </w:tc>
        <w:tc>
          <w:tcPr>
            <w:tcW w:w="992" w:type="dxa"/>
            <w:shd w:val="clear" w:color="auto" w:fill="auto"/>
            <w:vAlign w:val="center"/>
          </w:tcPr>
          <w:p w14:paraId="610B2B53"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354</w:t>
            </w:r>
          </w:p>
        </w:tc>
        <w:tc>
          <w:tcPr>
            <w:tcW w:w="1134" w:type="dxa"/>
            <w:shd w:val="clear" w:color="auto" w:fill="auto"/>
            <w:noWrap/>
            <w:vAlign w:val="center"/>
          </w:tcPr>
          <w:p w14:paraId="048A071E"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hint="cs"/>
                <w:b/>
                <w:bCs/>
                <w:rtl/>
              </w:rPr>
              <w:t>2:20</w:t>
            </w:r>
          </w:p>
        </w:tc>
        <w:tc>
          <w:tcPr>
            <w:tcW w:w="993" w:type="dxa"/>
            <w:shd w:val="clear" w:color="auto" w:fill="auto"/>
            <w:vAlign w:val="center"/>
          </w:tcPr>
          <w:p w14:paraId="3E3FB5F5"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w:t>
            </w:r>
          </w:p>
        </w:tc>
        <w:tc>
          <w:tcPr>
            <w:tcW w:w="1134" w:type="dxa"/>
            <w:shd w:val="clear" w:color="auto" w:fill="auto"/>
            <w:vAlign w:val="center"/>
          </w:tcPr>
          <w:p w14:paraId="2D344A5A"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4A152A13"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2:20</w:t>
            </w:r>
          </w:p>
        </w:tc>
      </w:tr>
      <w:tr w:rsidR="00DB5BCC" w:rsidRPr="0052793E" w14:paraId="56A36BD7" w14:textId="77777777" w:rsidTr="00DB5BCC">
        <w:trPr>
          <w:trHeight w:val="656"/>
        </w:trPr>
        <w:tc>
          <w:tcPr>
            <w:tcW w:w="851" w:type="dxa"/>
            <w:shd w:val="clear" w:color="auto" w:fill="auto"/>
            <w:noWrap/>
            <w:vAlign w:val="center"/>
          </w:tcPr>
          <w:p w14:paraId="635C408A"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6524E724"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53C43754"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ערעור שונה - אזרחי (עש"א)</w:t>
            </w:r>
          </w:p>
        </w:tc>
        <w:tc>
          <w:tcPr>
            <w:tcW w:w="992" w:type="dxa"/>
            <w:shd w:val="clear" w:color="auto" w:fill="auto"/>
            <w:vAlign w:val="center"/>
          </w:tcPr>
          <w:p w14:paraId="298B76E5"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1,325</w:t>
            </w:r>
          </w:p>
        </w:tc>
        <w:tc>
          <w:tcPr>
            <w:tcW w:w="1134" w:type="dxa"/>
            <w:shd w:val="clear" w:color="auto" w:fill="auto"/>
            <w:noWrap/>
            <w:vAlign w:val="center"/>
          </w:tcPr>
          <w:p w14:paraId="665CFFD0"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2:18</w:t>
            </w:r>
          </w:p>
        </w:tc>
        <w:tc>
          <w:tcPr>
            <w:tcW w:w="993" w:type="dxa"/>
            <w:shd w:val="clear" w:color="auto" w:fill="auto"/>
            <w:vAlign w:val="center"/>
          </w:tcPr>
          <w:p w14:paraId="18CEB97D"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2:28</w:t>
            </w:r>
          </w:p>
        </w:tc>
        <w:tc>
          <w:tcPr>
            <w:tcW w:w="1134" w:type="dxa"/>
            <w:shd w:val="clear" w:color="auto" w:fill="auto"/>
            <w:vAlign w:val="center"/>
          </w:tcPr>
          <w:p w14:paraId="4DAEAB9A"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1.04</w:t>
            </w:r>
          </w:p>
        </w:tc>
        <w:tc>
          <w:tcPr>
            <w:tcW w:w="1558" w:type="dxa"/>
            <w:shd w:val="clear" w:color="auto" w:fill="auto"/>
            <w:vAlign w:val="center"/>
          </w:tcPr>
          <w:p w14:paraId="40FA1FD1"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2:13</w:t>
            </w:r>
          </w:p>
        </w:tc>
      </w:tr>
      <w:tr w:rsidR="00DB5BCC" w:rsidRPr="0052793E" w14:paraId="089FA3D7" w14:textId="77777777" w:rsidTr="00DB5BCC">
        <w:trPr>
          <w:trHeight w:val="537"/>
        </w:trPr>
        <w:tc>
          <w:tcPr>
            <w:tcW w:w="851" w:type="dxa"/>
            <w:shd w:val="clear" w:color="auto" w:fill="auto"/>
            <w:noWrap/>
            <w:vAlign w:val="center"/>
          </w:tcPr>
          <w:p w14:paraId="566D0BEB"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306F1708"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פלילי</w:t>
            </w:r>
          </w:p>
        </w:tc>
        <w:tc>
          <w:tcPr>
            <w:tcW w:w="2267" w:type="dxa"/>
            <w:shd w:val="clear" w:color="auto" w:fill="auto"/>
            <w:vAlign w:val="center"/>
          </w:tcPr>
          <w:p w14:paraId="30D34D86"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בקשה לעיון בחומר חקירה (בע"ח)</w:t>
            </w:r>
          </w:p>
        </w:tc>
        <w:tc>
          <w:tcPr>
            <w:tcW w:w="992" w:type="dxa"/>
            <w:shd w:val="clear" w:color="auto" w:fill="auto"/>
            <w:vAlign w:val="center"/>
          </w:tcPr>
          <w:p w14:paraId="3551C953"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776</w:t>
            </w:r>
          </w:p>
        </w:tc>
        <w:tc>
          <w:tcPr>
            <w:tcW w:w="1134" w:type="dxa"/>
            <w:shd w:val="clear" w:color="auto" w:fill="auto"/>
            <w:noWrap/>
            <w:vAlign w:val="center"/>
          </w:tcPr>
          <w:p w14:paraId="1DA53F1C"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2:16</w:t>
            </w:r>
          </w:p>
        </w:tc>
        <w:tc>
          <w:tcPr>
            <w:tcW w:w="993" w:type="dxa"/>
            <w:shd w:val="clear" w:color="auto" w:fill="auto"/>
            <w:vAlign w:val="center"/>
          </w:tcPr>
          <w:p w14:paraId="6772D35C"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w:t>
            </w:r>
          </w:p>
        </w:tc>
        <w:tc>
          <w:tcPr>
            <w:tcW w:w="1134" w:type="dxa"/>
            <w:shd w:val="clear" w:color="auto" w:fill="auto"/>
            <w:vAlign w:val="center"/>
          </w:tcPr>
          <w:p w14:paraId="3B23677C"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5845CB93"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2:16</w:t>
            </w:r>
          </w:p>
        </w:tc>
      </w:tr>
      <w:tr w:rsidR="00DB5BCC" w:rsidRPr="0052793E" w14:paraId="3EAC59DF" w14:textId="77777777" w:rsidTr="00DB5BCC">
        <w:trPr>
          <w:trHeight w:val="720"/>
        </w:trPr>
        <w:tc>
          <w:tcPr>
            <w:tcW w:w="851" w:type="dxa"/>
            <w:shd w:val="clear" w:color="auto" w:fill="auto"/>
            <w:noWrap/>
            <w:vAlign w:val="center"/>
          </w:tcPr>
          <w:p w14:paraId="6F5D35FC"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65ECFE4E"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עניינים מקומיים</w:t>
            </w:r>
          </w:p>
        </w:tc>
        <w:tc>
          <w:tcPr>
            <w:tcW w:w="2267" w:type="dxa"/>
            <w:shd w:val="clear" w:color="auto" w:fill="auto"/>
            <w:vAlign w:val="center"/>
          </w:tcPr>
          <w:p w14:paraId="4FE4D69E"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רישוי עסקים (רע"ס)</w:t>
            </w:r>
          </w:p>
        </w:tc>
        <w:tc>
          <w:tcPr>
            <w:tcW w:w="992" w:type="dxa"/>
            <w:shd w:val="clear" w:color="auto" w:fill="auto"/>
            <w:vAlign w:val="center"/>
          </w:tcPr>
          <w:p w14:paraId="190A54E6"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2,428</w:t>
            </w:r>
          </w:p>
        </w:tc>
        <w:tc>
          <w:tcPr>
            <w:tcW w:w="1134" w:type="dxa"/>
            <w:shd w:val="clear" w:color="auto" w:fill="auto"/>
            <w:noWrap/>
            <w:vAlign w:val="center"/>
          </w:tcPr>
          <w:p w14:paraId="3C67CBCE"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2:13</w:t>
            </w:r>
          </w:p>
        </w:tc>
        <w:tc>
          <w:tcPr>
            <w:tcW w:w="993" w:type="dxa"/>
            <w:shd w:val="clear" w:color="auto" w:fill="auto"/>
            <w:vAlign w:val="center"/>
          </w:tcPr>
          <w:p w14:paraId="750265EA"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w:t>
            </w:r>
          </w:p>
        </w:tc>
        <w:tc>
          <w:tcPr>
            <w:tcW w:w="1134" w:type="dxa"/>
            <w:shd w:val="clear" w:color="auto" w:fill="auto"/>
            <w:vAlign w:val="center"/>
          </w:tcPr>
          <w:p w14:paraId="780CB82B"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1.05</w:t>
            </w:r>
          </w:p>
        </w:tc>
        <w:tc>
          <w:tcPr>
            <w:tcW w:w="1558" w:type="dxa"/>
            <w:shd w:val="clear" w:color="auto" w:fill="auto"/>
            <w:vAlign w:val="center"/>
          </w:tcPr>
          <w:p w14:paraId="1B0234B2"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2:07</w:t>
            </w:r>
          </w:p>
        </w:tc>
      </w:tr>
      <w:tr w:rsidR="00DB5BCC" w:rsidRPr="0052793E" w14:paraId="374F5C47" w14:textId="77777777" w:rsidTr="00DB5BCC">
        <w:trPr>
          <w:trHeight w:val="601"/>
        </w:trPr>
        <w:tc>
          <w:tcPr>
            <w:tcW w:w="851" w:type="dxa"/>
            <w:shd w:val="clear" w:color="auto" w:fill="auto"/>
            <w:noWrap/>
            <w:vAlign w:val="center"/>
          </w:tcPr>
          <w:p w14:paraId="7500853E"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3004956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3AE58B2E"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 xml:space="preserve">תיק אזרחי בסדר דין מהיר (תא"מ) -נזקי רכוש רכב: </w:t>
            </w:r>
            <w:r w:rsidRPr="0052793E">
              <w:rPr>
                <w:rFonts w:ascii="David" w:eastAsia="Times New Roman" w:hAnsi="David" w:cs="David"/>
                <w:b/>
                <w:bCs/>
                <w:rtl/>
              </w:rPr>
              <w:t>לא</w:t>
            </w:r>
          </w:p>
        </w:tc>
        <w:tc>
          <w:tcPr>
            <w:tcW w:w="992" w:type="dxa"/>
            <w:shd w:val="clear" w:color="auto" w:fill="auto"/>
            <w:vAlign w:val="center"/>
          </w:tcPr>
          <w:p w14:paraId="131944F9"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36,937</w:t>
            </w:r>
          </w:p>
        </w:tc>
        <w:tc>
          <w:tcPr>
            <w:tcW w:w="1134" w:type="dxa"/>
            <w:shd w:val="clear" w:color="auto" w:fill="auto"/>
            <w:noWrap/>
            <w:vAlign w:val="center"/>
          </w:tcPr>
          <w:p w14:paraId="4B77AF17"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2:10</w:t>
            </w:r>
          </w:p>
        </w:tc>
        <w:tc>
          <w:tcPr>
            <w:tcW w:w="993" w:type="dxa"/>
            <w:shd w:val="clear" w:color="auto" w:fill="auto"/>
            <w:vAlign w:val="center"/>
          </w:tcPr>
          <w:p w14:paraId="4984ECC2"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1:35</w:t>
            </w:r>
          </w:p>
        </w:tc>
        <w:tc>
          <w:tcPr>
            <w:tcW w:w="1134" w:type="dxa"/>
            <w:shd w:val="clear" w:color="auto" w:fill="auto"/>
            <w:vAlign w:val="center"/>
          </w:tcPr>
          <w:p w14:paraId="0B7B9B6E"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1.01</w:t>
            </w:r>
          </w:p>
        </w:tc>
        <w:tc>
          <w:tcPr>
            <w:tcW w:w="1558" w:type="dxa"/>
            <w:shd w:val="clear" w:color="auto" w:fill="auto"/>
            <w:vAlign w:val="center"/>
          </w:tcPr>
          <w:p w14:paraId="20069358"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2:09</w:t>
            </w:r>
          </w:p>
        </w:tc>
      </w:tr>
      <w:tr w:rsidR="00DB5BCC" w:rsidRPr="0052793E" w14:paraId="7FDF1782" w14:textId="77777777" w:rsidTr="00DB5BCC">
        <w:trPr>
          <w:trHeight w:val="643"/>
        </w:trPr>
        <w:tc>
          <w:tcPr>
            <w:tcW w:w="851" w:type="dxa"/>
            <w:shd w:val="clear" w:color="auto" w:fill="auto"/>
            <w:noWrap/>
            <w:vAlign w:val="center"/>
          </w:tcPr>
          <w:p w14:paraId="7A93EA4E"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17909C5D"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21CB502A"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המרצת פתיחה בוררות (הפ"ב)</w:t>
            </w:r>
          </w:p>
        </w:tc>
        <w:tc>
          <w:tcPr>
            <w:tcW w:w="992" w:type="dxa"/>
            <w:shd w:val="clear" w:color="auto" w:fill="auto"/>
            <w:vAlign w:val="center"/>
          </w:tcPr>
          <w:p w14:paraId="0FCF0D77"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421</w:t>
            </w:r>
          </w:p>
        </w:tc>
        <w:tc>
          <w:tcPr>
            <w:tcW w:w="1134" w:type="dxa"/>
            <w:shd w:val="clear" w:color="auto" w:fill="auto"/>
            <w:noWrap/>
            <w:vAlign w:val="center"/>
          </w:tcPr>
          <w:p w14:paraId="1544362C"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2:06</w:t>
            </w:r>
          </w:p>
        </w:tc>
        <w:tc>
          <w:tcPr>
            <w:tcW w:w="993" w:type="dxa"/>
            <w:shd w:val="clear" w:color="auto" w:fill="auto"/>
            <w:vAlign w:val="center"/>
          </w:tcPr>
          <w:p w14:paraId="74DEE257"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w:t>
            </w:r>
          </w:p>
        </w:tc>
        <w:tc>
          <w:tcPr>
            <w:tcW w:w="1134" w:type="dxa"/>
            <w:shd w:val="clear" w:color="auto" w:fill="auto"/>
            <w:vAlign w:val="center"/>
          </w:tcPr>
          <w:p w14:paraId="259E11D4"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1.08</w:t>
            </w:r>
          </w:p>
        </w:tc>
        <w:tc>
          <w:tcPr>
            <w:tcW w:w="1558" w:type="dxa"/>
            <w:shd w:val="clear" w:color="auto" w:fill="auto"/>
            <w:vAlign w:val="center"/>
          </w:tcPr>
          <w:p w14:paraId="3C1EACFC"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1:57</w:t>
            </w:r>
          </w:p>
        </w:tc>
      </w:tr>
      <w:tr w:rsidR="00DB5BCC" w:rsidRPr="0052793E" w14:paraId="7A80B7F2" w14:textId="77777777" w:rsidTr="00DB5BCC">
        <w:trPr>
          <w:trHeight w:val="404"/>
        </w:trPr>
        <w:tc>
          <w:tcPr>
            <w:tcW w:w="851" w:type="dxa"/>
            <w:shd w:val="clear" w:color="auto" w:fill="auto"/>
            <w:noWrap/>
            <w:vAlign w:val="center"/>
          </w:tcPr>
          <w:p w14:paraId="2C95DFD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תעבורה</w:t>
            </w:r>
          </w:p>
        </w:tc>
        <w:tc>
          <w:tcPr>
            <w:tcW w:w="993" w:type="dxa"/>
            <w:shd w:val="clear" w:color="auto" w:fill="auto"/>
            <w:noWrap/>
            <w:vAlign w:val="center"/>
          </w:tcPr>
          <w:p w14:paraId="0CBA3B6B" w14:textId="77777777" w:rsidR="00DB5BCC" w:rsidRPr="0052793E" w:rsidRDefault="00DB5BCC" w:rsidP="00DB5BCC">
            <w:pPr>
              <w:bidi w:val="0"/>
              <w:spacing w:after="0" w:line="240" w:lineRule="auto"/>
              <w:rPr>
                <w:rFonts w:asciiTheme="minorHAnsi" w:eastAsia="Times New Roman" w:hAnsiTheme="minorHAnsi" w:cs="David"/>
                <w:rtl/>
              </w:rPr>
            </w:pPr>
          </w:p>
        </w:tc>
        <w:tc>
          <w:tcPr>
            <w:tcW w:w="2267" w:type="dxa"/>
            <w:shd w:val="clear" w:color="auto" w:fill="auto"/>
            <w:vAlign w:val="center"/>
          </w:tcPr>
          <w:p w14:paraId="5F861D55"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תיק ת"ד אדום (תד"א)</w:t>
            </w:r>
          </w:p>
        </w:tc>
        <w:tc>
          <w:tcPr>
            <w:tcW w:w="992" w:type="dxa"/>
            <w:shd w:val="clear" w:color="auto" w:fill="auto"/>
            <w:vAlign w:val="center"/>
          </w:tcPr>
          <w:p w14:paraId="37203F30"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87</w:t>
            </w:r>
          </w:p>
        </w:tc>
        <w:tc>
          <w:tcPr>
            <w:tcW w:w="1134" w:type="dxa"/>
            <w:shd w:val="clear" w:color="auto" w:fill="auto"/>
            <w:noWrap/>
            <w:vAlign w:val="center"/>
          </w:tcPr>
          <w:p w14:paraId="6B24F132"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hint="cs"/>
                <w:b/>
                <w:bCs/>
                <w:rtl/>
              </w:rPr>
              <w:t>2:04</w:t>
            </w:r>
          </w:p>
        </w:tc>
        <w:tc>
          <w:tcPr>
            <w:tcW w:w="993" w:type="dxa"/>
            <w:shd w:val="clear" w:color="auto" w:fill="auto"/>
            <w:vAlign w:val="center"/>
          </w:tcPr>
          <w:p w14:paraId="0346066D"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w:t>
            </w:r>
          </w:p>
        </w:tc>
        <w:tc>
          <w:tcPr>
            <w:tcW w:w="1134" w:type="dxa"/>
            <w:shd w:val="clear" w:color="auto" w:fill="auto"/>
            <w:vAlign w:val="center"/>
          </w:tcPr>
          <w:p w14:paraId="30712F6F"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1</w:t>
            </w:r>
          </w:p>
        </w:tc>
        <w:tc>
          <w:tcPr>
            <w:tcW w:w="1558" w:type="dxa"/>
            <w:shd w:val="clear" w:color="auto" w:fill="auto"/>
            <w:vAlign w:val="center"/>
          </w:tcPr>
          <w:p w14:paraId="013572C6"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2:04</w:t>
            </w:r>
          </w:p>
        </w:tc>
      </w:tr>
      <w:tr w:rsidR="00DB5BCC" w:rsidRPr="0052793E" w14:paraId="237F04C5" w14:textId="77777777" w:rsidTr="00DB5BCC">
        <w:trPr>
          <w:trHeight w:val="616"/>
        </w:trPr>
        <w:tc>
          <w:tcPr>
            <w:tcW w:w="851" w:type="dxa"/>
            <w:shd w:val="clear" w:color="auto" w:fill="auto"/>
            <w:noWrap/>
            <w:vAlign w:val="center"/>
          </w:tcPr>
          <w:p w14:paraId="371DAA97"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מחוזי</w:t>
            </w:r>
          </w:p>
        </w:tc>
        <w:tc>
          <w:tcPr>
            <w:tcW w:w="993" w:type="dxa"/>
            <w:shd w:val="clear" w:color="auto" w:fill="auto"/>
            <w:noWrap/>
            <w:vAlign w:val="center"/>
          </w:tcPr>
          <w:p w14:paraId="082622A0"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ערעור אזרחי</w:t>
            </w:r>
          </w:p>
        </w:tc>
        <w:tc>
          <w:tcPr>
            <w:tcW w:w="2267" w:type="dxa"/>
            <w:shd w:val="clear" w:color="auto" w:fill="auto"/>
            <w:vAlign w:val="center"/>
          </w:tcPr>
          <w:p w14:paraId="3A0AF758"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רשות ערעור משפחה (רמ"ש) - דן יחיד</w:t>
            </w:r>
          </w:p>
        </w:tc>
        <w:tc>
          <w:tcPr>
            <w:tcW w:w="992" w:type="dxa"/>
            <w:shd w:val="clear" w:color="auto" w:fill="auto"/>
            <w:vAlign w:val="center"/>
          </w:tcPr>
          <w:p w14:paraId="51BFACAE"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869</w:t>
            </w:r>
          </w:p>
        </w:tc>
        <w:tc>
          <w:tcPr>
            <w:tcW w:w="1134" w:type="dxa"/>
            <w:shd w:val="clear" w:color="auto" w:fill="auto"/>
            <w:noWrap/>
            <w:vAlign w:val="center"/>
          </w:tcPr>
          <w:p w14:paraId="41507484" w14:textId="77777777" w:rsidR="00DB5BCC" w:rsidRPr="0052793E" w:rsidRDefault="00DB5BCC" w:rsidP="00DB5BCC">
            <w:pPr>
              <w:spacing w:after="0" w:line="240" w:lineRule="auto"/>
              <w:jc w:val="center"/>
              <w:rPr>
                <w:rFonts w:asciiTheme="minorHAnsi" w:eastAsia="Times New Roman" w:hAnsiTheme="minorHAnsi" w:cs="David"/>
                <w:b/>
                <w:bCs/>
                <w:rtl/>
              </w:rPr>
            </w:pPr>
            <w:r w:rsidRPr="0052793E">
              <w:rPr>
                <w:rFonts w:ascii="David" w:eastAsia="Times New Roman" w:hAnsi="David" w:cs="David"/>
                <w:b/>
                <w:bCs/>
              </w:rPr>
              <w:t>2:03</w:t>
            </w:r>
          </w:p>
        </w:tc>
        <w:tc>
          <w:tcPr>
            <w:tcW w:w="993" w:type="dxa"/>
            <w:shd w:val="clear" w:color="auto" w:fill="auto"/>
            <w:vAlign w:val="center"/>
          </w:tcPr>
          <w:p w14:paraId="4692B59C"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w:t>
            </w:r>
          </w:p>
        </w:tc>
        <w:tc>
          <w:tcPr>
            <w:tcW w:w="1134" w:type="dxa"/>
            <w:shd w:val="clear" w:color="auto" w:fill="auto"/>
            <w:vAlign w:val="center"/>
          </w:tcPr>
          <w:p w14:paraId="054DEA5B"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19245FE1"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2:03</w:t>
            </w:r>
          </w:p>
        </w:tc>
      </w:tr>
      <w:tr w:rsidR="00DB5BCC" w:rsidRPr="0052793E" w14:paraId="5B4D1EF4" w14:textId="77777777" w:rsidTr="00DB5BCC">
        <w:trPr>
          <w:trHeight w:val="597"/>
        </w:trPr>
        <w:tc>
          <w:tcPr>
            <w:tcW w:w="851" w:type="dxa"/>
            <w:shd w:val="clear" w:color="auto" w:fill="auto"/>
            <w:noWrap/>
            <w:vAlign w:val="center"/>
          </w:tcPr>
          <w:p w14:paraId="5AE6BEB9"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תעבורה</w:t>
            </w:r>
          </w:p>
        </w:tc>
        <w:tc>
          <w:tcPr>
            <w:tcW w:w="993" w:type="dxa"/>
            <w:shd w:val="clear" w:color="auto" w:fill="auto"/>
            <w:noWrap/>
            <w:vAlign w:val="center"/>
          </w:tcPr>
          <w:p w14:paraId="612FB225" w14:textId="77777777" w:rsidR="00DB5BCC" w:rsidRPr="0052793E" w:rsidRDefault="00DB5BCC" w:rsidP="00DB5BCC">
            <w:pPr>
              <w:spacing w:after="0" w:line="240" w:lineRule="auto"/>
              <w:rPr>
                <w:rFonts w:ascii="David" w:eastAsia="Times New Roman" w:hAnsi="David" w:cs="David"/>
                <w:rtl/>
              </w:rPr>
            </w:pPr>
          </w:p>
        </w:tc>
        <w:tc>
          <w:tcPr>
            <w:tcW w:w="2267" w:type="dxa"/>
            <w:shd w:val="clear" w:color="auto" w:fill="auto"/>
            <w:vAlign w:val="center"/>
          </w:tcPr>
          <w:p w14:paraId="7DD227B4"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תיק פ"ל אדום (פל"א)</w:t>
            </w:r>
          </w:p>
        </w:tc>
        <w:tc>
          <w:tcPr>
            <w:tcW w:w="992" w:type="dxa"/>
            <w:shd w:val="clear" w:color="auto" w:fill="auto"/>
            <w:vAlign w:val="center"/>
          </w:tcPr>
          <w:p w14:paraId="024A24AC"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2,113</w:t>
            </w:r>
          </w:p>
        </w:tc>
        <w:tc>
          <w:tcPr>
            <w:tcW w:w="1134" w:type="dxa"/>
            <w:shd w:val="clear" w:color="auto" w:fill="auto"/>
            <w:noWrap/>
            <w:vAlign w:val="center"/>
          </w:tcPr>
          <w:p w14:paraId="716D8CC2"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1:57</w:t>
            </w:r>
          </w:p>
        </w:tc>
        <w:tc>
          <w:tcPr>
            <w:tcW w:w="993" w:type="dxa"/>
            <w:shd w:val="clear" w:color="auto" w:fill="auto"/>
            <w:vAlign w:val="center"/>
          </w:tcPr>
          <w:p w14:paraId="12BDEA1D"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w:t>
            </w:r>
          </w:p>
        </w:tc>
        <w:tc>
          <w:tcPr>
            <w:tcW w:w="1134" w:type="dxa"/>
            <w:shd w:val="clear" w:color="auto" w:fill="auto"/>
            <w:vAlign w:val="center"/>
          </w:tcPr>
          <w:p w14:paraId="1ACB19DA"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7CAB8653"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1:57</w:t>
            </w:r>
          </w:p>
        </w:tc>
      </w:tr>
      <w:tr w:rsidR="00DB5BCC" w:rsidRPr="0052793E" w14:paraId="376B8875" w14:textId="77777777" w:rsidTr="00DB5BCC">
        <w:trPr>
          <w:trHeight w:val="597"/>
        </w:trPr>
        <w:tc>
          <w:tcPr>
            <w:tcW w:w="851" w:type="dxa"/>
            <w:shd w:val="clear" w:color="auto" w:fill="auto"/>
            <w:noWrap/>
            <w:vAlign w:val="center"/>
          </w:tcPr>
          <w:p w14:paraId="78273781" w14:textId="53E6B39B" w:rsidR="00DB5BCC" w:rsidRPr="0052793E" w:rsidRDefault="00DB5BCC" w:rsidP="00DB5BCC">
            <w:pPr>
              <w:spacing w:after="0" w:line="240" w:lineRule="auto"/>
              <w:rPr>
                <w:rFonts w:ascii="David" w:eastAsia="Times New Roman" w:hAnsi="David" w:cs="David"/>
                <w:rtl/>
              </w:rPr>
            </w:pPr>
            <w:r w:rsidRPr="0052793E">
              <w:rPr>
                <w:rFonts w:ascii="Arial" w:eastAsia="Times New Roman" w:hAnsi="Arial" w:cs="David" w:hint="cs"/>
                <w:b/>
                <w:bCs/>
                <w:rtl/>
              </w:rPr>
              <w:lastRenderedPageBreak/>
              <w:t>ערכאה</w:t>
            </w:r>
          </w:p>
        </w:tc>
        <w:tc>
          <w:tcPr>
            <w:tcW w:w="993" w:type="dxa"/>
            <w:shd w:val="clear" w:color="auto" w:fill="auto"/>
            <w:noWrap/>
            <w:vAlign w:val="center"/>
          </w:tcPr>
          <w:p w14:paraId="13895517" w14:textId="54853153" w:rsidR="00DB5BCC" w:rsidRPr="0052793E" w:rsidRDefault="00DB5BCC" w:rsidP="00DB5BCC">
            <w:pPr>
              <w:spacing w:after="0" w:line="240" w:lineRule="auto"/>
              <w:rPr>
                <w:rFonts w:ascii="David" w:eastAsia="Times New Roman" w:hAnsi="David" w:cs="David"/>
                <w:rtl/>
              </w:rPr>
            </w:pPr>
            <w:r w:rsidRPr="0052793E">
              <w:rPr>
                <w:rFonts w:ascii="Arial" w:eastAsia="Times New Roman" w:hAnsi="Arial" w:cs="David" w:hint="cs"/>
                <w:b/>
                <w:bCs/>
                <w:rtl/>
              </w:rPr>
              <w:t>הליך</w:t>
            </w:r>
          </w:p>
        </w:tc>
        <w:tc>
          <w:tcPr>
            <w:tcW w:w="2267" w:type="dxa"/>
            <w:shd w:val="clear" w:color="auto" w:fill="auto"/>
            <w:vAlign w:val="center"/>
          </w:tcPr>
          <w:p w14:paraId="16920556" w14:textId="14C22C33" w:rsidR="00DB5BCC" w:rsidRPr="0052793E" w:rsidRDefault="00DB5BCC" w:rsidP="00DB5BCC">
            <w:pPr>
              <w:spacing w:after="0" w:line="240" w:lineRule="auto"/>
              <w:rPr>
                <w:rFonts w:ascii="David" w:eastAsia="Times New Roman" w:hAnsi="David" w:cs="David"/>
                <w:rtl/>
              </w:rPr>
            </w:pPr>
            <w:r w:rsidRPr="0052793E">
              <w:rPr>
                <w:rFonts w:ascii="Arial" w:eastAsia="Times New Roman" w:hAnsi="Arial" w:cs="David" w:hint="cs"/>
                <w:b/>
                <w:bCs/>
                <w:rtl/>
              </w:rPr>
              <w:t>סוג תיק</w:t>
            </w:r>
          </w:p>
        </w:tc>
        <w:tc>
          <w:tcPr>
            <w:tcW w:w="992" w:type="dxa"/>
            <w:shd w:val="clear" w:color="auto" w:fill="auto"/>
            <w:vAlign w:val="center"/>
          </w:tcPr>
          <w:p w14:paraId="7AE36DA2" w14:textId="78265B58" w:rsidR="00DB5BCC" w:rsidRPr="0052793E" w:rsidRDefault="00DB5BCC" w:rsidP="00DB5BCC">
            <w:pPr>
              <w:spacing w:after="0" w:line="240" w:lineRule="auto"/>
              <w:jc w:val="center"/>
              <w:rPr>
                <w:rFonts w:ascii="David" w:eastAsia="Times New Roman" w:hAnsi="David" w:cs="David"/>
                <w:rtl/>
              </w:rPr>
            </w:pPr>
            <w:r w:rsidRPr="0052793E">
              <w:rPr>
                <w:rFonts w:ascii="Arial" w:eastAsia="Times New Roman" w:hAnsi="Arial" w:cs="David" w:hint="cs"/>
                <w:b/>
                <w:bCs/>
                <w:rtl/>
              </w:rPr>
              <w:t>מספר תיקים שנסגרו ב-2019</w:t>
            </w:r>
          </w:p>
        </w:tc>
        <w:tc>
          <w:tcPr>
            <w:tcW w:w="1134" w:type="dxa"/>
            <w:shd w:val="clear" w:color="auto" w:fill="auto"/>
            <w:noWrap/>
            <w:vAlign w:val="center"/>
          </w:tcPr>
          <w:p w14:paraId="01F1E54E" w14:textId="728B2F5C" w:rsidR="00DB5BCC" w:rsidRPr="0052793E" w:rsidRDefault="00DB5BCC" w:rsidP="00DB5BCC">
            <w:pPr>
              <w:spacing w:after="0" w:line="240" w:lineRule="auto"/>
              <w:jc w:val="center"/>
              <w:rPr>
                <w:rFonts w:ascii="David" w:eastAsia="Times New Roman" w:hAnsi="David" w:cs="David"/>
                <w:b/>
                <w:bCs/>
              </w:rPr>
            </w:pPr>
            <w:r w:rsidRPr="0052793E">
              <w:rPr>
                <w:rFonts w:ascii="Arial" w:eastAsia="Times New Roman" w:hAnsi="Arial" w:cs="David" w:hint="cs"/>
                <w:b/>
                <w:bCs/>
                <w:rtl/>
              </w:rPr>
              <w:t>הזמן השיפוטי הממוצע לטיפול בתיק</w:t>
            </w:r>
          </w:p>
        </w:tc>
        <w:tc>
          <w:tcPr>
            <w:tcW w:w="993" w:type="dxa"/>
            <w:shd w:val="clear" w:color="auto" w:fill="auto"/>
            <w:vAlign w:val="center"/>
          </w:tcPr>
          <w:p w14:paraId="37F681C8" w14:textId="60A4C7F1" w:rsidR="00DB5BCC" w:rsidRPr="0052793E" w:rsidRDefault="00DB5BCC" w:rsidP="00DB5BCC">
            <w:pPr>
              <w:spacing w:after="0" w:line="240" w:lineRule="auto"/>
              <w:jc w:val="center"/>
              <w:rPr>
                <w:rFonts w:ascii="David" w:eastAsia="Times New Roman" w:hAnsi="David" w:cs="David"/>
              </w:rPr>
            </w:pPr>
            <w:r w:rsidRPr="0052793E">
              <w:rPr>
                <w:rFonts w:ascii="Arial" w:eastAsia="Times New Roman" w:hAnsi="Arial" w:cs="David" w:hint="cs"/>
                <w:b/>
                <w:bCs/>
                <w:rtl/>
              </w:rPr>
              <w:t>הזמן השיפוטי הממוצע לפי המחקר הקודם</w:t>
            </w:r>
          </w:p>
        </w:tc>
        <w:tc>
          <w:tcPr>
            <w:tcW w:w="1134" w:type="dxa"/>
            <w:shd w:val="clear" w:color="auto" w:fill="auto"/>
            <w:vAlign w:val="center"/>
          </w:tcPr>
          <w:p w14:paraId="06DDA217" w14:textId="2C975B91" w:rsidR="00DB5BCC" w:rsidRPr="0052793E" w:rsidRDefault="00DB5BCC" w:rsidP="00DB5BCC">
            <w:pPr>
              <w:spacing w:after="0" w:line="240" w:lineRule="auto"/>
              <w:jc w:val="center"/>
              <w:rPr>
                <w:rFonts w:ascii="David" w:eastAsia="Times New Roman" w:hAnsi="David" w:cs="David"/>
                <w:rtl/>
              </w:rPr>
            </w:pPr>
            <w:r w:rsidRPr="0052793E">
              <w:rPr>
                <w:rFonts w:ascii="Arial" w:eastAsia="Times New Roman" w:hAnsi="Arial" w:cs="David" w:hint="cs"/>
                <w:b/>
                <w:bCs/>
                <w:rtl/>
              </w:rPr>
              <w:t>כמות התיקים הממוצעת שפסק דין סוגר</w:t>
            </w:r>
          </w:p>
        </w:tc>
        <w:tc>
          <w:tcPr>
            <w:tcW w:w="1558" w:type="dxa"/>
            <w:shd w:val="clear" w:color="auto" w:fill="auto"/>
            <w:vAlign w:val="center"/>
          </w:tcPr>
          <w:p w14:paraId="7F9FFAF5" w14:textId="45A09C8C" w:rsidR="00DB5BCC" w:rsidRPr="0052793E" w:rsidRDefault="00DB5BCC" w:rsidP="00DB5BCC">
            <w:pPr>
              <w:spacing w:after="0" w:line="240" w:lineRule="auto"/>
              <w:jc w:val="center"/>
              <w:rPr>
                <w:rFonts w:ascii="David" w:eastAsia="Times New Roman" w:hAnsi="David" w:cs="David"/>
                <w:rtl/>
              </w:rPr>
            </w:pPr>
            <w:r w:rsidRPr="0052793E">
              <w:rPr>
                <w:rFonts w:ascii="Arial" w:eastAsia="Times New Roman" w:hAnsi="Arial" w:cs="David" w:hint="cs"/>
                <w:b/>
                <w:bCs/>
                <w:rtl/>
              </w:rPr>
              <w:t>הזמן השיפוטי הממוצע לטיפול בתיק חלקי כמות התיקים שפסק הדין סוגר</w:t>
            </w:r>
          </w:p>
        </w:tc>
      </w:tr>
      <w:tr w:rsidR="00DB5BCC" w:rsidRPr="0052793E" w14:paraId="193078B7" w14:textId="77777777" w:rsidTr="00DB5BCC">
        <w:trPr>
          <w:trHeight w:val="597"/>
        </w:trPr>
        <w:tc>
          <w:tcPr>
            <w:tcW w:w="851" w:type="dxa"/>
            <w:shd w:val="clear" w:color="auto" w:fill="auto"/>
            <w:noWrap/>
            <w:vAlign w:val="center"/>
          </w:tcPr>
          <w:p w14:paraId="38A959C6"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עבודה</w:t>
            </w:r>
          </w:p>
        </w:tc>
        <w:tc>
          <w:tcPr>
            <w:tcW w:w="993" w:type="dxa"/>
            <w:shd w:val="clear" w:color="auto" w:fill="auto"/>
            <w:noWrap/>
            <w:vAlign w:val="center"/>
          </w:tcPr>
          <w:p w14:paraId="53E5C051"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300FD6E4"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ערעור לפי חוק (על"ח)</w:t>
            </w:r>
          </w:p>
        </w:tc>
        <w:tc>
          <w:tcPr>
            <w:tcW w:w="992" w:type="dxa"/>
            <w:shd w:val="clear" w:color="auto" w:fill="auto"/>
            <w:vAlign w:val="center"/>
          </w:tcPr>
          <w:p w14:paraId="6AB3BF25"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372</w:t>
            </w:r>
          </w:p>
        </w:tc>
        <w:tc>
          <w:tcPr>
            <w:tcW w:w="1134" w:type="dxa"/>
            <w:shd w:val="clear" w:color="auto" w:fill="auto"/>
            <w:noWrap/>
            <w:vAlign w:val="center"/>
          </w:tcPr>
          <w:p w14:paraId="0CB8D1E0"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1:56</w:t>
            </w:r>
          </w:p>
        </w:tc>
        <w:tc>
          <w:tcPr>
            <w:tcW w:w="993" w:type="dxa"/>
            <w:shd w:val="clear" w:color="auto" w:fill="auto"/>
            <w:vAlign w:val="center"/>
          </w:tcPr>
          <w:p w14:paraId="29583347"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1:30</w:t>
            </w:r>
          </w:p>
        </w:tc>
        <w:tc>
          <w:tcPr>
            <w:tcW w:w="1134" w:type="dxa"/>
            <w:shd w:val="clear" w:color="auto" w:fill="auto"/>
            <w:vAlign w:val="center"/>
          </w:tcPr>
          <w:p w14:paraId="37B3E769"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1.07</w:t>
            </w:r>
          </w:p>
        </w:tc>
        <w:tc>
          <w:tcPr>
            <w:tcW w:w="1558" w:type="dxa"/>
            <w:shd w:val="clear" w:color="auto" w:fill="auto"/>
            <w:vAlign w:val="center"/>
          </w:tcPr>
          <w:p w14:paraId="0BC17EF7"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1:48</w:t>
            </w:r>
          </w:p>
        </w:tc>
      </w:tr>
      <w:tr w:rsidR="00DB5BCC" w:rsidRPr="0052793E" w14:paraId="6EBDA30D" w14:textId="77777777" w:rsidTr="00DB5BCC">
        <w:trPr>
          <w:trHeight w:val="613"/>
        </w:trPr>
        <w:tc>
          <w:tcPr>
            <w:tcW w:w="851" w:type="dxa"/>
            <w:shd w:val="clear" w:color="auto" w:fill="auto"/>
            <w:noWrap/>
            <w:vAlign w:val="center"/>
          </w:tcPr>
          <w:p w14:paraId="7393B3A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נוער</w:t>
            </w:r>
          </w:p>
        </w:tc>
        <w:tc>
          <w:tcPr>
            <w:tcW w:w="993" w:type="dxa"/>
            <w:shd w:val="clear" w:color="auto" w:fill="auto"/>
            <w:noWrap/>
            <w:vAlign w:val="center"/>
          </w:tcPr>
          <w:p w14:paraId="04612B0D" w14:textId="77777777" w:rsidR="00DB5BCC" w:rsidRPr="0052793E" w:rsidRDefault="00DB5BCC" w:rsidP="00DB5BCC">
            <w:pPr>
              <w:spacing w:after="0" w:line="240" w:lineRule="auto"/>
              <w:rPr>
                <w:rFonts w:ascii="David" w:eastAsia="Times New Roman" w:hAnsi="David" w:cs="David"/>
                <w:rtl/>
              </w:rPr>
            </w:pPr>
          </w:p>
        </w:tc>
        <w:tc>
          <w:tcPr>
            <w:tcW w:w="2267" w:type="dxa"/>
            <w:shd w:val="clear" w:color="auto" w:fill="auto"/>
            <w:vAlign w:val="center"/>
          </w:tcPr>
          <w:p w14:paraId="1EBD498C"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מעצר ימים (מ"י)</w:t>
            </w:r>
          </w:p>
        </w:tc>
        <w:tc>
          <w:tcPr>
            <w:tcW w:w="992" w:type="dxa"/>
            <w:shd w:val="clear" w:color="auto" w:fill="auto"/>
            <w:vAlign w:val="center"/>
          </w:tcPr>
          <w:p w14:paraId="5EBB3FB2"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2,652</w:t>
            </w:r>
          </w:p>
        </w:tc>
        <w:tc>
          <w:tcPr>
            <w:tcW w:w="1134" w:type="dxa"/>
            <w:shd w:val="clear" w:color="auto" w:fill="auto"/>
            <w:noWrap/>
            <w:vAlign w:val="center"/>
          </w:tcPr>
          <w:p w14:paraId="50878693"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hint="cs"/>
                <w:b/>
                <w:bCs/>
                <w:rtl/>
              </w:rPr>
              <w:t>1:52</w:t>
            </w:r>
          </w:p>
        </w:tc>
        <w:tc>
          <w:tcPr>
            <w:tcW w:w="993" w:type="dxa"/>
            <w:shd w:val="clear" w:color="auto" w:fill="auto"/>
            <w:vAlign w:val="center"/>
          </w:tcPr>
          <w:p w14:paraId="7A42995A"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1:04</w:t>
            </w:r>
          </w:p>
        </w:tc>
        <w:tc>
          <w:tcPr>
            <w:tcW w:w="1134" w:type="dxa"/>
            <w:shd w:val="clear" w:color="auto" w:fill="auto"/>
            <w:vAlign w:val="center"/>
          </w:tcPr>
          <w:p w14:paraId="68021DBC"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1</w:t>
            </w:r>
          </w:p>
        </w:tc>
        <w:tc>
          <w:tcPr>
            <w:tcW w:w="1558" w:type="dxa"/>
            <w:shd w:val="clear" w:color="auto" w:fill="auto"/>
            <w:vAlign w:val="center"/>
          </w:tcPr>
          <w:p w14:paraId="343BA1DE"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1:52</w:t>
            </w:r>
          </w:p>
        </w:tc>
      </w:tr>
      <w:tr w:rsidR="00DB5BCC" w:rsidRPr="0052793E" w14:paraId="6F42408A" w14:textId="77777777" w:rsidTr="00DB5BCC">
        <w:trPr>
          <w:trHeight w:val="613"/>
        </w:trPr>
        <w:tc>
          <w:tcPr>
            <w:tcW w:w="851" w:type="dxa"/>
            <w:shd w:val="clear" w:color="auto" w:fill="auto"/>
            <w:noWrap/>
            <w:vAlign w:val="center"/>
          </w:tcPr>
          <w:p w14:paraId="7C252F04"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נוער</w:t>
            </w:r>
          </w:p>
        </w:tc>
        <w:tc>
          <w:tcPr>
            <w:tcW w:w="993" w:type="dxa"/>
            <w:shd w:val="clear" w:color="auto" w:fill="auto"/>
            <w:noWrap/>
            <w:vAlign w:val="center"/>
          </w:tcPr>
          <w:p w14:paraId="3989B20D" w14:textId="77777777" w:rsidR="00DB5BCC" w:rsidRPr="0052793E" w:rsidRDefault="00DB5BCC" w:rsidP="00DB5BCC">
            <w:pPr>
              <w:spacing w:after="0" w:line="240" w:lineRule="auto"/>
              <w:rPr>
                <w:rFonts w:ascii="David" w:eastAsia="Times New Roman" w:hAnsi="David" w:cs="David"/>
                <w:rtl/>
              </w:rPr>
            </w:pPr>
          </w:p>
        </w:tc>
        <w:tc>
          <w:tcPr>
            <w:tcW w:w="2267" w:type="dxa"/>
            <w:shd w:val="clear" w:color="auto" w:fill="auto"/>
            <w:vAlign w:val="center"/>
          </w:tcPr>
          <w:p w14:paraId="72807177"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תיק תעבורה (תת"ע)</w:t>
            </w:r>
          </w:p>
        </w:tc>
        <w:tc>
          <w:tcPr>
            <w:tcW w:w="992" w:type="dxa"/>
            <w:shd w:val="clear" w:color="auto" w:fill="auto"/>
            <w:vAlign w:val="center"/>
          </w:tcPr>
          <w:p w14:paraId="448DCCC7"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798</w:t>
            </w:r>
          </w:p>
        </w:tc>
        <w:tc>
          <w:tcPr>
            <w:tcW w:w="1134" w:type="dxa"/>
            <w:shd w:val="clear" w:color="auto" w:fill="auto"/>
            <w:noWrap/>
            <w:vAlign w:val="center"/>
          </w:tcPr>
          <w:p w14:paraId="0EF5D386"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1:51</w:t>
            </w:r>
          </w:p>
        </w:tc>
        <w:tc>
          <w:tcPr>
            <w:tcW w:w="993" w:type="dxa"/>
            <w:shd w:val="clear" w:color="auto" w:fill="auto"/>
            <w:vAlign w:val="center"/>
          </w:tcPr>
          <w:p w14:paraId="07C07E5F"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w:t>
            </w:r>
          </w:p>
        </w:tc>
        <w:tc>
          <w:tcPr>
            <w:tcW w:w="1134" w:type="dxa"/>
            <w:shd w:val="clear" w:color="auto" w:fill="auto"/>
            <w:vAlign w:val="center"/>
          </w:tcPr>
          <w:p w14:paraId="7EBCA8F2"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w:t>
            </w:r>
          </w:p>
        </w:tc>
        <w:tc>
          <w:tcPr>
            <w:tcW w:w="1558" w:type="dxa"/>
            <w:shd w:val="clear" w:color="auto" w:fill="auto"/>
            <w:vAlign w:val="center"/>
          </w:tcPr>
          <w:p w14:paraId="26AA5316"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1:51</w:t>
            </w:r>
          </w:p>
        </w:tc>
      </w:tr>
      <w:tr w:rsidR="00DB5BCC" w:rsidRPr="0052793E" w14:paraId="61755D94" w14:textId="77777777" w:rsidTr="00DB5BCC">
        <w:trPr>
          <w:trHeight w:val="292"/>
        </w:trPr>
        <w:tc>
          <w:tcPr>
            <w:tcW w:w="851" w:type="dxa"/>
            <w:tcBorders>
              <w:top w:val="single" w:sz="4" w:space="0" w:color="auto"/>
              <w:bottom w:val="single" w:sz="4" w:space="0" w:color="auto"/>
            </w:tcBorders>
            <w:shd w:val="clear" w:color="auto" w:fill="auto"/>
            <w:noWrap/>
            <w:vAlign w:val="center"/>
          </w:tcPr>
          <w:p w14:paraId="5BB2EE42"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tcBorders>
              <w:top w:val="single" w:sz="4" w:space="0" w:color="auto"/>
              <w:bottom w:val="single" w:sz="4" w:space="0" w:color="auto"/>
            </w:tcBorders>
            <w:shd w:val="clear" w:color="auto" w:fill="auto"/>
            <w:noWrap/>
            <w:vAlign w:val="center"/>
          </w:tcPr>
          <w:p w14:paraId="7A6B4B31"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ערעור אזרחי</w:t>
            </w:r>
          </w:p>
        </w:tc>
        <w:tc>
          <w:tcPr>
            <w:tcW w:w="2267" w:type="dxa"/>
            <w:tcBorders>
              <w:top w:val="single" w:sz="4" w:space="0" w:color="auto"/>
              <w:bottom w:val="single" w:sz="4" w:space="0" w:color="auto"/>
            </w:tcBorders>
            <w:shd w:val="clear" w:color="auto" w:fill="auto"/>
            <w:vAlign w:val="center"/>
          </w:tcPr>
          <w:p w14:paraId="01308241"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רשות ערעור תביעות קטנות (רת"ק)</w:t>
            </w:r>
          </w:p>
        </w:tc>
        <w:tc>
          <w:tcPr>
            <w:tcW w:w="992" w:type="dxa"/>
            <w:tcBorders>
              <w:top w:val="single" w:sz="4" w:space="0" w:color="auto"/>
              <w:bottom w:val="single" w:sz="4" w:space="0" w:color="auto"/>
            </w:tcBorders>
            <w:shd w:val="clear" w:color="auto" w:fill="auto"/>
            <w:vAlign w:val="center"/>
          </w:tcPr>
          <w:p w14:paraId="3D019702"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537</w:t>
            </w:r>
          </w:p>
        </w:tc>
        <w:tc>
          <w:tcPr>
            <w:tcW w:w="1134" w:type="dxa"/>
            <w:tcBorders>
              <w:top w:val="single" w:sz="4" w:space="0" w:color="auto"/>
              <w:bottom w:val="single" w:sz="4" w:space="0" w:color="auto"/>
            </w:tcBorders>
            <w:shd w:val="clear" w:color="auto" w:fill="auto"/>
            <w:noWrap/>
            <w:vAlign w:val="center"/>
          </w:tcPr>
          <w:p w14:paraId="010B05B1"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hint="cs"/>
                <w:b/>
                <w:bCs/>
                <w:rtl/>
              </w:rPr>
              <w:t>1:50</w:t>
            </w:r>
          </w:p>
        </w:tc>
        <w:tc>
          <w:tcPr>
            <w:tcW w:w="993" w:type="dxa"/>
            <w:tcBorders>
              <w:top w:val="single" w:sz="4" w:space="0" w:color="auto"/>
              <w:bottom w:val="single" w:sz="4" w:space="0" w:color="auto"/>
            </w:tcBorders>
            <w:shd w:val="clear" w:color="auto" w:fill="auto"/>
            <w:vAlign w:val="center"/>
          </w:tcPr>
          <w:p w14:paraId="1EE60DB3"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w:t>
            </w:r>
          </w:p>
        </w:tc>
        <w:tc>
          <w:tcPr>
            <w:tcW w:w="1134" w:type="dxa"/>
            <w:tcBorders>
              <w:top w:val="single" w:sz="4" w:space="0" w:color="auto"/>
              <w:bottom w:val="single" w:sz="4" w:space="0" w:color="auto"/>
            </w:tcBorders>
            <w:shd w:val="clear" w:color="auto" w:fill="auto"/>
            <w:vAlign w:val="center"/>
          </w:tcPr>
          <w:p w14:paraId="7AA860EB"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tcBorders>
              <w:top w:val="single" w:sz="4" w:space="0" w:color="auto"/>
              <w:bottom w:val="single" w:sz="4" w:space="0" w:color="auto"/>
            </w:tcBorders>
            <w:shd w:val="clear" w:color="auto" w:fill="auto"/>
            <w:vAlign w:val="center"/>
          </w:tcPr>
          <w:p w14:paraId="289B1B5C"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1:50</w:t>
            </w:r>
          </w:p>
        </w:tc>
      </w:tr>
      <w:tr w:rsidR="00DB5BCC" w:rsidRPr="0052793E" w14:paraId="5BD88489" w14:textId="77777777" w:rsidTr="00DB5BCC">
        <w:trPr>
          <w:trHeight w:val="505"/>
        </w:trPr>
        <w:tc>
          <w:tcPr>
            <w:tcW w:w="851" w:type="dxa"/>
            <w:shd w:val="clear" w:color="auto" w:fill="auto"/>
            <w:noWrap/>
            <w:vAlign w:val="center"/>
          </w:tcPr>
          <w:p w14:paraId="6E93E9B4"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עבודה</w:t>
            </w:r>
          </w:p>
        </w:tc>
        <w:tc>
          <w:tcPr>
            <w:tcW w:w="993" w:type="dxa"/>
            <w:shd w:val="clear" w:color="auto" w:fill="auto"/>
            <w:noWrap/>
            <w:vAlign w:val="center"/>
          </w:tcPr>
          <w:p w14:paraId="3B7990A8"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41AF5705"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חוק ביטוח בריאות ממלכתי (חב"ר)</w:t>
            </w:r>
          </w:p>
        </w:tc>
        <w:tc>
          <w:tcPr>
            <w:tcW w:w="992" w:type="dxa"/>
            <w:shd w:val="clear" w:color="auto" w:fill="auto"/>
            <w:vAlign w:val="center"/>
          </w:tcPr>
          <w:p w14:paraId="7EAA3A6C"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162</w:t>
            </w:r>
          </w:p>
        </w:tc>
        <w:tc>
          <w:tcPr>
            <w:tcW w:w="1134" w:type="dxa"/>
            <w:shd w:val="clear" w:color="auto" w:fill="auto"/>
            <w:noWrap/>
            <w:vAlign w:val="center"/>
          </w:tcPr>
          <w:p w14:paraId="639038BE" w14:textId="77777777" w:rsidR="00DB5BCC" w:rsidRPr="0052793E" w:rsidRDefault="00DB5BCC" w:rsidP="00DB5BCC">
            <w:pPr>
              <w:bidi w:val="0"/>
              <w:spacing w:after="0" w:line="240" w:lineRule="auto"/>
              <w:jc w:val="center"/>
              <w:rPr>
                <w:rFonts w:ascii="David" w:eastAsia="Times New Roman" w:hAnsi="David" w:cs="David"/>
                <w:b/>
                <w:bCs/>
                <w:rtl/>
              </w:rPr>
            </w:pPr>
            <w:r w:rsidRPr="0052793E">
              <w:rPr>
                <w:rFonts w:ascii="David" w:eastAsia="Times New Roman" w:hAnsi="David" w:cs="David"/>
                <w:b/>
                <w:bCs/>
              </w:rPr>
              <w:t>1:4</w:t>
            </w:r>
            <w:r w:rsidRPr="0052793E">
              <w:rPr>
                <w:rFonts w:ascii="David" w:eastAsia="Times New Roman" w:hAnsi="David" w:cs="David" w:hint="cs"/>
                <w:b/>
                <w:bCs/>
                <w:rtl/>
              </w:rPr>
              <w:t>9</w:t>
            </w:r>
          </w:p>
        </w:tc>
        <w:tc>
          <w:tcPr>
            <w:tcW w:w="993" w:type="dxa"/>
            <w:shd w:val="clear" w:color="auto" w:fill="auto"/>
            <w:vAlign w:val="center"/>
          </w:tcPr>
          <w:p w14:paraId="2EDDC670"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3:52</w:t>
            </w:r>
          </w:p>
        </w:tc>
        <w:tc>
          <w:tcPr>
            <w:tcW w:w="1134" w:type="dxa"/>
            <w:shd w:val="clear" w:color="auto" w:fill="auto"/>
            <w:vAlign w:val="center"/>
          </w:tcPr>
          <w:p w14:paraId="0D12825E"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1.09</w:t>
            </w:r>
          </w:p>
        </w:tc>
        <w:tc>
          <w:tcPr>
            <w:tcW w:w="1558" w:type="dxa"/>
            <w:shd w:val="clear" w:color="auto" w:fill="auto"/>
            <w:vAlign w:val="center"/>
          </w:tcPr>
          <w:p w14:paraId="1A201529"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1:40</w:t>
            </w:r>
          </w:p>
        </w:tc>
      </w:tr>
      <w:tr w:rsidR="00DB5BCC" w:rsidRPr="0052793E" w14:paraId="5327E2C5" w14:textId="77777777" w:rsidTr="00DB5BCC">
        <w:trPr>
          <w:trHeight w:val="495"/>
        </w:trPr>
        <w:tc>
          <w:tcPr>
            <w:tcW w:w="851" w:type="dxa"/>
            <w:shd w:val="clear" w:color="auto" w:fill="auto"/>
            <w:noWrap/>
            <w:vAlign w:val="center"/>
          </w:tcPr>
          <w:p w14:paraId="1C614FEB"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עבודה</w:t>
            </w:r>
          </w:p>
        </w:tc>
        <w:tc>
          <w:tcPr>
            <w:tcW w:w="993" w:type="dxa"/>
            <w:shd w:val="clear" w:color="auto" w:fill="auto"/>
            <w:noWrap/>
            <w:vAlign w:val="center"/>
          </w:tcPr>
          <w:p w14:paraId="5C439D2C" w14:textId="77777777" w:rsidR="00DB5BCC" w:rsidRPr="0052793E" w:rsidRDefault="00DB5BCC" w:rsidP="00DB5BCC">
            <w:pPr>
              <w:bidi w:val="0"/>
              <w:spacing w:after="0" w:line="240" w:lineRule="auto"/>
              <w:rPr>
                <w:rFonts w:asciiTheme="minorHAnsi" w:eastAsia="Times New Roman" w:hAnsiTheme="minorHAnsi" w:cs="David"/>
                <w:rtl/>
              </w:rPr>
            </w:pPr>
            <w:r w:rsidRPr="0052793E">
              <w:rPr>
                <w:rFonts w:ascii="David" w:eastAsia="Times New Roman" w:hAnsi="David" w:cs="David"/>
                <w:rtl/>
              </w:rPr>
              <w:t>אזרחי</w:t>
            </w:r>
          </w:p>
        </w:tc>
        <w:tc>
          <w:tcPr>
            <w:tcW w:w="2267" w:type="dxa"/>
            <w:shd w:val="clear" w:color="auto" w:fill="auto"/>
            <w:vAlign w:val="center"/>
          </w:tcPr>
          <w:p w14:paraId="28F180AB"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סכסוך עבודה (ס"ע)</w:t>
            </w:r>
          </w:p>
        </w:tc>
        <w:tc>
          <w:tcPr>
            <w:tcW w:w="992" w:type="dxa"/>
            <w:shd w:val="clear" w:color="auto" w:fill="auto"/>
            <w:vAlign w:val="center"/>
          </w:tcPr>
          <w:p w14:paraId="53E1F83C"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4,727</w:t>
            </w:r>
          </w:p>
        </w:tc>
        <w:tc>
          <w:tcPr>
            <w:tcW w:w="1134" w:type="dxa"/>
            <w:shd w:val="clear" w:color="auto" w:fill="auto"/>
            <w:noWrap/>
            <w:vAlign w:val="center"/>
          </w:tcPr>
          <w:p w14:paraId="1EFD0704"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tl/>
              </w:rPr>
              <w:t>1:</w:t>
            </w:r>
            <w:r w:rsidRPr="0052793E">
              <w:rPr>
                <w:rFonts w:ascii="David" w:eastAsia="Times New Roman" w:hAnsi="David" w:cs="David" w:hint="cs"/>
                <w:b/>
                <w:bCs/>
                <w:rtl/>
              </w:rPr>
              <w:t>45</w:t>
            </w:r>
          </w:p>
        </w:tc>
        <w:tc>
          <w:tcPr>
            <w:tcW w:w="993" w:type="dxa"/>
            <w:shd w:val="clear" w:color="auto" w:fill="auto"/>
            <w:vAlign w:val="center"/>
          </w:tcPr>
          <w:p w14:paraId="6C02E989"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5:30</w:t>
            </w:r>
          </w:p>
        </w:tc>
        <w:tc>
          <w:tcPr>
            <w:tcW w:w="1134" w:type="dxa"/>
            <w:shd w:val="clear" w:color="auto" w:fill="auto"/>
            <w:vAlign w:val="center"/>
          </w:tcPr>
          <w:p w14:paraId="46C618BE"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1</w:t>
            </w:r>
          </w:p>
        </w:tc>
        <w:tc>
          <w:tcPr>
            <w:tcW w:w="1558" w:type="dxa"/>
            <w:shd w:val="clear" w:color="auto" w:fill="auto"/>
            <w:vAlign w:val="center"/>
          </w:tcPr>
          <w:p w14:paraId="38B0011F"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1:45</w:t>
            </w:r>
          </w:p>
        </w:tc>
      </w:tr>
      <w:tr w:rsidR="00DB5BCC" w:rsidRPr="0052793E" w14:paraId="19D92777" w14:textId="77777777" w:rsidTr="00DB5BCC">
        <w:trPr>
          <w:trHeight w:val="488"/>
        </w:trPr>
        <w:tc>
          <w:tcPr>
            <w:tcW w:w="851" w:type="dxa"/>
            <w:shd w:val="clear" w:color="auto" w:fill="auto"/>
            <w:noWrap/>
            <w:vAlign w:val="center"/>
          </w:tcPr>
          <w:p w14:paraId="3C33779C"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משפחה</w:t>
            </w:r>
          </w:p>
        </w:tc>
        <w:tc>
          <w:tcPr>
            <w:tcW w:w="993" w:type="dxa"/>
            <w:shd w:val="clear" w:color="auto" w:fill="auto"/>
            <w:noWrap/>
            <w:vAlign w:val="center"/>
          </w:tcPr>
          <w:p w14:paraId="1D805F8F" w14:textId="77777777" w:rsidR="00DB5BCC" w:rsidRPr="0052793E" w:rsidRDefault="00DB5BCC" w:rsidP="00DB5BCC">
            <w:pPr>
              <w:spacing w:after="0" w:line="240" w:lineRule="auto"/>
              <w:rPr>
                <w:rFonts w:ascii="David" w:eastAsia="Times New Roman" w:hAnsi="David" w:cs="David"/>
                <w:rtl/>
              </w:rPr>
            </w:pPr>
          </w:p>
        </w:tc>
        <w:tc>
          <w:tcPr>
            <w:tcW w:w="2267" w:type="dxa"/>
            <w:shd w:val="clear" w:color="auto" w:fill="auto"/>
            <w:vAlign w:val="center"/>
          </w:tcPr>
          <w:p w14:paraId="60DEBA27"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הטרדה מאיימת וצו הגנה (ה"ט)</w:t>
            </w:r>
          </w:p>
        </w:tc>
        <w:tc>
          <w:tcPr>
            <w:tcW w:w="992" w:type="dxa"/>
            <w:shd w:val="clear" w:color="auto" w:fill="auto"/>
            <w:vAlign w:val="center"/>
          </w:tcPr>
          <w:p w14:paraId="5B9855C3"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10,033</w:t>
            </w:r>
          </w:p>
        </w:tc>
        <w:tc>
          <w:tcPr>
            <w:tcW w:w="1134" w:type="dxa"/>
            <w:shd w:val="clear" w:color="auto" w:fill="auto"/>
            <w:noWrap/>
            <w:vAlign w:val="center"/>
          </w:tcPr>
          <w:p w14:paraId="7E1F13BF"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1:39</w:t>
            </w:r>
          </w:p>
        </w:tc>
        <w:tc>
          <w:tcPr>
            <w:tcW w:w="993" w:type="dxa"/>
            <w:shd w:val="clear" w:color="auto" w:fill="auto"/>
            <w:vAlign w:val="center"/>
          </w:tcPr>
          <w:p w14:paraId="09457489"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1:57</w:t>
            </w:r>
          </w:p>
        </w:tc>
        <w:tc>
          <w:tcPr>
            <w:tcW w:w="1134" w:type="dxa"/>
            <w:shd w:val="clear" w:color="auto" w:fill="auto"/>
            <w:vAlign w:val="center"/>
          </w:tcPr>
          <w:p w14:paraId="48945FD8"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7F2DC485"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1:39</w:t>
            </w:r>
          </w:p>
        </w:tc>
      </w:tr>
      <w:tr w:rsidR="00DB5BCC" w:rsidRPr="0052793E" w14:paraId="1A637388" w14:textId="77777777" w:rsidTr="00DB5BCC">
        <w:trPr>
          <w:trHeight w:val="292"/>
        </w:trPr>
        <w:tc>
          <w:tcPr>
            <w:tcW w:w="851" w:type="dxa"/>
            <w:shd w:val="clear" w:color="auto" w:fill="auto"/>
            <w:noWrap/>
            <w:vAlign w:val="center"/>
          </w:tcPr>
          <w:p w14:paraId="3ACBD187"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תעבורה</w:t>
            </w:r>
          </w:p>
        </w:tc>
        <w:tc>
          <w:tcPr>
            <w:tcW w:w="993" w:type="dxa"/>
            <w:shd w:val="clear" w:color="auto" w:fill="auto"/>
            <w:noWrap/>
            <w:vAlign w:val="center"/>
          </w:tcPr>
          <w:p w14:paraId="383204F4" w14:textId="77777777" w:rsidR="00DB5BCC" w:rsidRPr="0052793E" w:rsidRDefault="00DB5BCC" w:rsidP="00DB5BCC">
            <w:pPr>
              <w:spacing w:after="0" w:line="240" w:lineRule="auto"/>
              <w:rPr>
                <w:rFonts w:ascii="David" w:eastAsia="Times New Roman" w:hAnsi="David" w:cs="David"/>
                <w:rtl/>
              </w:rPr>
            </w:pPr>
          </w:p>
        </w:tc>
        <w:tc>
          <w:tcPr>
            <w:tcW w:w="2267" w:type="dxa"/>
            <w:shd w:val="clear" w:color="auto" w:fill="auto"/>
            <w:vAlign w:val="center"/>
          </w:tcPr>
          <w:p w14:paraId="71F4E778"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עבירות שאינן תאונות דרכים ואינן דו"חות (פ"ל)</w:t>
            </w:r>
          </w:p>
        </w:tc>
        <w:tc>
          <w:tcPr>
            <w:tcW w:w="992" w:type="dxa"/>
            <w:shd w:val="clear" w:color="auto" w:fill="auto"/>
            <w:vAlign w:val="center"/>
          </w:tcPr>
          <w:p w14:paraId="5B60D6D6"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3,449</w:t>
            </w:r>
          </w:p>
        </w:tc>
        <w:tc>
          <w:tcPr>
            <w:tcW w:w="1134" w:type="dxa"/>
            <w:shd w:val="clear" w:color="auto" w:fill="auto"/>
            <w:noWrap/>
            <w:vAlign w:val="center"/>
          </w:tcPr>
          <w:p w14:paraId="2D1EAD7B"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1:38</w:t>
            </w:r>
          </w:p>
        </w:tc>
        <w:tc>
          <w:tcPr>
            <w:tcW w:w="993" w:type="dxa"/>
            <w:shd w:val="clear" w:color="auto" w:fill="auto"/>
            <w:vAlign w:val="center"/>
          </w:tcPr>
          <w:p w14:paraId="0CF20414"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2:14</w:t>
            </w:r>
          </w:p>
        </w:tc>
        <w:tc>
          <w:tcPr>
            <w:tcW w:w="1134" w:type="dxa"/>
            <w:shd w:val="clear" w:color="auto" w:fill="auto"/>
            <w:vAlign w:val="center"/>
          </w:tcPr>
          <w:p w14:paraId="3B93362D"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19923E0F"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1:38</w:t>
            </w:r>
          </w:p>
        </w:tc>
      </w:tr>
      <w:tr w:rsidR="00DB5BCC" w:rsidRPr="0052793E" w14:paraId="2EAF5653" w14:textId="77777777" w:rsidTr="00DB5BCC">
        <w:trPr>
          <w:trHeight w:val="292"/>
        </w:trPr>
        <w:tc>
          <w:tcPr>
            <w:tcW w:w="851" w:type="dxa"/>
            <w:shd w:val="clear" w:color="auto" w:fill="auto"/>
            <w:noWrap/>
            <w:vAlign w:val="center"/>
          </w:tcPr>
          <w:p w14:paraId="7453F714"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שלום</w:t>
            </w:r>
          </w:p>
        </w:tc>
        <w:tc>
          <w:tcPr>
            <w:tcW w:w="993" w:type="dxa"/>
            <w:shd w:val="clear" w:color="auto" w:fill="auto"/>
            <w:noWrap/>
            <w:vAlign w:val="center"/>
          </w:tcPr>
          <w:p w14:paraId="543AAFD4" w14:textId="77777777" w:rsidR="00DB5BCC" w:rsidRPr="0052793E" w:rsidRDefault="00DB5BCC" w:rsidP="00DB5BCC">
            <w:pPr>
              <w:bidi w:val="0"/>
              <w:spacing w:after="0" w:line="240" w:lineRule="auto"/>
              <w:rPr>
                <w:rFonts w:asciiTheme="minorHAnsi" w:eastAsia="Times New Roman" w:hAnsiTheme="minorHAnsi" w:cs="David"/>
                <w:rtl/>
              </w:rPr>
            </w:pPr>
            <w:r w:rsidRPr="0052793E">
              <w:rPr>
                <w:rFonts w:ascii="David" w:eastAsia="Times New Roman" w:hAnsi="David" w:cs="David"/>
                <w:rtl/>
              </w:rPr>
              <w:t>פלילי</w:t>
            </w:r>
          </w:p>
        </w:tc>
        <w:tc>
          <w:tcPr>
            <w:tcW w:w="2267" w:type="dxa"/>
            <w:shd w:val="clear" w:color="auto" w:fill="auto"/>
            <w:vAlign w:val="center"/>
          </w:tcPr>
          <w:p w14:paraId="6A7831B4"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איסור פרסום (פ"ר)</w:t>
            </w:r>
          </w:p>
        </w:tc>
        <w:tc>
          <w:tcPr>
            <w:tcW w:w="992" w:type="dxa"/>
            <w:shd w:val="clear" w:color="auto" w:fill="auto"/>
            <w:vAlign w:val="center"/>
          </w:tcPr>
          <w:p w14:paraId="2017B07E"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475</w:t>
            </w:r>
          </w:p>
        </w:tc>
        <w:tc>
          <w:tcPr>
            <w:tcW w:w="1134" w:type="dxa"/>
            <w:shd w:val="clear" w:color="auto" w:fill="auto"/>
            <w:noWrap/>
            <w:vAlign w:val="center"/>
          </w:tcPr>
          <w:p w14:paraId="47DA8D0B"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1:36</w:t>
            </w:r>
          </w:p>
        </w:tc>
        <w:tc>
          <w:tcPr>
            <w:tcW w:w="993" w:type="dxa"/>
            <w:shd w:val="clear" w:color="auto" w:fill="auto"/>
            <w:vAlign w:val="center"/>
          </w:tcPr>
          <w:p w14:paraId="2661AC79"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w:t>
            </w:r>
          </w:p>
        </w:tc>
        <w:tc>
          <w:tcPr>
            <w:tcW w:w="1134" w:type="dxa"/>
            <w:shd w:val="clear" w:color="auto" w:fill="auto"/>
            <w:vAlign w:val="center"/>
          </w:tcPr>
          <w:p w14:paraId="0C2270C2"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204C6AF1"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1:36</w:t>
            </w:r>
          </w:p>
        </w:tc>
      </w:tr>
      <w:tr w:rsidR="00DB5BCC" w:rsidRPr="0052793E" w14:paraId="17393650" w14:textId="77777777" w:rsidTr="00DB5BCC">
        <w:trPr>
          <w:trHeight w:val="540"/>
        </w:trPr>
        <w:tc>
          <w:tcPr>
            <w:tcW w:w="851" w:type="dxa"/>
            <w:shd w:val="clear" w:color="auto" w:fill="auto"/>
            <w:noWrap/>
            <w:vAlign w:val="center"/>
          </w:tcPr>
          <w:p w14:paraId="178F7F87"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תעבורה</w:t>
            </w:r>
          </w:p>
        </w:tc>
        <w:tc>
          <w:tcPr>
            <w:tcW w:w="993" w:type="dxa"/>
            <w:shd w:val="clear" w:color="auto" w:fill="auto"/>
            <w:noWrap/>
            <w:vAlign w:val="center"/>
          </w:tcPr>
          <w:p w14:paraId="771C1B8E" w14:textId="77777777" w:rsidR="00DB5BCC" w:rsidRPr="0052793E" w:rsidRDefault="00DB5BCC" w:rsidP="00DB5BCC">
            <w:pPr>
              <w:spacing w:after="0" w:line="240" w:lineRule="auto"/>
              <w:rPr>
                <w:rFonts w:ascii="David" w:eastAsia="Times New Roman" w:hAnsi="David" w:cs="David"/>
                <w:rtl/>
              </w:rPr>
            </w:pPr>
          </w:p>
        </w:tc>
        <w:tc>
          <w:tcPr>
            <w:tcW w:w="2267" w:type="dxa"/>
            <w:shd w:val="clear" w:color="auto" w:fill="auto"/>
            <w:vAlign w:val="center"/>
          </w:tcPr>
          <w:p w14:paraId="0C5A1BA9"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מעצר עד תום ההליכים (מ"ת)</w:t>
            </w:r>
          </w:p>
        </w:tc>
        <w:tc>
          <w:tcPr>
            <w:tcW w:w="992" w:type="dxa"/>
            <w:shd w:val="clear" w:color="auto" w:fill="auto"/>
            <w:vAlign w:val="center"/>
          </w:tcPr>
          <w:p w14:paraId="77E3ECA5"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1,774</w:t>
            </w:r>
          </w:p>
        </w:tc>
        <w:tc>
          <w:tcPr>
            <w:tcW w:w="1134" w:type="dxa"/>
            <w:shd w:val="clear" w:color="auto" w:fill="auto"/>
            <w:noWrap/>
            <w:vAlign w:val="center"/>
          </w:tcPr>
          <w:p w14:paraId="7DFA765D"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1:32</w:t>
            </w:r>
          </w:p>
        </w:tc>
        <w:tc>
          <w:tcPr>
            <w:tcW w:w="993" w:type="dxa"/>
            <w:shd w:val="clear" w:color="auto" w:fill="auto"/>
            <w:vAlign w:val="center"/>
          </w:tcPr>
          <w:p w14:paraId="0C9BDAE1"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2:40</w:t>
            </w:r>
          </w:p>
        </w:tc>
        <w:tc>
          <w:tcPr>
            <w:tcW w:w="1134" w:type="dxa"/>
            <w:shd w:val="clear" w:color="auto" w:fill="auto"/>
            <w:vAlign w:val="center"/>
          </w:tcPr>
          <w:p w14:paraId="52289E69"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7B521694"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1:32</w:t>
            </w:r>
          </w:p>
        </w:tc>
      </w:tr>
      <w:tr w:rsidR="00DB5BCC" w:rsidRPr="0052793E" w14:paraId="79A80C0B" w14:textId="77777777" w:rsidTr="00DB5BCC">
        <w:trPr>
          <w:trHeight w:val="540"/>
        </w:trPr>
        <w:tc>
          <w:tcPr>
            <w:tcW w:w="851" w:type="dxa"/>
            <w:shd w:val="clear" w:color="auto" w:fill="auto"/>
            <w:noWrap/>
            <w:vAlign w:val="center"/>
          </w:tcPr>
          <w:p w14:paraId="08E548F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shd w:val="clear" w:color="auto" w:fill="auto"/>
            <w:noWrap/>
            <w:vAlign w:val="center"/>
          </w:tcPr>
          <w:p w14:paraId="5F2E1F60"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ערעור פלילי</w:t>
            </w:r>
          </w:p>
        </w:tc>
        <w:tc>
          <w:tcPr>
            <w:tcW w:w="2267" w:type="dxa"/>
            <w:shd w:val="clear" w:color="auto" w:fill="auto"/>
            <w:vAlign w:val="center"/>
          </w:tcPr>
          <w:p w14:paraId="07767D52"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ערעור פלילי על בימ"ש לעניינים מקומיים (עפמ"ק)</w:t>
            </w:r>
          </w:p>
        </w:tc>
        <w:tc>
          <w:tcPr>
            <w:tcW w:w="992" w:type="dxa"/>
            <w:shd w:val="clear" w:color="auto" w:fill="auto"/>
            <w:vAlign w:val="center"/>
          </w:tcPr>
          <w:p w14:paraId="67B2654A"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450</w:t>
            </w:r>
          </w:p>
        </w:tc>
        <w:tc>
          <w:tcPr>
            <w:tcW w:w="1134" w:type="dxa"/>
            <w:shd w:val="clear" w:color="auto" w:fill="auto"/>
            <w:noWrap/>
            <w:vAlign w:val="center"/>
          </w:tcPr>
          <w:p w14:paraId="41E4B20E"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1:30</w:t>
            </w:r>
          </w:p>
        </w:tc>
        <w:tc>
          <w:tcPr>
            <w:tcW w:w="993" w:type="dxa"/>
            <w:shd w:val="clear" w:color="auto" w:fill="auto"/>
            <w:vAlign w:val="center"/>
          </w:tcPr>
          <w:p w14:paraId="7D8FABAF"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w:t>
            </w:r>
          </w:p>
        </w:tc>
        <w:tc>
          <w:tcPr>
            <w:tcW w:w="1134" w:type="dxa"/>
            <w:shd w:val="clear" w:color="auto" w:fill="auto"/>
            <w:vAlign w:val="center"/>
          </w:tcPr>
          <w:p w14:paraId="0BBA484C"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0474387F"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1:30</w:t>
            </w:r>
          </w:p>
        </w:tc>
      </w:tr>
      <w:tr w:rsidR="00DB5BCC" w:rsidRPr="0052793E" w14:paraId="08AC213F" w14:textId="77777777" w:rsidTr="00DB5BCC">
        <w:trPr>
          <w:trHeight w:val="570"/>
        </w:trPr>
        <w:tc>
          <w:tcPr>
            <w:tcW w:w="851" w:type="dxa"/>
            <w:shd w:val="clear" w:color="auto" w:fill="auto"/>
            <w:noWrap/>
            <w:vAlign w:val="center"/>
          </w:tcPr>
          <w:p w14:paraId="3EE2ECC5"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22A21543"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3F16810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 xml:space="preserve">תיק אזרחי בסדר דין מהיר (תא"מ) - </w:t>
            </w:r>
            <w:r w:rsidRPr="0052793E">
              <w:rPr>
                <w:rFonts w:ascii="David" w:eastAsia="Times New Roman" w:hAnsi="David" w:cs="David"/>
                <w:b/>
                <w:bCs/>
                <w:rtl/>
              </w:rPr>
              <w:t>משקולל</w:t>
            </w:r>
          </w:p>
        </w:tc>
        <w:tc>
          <w:tcPr>
            <w:tcW w:w="992" w:type="dxa"/>
            <w:shd w:val="clear" w:color="auto" w:fill="auto"/>
            <w:vAlign w:val="center"/>
          </w:tcPr>
          <w:p w14:paraId="5D61EE7F"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84,454</w:t>
            </w:r>
          </w:p>
        </w:tc>
        <w:tc>
          <w:tcPr>
            <w:tcW w:w="1134" w:type="dxa"/>
            <w:shd w:val="clear" w:color="auto" w:fill="auto"/>
            <w:noWrap/>
            <w:vAlign w:val="center"/>
          </w:tcPr>
          <w:p w14:paraId="11075402"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1:29</w:t>
            </w:r>
          </w:p>
        </w:tc>
        <w:tc>
          <w:tcPr>
            <w:tcW w:w="993" w:type="dxa"/>
            <w:shd w:val="clear" w:color="auto" w:fill="auto"/>
            <w:vAlign w:val="center"/>
          </w:tcPr>
          <w:p w14:paraId="612E8A58"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1:35</w:t>
            </w:r>
          </w:p>
        </w:tc>
        <w:tc>
          <w:tcPr>
            <w:tcW w:w="1134" w:type="dxa"/>
            <w:shd w:val="clear" w:color="auto" w:fill="auto"/>
            <w:vAlign w:val="center"/>
          </w:tcPr>
          <w:p w14:paraId="517E45F5"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744EA8BC" w14:textId="77777777" w:rsidR="00DB5BCC" w:rsidRPr="0052793E" w:rsidRDefault="00DB5BCC" w:rsidP="00DB5BCC">
            <w:pPr>
              <w:spacing w:after="0" w:line="240" w:lineRule="auto"/>
              <w:jc w:val="center"/>
              <w:rPr>
                <w:rFonts w:ascii="David" w:eastAsia="Times New Roman" w:hAnsi="David" w:cs="David"/>
              </w:rPr>
            </w:pPr>
          </w:p>
        </w:tc>
      </w:tr>
      <w:tr w:rsidR="00DB5BCC" w:rsidRPr="0052793E" w14:paraId="7BF17C96" w14:textId="77777777" w:rsidTr="00DB5BCC">
        <w:trPr>
          <w:trHeight w:val="471"/>
        </w:trPr>
        <w:tc>
          <w:tcPr>
            <w:tcW w:w="851" w:type="dxa"/>
            <w:shd w:val="clear" w:color="auto" w:fill="auto"/>
            <w:noWrap/>
            <w:vAlign w:val="center"/>
            <w:hideMark/>
          </w:tcPr>
          <w:p w14:paraId="4E84258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hideMark/>
          </w:tcPr>
          <w:p w14:paraId="3EA1B737"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פלילי</w:t>
            </w:r>
          </w:p>
        </w:tc>
        <w:tc>
          <w:tcPr>
            <w:tcW w:w="2267" w:type="dxa"/>
            <w:shd w:val="clear" w:color="auto" w:fill="auto"/>
            <w:vAlign w:val="center"/>
            <w:hideMark/>
          </w:tcPr>
          <w:p w14:paraId="5CFE91C5"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גישור פלילי (ג"פ)</w:t>
            </w:r>
          </w:p>
        </w:tc>
        <w:tc>
          <w:tcPr>
            <w:tcW w:w="992" w:type="dxa"/>
            <w:shd w:val="clear" w:color="auto" w:fill="auto"/>
            <w:vAlign w:val="center"/>
            <w:hideMark/>
          </w:tcPr>
          <w:p w14:paraId="2D2B15C6"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111</w:t>
            </w:r>
          </w:p>
        </w:tc>
        <w:tc>
          <w:tcPr>
            <w:tcW w:w="1134" w:type="dxa"/>
            <w:shd w:val="clear" w:color="auto" w:fill="auto"/>
            <w:noWrap/>
            <w:vAlign w:val="center"/>
            <w:hideMark/>
          </w:tcPr>
          <w:p w14:paraId="68EF1349"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1:28</w:t>
            </w:r>
          </w:p>
        </w:tc>
        <w:tc>
          <w:tcPr>
            <w:tcW w:w="993" w:type="dxa"/>
            <w:shd w:val="clear" w:color="auto" w:fill="auto"/>
            <w:vAlign w:val="center"/>
            <w:hideMark/>
          </w:tcPr>
          <w:p w14:paraId="36C3C6DD"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w:t>
            </w:r>
          </w:p>
        </w:tc>
        <w:tc>
          <w:tcPr>
            <w:tcW w:w="1134" w:type="dxa"/>
            <w:shd w:val="clear" w:color="auto" w:fill="auto"/>
            <w:vAlign w:val="center"/>
          </w:tcPr>
          <w:p w14:paraId="0FB0E2FB"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100070BB"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1:28</w:t>
            </w:r>
          </w:p>
        </w:tc>
      </w:tr>
      <w:tr w:rsidR="00DB5BCC" w:rsidRPr="0052793E" w14:paraId="7B1A72E3" w14:textId="77777777" w:rsidTr="00DB5BCC">
        <w:trPr>
          <w:trHeight w:val="796"/>
        </w:trPr>
        <w:tc>
          <w:tcPr>
            <w:tcW w:w="851" w:type="dxa"/>
            <w:shd w:val="clear" w:color="auto" w:fill="auto"/>
            <w:noWrap/>
            <w:vAlign w:val="center"/>
          </w:tcPr>
          <w:p w14:paraId="7A4591B5"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עבודה</w:t>
            </w:r>
          </w:p>
        </w:tc>
        <w:tc>
          <w:tcPr>
            <w:tcW w:w="993" w:type="dxa"/>
            <w:shd w:val="clear" w:color="auto" w:fill="auto"/>
            <w:noWrap/>
            <w:vAlign w:val="center"/>
          </w:tcPr>
          <w:p w14:paraId="59F3B979"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761F465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ביטוח לאומי (ב"ל)</w:t>
            </w:r>
          </w:p>
        </w:tc>
        <w:tc>
          <w:tcPr>
            <w:tcW w:w="992" w:type="dxa"/>
            <w:shd w:val="clear" w:color="auto" w:fill="auto"/>
            <w:vAlign w:val="center"/>
          </w:tcPr>
          <w:p w14:paraId="28DBAE8A"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11,533</w:t>
            </w:r>
          </w:p>
        </w:tc>
        <w:tc>
          <w:tcPr>
            <w:tcW w:w="1134" w:type="dxa"/>
            <w:shd w:val="clear" w:color="auto" w:fill="auto"/>
            <w:noWrap/>
            <w:vAlign w:val="center"/>
          </w:tcPr>
          <w:p w14:paraId="0EC399B6"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tl/>
              </w:rPr>
              <w:t>1</w:t>
            </w:r>
            <w:r w:rsidRPr="0052793E">
              <w:rPr>
                <w:rFonts w:ascii="David" w:eastAsia="Times New Roman" w:hAnsi="David" w:cs="David" w:hint="cs"/>
                <w:b/>
                <w:bCs/>
                <w:rtl/>
              </w:rPr>
              <w:t>:26</w:t>
            </w:r>
          </w:p>
        </w:tc>
        <w:tc>
          <w:tcPr>
            <w:tcW w:w="993" w:type="dxa"/>
            <w:shd w:val="clear" w:color="auto" w:fill="auto"/>
            <w:vAlign w:val="center"/>
          </w:tcPr>
          <w:p w14:paraId="00EC89BA"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3:24</w:t>
            </w:r>
          </w:p>
        </w:tc>
        <w:tc>
          <w:tcPr>
            <w:tcW w:w="1134" w:type="dxa"/>
            <w:shd w:val="clear" w:color="auto" w:fill="auto"/>
            <w:vAlign w:val="center"/>
          </w:tcPr>
          <w:p w14:paraId="0D6C574D"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1.01</w:t>
            </w:r>
          </w:p>
        </w:tc>
        <w:tc>
          <w:tcPr>
            <w:tcW w:w="1558" w:type="dxa"/>
            <w:shd w:val="clear" w:color="auto" w:fill="auto"/>
            <w:vAlign w:val="center"/>
          </w:tcPr>
          <w:p w14:paraId="105DD754"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1:25</w:t>
            </w:r>
          </w:p>
        </w:tc>
      </w:tr>
      <w:tr w:rsidR="00DB5BCC" w:rsidRPr="0052793E" w14:paraId="3AAEF55A" w14:textId="77777777" w:rsidTr="00DB5BCC">
        <w:trPr>
          <w:trHeight w:val="382"/>
        </w:trPr>
        <w:tc>
          <w:tcPr>
            <w:tcW w:w="851" w:type="dxa"/>
            <w:tcBorders>
              <w:bottom w:val="single" w:sz="4" w:space="0" w:color="auto"/>
            </w:tcBorders>
            <w:shd w:val="clear" w:color="auto" w:fill="auto"/>
            <w:noWrap/>
            <w:vAlign w:val="center"/>
          </w:tcPr>
          <w:p w14:paraId="40B66DF5"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tcBorders>
              <w:bottom w:val="single" w:sz="4" w:space="0" w:color="auto"/>
            </w:tcBorders>
            <w:shd w:val="clear" w:color="auto" w:fill="auto"/>
            <w:noWrap/>
            <w:vAlign w:val="center"/>
          </w:tcPr>
          <w:p w14:paraId="31A5190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עניינים מנהליים</w:t>
            </w:r>
          </w:p>
        </w:tc>
        <w:tc>
          <w:tcPr>
            <w:tcW w:w="2267" w:type="dxa"/>
            <w:tcBorders>
              <w:bottom w:val="single" w:sz="4" w:space="0" w:color="auto"/>
            </w:tcBorders>
            <w:shd w:val="clear" w:color="auto" w:fill="auto"/>
            <w:vAlign w:val="center"/>
          </w:tcPr>
          <w:p w14:paraId="25BF321D"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עתירות אסירים (עת"א) - דן יחיד</w:t>
            </w:r>
          </w:p>
        </w:tc>
        <w:tc>
          <w:tcPr>
            <w:tcW w:w="992" w:type="dxa"/>
            <w:tcBorders>
              <w:bottom w:val="single" w:sz="4" w:space="0" w:color="auto"/>
            </w:tcBorders>
            <w:shd w:val="clear" w:color="auto" w:fill="auto"/>
            <w:vAlign w:val="center"/>
          </w:tcPr>
          <w:p w14:paraId="32F237F6"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4,132</w:t>
            </w:r>
          </w:p>
        </w:tc>
        <w:tc>
          <w:tcPr>
            <w:tcW w:w="1134" w:type="dxa"/>
            <w:tcBorders>
              <w:bottom w:val="single" w:sz="4" w:space="0" w:color="auto"/>
            </w:tcBorders>
            <w:shd w:val="clear" w:color="auto" w:fill="auto"/>
            <w:noWrap/>
            <w:vAlign w:val="center"/>
          </w:tcPr>
          <w:p w14:paraId="11599F67"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1:24</w:t>
            </w:r>
          </w:p>
        </w:tc>
        <w:tc>
          <w:tcPr>
            <w:tcW w:w="993" w:type="dxa"/>
            <w:tcBorders>
              <w:bottom w:val="single" w:sz="4" w:space="0" w:color="auto"/>
            </w:tcBorders>
            <w:shd w:val="clear" w:color="auto" w:fill="auto"/>
            <w:vAlign w:val="center"/>
          </w:tcPr>
          <w:p w14:paraId="3644ED63"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1:02</w:t>
            </w:r>
          </w:p>
        </w:tc>
        <w:tc>
          <w:tcPr>
            <w:tcW w:w="1134" w:type="dxa"/>
            <w:tcBorders>
              <w:bottom w:val="single" w:sz="4" w:space="0" w:color="auto"/>
            </w:tcBorders>
            <w:shd w:val="clear" w:color="auto" w:fill="auto"/>
            <w:vAlign w:val="center"/>
          </w:tcPr>
          <w:p w14:paraId="0D53C6EF"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1.12</w:t>
            </w:r>
          </w:p>
        </w:tc>
        <w:tc>
          <w:tcPr>
            <w:tcW w:w="1558" w:type="dxa"/>
            <w:tcBorders>
              <w:bottom w:val="single" w:sz="4" w:space="0" w:color="auto"/>
            </w:tcBorders>
            <w:shd w:val="clear" w:color="auto" w:fill="auto"/>
            <w:vAlign w:val="center"/>
          </w:tcPr>
          <w:p w14:paraId="62037BBD"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1:15</w:t>
            </w:r>
          </w:p>
        </w:tc>
      </w:tr>
      <w:tr w:rsidR="00DB5BCC" w:rsidRPr="0052793E" w14:paraId="47FB0EA0" w14:textId="77777777" w:rsidTr="00DB5BCC">
        <w:trPr>
          <w:trHeight w:val="382"/>
        </w:trPr>
        <w:tc>
          <w:tcPr>
            <w:tcW w:w="851" w:type="dxa"/>
            <w:tcBorders>
              <w:bottom w:val="single" w:sz="4" w:space="0" w:color="auto"/>
            </w:tcBorders>
            <w:shd w:val="clear" w:color="auto" w:fill="auto"/>
            <w:noWrap/>
            <w:vAlign w:val="center"/>
          </w:tcPr>
          <w:p w14:paraId="6507428D"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תעבורה</w:t>
            </w:r>
          </w:p>
        </w:tc>
        <w:tc>
          <w:tcPr>
            <w:tcW w:w="993" w:type="dxa"/>
            <w:tcBorders>
              <w:bottom w:val="single" w:sz="4" w:space="0" w:color="auto"/>
            </w:tcBorders>
            <w:shd w:val="clear" w:color="auto" w:fill="auto"/>
            <w:noWrap/>
            <w:vAlign w:val="center"/>
          </w:tcPr>
          <w:p w14:paraId="629118A7" w14:textId="77777777" w:rsidR="00DB5BCC" w:rsidRPr="0052793E" w:rsidRDefault="00DB5BCC" w:rsidP="00DB5BCC">
            <w:pPr>
              <w:spacing w:after="0" w:line="240" w:lineRule="auto"/>
              <w:rPr>
                <w:rFonts w:ascii="David" w:eastAsia="Times New Roman" w:hAnsi="David" w:cs="David"/>
                <w:rtl/>
              </w:rPr>
            </w:pPr>
          </w:p>
        </w:tc>
        <w:tc>
          <w:tcPr>
            <w:tcW w:w="2267" w:type="dxa"/>
            <w:tcBorders>
              <w:bottom w:val="single" w:sz="4" w:space="0" w:color="auto"/>
            </w:tcBorders>
            <w:shd w:val="clear" w:color="auto" w:fill="auto"/>
            <w:vAlign w:val="center"/>
          </w:tcPr>
          <w:p w14:paraId="736B9B0D"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תאונת דרכים ללא נפגעי גוף (נ"ב)</w:t>
            </w:r>
          </w:p>
        </w:tc>
        <w:tc>
          <w:tcPr>
            <w:tcW w:w="992" w:type="dxa"/>
            <w:tcBorders>
              <w:bottom w:val="single" w:sz="4" w:space="0" w:color="auto"/>
            </w:tcBorders>
            <w:shd w:val="clear" w:color="auto" w:fill="auto"/>
            <w:vAlign w:val="center"/>
          </w:tcPr>
          <w:p w14:paraId="02284081"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483</w:t>
            </w:r>
          </w:p>
        </w:tc>
        <w:tc>
          <w:tcPr>
            <w:tcW w:w="1134" w:type="dxa"/>
            <w:tcBorders>
              <w:bottom w:val="single" w:sz="4" w:space="0" w:color="auto"/>
            </w:tcBorders>
            <w:shd w:val="clear" w:color="auto" w:fill="auto"/>
            <w:noWrap/>
            <w:vAlign w:val="center"/>
          </w:tcPr>
          <w:p w14:paraId="5D3F553A"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1:22</w:t>
            </w:r>
          </w:p>
        </w:tc>
        <w:tc>
          <w:tcPr>
            <w:tcW w:w="993" w:type="dxa"/>
            <w:tcBorders>
              <w:bottom w:val="single" w:sz="4" w:space="0" w:color="auto"/>
            </w:tcBorders>
            <w:shd w:val="clear" w:color="auto" w:fill="auto"/>
            <w:vAlign w:val="center"/>
          </w:tcPr>
          <w:p w14:paraId="61B56D09"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w:t>
            </w:r>
          </w:p>
        </w:tc>
        <w:tc>
          <w:tcPr>
            <w:tcW w:w="1134" w:type="dxa"/>
            <w:tcBorders>
              <w:bottom w:val="single" w:sz="4" w:space="0" w:color="auto"/>
            </w:tcBorders>
            <w:shd w:val="clear" w:color="auto" w:fill="auto"/>
            <w:vAlign w:val="center"/>
          </w:tcPr>
          <w:p w14:paraId="0824D062"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tcBorders>
              <w:bottom w:val="single" w:sz="4" w:space="0" w:color="auto"/>
            </w:tcBorders>
            <w:shd w:val="clear" w:color="auto" w:fill="auto"/>
            <w:vAlign w:val="center"/>
          </w:tcPr>
          <w:p w14:paraId="075AF87A"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1:22</w:t>
            </w:r>
          </w:p>
        </w:tc>
      </w:tr>
      <w:tr w:rsidR="00DB5BCC" w:rsidRPr="0052793E" w14:paraId="5BFE027B" w14:textId="77777777" w:rsidTr="00DB5BCC">
        <w:trPr>
          <w:trHeight w:val="382"/>
        </w:trPr>
        <w:tc>
          <w:tcPr>
            <w:tcW w:w="851" w:type="dxa"/>
            <w:tcBorders>
              <w:bottom w:val="single" w:sz="4" w:space="0" w:color="auto"/>
            </w:tcBorders>
            <w:shd w:val="clear" w:color="auto" w:fill="auto"/>
            <w:noWrap/>
            <w:vAlign w:val="center"/>
          </w:tcPr>
          <w:p w14:paraId="056CF3B5"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tcBorders>
              <w:bottom w:val="single" w:sz="4" w:space="0" w:color="auto"/>
            </w:tcBorders>
            <w:shd w:val="clear" w:color="auto" w:fill="auto"/>
            <w:noWrap/>
            <w:vAlign w:val="center"/>
          </w:tcPr>
          <w:p w14:paraId="3FCE2997"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tcBorders>
              <w:bottom w:val="single" w:sz="4" w:space="0" w:color="auto"/>
            </w:tcBorders>
            <w:shd w:val="clear" w:color="auto" w:fill="auto"/>
            <w:vAlign w:val="center"/>
          </w:tcPr>
          <w:p w14:paraId="631E6098"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התנגדות לביצוע שטר (ת"ט)</w:t>
            </w:r>
          </w:p>
        </w:tc>
        <w:tc>
          <w:tcPr>
            <w:tcW w:w="992" w:type="dxa"/>
            <w:tcBorders>
              <w:bottom w:val="single" w:sz="4" w:space="0" w:color="auto"/>
            </w:tcBorders>
            <w:shd w:val="clear" w:color="auto" w:fill="auto"/>
            <w:vAlign w:val="center"/>
          </w:tcPr>
          <w:p w14:paraId="1F6C7FC9"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5,001</w:t>
            </w:r>
          </w:p>
        </w:tc>
        <w:tc>
          <w:tcPr>
            <w:tcW w:w="1134" w:type="dxa"/>
            <w:tcBorders>
              <w:bottom w:val="single" w:sz="4" w:space="0" w:color="auto"/>
            </w:tcBorders>
            <w:shd w:val="clear" w:color="auto" w:fill="auto"/>
            <w:noWrap/>
            <w:vAlign w:val="center"/>
          </w:tcPr>
          <w:p w14:paraId="206F1052"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1:21</w:t>
            </w:r>
          </w:p>
        </w:tc>
        <w:tc>
          <w:tcPr>
            <w:tcW w:w="993" w:type="dxa"/>
            <w:tcBorders>
              <w:bottom w:val="single" w:sz="4" w:space="0" w:color="auto"/>
            </w:tcBorders>
            <w:shd w:val="clear" w:color="auto" w:fill="auto"/>
            <w:vAlign w:val="center"/>
          </w:tcPr>
          <w:p w14:paraId="5FD1EC82"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1:52</w:t>
            </w:r>
          </w:p>
        </w:tc>
        <w:tc>
          <w:tcPr>
            <w:tcW w:w="1134" w:type="dxa"/>
            <w:tcBorders>
              <w:bottom w:val="single" w:sz="4" w:space="0" w:color="auto"/>
            </w:tcBorders>
            <w:shd w:val="clear" w:color="auto" w:fill="auto"/>
            <w:vAlign w:val="center"/>
          </w:tcPr>
          <w:p w14:paraId="136B2573"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1.07</w:t>
            </w:r>
          </w:p>
        </w:tc>
        <w:tc>
          <w:tcPr>
            <w:tcW w:w="1558" w:type="dxa"/>
            <w:tcBorders>
              <w:bottom w:val="single" w:sz="4" w:space="0" w:color="auto"/>
            </w:tcBorders>
            <w:shd w:val="clear" w:color="auto" w:fill="auto"/>
            <w:vAlign w:val="center"/>
          </w:tcPr>
          <w:p w14:paraId="108867AD"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1:16</w:t>
            </w:r>
          </w:p>
        </w:tc>
      </w:tr>
      <w:tr w:rsidR="00DB5BCC" w:rsidRPr="0052793E" w14:paraId="4CAA4DFF" w14:textId="77777777" w:rsidTr="00DB5BCC">
        <w:trPr>
          <w:trHeight w:val="416"/>
        </w:trPr>
        <w:tc>
          <w:tcPr>
            <w:tcW w:w="851" w:type="dxa"/>
            <w:tcBorders>
              <w:top w:val="single" w:sz="4" w:space="0" w:color="auto"/>
              <w:bottom w:val="single" w:sz="4" w:space="0" w:color="auto"/>
            </w:tcBorders>
            <w:shd w:val="clear" w:color="auto" w:fill="auto"/>
            <w:noWrap/>
            <w:vAlign w:val="center"/>
          </w:tcPr>
          <w:p w14:paraId="3AB21016"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tcBorders>
              <w:top w:val="single" w:sz="4" w:space="0" w:color="auto"/>
              <w:bottom w:val="single" w:sz="4" w:space="0" w:color="auto"/>
            </w:tcBorders>
            <w:shd w:val="clear" w:color="auto" w:fill="auto"/>
            <w:noWrap/>
            <w:vAlign w:val="center"/>
          </w:tcPr>
          <w:p w14:paraId="5C1FE8F1"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פלילי</w:t>
            </w:r>
          </w:p>
        </w:tc>
        <w:tc>
          <w:tcPr>
            <w:tcW w:w="2267" w:type="dxa"/>
            <w:tcBorders>
              <w:top w:val="single" w:sz="4" w:space="0" w:color="auto"/>
              <w:bottom w:val="single" w:sz="4" w:space="0" w:color="auto"/>
            </w:tcBorders>
            <w:shd w:val="clear" w:color="auto" w:fill="auto"/>
            <w:vAlign w:val="center"/>
          </w:tcPr>
          <w:p w14:paraId="4F38544B"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ועדת שחרורים (וש"ר)</w:t>
            </w:r>
          </w:p>
        </w:tc>
        <w:tc>
          <w:tcPr>
            <w:tcW w:w="992" w:type="dxa"/>
            <w:tcBorders>
              <w:top w:val="single" w:sz="4" w:space="0" w:color="auto"/>
              <w:bottom w:val="single" w:sz="4" w:space="0" w:color="auto"/>
            </w:tcBorders>
            <w:shd w:val="clear" w:color="auto" w:fill="auto"/>
            <w:vAlign w:val="center"/>
          </w:tcPr>
          <w:p w14:paraId="3F06ACEB"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6,969</w:t>
            </w:r>
          </w:p>
        </w:tc>
        <w:tc>
          <w:tcPr>
            <w:tcW w:w="1134" w:type="dxa"/>
            <w:tcBorders>
              <w:top w:val="single" w:sz="4" w:space="0" w:color="auto"/>
              <w:bottom w:val="single" w:sz="4" w:space="0" w:color="auto"/>
            </w:tcBorders>
            <w:shd w:val="clear" w:color="auto" w:fill="auto"/>
            <w:noWrap/>
            <w:vAlign w:val="center"/>
          </w:tcPr>
          <w:p w14:paraId="7E248DE2"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1:20</w:t>
            </w:r>
          </w:p>
        </w:tc>
        <w:tc>
          <w:tcPr>
            <w:tcW w:w="993" w:type="dxa"/>
            <w:tcBorders>
              <w:top w:val="single" w:sz="4" w:space="0" w:color="auto"/>
              <w:bottom w:val="single" w:sz="4" w:space="0" w:color="auto"/>
            </w:tcBorders>
            <w:shd w:val="clear" w:color="auto" w:fill="auto"/>
            <w:vAlign w:val="center"/>
          </w:tcPr>
          <w:p w14:paraId="5B640120"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w:t>
            </w:r>
          </w:p>
        </w:tc>
        <w:tc>
          <w:tcPr>
            <w:tcW w:w="1134" w:type="dxa"/>
            <w:tcBorders>
              <w:top w:val="single" w:sz="4" w:space="0" w:color="auto"/>
              <w:bottom w:val="single" w:sz="4" w:space="0" w:color="auto"/>
            </w:tcBorders>
            <w:shd w:val="clear" w:color="auto" w:fill="auto"/>
            <w:vAlign w:val="center"/>
          </w:tcPr>
          <w:p w14:paraId="268C035D"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tcBorders>
              <w:top w:val="single" w:sz="4" w:space="0" w:color="auto"/>
              <w:bottom w:val="single" w:sz="4" w:space="0" w:color="auto"/>
            </w:tcBorders>
            <w:shd w:val="clear" w:color="auto" w:fill="auto"/>
            <w:vAlign w:val="center"/>
          </w:tcPr>
          <w:p w14:paraId="6469DF59"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1:20</w:t>
            </w:r>
          </w:p>
        </w:tc>
      </w:tr>
      <w:tr w:rsidR="00DB5BCC" w:rsidRPr="0052793E" w14:paraId="41ABE92C" w14:textId="77777777" w:rsidTr="00DB5BCC">
        <w:trPr>
          <w:trHeight w:val="416"/>
        </w:trPr>
        <w:tc>
          <w:tcPr>
            <w:tcW w:w="851" w:type="dxa"/>
            <w:tcBorders>
              <w:top w:val="single" w:sz="4" w:space="0" w:color="auto"/>
              <w:bottom w:val="single" w:sz="4" w:space="0" w:color="auto"/>
            </w:tcBorders>
            <w:shd w:val="clear" w:color="auto" w:fill="auto"/>
            <w:noWrap/>
            <w:vAlign w:val="center"/>
          </w:tcPr>
          <w:p w14:paraId="3C7F025C"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תעבורה</w:t>
            </w:r>
          </w:p>
        </w:tc>
        <w:tc>
          <w:tcPr>
            <w:tcW w:w="993" w:type="dxa"/>
            <w:tcBorders>
              <w:top w:val="single" w:sz="4" w:space="0" w:color="auto"/>
              <w:bottom w:val="single" w:sz="4" w:space="0" w:color="auto"/>
            </w:tcBorders>
            <w:shd w:val="clear" w:color="auto" w:fill="auto"/>
            <w:noWrap/>
            <w:vAlign w:val="center"/>
          </w:tcPr>
          <w:p w14:paraId="6F8A4B47" w14:textId="77777777" w:rsidR="00DB5BCC" w:rsidRPr="0052793E" w:rsidRDefault="00DB5BCC" w:rsidP="00DB5BCC">
            <w:pPr>
              <w:spacing w:after="0" w:line="240" w:lineRule="auto"/>
              <w:rPr>
                <w:rFonts w:ascii="David" w:eastAsia="Times New Roman" w:hAnsi="David" w:cs="David"/>
                <w:rtl/>
              </w:rPr>
            </w:pPr>
          </w:p>
        </w:tc>
        <w:tc>
          <w:tcPr>
            <w:tcW w:w="2267" w:type="dxa"/>
            <w:tcBorders>
              <w:top w:val="single" w:sz="4" w:space="0" w:color="auto"/>
              <w:bottom w:val="single" w:sz="4" w:space="0" w:color="auto"/>
            </w:tcBorders>
            <w:shd w:val="clear" w:color="auto" w:fill="auto"/>
            <w:vAlign w:val="center"/>
          </w:tcPr>
          <w:p w14:paraId="2776C40D"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בקשה לעיון בחומר חקירה (בע"ח)</w:t>
            </w:r>
          </w:p>
        </w:tc>
        <w:tc>
          <w:tcPr>
            <w:tcW w:w="992" w:type="dxa"/>
            <w:tcBorders>
              <w:top w:val="single" w:sz="4" w:space="0" w:color="auto"/>
              <w:bottom w:val="single" w:sz="4" w:space="0" w:color="auto"/>
            </w:tcBorders>
            <w:shd w:val="clear" w:color="auto" w:fill="auto"/>
            <w:vAlign w:val="center"/>
          </w:tcPr>
          <w:p w14:paraId="124BF7E0"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232</w:t>
            </w:r>
          </w:p>
        </w:tc>
        <w:tc>
          <w:tcPr>
            <w:tcW w:w="1134" w:type="dxa"/>
            <w:tcBorders>
              <w:top w:val="single" w:sz="4" w:space="0" w:color="auto"/>
              <w:bottom w:val="single" w:sz="4" w:space="0" w:color="auto"/>
            </w:tcBorders>
            <w:shd w:val="clear" w:color="auto" w:fill="auto"/>
            <w:noWrap/>
            <w:vAlign w:val="center"/>
          </w:tcPr>
          <w:p w14:paraId="0770F4FD"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1:19</w:t>
            </w:r>
          </w:p>
        </w:tc>
        <w:tc>
          <w:tcPr>
            <w:tcW w:w="993" w:type="dxa"/>
            <w:tcBorders>
              <w:top w:val="single" w:sz="4" w:space="0" w:color="auto"/>
              <w:bottom w:val="single" w:sz="4" w:space="0" w:color="auto"/>
            </w:tcBorders>
            <w:shd w:val="clear" w:color="auto" w:fill="auto"/>
            <w:vAlign w:val="center"/>
          </w:tcPr>
          <w:p w14:paraId="1373529F"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w:t>
            </w:r>
          </w:p>
        </w:tc>
        <w:tc>
          <w:tcPr>
            <w:tcW w:w="1134" w:type="dxa"/>
            <w:tcBorders>
              <w:top w:val="single" w:sz="4" w:space="0" w:color="auto"/>
              <w:bottom w:val="single" w:sz="4" w:space="0" w:color="auto"/>
            </w:tcBorders>
            <w:shd w:val="clear" w:color="auto" w:fill="auto"/>
            <w:vAlign w:val="center"/>
          </w:tcPr>
          <w:p w14:paraId="4A3566E4"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tcBorders>
              <w:top w:val="single" w:sz="4" w:space="0" w:color="auto"/>
              <w:bottom w:val="single" w:sz="4" w:space="0" w:color="auto"/>
            </w:tcBorders>
            <w:shd w:val="clear" w:color="auto" w:fill="auto"/>
            <w:vAlign w:val="center"/>
          </w:tcPr>
          <w:p w14:paraId="7DB91D74"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1:19</w:t>
            </w:r>
          </w:p>
        </w:tc>
      </w:tr>
      <w:tr w:rsidR="00DB5BCC" w:rsidRPr="0052793E" w14:paraId="2091A0C4" w14:textId="77777777" w:rsidTr="00DB5BCC">
        <w:trPr>
          <w:trHeight w:val="416"/>
        </w:trPr>
        <w:tc>
          <w:tcPr>
            <w:tcW w:w="851" w:type="dxa"/>
            <w:tcBorders>
              <w:top w:val="single" w:sz="4" w:space="0" w:color="auto"/>
              <w:bottom w:val="single" w:sz="4" w:space="0" w:color="auto"/>
            </w:tcBorders>
            <w:shd w:val="clear" w:color="auto" w:fill="auto"/>
            <w:noWrap/>
            <w:vAlign w:val="center"/>
          </w:tcPr>
          <w:p w14:paraId="7B1D048A"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tcBorders>
              <w:top w:val="single" w:sz="4" w:space="0" w:color="auto"/>
              <w:bottom w:val="single" w:sz="4" w:space="0" w:color="auto"/>
            </w:tcBorders>
            <w:shd w:val="clear" w:color="auto" w:fill="auto"/>
            <w:noWrap/>
            <w:vAlign w:val="center"/>
          </w:tcPr>
          <w:p w14:paraId="23440DE2"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tcBorders>
              <w:top w:val="single" w:sz="4" w:space="0" w:color="auto"/>
              <w:bottom w:val="single" w:sz="4" w:space="0" w:color="auto"/>
            </w:tcBorders>
            <w:shd w:val="clear" w:color="auto" w:fill="auto"/>
            <w:vAlign w:val="center"/>
          </w:tcPr>
          <w:p w14:paraId="04D55260"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תיק אזרחי בסדר דין מיוחד (תא"ח)</w:t>
            </w:r>
          </w:p>
        </w:tc>
        <w:tc>
          <w:tcPr>
            <w:tcW w:w="992" w:type="dxa"/>
            <w:tcBorders>
              <w:top w:val="single" w:sz="4" w:space="0" w:color="auto"/>
              <w:bottom w:val="single" w:sz="4" w:space="0" w:color="auto"/>
            </w:tcBorders>
            <w:shd w:val="clear" w:color="auto" w:fill="auto"/>
            <w:vAlign w:val="center"/>
          </w:tcPr>
          <w:p w14:paraId="06C5D3FE"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2,759</w:t>
            </w:r>
          </w:p>
        </w:tc>
        <w:tc>
          <w:tcPr>
            <w:tcW w:w="1134" w:type="dxa"/>
            <w:tcBorders>
              <w:top w:val="single" w:sz="4" w:space="0" w:color="auto"/>
              <w:bottom w:val="single" w:sz="4" w:space="0" w:color="auto"/>
            </w:tcBorders>
            <w:shd w:val="clear" w:color="auto" w:fill="auto"/>
            <w:noWrap/>
            <w:vAlign w:val="center"/>
          </w:tcPr>
          <w:p w14:paraId="6E6263B4"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1:19</w:t>
            </w:r>
          </w:p>
        </w:tc>
        <w:tc>
          <w:tcPr>
            <w:tcW w:w="993" w:type="dxa"/>
            <w:tcBorders>
              <w:top w:val="single" w:sz="4" w:space="0" w:color="auto"/>
              <w:bottom w:val="single" w:sz="4" w:space="0" w:color="auto"/>
            </w:tcBorders>
            <w:shd w:val="clear" w:color="auto" w:fill="auto"/>
            <w:vAlign w:val="center"/>
          </w:tcPr>
          <w:p w14:paraId="4F97E594"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1:58</w:t>
            </w:r>
          </w:p>
        </w:tc>
        <w:tc>
          <w:tcPr>
            <w:tcW w:w="1134" w:type="dxa"/>
            <w:tcBorders>
              <w:top w:val="single" w:sz="4" w:space="0" w:color="auto"/>
              <w:bottom w:val="single" w:sz="4" w:space="0" w:color="auto"/>
            </w:tcBorders>
            <w:shd w:val="clear" w:color="auto" w:fill="auto"/>
            <w:vAlign w:val="center"/>
          </w:tcPr>
          <w:p w14:paraId="114F3BE8"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tcBorders>
              <w:top w:val="single" w:sz="4" w:space="0" w:color="auto"/>
              <w:bottom w:val="single" w:sz="4" w:space="0" w:color="auto"/>
            </w:tcBorders>
            <w:shd w:val="clear" w:color="auto" w:fill="auto"/>
            <w:vAlign w:val="center"/>
          </w:tcPr>
          <w:p w14:paraId="27B9DE4B"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1:19</w:t>
            </w:r>
          </w:p>
        </w:tc>
      </w:tr>
      <w:tr w:rsidR="00DB5BCC" w:rsidRPr="0052793E" w14:paraId="0172CCB8" w14:textId="77777777" w:rsidTr="00DB5BCC">
        <w:trPr>
          <w:trHeight w:val="557"/>
        </w:trPr>
        <w:tc>
          <w:tcPr>
            <w:tcW w:w="851" w:type="dxa"/>
            <w:tcBorders>
              <w:top w:val="single" w:sz="4" w:space="0" w:color="auto"/>
              <w:bottom w:val="single" w:sz="4" w:space="0" w:color="auto"/>
            </w:tcBorders>
            <w:shd w:val="clear" w:color="auto" w:fill="auto"/>
            <w:noWrap/>
            <w:vAlign w:val="center"/>
          </w:tcPr>
          <w:p w14:paraId="0DD1378D"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tcBorders>
              <w:top w:val="single" w:sz="4" w:space="0" w:color="auto"/>
              <w:bottom w:val="single" w:sz="4" w:space="0" w:color="auto"/>
            </w:tcBorders>
            <w:shd w:val="clear" w:color="auto" w:fill="auto"/>
            <w:noWrap/>
            <w:vAlign w:val="center"/>
          </w:tcPr>
          <w:p w14:paraId="2E4CE67A"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מעצרים/ ערעור פלילי/ פלילי</w:t>
            </w:r>
          </w:p>
        </w:tc>
        <w:tc>
          <w:tcPr>
            <w:tcW w:w="2267" w:type="dxa"/>
            <w:tcBorders>
              <w:top w:val="single" w:sz="4" w:space="0" w:color="auto"/>
              <w:bottom w:val="single" w:sz="4" w:space="0" w:color="auto"/>
            </w:tcBorders>
            <w:shd w:val="clear" w:color="auto" w:fill="auto"/>
            <w:vAlign w:val="center"/>
          </w:tcPr>
          <w:p w14:paraId="5732B062"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ערר מ"ת (עמ"ת)</w:t>
            </w:r>
          </w:p>
        </w:tc>
        <w:tc>
          <w:tcPr>
            <w:tcW w:w="992" w:type="dxa"/>
            <w:tcBorders>
              <w:top w:val="single" w:sz="4" w:space="0" w:color="auto"/>
              <w:bottom w:val="single" w:sz="4" w:space="0" w:color="auto"/>
            </w:tcBorders>
            <w:shd w:val="clear" w:color="auto" w:fill="auto"/>
            <w:vAlign w:val="center"/>
          </w:tcPr>
          <w:p w14:paraId="4EA5862E"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2,029</w:t>
            </w:r>
          </w:p>
        </w:tc>
        <w:tc>
          <w:tcPr>
            <w:tcW w:w="1134" w:type="dxa"/>
            <w:tcBorders>
              <w:top w:val="single" w:sz="4" w:space="0" w:color="auto"/>
              <w:bottom w:val="single" w:sz="4" w:space="0" w:color="auto"/>
            </w:tcBorders>
            <w:shd w:val="clear" w:color="auto" w:fill="auto"/>
            <w:noWrap/>
            <w:vAlign w:val="center"/>
          </w:tcPr>
          <w:p w14:paraId="3F195FBD"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1:16</w:t>
            </w:r>
          </w:p>
        </w:tc>
        <w:tc>
          <w:tcPr>
            <w:tcW w:w="993" w:type="dxa"/>
            <w:tcBorders>
              <w:top w:val="single" w:sz="4" w:space="0" w:color="auto"/>
              <w:bottom w:val="single" w:sz="4" w:space="0" w:color="auto"/>
            </w:tcBorders>
            <w:shd w:val="clear" w:color="auto" w:fill="auto"/>
            <w:vAlign w:val="center"/>
          </w:tcPr>
          <w:p w14:paraId="4B7AA502"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1:27</w:t>
            </w:r>
          </w:p>
        </w:tc>
        <w:tc>
          <w:tcPr>
            <w:tcW w:w="1134" w:type="dxa"/>
            <w:tcBorders>
              <w:top w:val="single" w:sz="4" w:space="0" w:color="auto"/>
              <w:bottom w:val="single" w:sz="4" w:space="0" w:color="auto"/>
            </w:tcBorders>
            <w:shd w:val="clear" w:color="auto" w:fill="auto"/>
            <w:vAlign w:val="center"/>
          </w:tcPr>
          <w:p w14:paraId="3B192547"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tcBorders>
              <w:top w:val="single" w:sz="4" w:space="0" w:color="auto"/>
              <w:bottom w:val="single" w:sz="4" w:space="0" w:color="auto"/>
            </w:tcBorders>
            <w:shd w:val="clear" w:color="auto" w:fill="auto"/>
            <w:vAlign w:val="center"/>
          </w:tcPr>
          <w:p w14:paraId="4EB7EFAE"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1:16</w:t>
            </w:r>
          </w:p>
        </w:tc>
      </w:tr>
      <w:tr w:rsidR="00DB5BCC" w:rsidRPr="0052793E" w14:paraId="7664D221" w14:textId="77777777" w:rsidTr="00DB5BCC">
        <w:trPr>
          <w:trHeight w:val="630"/>
        </w:trPr>
        <w:tc>
          <w:tcPr>
            <w:tcW w:w="851" w:type="dxa"/>
            <w:tcBorders>
              <w:top w:val="single" w:sz="4" w:space="0" w:color="auto"/>
            </w:tcBorders>
            <w:shd w:val="clear" w:color="auto" w:fill="auto"/>
            <w:noWrap/>
            <w:vAlign w:val="center"/>
            <w:hideMark/>
          </w:tcPr>
          <w:p w14:paraId="2C244E8A"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tcBorders>
              <w:top w:val="single" w:sz="4" w:space="0" w:color="auto"/>
            </w:tcBorders>
            <w:shd w:val="clear" w:color="auto" w:fill="auto"/>
            <w:noWrap/>
            <w:vAlign w:val="center"/>
            <w:hideMark/>
          </w:tcPr>
          <w:p w14:paraId="07E5D79C"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עניינים מקומיים</w:t>
            </w:r>
          </w:p>
        </w:tc>
        <w:tc>
          <w:tcPr>
            <w:tcW w:w="2267" w:type="dxa"/>
            <w:tcBorders>
              <w:top w:val="single" w:sz="4" w:space="0" w:color="auto"/>
            </w:tcBorders>
            <w:shd w:val="clear" w:color="auto" w:fill="auto"/>
            <w:vAlign w:val="center"/>
            <w:hideMark/>
          </w:tcPr>
          <w:p w14:paraId="178D21A0"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צו הריסה ללא הרשעה (212) (צ"ה)</w:t>
            </w:r>
          </w:p>
        </w:tc>
        <w:tc>
          <w:tcPr>
            <w:tcW w:w="992" w:type="dxa"/>
            <w:tcBorders>
              <w:top w:val="single" w:sz="4" w:space="0" w:color="auto"/>
            </w:tcBorders>
            <w:shd w:val="clear" w:color="auto" w:fill="auto"/>
            <w:vAlign w:val="center"/>
            <w:hideMark/>
          </w:tcPr>
          <w:p w14:paraId="1C4FBDD3"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395</w:t>
            </w:r>
          </w:p>
        </w:tc>
        <w:tc>
          <w:tcPr>
            <w:tcW w:w="1134" w:type="dxa"/>
            <w:tcBorders>
              <w:top w:val="single" w:sz="4" w:space="0" w:color="auto"/>
            </w:tcBorders>
            <w:shd w:val="clear" w:color="auto" w:fill="auto"/>
            <w:noWrap/>
            <w:vAlign w:val="center"/>
            <w:hideMark/>
          </w:tcPr>
          <w:p w14:paraId="3A31F672"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1:16</w:t>
            </w:r>
          </w:p>
        </w:tc>
        <w:tc>
          <w:tcPr>
            <w:tcW w:w="993" w:type="dxa"/>
            <w:tcBorders>
              <w:top w:val="single" w:sz="4" w:space="0" w:color="auto"/>
            </w:tcBorders>
            <w:shd w:val="clear" w:color="auto" w:fill="auto"/>
            <w:vAlign w:val="center"/>
            <w:hideMark/>
          </w:tcPr>
          <w:p w14:paraId="29C84ABF"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w:t>
            </w:r>
          </w:p>
        </w:tc>
        <w:tc>
          <w:tcPr>
            <w:tcW w:w="1134" w:type="dxa"/>
            <w:tcBorders>
              <w:top w:val="single" w:sz="4" w:space="0" w:color="auto"/>
            </w:tcBorders>
            <w:shd w:val="clear" w:color="auto" w:fill="auto"/>
            <w:vAlign w:val="center"/>
          </w:tcPr>
          <w:p w14:paraId="03E83C96"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tcBorders>
              <w:top w:val="single" w:sz="4" w:space="0" w:color="auto"/>
            </w:tcBorders>
            <w:shd w:val="clear" w:color="auto" w:fill="auto"/>
            <w:vAlign w:val="center"/>
          </w:tcPr>
          <w:p w14:paraId="7F68E6A2"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1:16</w:t>
            </w:r>
          </w:p>
        </w:tc>
      </w:tr>
      <w:tr w:rsidR="00DB5BCC" w:rsidRPr="0052793E" w14:paraId="5E39A7B9" w14:textId="77777777" w:rsidTr="00DB5BCC">
        <w:trPr>
          <w:trHeight w:val="674"/>
        </w:trPr>
        <w:tc>
          <w:tcPr>
            <w:tcW w:w="851" w:type="dxa"/>
            <w:shd w:val="clear" w:color="auto" w:fill="auto"/>
            <w:noWrap/>
            <w:vAlign w:val="center"/>
          </w:tcPr>
          <w:p w14:paraId="3855EA60" w14:textId="71C1BBBD" w:rsidR="00DB5BCC" w:rsidRPr="0052793E" w:rsidRDefault="00DB5BCC" w:rsidP="00DB5BCC">
            <w:pPr>
              <w:spacing w:after="0" w:line="240" w:lineRule="auto"/>
              <w:rPr>
                <w:rFonts w:ascii="David" w:eastAsia="Times New Roman" w:hAnsi="David" w:cs="David"/>
                <w:rtl/>
              </w:rPr>
            </w:pPr>
            <w:r w:rsidRPr="0052793E">
              <w:rPr>
                <w:rFonts w:ascii="Arial" w:eastAsia="Times New Roman" w:hAnsi="Arial" w:cs="David" w:hint="cs"/>
                <w:b/>
                <w:bCs/>
                <w:rtl/>
              </w:rPr>
              <w:lastRenderedPageBreak/>
              <w:t>ערכאה</w:t>
            </w:r>
          </w:p>
        </w:tc>
        <w:tc>
          <w:tcPr>
            <w:tcW w:w="993" w:type="dxa"/>
            <w:shd w:val="clear" w:color="auto" w:fill="auto"/>
            <w:noWrap/>
            <w:vAlign w:val="center"/>
          </w:tcPr>
          <w:p w14:paraId="530D405D" w14:textId="304C32BA" w:rsidR="00DB5BCC" w:rsidRPr="0052793E" w:rsidRDefault="00DB5BCC" w:rsidP="00DB5BCC">
            <w:pPr>
              <w:bidi w:val="0"/>
              <w:spacing w:after="0" w:line="240" w:lineRule="auto"/>
              <w:rPr>
                <w:rFonts w:ascii="David" w:eastAsia="Times New Roman" w:hAnsi="David" w:cs="David"/>
                <w:rtl/>
              </w:rPr>
            </w:pPr>
            <w:r w:rsidRPr="0052793E">
              <w:rPr>
                <w:rFonts w:ascii="Arial" w:eastAsia="Times New Roman" w:hAnsi="Arial" w:cs="David" w:hint="cs"/>
                <w:b/>
                <w:bCs/>
                <w:rtl/>
              </w:rPr>
              <w:t>הליך</w:t>
            </w:r>
          </w:p>
        </w:tc>
        <w:tc>
          <w:tcPr>
            <w:tcW w:w="2267" w:type="dxa"/>
            <w:shd w:val="clear" w:color="auto" w:fill="auto"/>
            <w:vAlign w:val="center"/>
          </w:tcPr>
          <w:p w14:paraId="3E6B014F" w14:textId="7642E727" w:rsidR="00DB5BCC" w:rsidRPr="0052793E" w:rsidRDefault="00DB5BCC" w:rsidP="00DB5BCC">
            <w:pPr>
              <w:spacing w:after="0" w:line="240" w:lineRule="auto"/>
              <w:rPr>
                <w:rFonts w:ascii="David" w:eastAsia="Times New Roman" w:hAnsi="David" w:cs="David"/>
                <w:rtl/>
              </w:rPr>
            </w:pPr>
            <w:r w:rsidRPr="0052793E">
              <w:rPr>
                <w:rFonts w:ascii="Arial" w:eastAsia="Times New Roman" w:hAnsi="Arial" w:cs="David" w:hint="cs"/>
                <w:b/>
                <w:bCs/>
                <w:rtl/>
              </w:rPr>
              <w:t>סוג תיק</w:t>
            </w:r>
          </w:p>
        </w:tc>
        <w:tc>
          <w:tcPr>
            <w:tcW w:w="992" w:type="dxa"/>
            <w:shd w:val="clear" w:color="auto" w:fill="auto"/>
            <w:vAlign w:val="center"/>
          </w:tcPr>
          <w:p w14:paraId="2A1DFF27" w14:textId="7FAABE59" w:rsidR="00DB5BCC" w:rsidRPr="0052793E" w:rsidRDefault="00DB5BCC" w:rsidP="00DB5BCC">
            <w:pPr>
              <w:spacing w:after="0" w:line="240" w:lineRule="auto"/>
              <w:jc w:val="center"/>
              <w:rPr>
                <w:rFonts w:ascii="David" w:eastAsia="Times New Roman" w:hAnsi="David" w:cs="David"/>
              </w:rPr>
            </w:pPr>
            <w:r w:rsidRPr="0052793E">
              <w:rPr>
                <w:rFonts w:ascii="Arial" w:eastAsia="Times New Roman" w:hAnsi="Arial" w:cs="David" w:hint="cs"/>
                <w:b/>
                <w:bCs/>
                <w:rtl/>
              </w:rPr>
              <w:t>מספר תיקים שנסגרו ב-2019</w:t>
            </w:r>
          </w:p>
        </w:tc>
        <w:tc>
          <w:tcPr>
            <w:tcW w:w="1134" w:type="dxa"/>
            <w:shd w:val="clear" w:color="auto" w:fill="auto"/>
            <w:noWrap/>
            <w:vAlign w:val="center"/>
          </w:tcPr>
          <w:p w14:paraId="5BD251A2" w14:textId="54554DD9" w:rsidR="00DB5BCC" w:rsidRPr="0052793E" w:rsidRDefault="00DB5BCC" w:rsidP="00DB5BCC">
            <w:pPr>
              <w:spacing w:after="0" w:line="240" w:lineRule="auto"/>
              <w:jc w:val="center"/>
              <w:rPr>
                <w:rFonts w:ascii="David" w:eastAsia="Times New Roman" w:hAnsi="David" w:cs="David"/>
                <w:b/>
                <w:bCs/>
              </w:rPr>
            </w:pPr>
            <w:r w:rsidRPr="0052793E">
              <w:rPr>
                <w:rFonts w:ascii="Arial" w:eastAsia="Times New Roman" w:hAnsi="Arial" w:cs="David" w:hint="cs"/>
                <w:b/>
                <w:bCs/>
                <w:rtl/>
              </w:rPr>
              <w:t>הזמן השיפוטי הממוצע לטיפול בתיק</w:t>
            </w:r>
          </w:p>
        </w:tc>
        <w:tc>
          <w:tcPr>
            <w:tcW w:w="993" w:type="dxa"/>
            <w:shd w:val="clear" w:color="auto" w:fill="auto"/>
            <w:vAlign w:val="center"/>
          </w:tcPr>
          <w:p w14:paraId="2E92A538" w14:textId="67985EDD" w:rsidR="00DB5BCC" w:rsidRPr="0052793E" w:rsidRDefault="00DB5BCC" w:rsidP="00DB5BCC">
            <w:pPr>
              <w:spacing w:after="0" w:line="240" w:lineRule="auto"/>
              <w:jc w:val="center"/>
              <w:rPr>
                <w:rFonts w:ascii="David" w:eastAsia="Times New Roman" w:hAnsi="David" w:cs="David"/>
              </w:rPr>
            </w:pPr>
            <w:r w:rsidRPr="0052793E">
              <w:rPr>
                <w:rFonts w:ascii="Arial" w:eastAsia="Times New Roman" w:hAnsi="Arial" w:cs="David" w:hint="cs"/>
                <w:b/>
                <w:bCs/>
                <w:rtl/>
              </w:rPr>
              <w:t>הזמן השיפוטי הממוצע לפי המחקר הקודם</w:t>
            </w:r>
          </w:p>
        </w:tc>
        <w:tc>
          <w:tcPr>
            <w:tcW w:w="1134" w:type="dxa"/>
            <w:shd w:val="clear" w:color="auto" w:fill="auto"/>
            <w:vAlign w:val="center"/>
          </w:tcPr>
          <w:p w14:paraId="4AD9285D" w14:textId="5B7C26BD" w:rsidR="00DB5BCC" w:rsidRPr="0052793E" w:rsidRDefault="00DB5BCC" w:rsidP="00DB5BCC">
            <w:pPr>
              <w:spacing w:after="0" w:line="240" w:lineRule="auto"/>
              <w:jc w:val="center"/>
              <w:rPr>
                <w:rFonts w:ascii="David" w:eastAsia="Times New Roman" w:hAnsi="David" w:cs="David"/>
                <w:rtl/>
              </w:rPr>
            </w:pPr>
            <w:r w:rsidRPr="0052793E">
              <w:rPr>
                <w:rFonts w:ascii="Arial" w:eastAsia="Times New Roman" w:hAnsi="Arial" w:cs="David" w:hint="cs"/>
                <w:b/>
                <w:bCs/>
                <w:rtl/>
              </w:rPr>
              <w:t>כמות התיקים הממוצעת שפסק דין סוגר</w:t>
            </w:r>
          </w:p>
        </w:tc>
        <w:tc>
          <w:tcPr>
            <w:tcW w:w="1558" w:type="dxa"/>
            <w:shd w:val="clear" w:color="auto" w:fill="auto"/>
            <w:vAlign w:val="center"/>
          </w:tcPr>
          <w:p w14:paraId="07EE5B85" w14:textId="44E7146D" w:rsidR="00DB5BCC" w:rsidRPr="0052793E" w:rsidRDefault="00DB5BCC" w:rsidP="00DB5BCC">
            <w:pPr>
              <w:spacing w:after="0" w:line="240" w:lineRule="auto"/>
              <w:jc w:val="center"/>
              <w:rPr>
                <w:rFonts w:ascii="David" w:eastAsia="Times New Roman" w:hAnsi="David" w:cs="David"/>
                <w:rtl/>
              </w:rPr>
            </w:pPr>
            <w:r w:rsidRPr="0052793E">
              <w:rPr>
                <w:rFonts w:ascii="Arial" w:eastAsia="Times New Roman" w:hAnsi="Arial" w:cs="David" w:hint="cs"/>
                <w:b/>
                <w:bCs/>
                <w:rtl/>
              </w:rPr>
              <w:t>הזמן השיפוטי הממוצע לטיפול בתיק חלקי כמות התיקים שפסק הדין סוגר</w:t>
            </w:r>
          </w:p>
        </w:tc>
      </w:tr>
      <w:tr w:rsidR="00DB5BCC" w:rsidRPr="0052793E" w14:paraId="408832E5" w14:textId="77777777" w:rsidTr="00DB5BCC">
        <w:trPr>
          <w:trHeight w:val="674"/>
        </w:trPr>
        <w:tc>
          <w:tcPr>
            <w:tcW w:w="851" w:type="dxa"/>
            <w:shd w:val="clear" w:color="auto" w:fill="auto"/>
            <w:noWrap/>
            <w:vAlign w:val="center"/>
          </w:tcPr>
          <w:p w14:paraId="14DE30CE"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2B030935" w14:textId="77777777" w:rsidR="00DB5BCC" w:rsidRPr="0052793E" w:rsidRDefault="00DB5BCC" w:rsidP="00DB5BCC">
            <w:pPr>
              <w:bidi w:val="0"/>
              <w:spacing w:after="0" w:line="240" w:lineRule="auto"/>
              <w:rPr>
                <w:rFonts w:ascii="David" w:eastAsia="Times New Roman" w:hAnsi="David" w:cs="David"/>
                <w:rtl/>
              </w:rPr>
            </w:pPr>
            <w:r w:rsidRPr="0052793E">
              <w:rPr>
                <w:rFonts w:ascii="David" w:eastAsia="Times New Roman" w:hAnsi="David" w:cs="David"/>
                <w:rtl/>
              </w:rPr>
              <w:t>מעצרים/ פלילי</w:t>
            </w:r>
          </w:p>
        </w:tc>
        <w:tc>
          <w:tcPr>
            <w:tcW w:w="2267" w:type="dxa"/>
            <w:shd w:val="clear" w:color="auto" w:fill="auto"/>
            <w:vAlign w:val="center"/>
          </w:tcPr>
          <w:p w14:paraId="2E84FCD6"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החזרה/טיפול בתפוס (ה"ת)</w:t>
            </w:r>
          </w:p>
        </w:tc>
        <w:tc>
          <w:tcPr>
            <w:tcW w:w="992" w:type="dxa"/>
            <w:shd w:val="clear" w:color="auto" w:fill="auto"/>
            <w:vAlign w:val="center"/>
          </w:tcPr>
          <w:p w14:paraId="3EE47BA1"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6,377</w:t>
            </w:r>
          </w:p>
        </w:tc>
        <w:tc>
          <w:tcPr>
            <w:tcW w:w="1134" w:type="dxa"/>
            <w:shd w:val="clear" w:color="auto" w:fill="auto"/>
            <w:noWrap/>
            <w:vAlign w:val="center"/>
          </w:tcPr>
          <w:p w14:paraId="5E6799D1"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1:15</w:t>
            </w:r>
          </w:p>
        </w:tc>
        <w:tc>
          <w:tcPr>
            <w:tcW w:w="993" w:type="dxa"/>
            <w:shd w:val="clear" w:color="auto" w:fill="auto"/>
            <w:vAlign w:val="center"/>
          </w:tcPr>
          <w:p w14:paraId="4784C7F5"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0:14</w:t>
            </w:r>
          </w:p>
        </w:tc>
        <w:tc>
          <w:tcPr>
            <w:tcW w:w="1134" w:type="dxa"/>
            <w:shd w:val="clear" w:color="auto" w:fill="auto"/>
            <w:vAlign w:val="center"/>
          </w:tcPr>
          <w:p w14:paraId="4BF7E476"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00045046"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1:15</w:t>
            </w:r>
          </w:p>
        </w:tc>
      </w:tr>
      <w:tr w:rsidR="00DB5BCC" w:rsidRPr="0052793E" w14:paraId="04C22163" w14:textId="77777777" w:rsidTr="00DB5BCC">
        <w:trPr>
          <w:trHeight w:val="674"/>
        </w:trPr>
        <w:tc>
          <w:tcPr>
            <w:tcW w:w="851" w:type="dxa"/>
            <w:shd w:val="clear" w:color="auto" w:fill="auto"/>
            <w:noWrap/>
            <w:vAlign w:val="center"/>
          </w:tcPr>
          <w:p w14:paraId="44154E23"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00637F58" w14:textId="77777777" w:rsidR="00DB5BCC" w:rsidRPr="0052793E" w:rsidRDefault="00DB5BCC" w:rsidP="00DB5BCC">
            <w:pPr>
              <w:bidi w:val="0"/>
              <w:spacing w:after="0" w:line="240" w:lineRule="auto"/>
              <w:rPr>
                <w:rFonts w:asciiTheme="minorHAnsi" w:eastAsia="Times New Roman" w:hAnsiTheme="minorHAnsi" w:cs="David"/>
                <w:rtl/>
              </w:rPr>
            </w:pPr>
            <w:r w:rsidRPr="0052793E">
              <w:rPr>
                <w:rFonts w:ascii="David" w:eastAsia="Times New Roman" w:hAnsi="David" w:cs="David"/>
                <w:rtl/>
              </w:rPr>
              <w:t>אזרחי</w:t>
            </w:r>
          </w:p>
        </w:tc>
        <w:tc>
          <w:tcPr>
            <w:tcW w:w="2267" w:type="dxa"/>
            <w:shd w:val="clear" w:color="auto" w:fill="auto"/>
            <w:vAlign w:val="center"/>
          </w:tcPr>
          <w:p w14:paraId="0418F24B"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בקשה לאישור עיקול (בע"ק)</w:t>
            </w:r>
          </w:p>
        </w:tc>
        <w:tc>
          <w:tcPr>
            <w:tcW w:w="992" w:type="dxa"/>
            <w:shd w:val="clear" w:color="auto" w:fill="auto"/>
            <w:vAlign w:val="center"/>
          </w:tcPr>
          <w:p w14:paraId="4C13D7E0"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145</w:t>
            </w:r>
          </w:p>
        </w:tc>
        <w:tc>
          <w:tcPr>
            <w:tcW w:w="1134" w:type="dxa"/>
            <w:shd w:val="clear" w:color="auto" w:fill="auto"/>
            <w:noWrap/>
            <w:vAlign w:val="center"/>
          </w:tcPr>
          <w:p w14:paraId="304D902B"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1:14</w:t>
            </w:r>
          </w:p>
        </w:tc>
        <w:tc>
          <w:tcPr>
            <w:tcW w:w="993" w:type="dxa"/>
            <w:shd w:val="clear" w:color="auto" w:fill="auto"/>
            <w:vAlign w:val="center"/>
          </w:tcPr>
          <w:p w14:paraId="2AA08283"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w:t>
            </w:r>
          </w:p>
        </w:tc>
        <w:tc>
          <w:tcPr>
            <w:tcW w:w="1134" w:type="dxa"/>
            <w:shd w:val="clear" w:color="auto" w:fill="auto"/>
            <w:vAlign w:val="center"/>
          </w:tcPr>
          <w:p w14:paraId="6ABB9A9A"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1.01</w:t>
            </w:r>
          </w:p>
        </w:tc>
        <w:tc>
          <w:tcPr>
            <w:tcW w:w="1558" w:type="dxa"/>
            <w:shd w:val="clear" w:color="auto" w:fill="auto"/>
            <w:vAlign w:val="center"/>
          </w:tcPr>
          <w:p w14:paraId="3A26FCEF"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1:13</w:t>
            </w:r>
          </w:p>
        </w:tc>
      </w:tr>
      <w:tr w:rsidR="00DB5BCC" w:rsidRPr="0052793E" w14:paraId="3C5F1EBE" w14:textId="77777777" w:rsidTr="00DB5BCC">
        <w:trPr>
          <w:trHeight w:val="536"/>
        </w:trPr>
        <w:tc>
          <w:tcPr>
            <w:tcW w:w="851" w:type="dxa"/>
            <w:shd w:val="clear" w:color="auto" w:fill="auto"/>
            <w:noWrap/>
            <w:vAlign w:val="center"/>
          </w:tcPr>
          <w:p w14:paraId="26878E29"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תעבורה</w:t>
            </w:r>
          </w:p>
        </w:tc>
        <w:tc>
          <w:tcPr>
            <w:tcW w:w="993" w:type="dxa"/>
            <w:shd w:val="clear" w:color="auto" w:fill="auto"/>
            <w:noWrap/>
            <w:vAlign w:val="center"/>
          </w:tcPr>
          <w:p w14:paraId="39658167" w14:textId="77777777" w:rsidR="00DB5BCC" w:rsidRPr="0052793E" w:rsidRDefault="00DB5BCC" w:rsidP="00DB5BCC">
            <w:pPr>
              <w:spacing w:after="0" w:line="240" w:lineRule="auto"/>
              <w:rPr>
                <w:rFonts w:ascii="David" w:eastAsia="Times New Roman" w:hAnsi="David" w:cs="David"/>
                <w:rtl/>
              </w:rPr>
            </w:pPr>
          </w:p>
        </w:tc>
        <w:tc>
          <w:tcPr>
            <w:tcW w:w="2267" w:type="dxa"/>
            <w:shd w:val="clear" w:color="auto" w:fill="auto"/>
            <w:vAlign w:val="center"/>
          </w:tcPr>
          <w:p w14:paraId="06222357"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תיק נ"ב אדום (נב"א)</w:t>
            </w:r>
          </w:p>
        </w:tc>
        <w:tc>
          <w:tcPr>
            <w:tcW w:w="992" w:type="dxa"/>
            <w:shd w:val="clear" w:color="auto" w:fill="auto"/>
            <w:vAlign w:val="center"/>
          </w:tcPr>
          <w:p w14:paraId="66B268B1"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120</w:t>
            </w:r>
          </w:p>
        </w:tc>
        <w:tc>
          <w:tcPr>
            <w:tcW w:w="1134" w:type="dxa"/>
            <w:shd w:val="clear" w:color="auto" w:fill="auto"/>
            <w:noWrap/>
            <w:vAlign w:val="center"/>
          </w:tcPr>
          <w:p w14:paraId="65672EF5"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1:14</w:t>
            </w:r>
          </w:p>
        </w:tc>
        <w:tc>
          <w:tcPr>
            <w:tcW w:w="993" w:type="dxa"/>
            <w:shd w:val="clear" w:color="auto" w:fill="auto"/>
            <w:vAlign w:val="center"/>
          </w:tcPr>
          <w:p w14:paraId="428152FB"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w:t>
            </w:r>
          </w:p>
        </w:tc>
        <w:tc>
          <w:tcPr>
            <w:tcW w:w="1134" w:type="dxa"/>
            <w:shd w:val="clear" w:color="auto" w:fill="auto"/>
            <w:vAlign w:val="center"/>
          </w:tcPr>
          <w:p w14:paraId="76594930"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5A59A6C1"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1:14</w:t>
            </w:r>
          </w:p>
        </w:tc>
      </w:tr>
      <w:tr w:rsidR="00DB5BCC" w:rsidRPr="0052793E" w14:paraId="6E82F759" w14:textId="77777777" w:rsidTr="00DB5BCC">
        <w:trPr>
          <w:trHeight w:val="579"/>
        </w:trPr>
        <w:tc>
          <w:tcPr>
            <w:tcW w:w="851" w:type="dxa"/>
            <w:shd w:val="clear" w:color="auto" w:fill="auto"/>
            <w:noWrap/>
            <w:vAlign w:val="center"/>
          </w:tcPr>
          <w:p w14:paraId="282B36B1"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משפחה</w:t>
            </w:r>
          </w:p>
        </w:tc>
        <w:tc>
          <w:tcPr>
            <w:tcW w:w="993" w:type="dxa"/>
            <w:shd w:val="clear" w:color="auto" w:fill="auto"/>
            <w:noWrap/>
            <w:vAlign w:val="center"/>
          </w:tcPr>
          <w:p w14:paraId="1CDDEBB6" w14:textId="77777777" w:rsidR="00DB5BCC" w:rsidRPr="0052793E" w:rsidRDefault="00DB5BCC" w:rsidP="00DB5BCC">
            <w:pPr>
              <w:bidi w:val="0"/>
              <w:spacing w:after="0" w:line="240" w:lineRule="auto"/>
              <w:rPr>
                <w:rFonts w:asciiTheme="minorHAnsi" w:eastAsia="Times New Roman" w:hAnsiTheme="minorHAnsi" w:cs="David"/>
                <w:rtl/>
              </w:rPr>
            </w:pPr>
          </w:p>
        </w:tc>
        <w:tc>
          <w:tcPr>
            <w:tcW w:w="2267" w:type="dxa"/>
            <w:shd w:val="clear" w:color="auto" w:fill="auto"/>
            <w:vAlign w:val="center"/>
          </w:tcPr>
          <w:p w14:paraId="08A85C91"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תיק אפוטרופסות (א"פ)</w:t>
            </w:r>
          </w:p>
        </w:tc>
        <w:tc>
          <w:tcPr>
            <w:tcW w:w="992" w:type="dxa"/>
            <w:shd w:val="clear" w:color="auto" w:fill="auto"/>
            <w:vAlign w:val="center"/>
          </w:tcPr>
          <w:p w14:paraId="3DF3EA09"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18,369</w:t>
            </w:r>
          </w:p>
        </w:tc>
        <w:tc>
          <w:tcPr>
            <w:tcW w:w="1134" w:type="dxa"/>
            <w:shd w:val="clear" w:color="auto" w:fill="auto"/>
            <w:noWrap/>
            <w:vAlign w:val="center"/>
          </w:tcPr>
          <w:p w14:paraId="5166406C"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1:07</w:t>
            </w:r>
          </w:p>
        </w:tc>
        <w:tc>
          <w:tcPr>
            <w:tcW w:w="993" w:type="dxa"/>
            <w:shd w:val="clear" w:color="auto" w:fill="auto"/>
            <w:vAlign w:val="center"/>
          </w:tcPr>
          <w:p w14:paraId="5AC25150"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0:28</w:t>
            </w:r>
          </w:p>
        </w:tc>
        <w:tc>
          <w:tcPr>
            <w:tcW w:w="1134" w:type="dxa"/>
            <w:shd w:val="clear" w:color="auto" w:fill="auto"/>
            <w:vAlign w:val="center"/>
          </w:tcPr>
          <w:p w14:paraId="6BB66159"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1.01</w:t>
            </w:r>
          </w:p>
        </w:tc>
        <w:tc>
          <w:tcPr>
            <w:tcW w:w="1558" w:type="dxa"/>
            <w:shd w:val="clear" w:color="auto" w:fill="auto"/>
            <w:vAlign w:val="center"/>
          </w:tcPr>
          <w:p w14:paraId="4EC173C4"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1:06</w:t>
            </w:r>
          </w:p>
        </w:tc>
      </w:tr>
      <w:tr w:rsidR="00DB5BCC" w:rsidRPr="0052793E" w14:paraId="2CA4DE82" w14:textId="77777777" w:rsidTr="00DB5BCC">
        <w:trPr>
          <w:trHeight w:val="607"/>
        </w:trPr>
        <w:tc>
          <w:tcPr>
            <w:tcW w:w="851" w:type="dxa"/>
            <w:shd w:val="clear" w:color="auto" w:fill="auto"/>
            <w:noWrap/>
            <w:vAlign w:val="center"/>
          </w:tcPr>
          <w:p w14:paraId="315806AC"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עבודה</w:t>
            </w:r>
          </w:p>
        </w:tc>
        <w:tc>
          <w:tcPr>
            <w:tcW w:w="993" w:type="dxa"/>
            <w:shd w:val="clear" w:color="auto" w:fill="auto"/>
            <w:noWrap/>
            <w:vAlign w:val="center"/>
          </w:tcPr>
          <w:p w14:paraId="1904B959" w14:textId="77777777" w:rsidR="00DB5BCC" w:rsidRPr="0052793E" w:rsidRDefault="00DB5BCC" w:rsidP="00DB5BCC">
            <w:pPr>
              <w:bidi w:val="0"/>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65473C09"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קופת גמל (ק"ג)</w:t>
            </w:r>
          </w:p>
        </w:tc>
        <w:tc>
          <w:tcPr>
            <w:tcW w:w="992" w:type="dxa"/>
            <w:shd w:val="clear" w:color="auto" w:fill="auto"/>
            <w:vAlign w:val="center"/>
          </w:tcPr>
          <w:p w14:paraId="78D701A7"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3,957</w:t>
            </w:r>
          </w:p>
        </w:tc>
        <w:tc>
          <w:tcPr>
            <w:tcW w:w="1134" w:type="dxa"/>
            <w:shd w:val="clear" w:color="auto" w:fill="auto"/>
            <w:noWrap/>
            <w:vAlign w:val="center"/>
          </w:tcPr>
          <w:p w14:paraId="6B676272"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1:06</w:t>
            </w:r>
          </w:p>
        </w:tc>
        <w:tc>
          <w:tcPr>
            <w:tcW w:w="993" w:type="dxa"/>
            <w:shd w:val="clear" w:color="auto" w:fill="auto"/>
            <w:vAlign w:val="center"/>
          </w:tcPr>
          <w:p w14:paraId="78389623"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2:37</w:t>
            </w:r>
          </w:p>
        </w:tc>
        <w:tc>
          <w:tcPr>
            <w:tcW w:w="1134" w:type="dxa"/>
            <w:shd w:val="clear" w:color="auto" w:fill="auto"/>
            <w:vAlign w:val="center"/>
          </w:tcPr>
          <w:p w14:paraId="2DE4BE1E"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1</w:t>
            </w:r>
          </w:p>
        </w:tc>
        <w:tc>
          <w:tcPr>
            <w:tcW w:w="1558" w:type="dxa"/>
            <w:shd w:val="clear" w:color="auto" w:fill="auto"/>
            <w:vAlign w:val="center"/>
          </w:tcPr>
          <w:p w14:paraId="3B5E530D"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1:06</w:t>
            </w:r>
          </w:p>
        </w:tc>
      </w:tr>
      <w:tr w:rsidR="00DB5BCC" w:rsidRPr="0052793E" w14:paraId="2C01D2EB" w14:textId="77777777" w:rsidTr="00DB5BCC">
        <w:trPr>
          <w:trHeight w:val="611"/>
        </w:trPr>
        <w:tc>
          <w:tcPr>
            <w:tcW w:w="851" w:type="dxa"/>
            <w:shd w:val="clear" w:color="auto" w:fill="auto"/>
            <w:noWrap/>
            <w:vAlign w:val="center"/>
          </w:tcPr>
          <w:p w14:paraId="4BF8F153"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284EDDA9"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749A746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בקשה לתשלום תכוף (בת"ת)</w:t>
            </w:r>
          </w:p>
        </w:tc>
        <w:tc>
          <w:tcPr>
            <w:tcW w:w="992" w:type="dxa"/>
            <w:shd w:val="clear" w:color="auto" w:fill="auto"/>
            <w:vAlign w:val="center"/>
          </w:tcPr>
          <w:p w14:paraId="6471B092"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167</w:t>
            </w:r>
          </w:p>
        </w:tc>
        <w:tc>
          <w:tcPr>
            <w:tcW w:w="1134" w:type="dxa"/>
            <w:shd w:val="clear" w:color="auto" w:fill="auto"/>
            <w:noWrap/>
            <w:vAlign w:val="center"/>
          </w:tcPr>
          <w:p w14:paraId="788FC0C1"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1:05</w:t>
            </w:r>
          </w:p>
        </w:tc>
        <w:tc>
          <w:tcPr>
            <w:tcW w:w="993" w:type="dxa"/>
            <w:shd w:val="clear" w:color="auto" w:fill="auto"/>
            <w:vAlign w:val="center"/>
          </w:tcPr>
          <w:p w14:paraId="3DE2A5A6"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w:t>
            </w:r>
          </w:p>
        </w:tc>
        <w:tc>
          <w:tcPr>
            <w:tcW w:w="1134" w:type="dxa"/>
            <w:shd w:val="clear" w:color="auto" w:fill="auto"/>
            <w:vAlign w:val="center"/>
          </w:tcPr>
          <w:p w14:paraId="3AF99CC2"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1</w:t>
            </w:r>
          </w:p>
        </w:tc>
        <w:tc>
          <w:tcPr>
            <w:tcW w:w="1558" w:type="dxa"/>
            <w:shd w:val="clear" w:color="auto" w:fill="auto"/>
            <w:vAlign w:val="center"/>
          </w:tcPr>
          <w:p w14:paraId="14FF94F2"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1:05</w:t>
            </w:r>
          </w:p>
        </w:tc>
      </w:tr>
      <w:tr w:rsidR="00DB5BCC" w:rsidRPr="0052793E" w14:paraId="78656BAC" w14:textId="77777777" w:rsidTr="00DB5BCC">
        <w:trPr>
          <w:trHeight w:val="562"/>
        </w:trPr>
        <w:tc>
          <w:tcPr>
            <w:tcW w:w="851" w:type="dxa"/>
            <w:shd w:val="clear" w:color="auto" w:fill="auto"/>
            <w:noWrap/>
            <w:vAlign w:val="center"/>
          </w:tcPr>
          <w:p w14:paraId="5D055464"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3083640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תביעה קטנה</w:t>
            </w:r>
          </w:p>
        </w:tc>
        <w:tc>
          <w:tcPr>
            <w:tcW w:w="2267" w:type="dxa"/>
            <w:shd w:val="clear" w:color="auto" w:fill="auto"/>
            <w:vAlign w:val="center"/>
          </w:tcPr>
          <w:p w14:paraId="3BA26439"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תביעה קטנה (ת"ק)</w:t>
            </w:r>
          </w:p>
        </w:tc>
        <w:tc>
          <w:tcPr>
            <w:tcW w:w="992" w:type="dxa"/>
            <w:shd w:val="clear" w:color="auto" w:fill="auto"/>
            <w:vAlign w:val="center"/>
          </w:tcPr>
          <w:p w14:paraId="5FEBB134"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38,947</w:t>
            </w:r>
          </w:p>
        </w:tc>
        <w:tc>
          <w:tcPr>
            <w:tcW w:w="1134" w:type="dxa"/>
            <w:shd w:val="clear" w:color="auto" w:fill="auto"/>
            <w:noWrap/>
            <w:vAlign w:val="center"/>
          </w:tcPr>
          <w:p w14:paraId="6FF9F134"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1:05</w:t>
            </w:r>
          </w:p>
        </w:tc>
        <w:tc>
          <w:tcPr>
            <w:tcW w:w="993" w:type="dxa"/>
            <w:shd w:val="clear" w:color="auto" w:fill="auto"/>
            <w:vAlign w:val="center"/>
          </w:tcPr>
          <w:p w14:paraId="62A74582"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0:59</w:t>
            </w:r>
          </w:p>
        </w:tc>
        <w:tc>
          <w:tcPr>
            <w:tcW w:w="1134" w:type="dxa"/>
            <w:shd w:val="clear" w:color="auto" w:fill="auto"/>
            <w:vAlign w:val="center"/>
          </w:tcPr>
          <w:p w14:paraId="4622828A"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34F6BAB4"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1:05</w:t>
            </w:r>
          </w:p>
        </w:tc>
      </w:tr>
      <w:tr w:rsidR="00DB5BCC" w:rsidRPr="0052793E" w14:paraId="3128012F" w14:textId="77777777" w:rsidTr="00DB5BCC">
        <w:trPr>
          <w:trHeight w:val="553"/>
        </w:trPr>
        <w:tc>
          <w:tcPr>
            <w:tcW w:w="851" w:type="dxa"/>
            <w:shd w:val="clear" w:color="auto" w:fill="auto"/>
            <w:noWrap/>
            <w:vAlign w:val="center"/>
          </w:tcPr>
          <w:p w14:paraId="65E08EFB"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משפחה</w:t>
            </w:r>
          </w:p>
        </w:tc>
        <w:tc>
          <w:tcPr>
            <w:tcW w:w="993" w:type="dxa"/>
            <w:shd w:val="clear" w:color="auto" w:fill="auto"/>
            <w:noWrap/>
            <w:vAlign w:val="center"/>
          </w:tcPr>
          <w:p w14:paraId="72DA29CB" w14:textId="77777777" w:rsidR="00DB5BCC" w:rsidRPr="0052793E" w:rsidRDefault="00DB5BCC" w:rsidP="00DB5BCC">
            <w:pPr>
              <w:spacing w:after="0" w:line="240" w:lineRule="auto"/>
              <w:rPr>
                <w:rFonts w:ascii="David" w:eastAsia="Times New Roman" w:hAnsi="David" w:cs="David"/>
                <w:rtl/>
              </w:rPr>
            </w:pPr>
          </w:p>
        </w:tc>
        <w:tc>
          <w:tcPr>
            <w:tcW w:w="2267" w:type="dxa"/>
            <w:shd w:val="clear" w:color="auto" w:fill="auto"/>
            <w:vAlign w:val="center"/>
          </w:tcPr>
          <w:p w14:paraId="36823F31"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תיק הסכם (תה"ס)</w:t>
            </w:r>
          </w:p>
        </w:tc>
        <w:tc>
          <w:tcPr>
            <w:tcW w:w="992" w:type="dxa"/>
            <w:shd w:val="clear" w:color="auto" w:fill="auto"/>
            <w:vAlign w:val="center"/>
          </w:tcPr>
          <w:p w14:paraId="3DBF0AC0"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9,247</w:t>
            </w:r>
          </w:p>
        </w:tc>
        <w:tc>
          <w:tcPr>
            <w:tcW w:w="1134" w:type="dxa"/>
            <w:shd w:val="clear" w:color="auto" w:fill="auto"/>
            <w:noWrap/>
            <w:vAlign w:val="center"/>
          </w:tcPr>
          <w:p w14:paraId="650C3A52"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1:03</w:t>
            </w:r>
          </w:p>
        </w:tc>
        <w:tc>
          <w:tcPr>
            <w:tcW w:w="993" w:type="dxa"/>
            <w:shd w:val="clear" w:color="auto" w:fill="auto"/>
            <w:vAlign w:val="center"/>
          </w:tcPr>
          <w:p w14:paraId="21263C13"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0:39</w:t>
            </w:r>
          </w:p>
        </w:tc>
        <w:tc>
          <w:tcPr>
            <w:tcW w:w="1134" w:type="dxa"/>
            <w:shd w:val="clear" w:color="auto" w:fill="auto"/>
            <w:vAlign w:val="center"/>
          </w:tcPr>
          <w:p w14:paraId="52DB680A"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463317E2"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1:03</w:t>
            </w:r>
          </w:p>
        </w:tc>
      </w:tr>
      <w:tr w:rsidR="00DB5BCC" w:rsidRPr="0052793E" w14:paraId="02D1EE4B" w14:textId="77777777" w:rsidTr="00DB5BCC">
        <w:trPr>
          <w:trHeight w:val="552"/>
        </w:trPr>
        <w:tc>
          <w:tcPr>
            <w:tcW w:w="851" w:type="dxa"/>
            <w:shd w:val="clear" w:color="auto" w:fill="auto"/>
            <w:noWrap/>
            <w:vAlign w:val="center"/>
          </w:tcPr>
          <w:p w14:paraId="66C237D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תעבורה</w:t>
            </w:r>
          </w:p>
        </w:tc>
        <w:tc>
          <w:tcPr>
            <w:tcW w:w="993" w:type="dxa"/>
            <w:shd w:val="clear" w:color="auto" w:fill="auto"/>
            <w:noWrap/>
            <w:vAlign w:val="center"/>
          </w:tcPr>
          <w:p w14:paraId="43E65102" w14:textId="77777777" w:rsidR="00DB5BCC" w:rsidRPr="0052793E" w:rsidRDefault="00DB5BCC" w:rsidP="00DB5BCC">
            <w:pPr>
              <w:spacing w:after="0" w:line="240" w:lineRule="auto"/>
              <w:rPr>
                <w:rFonts w:ascii="David" w:eastAsia="Times New Roman" w:hAnsi="David" w:cs="David"/>
                <w:rtl/>
              </w:rPr>
            </w:pPr>
          </w:p>
        </w:tc>
        <w:tc>
          <w:tcPr>
            <w:tcW w:w="2267" w:type="dxa"/>
            <w:shd w:val="clear" w:color="auto" w:fill="auto"/>
            <w:vAlign w:val="center"/>
          </w:tcPr>
          <w:p w14:paraId="75BEA240"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תאונת דרכים (ת"ד)</w:t>
            </w:r>
          </w:p>
        </w:tc>
        <w:tc>
          <w:tcPr>
            <w:tcW w:w="992" w:type="dxa"/>
            <w:shd w:val="clear" w:color="auto" w:fill="auto"/>
            <w:vAlign w:val="center"/>
          </w:tcPr>
          <w:p w14:paraId="2D635A00"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8,337</w:t>
            </w:r>
          </w:p>
        </w:tc>
        <w:tc>
          <w:tcPr>
            <w:tcW w:w="1134" w:type="dxa"/>
            <w:shd w:val="clear" w:color="auto" w:fill="auto"/>
            <w:noWrap/>
            <w:vAlign w:val="center"/>
          </w:tcPr>
          <w:p w14:paraId="57808971"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1:02</w:t>
            </w:r>
          </w:p>
        </w:tc>
        <w:tc>
          <w:tcPr>
            <w:tcW w:w="993" w:type="dxa"/>
            <w:shd w:val="clear" w:color="auto" w:fill="auto"/>
            <w:vAlign w:val="center"/>
          </w:tcPr>
          <w:p w14:paraId="79258CEA"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0:50</w:t>
            </w:r>
          </w:p>
        </w:tc>
        <w:tc>
          <w:tcPr>
            <w:tcW w:w="1134" w:type="dxa"/>
            <w:shd w:val="clear" w:color="auto" w:fill="auto"/>
            <w:vAlign w:val="center"/>
          </w:tcPr>
          <w:p w14:paraId="309BD72F"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659AE862"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1:02</w:t>
            </w:r>
          </w:p>
        </w:tc>
      </w:tr>
      <w:tr w:rsidR="00DB5BCC" w:rsidRPr="0052793E" w14:paraId="67F8A360" w14:textId="77777777" w:rsidTr="00DB5BCC">
        <w:trPr>
          <w:trHeight w:val="548"/>
        </w:trPr>
        <w:tc>
          <w:tcPr>
            <w:tcW w:w="851" w:type="dxa"/>
            <w:shd w:val="clear" w:color="auto" w:fill="auto"/>
            <w:noWrap/>
            <w:vAlign w:val="center"/>
          </w:tcPr>
          <w:p w14:paraId="4AAF5BE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משפחה</w:t>
            </w:r>
          </w:p>
        </w:tc>
        <w:tc>
          <w:tcPr>
            <w:tcW w:w="993" w:type="dxa"/>
            <w:shd w:val="clear" w:color="auto" w:fill="auto"/>
            <w:noWrap/>
            <w:vAlign w:val="center"/>
          </w:tcPr>
          <w:p w14:paraId="4466AB81" w14:textId="77777777" w:rsidR="00DB5BCC" w:rsidRPr="0052793E" w:rsidRDefault="00DB5BCC" w:rsidP="00DB5BCC">
            <w:pPr>
              <w:spacing w:after="0" w:line="240" w:lineRule="auto"/>
              <w:rPr>
                <w:rFonts w:ascii="David" w:eastAsia="Times New Roman" w:hAnsi="David" w:cs="David"/>
                <w:rtl/>
              </w:rPr>
            </w:pPr>
          </w:p>
        </w:tc>
        <w:tc>
          <w:tcPr>
            <w:tcW w:w="2267" w:type="dxa"/>
            <w:shd w:val="clear" w:color="auto" w:fill="auto"/>
            <w:vAlign w:val="center"/>
          </w:tcPr>
          <w:p w14:paraId="31CE4FE0"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יישוב סכסוך (י"ס)</w:t>
            </w:r>
          </w:p>
        </w:tc>
        <w:tc>
          <w:tcPr>
            <w:tcW w:w="992" w:type="dxa"/>
            <w:shd w:val="clear" w:color="auto" w:fill="auto"/>
            <w:vAlign w:val="center"/>
          </w:tcPr>
          <w:p w14:paraId="52DB2050"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17,589</w:t>
            </w:r>
          </w:p>
        </w:tc>
        <w:tc>
          <w:tcPr>
            <w:tcW w:w="1134" w:type="dxa"/>
            <w:shd w:val="clear" w:color="auto" w:fill="auto"/>
            <w:noWrap/>
            <w:vAlign w:val="center"/>
          </w:tcPr>
          <w:p w14:paraId="3B737208"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:00</w:t>
            </w:r>
            <w:r w:rsidRPr="0052793E">
              <w:rPr>
                <w:rFonts w:ascii="David" w:eastAsia="Times New Roman" w:hAnsi="David" w:cs="David" w:hint="cs"/>
                <w:b/>
                <w:bCs/>
                <w:rtl/>
              </w:rPr>
              <w:t>1</w:t>
            </w:r>
          </w:p>
        </w:tc>
        <w:tc>
          <w:tcPr>
            <w:tcW w:w="993" w:type="dxa"/>
            <w:shd w:val="clear" w:color="auto" w:fill="auto"/>
            <w:vAlign w:val="center"/>
          </w:tcPr>
          <w:p w14:paraId="56EA75FF"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0:19</w:t>
            </w:r>
          </w:p>
        </w:tc>
        <w:tc>
          <w:tcPr>
            <w:tcW w:w="1134" w:type="dxa"/>
            <w:shd w:val="clear" w:color="auto" w:fill="auto"/>
            <w:vAlign w:val="center"/>
          </w:tcPr>
          <w:p w14:paraId="7BBD9059"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3257A8EF"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1:00</w:t>
            </w:r>
          </w:p>
        </w:tc>
      </w:tr>
      <w:tr w:rsidR="00DB5BCC" w:rsidRPr="0052793E" w14:paraId="104990B4" w14:textId="77777777" w:rsidTr="00DB5BCC">
        <w:trPr>
          <w:trHeight w:val="547"/>
        </w:trPr>
        <w:tc>
          <w:tcPr>
            <w:tcW w:w="851" w:type="dxa"/>
            <w:shd w:val="clear" w:color="auto" w:fill="auto"/>
            <w:noWrap/>
            <w:vAlign w:val="center"/>
          </w:tcPr>
          <w:p w14:paraId="48A08FD0"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52B9F4A7"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42EB9F8E"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הטרדה מאיימת וצו הגנה (ה"ט)</w:t>
            </w:r>
          </w:p>
        </w:tc>
        <w:tc>
          <w:tcPr>
            <w:tcW w:w="992" w:type="dxa"/>
            <w:shd w:val="clear" w:color="auto" w:fill="auto"/>
            <w:vAlign w:val="center"/>
          </w:tcPr>
          <w:p w14:paraId="6454F236"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7,558</w:t>
            </w:r>
          </w:p>
        </w:tc>
        <w:tc>
          <w:tcPr>
            <w:tcW w:w="1134" w:type="dxa"/>
            <w:shd w:val="clear" w:color="auto" w:fill="auto"/>
            <w:noWrap/>
            <w:vAlign w:val="center"/>
          </w:tcPr>
          <w:p w14:paraId="29DCE37A"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0:58</w:t>
            </w:r>
          </w:p>
        </w:tc>
        <w:tc>
          <w:tcPr>
            <w:tcW w:w="993" w:type="dxa"/>
            <w:shd w:val="clear" w:color="auto" w:fill="auto"/>
            <w:vAlign w:val="center"/>
          </w:tcPr>
          <w:p w14:paraId="1A0F7B57"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1:41</w:t>
            </w:r>
          </w:p>
        </w:tc>
        <w:tc>
          <w:tcPr>
            <w:tcW w:w="1134" w:type="dxa"/>
            <w:shd w:val="clear" w:color="auto" w:fill="auto"/>
            <w:vAlign w:val="center"/>
          </w:tcPr>
          <w:p w14:paraId="5EFB7F09"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71457294"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0:58</w:t>
            </w:r>
          </w:p>
        </w:tc>
      </w:tr>
      <w:tr w:rsidR="00DB5BCC" w:rsidRPr="0052793E" w14:paraId="1E8B9A90" w14:textId="77777777" w:rsidTr="00DB5BCC">
        <w:trPr>
          <w:trHeight w:val="547"/>
        </w:trPr>
        <w:tc>
          <w:tcPr>
            <w:tcW w:w="851" w:type="dxa"/>
            <w:shd w:val="clear" w:color="auto" w:fill="auto"/>
            <w:noWrap/>
            <w:vAlign w:val="center"/>
          </w:tcPr>
          <w:p w14:paraId="71410375"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662E96F0"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עניינים מקומיים</w:t>
            </w:r>
          </w:p>
        </w:tc>
        <w:tc>
          <w:tcPr>
            <w:tcW w:w="2267" w:type="dxa"/>
            <w:shd w:val="clear" w:color="auto" w:fill="auto"/>
            <w:vAlign w:val="center"/>
          </w:tcPr>
          <w:p w14:paraId="246163B5"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פיקוח וחוקים אחרים (פק"ח)</w:t>
            </w:r>
          </w:p>
        </w:tc>
        <w:tc>
          <w:tcPr>
            <w:tcW w:w="992" w:type="dxa"/>
            <w:shd w:val="clear" w:color="auto" w:fill="auto"/>
            <w:vAlign w:val="center"/>
          </w:tcPr>
          <w:p w14:paraId="473AED85"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734</w:t>
            </w:r>
          </w:p>
        </w:tc>
        <w:tc>
          <w:tcPr>
            <w:tcW w:w="1134" w:type="dxa"/>
            <w:shd w:val="clear" w:color="auto" w:fill="auto"/>
            <w:noWrap/>
            <w:vAlign w:val="center"/>
          </w:tcPr>
          <w:p w14:paraId="3AB6EE32"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0:57</w:t>
            </w:r>
          </w:p>
        </w:tc>
        <w:tc>
          <w:tcPr>
            <w:tcW w:w="993" w:type="dxa"/>
            <w:shd w:val="clear" w:color="auto" w:fill="auto"/>
            <w:vAlign w:val="center"/>
          </w:tcPr>
          <w:p w14:paraId="16DCB6B4"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w:t>
            </w:r>
          </w:p>
        </w:tc>
        <w:tc>
          <w:tcPr>
            <w:tcW w:w="1134" w:type="dxa"/>
            <w:shd w:val="clear" w:color="auto" w:fill="auto"/>
            <w:vAlign w:val="center"/>
          </w:tcPr>
          <w:p w14:paraId="2C59D642"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1.1</w:t>
            </w:r>
          </w:p>
        </w:tc>
        <w:tc>
          <w:tcPr>
            <w:tcW w:w="1558" w:type="dxa"/>
            <w:shd w:val="clear" w:color="auto" w:fill="auto"/>
            <w:vAlign w:val="center"/>
          </w:tcPr>
          <w:p w14:paraId="0D7D64AB"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0:52</w:t>
            </w:r>
          </w:p>
        </w:tc>
      </w:tr>
      <w:tr w:rsidR="00DB5BCC" w:rsidRPr="0052793E" w14:paraId="51EEF2EE" w14:textId="77777777" w:rsidTr="00DB5BCC">
        <w:trPr>
          <w:trHeight w:val="547"/>
        </w:trPr>
        <w:tc>
          <w:tcPr>
            <w:tcW w:w="851" w:type="dxa"/>
            <w:shd w:val="clear" w:color="auto" w:fill="auto"/>
            <w:noWrap/>
            <w:vAlign w:val="center"/>
          </w:tcPr>
          <w:p w14:paraId="6CB540C1"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00822008"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1B138662"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 xml:space="preserve">תיק אזרחי בסדר דין מהיר (תא"מ) -נזקי רכוש רכב: </w:t>
            </w:r>
            <w:r w:rsidRPr="0052793E">
              <w:rPr>
                <w:rFonts w:ascii="David" w:eastAsia="Times New Roman" w:hAnsi="David" w:cs="David"/>
                <w:b/>
                <w:bCs/>
                <w:rtl/>
              </w:rPr>
              <w:t>כן</w:t>
            </w:r>
          </w:p>
        </w:tc>
        <w:tc>
          <w:tcPr>
            <w:tcW w:w="992" w:type="dxa"/>
            <w:shd w:val="clear" w:color="auto" w:fill="auto"/>
            <w:vAlign w:val="center"/>
          </w:tcPr>
          <w:p w14:paraId="57172F46"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47,517</w:t>
            </w:r>
          </w:p>
        </w:tc>
        <w:tc>
          <w:tcPr>
            <w:tcW w:w="1134" w:type="dxa"/>
            <w:shd w:val="clear" w:color="auto" w:fill="auto"/>
            <w:noWrap/>
            <w:vAlign w:val="center"/>
          </w:tcPr>
          <w:p w14:paraId="2F7D7552"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0:57</w:t>
            </w:r>
          </w:p>
        </w:tc>
        <w:tc>
          <w:tcPr>
            <w:tcW w:w="993" w:type="dxa"/>
            <w:shd w:val="clear" w:color="auto" w:fill="auto"/>
            <w:vAlign w:val="center"/>
          </w:tcPr>
          <w:p w14:paraId="7B0AA7B2"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1:35</w:t>
            </w:r>
          </w:p>
        </w:tc>
        <w:tc>
          <w:tcPr>
            <w:tcW w:w="1134" w:type="dxa"/>
            <w:shd w:val="clear" w:color="auto" w:fill="auto"/>
            <w:vAlign w:val="center"/>
          </w:tcPr>
          <w:p w14:paraId="62D060DB"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6F20A1E0"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0:57</w:t>
            </w:r>
          </w:p>
        </w:tc>
      </w:tr>
      <w:tr w:rsidR="00DB5BCC" w:rsidRPr="0052793E" w14:paraId="5B711B68" w14:textId="77777777" w:rsidTr="00DB5BCC">
        <w:trPr>
          <w:trHeight w:val="547"/>
        </w:trPr>
        <w:tc>
          <w:tcPr>
            <w:tcW w:w="851" w:type="dxa"/>
            <w:shd w:val="clear" w:color="auto" w:fill="auto"/>
            <w:noWrap/>
            <w:vAlign w:val="center"/>
          </w:tcPr>
          <w:p w14:paraId="56EA654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793D6129"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42C55D74"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תיק אזרחי בסדר דין מקוצר (תא"ק)</w:t>
            </w:r>
          </w:p>
        </w:tc>
        <w:tc>
          <w:tcPr>
            <w:tcW w:w="992" w:type="dxa"/>
            <w:shd w:val="clear" w:color="auto" w:fill="auto"/>
            <w:vAlign w:val="center"/>
          </w:tcPr>
          <w:p w14:paraId="289EF2D9"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21,455</w:t>
            </w:r>
          </w:p>
        </w:tc>
        <w:tc>
          <w:tcPr>
            <w:tcW w:w="1134" w:type="dxa"/>
            <w:shd w:val="clear" w:color="auto" w:fill="auto"/>
            <w:noWrap/>
            <w:vAlign w:val="center"/>
          </w:tcPr>
          <w:p w14:paraId="74D74226"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0:55</w:t>
            </w:r>
          </w:p>
        </w:tc>
        <w:tc>
          <w:tcPr>
            <w:tcW w:w="993" w:type="dxa"/>
            <w:shd w:val="clear" w:color="auto" w:fill="auto"/>
            <w:vAlign w:val="center"/>
          </w:tcPr>
          <w:p w14:paraId="0111AB69"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1:04</w:t>
            </w:r>
          </w:p>
        </w:tc>
        <w:tc>
          <w:tcPr>
            <w:tcW w:w="1134" w:type="dxa"/>
            <w:shd w:val="clear" w:color="auto" w:fill="auto"/>
            <w:vAlign w:val="center"/>
          </w:tcPr>
          <w:p w14:paraId="1DE99B83"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25FFA531"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0:55</w:t>
            </w:r>
          </w:p>
        </w:tc>
      </w:tr>
      <w:tr w:rsidR="00DB5BCC" w:rsidRPr="0052793E" w14:paraId="5317346A" w14:textId="77777777" w:rsidTr="00DB5BCC">
        <w:trPr>
          <w:trHeight w:val="547"/>
        </w:trPr>
        <w:tc>
          <w:tcPr>
            <w:tcW w:w="851" w:type="dxa"/>
            <w:shd w:val="clear" w:color="auto" w:fill="auto"/>
            <w:noWrap/>
            <w:vAlign w:val="center"/>
          </w:tcPr>
          <w:p w14:paraId="1D355BBB"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230CE928"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41595D4D"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ביצוע תביעה בהוצאה לפועל (ת"ת)</w:t>
            </w:r>
          </w:p>
        </w:tc>
        <w:tc>
          <w:tcPr>
            <w:tcW w:w="992" w:type="dxa"/>
            <w:shd w:val="clear" w:color="auto" w:fill="auto"/>
            <w:vAlign w:val="center"/>
          </w:tcPr>
          <w:p w14:paraId="1C5D2E8A"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4,510</w:t>
            </w:r>
          </w:p>
        </w:tc>
        <w:tc>
          <w:tcPr>
            <w:tcW w:w="1134" w:type="dxa"/>
            <w:shd w:val="clear" w:color="auto" w:fill="auto"/>
            <w:noWrap/>
            <w:vAlign w:val="center"/>
          </w:tcPr>
          <w:p w14:paraId="3DCF1643"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0:55</w:t>
            </w:r>
          </w:p>
        </w:tc>
        <w:tc>
          <w:tcPr>
            <w:tcW w:w="993" w:type="dxa"/>
            <w:shd w:val="clear" w:color="auto" w:fill="auto"/>
            <w:vAlign w:val="center"/>
          </w:tcPr>
          <w:p w14:paraId="4C95CFAC"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01:21</w:t>
            </w:r>
          </w:p>
        </w:tc>
        <w:tc>
          <w:tcPr>
            <w:tcW w:w="1134" w:type="dxa"/>
            <w:shd w:val="clear" w:color="auto" w:fill="auto"/>
            <w:vAlign w:val="center"/>
          </w:tcPr>
          <w:p w14:paraId="2A4CD054"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5FE0EDFF"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0:55</w:t>
            </w:r>
          </w:p>
        </w:tc>
      </w:tr>
      <w:tr w:rsidR="00DB5BCC" w:rsidRPr="0052793E" w14:paraId="0226A2A9" w14:textId="77777777" w:rsidTr="00DB5BCC">
        <w:trPr>
          <w:trHeight w:val="547"/>
        </w:trPr>
        <w:tc>
          <w:tcPr>
            <w:tcW w:w="851" w:type="dxa"/>
            <w:shd w:val="clear" w:color="auto" w:fill="auto"/>
            <w:noWrap/>
            <w:vAlign w:val="center"/>
          </w:tcPr>
          <w:p w14:paraId="3C42AC1C"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נוער</w:t>
            </w:r>
          </w:p>
        </w:tc>
        <w:tc>
          <w:tcPr>
            <w:tcW w:w="993" w:type="dxa"/>
            <w:shd w:val="clear" w:color="auto" w:fill="auto"/>
            <w:noWrap/>
            <w:vAlign w:val="center"/>
          </w:tcPr>
          <w:p w14:paraId="64D193B3" w14:textId="77777777" w:rsidR="00DB5BCC" w:rsidRPr="0052793E" w:rsidRDefault="00DB5BCC" w:rsidP="00DB5BCC">
            <w:pPr>
              <w:spacing w:after="0" w:line="240" w:lineRule="auto"/>
              <w:rPr>
                <w:rFonts w:ascii="David" w:eastAsia="Times New Roman" w:hAnsi="David" w:cs="David"/>
                <w:rtl/>
              </w:rPr>
            </w:pPr>
          </w:p>
        </w:tc>
        <w:tc>
          <w:tcPr>
            <w:tcW w:w="2267" w:type="dxa"/>
            <w:shd w:val="clear" w:color="auto" w:fill="auto"/>
            <w:vAlign w:val="center"/>
          </w:tcPr>
          <w:p w14:paraId="571C1896"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צו אחר (צ"א)</w:t>
            </w:r>
          </w:p>
        </w:tc>
        <w:tc>
          <w:tcPr>
            <w:tcW w:w="992" w:type="dxa"/>
            <w:shd w:val="clear" w:color="auto" w:fill="auto"/>
            <w:vAlign w:val="center"/>
          </w:tcPr>
          <w:p w14:paraId="6BE8152C"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210</w:t>
            </w:r>
          </w:p>
        </w:tc>
        <w:tc>
          <w:tcPr>
            <w:tcW w:w="1134" w:type="dxa"/>
            <w:shd w:val="clear" w:color="auto" w:fill="auto"/>
            <w:noWrap/>
            <w:vAlign w:val="center"/>
          </w:tcPr>
          <w:p w14:paraId="41811B4A"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0:54</w:t>
            </w:r>
          </w:p>
        </w:tc>
        <w:tc>
          <w:tcPr>
            <w:tcW w:w="993" w:type="dxa"/>
            <w:shd w:val="clear" w:color="auto" w:fill="auto"/>
            <w:vAlign w:val="center"/>
          </w:tcPr>
          <w:p w14:paraId="1100CBB7"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w:t>
            </w:r>
          </w:p>
        </w:tc>
        <w:tc>
          <w:tcPr>
            <w:tcW w:w="1134" w:type="dxa"/>
            <w:shd w:val="clear" w:color="auto" w:fill="auto"/>
            <w:vAlign w:val="center"/>
          </w:tcPr>
          <w:p w14:paraId="6693D92F"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w:t>
            </w:r>
          </w:p>
        </w:tc>
        <w:tc>
          <w:tcPr>
            <w:tcW w:w="1558" w:type="dxa"/>
            <w:shd w:val="clear" w:color="auto" w:fill="auto"/>
            <w:vAlign w:val="center"/>
          </w:tcPr>
          <w:p w14:paraId="50FFD8A2"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0:54</w:t>
            </w:r>
          </w:p>
        </w:tc>
      </w:tr>
      <w:tr w:rsidR="00DB5BCC" w:rsidRPr="0052793E" w14:paraId="5E0EA5BF" w14:textId="77777777" w:rsidTr="00DB5BCC">
        <w:trPr>
          <w:trHeight w:val="547"/>
        </w:trPr>
        <w:tc>
          <w:tcPr>
            <w:tcW w:w="851" w:type="dxa"/>
            <w:shd w:val="clear" w:color="auto" w:fill="auto"/>
            <w:noWrap/>
            <w:vAlign w:val="center"/>
          </w:tcPr>
          <w:p w14:paraId="1F3ADEC6"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shd w:val="clear" w:color="auto" w:fill="auto"/>
            <w:noWrap/>
            <w:vAlign w:val="center"/>
          </w:tcPr>
          <w:p w14:paraId="3081204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מעצרים/ ערעור פלילי/ פלילי</w:t>
            </w:r>
          </w:p>
        </w:tc>
        <w:tc>
          <w:tcPr>
            <w:tcW w:w="2267" w:type="dxa"/>
            <w:shd w:val="clear" w:color="auto" w:fill="auto"/>
            <w:vAlign w:val="center"/>
          </w:tcPr>
          <w:p w14:paraId="64C14107"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ערר מ"י (עמ"י)</w:t>
            </w:r>
          </w:p>
        </w:tc>
        <w:tc>
          <w:tcPr>
            <w:tcW w:w="992" w:type="dxa"/>
            <w:shd w:val="clear" w:color="auto" w:fill="auto"/>
            <w:vAlign w:val="center"/>
          </w:tcPr>
          <w:p w14:paraId="64E88A93"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5194</w:t>
            </w:r>
          </w:p>
        </w:tc>
        <w:tc>
          <w:tcPr>
            <w:tcW w:w="1134" w:type="dxa"/>
            <w:shd w:val="clear" w:color="auto" w:fill="auto"/>
            <w:noWrap/>
            <w:vAlign w:val="center"/>
          </w:tcPr>
          <w:p w14:paraId="48190BDC"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0:52</w:t>
            </w:r>
          </w:p>
        </w:tc>
        <w:tc>
          <w:tcPr>
            <w:tcW w:w="993" w:type="dxa"/>
            <w:shd w:val="clear" w:color="auto" w:fill="auto"/>
            <w:vAlign w:val="center"/>
          </w:tcPr>
          <w:p w14:paraId="03E8C454"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0:53</w:t>
            </w:r>
          </w:p>
        </w:tc>
        <w:tc>
          <w:tcPr>
            <w:tcW w:w="1134" w:type="dxa"/>
            <w:shd w:val="clear" w:color="auto" w:fill="auto"/>
            <w:vAlign w:val="center"/>
          </w:tcPr>
          <w:p w14:paraId="13C06FFC"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5894C321"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0:52</w:t>
            </w:r>
          </w:p>
        </w:tc>
      </w:tr>
      <w:tr w:rsidR="00DB5BCC" w:rsidRPr="0052793E" w14:paraId="17D62CF0" w14:textId="77777777" w:rsidTr="00DB5BCC">
        <w:trPr>
          <w:trHeight w:val="656"/>
        </w:trPr>
        <w:tc>
          <w:tcPr>
            <w:tcW w:w="851" w:type="dxa"/>
            <w:shd w:val="clear" w:color="auto" w:fill="auto"/>
            <w:noWrap/>
            <w:vAlign w:val="center"/>
          </w:tcPr>
          <w:p w14:paraId="72F98BA4"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עבודה</w:t>
            </w:r>
          </w:p>
        </w:tc>
        <w:tc>
          <w:tcPr>
            <w:tcW w:w="993" w:type="dxa"/>
            <w:shd w:val="clear" w:color="auto" w:fill="auto"/>
            <w:noWrap/>
            <w:vAlign w:val="center"/>
          </w:tcPr>
          <w:p w14:paraId="6A6F0B10"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410841A6"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צו עשה/ צו מניעה קבוע (צ"ו)</w:t>
            </w:r>
          </w:p>
        </w:tc>
        <w:tc>
          <w:tcPr>
            <w:tcW w:w="992" w:type="dxa"/>
            <w:shd w:val="clear" w:color="auto" w:fill="auto"/>
            <w:vAlign w:val="center"/>
          </w:tcPr>
          <w:p w14:paraId="74CB592A"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1,043</w:t>
            </w:r>
          </w:p>
        </w:tc>
        <w:tc>
          <w:tcPr>
            <w:tcW w:w="1134" w:type="dxa"/>
            <w:shd w:val="clear" w:color="auto" w:fill="auto"/>
            <w:noWrap/>
            <w:vAlign w:val="center"/>
          </w:tcPr>
          <w:p w14:paraId="3828949F"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0:50</w:t>
            </w:r>
          </w:p>
        </w:tc>
        <w:tc>
          <w:tcPr>
            <w:tcW w:w="993" w:type="dxa"/>
            <w:shd w:val="clear" w:color="auto" w:fill="auto"/>
            <w:vAlign w:val="center"/>
          </w:tcPr>
          <w:p w14:paraId="07DA750D"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0:36</w:t>
            </w:r>
          </w:p>
        </w:tc>
        <w:tc>
          <w:tcPr>
            <w:tcW w:w="1134" w:type="dxa"/>
            <w:shd w:val="clear" w:color="auto" w:fill="auto"/>
            <w:vAlign w:val="center"/>
          </w:tcPr>
          <w:p w14:paraId="62C92CAB"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1</w:t>
            </w:r>
          </w:p>
        </w:tc>
        <w:tc>
          <w:tcPr>
            <w:tcW w:w="1558" w:type="dxa"/>
            <w:shd w:val="clear" w:color="auto" w:fill="auto"/>
            <w:vAlign w:val="center"/>
          </w:tcPr>
          <w:p w14:paraId="5AC377C2"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0:50</w:t>
            </w:r>
          </w:p>
        </w:tc>
      </w:tr>
      <w:tr w:rsidR="00DB5BCC" w:rsidRPr="0052793E" w14:paraId="30A786E2" w14:textId="77777777" w:rsidTr="00DB5BCC">
        <w:trPr>
          <w:trHeight w:val="274"/>
        </w:trPr>
        <w:tc>
          <w:tcPr>
            <w:tcW w:w="851" w:type="dxa"/>
            <w:shd w:val="clear" w:color="auto" w:fill="auto"/>
            <w:noWrap/>
            <w:vAlign w:val="center"/>
          </w:tcPr>
          <w:p w14:paraId="0E86B667"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עבודה</w:t>
            </w:r>
          </w:p>
        </w:tc>
        <w:tc>
          <w:tcPr>
            <w:tcW w:w="993" w:type="dxa"/>
            <w:shd w:val="clear" w:color="auto" w:fill="auto"/>
            <w:noWrap/>
            <w:vAlign w:val="center"/>
          </w:tcPr>
          <w:p w14:paraId="61103E45"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shd w:val="clear" w:color="auto" w:fill="auto"/>
            <w:vAlign w:val="center"/>
          </w:tcPr>
          <w:p w14:paraId="4731C764"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תביעה לפי חוק הגזזת (גז"ז)</w:t>
            </w:r>
          </w:p>
        </w:tc>
        <w:tc>
          <w:tcPr>
            <w:tcW w:w="992" w:type="dxa"/>
            <w:shd w:val="clear" w:color="auto" w:fill="auto"/>
            <w:vAlign w:val="center"/>
          </w:tcPr>
          <w:p w14:paraId="5BBB1780"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175</w:t>
            </w:r>
          </w:p>
        </w:tc>
        <w:tc>
          <w:tcPr>
            <w:tcW w:w="1134" w:type="dxa"/>
            <w:shd w:val="clear" w:color="auto" w:fill="auto"/>
            <w:noWrap/>
            <w:vAlign w:val="center"/>
          </w:tcPr>
          <w:p w14:paraId="338170FA"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0:50</w:t>
            </w:r>
          </w:p>
        </w:tc>
        <w:tc>
          <w:tcPr>
            <w:tcW w:w="993" w:type="dxa"/>
            <w:shd w:val="clear" w:color="auto" w:fill="auto"/>
            <w:vAlign w:val="center"/>
          </w:tcPr>
          <w:p w14:paraId="07D7FABE"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2:20</w:t>
            </w:r>
          </w:p>
        </w:tc>
        <w:tc>
          <w:tcPr>
            <w:tcW w:w="1134" w:type="dxa"/>
            <w:shd w:val="clear" w:color="auto" w:fill="auto"/>
            <w:vAlign w:val="center"/>
          </w:tcPr>
          <w:p w14:paraId="03BB0F4A"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1</w:t>
            </w:r>
          </w:p>
        </w:tc>
        <w:tc>
          <w:tcPr>
            <w:tcW w:w="1558" w:type="dxa"/>
            <w:shd w:val="clear" w:color="auto" w:fill="auto"/>
            <w:vAlign w:val="center"/>
          </w:tcPr>
          <w:p w14:paraId="3A462934"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0:50</w:t>
            </w:r>
          </w:p>
        </w:tc>
      </w:tr>
      <w:tr w:rsidR="00DB5BCC" w:rsidRPr="0052793E" w14:paraId="77FD1A49" w14:textId="77777777" w:rsidTr="00DB5BCC">
        <w:trPr>
          <w:trHeight w:val="399"/>
        </w:trPr>
        <w:tc>
          <w:tcPr>
            <w:tcW w:w="851" w:type="dxa"/>
            <w:shd w:val="clear" w:color="auto" w:fill="auto"/>
            <w:noWrap/>
            <w:vAlign w:val="center"/>
          </w:tcPr>
          <w:p w14:paraId="25EE6186"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עבודה</w:t>
            </w:r>
          </w:p>
        </w:tc>
        <w:tc>
          <w:tcPr>
            <w:tcW w:w="993" w:type="dxa"/>
            <w:shd w:val="clear" w:color="auto" w:fill="auto"/>
            <w:noWrap/>
            <w:vAlign w:val="center"/>
          </w:tcPr>
          <w:p w14:paraId="452007DA" w14:textId="77777777" w:rsidR="00DB5BCC" w:rsidRPr="0052793E" w:rsidRDefault="00DB5BCC" w:rsidP="00DB5BCC">
            <w:pPr>
              <w:bidi w:val="0"/>
              <w:spacing w:after="0" w:line="240" w:lineRule="auto"/>
              <w:rPr>
                <w:rFonts w:asciiTheme="minorHAnsi" w:eastAsia="Times New Roman" w:hAnsiTheme="minorHAnsi" w:cs="David"/>
                <w:rtl/>
              </w:rPr>
            </w:pPr>
            <w:r w:rsidRPr="0052793E">
              <w:rPr>
                <w:rFonts w:ascii="David" w:eastAsia="Times New Roman" w:hAnsi="David" w:cs="David"/>
                <w:rtl/>
              </w:rPr>
              <w:t>אזרחי</w:t>
            </w:r>
          </w:p>
        </w:tc>
        <w:tc>
          <w:tcPr>
            <w:tcW w:w="2267" w:type="dxa"/>
            <w:shd w:val="clear" w:color="auto" w:fill="auto"/>
            <w:vAlign w:val="center"/>
          </w:tcPr>
          <w:p w14:paraId="78DA1C8B"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דיון מהיר (ד"מ)</w:t>
            </w:r>
          </w:p>
        </w:tc>
        <w:tc>
          <w:tcPr>
            <w:tcW w:w="992" w:type="dxa"/>
            <w:shd w:val="clear" w:color="auto" w:fill="auto"/>
            <w:vAlign w:val="center"/>
          </w:tcPr>
          <w:p w14:paraId="62860558"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9,582</w:t>
            </w:r>
          </w:p>
        </w:tc>
        <w:tc>
          <w:tcPr>
            <w:tcW w:w="1134" w:type="dxa"/>
            <w:shd w:val="clear" w:color="auto" w:fill="auto"/>
            <w:noWrap/>
            <w:vAlign w:val="center"/>
          </w:tcPr>
          <w:p w14:paraId="4A87DCC1"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0:48</w:t>
            </w:r>
          </w:p>
        </w:tc>
        <w:tc>
          <w:tcPr>
            <w:tcW w:w="993" w:type="dxa"/>
            <w:shd w:val="clear" w:color="auto" w:fill="auto"/>
            <w:vAlign w:val="center"/>
          </w:tcPr>
          <w:p w14:paraId="592CC582"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w:t>
            </w:r>
          </w:p>
        </w:tc>
        <w:tc>
          <w:tcPr>
            <w:tcW w:w="1134" w:type="dxa"/>
            <w:shd w:val="clear" w:color="auto" w:fill="auto"/>
            <w:vAlign w:val="center"/>
          </w:tcPr>
          <w:p w14:paraId="25A1ED8F"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1.05</w:t>
            </w:r>
          </w:p>
        </w:tc>
        <w:tc>
          <w:tcPr>
            <w:tcW w:w="1558" w:type="dxa"/>
            <w:shd w:val="clear" w:color="auto" w:fill="auto"/>
            <w:vAlign w:val="center"/>
          </w:tcPr>
          <w:p w14:paraId="50235EEA"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0:46</w:t>
            </w:r>
          </w:p>
        </w:tc>
      </w:tr>
      <w:tr w:rsidR="00DB5BCC" w:rsidRPr="0052793E" w14:paraId="134BE9DB" w14:textId="77777777" w:rsidTr="00DB5BCC">
        <w:trPr>
          <w:trHeight w:val="441"/>
        </w:trPr>
        <w:tc>
          <w:tcPr>
            <w:tcW w:w="851" w:type="dxa"/>
            <w:shd w:val="clear" w:color="auto" w:fill="auto"/>
            <w:noWrap/>
            <w:vAlign w:val="center"/>
          </w:tcPr>
          <w:p w14:paraId="52140191" w14:textId="3BA66B14" w:rsidR="00DB5BCC" w:rsidRPr="0052793E" w:rsidRDefault="00DB5BCC" w:rsidP="00DB5BCC">
            <w:pPr>
              <w:spacing w:after="0" w:line="240" w:lineRule="auto"/>
              <w:rPr>
                <w:rFonts w:ascii="David" w:eastAsia="Times New Roman" w:hAnsi="David" w:cs="David"/>
                <w:rtl/>
              </w:rPr>
            </w:pPr>
            <w:r w:rsidRPr="0052793E">
              <w:rPr>
                <w:rFonts w:ascii="Arial" w:eastAsia="Times New Roman" w:hAnsi="Arial" w:cs="David" w:hint="cs"/>
                <w:b/>
                <w:bCs/>
                <w:rtl/>
              </w:rPr>
              <w:lastRenderedPageBreak/>
              <w:t>ערכאה</w:t>
            </w:r>
          </w:p>
        </w:tc>
        <w:tc>
          <w:tcPr>
            <w:tcW w:w="993" w:type="dxa"/>
            <w:shd w:val="clear" w:color="auto" w:fill="auto"/>
            <w:noWrap/>
            <w:vAlign w:val="center"/>
          </w:tcPr>
          <w:p w14:paraId="648CFBA1" w14:textId="7A66B435" w:rsidR="00DB5BCC" w:rsidRPr="0052793E" w:rsidRDefault="00DB5BCC" w:rsidP="00DB5BCC">
            <w:pPr>
              <w:bidi w:val="0"/>
              <w:spacing w:after="0" w:line="240" w:lineRule="auto"/>
              <w:rPr>
                <w:rFonts w:ascii="David" w:eastAsia="Times New Roman" w:hAnsi="David" w:cs="David"/>
                <w:rtl/>
              </w:rPr>
            </w:pPr>
            <w:r w:rsidRPr="0052793E">
              <w:rPr>
                <w:rFonts w:ascii="Arial" w:eastAsia="Times New Roman" w:hAnsi="Arial" w:cs="David" w:hint="cs"/>
                <w:b/>
                <w:bCs/>
                <w:rtl/>
              </w:rPr>
              <w:t>הליך</w:t>
            </w:r>
          </w:p>
        </w:tc>
        <w:tc>
          <w:tcPr>
            <w:tcW w:w="2267" w:type="dxa"/>
            <w:shd w:val="clear" w:color="auto" w:fill="auto"/>
            <w:vAlign w:val="center"/>
          </w:tcPr>
          <w:p w14:paraId="0F9E352B" w14:textId="511C3C34" w:rsidR="00DB5BCC" w:rsidRPr="0052793E" w:rsidRDefault="00DB5BCC" w:rsidP="00DB5BCC">
            <w:pPr>
              <w:spacing w:after="0" w:line="240" w:lineRule="auto"/>
              <w:rPr>
                <w:rFonts w:ascii="David" w:eastAsia="Times New Roman" w:hAnsi="David" w:cs="David"/>
                <w:rtl/>
              </w:rPr>
            </w:pPr>
            <w:r w:rsidRPr="0052793E">
              <w:rPr>
                <w:rFonts w:ascii="Arial" w:eastAsia="Times New Roman" w:hAnsi="Arial" w:cs="David" w:hint="cs"/>
                <w:b/>
                <w:bCs/>
                <w:rtl/>
              </w:rPr>
              <w:t>סוג תיק</w:t>
            </w:r>
          </w:p>
        </w:tc>
        <w:tc>
          <w:tcPr>
            <w:tcW w:w="992" w:type="dxa"/>
            <w:shd w:val="clear" w:color="auto" w:fill="auto"/>
            <w:vAlign w:val="center"/>
          </w:tcPr>
          <w:p w14:paraId="436A78C1" w14:textId="433E86E9" w:rsidR="00DB5BCC" w:rsidRPr="0052793E" w:rsidRDefault="00DB5BCC" w:rsidP="00DB5BCC">
            <w:pPr>
              <w:spacing w:after="0" w:line="240" w:lineRule="auto"/>
              <w:jc w:val="center"/>
              <w:rPr>
                <w:rFonts w:ascii="David" w:eastAsia="Times New Roman" w:hAnsi="David" w:cs="David"/>
                <w:rtl/>
              </w:rPr>
            </w:pPr>
            <w:r w:rsidRPr="0052793E">
              <w:rPr>
                <w:rFonts w:ascii="Arial" w:eastAsia="Times New Roman" w:hAnsi="Arial" w:cs="David" w:hint="cs"/>
                <w:b/>
                <w:bCs/>
                <w:rtl/>
              </w:rPr>
              <w:t>מספר תיקים שנסגרו ב-2019</w:t>
            </w:r>
          </w:p>
        </w:tc>
        <w:tc>
          <w:tcPr>
            <w:tcW w:w="1134" w:type="dxa"/>
            <w:shd w:val="clear" w:color="auto" w:fill="auto"/>
            <w:noWrap/>
            <w:vAlign w:val="center"/>
          </w:tcPr>
          <w:p w14:paraId="66A75E8D" w14:textId="50CA6153" w:rsidR="00DB5BCC" w:rsidRPr="0052793E" w:rsidRDefault="00DB5BCC" w:rsidP="00DB5BCC">
            <w:pPr>
              <w:spacing w:after="0" w:line="240" w:lineRule="auto"/>
              <w:jc w:val="center"/>
              <w:rPr>
                <w:rFonts w:ascii="David" w:eastAsia="Times New Roman" w:hAnsi="David" w:cs="David"/>
                <w:b/>
                <w:bCs/>
              </w:rPr>
            </w:pPr>
            <w:r w:rsidRPr="0052793E">
              <w:rPr>
                <w:rFonts w:ascii="Arial" w:eastAsia="Times New Roman" w:hAnsi="Arial" w:cs="David" w:hint="cs"/>
                <w:b/>
                <w:bCs/>
                <w:rtl/>
              </w:rPr>
              <w:t>הזמן השיפוטי הממוצע לטיפול בתיק</w:t>
            </w:r>
          </w:p>
        </w:tc>
        <w:tc>
          <w:tcPr>
            <w:tcW w:w="993" w:type="dxa"/>
            <w:shd w:val="clear" w:color="auto" w:fill="auto"/>
            <w:vAlign w:val="center"/>
          </w:tcPr>
          <w:p w14:paraId="3DE32A47" w14:textId="7F048E55" w:rsidR="00DB5BCC" w:rsidRPr="0052793E" w:rsidRDefault="00DB5BCC" w:rsidP="00DB5BCC">
            <w:pPr>
              <w:spacing w:after="0" w:line="240" w:lineRule="auto"/>
              <w:jc w:val="center"/>
              <w:rPr>
                <w:rFonts w:ascii="David" w:eastAsia="Times New Roman" w:hAnsi="David" w:cs="David"/>
                <w:rtl/>
              </w:rPr>
            </w:pPr>
            <w:r w:rsidRPr="0052793E">
              <w:rPr>
                <w:rFonts w:ascii="Arial" w:eastAsia="Times New Roman" w:hAnsi="Arial" w:cs="David" w:hint="cs"/>
                <w:b/>
                <w:bCs/>
                <w:rtl/>
              </w:rPr>
              <w:t>הזמן השיפוטי הממוצע לפי המחקר הקודם</w:t>
            </w:r>
          </w:p>
        </w:tc>
        <w:tc>
          <w:tcPr>
            <w:tcW w:w="1134" w:type="dxa"/>
            <w:shd w:val="clear" w:color="auto" w:fill="auto"/>
            <w:vAlign w:val="center"/>
          </w:tcPr>
          <w:p w14:paraId="4ED9C494" w14:textId="6CD54345" w:rsidR="00DB5BCC" w:rsidRPr="0052793E" w:rsidRDefault="00DB5BCC" w:rsidP="00DB5BCC">
            <w:pPr>
              <w:spacing w:after="0" w:line="240" w:lineRule="auto"/>
              <w:jc w:val="center"/>
              <w:rPr>
                <w:rFonts w:ascii="David" w:eastAsia="Times New Roman" w:hAnsi="David" w:cs="David"/>
                <w:rtl/>
              </w:rPr>
            </w:pPr>
            <w:r w:rsidRPr="0052793E">
              <w:rPr>
                <w:rFonts w:ascii="Arial" w:eastAsia="Times New Roman" w:hAnsi="Arial" w:cs="David" w:hint="cs"/>
                <w:b/>
                <w:bCs/>
                <w:rtl/>
              </w:rPr>
              <w:t>כמות התיקים הממוצעת שפסק דין סוגר</w:t>
            </w:r>
          </w:p>
        </w:tc>
        <w:tc>
          <w:tcPr>
            <w:tcW w:w="1558" w:type="dxa"/>
            <w:shd w:val="clear" w:color="auto" w:fill="auto"/>
            <w:vAlign w:val="center"/>
          </w:tcPr>
          <w:p w14:paraId="135732FE" w14:textId="4C829997" w:rsidR="00DB5BCC" w:rsidRPr="0052793E" w:rsidRDefault="00DB5BCC" w:rsidP="00DB5BCC">
            <w:pPr>
              <w:spacing w:after="0" w:line="240" w:lineRule="auto"/>
              <w:jc w:val="center"/>
              <w:rPr>
                <w:rFonts w:ascii="David" w:eastAsia="Times New Roman" w:hAnsi="David" w:cs="David"/>
                <w:rtl/>
              </w:rPr>
            </w:pPr>
            <w:r w:rsidRPr="0052793E">
              <w:rPr>
                <w:rFonts w:ascii="Arial" w:eastAsia="Times New Roman" w:hAnsi="Arial" w:cs="David" w:hint="cs"/>
                <w:b/>
                <w:bCs/>
                <w:rtl/>
              </w:rPr>
              <w:t>הזמן השיפוטי הממוצע לטיפול בתיק חלקי כמות התיקים שפסק הדין סוגר</w:t>
            </w:r>
          </w:p>
        </w:tc>
      </w:tr>
      <w:tr w:rsidR="00DB5BCC" w:rsidRPr="0052793E" w14:paraId="5904FA3D" w14:textId="77777777" w:rsidTr="00DB5BCC">
        <w:trPr>
          <w:trHeight w:val="441"/>
        </w:trPr>
        <w:tc>
          <w:tcPr>
            <w:tcW w:w="851" w:type="dxa"/>
            <w:shd w:val="clear" w:color="auto" w:fill="auto"/>
            <w:noWrap/>
            <w:vAlign w:val="center"/>
          </w:tcPr>
          <w:p w14:paraId="43E65635"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תעבורה</w:t>
            </w:r>
          </w:p>
        </w:tc>
        <w:tc>
          <w:tcPr>
            <w:tcW w:w="993" w:type="dxa"/>
            <w:shd w:val="clear" w:color="auto" w:fill="auto"/>
            <w:noWrap/>
            <w:vAlign w:val="center"/>
          </w:tcPr>
          <w:p w14:paraId="76861A79" w14:textId="77777777" w:rsidR="00DB5BCC" w:rsidRPr="0052793E" w:rsidRDefault="00DB5BCC" w:rsidP="00DB5BCC">
            <w:pPr>
              <w:bidi w:val="0"/>
              <w:spacing w:after="0" w:line="240" w:lineRule="auto"/>
              <w:rPr>
                <w:rFonts w:ascii="David" w:eastAsia="Times New Roman" w:hAnsi="David" w:cs="David"/>
                <w:rtl/>
              </w:rPr>
            </w:pPr>
          </w:p>
        </w:tc>
        <w:tc>
          <w:tcPr>
            <w:tcW w:w="2267" w:type="dxa"/>
            <w:shd w:val="clear" w:color="auto" w:fill="auto"/>
            <w:vAlign w:val="center"/>
          </w:tcPr>
          <w:p w14:paraId="11B29164"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תיק תת"ע אדום (תתע"א)</w:t>
            </w:r>
          </w:p>
        </w:tc>
        <w:tc>
          <w:tcPr>
            <w:tcW w:w="992" w:type="dxa"/>
            <w:shd w:val="clear" w:color="auto" w:fill="auto"/>
            <w:vAlign w:val="center"/>
          </w:tcPr>
          <w:p w14:paraId="0A805F81"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3,425</w:t>
            </w:r>
          </w:p>
        </w:tc>
        <w:tc>
          <w:tcPr>
            <w:tcW w:w="1134" w:type="dxa"/>
            <w:shd w:val="clear" w:color="auto" w:fill="auto"/>
            <w:noWrap/>
            <w:vAlign w:val="center"/>
          </w:tcPr>
          <w:p w14:paraId="79DC97D9"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0:45</w:t>
            </w:r>
          </w:p>
        </w:tc>
        <w:tc>
          <w:tcPr>
            <w:tcW w:w="993" w:type="dxa"/>
            <w:shd w:val="clear" w:color="auto" w:fill="auto"/>
            <w:vAlign w:val="center"/>
          </w:tcPr>
          <w:p w14:paraId="1EBA64AF"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w:t>
            </w:r>
          </w:p>
        </w:tc>
        <w:tc>
          <w:tcPr>
            <w:tcW w:w="1134" w:type="dxa"/>
            <w:shd w:val="clear" w:color="auto" w:fill="auto"/>
            <w:vAlign w:val="center"/>
          </w:tcPr>
          <w:p w14:paraId="6FB542FF"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1</w:t>
            </w:r>
          </w:p>
        </w:tc>
        <w:tc>
          <w:tcPr>
            <w:tcW w:w="1558" w:type="dxa"/>
            <w:shd w:val="clear" w:color="auto" w:fill="auto"/>
            <w:vAlign w:val="center"/>
          </w:tcPr>
          <w:p w14:paraId="17D81E09"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0:45</w:t>
            </w:r>
          </w:p>
        </w:tc>
      </w:tr>
      <w:tr w:rsidR="00DB5BCC" w:rsidRPr="0052793E" w14:paraId="3B3231E9" w14:textId="77777777" w:rsidTr="00DB5BCC">
        <w:trPr>
          <w:trHeight w:val="402"/>
        </w:trPr>
        <w:tc>
          <w:tcPr>
            <w:tcW w:w="851" w:type="dxa"/>
            <w:tcBorders>
              <w:bottom w:val="single" w:sz="4" w:space="0" w:color="auto"/>
            </w:tcBorders>
            <w:shd w:val="clear" w:color="auto" w:fill="auto"/>
            <w:noWrap/>
            <w:vAlign w:val="center"/>
          </w:tcPr>
          <w:p w14:paraId="2F00CE21"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תעבורה</w:t>
            </w:r>
          </w:p>
        </w:tc>
        <w:tc>
          <w:tcPr>
            <w:tcW w:w="993" w:type="dxa"/>
            <w:tcBorders>
              <w:bottom w:val="single" w:sz="4" w:space="0" w:color="auto"/>
            </w:tcBorders>
            <w:shd w:val="clear" w:color="auto" w:fill="auto"/>
            <w:noWrap/>
            <w:vAlign w:val="center"/>
          </w:tcPr>
          <w:p w14:paraId="4CF084E8" w14:textId="77777777" w:rsidR="00DB5BCC" w:rsidRPr="0052793E" w:rsidRDefault="00DB5BCC" w:rsidP="00DB5BCC">
            <w:pPr>
              <w:spacing w:after="0" w:line="240" w:lineRule="auto"/>
              <w:rPr>
                <w:rFonts w:ascii="David" w:eastAsia="Times New Roman" w:hAnsi="David" w:cs="David"/>
                <w:rtl/>
              </w:rPr>
            </w:pPr>
          </w:p>
        </w:tc>
        <w:tc>
          <w:tcPr>
            <w:tcW w:w="2267" w:type="dxa"/>
            <w:tcBorders>
              <w:bottom w:val="single" w:sz="4" w:space="0" w:color="auto"/>
            </w:tcBorders>
            <w:shd w:val="clear" w:color="auto" w:fill="auto"/>
            <w:vAlign w:val="center"/>
          </w:tcPr>
          <w:p w14:paraId="4227859C"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בקשה לפסילה עד תום ההליכים (בפ"ת)</w:t>
            </w:r>
          </w:p>
        </w:tc>
        <w:tc>
          <w:tcPr>
            <w:tcW w:w="992" w:type="dxa"/>
            <w:tcBorders>
              <w:bottom w:val="single" w:sz="4" w:space="0" w:color="auto"/>
            </w:tcBorders>
            <w:shd w:val="clear" w:color="auto" w:fill="auto"/>
            <w:vAlign w:val="center"/>
          </w:tcPr>
          <w:p w14:paraId="013D7689"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3,726</w:t>
            </w:r>
          </w:p>
        </w:tc>
        <w:tc>
          <w:tcPr>
            <w:tcW w:w="1134" w:type="dxa"/>
            <w:tcBorders>
              <w:bottom w:val="single" w:sz="4" w:space="0" w:color="auto"/>
            </w:tcBorders>
            <w:shd w:val="clear" w:color="auto" w:fill="auto"/>
            <w:noWrap/>
            <w:vAlign w:val="center"/>
          </w:tcPr>
          <w:p w14:paraId="2DF91679"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0:39</w:t>
            </w:r>
          </w:p>
        </w:tc>
        <w:tc>
          <w:tcPr>
            <w:tcW w:w="993" w:type="dxa"/>
            <w:tcBorders>
              <w:bottom w:val="single" w:sz="4" w:space="0" w:color="auto"/>
            </w:tcBorders>
            <w:shd w:val="clear" w:color="auto" w:fill="auto"/>
            <w:vAlign w:val="center"/>
          </w:tcPr>
          <w:p w14:paraId="47DFFC58"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w:t>
            </w:r>
          </w:p>
        </w:tc>
        <w:tc>
          <w:tcPr>
            <w:tcW w:w="1134" w:type="dxa"/>
            <w:tcBorders>
              <w:bottom w:val="single" w:sz="4" w:space="0" w:color="auto"/>
            </w:tcBorders>
            <w:shd w:val="clear" w:color="auto" w:fill="auto"/>
            <w:vAlign w:val="center"/>
          </w:tcPr>
          <w:p w14:paraId="76E09FE2"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1</w:t>
            </w:r>
          </w:p>
        </w:tc>
        <w:tc>
          <w:tcPr>
            <w:tcW w:w="1558" w:type="dxa"/>
            <w:tcBorders>
              <w:bottom w:val="single" w:sz="4" w:space="0" w:color="auto"/>
            </w:tcBorders>
            <w:shd w:val="clear" w:color="auto" w:fill="auto"/>
            <w:vAlign w:val="center"/>
          </w:tcPr>
          <w:p w14:paraId="22629671"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0:39</w:t>
            </w:r>
          </w:p>
        </w:tc>
      </w:tr>
      <w:tr w:rsidR="00DB5BCC" w:rsidRPr="0052793E" w14:paraId="206D16C8" w14:textId="77777777" w:rsidTr="00DB5BCC">
        <w:trPr>
          <w:trHeight w:val="558"/>
        </w:trPr>
        <w:tc>
          <w:tcPr>
            <w:tcW w:w="851" w:type="dxa"/>
            <w:tcBorders>
              <w:top w:val="single" w:sz="4" w:space="0" w:color="auto"/>
              <w:bottom w:val="single" w:sz="4" w:space="0" w:color="auto"/>
            </w:tcBorders>
            <w:shd w:val="clear" w:color="auto" w:fill="auto"/>
            <w:noWrap/>
            <w:vAlign w:val="center"/>
          </w:tcPr>
          <w:p w14:paraId="0FB18EB7"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עבודה</w:t>
            </w:r>
          </w:p>
        </w:tc>
        <w:tc>
          <w:tcPr>
            <w:tcW w:w="993" w:type="dxa"/>
            <w:tcBorders>
              <w:top w:val="single" w:sz="4" w:space="0" w:color="auto"/>
              <w:bottom w:val="single" w:sz="4" w:space="0" w:color="auto"/>
            </w:tcBorders>
            <w:shd w:val="clear" w:color="auto" w:fill="auto"/>
            <w:noWrap/>
            <w:vAlign w:val="center"/>
          </w:tcPr>
          <w:p w14:paraId="29BCB881"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tcBorders>
              <w:top w:val="single" w:sz="4" w:space="0" w:color="auto"/>
              <w:bottom w:val="single" w:sz="4" w:space="0" w:color="auto"/>
            </w:tcBorders>
            <w:shd w:val="clear" w:color="auto" w:fill="auto"/>
            <w:vAlign w:val="center"/>
          </w:tcPr>
          <w:p w14:paraId="47FF0547"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דמי טיפול ארגוני (ד"ט)</w:t>
            </w:r>
          </w:p>
        </w:tc>
        <w:tc>
          <w:tcPr>
            <w:tcW w:w="992" w:type="dxa"/>
            <w:tcBorders>
              <w:top w:val="single" w:sz="4" w:space="0" w:color="auto"/>
              <w:bottom w:val="single" w:sz="4" w:space="0" w:color="auto"/>
            </w:tcBorders>
            <w:shd w:val="clear" w:color="auto" w:fill="auto"/>
            <w:vAlign w:val="center"/>
          </w:tcPr>
          <w:p w14:paraId="1D7A5B86"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727</w:t>
            </w:r>
          </w:p>
        </w:tc>
        <w:tc>
          <w:tcPr>
            <w:tcW w:w="1134" w:type="dxa"/>
            <w:tcBorders>
              <w:top w:val="single" w:sz="4" w:space="0" w:color="auto"/>
              <w:bottom w:val="single" w:sz="4" w:space="0" w:color="auto"/>
            </w:tcBorders>
            <w:shd w:val="clear" w:color="auto" w:fill="auto"/>
            <w:noWrap/>
            <w:vAlign w:val="center"/>
          </w:tcPr>
          <w:p w14:paraId="7A15D847"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0:37</w:t>
            </w:r>
          </w:p>
        </w:tc>
        <w:tc>
          <w:tcPr>
            <w:tcW w:w="993" w:type="dxa"/>
            <w:tcBorders>
              <w:top w:val="single" w:sz="4" w:space="0" w:color="auto"/>
              <w:bottom w:val="single" w:sz="4" w:space="0" w:color="auto"/>
            </w:tcBorders>
            <w:shd w:val="clear" w:color="auto" w:fill="auto"/>
            <w:vAlign w:val="center"/>
          </w:tcPr>
          <w:p w14:paraId="33170944"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0:48</w:t>
            </w:r>
          </w:p>
        </w:tc>
        <w:tc>
          <w:tcPr>
            <w:tcW w:w="1134" w:type="dxa"/>
            <w:tcBorders>
              <w:top w:val="single" w:sz="4" w:space="0" w:color="auto"/>
              <w:bottom w:val="single" w:sz="4" w:space="0" w:color="auto"/>
            </w:tcBorders>
            <w:shd w:val="clear" w:color="auto" w:fill="auto"/>
            <w:vAlign w:val="center"/>
          </w:tcPr>
          <w:p w14:paraId="15CB37B8"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1.06</w:t>
            </w:r>
          </w:p>
        </w:tc>
        <w:tc>
          <w:tcPr>
            <w:tcW w:w="1558" w:type="dxa"/>
            <w:tcBorders>
              <w:top w:val="single" w:sz="4" w:space="0" w:color="auto"/>
              <w:bottom w:val="single" w:sz="4" w:space="0" w:color="auto"/>
            </w:tcBorders>
            <w:shd w:val="clear" w:color="auto" w:fill="auto"/>
            <w:vAlign w:val="center"/>
          </w:tcPr>
          <w:p w14:paraId="3025424B"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0:34</w:t>
            </w:r>
          </w:p>
        </w:tc>
      </w:tr>
      <w:tr w:rsidR="00DB5BCC" w:rsidRPr="0052793E" w14:paraId="5D37708C" w14:textId="77777777" w:rsidTr="00DB5BCC">
        <w:trPr>
          <w:trHeight w:val="756"/>
        </w:trPr>
        <w:tc>
          <w:tcPr>
            <w:tcW w:w="851" w:type="dxa"/>
            <w:tcBorders>
              <w:top w:val="single" w:sz="4" w:space="0" w:color="auto"/>
              <w:bottom w:val="single" w:sz="4" w:space="0" w:color="auto"/>
            </w:tcBorders>
            <w:shd w:val="clear" w:color="auto" w:fill="auto"/>
            <w:noWrap/>
            <w:vAlign w:val="center"/>
          </w:tcPr>
          <w:p w14:paraId="140FC0D7"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tcBorders>
              <w:top w:val="single" w:sz="4" w:space="0" w:color="auto"/>
              <w:bottom w:val="single" w:sz="4" w:space="0" w:color="auto"/>
            </w:tcBorders>
            <w:shd w:val="clear" w:color="auto" w:fill="auto"/>
            <w:noWrap/>
            <w:vAlign w:val="center"/>
          </w:tcPr>
          <w:p w14:paraId="3B65A4D7"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עניינים מקומיים</w:t>
            </w:r>
          </w:p>
        </w:tc>
        <w:tc>
          <w:tcPr>
            <w:tcW w:w="2267" w:type="dxa"/>
            <w:tcBorders>
              <w:top w:val="single" w:sz="4" w:space="0" w:color="auto"/>
              <w:bottom w:val="single" w:sz="4" w:space="0" w:color="auto"/>
            </w:tcBorders>
            <w:shd w:val="clear" w:color="auto" w:fill="auto"/>
            <w:vAlign w:val="center"/>
          </w:tcPr>
          <w:p w14:paraId="45719071"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חוקי עזר עירוניים - ברירת קנס (חע"ק)</w:t>
            </w:r>
          </w:p>
        </w:tc>
        <w:tc>
          <w:tcPr>
            <w:tcW w:w="992" w:type="dxa"/>
            <w:tcBorders>
              <w:top w:val="single" w:sz="4" w:space="0" w:color="auto"/>
              <w:bottom w:val="single" w:sz="4" w:space="0" w:color="auto"/>
            </w:tcBorders>
            <w:shd w:val="clear" w:color="auto" w:fill="auto"/>
            <w:vAlign w:val="center"/>
          </w:tcPr>
          <w:p w14:paraId="30BF0BB4"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785</w:t>
            </w:r>
          </w:p>
        </w:tc>
        <w:tc>
          <w:tcPr>
            <w:tcW w:w="1134" w:type="dxa"/>
            <w:tcBorders>
              <w:top w:val="single" w:sz="4" w:space="0" w:color="auto"/>
              <w:bottom w:val="single" w:sz="4" w:space="0" w:color="auto"/>
            </w:tcBorders>
            <w:shd w:val="clear" w:color="auto" w:fill="auto"/>
            <w:noWrap/>
            <w:vAlign w:val="center"/>
          </w:tcPr>
          <w:p w14:paraId="2C30CB43"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0:36</w:t>
            </w:r>
          </w:p>
        </w:tc>
        <w:tc>
          <w:tcPr>
            <w:tcW w:w="993" w:type="dxa"/>
            <w:tcBorders>
              <w:top w:val="single" w:sz="4" w:space="0" w:color="auto"/>
              <w:bottom w:val="single" w:sz="4" w:space="0" w:color="auto"/>
            </w:tcBorders>
            <w:shd w:val="clear" w:color="auto" w:fill="auto"/>
            <w:vAlign w:val="center"/>
          </w:tcPr>
          <w:p w14:paraId="66F29F21"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0:17</w:t>
            </w:r>
          </w:p>
        </w:tc>
        <w:tc>
          <w:tcPr>
            <w:tcW w:w="1134" w:type="dxa"/>
            <w:tcBorders>
              <w:top w:val="single" w:sz="4" w:space="0" w:color="auto"/>
              <w:bottom w:val="single" w:sz="4" w:space="0" w:color="auto"/>
            </w:tcBorders>
            <w:shd w:val="clear" w:color="auto" w:fill="auto"/>
            <w:vAlign w:val="center"/>
          </w:tcPr>
          <w:p w14:paraId="04CFB45F"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1.12</w:t>
            </w:r>
          </w:p>
        </w:tc>
        <w:tc>
          <w:tcPr>
            <w:tcW w:w="1558" w:type="dxa"/>
            <w:tcBorders>
              <w:top w:val="single" w:sz="4" w:space="0" w:color="auto"/>
              <w:bottom w:val="single" w:sz="4" w:space="0" w:color="auto"/>
            </w:tcBorders>
            <w:shd w:val="clear" w:color="auto" w:fill="auto"/>
            <w:vAlign w:val="center"/>
          </w:tcPr>
          <w:p w14:paraId="2F474BE6"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0:32</w:t>
            </w:r>
          </w:p>
        </w:tc>
      </w:tr>
      <w:tr w:rsidR="00DB5BCC" w:rsidRPr="0052793E" w14:paraId="252C57F2" w14:textId="77777777" w:rsidTr="00DB5BCC">
        <w:trPr>
          <w:trHeight w:val="558"/>
        </w:trPr>
        <w:tc>
          <w:tcPr>
            <w:tcW w:w="851" w:type="dxa"/>
            <w:tcBorders>
              <w:top w:val="single" w:sz="4" w:space="0" w:color="auto"/>
              <w:bottom w:val="single" w:sz="4" w:space="0" w:color="auto"/>
            </w:tcBorders>
            <w:shd w:val="clear" w:color="auto" w:fill="auto"/>
            <w:noWrap/>
            <w:vAlign w:val="center"/>
          </w:tcPr>
          <w:p w14:paraId="32E59B54"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משפחה</w:t>
            </w:r>
          </w:p>
        </w:tc>
        <w:tc>
          <w:tcPr>
            <w:tcW w:w="993" w:type="dxa"/>
            <w:tcBorders>
              <w:top w:val="single" w:sz="4" w:space="0" w:color="auto"/>
              <w:bottom w:val="single" w:sz="4" w:space="0" w:color="auto"/>
            </w:tcBorders>
            <w:shd w:val="clear" w:color="auto" w:fill="auto"/>
            <w:noWrap/>
            <w:vAlign w:val="center"/>
          </w:tcPr>
          <w:p w14:paraId="2D84B1A5" w14:textId="77777777" w:rsidR="00DB5BCC" w:rsidRPr="0052793E" w:rsidRDefault="00DB5BCC" w:rsidP="00DB5BCC">
            <w:pPr>
              <w:spacing w:after="0" w:line="240" w:lineRule="auto"/>
              <w:rPr>
                <w:rFonts w:ascii="David" w:eastAsia="Times New Roman" w:hAnsi="David" w:cs="David"/>
                <w:rtl/>
              </w:rPr>
            </w:pPr>
          </w:p>
        </w:tc>
        <w:tc>
          <w:tcPr>
            <w:tcW w:w="2267" w:type="dxa"/>
            <w:tcBorders>
              <w:top w:val="single" w:sz="4" w:space="0" w:color="auto"/>
              <w:bottom w:val="single" w:sz="4" w:space="0" w:color="auto"/>
            </w:tcBorders>
            <w:shd w:val="clear" w:color="auto" w:fill="auto"/>
            <w:vAlign w:val="center"/>
          </w:tcPr>
          <w:p w14:paraId="569FCF65"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התרת נישואין (תה"ן)</w:t>
            </w:r>
          </w:p>
        </w:tc>
        <w:tc>
          <w:tcPr>
            <w:tcW w:w="992" w:type="dxa"/>
            <w:tcBorders>
              <w:top w:val="single" w:sz="4" w:space="0" w:color="auto"/>
              <w:bottom w:val="single" w:sz="4" w:space="0" w:color="auto"/>
            </w:tcBorders>
            <w:shd w:val="clear" w:color="auto" w:fill="auto"/>
            <w:vAlign w:val="center"/>
          </w:tcPr>
          <w:p w14:paraId="4BE44855"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1,943</w:t>
            </w:r>
          </w:p>
        </w:tc>
        <w:tc>
          <w:tcPr>
            <w:tcW w:w="1134" w:type="dxa"/>
            <w:tcBorders>
              <w:top w:val="single" w:sz="4" w:space="0" w:color="auto"/>
              <w:bottom w:val="single" w:sz="4" w:space="0" w:color="auto"/>
            </w:tcBorders>
            <w:shd w:val="clear" w:color="auto" w:fill="auto"/>
            <w:noWrap/>
            <w:vAlign w:val="center"/>
          </w:tcPr>
          <w:p w14:paraId="0FB7BB46"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0:36</w:t>
            </w:r>
          </w:p>
        </w:tc>
        <w:tc>
          <w:tcPr>
            <w:tcW w:w="993" w:type="dxa"/>
            <w:tcBorders>
              <w:top w:val="single" w:sz="4" w:space="0" w:color="auto"/>
              <w:bottom w:val="single" w:sz="4" w:space="0" w:color="auto"/>
            </w:tcBorders>
            <w:shd w:val="clear" w:color="auto" w:fill="auto"/>
            <w:vAlign w:val="center"/>
          </w:tcPr>
          <w:p w14:paraId="16983078"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0:28</w:t>
            </w:r>
          </w:p>
        </w:tc>
        <w:tc>
          <w:tcPr>
            <w:tcW w:w="1134" w:type="dxa"/>
            <w:tcBorders>
              <w:top w:val="single" w:sz="4" w:space="0" w:color="auto"/>
              <w:bottom w:val="single" w:sz="4" w:space="0" w:color="auto"/>
            </w:tcBorders>
            <w:shd w:val="clear" w:color="auto" w:fill="auto"/>
            <w:vAlign w:val="center"/>
          </w:tcPr>
          <w:p w14:paraId="67881C5F"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tcBorders>
              <w:top w:val="single" w:sz="4" w:space="0" w:color="auto"/>
              <w:bottom w:val="single" w:sz="4" w:space="0" w:color="auto"/>
            </w:tcBorders>
            <w:shd w:val="clear" w:color="auto" w:fill="auto"/>
            <w:vAlign w:val="center"/>
          </w:tcPr>
          <w:p w14:paraId="6BB54BDD"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0:36</w:t>
            </w:r>
          </w:p>
        </w:tc>
      </w:tr>
      <w:tr w:rsidR="00DB5BCC" w:rsidRPr="0052793E" w14:paraId="5E3CFD54" w14:textId="77777777" w:rsidTr="00DB5BCC">
        <w:trPr>
          <w:trHeight w:val="501"/>
        </w:trPr>
        <w:tc>
          <w:tcPr>
            <w:tcW w:w="851" w:type="dxa"/>
            <w:tcBorders>
              <w:top w:val="single" w:sz="4" w:space="0" w:color="auto"/>
            </w:tcBorders>
            <w:shd w:val="clear" w:color="auto" w:fill="auto"/>
            <w:noWrap/>
            <w:vAlign w:val="center"/>
          </w:tcPr>
          <w:p w14:paraId="31369FBA"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tcBorders>
              <w:top w:val="single" w:sz="4" w:space="0" w:color="auto"/>
            </w:tcBorders>
            <w:shd w:val="clear" w:color="auto" w:fill="auto"/>
            <w:noWrap/>
            <w:vAlign w:val="center"/>
          </w:tcPr>
          <w:p w14:paraId="179A80FC" w14:textId="77777777" w:rsidR="00DB5BCC" w:rsidRPr="0052793E" w:rsidRDefault="00DB5BCC" w:rsidP="00DB5BCC">
            <w:pPr>
              <w:bidi w:val="0"/>
              <w:spacing w:after="0" w:line="240" w:lineRule="auto"/>
              <w:rPr>
                <w:rFonts w:asciiTheme="minorHAnsi" w:eastAsia="Times New Roman" w:hAnsiTheme="minorHAnsi" w:cs="David"/>
                <w:rtl/>
              </w:rPr>
            </w:pPr>
            <w:r w:rsidRPr="0052793E">
              <w:rPr>
                <w:rFonts w:ascii="David" w:eastAsia="Times New Roman" w:hAnsi="David" w:cs="David"/>
                <w:rtl/>
              </w:rPr>
              <w:t>מעצרים/ פלילי</w:t>
            </w:r>
          </w:p>
        </w:tc>
        <w:tc>
          <w:tcPr>
            <w:tcW w:w="2267" w:type="dxa"/>
            <w:tcBorders>
              <w:top w:val="single" w:sz="4" w:space="0" w:color="auto"/>
            </w:tcBorders>
            <w:shd w:val="clear" w:color="auto" w:fill="auto"/>
            <w:vAlign w:val="center"/>
          </w:tcPr>
          <w:p w14:paraId="1D52F1EE"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מעצר ימים (מ"י)</w:t>
            </w:r>
          </w:p>
        </w:tc>
        <w:tc>
          <w:tcPr>
            <w:tcW w:w="992" w:type="dxa"/>
            <w:tcBorders>
              <w:top w:val="single" w:sz="4" w:space="0" w:color="auto"/>
            </w:tcBorders>
            <w:shd w:val="clear" w:color="auto" w:fill="auto"/>
            <w:vAlign w:val="center"/>
          </w:tcPr>
          <w:p w14:paraId="1217FBA6"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39,112</w:t>
            </w:r>
          </w:p>
        </w:tc>
        <w:tc>
          <w:tcPr>
            <w:tcW w:w="1134" w:type="dxa"/>
            <w:tcBorders>
              <w:top w:val="single" w:sz="4" w:space="0" w:color="auto"/>
            </w:tcBorders>
            <w:shd w:val="clear" w:color="auto" w:fill="auto"/>
            <w:noWrap/>
            <w:vAlign w:val="center"/>
          </w:tcPr>
          <w:p w14:paraId="3D1DCE05"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0:35</w:t>
            </w:r>
          </w:p>
        </w:tc>
        <w:tc>
          <w:tcPr>
            <w:tcW w:w="993" w:type="dxa"/>
            <w:tcBorders>
              <w:top w:val="single" w:sz="4" w:space="0" w:color="auto"/>
            </w:tcBorders>
            <w:shd w:val="clear" w:color="auto" w:fill="auto"/>
            <w:vAlign w:val="center"/>
          </w:tcPr>
          <w:p w14:paraId="3B7570EE"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0:31</w:t>
            </w:r>
          </w:p>
        </w:tc>
        <w:tc>
          <w:tcPr>
            <w:tcW w:w="1134" w:type="dxa"/>
            <w:tcBorders>
              <w:top w:val="single" w:sz="4" w:space="0" w:color="auto"/>
            </w:tcBorders>
            <w:shd w:val="clear" w:color="auto" w:fill="auto"/>
            <w:vAlign w:val="center"/>
          </w:tcPr>
          <w:p w14:paraId="237A2F82"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tcBorders>
              <w:top w:val="single" w:sz="4" w:space="0" w:color="auto"/>
            </w:tcBorders>
            <w:shd w:val="clear" w:color="auto" w:fill="auto"/>
            <w:vAlign w:val="center"/>
          </w:tcPr>
          <w:p w14:paraId="217D47EC"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0:35</w:t>
            </w:r>
          </w:p>
        </w:tc>
      </w:tr>
      <w:tr w:rsidR="00DB5BCC" w:rsidRPr="0052793E" w14:paraId="55C93B75" w14:textId="77777777" w:rsidTr="00DB5BCC">
        <w:trPr>
          <w:trHeight w:val="667"/>
        </w:trPr>
        <w:tc>
          <w:tcPr>
            <w:tcW w:w="851" w:type="dxa"/>
            <w:shd w:val="clear" w:color="auto" w:fill="auto"/>
            <w:noWrap/>
            <w:vAlign w:val="center"/>
            <w:hideMark/>
          </w:tcPr>
          <w:p w14:paraId="64CF5C20"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שלום</w:t>
            </w:r>
          </w:p>
        </w:tc>
        <w:tc>
          <w:tcPr>
            <w:tcW w:w="993" w:type="dxa"/>
            <w:shd w:val="clear" w:color="auto" w:fill="auto"/>
            <w:noWrap/>
            <w:vAlign w:val="center"/>
            <w:hideMark/>
          </w:tcPr>
          <w:p w14:paraId="020E24F3"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פלילי</w:t>
            </w:r>
          </w:p>
        </w:tc>
        <w:tc>
          <w:tcPr>
            <w:tcW w:w="2267" w:type="dxa"/>
            <w:shd w:val="clear" w:color="auto" w:fill="auto"/>
            <w:vAlign w:val="center"/>
            <w:hideMark/>
          </w:tcPr>
          <w:p w14:paraId="73AC3246"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ערר על החלטת קצין (ע"ק)</w:t>
            </w:r>
          </w:p>
        </w:tc>
        <w:tc>
          <w:tcPr>
            <w:tcW w:w="992" w:type="dxa"/>
            <w:shd w:val="clear" w:color="auto" w:fill="auto"/>
            <w:vAlign w:val="center"/>
            <w:hideMark/>
          </w:tcPr>
          <w:p w14:paraId="3011A9E2"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499</w:t>
            </w:r>
          </w:p>
        </w:tc>
        <w:tc>
          <w:tcPr>
            <w:tcW w:w="1134" w:type="dxa"/>
            <w:shd w:val="clear" w:color="auto" w:fill="auto"/>
            <w:noWrap/>
            <w:vAlign w:val="center"/>
            <w:hideMark/>
          </w:tcPr>
          <w:p w14:paraId="30AF16A6"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0:35</w:t>
            </w:r>
          </w:p>
        </w:tc>
        <w:tc>
          <w:tcPr>
            <w:tcW w:w="993" w:type="dxa"/>
            <w:shd w:val="clear" w:color="auto" w:fill="auto"/>
            <w:vAlign w:val="center"/>
            <w:hideMark/>
          </w:tcPr>
          <w:p w14:paraId="4804A616"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w:t>
            </w:r>
          </w:p>
        </w:tc>
        <w:tc>
          <w:tcPr>
            <w:tcW w:w="1134" w:type="dxa"/>
            <w:shd w:val="clear" w:color="auto" w:fill="auto"/>
            <w:vAlign w:val="center"/>
          </w:tcPr>
          <w:p w14:paraId="75647447"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29CDC347"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0:35</w:t>
            </w:r>
          </w:p>
        </w:tc>
      </w:tr>
      <w:tr w:rsidR="00DB5BCC" w:rsidRPr="0052793E" w14:paraId="39A6780A" w14:textId="77777777" w:rsidTr="00DB5BCC">
        <w:trPr>
          <w:trHeight w:val="674"/>
        </w:trPr>
        <w:tc>
          <w:tcPr>
            <w:tcW w:w="851" w:type="dxa"/>
            <w:shd w:val="clear" w:color="auto" w:fill="auto"/>
            <w:noWrap/>
            <w:vAlign w:val="center"/>
            <w:hideMark/>
          </w:tcPr>
          <w:p w14:paraId="23FAC7FB"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תעבורה</w:t>
            </w:r>
          </w:p>
        </w:tc>
        <w:tc>
          <w:tcPr>
            <w:tcW w:w="993" w:type="dxa"/>
            <w:shd w:val="clear" w:color="auto" w:fill="auto"/>
            <w:noWrap/>
            <w:vAlign w:val="center"/>
            <w:hideMark/>
          </w:tcPr>
          <w:p w14:paraId="66D69ECE" w14:textId="77777777" w:rsidR="00DB5BCC" w:rsidRPr="0052793E" w:rsidRDefault="00DB5BCC" w:rsidP="00DB5BCC">
            <w:pPr>
              <w:bidi w:val="0"/>
              <w:spacing w:after="0" w:line="240" w:lineRule="auto"/>
              <w:rPr>
                <w:rFonts w:ascii="David" w:eastAsia="Times New Roman" w:hAnsi="David" w:cs="David"/>
                <w:rtl/>
              </w:rPr>
            </w:pPr>
          </w:p>
        </w:tc>
        <w:tc>
          <w:tcPr>
            <w:tcW w:w="2267" w:type="dxa"/>
            <w:shd w:val="clear" w:color="auto" w:fill="auto"/>
            <w:vAlign w:val="center"/>
            <w:hideMark/>
          </w:tcPr>
          <w:p w14:paraId="52972EA2"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בקשה לביטול - פסילה מנהלית (בפ"מ)</w:t>
            </w:r>
          </w:p>
        </w:tc>
        <w:tc>
          <w:tcPr>
            <w:tcW w:w="992" w:type="dxa"/>
            <w:shd w:val="clear" w:color="auto" w:fill="auto"/>
            <w:vAlign w:val="center"/>
            <w:hideMark/>
          </w:tcPr>
          <w:p w14:paraId="0CE4E8FA"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4,108</w:t>
            </w:r>
          </w:p>
        </w:tc>
        <w:tc>
          <w:tcPr>
            <w:tcW w:w="1134" w:type="dxa"/>
            <w:shd w:val="clear" w:color="auto" w:fill="auto"/>
            <w:noWrap/>
            <w:vAlign w:val="center"/>
            <w:hideMark/>
          </w:tcPr>
          <w:p w14:paraId="44CA766B"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0:34</w:t>
            </w:r>
          </w:p>
        </w:tc>
        <w:tc>
          <w:tcPr>
            <w:tcW w:w="993" w:type="dxa"/>
            <w:shd w:val="clear" w:color="auto" w:fill="auto"/>
            <w:vAlign w:val="center"/>
            <w:hideMark/>
          </w:tcPr>
          <w:p w14:paraId="262DB82C"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0:28</w:t>
            </w:r>
          </w:p>
        </w:tc>
        <w:tc>
          <w:tcPr>
            <w:tcW w:w="1134" w:type="dxa"/>
            <w:shd w:val="clear" w:color="auto" w:fill="auto"/>
            <w:vAlign w:val="center"/>
          </w:tcPr>
          <w:p w14:paraId="42FF2688"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5176123C"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0:34</w:t>
            </w:r>
          </w:p>
        </w:tc>
      </w:tr>
      <w:tr w:rsidR="00DB5BCC" w:rsidRPr="0052793E" w14:paraId="374D9B6A" w14:textId="77777777" w:rsidTr="00DB5BCC">
        <w:trPr>
          <w:trHeight w:val="575"/>
        </w:trPr>
        <w:tc>
          <w:tcPr>
            <w:tcW w:w="851" w:type="dxa"/>
            <w:shd w:val="clear" w:color="auto" w:fill="auto"/>
            <w:noWrap/>
            <w:vAlign w:val="center"/>
            <w:hideMark/>
          </w:tcPr>
          <w:p w14:paraId="4257F538"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תעבורה</w:t>
            </w:r>
          </w:p>
        </w:tc>
        <w:tc>
          <w:tcPr>
            <w:tcW w:w="993" w:type="dxa"/>
            <w:shd w:val="clear" w:color="auto" w:fill="auto"/>
            <w:noWrap/>
            <w:vAlign w:val="center"/>
            <w:hideMark/>
          </w:tcPr>
          <w:p w14:paraId="43673A2A" w14:textId="77777777" w:rsidR="00DB5BCC" w:rsidRPr="0052793E" w:rsidRDefault="00DB5BCC" w:rsidP="00DB5BCC">
            <w:pPr>
              <w:bidi w:val="0"/>
              <w:spacing w:after="0" w:line="240" w:lineRule="auto"/>
              <w:rPr>
                <w:rFonts w:ascii="David" w:eastAsia="Times New Roman" w:hAnsi="David" w:cs="David"/>
                <w:rtl/>
              </w:rPr>
            </w:pPr>
          </w:p>
        </w:tc>
        <w:tc>
          <w:tcPr>
            <w:tcW w:w="2267" w:type="dxa"/>
            <w:shd w:val="clear" w:color="auto" w:fill="auto"/>
            <w:vAlign w:val="center"/>
            <w:hideMark/>
          </w:tcPr>
          <w:p w14:paraId="6A2F2869"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בקשה לביטול איסור שימוש ברכב (בא"ש)</w:t>
            </w:r>
          </w:p>
        </w:tc>
        <w:tc>
          <w:tcPr>
            <w:tcW w:w="992" w:type="dxa"/>
            <w:shd w:val="clear" w:color="auto" w:fill="auto"/>
            <w:vAlign w:val="center"/>
            <w:hideMark/>
          </w:tcPr>
          <w:p w14:paraId="2E2E251A"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2,909</w:t>
            </w:r>
          </w:p>
        </w:tc>
        <w:tc>
          <w:tcPr>
            <w:tcW w:w="1134" w:type="dxa"/>
            <w:shd w:val="clear" w:color="auto" w:fill="auto"/>
            <w:noWrap/>
            <w:vAlign w:val="center"/>
            <w:hideMark/>
          </w:tcPr>
          <w:p w14:paraId="3B5231EF"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0:34</w:t>
            </w:r>
          </w:p>
        </w:tc>
        <w:tc>
          <w:tcPr>
            <w:tcW w:w="993" w:type="dxa"/>
            <w:shd w:val="clear" w:color="auto" w:fill="auto"/>
            <w:vAlign w:val="center"/>
            <w:hideMark/>
          </w:tcPr>
          <w:p w14:paraId="5B526F58"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w:t>
            </w:r>
          </w:p>
        </w:tc>
        <w:tc>
          <w:tcPr>
            <w:tcW w:w="1134" w:type="dxa"/>
            <w:shd w:val="clear" w:color="auto" w:fill="auto"/>
            <w:vAlign w:val="center"/>
          </w:tcPr>
          <w:p w14:paraId="048674CA"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353B197D"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0:34</w:t>
            </w:r>
          </w:p>
        </w:tc>
      </w:tr>
      <w:tr w:rsidR="00DB5BCC" w:rsidRPr="0052793E" w14:paraId="50E60F89" w14:textId="77777777" w:rsidTr="00DB5BCC">
        <w:trPr>
          <w:trHeight w:val="416"/>
        </w:trPr>
        <w:tc>
          <w:tcPr>
            <w:tcW w:w="851" w:type="dxa"/>
            <w:shd w:val="clear" w:color="auto" w:fill="auto"/>
            <w:noWrap/>
            <w:vAlign w:val="center"/>
            <w:hideMark/>
          </w:tcPr>
          <w:p w14:paraId="37500487"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hideMark/>
          </w:tcPr>
          <w:p w14:paraId="13CA92C7"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פלילי</w:t>
            </w:r>
          </w:p>
        </w:tc>
        <w:tc>
          <w:tcPr>
            <w:tcW w:w="2267" w:type="dxa"/>
            <w:shd w:val="clear" w:color="auto" w:fill="auto"/>
            <w:vAlign w:val="center"/>
            <w:hideMark/>
          </w:tcPr>
          <w:p w14:paraId="5D6D86B3"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חקירת סיבות מוות (חס"מ)</w:t>
            </w:r>
          </w:p>
        </w:tc>
        <w:tc>
          <w:tcPr>
            <w:tcW w:w="992" w:type="dxa"/>
            <w:shd w:val="clear" w:color="auto" w:fill="auto"/>
            <w:vAlign w:val="center"/>
            <w:hideMark/>
          </w:tcPr>
          <w:p w14:paraId="4DD579E3"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149</w:t>
            </w:r>
          </w:p>
        </w:tc>
        <w:tc>
          <w:tcPr>
            <w:tcW w:w="1134" w:type="dxa"/>
            <w:shd w:val="clear" w:color="auto" w:fill="auto"/>
            <w:noWrap/>
            <w:vAlign w:val="center"/>
            <w:hideMark/>
          </w:tcPr>
          <w:p w14:paraId="11B1D2C8"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0:30</w:t>
            </w:r>
          </w:p>
        </w:tc>
        <w:tc>
          <w:tcPr>
            <w:tcW w:w="993" w:type="dxa"/>
            <w:shd w:val="clear" w:color="auto" w:fill="auto"/>
            <w:vAlign w:val="center"/>
            <w:hideMark/>
          </w:tcPr>
          <w:p w14:paraId="6DF009E9"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w:t>
            </w:r>
          </w:p>
        </w:tc>
        <w:tc>
          <w:tcPr>
            <w:tcW w:w="1134" w:type="dxa"/>
            <w:shd w:val="clear" w:color="auto" w:fill="auto"/>
            <w:vAlign w:val="center"/>
          </w:tcPr>
          <w:p w14:paraId="2CB925E2"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55EF1ADA"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0:30</w:t>
            </w:r>
          </w:p>
        </w:tc>
      </w:tr>
      <w:tr w:rsidR="00DB5BCC" w:rsidRPr="0052793E" w14:paraId="3460BE70" w14:textId="77777777" w:rsidTr="00DB5BCC">
        <w:trPr>
          <w:trHeight w:val="426"/>
        </w:trPr>
        <w:tc>
          <w:tcPr>
            <w:tcW w:w="851" w:type="dxa"/>
            <w:shd w:val="clear" w:color="auto" w:fill="auto"/>
            <w:noWrap/>
            <w:vAlign w:val="center"/>
          </w:tcPr>
          <w:p w14:paraId="24EEDBA7"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תעבורה</w:t>
            </w:r>
          </w:p>
        </w:tc>
        <w:tc>
          <w:tcPr>
            <w:tcW w:w="993" w:type="dxa"/>
            <w:shd w:val="clear" w:color="auto" w:fill="auto"/>
            <w:noWrap/>
            <w:vAlign w:val="center"/>
          </w:tcPr>
          <w:p w14:paraId="7A6D6A2F" w14:textId="77777777" w:rsidR="00DB5BCC" w:rsidRPr="0052793E" w:rsidRDefault="00DB5BCC" w:rsidP="00DB5BCC">
            <w:pPr>
              <w:bidi w:val="0"/>
              <w:spacing w:after="0" w:line="240" w:lineRule="auto"/>
              <w:rPr>
                <w:rFonts w:asciiTheme="minorHAnsi" w:eastAsia="Times New Roman" w:hAnsiTheme="minorHAnsi" w:cs="David"/>
                <w:rtl/>
              </w:rPr>
            </w:pPr>
          </w:p>
        </w:tc>
        <w:tc>
          <w:tcPr>
            <w:tcW w:w="2267" w:type="dxa"/>
            <w:shd w:val="clear" w:color="auto" w:fill="auto"/>
            <w:vAlign w:val="center"/>
          </w:tcPr>
          <w:p w14:paraId="528F8914"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תיק תעבורה (תת"ע)</w:t>
            </w:r>
          </w:p>
        </w:tc>
        <w:tc>
          <w:tcPr>
            <w:tcW w:w="992" w:type="dxa"/>
            <w:shd w:val="clear" w:color="auto" w:fill="auto"/>
            <w:vAlign w:val="center"/>
          </w:tcPr>
          <w:p w14:paraId="678AB5C8" w14:textId="77777777" w:rsidR="00DB5BCC" w:rsidRPr="0052793E" w:rsidRDefault="00DB5BCC" w:rsidP="00DB5BCC">
            <w:pPr>
              <w:spacing w:after="0" w:line="240" w:lineRule="auto"/>
              <w:ind w:right="-221"/>
              <w:jc w:val="center"/>
              <w:rPr>
                <w:rFonts w:ascii="David" w:eastAsia="Times New Roman" w:hAnsi="David" w:cs="David"/>
                <w:rtl/>
              </w:rPr>
            </w:pPr>
            <w:r w:rsidRPr="0052793E">
              <w:rPr>
                <w:rFonts w:ascii="David" w:eastAsia="Times New Roman" w:hAnsi="David" w:cs="David"/>
              </w:rPr>
              <w:t>1113,190</w:t>
            </w:r>
          </w:p>
        </w:tc>
        <w:tc>
          <w:tcPr>
            <w:tcW w:w="1134" w:type="dxa"/>
            <w:shd w:val="clear" w:color="auto" w:fill="auto"/>
            <w:noWrap/>
            <w:vAlign w:val="center"/>
          </w:tcPr>
          <w:p w14:paraId="4F6C9A9D"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0:27</w:t>
            </w:r>
          </w:p>
        </w:tc>
        <w:tc>
          <w:tcPr>
            <w:tcW w:w="993" w:type="dxa"/>
            <w:shd w:val="clear" w:color="auto" w:fill="auto"/>
            <w:vAlign w:val="center"/>
          </w:tcPr>
          <w:p w14:paraId="14745487"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0:28</w:t>
            </w:r>
          </w:p>
        </w:tc>
        <w:tc>
          <w:tcPr>
            <w:tcW w:w="1134" w:type="dxa"/>
            <w:shd w:val="clear" w:color="auto" w:fill="auto"/>
            <w:vAlign w:val="center"/>
          </w:tcPr>
          <w:p w14:paraId="4DDB6A33"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75861857"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0:27</w:t>
            </w:r>
          </w:p>
        </w:tc>
      </w:tr>
      <w:tr w:rsidR="00DB5BCC" w:rsidRPr="0052793E" w14:paraId="53D546E6" w14:textId="77777777" w:rsidTr="00DB5BCC">
        <w:trPr>
          <w:trHeight w:val="495"/>
        </w:trPr>
        <w:tc>
          <w:tcPr>
            <w:tcW w:w="851" w:type="dxa"/>
            <w:shd w:val="clear" w:color="auto" w:fill="auto"/>
            <w:noWrap/>
            <w:vAlign w:val="center"/>
          </w:tcPr>
          <w:p w14:paraId="7E7699D6"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26F8AE11"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עניינים מקומיים</w:t>
            </w:r>
          </w:p>
        </w:tc>
        <w:tc>
          <w:tcPr>
            <w:tcW w:w="2267" w:type="dxa"/>
            <w:shd w:val="clear" w:color="auto" w:fill="auto"/>
            <w:vAlign w:val="center"/>
          </w:tcPr>
          <w:p w14:paraId="2D3A7774"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חנייה (ח"נ)</w:t>
            </w:r>
          </w:p>
        </w:tc>
        <w:tc>
          <w:tcPr>
            <w:tcW w:w="992" w:type="dxa"/>
            <w:shd w:val="clear" w:color="auto" w:fill="auto"/>
            <w:vAlign w:val="center"/>
          </w:tcPr>
          <w:p w14:paraId="3705563D"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23,851</w:t>
            </w:r>
          </w:p>
        </w:tc>
        <w:tc>
          <w:tcPr>
            <w:tcW w:w="1134" w:type="dxa"/>
            <w:shd w:val="clear" w:color="auto" w:fill="auto"/>
            <w:noWrap/>
            <w:vAlign w:val="center"/>
          </w:tcPr>
          <w:p w14:paraId="62CA255E"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0:23</w:t>
            </w:r>
          </w:p>
        </w:tc>
        <w:tc>
          <w:tcPr>
            <w:tcW w:w="993" w:type="dxa"/>
            <w:shd w:val="clear" w:color="auto" w:fill="auto"/>
            <w:vAlign w:val="center"/>
          </w:tcPr>
          <w:p w14:paraId="000884BC"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0:28</w:t>
            </w:r>
          </w:p>
        </w:tc>
        <w:tc>
          <w:tcPr>
            <w:tcW w:w="1134" w:type="dxa"/>
            <w:shd w:val="clear" w:color="auto" w:fill="auto"/>
            <w:vAlign w:val="center"/>
          </w:tcPr>
          <w:p w14:paraId="61D8BDE4"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4.84</w:t>
            </w:r>
          </w:p>
        </w:tc>
        <w:tc>
          <w:tcPr>
            <w:tcW w:w="1558" w:type="dxa"/>
            <w:shd w:val="clear" w:color="auto" w:fill="auto"/>
            <w:vAlign w:val="center"/>
          </w:tcPr>
          <w:p w14:paraId="52F9CA5E"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0:05</w:t>
            </w:r>
          </w:p>
        </w:tc>
      </w:tr>
      <w:tr w:rsidR="00DB5BCC" w:rsidRPr="0052793E" w14:paraId="5664A548" w14:textId="77777777" w:rsidTr="00DB5BCC">
        <w:trPr>
          <w:trHeight w:val="433"/>
        </w:trPr>
        <w:tc>
          <w:tcPr>
            <w:tcW w:w="851" w:type="dxa"/>
            <w:shd w:val="clear" w:color="auto" w:fill="auto"/>
            <w:noWrap/>
            <w:vAlign w:val="center"/>
          </w:tcPr>
          <w:p w14:paraId="380DBBB9"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תעבורה</w:t>
            </w:r>
          </w:p>
        </w:tc>
        <w:tc>
          <w:tcPr>
            <w:tcW w:w="993" w:type="dxa"/>
            <w:shd w:val="clear" w:color="auto" w:fill="auto"/>
            <w:noWrap/>
            <w:vAlign w:val="center"/>
          </w:tcPr>
          <w:p w14:paraId="01E77DB4" w14:textId="77777777" w:rsidR="00DB5BCC" w:rsidRPr="0052793E" w:rsidRDefault="00DB5BCC" w:rsidP="00DB5BCC">
            <w:pPr>
              <w:bidi w:val="0"/>
              <w:spacing w:after="0" w:line="240" w:lineRule="auto"/>
              <w:rPr>
                <w:rFonts w:asciiTheme="minorHAnsi" w:eastAsia="Times New Roman" w:hAnsiTheme="minorHAnsi" w:cs="David"/>
                <w:rtl/>
              </w:rPr>
            </w:pPr>
          </w:p>
        </w:tc>
        <w:tc>
          <w:tcPr>
            <w:tcW w:w="2267" w:type="dxa"/>
            <w:shd w:val="clear" w:color="auto" w:fill="auto"/>
            <w:vAlign w:val="center"/>
          </w:tcPr>
          <w:p w14:paraId="28CE1F89"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מעצר ימים (מ"י)</w:t>
            </w:r>
          </w:p>
        </w:tc>
        <w:tc>
          <w:tcPr>
            <w:tcW w:w="992" w:type="dxa"/>
            <w:shd w:val="clear" w:color="auto" w:fill="auto"/>
            <w:vAlign w:val="center"/>
          </w:tcPr>
          <w:p w14:paraId="069C86A5"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101</w:t>
            </w:r>
          </w:p>
        </w:tc>
        <w:tc>
          <w:tcPr>
            <w:tcW w:w="1134" w:type="dxa"/>
            <w:shd w:val="clear" w:color="auto" w:fill="auto"/>
            <w:noWrap/>
            <w:vAlign w:val="center"/>
          </w:tcPr>
          <w:p w14:paraId="3DE61114"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0:21</w:t>
            </w:r>
          </w:p>
        </w:tc>
        <w:tc>
          <w:tcPr>
            <w:tcW w:w="993" w:type="dxa"/>
            <w:shd w:val="clear" w:color="auto" w:fill="auto"/>
            <w:vAlign w:val="center"/>
          </w:tcPr>
          <w:p w14:paraId="3E29FB64"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0:34</w:t>
            </w:r>
          </w:p>
        </w:tc>
        <w:tc>
          <w:tcPr>
            <w:tcW w:w="1134" w:type="dxa"/>
            <w:shd w:val="clear" w:color="auto" w:fill="auto"/>
            <w:vAlign w:val="center"/>
          </w:tcPr>
          <w:p w14:paraId="6B9DFDF9"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272520B6"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0:21</w:t>
            </w:r>
          </w:p>
        </w:tc>
      </w:tr>
      <w:tr w:rsidR="00DB5BCC" w:rsidRPr="0052793E" w14:paraId="14493E6B" w14:textId="77777777" w:rsidTr="00DB5BCC">
        <w:trPr>
          <w:trHeight w:val="433"/>
        </w:trPr>
        <w:tc>
          <w:tcPr>
            <w:tcW w:w="851" w:type="dxa"/>
            <w:shd w:val="clear" w:color="auto" w:fill="auto"/>
            <w:noWrap/>
            <w:vAlign w:val="center"/>
          </w:tcPr>
          <w:p w14:paraId="6E2599B7"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תעבורה</w:t>
            </w:r>
          </w:p>
        </w:tc>
        <w:tc>
          <w:tcPr>
            <w:tcW w:w="993" w:type="dxa"/>
            <w:shd w:val="clear" w:color="auto" w:fill="auto"/>
            <w:noWrap/>
            <w:vAlign w:val="center"/>
          </w:tcPr>
          <w:p w14:paraId="3386E42A" w14:textId="77777777" w:rsidR="00DB5BCC" w:rsidRPr="0052793E" w:rsidRDefault="00DB5BCC" w:rsidP="00DB5BCC">
            <w:pPr>
              <w:bidi w:val="0"/>
              <w:spacing w:after="0" w:line="240" w:lineRule="auto"/>
              <w:rPr>
                <w:rFonts w:ascii="David" w:eastAsia="Times New Roman" w:hAnsi="David" w:cs="David"/>
                <w:rtl/>
              </w:rPr>
            </w:pPr>
          </w:p>
        </w:tc>
        <w:tc>
          <w:tcPr>
            <w:tcW w:w="2267" w:type="dxa"/>
            <w:shd w:val="clear" w:color="auto" w:fill="auto"/>
            <w:vAlign w:val="center"/>
          </w:tcPr>
          <w:p w14:paraId="58EBDB46"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בקשה לשחרור בערובה (בש"ע)</w:t>
            </w:r>
          </w:p>
        </w:tc>
        <w:tc>
          <w:tcPr>
            <w:tcW w:w="992" w:type="dxa"/>
            <w:shd w:val="clear" w:color="auto" w:fill="auto"/>
            <w:vAlign w:val="center"/>
          </w:tcPr>
          <w:p w14:paraId="6B47F939"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176</w:t>
            </w:r>
          </w:p>
        </w:tc>
        <w:tc>
          <w:tcPr>
            <w:tcW w:w="1134" w:type="dxa"/>
            <w:shd w:val="clear" w:color="auto" w:fill="auto"/>
            <w:noWrap/>
            <w:vAlign w:val="center"/>
          </w:tcPr>
          <w:p w14:paraId="4330F605"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0:21</w:t>
            </w:r>
          </w:p>
        </w:tc>
        <w:tc>
          <w:tcPr>
            <w:tcW w:w="993" w:type="dxa"/>
            <w:shd w:val="clear" w:color="auto" w:fill="auto"/>
            <w:vAlign w:val="center"/>
          </w:tcPr>
          <w:p w14:paraId="485AF076"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w:t>
            </w:r>
          </w:p>
        </w:tc>
        <w:tc>
          <w:tcPr>
            <w:tcW w:w="1134" w:type="dxa"/>
            <w:shd w:val="clear" w:color="auto" w:fill="auto"/>
            <w:vAlign w:val="center"/>
          </w:tcPr>
          <w:p w14:paraId="63C7C61E"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02085248"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0:21</w:t>
            </w:r>
          </w:p>
        </w:tc>
      </w:tr>
      <w:tr w:rsidR="00DB5BCC" w:rsidRPr="0052793E" w14:paraId="2F5C0996" w14:textId="77777777" w:rsidTr="00DB5BCC">
        <w:trPr>
          <w:trHeight w:val="626"/>
        </w:trPr>
        <w:tc>
          <w:tcPr>
            <w:tcW w:w="851" w:type="dxa"/>
            <w:shd w:val="clear" w:color="auto" w:fill="auto"/>
            <w:noWrap/>
            <w:vAlign w:val="center"/>
          </w:tcPr>
          <w:p w14:paraId="58EC536E"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תעבורה</w:t>
            </w:r>
          </w:p>
        </w:tc>
        <w:tc>
          <w:tcPr>
            <w:tcW w:w="993" w:type="dxa"/>
            <w:shd w:val="clear" w:color="auto" w:fill="auto"/>
            <w:noWrap/>
            <w:vAlign w:val="center"/>
          </w:tcPr>
          <w:p w14:paraId="7D499B84" w14:textId="77777777" w:rsidR="00DB5BCC" w:rsidRPr="0052793E" w:rsidRDefault="00DB5BCC" w:rsidP="00DB5BCC">
            <w:pPr>
              <w:bidi w:val="0"/>
              <w:spacing w:after="0" w:line="240" w:lineRule="auto"/>
              <w:rPr>
                <w:rFonts w:ascii="David" w:eastAsia="Times New Roman" w:hAnsi="David" w:cs="David"/>
                <w:rtl/>
              </w:rPr>
            </w:pPr>
          </w:p>
        </w:tc>
        <w:tc>
          <w:tcPr>
            <w:tcW w:w="2267" w:type="dxa"/>
            <w:shd w:val="clear" w:color="auto" w:fill="auto"/>
            <w:vAlign w:val="center"/>
          </w:tcPr>
          <w:p w14:paraId="0BE02120"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הארכת מועד להישפט (המ"ש)</w:t>
            </w:r>
          </w:p>
        </w:tc>
        <w:tc>
          <w:tcPr>
            <w:tcW w:w="992" w:type="dxa"/>
            <w:shd w:val="clear" w:color="auto" w:fill="auto"/>
            <w:vAlign w:val="center"/>
          </w:tcPr>
          <w:p w14:paraId="30637A01"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9,283</w:t>
            </w:r>
          </w:p>
        </w:tc>
        <w:tc>
          <w:tcPr>
            <w:tcW w:w="1134" w:type="dxa"/>
            <w:shd w:val="clear" w:color="auto" w:fill="auto"/>
            <w:noWrap/>
            <w:vAlign w:val="center"/>
          </w:tcPr>
          <w:p w14:paraId="734C46BC"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0:21</w:t>
            </w:r>
          </w:p>
        </w:tc>
        <w:tc>
          <w:tcPr>
            <w:tcW w:w="993" w:type="dxa"/>
            <w:shd w:val="clear" w:color="auto" w:fill="auto"/>
            <w:vAlign w:val="center"/>
          </w:tcPr>
          <w:p w14:paraId="50429A59"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0:34</w:t>
            </w:r>
          </w:p>
        </w:tc>
        <w:tc>
          <w:tcPr>
            <w:tcW w:w="1134" w:type="dxa"/>
            <w:shd w:val="clear" w:color="auto" w:fill="auto"/>
            <w:vAlign w:val="center"/>
          </w:tcPr>
          <w:p w14:paraId="26283282"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6F266776"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0:21</w:t>
            </w:r>
          </w:p>
        </w:tc>
      </w:tr>
      <w:tr w:rsidR="00DB5BCC" w:rsidRPr="0052793E" w14:paraId="697A6CFB" w14:textId="77777777" w:rsidTr="00DB5BCC">
        <w:trPr>
          <w:trHeight w:val="630"/>
        </w:trPr>
        <w:tc>
          <w:tcPr>
            <w:tcW w:w="851" w:type="dxa"/>
            <w:shd w:val="clear" w:color="auto" w:fill="auto"/>
            <w:noWrap/>
            <w:vAlign w:val="center"/>
          </w:tcPr>
          <w:p w14:paraId="78E892BC"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tcPr>
          <w:p w14:paraId="0D522EEF"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עניינים מקומיים</w:t>
            </w:r>
          </w:p>
        </w:tc>
        <w:tc>
          <w:tcPr>
            <w:tcW w:w="2267" w:type="dxa"/>
            <w:shd w:val="clear" w:color="auto" w:fill="auto"/>
            <w:vAlign w:val="center"/>
          </w:tcPr>
          <w:p w14:paraId="24DF4B63"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חוקי עזר עירוניים - ברירת משפט (חע"מ)</w:t>
            </w:r>
          </w:p>
        </w:tc>
        <w:tc>
          <w:tcPr>
            <w:tcW w:w="992" w:type="dxa"/>
            <w:shd w:val="clear" w:color="auto" w:fill="auto"/>
            <w:vAlign w:val="center"/>
          </w:tcPr>
          <w:p w14:paraId="255BD029"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6705</w:t>
            </w:r>
          </w:p>
        </w:tc>
        <w:tc>
          <w:tcPr>
            <w:tcW w:w="1134" w:type="dxa"/>
            <w:shd w:val="clear" w:color="auto" w:fill="auto"/>
            <w:noWrap/>
            <w:vAlign w:val="center"/>
          </w:tcPr>
          <w:p w14:paraId="4E4D7B67" w14:textId="77777777" w:rsidR="00DB5BCC" w:rsidRPr="0052793E" w:rsidRDefault="00DB5BCC" w:rsidP="00DB5BCC">
            <w:pPr>
              <w:spacing w:after="0" w:line="240" w:lineRule="auto"/>
              <w:jc w:val="center"/>
              <w:rPr>
                <w:rFonts w:asciiTheme="minorHAnsi" w:eastAsia="Times New Roman" w:hAnsiTheme="minorHAnsi" w:cs="David"/>
                <w:b/>
                <w:bCs/>
              </w:rPr>
            </w:pPr>
            <w:r w:rsidRPr="0052793E">
              <w:rPr>
                <w:rFonts w:ascii="David" w:eastAsia="Times New Roman" w:hAnsi="David" w:cs="David"/>
                <w:b/>
                <w:bCs/>
              </w:rPr>
              <w:t>0:21</w:t>
            </w:r>
          </w:p>
        </w:tc>
        <w:tc>
          <w:tcPr>
            <w:tcW w:w="993" w:type="dxa"/>
            <w:shd w:val="clear" w:color="auto" w:fill="auto"/>
            <w:vAlign w:val="center"/>
          </w:tcPr>
          <w:p w14:paraId="0D83F557"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0:53</w:t>
            </w:r>
          </w:p>
        </w:tc>
        <w:tc>
          <w:tcPr>
            <w:tcW w:w="1134" w:type="dxa"/>
            <w:shd w:val="clear" w:color="auto" w:fill="auto"/>
            <w:vAlign w:val="center"/>
          </w:tcPr>
          <w:p w14:paraId="1A67B2B2"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2.56</w:t>
            </w:r>
          </w:p>
        </w:tc>
        <w:tc>
          <w:tcPr>
            <w:tcW w:w="1558" w:type="dxa"/>
            <w:shd w:val="clear" w:color="auto" w:fill="auto"/>
            <w:vAlign w:val="center"/>
          </w:tcPr>
          <w:p w14:paraId="173F10F6"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0:08</w:t>
            </w:r>
          </w:p>
        </w:tc>
      </w:tr>
      <w:tr w:rsidR="00DB5BCC" w:rsidRPr="0052793E" w14:paraId="6CBF4329" w14:textId="77777777" w:rsidTr="00DB5BCC">
        <w:trPr>
          <w:trHeight w:val="630"/>
        </w:trPr>
        <w:tc>
          <w:tcPr>
            <w:tcW w:w="851" w:type="dxa"/>
            <w:shd w:val="clear" w:color="auto" w:fill="auto"/>
            <w:noWrap/>
            <w:vAlign w:val="center"/>
          </w:tcPr>
          <w:p w14:paraId="18B3BB31"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shd w:val="clear" w:color="auto" w:fill="auto"/>
            <w:noWrap/>
            <w:vAlign w:val="center"/>
          </w:tcPr>
          <w:p w14:paraId="422110C1"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פלילי</w:t>
            </w:r>
          </w:p>
        </w:tc>
        <w:tc>
          <w:tcPr>
            <w:tcW w:w="2267" w:type="dxa"/>
            <w:shd w:val="clear" w:color="auto" w:fill="auto"/>
            <w:vAlign w:val="center"/>
          </w:tcPr>
          <w:p w14:paraId="098CA0AC"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האזנת סתר (הס"ת)</w:t>
            </w:r>
          </w:p>
        </w:tc>
        <w:tc>
          <w:tcPr>
            <w:tcW w:w="992" w:type="dxa"/>
            <w:shd w:val="clear" w:color="auto" w:fill="auto"/>
            <w:vAlign w:val="center"/>
          </w:tcPr>
          <w:p w14:paraId="72FC90D1"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4,572</w:t>
            </w:r>
          </w:p>
        </w:tc>
        <w:tc>
          <w:tcPr>
            <w:tcW w:w="1134" w:type="dxa"/>
            <w:shd w:val="clear" w:color="auto" w:fill="auto"/>
            <w:noWrap/>
            <w:vAlign w:val="center"/>
          </w:tcPr>
          <w:p w14:paraId="5E4C93D1"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0:15</w:t>
            </w:r>
          </w:p>
        </w:tc>
        <w:tc>
          <w:tcPr>
            <w:tcW w:w="993" w:type="dxa"/>
            <w:shd w:val="clear" w:color="auto" w:fill="auto"/>
            <w:vAlign w:val="center"/>
          </w:tcPr>
          <w:p w14:paraId="3ACF965D"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w:t>
            </w:r>
          </w:p>
        </w:tc>
        <w:tc>
          <w:tcPr>
            <w:tcW w:w="1134" w:type="dxa"/>
            <w:shd w:val="clear" w:color="auto" w:fill="auto"/>
            <w:vAlign w:val="center"/>
          </w:tcPr>
          <w:p w14:paraId="48C834AB"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43995784"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0:15</w:t>
            </w:r>
          </w:p>
        </w:tc>
      </w:tr>
      <w:tr w:rsidR="00DB5BCC" w:rsidRPr="0052793E" w14:paraId="722A163F" w14:textId="77777777" w:rsidTr="00DB5BCC">
        <w:trPr>
          <w:trHeight w:val="472"/>
        </w:trPr>
        <w:tc>
          <w:tcPr>
            <w:tcW w:w="851" w:type="dxa"/>
            <w:shd w:val="clear" w:color="auto" w:fill="auto"/>
            <w:noWrap/>
            <w:vAlign w:val="center"/>
          </w:tcPr>
          <w:p w14:paraId="00805E6E"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נוער</w:t>
            </w:r>
          </w:p>
        </w:tc>
        <w:tc>
          <w:tcPr>
            <w:tcW w:w="993" w:type="dxa"/>
            <w:shd w:val="clear" w:color="auto" w:fill="auto"/>
            <w:noWrap/>
            <w:vAlign w:val="center"/>
          </w:tcPr>
          <w:p w14:paraId="57B3500A" w14:textId="77777777" w:rsidR="00DB5BCC" w:rsidRPr="0052793E" w:rsidRDefault="00DB5BCC" w:rsidP="00DB5BCC">
            <w:pPr>
              <w:bidi w:val="0"/>
              <w:spacing w:after="0" w:line="240" w:lineRule="auto"/>
              <w:rPr>
                <w:rFonts w:asciiTheme="minorHAnsi" w:eastAsia="Times New Roman" w:hAnsiTheme="minorHAnsi" w:cs="David"/>
                <w:rtl/>
              </w:rPr>
            </w:pPr>
          </w:p>
        </w:tc>
        <w:tc>
          <w:tcPr>
            <w:tcW w:w="2267" w:type="dxa"/>
            <w:shd w:val="clear" w:color="auto" w:fill="auto"/>
            <w:vAlign w:val="center"/>
          </w:tcPr>
          <w:p w14:paraId="151284AD"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מעצר ימים בהעדר (מי"ב)</w:t>
            </w:r>
          </w:p>
        </w:tc>
        <w:tc>
          <w:tcPr>
            <w:tcW w:w="992" w:type="dxa"/>
            <w:shd w:val="clear" w:color="auto" w:fill="auto"/>
            <w:vAlign w:val="center"/>
          </w:tcPr>
          <w:p w14:paraId="02789527"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748</w:t>
            </w:r>
          </w:p>
        </w:tc>
        <w:tc>
          <w:tcPr>
            <w:tcW w:w="1134" w:type="dxa"/>
            <w:shd w:val="clear" w:color="auto" w:fill="auto"/>
            <w:noWrap/>
            <w:vAlign w:val="center"/>
          </w:tcPr>
          <w:p w14:paraId="66FEA466" w14:textId="77777777" w:rsidR="00DB5BCC" w:rsidRPr="0052793E" w:rsidRDefault="00DB5BCC" w:rsidP="00DB5BCC">
            <w:pPr>
              <w:bidi w:val="0"/>
              <w:spacing w:after="0" w:line="240" w:lineRule="auto"/>
              <w:jc w:val="center"/>
              <w:rPr>
                <w:rFonts w:ascii="David" w:eastAsia="Times New Roman" w:hAnsi="David" w:cs="David"/>
                <w:b/>
                <w:bCs/>
                <w:rtl/>
              </w:rPr>
            </w:pPr>
            <w:r w:rsidRPr="0052793E">
              <w:rPr>
                <w:rFonts w:ascii="David" w:eastAsia="Times New Roman" w:hAnsi="David" w:cs="David"/>
                <w:b/>
                <w:bCs/>
              </w:rPr>
              <w:t>0:1</w:t>
            </w:r>
            <w:r w:rsidRPr="0052793E">
              <w:rPr>
                <w:rFonts w:ascii="David" w:eastAsia="Times New Roman" w:hAnsi="David" w:cs="David" w:hint="cs"/>
                <w:b/>
                <w:bCs/>
                <w:rtl/>
              </w:rPr>
              <w:t>5</w:t>
            </w:r>
          </w:p>
        </w:tc>
        <w:tc>
          <w:tcPr>
            <w:tcW w:w="993" w:type="dxa"/>
            <w:shd w:val="clear" w:color="auto" w:fill="auto"/>
            <w:vAlign w:val="center"/>
          </w:tcPr>
          <w:p w14:paraId="51F5D5D7" w14:textId="77777777" w:rsidR="00DB5BCC" w:rsidRPr="0052793E" w:rsidRDefault="00DB5BCC" w:rsidP="00DB5BCC">
            <w:pPr>
              <w:bidi w:val="0"/>
              <w:spacing w:after="0" w:line="240" w:lineRule="auto"/>
              <w:jc w:val="center"/>
              <w:rPr>
                <w:rFonts w:ascii="David" w:eastAsia="Times New Roman" w:hAnsi="David" w:cs="David"/>
              </w:rPr>
            </w:pPr>
            <w:r w:rsidRPr="0052793E">
              <w:rPr>
                <w:rFonts w:ascii="David" w:eastAsia="Times New Roman" w:hAnsi="David" w:cs="David"/>
              </w:rPr>
              <w:t>-</w:t>
            </w:r>
          </w:p>
        </w:tc>
        <w:tc>
          <w:tcPr>
            <w:tcW w:w="1134" w:type="dxa"/>
            <w:shd w:val="clear" w:color="auto" w:fill="auto"/>
            <w:vAlign w:val="center"/>
          </w:tcPr>
          <w:p w14:paraId="5F198274" w14:textId="77777777" w:rsidR="00DB5BCC" w:rsidRPr="0052793E" w:rsidRDefault="00DB5BCC" w:rsidP="00DB5BCC">
            <w:pPr>
              <w:bidi w:val="0"/>
              <w:spacing w:after="0" w:line="240" w:lineRule="auto"/>
              <w:jc w:val="center"/>
              <w:rPr>
                <w:rFonts w:ascii="David" w:eastAsia="Times New Roman" w:hAnsi="David" w:cs="David"/>
              </w:rPr>
            </w:pPr>
            <w:r w:rsidRPr="0052793E">
              <w:rPr>
                <w:rFonts w:ascii="David" w:eastAsia="Times New Roman" w:hAnsi="David" w:cs="David"/>
              </w:rPr>
              <w:t>1</w:t>
            </w:r>
          </w:p>
        </w:tc>
        <w:tc>
          <w:tcPr>
            <w:tcW w:w="1558" w:type="dxa"/>
            <w:shd w:val="clear" w:color="auto" w:fill="auto"/>
            <w:vAlign w:val="center"/>
          </w:tcPr>
          <w:p w14:paraId="70AE84D0"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0:15</w:t>
            </w:r>
          </w:p>
        </w:tc>
      </w:tr>
      <w:tr w:rsidR="00DB5BCC" w:rsidRPr="0052793E" w14:paraId="3343DDD1" w14:textId="77777777" w:rsidTr="00DB5BCC">
        <w:trPr>
          <w:trHeight w:val="595"/>
        </w:trPr>
        <w:tc>
          <w:tcPr>
            <w:tcW w:w="851" w:type="dxa"/>
            <w:tcBorders>
              <w:top w:val="single" w:sz="4" w:space="0" w:color="auto"/>
              <w:bottom w:val="single" w:sz="4" w:space="0" w:color="auto"/>
            </w:tcBorders>
            <w:shd w:val="clear" w:color="auto" w:fill="auto"/>
            <w:noWrap/>
            <w:vAlign w:val="center"/>
            <w:hideMark/>
          </w:tcPr>
          <w:p w14:paraId="53A4644C"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שלום</w:t>
            </w:r>
          </w:p>
        </w:tc>
        <w:tc>
          <w:tcPr>
            <w:tcW w:w="993" w:type="dxa"/>
            <w:tcBorders>
              <w:top w:val="single" w:sz="4" w:space="0" w:color="auto"/>
              <w:bottom w:val="single" w:sz="4" w:space="0" w:color="auto"/>
            </w:tcBorders>
            <w:shd w:val="clear" w:color="auto" w:fill="auto"/>
            <w:noWrap/>
            <w:vAlign w:val="center"/>
            <w:hideMark/>
          </w:tcPr>
          <w:p w14:paraId="64A8A9B9"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פלילי</w:t>
            </w:r>
          </w:p>
        </w:tc>
        <w:tc>
          <w:tcPr>
            <w:tcW w:w="2267" w:type="dxa"/>
            <w:tcBorders>
              <w:top w:val="single" w:sz="4" w:space="0" w:color="auto"/>
              <w:bottom w:val="single" w:sz="4" w:space="0" w:color="auto"/>
            </w:tcBorders>
            <w:shd w:val="clear" w:color="auto" w:fill="auto"/>
            <w:vAlign w:val="center"/>
            <w:hideMark/>
          </w:tcPr>
          <w:p w14:paraId="3584108C"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בקשה לשחרור בערובה (בש"ע)</w:t>
            </w:r>
          </w:p>
        </w:tc>
        <w:tc>
          <w:tcPr>
            <w:tcW w:w="992" w:type="dxa"/>
            <w:tcBorders>
              <w:top w:val="single" w:sz="4" w:space="0" w:color="auto"/>
              <w:bottom w:val="single" w:sz="4" w:space="0" w:color="auto"/>
            </w:tcBorders>
            <w:shd w:val="clear" w:color="auto" w:fill="auto"/>
            <w:vAlign w:val="center"/>
            <w:hideMark/>
          </w:tcPr>
          <w:p w14:paraId="267BABBE"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1,800</w:t>
            </w:r>
          </w:p>
        </w:tc>
        <w:tc>
          <w:tcPr>
            <w:tcW w:w="1134" w:type="dxa"/>
            <w:tcBorders>
              <w:top w:val="single" w:sz="4" w:space="0" w:color="auto"/>
              <w:bottom w:val="single" w:sz="4" w:space="0" w:color="auto"/>
            </w:tcBorders>
            <w:shd w:val="clear" w:color="auto" w:fill="auto"/>
            <w:noWrap/>
            <w:vAlign w:val="center"/>
            <w:hideMark/>
          </w:tcPr>
          <w:p w14:paraId="71786C8A" w14:textId="77777777" w:rsidR="00DB5BCC" w:rsidRPr="0052793E" w:rsidRDefault="00DB5BCC" w:rsidP="00DB5BCC">
            <w:pPr>
              <w:spacing w:after="0" w:line="240" w:lineRule="auto"/>
              <w:jc w:val="center"/>
              <w:rPr>
                <w:rFonts w:asciiTheme="minorHAnsi" w:eastAsia="Times New Roman" w:hAnsiTheme="minorHAnsi" w:cs="David"/>
                <w:b/>
                <w:bCs/>
                <w:rtl/>
              </w:rPr>
            </w:pPr>
            <w:r w:rsidRPr="0052793E">
              <w:rPr>
                <w:rFonts w:asciiTheme="minorHAnsi" w:eastAsia="Times New Roman" w:hAnsiTheme="minorHAnsi" w:cs="David" w:hint="cs"/>
                <w:b/>
                <w:bCs/>
                <w:rtl/>
              </w:rPr>
              <w:t>0:13</w:t>
            </w:r>
          </w:p>
        </w:tc>
        <w:tc>
          <w:tcPr>
            <w:tcW w:w="993" w:type="dxa"/>
            <w:tcBorders>
              <w:top w:val="single" w:sz="4" w:space="0" w:color="auto"/>
              <w:bottom w:val="single" w:sz="4" w:space="0" w:color="auto"/>
            </w:tcBorders>
            <w:shd w:val="clear" w:color="auto" w:fill="auto"/>
            <w:vAlign w:val="center"/>
            <w:hideMark/>
          </w:tcPr>
          <w:p w14:paraId="33E8E624"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w:t>
            </w:r>
          </w:p>
        </w:tc>
        <w:tc>
          <w:tcPr>
            <w:tcW w:w="1134" w:type="dxa"/>
            <w:tcBorders>
              <w:top w:val="single" w:sz="4" w:space="0" w:color="auto"/>
              <w:bottom w:val="single" w:sz="4" w:space="0" w:color="auto"/>
            </w:tcBorders>
            <w:shd w:val="clear" w:color="auto" w:fill="auto"/>
            <w:vAlign w:val="center"/>
          </w:tcPr>
          <w:p w14:paraId="08D1BE3C"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tcBorders>
              <w:top w:val="single" w:sz="4" w:space="0" w:color="auto"/>
              <w:bottom w:val="single" w:sz="4" w:space="0" w:color="auto"/>
            </w:tcBorders>
            <w:shd w:val="clear" w:color="auto" w:fill="auto"/>
            <w:vAlign w:val="center"/>
          </w:tcPr>
          <w:p w14:paraId="717BBE63"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0:13</w:t>
            </w:r>
          </w:p>
        </w:tc>
      </w:tr>
      <w:tr w:rsidR="00DB5BCC" w:rsidRPr="0052793E" w14:paraId="0C2340F1" w14:textId="77777777" w:rsidTr="00DB5BCC">
        <w:trPr>
          <w:trHeight w:val="315"/>
        </w:trPr>
        <w:tc>
          <w:tcPr>
            <w:tcW w:w="851" w:type="dxa"/>
            <w:tcBorders>
              <w:top w:val="single" w:sz="4" w:space="0" w:color="auto"/>
            </w:tcBorders>
            <w:shd w:val="clear" w:color="auto" w:fill="auto"/>
            <w:noWrap/>
            <w:vAlign w:val="center"/>
          </w:tcPr>
          <w:p w14:paraId="4DA16C86"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tcBorders>
              <w:top w:val="single" w:sz="4" w:space="0" w:color="auto"/>
            </w:tcBorders>
            <w:shd w:val="clear" w:color="auto" w:fill="auto"/>
            <w:noWrap/>
            <w:vAlign w:val="center"/>
          </w:tcPr>
          <w:p w14:paraId="44CD231A"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פלילי</w:t>
            </w:r>
          </w:p>
        </w:tc>
        <w:tc>
          <w:tcPr>
            <w:tcW w:w="2267" w:type="dxa"/>
            <w:tcBorders>
              <w:top w:val="single" w:sz="4" w:space="0" w:color="auto"/>
            </w:tcBorders>
            <w:shd w:val="clear" w:color="auto" w:fill="auto"/>
            <w:vAlign w:val="center"/>
          </w:tcPr>
          <w:p w14:paraId="0CC86ECC"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מאסר - קנס מנהלי (מק"מ)</w:t>
            </w:r>
          </w:p>
        </w:tc>
        <w:tc>
          <w:tcPr>
            <w:tcW w:w="992" w:type="dxa"/>
            <w:tcBorders>
              <w:top w:val="single" w:sz="4" w:space="0" w:color="auto"/>
            </w:tcBorders>
            <w:shd w:val="clear" w:color="auto" w:fill="auto"/>
            <w:vAlign w:val="center"/>
          </w:tcPr>
          <w:p w14:paraId="004F2D21"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938</w:t>
            </w:r>
          </w:p>
        </w:tc>
        <w:tc>
          <w:tcPr>
            <w:tcW w:w="1134" w:type="dxa"/>
            <w:tcBorders>
              <w:top w:val="single" w:sz="4" w:space="0" w:color="auto"/>
            </w:tcBorders>
            <w:shd w:val="clear" w:color="auto" w:fill="auto"/>
            <w:noWrap/>
            <w:vAlign w:val="center"/>
          </w:tcPr>
          <w:p w14:paraId="7882F41F"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0:11</w:t>
            </w:r>
          </w:p>
        </w:tc>
        <w:tc>
          <w:tcPr>
            <w:tcW w:w="993" w:type="dxa"/>
            <w:tcBorders>
              <w:top w:val="single" w:sz="4" w:space="0" w:color="auto"/>
            </w:tcBorders>
            <w:shd w:val="clear" w:color="auto" w:fill="auto"/>
            <w:vAlign w:val="center"/>
          </w:tcPr>
          <w:p w14:paraId="52DC3EC0"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tl/>
              </w:rPr>
              <w:t>-</w:t>
            </w:r>
          </w:p>
        </w:tc>
        <w:tc>
          <w:tcPr>
            <w:tcW w:w="1134" w:type="dxa"/>
            <w:tcBorders>
              <w:top w:val="single" w:sz="4" w:space="0" w:color="auto"/>
            </w:tcBorders>
            <w:shd w:val="clear" w:color="auto" w:fill="auto"/>
            <w:vAlign w:val="center"/>
          </w:tcPr>
          <w:p w14:paraId="66602CC8"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tcBorders>
              <w:top w:val="single" w:sz="4" w:space="0" w:color="auto"/>
            </w:tcBorders>
            <w:shd w:val="clear" w:color="auto" w:fill="auto"/>
            <w:vAlign w:val="center"/>
          </w:tcPr>
          <w:p w14:paraId="12A2D71D"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0:11</w:t>
            </w:r>
          </w:p>
        </w:tc>
      </w:tr>
      <w:tr w:rsidR="00DB5BCC" w:rsidRPr="0052793E" w14:paraId="0BEB4561" w14:textId="77777777" w:rsidTr="00DB5BCC">
        <w:trPr>
          <w:trHeight w:val="315"/>
        </w:trPr>
        <w:tc>
          <w:tcPr>
            <w:tcW w:w="851" w:type="dxa"/>
            <w:tcBorders>
              <w:top w:val="single" w:sz="4" w:space="0" w:color="auto"/>
            </w:tcBorders>
            <w:shd w:val="clear" w:color="auto" w:fill="auto"/>
            <w:noWrap/>
            <w:vAlign w:val="center"/>
            <w:hideMark/>
          </w:tcPr>
          <w:p w14:paraId="3F7F0304"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tcBorders>
              <w:top w:val="single" w:sz="4" w:space="0" w:color="auto"/>
            </w:tcBorders>
            <w:shd w:val="clear" w:color="auto" w:fill="auto"/>
            <w:noWrap/>
            <w:vAlign w:val="center"/>
            <w:hideMark/>
          </w:tcPr>
          <w:p w14:paraId="06A38367"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מעצרים/ פלילי</w:t>
            </w:r>
          </w:p>
        </w:tc>
        <w:tc>
          <w:tcPr>
            <w:tcW w:w="2267" w:type="dxa"/>
            <w:tcBorders>
              <w:top w:val="single" w:sz="4" w:space="0" w:color="auto"/>
            </w:tcBorders>
            <w:shd w:val="clear" w:color="auto" w:fill="auto"/>
            <w:vAlign w:val="center"/>
            <w:hideMark/>
          </w:tcPr>
          <w:p w14:paraId="49F4BCD1"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צו אחר (צ"א)</w:t>
            </w:r>
          </w:p>
        </w:tc>
        <w:tc>
          <w:tcPr>
            <w:tcW w:w="992" w:type="dxa"/>
            <w:tcBorders>
              <w:top w:val="single" w:sz="4" w:space="0" w:color="auto"/>
            </w:tcBorders>
            <w:shd w:val="clear" w:color="auto" w:fill="auto"/>
            <w:vAlign w:val="center"/>
            <w:hideMark/>
          </w:tcPr>
          <w:p w14:paraId="4CFC72D2"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75,556</w:t>
            </w:r>
          </w:p>
        </w:tc>
        <w:tc>
          <w:tcPr>
            <w:tcW w:w="1134" w:type="dxa"/>
            <w:tcBorders>
              <w:top w:val="single" w:sz="4" w:space="0" w:color="auto"/>
            </w:tcBorders>
            <w:shd w:val="clear" w:color="auto" w:fill="auto"/>
            <w:noWrap/>
            <w:vAlign w:val="center"/>
            <w:hideMark/>
          </w:tcPr>
          <w:p w14:paraId="0BCDB46A"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0:09</w:t>
            </w:r>
          </w:p>
        </w:tc>
        <w:tc>
          <w:tcPr>
            <w:tcW w:w="993" w:type="dxa"/>
            <w:tcBorders>
              <w:top w:val="single" w:sz="4" w:space="0" w:color="auto"/>
            </w:tcBorders>
            <w:shd w:val="clear" w:color="auto" w:fill="auto"/>
            <w:vAlign w:val="center"/>
            <w:hideMark/>
          </w:tcPr>
          <w:p w14:paraId="6D8EFCFA"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0:03</w:t>
            </w:r>
          </w:p>
        </w:tc>
        <w:tc>
          <w:tcPr>
            <w:tcW w:w="1134" w:type="dxa"/>
            <w:tcBorders>
              <w:top w:val="single" w:sz="4" w:space="0" w:color="auto"/>
            </w:tcBorders>
            <w:shd w:val="clear" w:color="auto" w:fill="auto"/>
            <w:vAlign w:val="center"/>
          </w:tcPr>
          <w:p w14:paraId="218C050C"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tcBorders>
              <w:top w:val="single" w:sz="4" w:space="0" w:color="auto"/>
            </w:tcBorders>
            <w:shd w:val="clear" w:color="auto" w:fill="auto"/>
            <w:vAlign w:val="center"/>
          </w:tcPr>
          <w:p w14:paraId="13AA6B83"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0:09</w:t>
            </w:r>
          </w:p>
        </w:tc>
      </w:tr>
      <w:tr w:rsidR="00DB5BCC" w:rsidRPr="0052793E" w14:paraId="0935890D" w14:textId="77777777" w:rsidTr="00DB5BCC">
        <w:trPr>
          <w:trHeight w:val="315"/>
        </w:trPr>
        <w:tc>
          <w:tcPr>
            <w:tcW w:w="851" w:type="dxa"/>
            <w:shd w:val="clear" w:color="auto" w:fill="auto"/>
            <w:noWrap/>
            <w:vAlign w:val="center"/>
            <w:hideMark/>
          </w:tcPr>
          <w:p w14:paraId="5BD143F9"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hideMark/>
          </w:tcPr>
          <w:p w14:paraId="062987F8"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מעצרים/ פלילי</w:t>
            </w:r>
          </w:p>
        </w:tc>
        <w:tc>
          <w:tcPr>
            <w:tcW w:w="2267" w:type="dxa"/>
            <w:shd w:val="clear" w:color="auto" w:fill="auto"/>
            <w:vAlign w:val="center"/>
            <w:hideMark/>
          </w:tcPr>
          <w:p w14:paraId="0251E6C6"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צו חיפוש / צו כניסה (צ"ח)</w:t>
            </w:r>
          </w:p>
        </w:tc>
        <w:tc>
          <w:tcPr>
            <w:tcW w:w="992" w:type="dxa"/>
            <w:shd w:val="clear" w:color="auto" w:fill="auto"/>
            <w:vAlign w:val="center"/>
            <w:hideMark/>
          </w:tcPr>
          <w:p w14:paraId="1B0EFDD1"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71,360</w:t>
            </w:r>
          </w:p>
        </w:tc>
        <w:tc>
          <w:tcPr>
            <w:tcW w:w="1134" w:type="dxa"/>
            <w:shd w:val="clear" w:color="auto" w:fill="auto"/>
            <w:noWrap/>
            <w:vAlign w:val="center"/>
            <w:hideMark/>
          </w:tcPr>
          <w:p w14:paraId="292C0423"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0:08</w:t>
            </w:r>
          </w:p>
        </w:tc>
        <w:tc>
          <w:tcPr>
            <w:tcW w:w="993" w:type="dxa"/>
            <w:shd w:val="clear" w:color="auto" w:fill="auto"/>
            <w:vAlign w:val="center"/>
            <w:hideMark/>
          </w:tcPr>
          <w:p w14:paraId="18A76897"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0:03</w:t>
            </w:r>
          </w:p>
        </w:tc>
        <w:tc>
          <w:tcPr>
            <w:tcW w:w="1134" w:type="dxa"/>
            <w:shd w:val="clear" w:color="auto" w:fill="auto"/>
            <w:vAlign w:val="center"/>
          </w:tcPr>
          <w:p w14:paraId="69643355"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441232D9"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0:08</w:t>
            </w:r>
          </w:p>
        </w:tc>
      </w:tr>
      <w:tr w:rsidR="00DB5BCC" w:rsidRPr="0052793E" w14:paraId="0322FB3D" w14:textId="77777777" w:rsidTr="00DB5BCC">
        <w:trPr>
          <w:trHeight w:val="315"/>
        </w:trPr>
        <w:tc>
          <w:tcPr>
            <w:tcW w:w="851" w:type="dxa"/>
            <w:shd w:val="clear" w:color="auto" w:fill="auto"/>
            <w:noWrap/>
            <w:vAlign w:val="center"/>
          </w:tcPr>
          <w:p w14:paraId="7DEF008A" w14:textId="31F93CB6" w:rsidR="00DB5BCC" w:rsidRPr="0052793E" w:rsidRDefault="00DB5BCC" w:rsidP="00DB5BCC">
            <w:pPr>
              <w:spacing w:after="0" w:line="240" w:lineRule="auto"/>
              <w:rPr>
                <w:rFonts w:ascii="David" w:eastAsia="Times New Roman" w:hAnsi="David" w:cs="David"/>
                <w:rtl/>
              </w:rPr>
            </w:pPr>
            <w:r w:rsidRPr="0052793E">
              <w:rPr>
                <w:rFonts w:ascii="Arial" w:eastAsia="Times New Roman" w:hAnsi="Arial" w:cs="David" w:hint="cs"/>
                <w:b/>
                <w:bCs/>
                <w:rtl/>
              </w:rPr>
              <w:lastRenderedPageBreak/>
              <w:t>ערכאה</w:t>
            </w:r>
          </w:p>
        </w:tc>
        <w:tc>
          <w:tcPr>
            <w:tcW w:w="993" w:type="dxa"/>
            <w:shd w:val="clear" w:color="auto" w:fill="auto"/>
            <w:noWrap/>
            <w:vAlign w:val="center"/>
          </w:tcPr>
          <w:p w14:paraId="54F4BC32" w14:textId="419ACD16" w:rsidR="00DB5BCC" w:rsidRPr="0052793E" w:rsidRDefault="00DB5BCC" w:rsidP="00DB5BCC">
            <w:pPr>
              <w:spacing w:after="0" w:line="240" w:lineRule="auto"/>
              <w:rPr>
                <w:rFonts w:ascii="David" w:eastAsia="Times New Roman" w:hAnsi="David" w:cs="David"/>
                <w:rtl/>
              </w:rPr>
            </w:pPr>
            <w:r w:rsidRPr="0052793E">
              <w:rPr>
                <w:rFonts w:ascii="Arial" w:eastAsia="Times New Roman" w:hAnsi="Arial" w:cs="David" w:hint="cs"/>
                <w:b/>
                <w:bCs/>
                <w:rtl/>
              </w:rPr>
              <w:t>הליך</w:t>
            </w:r>
          </w:p>
        </w:tc>
        <w:tc>
          <w:tcPr>
            <w:tcW w:w="2267" w:type="dxa"/>
            <w:shd w:val="clear" w:color="auto" w:fill="auto"/>
            <w:vAlign w:val="center"/>
          </w:tcPr>
          <w:p w14:paraId="4BE4B2FD" w14:textId="6ABA9CF5" w:rsidR="00DB5BCC" w:rsidRPr="0052793E" w:rsidRDefault="00DB5BCC" w:rsidP="00DB5BCC">
            <w:pPr>
              <w:spacing w:after="0" w:line="240" w:lineRule="auto"/>
              <w:rPr>
                <w:rFonts w:ascii="David" w:eastAsia="Times New Roman" w:hAnsi="David" w:cs="David"/>
                <w:rtl/>
              </w:rPr>
            </w:pPr>
            <w:r w:rsidRPr="0052793E">
              <w:rPr>
                <w:rFonts w:ascii="Arial" w:eastAsia="Times New Roman" w:hAnsi="Arial" w:cs="David" w:hint="cs"/>
                <w:b/>
                <w:bCs/>
                <w:rtl/>
              </w:rPr>
              <w:t>סוג תיק</w:t>
            </w:r>
          </w:p>
        </w:tc>
        <w:tc>
          <w:tcPr>
            <w:tcW w:w="992" w:type="dxa"/>
            <w:shd w:val="clear" w:color="auto" w:fill="auto"/>
            <w:vAlign w:val="center"/>
          </w:tcPr>
          <w:p w14:paraId="1FB3722C" w14:textId="14244649" w:rsidR="00DB5BCC" w:rsidRPr="0052793E" w:rsidRDefault="00DB5BCC" w:rsidP="00DB5BCC">
            <w:pPr>
              <w:spacing w:after="0" w:line="240" w:lineRule="auto"/>
              <w:jc w:val="center"/>
              <w:rPr>
                <w:rFonts w:ascii="David" w:eastAsia="Times New Roman" w:hAnsi="David" w:cs="David"/>
              </w:rPr>
            </w:pPr>
            <w:r w:rsidRPr="0052793E">
              <w:rPr>
                <w:rFonts w:ascii="Arial" w:eastAsia="Times New Roman" w:hAnsi="Arial" w:cs="David" w:hint="cs"/>
                <w:b/>
                <w:bCs/>
                <w:rtl/>
              </w:rPr>
              <w:t>מספר תיקים שנסגרו ב-2019</w:t>
            </w:r>
          </w:p>
        </w:tc>
        <w:tc>
          <w:tcPr>
            <w:tcW w:w="1134" w:type="dxa"/>
            <w:shd w:val="clear" w:color="auto" w:fill="auto"/>
            <w:noWrap/>
            <w:vAlign w:val="center"/>
          </w:tcPr>
          <w:p w14:paraId="422FC8CB" w14:textId="4EA92BD8" w:rsidR="00DB5BCC" w:rsidRPr="0052793E" w:rsidRDefault="00DB5BCC" w:rsidP="00DB5BCC">
            <w:pPr>
              <w:spacing w:after="0" w:line="240" w:lineRule="auto"/>
              <w:jc w:val="center"/>
              <w:rPr>
                <w:rFonts w:ascii="David" w:eastAsia="Times New Roman" w:hAnsi="David" w:cs="David"/>
                <w:b/>
                <w:bCs/>
              </w:rPr>
            </w:pPr>
            <w:r w:rsidRPr="0052793E">
              <w:rPr>
                <w:rFonts w:ascii="Arial" w:eastAsia="Times New Roman" w:hAnsi="Arial" w:cs="David" w:hint="cs"/>
                <w:b/>
                <w:bCs/>
                <w:rtl/>
              </w:rPr>
              <w:t>הזמן השיפוטי הממוצע לטיפול בתיק</w:t>
            </w:r>
          </w:p>
        </w:tc>
        <w:tc>
          <w:tcPr>
            <w:tcW w:w="993" w:type="dxa"/>
            <w:shd w:val="clear" w:color="auto" w:fill="auto"/>
            <w:vAlign w:val="center"/>
          </w:tcPr>
          <w:p w14:paraId="3E36E02C" w14:textId="4B03E8B1" w:rsidR="00DB5BCC" w:rsidRPr="0052793E" w:rsidRDefault="00DB5BCC" w:rsidP="00DB5BCC">
            <w:pPr>
              <w:spacing w:after="0" w:line="240" w:lineRule="auto"/>
              <w:jc w:val="center"/>
              <w:rPr>
                <w:rFonts w:ascii="David" w:eastAsia="Times New Roman" w:hAnsi="David" w:cs="David"/>
              </w:rPr>
            </w:pPr>
            <w:r w:rsidRPr="0052793E">
              <w:rPr>
                <w:rFonts w:ascii="Arial" w:eastAsia="Times New Roman" w:hAnsi="Arial" w:cs="David" w:hint="cs"/>
                <w:b/>
                <w:bCs/>
                <w:rtl/>
              </w:rPr>
              <w:t>הזמן השיפוטי הממוצע לפי המחקר הקודם</w:t>
            </w:r>
          </w:p>
        </w:tc>
        <w:tc>
          <w:tcPr>
            <w:tcW w:w="1134" w:type="dxa"/>
            <w:shd w:val="clear" w:color="auto" w:fill="auto"/>
            <w:vAlign w:val="center"/>
          </w:tcPr>
          <w:p w14:paraId="5A42DC50" w14:textId="7002A55D" w:rsidR="00DB5BCC" w:rsidRPr="0052793E" w:rsidRDefault="00DB5BCC" w:rsidP="00DB5BCC">
            <w:pPr>
              <w:spacing w:after="0" w:line="240" w:lineRule="auto"/>
              <w:jc w:val="center"/>
              <w:rPr>
                <w:rFonts w:ascii="David" w:eastAsia="Times New Roman" w:hAnsi="David" w:cs="David"/>
                <w:rtl/>
              </w:rPr>
            </w:pPr>
            <w:r w:rsidRPr="0052793E">
              <w:rPr>
                <w:rFonts w:ascii="Arial" w:eastAsia="Times New Roman" w:hAnsi="Arial" w:cs="David" w:hint="cs"/>
                <w:b/>
                <w:bCs/>
                <w:rtl/>
              </w:rPr>
              <w:t>כמות התיקים הממוצעת שפסק דין סוגר</w:t>
            </w:r>
          </w:p>
        </w:tc>
        <w:tc>
          <w:tcPr>
            <w:tcW w:w="1558" w:type="dxa"/>
            <w:shd w:val="clear" w:color="auto" w:fill="auto"/>
            <w:vAlign w:val="center"/>
          </w:tcPr>
          <w:p w14:paraId="520ACB38" w14:textId="308EE389" w:rsidR="00DB5BCC" w:rsidRPr="0052793E" w:rsidRDefault="00DB5BCC" w:rsidP="00DB5BCC">
            <w:pPr>
              <w:spacing w:after="0" w:line="240" w:lineRule="auto"/>
              <w:jc w:val="center"/>
              <w:rPr>
                <w:rFonts w:ascii="David" w:eastAsia="Times New Roman" w:hAnsi="David" w:cs="David"/>
                <w:rtl/>
              </w:rPr>
            </w:pPr>
            <w:r w:rsidRPr="0052793E">
              <w:rPr>
                <w:rFonts w:ascii="Arial" w:eastAsia="Times New Roman" w:hAnsi="Arial" w:cs="David" w:hint="cs"/>
                <w:b/>
                <w:bCs/>
                <w:rtl/>
              </w:rPr>
              <w:t>הזמן השיפוטי הממוצע לטיפול בתיק חלקי כמות התיקים שפסק הדין סוגר</w:t>
            </w:r>
          </w:p>
        </w:tc>
      </w:tr>
      <w:tr w:rsidR="00DB5BCC" w:rsidRPr="0052793E" w14:paraId="56172F09" w14:textId="77777777" w:rsidTr="00DB5BCC">
        <w:trPr>
          <w:trHeight w:val="315"/>
        </w:trPr>
        <w:tc>
          <w:tcPr>
            <w:tcW w:w="851" w:type="dxa"/>
            <w:shd w:val="clear" w:color="auto" w:fill="auto"/>
            <w:noWrap/>
            <w:vAlign w:val="center"/>
            <w:hideMark/>
          </w:tcPr>
          <w:p w14:paraId="65D75F82"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שלום</w:t>
            </w:r>
          </w:p>
        </w:tc>
        <w:tc>
          <w:tcPr>
            <w:tcW w:w="993" w:type="dxa"/>
            <w:shd w:val="clear" w:color="auto" w:fill="auto"/>
            <w:noWrap/>
            <w:vAlign w:val="center"/>
            <w:hideMark/>
          </w:tcPr>
          <w:p w14:paraId="1277E961"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מעצרים/ פלילי</w:t>
            </w:r>
          </w:p>
        </w:tc>
        <w:tc>
          <w:tcPr>
            <w:tcW w:w="2267" w:type="dxa"/>
            <w:shd w:val="clear" w:color="auto" w:fill="auto"/>
            <w:vAlign w:val="center"/>
            <w:hideMark/>
          </w:tcPr>
          <w:p w14:paraId="1D40D7FA"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מעצר ימים בהעדר (מי"ב)</w:t>
            </w:r>
          </w:p>
        </w:tc>
        <w:tc>
          <w:tcPr>
            <w:tcW w:w="992" w:type="dxa"/>
            <w:shd w:val="clear" w:color="auto" w:fill="auto"/>
            <w:vAlign w:val="center"/>
            <w:hideMark/>
          </w:tcPr>
          <w:p w14:paraId="5BAA4BF7"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13,037</w:t>
            </w:r>
          </w:p>
        </w:tc>
        <w:tc>
          <w:tcPr>
            <w:tcW w:w="1134" w:type="dxa"/>
            <w:shd w:val="clear" w:color="auto" w:fill="auto"/>
            <w:noWrap/>
            <w:vAlign w:val="center"/>
            <w:hideMark/>
          </w:tcPr>
          <w:p w14:paraId="2F311AC6"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0:08</w:t>
            </w:r>
          </w:p>
        </w:tc>
        <w:tc>
          <w:tcPr>
            <w:tcW w:w="993" w:type="dxa"/>
            <w:shd w:val="clear" w:color="auto" w:fill="auto"/>
            <w:vAlign w:val="center"/>
            <w:hideMark/>
          </w:tcPr>
          <w:p w14:paraId="09DCE1D1"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rPr>
              <w:t>0:08</w:t>
            </w:r>
          </w:p>
        </w:tc>
        <w:tc>
          <w:tcPr>
            <w:tcW w:w="1134" w:type="dxa"/>
            <w:shd w:val="clear" w:color="auto" w:fill="auto"/>
            <w:vAlign w:val="center"/>
          </w:tcPr>
          <w:p w14:paraId="79CFD821"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35A35596"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0:08</w:t>
            </w:r>
          </w:p>
        </w:tc>
      </w:tr>
      <w:tr w:rsidR="00DB5BCC" w:rsidRPr="0052793E" w14:paraId="66ECCD5D" w14:textId="77777777" w:rsidTr="00DB5BCC">
        <w:trPr>
          <w:trHeight w:val="315"/>
        </w:trPr>
        <w:tc>
          <w:tcPr>
            <w:tcW w:w="851" w:type="dxa"/>
            <w:shd w:val="clear" w:color="auto" w:fill="auto"/>
            <w:noWrap/>
            <w:vAlign w:val="center"/>
          </w:tcPr>
          <w:p w14:paraId="52745A6A"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hint="cs"/>
                <w:rtl/>
              </w:rPr>
              <w:t>תעבורה</w:t>
            </w:r>
          </w:p>
        </w:tc>
        <w:tc>
          <w:tcPr>
            <w:tcW w:w="993" w:type="dxa"/>
            <w:shd w:val="clear" w:color="auto" w:fill="auto"/>
            <w:noWrap/>
            <w:vAlign w:val="center"/>
          </w:tcPr>
          <w:p w14:paraId="54BD6ECC"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מעצרים/ פלילי</w:t>
            </w:r>
          </w:p>
        </w:tc>
        <w:tc>
          <w:tcPr>
            <w:tcW w:w="2267" w:type="dxa"/>
            <w:shd w:val="clear" w:color="auto" w:fill="auto"/>
            <w:vAlign w:val="center"/>
          </w:tcPr>
          <w:p w14:paraId="02505D3B"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 xml:space="preserve">צו </w:t>
            </w:r>
            <w:r w:rsidRPr="0052793E">
              <w:rPr>
                <w:rFonts w:ascii="David" w:eastAsia="Times New Roman" w:hAnsi="David" w:cs="David" w:hint="cs"/>
                <w:rtl/>
              </w:rPr>
              <w:t>אחר</w:t>
            </w:r>
            <w:r w:rsidRPr="0052793E">
              <w:rPr>
                <w:rFonts w:ascii="David" w:eastAsia="Times New Roman" w:hAnsi="David" w:cs="David"/>
                <w:rtl/>
              </w:rPr>
              <w:t xml:space="preserve"> (צ"</w:t>
            </w:r>
            <w:r w:rsidRPr="0052793E">
              <w:rPr>
                <w:rFonts w:ascii="David" w:eastAsia="Times New Roman" w:hAnsi="David" w:cs="David" w:hint="cs"/>
                <w:rtl/>
              </w:rPr>
              <w:t>א</w:t>
            </w:r>
            <w:r w:rsidRPr="0052793E">
              <w:rPr>
                <w:rFonts w:ascii="David" w:eastAsia="Times New Roman" w:hAnsi="David" w:cs="David"/>
                <w:rtl/>
              </w:rPr>
              <w:t>)</w:t>
            </w:r>
          </w:p>
        </w:tc>
        <w:tc>
          <w:tcPr>
            <w:tcW w:w="992" w:type="dxa"/>
            <w:shd w:val="clear" w:color="auto" w:fill="auto"/>
            <w:vAlign w:val="center"/>
          </w:tcPr>
          <w:p w14:paraId="60156118"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487</w:t>
            </w:r>
          </w:p>
        </w:tc>
        <w:tc>
          <w:tcPr>
            <w:tcW w:w="1134" w:type="dxa"/>
            <w:shd w:val="clear" w:color="auto" w:fill="auto"/>
            <w:noWrap/>
            <w:vAlign w:val="center"/>
          </w:tcPr>
          <w:p w14:paraId="2F3ACC8F" w14:textId="77777777" w:rsidR="00DB5BCC" w:rsidRPr="0052793E" w:rsidRDefault="00DB5BCC" w:rsidP="00DB5BCC">
            <w:pPr>
              <w:spacing w:after="0" w:line="240" w:lineRule="auto"/>
              <w:jc w:val="center"/>
              <w:rPr>
                <w:rFonts w:ascii="David" w:eastAsia="Times New Roman" w:hAnsi="David" w:cs="David"/>
                <w:b/>
                <w:bCs/>
              </w:rPr>
            </w:pPr>
            <w:r w:rsidRPr="0052793E">
              <w:rPr>
                <w:rFonts w:ascii="David" w:eastAsia="Times New Roman" w:hAnsi="David" w:cs="David"/>
                <w:b/>
                <w:bCs/>
              </w:rPr>
              <w:t>0:08</w:t>
            </w:r>
          </w:p>
        </w:tc>
        <w:tc>
          <w:tcPr>
            <w:tcW w:w="993" w:type="dxa"/>
            <w:shd w:val="clear" w:color="auto" w:fill="auto"/>
            <w:vAlign w:val="center"/>
          </w:tcPr>
          <w:p w14:paraId="7DC65792"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w:t>
            </w:r>
          </w:p>
        </w:tc>
        <w:tc>
          <w:tcPr>
            <w:tcW w:w="1134" w:type="dxa"/>
            <w:shd w:val="clear" w:color="auto" w:fill="auto"/>
            <w:vAlign w:val="center"/>
          </w:tcPr>
          <w:p w14:paraId="3D1A8323"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shd w:val="clear" w:color="auto" w:fill="auto"/>
            <w:vAlign w:val="center"/>
          </w:tcPr>
          <w:p w14:paraId="3D259C5F"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hint="cs"/>
                <w:rtl/>
              </w:rPr>
              <w:t>0:08</w:t>
            </w:r>
          </w:p>
        </w:tc>
      </w:tr>
      <w:tr w:rsidR="00DB5BCC" w:rsidRPr="0052793E" w14:paraId="41B5F461" w14:textId="77777777" w:rsidTr="00DB5BCC">
        <w:trPr>
          <w:trHeight w:val="516"/>
        </w:trPr>
        <w:tc>
          <w:tcPr>
            <w:tcW w:w="851" w:type="dxa"/>
            <w:tcBorders>
              <w:bottom w:val="single" w:sz="4" w:space="0" w:color="auto"/>
            </w:tcBorders>
            <w:shd w:val="clear" w:color="auto" w:fill="auto"/>
            <w:noWrap/>
            <w:vAlign w:val="center"/>
            <w:hideMark/>
          </w:tcPr>
          <w:p w14:paraId="258F555C"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מחוזי</w:t>
            </w:r>
          </w:p>
        </w:tc>
        <w:tc>
          <w:tcPr>
            <w:tcW w:w="993" w:type="dxa"/>
            <w:tcBorders>
              <w:bottom w:val="single" w:sz="4" w:space="0" w:color="auto"/>
            </w:tcBorders>
            <w:shd w:val="clear" w:color="auto" w:fill="auto"/>
            <w:noWrap/>
            <w:vAlign w:val="center"/>
            <w:hideMark/>
          </w:tcPr>
          <w:p w14:paraId="06CA6578"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אזרחי</w:t>
            </w:r>
          </w:p>
        </w:tc>
        <w:tc>
          <w:tcPr>
            <w:tcW w:w="2267" w:type="dxa"/>
            <w:tcBorders>
              <w:bottom w:val="single" w:sz="4" w:space="0" w:color="auto"/>
            </w:tcBorders>
            <w:shd w:val="clear" w:color="auto" w:fill="auto"/>
            <w:vAlign w:val="center"/>
            <w:hideMark/>
          </w:tcPr>
          <w:p w14:paraId="1DA3652B"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ניהול רכושם של נעדרים או שבויים (נע"ד)</w:t>
            </w:r>
          </w:p>
        </w:tc>
        <w:tc>
          <w:tcPr>
            <w:tcW w:w="992" w:type="dxa"/>
            <w:tcBorders>
              <w:bottom w:val="single" w:sz="4" w:space="0" w:color="auto"/>
            </w:tcBorders>
            <w:shd w:val="clear" w:color="auto" w:fill="auto"/>
            <w:vAlign w:val="center"/>
            <w:hideMark/>
          </w:tcPr>
          <w:p w14:paraId="206CDB6B"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219</w:t>
            </w:r>
          </w:p>
        </w:tc>
        <w:tc>
          <w:tcPr>
            <w:tcW w:w="1134" w:type="dxa"/>
            <w:tcBorders>
              <w:bottom w:val="single" w:sz="4" w:space="0" w:color="auto"/>
            </w:tcBorders>
            <w:shd w:val="clear" w:color="auto" w:fill="auto"/>
            <w:noWrap/>
            <w:vAlign w:val="center"/>
            <w:hideMark/>
          </w:tcPr>
          <w:p w14:paraId="0B2A6593" w14:textId="77777777" w:rsidR="00DB5BCC" w:rsidRPr="0052793E" w:rsidRDefault="00DB5BCC" w:rsidP="00DB5BCC">
            <w:pPr>
              <w:spacing w:after="0" w:line="240" w:lineRule="auto"/>
              <w:jc w:val="center"/>
              <w:rPr>
                <w:rFonts w:ascii="David" w:eastAsia="Times New Roman" w:hAnsi="David" w:cs="David"/>
                <w:b/>
                <w:bCs/>
                <w:rtl/>
              </w:rPr>
            </w:pPr>
            <w:r w:rsidRPr="0052793E">
              <w:rPr>
                <w:rFonts w:ascii="David" w:eastAsia="Times New Roman" w:hAnsi="David" w:cs="David"/>
                <w:b/>
                <w:bCs/>
              </w:rPr>
              <w:t>0:04</w:t>
            </w:r>
          </w:p>
        </w:tc>
        <w:tc>
          <w:tcPr>
            <w:tcW w:w="993" w:type="dxa"/>
            <w:tcBorders>
              <w:bottom w:val="single" w:sz="4" w:space="0" w:color="auto"/>
            </w:tcBorders>
            <w:shd w:val="clear" w:color="auto" w:fill="auto"/>
            <w:vAlign w:val="center"/>
            <w:hideMark/>
          </w:tcPr>
          <w:p w14:paraId="748779BD"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w:t>
            </w:r>
          </w:p>
        </w:tc>
        <w:tc>
          <w:tcPr>
            <w:tcW w:w="1134" w:type="dxa"/>
            <w:tcBorders>
              <w:bottom w:val="single" w:sz="4" w:space="0" w:color="auto"/>
            </w:tcBorders>
            <w:shd w:val="clear" w:color="auto" w:fill="auto"/>
            <w:vAlign w:val="center"/>
          </w:tcPr>
          <w:p w14:paraId="0C56307D"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tl/>
              </w:rPr>
              <w:t>1</w:t>
            </w:r>
          </w:p>
        </w:tc>
        <w:tc>
          <w:tcPr>
            <w:tcW w:w="1558" w:type="dxa"/>
            <w:tcBorders>
              <w:bottom w:val="single" w:sz="4" w:space="0" w:color="auto"/>
            </w:tcBorders>
            <w:shd w:val="clear" w:color="auto" w:fill="auto"/>
            <w:vAlign w:val="center"/>
          </w:tcPr>
          <w:p w14:paraId="618EE361"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0:04</w:t>
            </w:r>
          </w:p>
        </w:tc>
      </w:tr>
      <w:tr w:rsidR="00DB5BCC" w:rsidRPr="0052793E" w14:paraId="12054E38" w14:textId="77777777" w:rsidTr="00DB5BCC">
        <w:trPr>
          <w:trHeight w:val="491"/>
        </w:trPr>
        <w:tc>
          <w:tcPr>
            <w:tcW w:w="851" w:type="dxa"/>
            <w:tcBorders>
              <w:top w:val="single" w:sz="4" w:space="0" w:color="auto"/>
              <w:bottom w:val="single" w:sz="4" w:space="0" w:color="auto"/>
            </w:tcBorders>
            <w:shd w:val="clear" w:color="auto" w:fill="auto"/>
            <w:noWrap/>
            <w:vAlign w:val="center"/>
            <w:hideMark/>
          </w:tcPr>
          <w:p w14:paraId="7C6CF58A" w14:textId="77777777" w:rsidR="00DB5BCC" w:rsidRPr="0052793E" w:rsidRDefault="00DB5BCC" w:rsidP="00DB5BCC">
            <w:pPr>
              <w:spacing w:after="0" w:line="240" w:lineRule="auto"/>
              <w:rPr>
                <w:rFonts w:ascii="David" w:eastAsia="Times New Roman" w:hAnsi="David" w:cs="David"/>
                <w:rtl/>
              </w:rPr>
            </w:pPr>
            <w:r w:rsidRPr="0052793E">
              <w:rPr>
                <w:rFonts w:ascii="David" w:eastAsia="Times New Roman" w:hAnsi="David" w:cs="David"/>
                <w:rtl/>
              </w:rPr>
              <w:t>נוער</w:t>
            </w:r>
          </w:p>
        </w:tc>
        <w:tc>
          <w:tcPr>
            <w:tcW w:w="993" w:type="dxa"/>
            <w:tcBorders>
              <w:top w:val="single" w:sz="4" w:space="0" w:color="auto"/>
              <w:bottom w:val="single" w:sz="4" w:space="0" w:color="auto"/>
            </w:tcBorders>
            <w:shd w:val="clear" w:color="auto" w:fill="auto"/>
            <w:noWrap/>
            <w:vAlign w:val="center"/>
            <w:hideMark/>
          </w:tcPr>
          <w:p w14:paraId="7B14BA32" w14:textId="77777777" w:rsidR="00DB5BCC" w:rsidRPr="0052793E" w:rsidRDefault="00DB5BCC" w:rsidP="00DB5BCC">
            <w:pPr>
              <w:bidi w:val="0"/>
              <w:spacing w:after="0" w:line="240" w:lineRule="auto"/>
              <w:rPr>
                <w:rFonts w:asciiTheme="minorHAnsi" w:eastAsia="Times New Roman" w:hAnsiTheme="minorHAnsi" w:cs="David"/>
                <w:rtl/>
              </w:rPr>
            </w:pPr>
          </w:p>
        </w:tc>
        <w:tc>
          <w:tcPr>
            <w:tcW w:w="2267" w:type="dxa"/>
            <w:tcBorders>
              <w:top w:val="single" w:sz="4" w:space="0" w:color="auto"/>
              <w:bottom w:val="single" w:sz="4" w:space="0" w:color="auto"/>
            </w:tcBorders>
            <w:shd w:val="clear" w:color="auto" w:fill="auto"/>
            <w:vAlign w:val="center"/>
            <w:hideMark/>
          </w:tcPr>
          <w:p w14:paraId="65381529"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צו חיפוש / צו כניסה (צ"ח)</w:t>
            </w:r>
          </w:p>
        </w:tc>
        <w:tc>
          <w:tcPr>
            <w:tcW w:w="992" w:type="dxa"/>
            <w:tcBorders>
              <w:top w:val="single" w:sz="4" w:space="0" w:color="auto"/>
              <w:bottom w:val="single" w:sz="4" w:space="0" w:color="auto"/>
            </w:tcBorders>
            <w:shd w:val="clear" w:color="auto" w:fill="auto"/>
            <w:vAlign w:val="center"/>
            <w:hideMark/>
          </w:tcPr>
          <w:p w14:paraId="3390AF9F"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1,503</w:t>
            </w:r>
          </w:p>
        </w:tc>
        <w:tc>
          <w:tcPr>
            <w:tcW w:w="1134" w:type="dxa"/>
            <w:tcBorders>
              <w:top w:val="single" w:sz="4" w:space="0" w:color="auto"/>
              <w:bottom w:val="single" w:sz="4" w:space="0" w:color="auto"/>
            </w:tcBorders>
            <w:shd w:val="clear" w:color="auto" w:fill="auto"/>
            <w:noWrap/>
            <w:vAlign w:val="center"/>
            <w:hideMark/>
          </w:tcPr>
          <w:p w14:paraId="50AE258D" w14:textId="77777777" w:rsidR="00DB5BCC" w:rsidRPr="0052793E" w:rsidRDefault="00DB5BCC" w:rsidP="00DB5BCC">
            <w:pPr>
              <w:bidi w:val="0"/>
              <w:spacing w:after="0" w:line="240" w:lineRule="auto"/>
              <w:jc w:val="center"/>
              <w:rPr>
                <w:rFonts w:ascii="David" w:eastAsia="Times New Roman" w:hAnsi="David" w:cs="David"/>
                <w:b/>
                <w:bCs/>
                <w:rtl/>
              </w:rPr>
            </w:pPr>
            <w:r w:rsidRPr="0052793E">
              <w:rPr>
                <w:rFonts w:ascii="David" w:eastAsia="Times New Roman" w:hAnsi="David" w:cs="David"/>
                <w:b/>
                <w:bCs/>
              </w:rPr>
              <w:t>0:03</w:t>
            </w:r>
          </w:p>
        </w:tc>
        <w:tc>
          <w:tcPr>
            <w:tcW w:w="993" w:type="dxa"/>
            <w:tcBorders>
              <w:top w:val="single" w:sz="4" w:space="0" w:color="auto"/>
              <w:bottom w:val="single" w:sz="4" w:space="0" w:color="auto"/>
            </w:tcBorders>
            <w:shd w:val="clear" w:color="auto" w:fill="auto"/>
            <w:vAlign w:val="center"/>
            <w:hideMark/>
          </w:tcPr>
          <w:p w14:paraId="43E3744E" w14:textId="77777777" w:rsidR="00DB5BCC" w:rsidRPr="0052793E" w:rsidRDefault="00DB5BCC" w:rsidP="00DB5BCC">
            <w:pPr>
              <w:bidi w:val="0"/>
              <w:spacing w:after="0" w:line="240" w:lineRule="auto"/>
              <w:jc w:val="center"/>
              <w:rPr>
                <w:rFonts w:ascii="David" w:eastAsia="Times New Roman" w:hAnsi="David" w:cs="David"/>
              </w:rPr>
            </w:pPr>
            <w:r w:rsidRPr="0052793E">
              <w:rPr>
                <w:rFonts w:ascii="David" w:eastAsia="Times New Roman" w:hAnsi="David" w:cs="David"/>
              </w:rPr>
              <w:t>-</w:t>
            </w:r>
          </w:p>
        </w:tc>
        <w:tc>
          <w:tcPr>
            <w:tcW w:w="1134" w:type="dxa"/>
            <w:tcBorders>
              <w:top w:val="single" w:sz="4" w:space="0" w:color="auto"/>
              <w:bottom w:val="single" w:sz="4" w:space="0" w:color="auto"/>
            </w:tcBorders>
            <w:shd w:val="clear" w:color="auto" w:fill="auto"/>
            <w:vAlign w:val="center"/>
          </w:tcPr>
          <w:p w14:paraId="07F1A543" w14:textId="77777777" w:rsidR="00DB5BCC" w:rsidRPr="0052793E" w:rsidRDefault="00DB5BCC" w:rsidP="00DB5BCC">
            <w:pPr>
              <w:bidi w:val="0"/>
              <w:spacing w:after="0" w:line="240" w:lineRule="auto"/>
              <w:jc w:val="center"/>
              <w:rPr>
                <w:rFonts w:ascii="David" w:eastAsia="Times New Roman" w:hAnsi="David" w:cs="David"/>
              </w:rPr>
            </w:pPr>
            <w:r w:rsidRPr="0052793E">
              <w:rPr>
                <w:rFonts w:ascii="David" w:eastAsia="Times New Roman" w:hAnsi="David" w:cs="David"/>
              </w:rPr>
              <w:t>1</w:t>
            </w:r>
          </w:p>
        </w:tc>
        <w:tc>
          <w:tcPr>
            <w:tcW w:w="1558" w:type="dxa"/>
            <w:tcBorders>
              <w:top w:val="single" w:sz="4" w:space="0" w:color="auto"/>
              <w:bottom w:val="single" w:sz="4" w:space="0" w:color="auto"/>
            </w:tcBorders>
            <w:shd w:val="clear" w:color="auto" w:fill="auto"/>
            <w:vAlign w:val="center"/>
          </w:tcPr>
          <w:p w14:paraId="5C5DB568"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0:03</w:t>
            </w:r>
          </w:p>
        </w:tc>
      </w:tr>
      <w:tr w:rsidR="00DB5BCC" w:rsidRPr="0052793E" w14:paraId="4A51B431" w14:textId="77777777" w:rsidTr="00DB5BCC">
        <w:trPr>
          <w:trHeight w:val="132"/>
        </w:trPr>
        <w:tc>
          <w:tcPr>
            <w:tcW w:w="851" w:type="dxa"/>
            <w:tcBorders>
              <w:top w:val="single" w:sz="4" w:space="0" w:color="auto"/>
              <w:bottom w:val="single" w:sz="4" w:space="0" w:color="auto"/>
            </w:tcBorders>
            <w:shd w:val="clear" w:color="auto" w:fill="auto"/>
            <w:noWrap/>
            <w:vAlign w:val="center"/>
            <w:hideMark/>
          </w:tcPr>
          <w:p w14:paraId="70968259"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נוער</w:t>
            </w:r>
          </w:p>
        </w:tc>
        <w:tc>
          <w:tcPr>
            <w:tcW w:w="993" w:type="dxa"/>
            <w:tcBorders>
              <w:top w:val="single" w:sz="4" w:space="0" w:color="auto"/>
              <w:bottom w:val="single" w:sz="4" w:space="0" w:color="auto"/>
            </w:tcBorders>
            <w:shd w:val="clear" w:color="auto" w:fill="auto"/>
            <w:noWrap/>
            <w:vAlign w:val="center"/>
            <w:hideMark/>
          </w:tcPr>
          <w:p w14:paraId="59137F86" w14:textId="77777777" w:rsidR="00DB5BCC" w:rsidRPr="0052793E" w:rsidRDefault="00DB5BCC" w:rsidP="00DB5BCC">
            <w:pPr>
              <w:bidi w:val="0"/>
              <w:spacing w:after="0" w:line="240" w:lineRule="auto"/>
              <w:rPr>
                <w:rFonts w:ascii="David" w:eastAsia="Times New Roman" w:hAnsi="David" w:cs="David"/>
                <w:rtl/>
              </w:rPr>
            </w:pPr>
          </w:p>
        </w:tc>
        <w:tc>
          <w:tcPr>
            <w:tcW w:w="2267" w:type="dxa"/>
            <w:tcBorders>
              <w:top w:val="single" w:sz="4" w:space="0" w:color="auto"/>
              <w:bottom w:val="single" w:sz="4" w:space="0" w:color="auto"/>
            </w:tcBorders>
            <w:shd w:val="clear" w:color="auto" w:fill="auto"/>
            <w:vAlign w:val="center"/>
            <w:hideMark/>
          </w:tcPr>
          <w:p w14:paraId="5C1026CC"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מינוי סנגור טרם כתב אישום (מס"ט)</w:t>
            </w:r>
          </w:p>
        </w:tc>
        <w:tc>
          <w:tcPr>
            <w:tcW w:w="992" w:type="dxa"/>
            <w:tcBorders>
              <w:top w:val="single" w:sz="4" w:space="0" w:color="auto"/>
              <w:bottom w:val="single" w:sz="4" w:space="0" w:color="auto"/>
            </w:tcBorders>
            <w:shd w:val="clear" w:color="auto" w:fill="auto"/>
            <w:vAlign w:val="center"/>
            <w:hideMark/>
          </w:tcPr>
          <w:p w14:paraId="72AD4842"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297</w:t>
            </w:r>
          </w:p>
        </w:tc>
        <w:tc>
          <w:tcPr>
            <w:tcW w:w="1134" w:type="dxa"/>
            <w:tcBorders>
              <w:top w:val="single" w:sz="4" w:space="0" w:color="auto"/>
              <w:bottom w:val="single" w:sz="4" w:space="0" w:color="auto"/>
            </w:tcBorders>
            <w:shd w:val="clear" w:color="auto" w:fill="auto"/>
            <w:noWrap/>
            <w:vAlign w:val="center"/>
            <w:hideMark/>
          </w:tcPr>
          <w:p w14:paraId="7CB9F83F" w14:textId="77777777" w:rsidR="00DB5BCC" w:rsidRPr="0052793E" w:rsidRDefault="00DB5BCC" w:rsidP="00DB5BCC">
            <w:pPr>
              <w:bidi w:val="0"/>
              <w:spacing w:after="0" w:line="240" w:lineRule="auto"/>
              <w:jc w:val="center"/>
              <w:rPr>
                <w:rFonts w:ascii="David" w:eastAsia="Times New Roman" w:hAnsi="David" w:cs="David"/>
                <w:b/>
                <w:bCs/>
                <w:rtl/>
              </w:rPr>
            </w:pPr>
            <w:r w:rsidRPr="0052793E">
              <w:rPr>
                <w:rFonts w:ascii="David" w:eastAsia="Times New Roman" w:hAnsi="David" w:cs="David"/>
                <w:b/>
                <w:bCs/>
              </w:rPr>
              <w:t>0:02</w:t>
            </w:r>
          </w:p>
        </w:tc>
        <w:tc>
          <w:tcPr>
            <w:tcW w:w="993" w:type="dxa"/>
            <w:tcBorders>
              <w:top w:val="single" w:sz="4" w:space="0" w:color="auto"/>
              <w:bottom w:val="single" w:sz="4" w:space="0" w:color="auto"/>
            </w:tcBorders>
            <w:shd w:val="clear" w:color="auto" w:fill="auto"/>
            <w:vAlign w:val="center"/>
            <w:hideMark/>
          </w:tcPr>
          <w:p w14:paraId="057574DD" w14:textId="77777777" w:rsidR="00DB5BCC" w:rsidRPr="0052793E" w:rsidRDefault="00DB5BCC" w:rsidP="00DB5BCC">
            <w:pPr>
              <w:bidi w:val="0"/>
              <w:spacing w:after="0" w:line="240" w:lineRule="auto"/>
              <w:jc w:val="center"/>
              <w:rPr>
                <w:rFonts w:ascii="David" w:eastAsia="Times New Roman" w:hAnsi="David" w:cs="David"/>
              </w:rPr>
            </w:pPr>
            <w:r w:rsidRPr="0052793E">
              <w:rPr>
                <w:rFonts w:ascii="David" w:eastAsia="Times New Roman" w:hAnsi="David" w:cs="David"/>
              </w:rPr>
              <w:t>-</w:t>
            </w:r>
          </w:p>
        </w:tc>
        <w:tc>
          <w:tcPr>
            <w:tcW w:w="1134" w:type="dxa"/>
            <w:tcBorders>
              <w:top w:val="single" w:sz="4" w:space="0" w:color="auto"/>
              <w:bottom w:val="single" w:sz="4" w:space="0" w:color="auto"/>
            </w:tcBorders>
            <w:shd w:val="clear" w:color="auto" w:fill="auto"/>
            <w:vAlign w:val="center"/>
          </w:tcPr>
          <w:p w14:paraId="0610EC06" w14:textId="77777777" w:rsidR="00DB5BCC" w:rsidRPr="0052793E" w:rsidRDefault="00DB5BCC" w:rsidP="00DB5BCC">
            <w:pPr>
              <w:bidi w:val="0"/>
              <w:spacing w:after="0" w:line="240" w:lineRule="auto"/>
              <w:jc w:val="center"/>
              <w:rPr>
                <w:rFonts w:ascii="David" w:eastAsia="Times New Roman" w:hAnsi="David" w:cs="David"/>
              </w:rPr>
            </w:pPr>
            <w:r w:rsidRPr="0052793E">
              <w:rPr>
                <w:rFonts w:ascii="David" w:eastAsia="Times New Roman" w:hAnsi="David" w:cs="David"/>
              </w:rPr>
              <w:t>1</w:t>
            </w:r>
          </w:p>
        </w:tc>
        <w:tc>
          <w:tcPr>
            <w:tcW w:w="1558" w:type="dxa"/>
            <w:tcBorders>
              <w:top w:val="single" w:sz="4" w:space="0" w:color="auto"/>
              <w:bottom w:val="single" w:sz="4" w:space="0" w:color="auto"/>
            </w:tcBorders>
            <w:shd w:val="clear" w:color="auto" w:fill="auto"/>
            <w:vAlign w:val="center"/>
          </w:tcPr>
          <w:p w14:paraId="523B5C53"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0:02</w:t>
            </w:r>
          </w:p>
        </w:tc>
      </w:tr>
      <w:tr w:rsidR="00DB5BCC" w:rsidRPr="0052793E" w14:paraId="7DE1D649" w14:textId="77777777" w:rsidTr="00DB5BCC">
        <w:trPr>
          <w:trHeight w:val="284"/>
        </w:trPr>
        <w:tc>
          <w:tcPr>
            <w:tcW w:w="851" w:type="dxa"/>
            <w:tcBorders>
              <w:top w:val="single" w:sz="4" w:space="0" w:color="auto"/>
              <w:bottom w:val="single" w:sz="4" w:space="0" w:color="auto"/>
            </w:tcBorders>
            <w:shd w:val="clear" w:color="auto" w:fill="auto"/>
            <w:noWrap/>
            <w:vAlign w:val="center"/>
            <w:hideMark/>
          </w:tcPr>
          <w:p w14:paraId="3B7AA60D"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נוער</w:t>
            </w:r>
          </w:p>
        </w:tc>
        <w:tc>
          <w:tcPr>
            <w:tcW w:w="993" w:type="dxa"/>
            <w:tcBorders>
              <w:top w:val="single" w:sz="4" w:space="0" w:color="auto"/>
              <w:bottom w:val="single" w:sz="4" w:space="0" w:color="auto"/>
            </w:tcBorders>
            <w:shd w:val="clear" w:color="auto" w:fill="auto"/>
            <w:noWrap/>
            <w:vAlign w:val="center"/>
            <w:hideMark/>
          </w:tcPr>
          <w:p w14:paraId="6B4109ED" w14:textId="77777777" w:rsidR="00DB5BCC" w:rsidRPr="0052793E" w:rsidRDefault="00DB5BCC" w:rsidP="00DB5BCC">
            <w:pPr>
              <w:bidi w:val="0"/>
              <w:spacing w:after="0" w:line="240" w:lineRule="auto"/>
              <w:rPr>
                <w:rFonts w:ascii="David" w:eastAsia="Times New Roman" w:hAnsi="David" w:cs="David"/>
                <w:rtl/>
              </w:rPr>
            </w:pPr>
          </w:p>
        </w:tc>
        <w:tc>
          <w:tcPr>
            <w:tcW w:w="2267" w:type="dxa"/>
            <w:tcBorders>
              <w:top w:val="single" w:sz="4" w:space="0" w:color="auto"/>
              <w:bottom w:val="single" w:sz="4" w:space="0" w:color="auto"/>
            </w:tcBorders>
            <w:shd w:val="clear" w:color="auto" w:fill="auto"/>
            <w:vAlign w:val="center"/>
            <w:hideMark/>
          </w:tcPr>
          <w:p w14:paraId="3926B4B2" w14:textId="77777777" w:rsidR="00DB5BCC" w:rsidRPr="0052793E" w:rsidRDefault="00DB5BCC" w:rsidP="00DB5BCC">
            <w:pPr>
              <w:spacing w:after="0" w:line="240" w:lineRule="auto"/>
              <w:rPr>
                <w:rFonts w:ascii="David" w:eastAsia="Times New Roman" w:hAnsi="David" w:cs="David"/>
              </w:rPr>
            </w:pPr>
            <w:r w:rsidRPr="0052793E">
              <w:rPr>
                <w:rFonts w:ascii="David" w:eastAsia="Times New Roman" w:hAnsi="David" w:cs="David"/>
                <w:rtl/>
              </w:rPr>
              <w:t>מינוי סנגור לפי סעיף 60א' (מ"ס)</w:t>
            </w:r>
          </w:p>
        </w:tc>
        <w:tc>
          <w:tcPr>
            <w:tcW w:w="992" w:type="dxa"/>
            <w:tcBorders>
              <w:top w:val="single" w:sz="4" w:space="0" w:color="auto"/>
              <w:bottom w:val="single" w:sz="4" w:space="0" w:color="auto"/>
            </w:tcBorders>
            <w:shd w:val="clear" w:color="auto" w:fill="auto"/>
            <w:vAlign w:val="center"/>
            <w:hideMark/>
          </w:tcPr>
          <w:p w14:paraId="1CEEE436" w14:textId="77777777" w:rsidR="00DB5BCC" w:rsidRPr="0052793E" w:rsidRDefault="00DB5BCC" w:rsidP="00DB5BCC">
            <w:pPr>
              <w:spacing w:after="0" w:line="240" w:lineRule="auto"/>
              <w:jc w:val="center"/>
              <w:rPr>
                <w:rFonts w:ascii="David" w:eastAsia="Times New Roman" w:hAnsi="David" w:cs="David"/>
                <w:rtl/>
              </w:rPr>
            </w:pPr>
            <w:r w:rsidRPr="0052793E">
              <w:rPr>
                <w:rFonts w:ascii="David" w:eastAsia="Times New Roman" w:hAnsi="David" w:cs="David"/>
              </w:rPr>
              <w:t>148</w:t>
            </w:r>
          </w:p>
        </w:tc>
        <w:tc>
          <w:tcPr>
            <w:tcW w:w="1134" w:type="dxa"/>
            <w:tcBorders>
              <w:top w:val="single" w:sz="4" w:space="0" w:color="auto"/>
              <w:bottom w:val="single" w:sz="4" w:space="0" w:color="auto"/>
            </w:tcBorders>
            <w:shd w:val="clear" w:color="auto" w:fill="auto"/>
            <w:noWrap/>
            <w:vAlign w:val="center"/>
            <w:hideMark/>
          </w:tcPr>
          <w:p w14:paraId="13B5B367" w14:textId="77777777" w:rsidR="00DB5BCC" w:rsidRPr="0052793E" w:rsidRDefault="00DB5BCC" w:rsidP="00DB5BCC">
            <w:pPr>
              <w:bidi w:val="0"/>
              <w:spacing w:after="0" w:line="240" w:lineRule="auto"/>
              <w:jc w:val="center"/>
              <w:rPr>
                <w:rFonts w:ascii="David" w:eastAsia="Times New Roman" w:hAnsi="David" w:cs="David"/>
                <w:b/>
                <w:bCs/>
                <w:rtl/>
              </w:rPr>
            </w:pPr>
            <w:r w:rsidRPr="0052793E">
              <w:rPr>
                <w:rFonts w:ascii="David" w:eastAsia="Times New Roman" w:hAnsi="David" w:cs="David"/>
                <w:b/>
                <w:bCs/>
              </w:rPr>
              <w:t>0:02</w:t>
            </w:r>
          </w:p>
        </w:tc>
        <w:tc>
          <w:tcPr>
            <w:tcW w:w="993" w:type="dxa"/>
            <w:tcBorders>
              <w:top w:val="single" w:sz="4" w:space="0" w:color="auto"/>
              <w:bottom w:val="single" w:sz="4" w:space="0" w:color="auto"/>
            </w:tcBorders>
            <w:shd w:val="clear" w:color="auto" w:fill="auto"/>
            <w:vAlign w:val="center"/>
            <w:hideMark/>
          </w:tcPr>
          <w:p w14:paraId="3CB02A58" w14:textId="77777777" w:rsidR="00DB5BCC" w:rsidRPr="0052793E" w:rsidRDefault="00DB5BCC" w:rsidP="00DB5BCC">
            <w:pPr>
              <w:bidi w:val="0"/>
              <w:spacing w:after="0" w:line="240" w:lineRule="auto"/>
              <w:jc w:val="center"/>
              <w:rPr>
                <w:rFonts w:ascii="David" w:eastAsia="Times New Roman" w:hAnsi="David" w:cs="David"/>
              </w:rPr>
            </w:pPr>
            <w:r w:rsidRPr="0052793E">
              <w:rPr>
                <w:rFonts w:ascii="David" w:eastAsia="Times New Roman" w:hAnsi="David" w:cs="David"/>
              </w:rPr>
              <w:t>-</w:t>
            </w:r>
          </w:p>
        </w:tc>
        <w:tc>
          <w:tcPr>
            <w:tcW w:w="1134" w:type="dxa"/>
            <w:tcBorders>
              <w:top w:val="single" w:sz="4" w:space="0" w:color="auto"/>
              <w:bottom w:val="single" w:sz="4" w:space="0" w:color="auto"/>
            </w:tcBorders>
            <w:shd w:val="clear" w:color="auto" w:fill="auto"/>
            <w:vAlign w:val="center"/>
          </w:tcPr>
          <w:p w14:paraId="4D554716" w14:textId="77777777" w:rsidR="00DB5BCC" w:rsidRPr="0052793E" w:rsidRDefault="00DB5BCC" w:rsidP="00DB5BCC">
            <w:pPr>
              <w:bidi w:val="0"/>
              <w:spacing w:after="0" w:line="240" w:lineRule="auto"/>
              <w:jc w:val="center"/>
              <w:rPr>
                <w:rFonts w:ascii="David" w:eastAsia="Times New Roman" w:hAnsi="David" w:cs="David"/>
              </w:rPr>
            </w:pPr>
            <w:r w:rsidRPr="0052793E">
              <w:rPr>
                <w:rFonts w:ascii="David" w:eastAsia="Times New Roman" w:hAnsi="David" w:cs="David"/>
              </w:rPr>
              <w:t>1</w:t>
            </w:r>
          </w:p>
        </w:tc>
        <w:tc>
          <w:tcPr>
            <w:tcW w:w="1558" w:type="dxa"/>
            <w:tcBorders>
              <w:top w:val="single" w:sz="4" w:space="0" w:color="auto"/>
              <w:bottom w:val="single" w:sz="4" w:space="0" w:color="auto"/>
            </w:tcBorders>
            <w:shd w:val="clear" w:color="auto" w:fill="auto"/>
            <w:vAlign w:val="center"/>
          </w:tcPr>
          <w:p w14:paraId="5B94FE04" w14:textId="77777777" w:rsidR="00DB5BCC" w:rsidRPr="0052793E" w:rsidRDefault="00DB5BCC" w:rsidP="00DB5BCC">
            <w:pPr>
              <w:spacing w:after="0" w:line="240" w:lineRule="auto"/>
              <w:jc w:val="center"/>
              <w:rPr>
                <w:rFonts w:ascii="David" w:eastAsia="Times New Roman" w:hAnsi="David" w:cs="David"/>
              </w:rPr>
            </w:pPr>
            <w:r w:rsidRPr="0052793E">
              <w:rPr>
                <w:rFonts w:ascii="David" w:eastAsia="Times New Roman" w:hAnsi="David" w:cs="David" w:hint="cs"/>
                <w:rtl/>
              </w:rPr>
              <w:t>0:02</w:t>
            </w:r>
          </w:p>
        </w:tc>
      </w:tr>
    </w:tbl>
    <w:p w14:paraId="5BE6B1DE" w14:textId="77777777" w:rsidR="00DD0D4B" w:rsidRPr="00DD0D4B" w:rsidRDefault="00DD0D4B" w:rsidP="00DD0D4B">
      <w:pPr>
        <w:spacing w:line="360" w:lineRule="auto"/>
        <w:rPr>
          <w:rFonts w:ascii="David" w:hAnsi="David" w:cs="David"/>
          <w:sz w:val="24"/>
          <w:szCs w:val="24"/>
          <w:rtl/>
        </w:rPr>
      </w:pPr>
    </w:p>
    <w:bookmarkEnd w:id="999"/>
    <w:bookmarkEnd w:id="1001"/>
    <w:bookmarkEnd w:id="1002"/>
    <w:bookmarkEnd w:id="1003"/>
    <w:bookmarkEnd w:id="1004"/>
    <w:bookmarkEnd w:id="1005"/>
    <w:p w14:paraId="3C427B86" w14:textId="4997FD9E" w:rsidR="00CA6B58" w:rsidRDefault="00CA6B58">
      <w:pPr>
        <w:bidi w:val="0"/>
        <w:spacing w:after="0" w:line="240" w:lineRule="auto"/>
        <w:rPr>
          <w:rFonts w:ascii="David" w:hAnsi="David" w:cs="David"/>
          <w:sz w:val="24"/>
          <w:szCs w:val="24"/>
          <w:rtl/>
        </w:rPr>
      </w:pPr>
      <w:r>
        <w:rPr>
          <w:rFonts w:ascii="David" w:hAnsi="David" w:cs="David"/>
          <w:sz w:val="24"/>
          <w:szCs w:val="24"/>
          <w:rtl/>
        </w:rPr>
        <w:br w:type="page"/>
      </w:r>
    </w:p>
    <w:p w14:paraId="0D0349C6" w14:textId="56279848" w:rsidR="00CA6B58" w:rsidRPr="007E09A6" w:rsidRDefault="00CA6B58" w:rsidP="00B55922">
      <w:pPr>
        <w:pStyle w:val="2"/>
        <w:numPr>
          <w:ilvl w:val="0"/>
          <w:numId w:val="0"/>
        </w:numPr>
        <w:spacing w:line="240" w:lineRule="auto"/>
        <w:ind w:left="360"/>
        <w:rPr>
          <w:rtl/>
        </w:rPr>
      </w:pPr>
      <w:bookmarkStart w:id="1027" w:name="_Toc74751070"/>
      <w:r w:rsidRPr="00030DA7">
        <w:rPr>
          <w:rFonts w:hint="cs"/>
          <w:rtl/>
        </w:rPr>
        <w:lastRenderedPageBreak/>
        <w:t xml:space="preserve">נספח </w:t>
      </w:r>
      <w:r w:rsidRPr="007E09A6">
        <w:rPr>
          <w:rFonts w:hint="cs"/>
          <w:rtl/>
        </w:rPr>
        <w:t>ט</w:t>
      </w:r>
      <w:r w:rsidRPr="00030DA7">
        <w:rPr>
          <w:rFonts w:hint="cs"/>
          <w:rtl/>
        </w:rPr>
        <w:t>': משקלות מוערכים</w:t>
      </w:r>
      <w:r w:rsidRPr="007E09A6">
        <w:rPr>
          <w:rFonts w:hint="cs"/>
          <w:rtl/>
        </w:rPr>
        <w:t xml:space="preserve"> לתיקים שלא נמדדו במחקר,</w:t>
      </w:r>
      <w:r w:rsidRPr="00030DA7">
        <w:rPr>
          <w:rFonts w:hint="cs"/>
          <w:rtl/>
        </w:rPr>
        <w:t xml:space="preserve"> לפי ערכאות</w:t>
      </w:r>
      <w:bookmarkEnd w:id="1027"/>
    </w:p>
    <w:tbl>
      <w:tblPr>
        <w:tblStyle w:val="af2"/>
        <w:tblpPr w:leftFromText="180" w:rightFromText="180" w:vertAnchor="text" w:horzAnchor="margin" w:tblpXSpec="right" w:tblpY="307"/>
        <w:tblOverlap w:val="never"/>
        <w:bidiVisual/>
        <w:tblW w:w="8680" w:type="dxa"/>
        <w:tblLook w:val="04A0" w:firstRow="1" w:lastRow="0" w:firstColumn="1" w:lastColumn="0" w:noHBand="0" w:noVBand="1"/>
      </w:tblPr>
      <w:tblGrid>
        <w:gridCol w:w="448"/>
        <w:gridCol w:w="1274"/>
        <w:gridCol w:w="1857"/>
        <w:gridCol w:w="2835"/>
        <w:gridCol w:w="2266"/>
      </w:tblGrid>
      <w:tr w:rsidR="00CA6B58" w:rsidRPr="00030DA7" w14:paraId="43FCF218" w14:textId="77777777" w:rsidTr="00983F15">
        <w:trPr>
          <w:trHeight w:val="315"/>
        </w:trPr>
        <w:tc>
          <w:tcPr>
            <w:tcW w:w="448" w:type="dxa"/>
          </w:tcPr>
          <w:p w14:paraId="5231E228" w14:textId="77777777" w:rsidR="00CA6B58" w:rsidRPr="00030DA7" w:rsidRDefault="00CA6B58" w:rsidP="00DC175A">
            <w:pPr>
              <w:jc w:val="both"/>
              <w:rPr>
                <w:rFonts w:ascii="David" w:hAnsi="David" w:cs="David"/>
                <w:b/>
                <w:bCs/>
                <w:sz w:val="24"/>
                <w:szCs w:val="24"/>
                <w:rtl/>
              </w:rPr>
            </w:pPr>
          </w:p>
        </w:tc>
        <w:tc>
          <w:tcPr>
            <w:tcW w:w="1274" w:type="dxa"/>
          </w:tcPr>
          <w:p w14:paraId="5EBDFF55" w14:textId="77777777" w:rsidR="00CA6B58" w:rsidRPr="00030DA7" w:rsidRDefault="00CA6B58" w:rsidP="00DC175A">
            <w:pPr>
              <w:jc w:val="both"/>
              <w:rPr>
                <w:rFonts w:ascii="David" w:hAnsi="David" w:cs="David"/>
                <w:b/>
                <w:bCs/>
                <w:sz w:val="24"/>
                <w:szCs w:val="24"/>
                <w:rtl/>
              </w:rPr>
            </w:pPr>
            <w:r w:rsidRPr="00030DA7">
              <w:rPr>
                <w:rFonts w:ascii="David" w:hAnsi="David" w:cs="David" w:hint="cs"/>
                <w:b/>
                <w:bCs/>
                <w:sz w:val="24"/>
                <w:szCs w:val="24"/>
                <w:rtl/>
              </w:rPr>
              <w:t>ערכאה</w:t>
            </w:r>
          </w:p>
        </w:tc>
        <w:tc>
          <w:tcPr>
            <w:tcW w:w="1857" w:type="dxa"/>
            <w:noWrap/>
            <w:hideMark/>
          </w:tcPr>
          <w:p w14:paraId="39F941D0" w14:textId="77777777" w:rsidR="00CA6B58" w:rsidRPr="00030DA7" w:rsidRDefault="00CA6B58" w:rsidP="00DC175A">
            <w:pPr>
              <w:jc w:val="both"/>
              <w:rPr>
                <w:rFonts w:ascii="David" w:hAnsi="David" w:cs="David"/>
                <w:b/>
                <w:bCs/>
                <w:sz w:val="24"/>
                <w:szCs w:val="24"/>
                <w:rtl/>
              </w:rPr>
            </w:pPr>
            <w:r w:rsidRPr="00030DA7">
              <w:rPr>
                <w:rFonts w:ascii="David" w:hAnsi="David" w:cs="David" w:hint="cs"/>
                <w:b/>
                <w:bCs/>
                <w:sz w:val="24"/>
                <w:szCs w:val="24"/>
                <w:rtl/>
              </w:rPr>
              <w:t>סוג תיק</w:t>
            </w:r>
          </w:p>
        </w:tc>
        <w:tc>
          <w:tcPr>
            <w:tcW w:w="2835" w:type="dxa"/>
            <w:noWrap/>
            <w:hideMark/>
          </w:tcPr>
          <w:p w14:paraId="2A5E8B8D" w14:textId="77777777" w:rsidR="00CA6B58" w:rsidRPr="00030DA7" w:rsidRDefault="00CA6B58" w:rsidP="00DC175A">
            <w:pPr>
              <w:rPr>
                <w:rFonts w:ascii="David" w:hAnsi="David" w:cs="David"/>
                <w:b/>
                <w:bCs/>
                <w:sz w:val="24"/>
                <w:szCs w:val="24"/>
                <w:rtl/>
              </w:rPr>
            </w:pPr>
            <w:r w:rsidRPr="00030DA7">
              <w:rPr>
                <w:rFonts w:ascii="David" w:hAnsi="David" w:cs="David" w:hint="cs"/>
                <w:b/>
                <w:bCs/>
                <w:sz w:val="24"/>
                <w:szCs w:val="24"/>
                <w:rtl/>
              </w:rPr>
              <w:t>כמות תיקים</w:t>
            </w:r>
            <w:r>
              <w:rPr>
                <w:rFonts w:ascii="David" w:hAnsi="David" w:cs="David" w:hint="cs"/>
                <w:b/>
                <w:bCs/>
                <w:sz w:val="24"/>
                <w:szCs w:val="24"/>
                <w:rtl/>
              </w:rPr>
              <w:t xml:space="preserve"> שנסגרו ב-2019</w:t>
            </w:r>
          </w:p>
        </w:tc>
        <w:tc>
          <w:tcPr>
            <w:tcW w:w="2266" w:type="dxa"/>
            <w:noWrap/>
            <w:hideMark/>
          </w:tcPr>
          <w:p w14:paraId="081C628A" w14:textId="77777777" w:rsidR="00CA6B58" w:rsidRPr="00030DA7" w:rsidRDefault="00CA6B58" w:rsidP="00DC175A">
            <w:pPr>
              <w:jc w:val="both"/>
              <w:rPr>
                <w:rFonts w:ascii="David" w:hAnsi="David" w:cs="David"/>
                <w:b/>
                <w:bCs/>
                <w:sz w:val="24"/>
                <w:szCs w:val="24"/>
                <w:rtl/>
              </w:rPr>
            </w:pPr>
            <w:r w:rsidRPr="00030DA7">
              <w:rPr>
                <w:rFonts w:ascii="David" w:hAnsi="David" w:cs="David" w:hint="cs"/>
                <w:b/>
                <w:bCs/>
                <w:sz w:val="24"/>
                <w:szCs w:val="24"/>
                <w:rtl/>
              </w:rPr>
              <w:t>משקל מוערך</w:t>
            </w:r>
            <w:r>
              <w:rPr>
                <w:rFonts w:ascii="David" w:hAnsi="David" w:cs="David" w:hint="cs"/>
                <w:b/>
                <w:bCs/>
                <w:sz w:val="24"/>
                <w:szCs w:val="24"/>
                <w:rtl/>
              </w:rPr>
              <w:t xml:space="preserve"> (בשעות)</w:t>
            </w:r>
          </w:p>
        </w:tc>
      </w:tr>
      <w:tr w:rsidR="00CA6B58" w:rsidRPr="00030DA7" w14:paraId="54B706DE" w14:textId="77777777" w:rsidTr="00983F15">
        <w:trPr>
          <w:trHeight w:val="315"/>
        </w:trPr>
        <w:tc>
          <w:tcPr>
            <w:tcW w:w="448" w:type="dxa"/>
          </w:tcPr>
          <w:p w14:paraId="59E051C4" w14:textId="77777777" w:rsidR="00CA6B58" w:rsidRPr="00030DA7" w:rsidRDefault="00CA6B58" w:rsidP="00DC175A">
            <w:pPr>
              <w:jc w:val="both"/>
              <w:rPr>
                <w:rFonts w:ascii="David" w:hAnsi="David" w:cs="David"/>
                <w:sz w:val="24"/>
                <w:szCs w:val="24"/>
                <w:rtl/>
              </w:rPr>
            </w:pPr>
            <w:r>
              <w:rPr>
                <w:rFonts w:ascii="David" w:hAnsi="David" w:cs="David" w:hint="cs"/>
                <w:sz w:val="24"/>
                <w:szCs w:val="24"/>
                <w:rtl/>
              </w:rPr>
              <w:t>1</w:t>
            </w:r>
          </w:p>
        </w:tc>
        <w:tc>
          <w:tcPr>
            <w:tcW w:w="1274" w:type="dxa"/>
          </w:tcPr>
          <w:p w14:paraId="0DADBE3F" w14:textId="77777777" w:rsidR="00CA6B58" w:rsidRPr="00030DA7" w:rsidRDefault="00CA6B58" w:rsidP="00DC175A">
            <w:pPr>
              <w:jc w:val="both"/>
              <w:rPr>
                <w:rFonts w:ascii="David" w:hAnsi="David" w:cs="David"/>
                <w:sz w:val="24"/>
                <w:szCs w:val="24"/>
                <w:rtl/>
              </w:rPr>
            </w:pPr>
            <w:r w:rsidRPr="00030DA7">
              <w:rPr>
                <w:rFonts w:ascii="David" w:hAnsi="David" w:cs="David" w:hint="cs"/>
                <w:b/>
                <w:bCs/>
                <w:sz w:val="24"/>
                <w:szCs w:val="24"/>
                <w:rtl/>
              </w:rPr>
              <w:t>מחוזי</w:t>
            </w:r>
          </w:p>
        </w:tc>
        <w:tc>
          <w:tcPr>
            <w:tcW w:w="1857" w:type="dxa"/>
            <w:hideMark/>
          </w:tcPr>
          <w:p w14:paraId="5D683BE5"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tl/>
              </w:rPr>
              <w:t>ג"פ</w:t>
            </w:r>
          </w:p>
        </w:tc>
        <w:tc>
          <w:tcPr>
            <w:tcW w:w="2835" w:type="dxa"/>
            <w:hideMark/>
          </w:tcPr>
          <w:p w14:paraId="02CEA533"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Pr>
              <w:t>463</w:t>
            </w:r>
          </w:p>
        </w:tc>
        <w:tc>
          <w:tcPr>
            <w:tcW w:w="2266" w:type="dxa"/>
            <w:noWrap/>
            <w:hideMark/>
          </w:tcPr>
          <w:p w14:paraId="4CA4434F" w14:textId="77777777" w:rsidR="00CA6B58" w:rsidRPr="00030DA7" w:rsidRDefault="00CA6B58" w:rsidP="00DC175A">
            <w:pPr>
              <w:jc w:val="both"/>
              <w:rPr>
                <w:rFonts w:ascii="David" w:hAnsi="David" w:cs="David"/>
                <w:sz w:val="24"/>
                <w:szCs w:val="24"/>
              </w:rPr>
            </w:pPr>
            <w:r w:rsidRPr="00030DA7">
              <w:rPr>
                <w:rFonts w:ascii="David" w:hAnsi="David" w:cs="David" w:hint="cs"/>
                <w:sz w:val="24"/>
                <w:szCs w:val="24"/>
              </w:rPr>
              <w:t>14:30</w:t>
            </w:r>
          </w:p>
        </w:tc>
      </w:tr>
      <w:tr w:rsidR="00CA6B58" w:rsidRPr="00030DA7" w14:paraId="65F93363" w14:textId="77777777" w:rsidTr="00983F15">
        <w:trPr>
          <w:trHeight w:val="315"/>
        </w:trPr>
        <w:tc>
          <w:tcPr>
            <w:tcW w:w="448" w:type="dxa"/>
          </w:tcPr>
          <w:p w14:paraId="0C8F42FA" w14:textId="77777777" w:rsidR="00CA6B58" w:rsidRPr="00030DA7" w:rsidRDefault="00CA6B58" w:rsidP="00DC175A">
            <w:pPr>
              <w:jc w:val="both"/>
              <w:rPr>
                <w:rFonts w:ascii="David" w:hAnsi="David" w:cs="David"/>
                <w:sz w:val="24"/>
                <w:szCs w:val="24"/>
                <w:rtl/>
              </w:rPr>
            </w:pPr>
            <w:r>
              <w:rPr>
                <w:rFonts w:ascii="David" w:hAnsi="David" w:cs="David" w:hint="cs"/>
                <w:sz w:val="24"/>
                <w:szCs w:val="24"/>
                <w:rtl/>
              </w:rPr>
              <w:t>2</w:t>
            </w:r>
          </w:p>
        </w:tc>
        <w:tc>
          <w:tcPr>
            <w:tcW w:w="1274" w:type="dxa"/>
          </w:tcPr>
          <w:p w14:paraId="6F091981" w14:textId="77777777" w:rsidR="00CA6B58" w:rsidRPr="00030DA7" w:rsidRDefault="00CA6B58" w:rsidP="00DC175A">
            <w:pPr>
              <w:jc w:val="both"/>
              <w:rPr>
                <w:rFonts w:ascii="David" w:hAnsi="David" w:cs="David"/>
                <w:sz w:val="24"/>
                <w:szCs w:val="24"/>
                <w:rtl/>
              </w:rPr>
            </w:pPr>
            <w:r w:rsidRPr="00030DA7">
              <w:rPr>
                <w:rFonts w:ascii="David" w:hAnsi="David" w:cs="David" w:hint="cs"/>
                <w:b/>
                <w:bCs/>
                <w:sz w:val="24"/>
                <w:szCs w:val="24"/>
                <w:rtl/>
              </w:rPr>
              <w:t>מחוזי</w:t>
            </w:r>
          </w:p>
        </w:tc>
        <w:tc>
          <w:tcPr>
            <w:tcW w:w="1857" w:type="dxa"/>
            <w:hideMark/>
          </w:tcPr>
          <w:p w14:paraId="4B245BE7"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tl/>
              </w:rPr>
              <w:t>עתפ"ב</w:t>
            </w:r>
          </w:p>
        </w:tc>
        <w:tc>
          <w:tcPr>
            <w:tcW w:w="2835" w:type="dxa"/>
            <w:hideMark/>
          </w:tcPr>
          <w:p w14:paraId="4CE69871"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Pr>
              <w:t>246</w:t>
            </w:r>
          </w:p>
        </w:tc>
        <w:tc>
          <w:tcPr>
            <w:tcW w:w="2266" w:type="dxa"/>
            <w:noWrap/>
            <w:hideMark/>
          </w:tcPr>
          <w:p w14:paraId="4572F3A1" w14:textId="77777777" w:rsidR="00CA6B58" w:rsidRPr="00030DA7" w:rsidRDefault="00CA6B58" w:rsidP="00DC175A">
            <w:pPr>
              <w:jc w:val="both"/>
              <w:rPr>
                <w:rFonts w:ascii="David" w:hAnsi="David" w:cs="David"/>
                <w:sz w:val="24"/>
                <w:szCs w:val="24"/>
              </w:rPr>
            </w:pPr>
            <w:r w:rsidRPr="00030DA7">
              <w:rPr>
                <w:rFonts w:ascii="David" w:hAnsi="David" w:cs="David" w:hint="cs"/>
                <w:sz w:val="24"/>
                <w:szCs w:val="24"/>
              </w:rPr>
              <w:t>01:30</w:t>
            </w:r>
          </w:p>
        </w:tc>
      </w:tr>
      <w:tr w:rsidR="00CA6B58" w:rsidRPr="00030DA7" w14:paraId="19D1EC98" w14:textId="77777777" w:rsidTr="00983F15">
        <w:trPr>
          <w:trHeight w:val="315"/>
        </w:trPr>
        <w:tc>
          <w:tcPr>
            <w:tcW w:w="448" w:type="dxa"/>
          </w:tcPr>
          <w:p w14:paraId="24355D3E" w14:textId="77777777" w:rsidR="00CA6B58" w:rsidRPr="00030DA7" w:rsidRDefault="00CA6B58" w:rsidP="00DC175A">
            <w:pPr>
              <w:jc w:val="both"/>
              <w:rPr>
                <w:rFonts w:ascii="David" w:hAnsi="David" w:cs="David"/>
                <w:sz w:val="24"/>
                <w:szCs w:val="24"/>
                <w:rtl/>
              </w:rPr>
            </w:pPr>
            <w:r>
              <w:rPr>
                <w:rFonts w:ascii="David" w:hAnsi="David" w:cs="David" w:hint="cs"/>
                <w:sz w:val="24"/>
                <w:szCs w:val="24"/>
                <w:rtl/>
              </w:rPr>
              <w:t>3</w:t>
            </w:r>
          </w:p>
        </w:tc>
        <w:tc>
          <w:tcPr>
            <w:tcW w:w="1274" w:type="dxa"/>
          </w:tcPr>
          <w:p w14:paraId="2E46EC2A" w14:textId="77777777" w:rsidR="00CA6B58" w:rsidRPr="00030DA7" w:rsidRDefault="00CA6B58" w:rsidP="00DC175A">
            <w:pPr>
              <w:jc w:val="both"/>
              <w:rPr>
                <w:rFonts w:ascii="David" w:hAnsi="David" w:cs="David"/>
                <w:sz w:val="24"/>
                <w:szCs w:val="24"/>
                <w:rtl/>
              </w:rPr>
            </w:pPr>
            <w:r w:rsidRPr="00030DA7">
              <w:rPr>
                <w:rFonts w:ascii="David" w:hAnsi="David" w:cs="David" w:hint="cs"/>
                <w:b/>
                <w:bCs/>
                <w:sz w:val="24"/>
                <w:szCs w:val="24"/>
                <w:rtl/>
              </w:rPr>
              <w:t>מחוזי</w:t>
            </w:r>
          </w:p>
        </w:tc>
        <w:tc>
          <w:tcPr>
            <w:tcW w:w="1857" w:type="dxa"/>
            <w:hideMark/>
          </w:tcPr>
          <w:p w14:paraId="71DEDC86"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tl/>
              </w:rPr>
              <w:t>ע"ר</w:t>
            </w:r>
          </w:p>
        </w:tc>
        <w:tc>
          <w:tcPr>
            <w:tcW w:w="2835" w:type="dxa"/>
            <w:hideMark/>
          </w:tcPr>
          <w:p w14:paraId="0DBEF5A5"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Pr>
              <w:t>221</w:t>
            </w:r>
          </w:p>
        </w:tc>
        <w:tc>
          <w:tcPr>
            <w:tcW w:w="2266" w:type="dxa"/>
            <w:noWrap/>
            <w:hideMark/>
          </w:tcPr>
          <w:p w14:paraId="71E2833F" w14:textId="77777777" w:rsidR="00CA6B58" w:rsidRPr="00030DA7" w:rsidRDefault="00CA6B58" w:rsidP="00DC175A">
            <w:pPr>
              <w:jc w:val="both"/>
              <w:rPr>
                <w:rFonts w:ascii="David" w:hAnsi="David" w:cs="David"/>
                <w:sz w:val="24"/>
                <w:szCs w:val="24"/>
              </w:rPr>
            </w:pPr>
            <w:r w:rsidRPr="00030DA7">
              <w:rPr>
                <w:rFonts w:ascii="David" w:hAnsi="David" w:cs="David" w:hint="cs"/>
                <w:sz w:val="24"/>
                <w:szCs w:val="24"/>
              </w:rPr>
              <w:t>02:00</w:t>
            </w:r>
          </w:p>
        </w:tc>
      </w:tr>
      <w:tr w:rsidR="00CA6B58" w:rsidRPr="00030DA7" w14:paraId="6D1C09E1" w14:textId="77777777" w:rsidTr="00983F15">
        <w:trPr>
          <w:trHeight w:val="315"/>
        </w:trPr>
        <w:tc>
          <w:tcPr>
            <w:tcW w:w="448" w:type="dxa"/>
          </w:tcPr>
          <w:p w14:paraId="256E3B7E" w14:textId="77777777" w:rsidR="00CA6B58" w:rsidRPr="00030DA7" w:rsidRDefault="00CA6B58" w:rsidP="00DC175A">
            <w:pPr>
              <w:jc w:val="both"/>
              <w:rPr>
                <w:rFonts w:ascii="David" w:hAnsi="David" w:cs="David"/>
                <w:sz w:val="24"/>
                <w:szCs w:val="24"/>
                <w:rtl/>
              </w:rPr>
            </w:pPr>
            <w:r>
              <w:rPr>
                <w:rFonts w:ascii="David" w:hAnsi="David" w:cs="David" w:hint="cs"/>
                <w:sz w:val="24"/>
                <w:szCs w:val="24"/>
                <w:rtl/>
              </w:rPr>
              <w:t>4</w:t>
            </w:r>
          </w:p>
        </w:tc>
        <w:tc>
          <w:tcPr>
            <w:tcW w:w="1274" w:type="dxa"/>
          </w:tcPr>
          <w:p w14:paraId="10ED1410" w14:textId="77777777" w:rsidR="00CA6B58" w:rsidRPr="00030DA7" w:rsidRDefault="00CA6B58" w:rsidP="00DC175A">
            <w:pPr>
              <w:jc w:val="both"/>
              <w:rPr>
                <w:rFonts w:ascii="David" w:hAnsi="David" w:cs="David"/>
                <w:sz w:val="24"/>
                <w:szCs w:val="24"/>
                <w:rtl/>
              </w:rPr>
            </w:pPr>
            <w:r w:rsidRPr="00030DA7">
              <w:rPr>
                <w:rFonts w:ascii="David" w:hAnsi="David" w:cs="David" w:hint="cs"/>
                <w:b/>
                <w:bCs/>
                <w:sz w:val="24"/>
                <w:szCs w:val="24"/>
                <w:rtl/>
              </w:rPr>
              <w:t>מחוזי</w:t>
            </w:r>
          </w:p>
        </w:tc>
        <w:tc>
          <w:tcPr>
            <w:tcW w:w="1857" w:type="dxa"/>
            <w:hideMark/>
          </w:tcPr>
          <w:p w14:paraId="722761A2"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tl/>
              </w:rPr>
              <w:t>ה"ת</w:t>
            </w:r>
          </w:p>
        </w:tc>
        <w:tc>
          <w:tcPr>
            <w:tcW w:w="2835" w:type="dxa"/>
            <w:hideMark/>
          </w:tcPr>
          <w:p w14:paraId="6BD96A0D"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Pr>
              <w:t>132</w:t>
            </w:r>
          </w:p>
        </w:tc>
        <w:tc>
          <w:tcPr>
            <w:tcW w:w="2266" w:type="dxa"/>
            <w:noWrap/>
            <w:hideMark/>
          </w:tcPr>
          <w:p w14:paraId="0EC66BA3" w14:textId="77777777" w:rsidR="00CA6B58" w:rsidRPr="00030DA7" w:rsidRDefault="00CA6B58" w:rsidP="00DC175A">
            <w:pPr>
              <w:jc w:val="both"/>
              <w:rPr>
                <w:rFonts w:ascii="David" w:hAnsi="David" w:cs="David"/>
                <w:sz w:val="24"/>
                <w:szCs w:val="24"/>
              </w:rPr>
            </w:pPr>
            <w:r w:rsidRPr="00030DA7">
              <w:rPr>
                <w:rFonts w:ascii="David" w:hAnsi="David" w:cs="David" w:hint="cs"/>
                <w:sz w:val="24"/>
                <w:szCs w:val="24"/>
              </w:rPr>
              <w:t>01:45</w:t>
            </w:r>
          </w:p>
        </w:tc>
      </w:tr>
      <w:tr w:rsidR="00CA6B58" w:rsidRPr="00030DA7" w14:paraId="4318680E" w14:textId="77777777" w:rsidTr="00983F15">
        <w:trPr>
          <w:trHeight w:val="315"/>
        </w:trPr>
        <w:tc>
          <w:tcPr>
            <w:tcW w:w="448" w:type="dxa"/>
          </w:tcPr>
          <w:p w14:paraId="67B3E962" w14:textId="77777777" w:rsidR="00CA6B58" w:rsidRPr="00030DA7" w:rsidRDefault="00CA6B58" w:rsidP="00DC175A">
            <w:pPr>
              <w:jc w:val="both"/>
              <w:rPr>
                <w:rFonts w:ascii="David" w:hAnsi="David" w:cs="David"/>
                <w:sz w:val="24"/>
                <w:szCs w:val="24"/>
                <w:rtl/>
              </w:rPr>
            </w:pPr>
            <w:r>
              <w:rPr>
                <w:rFonts w:ascii="David" w:hAnsi="David" w:cs="David" w:hint="cs"/>
                <w:sz w:val="24"/>
                <w:szCs w:val="24"/>
                <w:rtl/>
              </w:rPr>
              <w:t>5</w:t>
            </w:r>
          </w:p>
        </w:tc>
        <w:tc>
          <w:tcPr>
            <w:tcW w:w="1274" w:type="dxa"/>
          </w:tcPr>
          <w:p w14:paraId="7C0D3D20" w14:textId="77777777" w:rsidR="00CA6B58" w:rsidRPr="00030DA7" w:rsidRDefault="00CA6B58" w:rsidP="00DC175A">
            <w:pPr>
              <w:jc w:val="both"/>
              <w:rPr>
                <w:rFonts w:ascii="David" w:hAnsi="David" w:cs="David"/>
                <w:sz w:val="24"/>
                <w:szCs w:val="24"/>
                <w:rtl/>
              </w:rPr>
            </w:pPr>
            <w:r w:rsidRPr="00030DA7">
              <w:rPr>
                <w:rFonts w:ascii="David" w:hAnsi="David" w:cs="David" w:hint="cs"/>
                <w:b/>
                <w:bCs/>
                <w:sz w:val="24"/>
                <w:szCs w:val="24"/>
                <w:rtl/>
              </w:rPr>
              <w:t>מחוזי</w:t>
            </w:r>
          </w:p>
        </w:tc>
        <w:tc>
          <w:tcPr>
            <w:tcW w:w="1857" w:type="dxa"/>
            <w:hideMark/>
          </w:tcPr>
          <w:p w14:paraId="22EEDD60"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tl/>
              </w:rPr>
              <w:t>עב"י</w:t>
            </w:r>
          </w:p>
        </w:tc>
        <w:tc>
          <w:tcPr>
            <w:tcW w:w="2835" w:type="dxa"/>
            <w:hideMark/>
          </w:tcPr>
          <w:p w14:paraId="40AF8351"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Pr>
              <w:t>126</w:t>
            </w:r>
          </w:p>
        </w:tc>
        <w:tc>
          <w:tcPr>
            <w:tcW w:w="2266" w:type="dxa"/>
            <w:noWrap/>
            <w:hideMark/>
          </w:tcPr>
          <w:p w14:paraId="284D934B" w14:textId="77777777" w:rsidR="00CA6B58" w:rsidRPr="004C172E" w:rsidRDefault="00CA6B58" w:rsidP="00DC175A">
            <w:pPr>
              <w:jc w:val="both"/>
              <w:rPr>
                <w:rFonts w:asciiTheme="minorHAnsi" w:hAnsiTheme="minorHAnsi" w:cs="David"/>
                <w:sz w:val="24"/>
                <w:szCs w:val="24"/>
              </w:rPr>
            </w:pPr>
            <w:r w:rsidRPr="00030DA7">
              <w:rPr>
                <w:rFonts w:ascii="David" w:hAnsi="David" w:cs="David" w:hint="cs"/>
                <w:sz w:val="24"/>
                <w:szCs w:val="24"/>
              </w:rPr>
              <w:t>12:30</w:t>
            </w:r>
          </w:p>
        </w:tc>
      </w:tr>
      <w:tr w:rsidR="00CA6B58" w:rsidRPr="00030DA7" w14:paraId="2BD23EA4" w14:textId="77777777" w:rsidTr="00983F15">
        <w:trPr>
          <w:trHeight w:val="315"/>
        </w:trPr>
        <w:tc>
          <w:tcPr>
            <w:tcW w:w="448" w:type="dxa"/>
          </w:tcPr>
          <w:p w14:paraId="1A5CC9B0" w14:textId="77777777" w:rsidR="00CA6B58" w:rsidRPr="00030DA7" w:rsidRDefault="00CA6B58" w:rsidP="00DC175A">
            <w:pPr>
              <w:jc w:val="both"/>
              <w:rPr>
                <w:rFonts w:ascii="David" w:hAnsi="David" w:cs="David"/>
                <w:sz w:val="24"/>
                <w:szCs w:val="24"/>
                <w:rtl/>
              </w:rPr>
            </w:pPr>
            <w:r>
              <w:rPr>
                <w:rFonts w:ascii="David" w:hAnsi="David" w:cs="David" w:hint="cs"/>
                <w:sz w:val="24"/>
                <w:szCs w:val="24"/>
                <w:rtl/>
              </w:rPr>
              <w:t>6</w:t>
            </w:r>
          </w:p>
        </w:tc>
        <w:tc>
          <w:tcPr>
            <w:tcW w:w="1274" w:type="dxa"/>
          </w:tcPr>
          <w:p w14:paraId="74B22E4A" w14:textId="77777777" w:rsidR="00CA6B58" w:rsidRPr="00030DA7" w:rsidRDefault="00CA6B58" w:rsidP="00DC175A">
            <w:pPr>
              <w:jc w:val="both"/>
              <w:rPr>
                <w:rFonts w:ascii="David" w:hAnsi="David" w:cs="David"/>
                <w:sz w:val="24"/>
                <w:szCs w:val="24"/>
                <w:rtl/>
              </w:rPr>
            </w:pPr>
            <w:r w:rsidRPr="00030DA7">
              <w:rPr>
                <w:rFonts w:ascii="David" w:hAnsi="David" w:cs="David" w:hint="cs"/>
                <w:b/>
                <w:bCs/>
                <w:sz w:val="24"/>
                <w:szCs w:val="24"/>
                <w:rtl/>
              </w:rPr>
              <w:t>מחוזי</w:t>
            </w:r>
          </w:p>
        </w:tc>
        <w:tc>
          <w:tcPr>
            <w:tcW w:w="1857" w:type="dxa"/>
            <w:hideMark/>
          </w:tcPr>
          <w:p w14:paraId="72A6C66A"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tl/>
              </w:rPr>
              <w:t>ענ"א</w:t>
            </w:r>
          </w:p>
        </w:tc>
        <w:tc>
          <w:tcPr>
            <w:tcW w:w="2835" w:type="dxa"/>
            <w:hideMark/>
          </w:tcPr>
          <w:p w14:paraId="0316C254"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Pr>
              <w:t>115</w:t>
            </w:r>
          </w:p>
        </w:tc>
        <w:tc>
          <w:tcPr>
            <w:tcW w:w="2266" w:type="dxa"/>
            <w:noWrap/>
            <w:hideMark/>
          </w:tcPr>
          <w:p w14:paraId="1B29C0B2" w14:textId="77777777" w:rsidR="00CA6B58" w:rsidRPr="00030DA7" w:rsidRDefault="00CA6B58" w:rsidP="00DC175A">
            <w:pPr>
              <w:jc w:val="both"/>
              <w:rPr>
                <w:rFonts w:ascii="David" w:hAnsi="David" w:cs="David"/>
                <w:sz w:val="24"/>
                <w:szCs w:val="24"/>
              </w:rPr>
            </w:pPr>
            <w:r w:rsidRPr="00030DA7">
              <w:rPr>
                <w:rFonts w:ascii="David" w:hAnsi="David" w:cs="David" w:hint="cs"/>
                <w:sz w:val="24"/>
                <w:szCs w:val="24"/>
              </w:rPr>
              <w:t>05:00</w:t>
            </w:r>
          </w:p>
        </w:tc>
      </w:tr>
      <w:tr w:rsidR="00CA6B58" w:rsidRPr="00030DA7" w14:paraId="5DD1049A" w14:textId="77777777" w:rsidTr="00983F15">
        <w:trPr>
          <w:trHeight w:val="315"/>
        </w:trPr>
        <w:tc>
          <w:tcPr>
            <w:tcW w:w="448" w:type="dxa"/>
          </w:tcPr>
          <w:p w14:paraId="0FE6477C" w14:textId="1F50B467" w:rsidR="00CA6B58" w:rsidRPr="00030DA7" w:rsidRDefault="00CA6B58" w:rsidP="00DC175A">
            <w:pPr>
              <w:jc w:val="both"/>
              <w:rPr>
                <w:rFonts w:ascii="David" w:hAnsi="David" w:cs="David"/>
                <w:sz w:val="24"/>
                <w:szCs w:val="24"/>
                <w:rtl/>
              </w:rPr>
            </w:pPr>
            <w:r>
              <w:rPr>
                <w:rFonts w:ascii="David" w:hAnsi="David" w:cs="David" w:hint="cs"/>
                <w:sz w:val="24"/>
                <w:szCs w:val="24"/>
                <w:rtl/>
              </w:rPr>
              <w:t>7</w:t>
            </w:r>
          </w:p>
        </w:tc>
        <w:tc>
          <w:tcPr>
            <w:tcW w:w="1274" w:type="dxa"/>
          </w:tcPr>
          <w:p w14:paraId="1051122D" w14:textId="77777777" w:rsidR="00CA6B58" w:rsidRPr="00030DA7" w:rsidRDefault="00CA6B58" w:rsidP="00DC175A">
            <w:pPr>
              <w:jc w:val="both"/>
              <w:rPr>
                <w:rFonts w:ascii="David" w:hAnsi="David" w:cs="David"/>
                <w:sz w:val="24"/>
                <w:szCs w:val="24"/>
                <w:rtl/>
              </w:rPr>
            </w:pPr>
            <w:r w:rsidRPr="00030DA7">
              <w:rPr>
                <w:rFonts w:ascii="David" w:hAnsi="David" w:cs="David" w:hint="cs"/>
                <w:b/>
                <w:bCs/>
                <w:sz w:val="24"/>
                <w:szCs w:val="24"/>
                <w:rtl/>
              </w:rPr>
              <w:t>מחוזי</w:t>
            </w:r>
          </w:p>
        </w:tc>
        <w:tc>
          <w:tcPr>
            <w:tcW w:w="1857" w:type="dxa"/>
            <w:hideMark/>
          </w:tcPr>
          <w:p w14:paraId="11330FAF"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tl/>
              </w:rPr>
              <w:t>בת"ת</w:t>
            </w:r>
          </w:p>
        </w:tc>
        <w:tc>
          <w:tcPr>
            <w:tcW w:w="2835" w:type="dxa"/>
            <w:hideMark/>
          </w:tcPr>
          <w:p w14:paraId="6EED5D0D"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Pr>
              <w:t>63</w:t>
            </w:r>
          </w:p>
        </w:tc>
        <w:tc>
          <w:tcPr>
            <w:tcW w:w="2266" w:type="dxa"/>
            <w:noWrap/>
            <w:hideMark/>
          </w:tcPr>
          <w:p w14:paraId="2317A992" w14:textId="77777777" w:rsidR="00CA6B58" w:rsidRPr="00030DA7" w:rsidRDefault="00CA6B58" w:rsidP="00DC175A">
            <w:pPr>
              <w:jc w:val="both"/>
              <w:rPr>
                <w:rFonts w:ascii="David" w:hAnsi="David" w:cs="David"/>
                <w:sz w:val="24"/>
                <w:szCs w:val="24"/>
              </w:rPr>
            </w:pPr>
            <w:r w:rsidRPr="00030DA7">
              <w:rPr>
                <w:rFonts w:ascii="David" w:hAnsi="David" w:cs="David" w:hint="cs"/>
                <w:sz w:val="24"/>
                <w:szCs w:val="24"/>
              </w:rPr>
              <w:t>04:00</w:t>
            </w:r>
          </w:p>
        </w:tc>
      </w:tr>
      <w:tr w:rsidR="00CA6B58" w:rsidRPr="00030DA7" w14:paraId="1989BD26" w14:textId="77777777" w:rsidTr="00983F15">
        <w:trPr>
          <w:trHeight w:val="315"/>
        </w:trPr>
        <w:tc>
          <w:tcPr>
            <w:tcW w:w="448" w:type="dxa"/>
          </w:tcPr>
          <w:p w14:paraId="36AA7B7C" w14:textId="5A1B77B3" w:rsidR="00CA6B58" w:rsidRPr="00030DA7" w:rsidRDefault="00CA6B58" w:rsidP="00DC175A">
            <w:pPr>
              <w:jc w:val="both"/>
              <w:rPr>
                <w:rFonts w:ascii="David" w:hAnsi="David" w:cs="David"/>
                <w:sz w:val="24"/>
                <w:szCs w:val="24"/>
                <w:rtl/>
              </w:rPr>
            </w:pPr>
            <w:r>
              <w:rPr>
                <w:rFonts w:ascii="David" w:hAnsi="David" w:cs="David" w:hint="cs"/>
                <w:sz w:val="24"/>
                <w:szCs w:val="24"/>
                <w:rtl/>
              </w:rPr>
              <w:t>8</w:t>
            </w:r>
          </w:p>
        </w:tc>
        <w:tc>
          <w:tcPr>
            <w:tcW w:w="1274" w:type="dxa"/>
          </w:tcPr>
          <w:p w14:paraId="45502155" w14:textId="77777777" w:rsidR="00CA6B58" w:rsidRPr="00030DA7" w:rsidRDefault="00CA6B58" w:rsidP="00DC175A">
            <w:pPr>
              <w:jc w:val="both"/>
              <w:rPr>
                <w:rFonts w:ascii="David" w:hAnsi="David" w:cs="David"/>
                <w:sz w:val="24"/>
                <w:szCs w:val="24"/>
                <w:rtl/>
              </w:rPr>
            </w:pPr>
            <w:r w:rsidRPr="00030DA7">
              <w:rPr>
                <w:rFonts w:ascii="David" w:hAnsi="David" w:cs="David" w:hint="cs"/>
                <w:b/>
                <w:bCs/>
                <w:sz w:val="24"/>
                <w:szCs w:val="24"/>
                <w:rtl/>
              </w:rPr>
              <w:t>מחוזי</w:t>
            </w:r>
          </w:p>
        </w:tc>
        <w:tc>
          <w:tcPr>
            <w:tcW w:w="1857" w:type="dxa"/>
            <w:hideMark/>
          </w:tcPr>
          <w:p w14:paraId="2E1B9930"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tl/>
              </w:rPr>
              <w:t>תא"ק</w:t>
            </w:r>
          </w:p>
        </w:tc>
        <w:tc>
          <w:tcPr>
            <w:tcW w:w="2835" w:type="dxa"/>
            <w:hideMark/>
          </w:tcPr>
          <w:p w14:paraId="73D0A212"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Pr>
              <w:t>61</w:t>
            </w:r>
          </w:p>
        </w:tc>
        <w:tc>
          <w:tcPr>
            <w:tcW w:w="2266" w:type="dxa"/>
            <w:noWrap/>
            <w:hideMark/>
          </w:tcPr>
          <w:p w14:paraId="25E6925D" w14:textId="77777777" w:rsidR="00CA6B58" w:rsidRPr="00030DA7" w:rsidRDefault="00CA6B58" w:rsidP="00DC175A">
            <w:pPr>
              <w:jc w:val="both"/>
              <w:rPr>
                <w:rFonts w:ascii="David" w:hAnsi="David" w:cs="David"/>
                <w:sz w:val="24"/>
                <w:szCs w:val="24"/>
              </w:rPr>
            </w:pPr>
            <w:r w:rsidRPr="00030DA7">
              <w:rPr>
                <w:rFonts w:ascii="David" w:hAnsi="David" w:cs="David" w:hint="cs"/>
                <w:sz w:val="24"/>
                <w:szCs w:val="24"/>
              </w:rPr>
              <w:t>08:00</w:t>
            </w:r>
          </w:p>
        </w:tc>
      </w:tr>
      <w:tr w:rsidR="00CA6B58" w:rsidRPr="00030DA7" w14:paraId="5C0984AF" w14:textId="77777777" w:rsidTr="00983F15">
        <w:trPr>
          <w:trHeight w:val="315"/>
        </w:trPr>
        <w:tc>
          <w:tcPr>
            <w:tcW w:w="448" w:type="dxa"/>
          </w:tcPr>
          <w:p w14:paraId="542A1998" w14:textId="655A6886" w:rsidR="00CA6B58" w:rsidRPr="00030DA7" w:rsidRDefault="00CA6B58" w:rsidP="00DC175A">
            <w:pPr>
              <w:jc w:val="both"/>
              <w:rPr>
                <w:rFonts w:ascii="David" w:hAnsi="David" w:cs="David"/>
                <w:sz w:val="24"/>
                <w:szCs w:val="24"/>
                <w:rtl/>
              </w:rPr>
            </w:pPr>
            <w:r>
              <w:rPr>
                <w:rFonts w:ascii="David" w:hAnsi="David" w:cs="David" w:hint="cs"/>
                <w:sz w:val="24"/>
                <w:szCs w:val="24"/>
                <w:rtl/>
              </w:rPr>
              <w:t>9</w:t>
            </w:r>
          </w:p>
        </w:tc>
        <w:tc>
          <w:tcPr>
            <w:tcW w:w="1274" w:type="dxa"/>
          </w:tcPr>
          <w:p w14:paraId="6E24BE4C" w14:textId="77777777" w:rsidR="00CA6B58" w:rsidRPr="00030DA7" w:rsidRDefault="00CA6B58" w:rsidP="00DC175A">
            <w:pPr>
              <w:jc w:val="both"/>
              <w:rPr>
                <w:rFonts w:ascii="David" w:hAnsi="David" w:cs="David"/>
                <w:sz w:val="24"/>
                <w:szCs w:val="24"/>
                <w:rtl/>
              </w:rPr>
            </w:pPr>
            <w:r w:rsidRPr="00030DA7">
              <w:rPr>
                <w:rFonts w:ascii="David" w:hAnsi="David" w:cs="David" w:hint="cs"/>
                <w:b/>
                <w:bCs/>
                <w:sz w:val="24"/>
                <w:szCs w:val="24"/>
                <w:rtl/>
              </w:rPr>
              <w:t>מחוזי</w:t>
            </w:r>
          </w:p>
        </w:tc>
        <w:tc>
          <w:tcPr>
            <w:tcW w:w="1857" w:type="dxa"/>
            <w:hideMark/>
          </w:tcPr>
          <w:p w14:paraId="12A560E6"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tl/>
              </w:rPr>
              <w:t>רע"מ</w:t>
            </w:r>
          </w:p>
        </w:tc>
        <w:tc>
          <w:tcPr>
            <w:tcW w:w="2835" w:type="dxa"/>
            <w:hideMark/>
          </w:tcPr>
          <w:p w14:paraId="6D83119F"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Pr>
              <w:t>50</w:t>
            </w:r>
          </w:p>
        </w:tc>
        <w:tc>
          <w:tcPr>
            <w:tcW w:w="2266" w:type="dxa"/>
            <w:noWrap/>
            <w:hideMark/>
          </w:tcPr>
          <w:p w14:paraId="5847F832" w14:textId="77777777" w:rsidR="00CA6B58" w:rsidRPr="00030DA7" w:rsidRDefault="00CA6B58" w:rsidP="00DC175A">
            <w:pPr>
              <w:jc w:val="both"/>
              <w:rPr>
                <w:rFonts w:ascii="David" w:hAnsi="David" w:cs="David"/>
                <w:sz w:val="24"/>
                <w:szCs w:val="24"/>
              </w:rPr>
            </w:pPr>
            <w:r w:rsidRPr="00030DA7">
              <w:rPr>
                <w:rFonts w:ascii="David" w:hAnsi="David" w:cs="David" w:hint="cs"/>
                <w:sz w:val="24"/>
                <w:szCs w:val="24"/>
              </w:rPr>
              <w:t>02:30</w:t>
            </w:r>
          </w:p>
        </w:tc>
      </w:tr>
      <w:tr w:rsidR="00CA6B58" w:rsidRPr="00030DA7" w14:paraId="05F0432E" w14:textId="77777777" w:rsidTr="00983F15">
        <w:trPr>
          <w:trHeight w:val="315"/>
        </w:trPr>
        <w:tc>
          <w:tcPr>
            <w:tcW w:w="448" w:type="dxa"/>
          </w:tcPr>
          <w:p w14:paraId="74340457" w14:textId="1191C2AF" w:rsidR="00CA6B58" w:rsidRPr="00030DA7" w:rsidRDefault="00CA6B58" w:rsidP="00DC175A">
            <w:pPr>
              <w:jc w:val="both"/>
              <w:rPr>
                <w:rFonts w:ascii="David" w:hAnsi="David" w:cs="David"/>
                <w:sz w:val="24"/>
                <w:szCs w:val="24"/>
                <w:rtl/>
              </w:rPr>
            </w:pPr>
            <w:r>
              <w:rPr>
                <w:rFonts w:ascii="David" w:hAnsi="David" w:cs="David" w:hint="cs"/>
                <w:sz w:val="24"/>
                <w:szCs w:val="24"/>
                <w:rtl/>
              </w:rPr>
              <w:t>10</w:t>
            </w:r>
          </w:p>
        </w:tc>
        <w:tc>
          <w:tcPr>
            <w:tcW w:w="1274" w:type="dxa"/>
          </w:tcPr>
          <w:p w14:paraId="0A97647C" w14:textId="77777777" w:rsidR="00CA6B58" w:rsidRPr="00030DA7" w:rsidRDefault="00CA6B58" w:rsidP="00DC175A">
            <w:pPr>
              <w:jc w:val="both"/>
              <w:rPr>
                <w:rFonts w:ascii="David" w:hAnsi="David" w:cs="David"/>
                <w:sz w:val="24"/>
                <w:szCs w:val="24"/>
                <w:rtl/>
              </w:rPr>
            </w:pPr>
            <w:r w:rsidRPr="00030DA7">
              <w:rPr>
                <w:rFonts w:ascii="David" w:hAnsi="David" w:cs="David" w:hint="cs"/>
                <w:b/>
                <w:bCs/>
                <w:sz w:val="24"/>
                <w:szCs w:val="24"/>
                <w:rtl/>
              </w:rPr>
              <w:t>מחוזי</w:t>
            </w:r>
          </w:p>
        </w:tc>
        <w:tc>
          <w:tcPr>
            <w:tcW w:w="1857" w:type="dxa"/>
            <w:hideMark/>
          </w:tcPr>
          <w:p w14:paraId="6CF6ABA8"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tl/>
              </w:rPr>
              <w:t>בש"ז</w:t>
            </w:r>
          </w:p>
        </w:tc>
        <w:tc>
          <w:tcPr>
            <w:tcW w:w="2835" w:type="dxa"/>
            <w:hideMark/>
          </w:tcPr>
          <w:p w14:paraId="4E24383A"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Pr>
              <w:t>48</w:t>
            </w:r>
          </w:p>
        </w:tc>
        <w:tc>
          <w:tcPr>
            <w:tcW w:w="2266" w:type="dxa"/>
            <w:noWrap/>
            <w:hideMark/>
          </w:tcPr>
          <w:p w14:paraId="5E8DEDFF" w14:textId="77777777" w:rsidR="00CA6B58" w:rsidRPr="00030DA7" w:rsidRDefault="00CA6B58" w:rsidP="00DC175A">
            <w:pPr>
              <w:jc w:val="both"/>
              <w:rPr>
                <w:rFonts w:ascii="David" w:hAnsi="David" w:cs="David"/>
                <w:sz w:val="24"/>
                <w:szCs w:val="24"/>
              </w:rPr>
            </w:pPr>
            <w:r w:rsidRPr="00030DA7">
              <w:rPr>
                <w:rFonts w:ascii="David" w:hAnsi="David" w:cs="David" w:hint="cs"/>
                <w:sz w:val="24"/>
                <w:szCs w:val="24"/>
              </w:rPr>
              <w:t>06:00</w:t>
            </w:r>
          </w:p>
        </w:tc>
      </w:tr>
      <w:tr w:rsidR="00CA6B58" w:rsidRPr="00030DA7" w14:paraId="25C55F91" w14:textId="77777777" w:rsidTr="00983F15">
        <w:trPr>
          <w:trHeight w:val="315"/>
        </w:trPr>
        <w:tc>
          <w:tcPr>
            <w:tcW w:w="448" w:type="dxa"/>
          </w:tcPr>
          <w:p w14:paraId="4E06E218" w14:textId="678A7C67" w:rsidR="00CA6B58" w:rsidRPr="00030DA7" w:rsidRDefault="00CA6B58" w:rsidP="00DC175A">
            <w:pPr>
              <w:jc w:val="both"/>
              <w:rPr>
                <w:rFonts w:ascii="David" w:hAnsi="David" w:cs="David"/>
                <w:sz w:val="24"/>
                <w:szCs w:val="24"/>
                <w:rtl/>
              </w:rPr>
            </w:pPr>
            <w:r>
              <w:rPr>
                <w:rFonts w:ascii="David" w:hAnsi="David" w:cs="David" w:hint="cs"/>
                <w:sz w:val="24"/>
                <w:szCs w:val="24"/>
                <w:rtl/>
              </w:rPr>
              <w:t>11</w:t>
            </w:r>
          </w:p>
        </w:tc>
        <w:tc>
          <w:tcPr>
            <w:tcW w:w="1274" w:type="dxa"/>
          </w:tcPr>
          <w:p w14:paraId="791C8822" w14:textId="77777777" w:rsidR="00CA6B58" w:rsidRPr="00030DA7" w:rsidRDefault="00CA6B58" w:rsidP="00DC175A">
            <w:pPr>
              <w:jc w:val="both"/>
              <w:rPr>
                <w:rFonts w:ascii="David" w:hAnsi="David" w:cs="David"/>
                <w:sz w:val="24"/>
                <w:szCs w:val="24"/>
                <w:rtl/>
              </w:rPr>
            </w:pPr>
            <w:r w:rsidRPr="00030DA7">
              <w:rPr>
                <w:rFonts w:ascii="David" w:hAnsi="David" w:cs="David" w:hint="cs"/>
                <w:b/>
                <w:bCs/>
                <w:sz w:val="24"/>
                <w:szCs w:val="24"/>
                <w:rtl/>
              </w:rPr>
              <w:t>מחוזי</w:t>
            </w:r>
          </w:p>
        </w:tc>
        <w:tc>
          <w:tcPr>
            <w:tcW w:w="1857" w:type="dxa"/>
            <w:hideMark/>
          </w:tcPr>
          <w:p w14:paraId="569F8340"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tl/>
              </w:rPr>
              <w:t>עח"ק</w:t>
            </w:r>
          </w:p>
        </w:tc>
        <w:tc>
          <w:tcPr>
            <w:tcW w:w="2835" w:type="dxa"/>
            <w:hideMark/>
          </w:tcPr>
          <w:p w14:paraId="407B14AD"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Pr>
              <w:t>34</w:t>
            </w:r>
          </w:p>
        </w:tc>
        <w:tc>
          <w:tcPr>
            <w:tcW w:w="2266" w:type="dxa"/>
            <w:noWrap/>
            <w:hideMark/>
          </w:tcPr>
          <w:p w14:paraId="4CD5164D" w14:textId="77777777" w:rsidR="00CA6B58" w:rsidRPr="00030DA7" w:rsidRDefault="00CA6B58" w:rsidP="00DC175A">
            <w:pPr>
              <w:jc w:val="both"/>
              <w:rPr>
                <w:rFonts w:ascii="David" w:hAnsi="David" w:cs="David"/>
                <w:sz w:val="24"/>
                <w:szCs w:val="24"/>
              </w:rPr>
            </w:pPr>
            <w:r w:rsidRPr="00030DA7">
              <w:rPr>
                <w:rFonts w:ascii="David" w:hAnsi="David" w:cs="David" w:hint="cs"/>
                <w:sz w:val="24"/>
                <w:szCs w:val="24"/>
              </w:rPr>
              <w:t>03:30</w:t>
            </w:r>
          </w:p>
        </w:tc>
      </w:tr>
      <w:tr w:rsidR="00CA6B58" w:rsidRPr="00030DA7" w14:paraId="65D836BE" w14:textId="77777777" w:rsidTr="00983F15">
        <w:trPr>
          <w:trHeight w:val="315"/>
        </w:trPr>
        <w:tc>
          <w:tcPr>
            <w:tcW w:w="448" w:type="dxa"/>
          </w:tcPr>
          <w:p w14:paraId="487A1FC6" w14:textId="0883FE30" w:rsidR="00CA6B58" w:rsidRPr="00030DA7" w:rsidRDefault="00CA6B58" w:rsidP="00DC175A">
            <w:pPr>
              <w:jc w:val="both"/>
              <w:rPr>
                <w:rFonts w:ascii="David" w:hAnsi="David" w:cs="David"/>
                <w:sz w:val="24"/>
                <w:szCs w:val="24"/>
                <w:rtl/>
              </w:rPr>
            </w:pPr>
            <w:r>
              <w:rPr>
                <w:rFonts w:ascii="David" w:hAnsi="David" w:cs="David" w:hint="cs"/>
                <w:sz w:val="24"/>
                <w:szCs w:val="24"/>
                <w:rtl/>
              </w:rPr>
              <w:t>12</w:t>
            </w:r>
          </w:p>
        </w:tc>
        <w:tc>
          <w:tcPr>
            <w:tcW w:w="1274" w:type="dxa"/>
          </w:tcPr>
          <w:p w14:paraId="1021DA4E" w14:textId="77777777" w:rsidR="00CA6B58" w:rsidRPr="00030DA7" w:rsidRDefault="00CA6B58" w:rsidP="00DC175A">
            <w:pPr>
              <w:jc w:val="both"/>
              <w:rPr>
                <w:rFonts w:ascii="David" w:hAnsi="David" w:cs="David"/>
                <w:sz w:val="24"/>
                <w:szCs w:val="24"/>
                <w:rtl/>
              </w:rPr>
            </w:pPr>
            <w:r w:rsidRPr="00030DA7">
              <w:rPr>
                <w:rFonts w:ascii="David" w:hAnsi="David" w:cs="David" w:hint="cs"/>
                <w:b/>
                <w:bCs/>
                <w:sz w:val="24"/>
                <w:szCs w:val="24"/>
                <w:rtl/>
              </w:rPr>
              <w:t>מחוזי</w:t>
            </w:r>
          </w:p>
        </w:tc>
        <w:tc>
          <w:tcPr>
            <w:tcW w:w="1857" w:type="dxa"/>
            <w:hideMark/>
          </w:tcPr>
          <w:p w14:paraId="7DC0A0F9"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tl/>
              </w:rPr>
              <w:t>נ"מ</w:t>
            </w:r>
          </w:p>
        </w:tc>
        <w:tc>
          <w:tcPr>
            <w:tcW w:w="2835" w:type="dxa"/>
            <w:hideMark/>
          </w:tcPr>
          <w:p w14:paraId="61EC6AF7"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Pr>
              <w:t>25</w:t>
            </w:r>
          </w:p>
        </w:tc>
        <w:tc>
          <w:tcPr>
            <w:tcW w:w="2266" w:type="dxa"/>
            <w:noWrap/>
            <w:hideMark/>
          </w:tcPr>
          <w:p w14:paraId="45D05EF8" w14:textId="77777777" w:rsidR="00CA6B58" w:rsidRPr="00030DA7" w:rsidRDefault="00CA6B58" w:rsidP="00DC175A">
            <w:pPr>
              <w:jc w:val="both"/>
              <w:rPr>
                <w:rFonts w:ascii="David" w:hAnsi="David" w:cs="David"/>
                <w:sz w:val="24"/>
                <w:szCs w:val="24"/>
              </w:rPr>
            </w:pPr>
            <w:r w:rsidRPr="00030DA7">
              <w:rPr>
                <w:rFonts w:ascii="David" w:hAnsi="David" w:cs="David" w:hint="cs"/>
                <w:sz w:val="24"/>
                <w:szCs w:val="24"/>
              </w:rPr>
              <w:t>06:30</w:t>
            </w:r>
          </w:p>
        </w:tc>
      </w:tr>
      <w:tr w:rsidR="00CA6B58" w:rsidRPr="00030DA7" w14:paraId="35C1E72F" w14:textId="77777777" w:rsidTr="00983F15">
        <w:trPr>
          <w:trHeight w:val="315"/>
        </w:trPr>
        <w:tc>
          <w:tcPr>
            <w:tcW w:w="448" w:type="dxa"/>
          </w:tcPr>
          <w:p w14:paraId="32B91162" w14:textId="1024D41F" w:rsidR="00CA6B58" w:rsidRPr="00030DA7" w:rsidRDefault="00CA6B58" w:rsidP="00DC175A">
            <w:pPr>
              <w:jc w:val="both"/>
              <w:rPr>
                <w:rFonts w:ascii="David" w:hAnsi="David" w:cs="David"/>
                <w:sz w:val="24"/>
                <w:szCs w:val="24"/>
                <w:rtl/>
              </w:rPr>
            </w:pPr>
            <w:r>
              <w:rPr>
                <w:rFonts w:ascii="David" w:hAnsi="David" w:cs="David" w:hint="cs"/>
                <w:sz w:val="24"/>
                <w:szCs w:val="24"/>
                <w:rtl/>
              </w:rPr>
              <w:t>13</w:t>
            </w:r>
          </w:p>
        </w:tc>
        <w:tc>
          <w:tcPr>
            <w:tcW w:w="1274" w:type="dxa"/>
          </w:tcPr>
          <w:p w14:paraId="00DCA7D5" w14:textId="77777777" w:rsidR="00CA6B58" w:rsidRPr="00030DA7" w:rsidRDefault="00CA6B58" w:rsidP="00DC175A">
            <w:pPr>
              <w:jc w:val="both"/>
              <w:rPr>
                <w:rFonts w:ascii="David" w:hAnsi="David" w:cs="David"/>
                <w:sz w:val="24"/>
                <w:szCs w:val="24"/>
                <w:rtl/>
              </w:rPr>
            </w:pPr>
            <w:r w:rsidRPr="00030DA7">
              <w:rPr>
                <w:rFonts w:ascii="David" w:hAnsi="David" w:cs="David" w:hint="cs"/>
                <w:b/>
                <w:bCs/>
                <w:sz w:val="24"/>
                <w:szCs w:val="24"/>
                <w:rtl/>
              </w:rPr>
              <w:t>מחוזי</w:t>
            </w:r>
          </w:p>
        </w:tc>
        <w:tc>
          <w:tcPr>
            <w:tcW w:w="1857" w:type="dxa"/>
            <w:hideMark/>
          </w:tcPr>
          <w:p w14:paraId="2C1F57F1"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tl/>
              </w:rPr>
              <w:t>עבע"ח</w:t>
            </w:r>
          </w:p>
        </w:tc>
        <w:tc>
          <w:tcPr>
            <w:tcW w:w="2835" w:type="dxa"/>
            <w:hideMark/>
          </w:tcPr>
          <w:p w14:paraId="497D8FEB"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Pr>
              <w:t>22</w:t>
            </w:r>
          </w:p>
        </w:tc>
        <w:tc>
          <w:tcPr>
            <w:tcW w:w="2266" w:type="dxa"/>
            <w:noWrap/>
            <w:hideMark/>
          </w:tcPr>
          <w:p w14:paraId="710707C4" w14:textId="77777777" w:rsidR="00CA6B58" w:rsidRPr="00030DA7" w:rsidRDefault="00CA6B58" w:rsidP="00DC175A">
            <w:pPr>
              <w:jc w:val="both"/>
              <w:rPr>
                <w:rFonts w:ascii="David" w:hAnsi="David" w:cs="David"/>
                <w:sz w:val="24"/>
                <w:szCs w:val="24"/>
              </w:rPr>
            </w:pPr>
            <w:r w:rsidRPr="00030DA7">
              <w:rPr>
                <w:rFonts w:ascii="David" w:hAnsi="David" w:cs="David" w:hint="cs"/>
                <w:sz w:val="24"/>
                <w:szCs w:val="24"/>
              </w:rPr>
              <w:t>02:15</w:t>
            </w:r>
          </w:p>
        </w:tc>
      </w:tr>
      <w:tr w:rsidR="00CA6B58" w:rsidRPr="00030DA7" w14:paraId="7C5BC62A" w14:textId="77777777" w:rsidTr="00983F15">
        <w:trPr>
          <w:trHeight w:val="315"/>
        </w:trPr>
        <w:tc>
          <w:tcPr>
            <w:tcW w:w="448" w:type="dxa"/>
          </w:tcPr>
          <w:p w14:paraId="6ACECF03" w14:textId="2D055192" w:rsidR="00CA6B58" w:rsidRPr="00030DA7" w:rsidRDefault="00CA6B58" w:rsidP="00DC175A">
            <w:pPr>
              <w:jc w:val="both"/>
              <w:rPr>
                <w:rFonts w:ascii="David" w:hAnsi="David" w:cs="David"/>
                <w:sz w:val="24"/>
                <w:szCs w:val="24"/>
                <w:rtl/>
              </w:rPr>
            </w:pPr>
            <w:r>
              <w:rPr>
                <w:rFonts w:ascii="David" w:hAnsi="David" w:cs="David" w:hint="cs"/>
                <w:sz w:val="24"/>
                <w:szCs w:val="24"/>
                <w:rtl/>
              </w:rPr>
              <w:t>14</w:t>
            </w:r>
          </w:p>
        </w:tc>
        <w:tc>
          <w:tcPr>
            <w:tcW w:w="1274" w:type="dxa"/>
          </w:tcPr>
          <w:p w14:paraId="1AE8973C" w14:textId="77777777" w:rsidR="00CA6B58" w:rsidRPr="00030DA7" w:rsidRDefault="00CA6B58" w:rsidP="00DC175A">
            <w:pPr>
              <w:jc w:val="both"/>
              <w:rPr>
                <w:rFonts w:ascii="David" w:hAnsi="David" w:cs="David"/>
                <w:sz w:val="24"/>
                <w:szCs w:val="24"/>
                <w:rtl/>
              </w:rPr>
            </w:pPr>
            <w:r w:rsidRPr="00030DA7">
              <w:rPr>
                <w:rFonts w:ascii="David" w:hAnsi="David" w:cs="David" w:hint="cs"/>
                <w:b/>
                <w:bCs/>
                <w:sz w:val="24"/>
                <w:szCs w:val="24"/>
                <w:rtl/>
              </w:rPr>
              <w:t>מחוזי</w:t>
            </w:r>
          </w:p>
        </w:tc>
        <w:tc>
          <w:tcPr>
            <w:tcW w:w="1857" w:type="dxa"/>
            <w:hideMark/>
          </w:tcPr>
          <w:p w14:paraId="67FE970F"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tl/>
              </w:rPr>
              <w:t>עמ"צ</w:t>
            </w:r>
          </w:p>
        </w:tc>
        <w:tc>
          <w:tcPr>
            <w:tcW w:w="2835" w:type="dxa"/>
            <w:hideMark/>
          </w:tcPr>
          <w:p w14:paraId="2CF6187B"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Pr>
              <w:t>18</w:t>
            </w:r>
          </w:p>
        </w:tc>
        <w:tc>
          <w:tcPr>
            <w:tcW w:w="2266" w:type="dxa"/>
            <w:noWrap/>
            <w:hideMark/>
          </w:tcPr>
          <w:p w14:paraId="7815EE16" w14:textId="77777777" w:rsidR="00CA6B58" w:rsidRPr="00030DA7" w:rsidRDefault="00CA6B58" w:rsidP="00DC175A">
            <w:pPr>
              <w:jc w:val="both"/>
              <w:rPr>
                <w:rFonts w:ascii="David" w:hAnsi="David" w:cs="David"/>
                <w:sz w:val="24"/>
                <w:szCs w:val="24"/>
              </w:rPr>
            </w:pPr>
            <w:r w:rsidRPr="00030DA7">
              <w:rPr>
                <w:rFonts w:ascii="David" w:hAnsi="David" w:cs="David" w:hint="cs"/>
                <w:sz w:val="24"/>
                <w:szCs w:val="24"/>
              </w:rPr>
              <w:t>30:00</w:t>
            </w:r>
          </w:p>
        </w:tc>
      </w:tr>
      <w:tr w:rsidR="00CA6B58" w:rsidRPr="00030DA7" w14:paraId="1C783EB0" w14:textId="77777777" w:rsidTr="00983F15">
        <w:trPr>
          <w:trHeight w:val="315"/>
        </w:trPr>
        <w:tc>
          <w:tcPr>
            <w:tcW w:w="448" w:type="dxa"/>
          </w:tcPr>
          <w:p w14:paraId="67CE22FB" w14:textId="649A3790" w:rsidR="00CA6B58" w:rsidRPr="00030DA7" w:rsidRDefault="00CA6B58" w:rsidP="00DC175A">
            <w:pPr>
              <w:jc w:val="both"/>
              <w:rPr>
                <w:rFonts w:ascii="David" w:hAnsi="David" w:cs="David"/>
                <w:sz w:val="24"/>
                <w:szCs w:val="24"/>
                <w:rtl/>
              </w:rPr>
            </w:pPr>
            <w:r>
              <w:rPr>
                <w:rFonts w:ascii="David" w:hAnsi="David" w:cs="David" w:hint="cs"/>
                <w:sz w:val="24"/>
                <w:szCs w:val="24"/>
                <w:rtl/>
              </w:rPr>
              <w:t>15</w:t>
            </w:r>
          </w:p>
        </w:tc>
        <w:tc>
          <w:tcPr>
            <w:tcW w:w="1274" w:type="dxa"/>
          </w:tcPr>
          <w:p w14:paraId="6A20DC69" w14:textId="77777777" w:rsidR="00CA6B58" w:rsidRPr="00030DA7" w:rsidRDefault="00CA6B58" w:rsidP="00DC175A">
            <w:pPr>
              <w:jc w:val="both"/>
              <w:rPr>
                <w:rFonts w:ascii="David" w:hAnsi="David" w:cs="David"/>
                <w:sz w:val="24"/>
                <w:szCs w:val="24"/>
                <w:rtl/>
              </w:rPr>
            </w:pPr>
            <w:r w:rsidRPr="00030DA7">
              <w:rPr>
                <w:rFonts w:ascii="David" w:hAnsi="David" w:cs="David" w:hint="cs"/>
                <w:b/>
                <w:bCs/>
                <w:sz w:val="24"/>
                <w:szCs w:val="24"/>
                <w:rtl/>
              </w:rPr>
              <w:t>מחוזי</w:t>
            </w:r>
          </w:p>
        </w:tc>
        <w:tc>
          <w:tcPr>
            <w:tcW w:w="1857" w:type="dxa"/>
            <w:hideMark/>
          </w:tcPr>
          <w:p w14:paraId="09B49133"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tl/>
              </w:rPr>
              <w:t>ת"ח</w:t>
            </w:r>
          </w:p>
        </w:tc>
        <w:tc>
          <w:tcPr>
            <w:tcW w:w="2835" w:type="dxa"/>
            <w:hideMark/>
          </w:tcPr>
          <w:p w14:paraId="6F32F7F7"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Pr>
              <w:t>18</w:t>
            </w:r>
          </w:p>
        </w:tc>
        <w:tc>
          <w:tcPr>
            <w:tcW w:w="2266" w:type="dxa"/>
            <w:noWrap/>
            <w:hideMark/>
          </w:tcPr>
          <w:p w14:paraId="115F9F8A" w14:textId="77777777" w:rsidR="00CA6B58" w:rsidRPr="00030DA7" w:rsidRDefault="00CA6B58" w:rsidP="00DC175A">
            <w:pPr>
              <w:jc w:val="both"/>
              <w:rPr>
                <w:rFonts w:ascii="David" w:hAnsi="David" w:cs="David"/>
                <w:sz w:val="24"/>
                <w:szCs w:val="24"/>
              </w:rPr>
            </w:pPr>
            <w:r w:rsidRPr="00030DA7">
              <w:rPr>
                <w:rFonts w:ascii="David" w:hAnsi="David" w:cs="David" w:hint="cs"/>
                <w:sz w:val="24"/>
                <w:szCs w:val="24"/>
              </w:rPr>
              <w:t>06:46</w:t>
            </w:r>
          </w:p>
        </w:tc>
      </w:tr>
      <w:tr w:rsidR="00CA6B58" w:rsidRPr="00030DA7" w14:paraId="368E913B" w14:textId="77777777" w:rsidTr="00983F15">
        <w:trPr>
          <w:trHeight w:val="315"/>
        </w:trPr>
        <w:tc>
          <w:tcPr>
            <w:tcW w:w="448" w:type="dxa"/>
          </w:tcPr>
          <w:p w14:paraId="4C099957" w14:textId="73714BB2" w:rsidR="00CA6B58" w:rsidRPr="00030DA7" w:rsidRDefault="00CA6B58" w:rsidP="00DC175A">
            <w:pPr>
              <w:jc w:val="both"/>
              <w:rPr>
                <w:rFonts w:ascii="David" w:hAnsi="David" w:cs="David"/>
                <w:sz w:val="24"/>
                <w:szCs w:val="24"/>
                <w:rtl/>
              </w:rPr>
            </w:pPr>
            <w:r>
              <w:rPr>
                <w:rFonts w:ascii="David" w:hAnsi="David" w:cs="David" w:hint="cs"/>
                <w:sz w:val="24"/>
                <w:szCs w:val="24"/>
                <w:rtl/>
              </w:rPr>
              <w:t>16</w:t>
            </w:r>
          </w:p>
        </w:tc>
        <w:tc>
          <w:tcPr>
            <w:tcW w:w="1274" w:type="dxa"/>
          </w:tcPr>
          <w:p w14:paraId="274C6950" w14:textId="77777777" w:rsidR="00CA6B58" w:rsidRPr="00030DA7" w:rsidRDefault="00CA6B58" w:rsidP="00DC175A">
            <w:pPr>
              <w:jc w:val="both"/>
              <w:rPr>
                <w:rFonts w:ascii="David" w:hAnsi="David" w:cs="David"/>
                <w:sz w:val="24"/>
                <w:szCs w:val="24"/>
                <w:rtl/>
              </w:rPr>
            </w:pPr>
            <w:r w:rsidRPr="00030DA7">
              <w:rPr>
                <w:rFonts w:ascii="David" w:hAnsi="David" w:cs="David" w:hint="cs"/>
                <w:b/>
                <w:bCs/>
                <w:sz w:val="24"/>
                <w:szCs w:val="24"/>
                <w:rtl/>
              </w:rPr>
              <w:t>מחוזי</w:t>
            </w:r>
          </w:p>
        </w:tc>
        <w:tc>
          <w:tcPr>
            <w:tcW w:w="1857" w:type="dxa"/>
            <w:hideMark/>
          </w:tcPr>
          <w:p w14:paraId="3970D936"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tl/>
              </w:rPr>
              <w:t>בצ"א</w:t>
            </w:r>
          </w:p>
        </w:tc>
        <w:tc>
          <w:tcPr>
            <w:tcW w:w="2835" w:type="dxa"/>
            <w:hideMark/>
          </w:tcPr>
          <w:p w14:paraId="3949BA78" w14:textId="77777777" w:rsidR="00CA6B58" w:rsidRPr="00030DA7" w:rsidRDefault="00CA6B58" w:rsidP="00DC175A">
            <w:pPr>
              <w:jc w:val="both"/>
              <w:rPr>
                <w:rFonts w:ascii="David" w:hAnsi="David" w:cs="David"/>
                <w:sz w:val="24"/>
                <w:szCs w:val="24"/>
                <w:rtl/>
              </w:rPr>
            </w:pPr>
            <w:r w:rsidRPr="00030DA7">
              <w:rPr>
                <w:rFonts w:ascii="David" w:hAnsi="David" w:cs="David" w:hint="cs"/>
                <w:sz w:val="24"/>
                <w:szCs w:val="24"/>
              </w:rPr>
              <w:t>17</w:t>
            </w:r>
          </w:p>
        </w:tc>
        <w:tc>
          <w:tcPr>
            <w:tcW w:w="2266" w:type="dxa"/>
            <w:noWrap/>
            <w:hideMark/>
          </w:tcPr>
          <w:p w14:paraId="5C835CDE" w14:textId="77777777" w:rsidR="00CA6B58" w:rsidRPr="00030DA7" w:rsidRDefault="00CA6B58" w:rsidP="00DC175A">
            <w:pPr>
              <w:jc w:val="both"/>
              <w:rPr>
                <w:rFonts w:ascii="David" w:hAnsi="David" w:cs="David"/>
                <w:sz w:val="24"/>
                <w:szCs w:val="24"/>
              </w:rPr>
            </w:pPr>
            <w:r w:rsidRPr="00030DA7">
              <w:rPr>
                <w:rFonts w:ascii="David" w:hAnsi="David" w:cs="David" w:hint="cs"/>
                <w:sz w:val="24"/>
                <w:szCs w:val="24"/>
              </w:rPr>
              <w:t>00:35</w:t>
            </w:r>
          </w:p>
        </w:tc>
      </w:tr>
      <w:tr w:rsidR="003E67B5" w:rsidRPr="00030DA7" w14:paraId="01106003" w14:textId="77777777" w:rsidTr="00983F15">
        <w:trPr>
          <w:trHeight w:val="315"/>
        </w:trPr>
        <w:tc>
          <w:tcPr>
            <w:tcW w:w="448" w:type="dxa"/>
          </w:tcPr>
          <w:p w14:paraId="16666372" w14:textId="6F601FFC" w:rsidR="003E67B5" w:rsidRPr="00030DA7" w:rsidRDefault="003E67B5" w:rsidP="00DC175A">
            <w:pPr>
              <w:jc w:val="both"/>
              <w:rPr>
                <w:rFonts w:ascii="David" w:hAnsi="David" w:cs="David"/>
                <w:sz w:val="24"/>
                <w:szCs w:val="24"/>
                <w:rtl/>
              </w:rPr>
            </w:pPr>
            <w:r>
              <w:rPr>
                <w:rFonts w:ascii="David" w:hAnsi="David" w:cs="David" w:hint="cs"/>
                <w:sz w:val="24"/>
                <w:szCs w:val="24"/>
                <w:rtl/>
              </w:rPr>
              <w:t>17</w:t>
            </w:r>
          </w:p>
        </w:tc>
        <w:tc>
          <w:tcPr>
            <w:tcW w:w="1274" w:type="dxa"/>
          </w:tcPr>
          <w:p w14:paraId="7101CC2D" w14:textId="03B6B76B" w:rsidR="003E67B5" w:rsidRPr="00030DA7" w:rsidRDefault="003E67B5" w:rsidP="00DC175A">
            <w:pPr>
              <w:jc w:val="both"/>
              <w:rPr>
                <w:rFonts w:ascii="David" w:hAnsi="David" w:cs="David"/>
                <w:sz w:val="24"/>
                <w:szCs w:val="24"/>
                <w:rtl/>
              </w:rPr>
            </w:pPr>
            <w:r w:rsidRPr="00030DA7">
              <w:rPr>
                <w:rFonts w:ascii="David" w:hAnsi="David" w:cs="David" w:hint="cs"/>
                <w:b/>
                <w:bCs/>
                <w:sz w:val="24"/>
                <w:szCs w:val="24"/>
                <w:rtl/>
              </w:rPr>
              <w:t>מחוזי</w:t>
            </w:r>
          </w:p>
        </w:tc>
        <w:tc>
          <w:tcPr>
            <w:tcW w:w="1857" w:type="dxa"/>
            <w:hideMark/>
          </w:tcPr>
          <w:p w14:paraId="6D02CA4A" w14:textId="1356283D" w:rsidR="003E67B5" w:rsidRPr="00645866" w:rsidRDefault="003E67B5" w:rsidP="00DC175A">
            <w:pPr>
              <w:jc w:val="both"/>
              <w:rPr>
                <w:rFonts w:ascii="David" w:hAnsi="David" w:cs="David"/>
                <w:sz w:val="24"/>
                <w:szCs w:val="24"/>
                <w:highlight w:val="yellow"/>
                <w:rtl/>
              </w:rPr>
            </w:pPr>
            <w:r w:rsidRPr="00030DA7">
              <w:rPr>
                <w:rFonts w:ascii="David" w:hAnsi="David" w:cs="David" w:hint="cs"/>
                <w:sz w:val="24"/>
                <w:szCs w:val="24"/>
                <w:rtl/>
              </w:rPr>
              <w:t>מ"מ</w:t>
            </w:r>
          </w:p>
        </w:tc>
        <w:tc>
          <w:tcPr>
            <w:tcW w:w="2835" w:type="dxa"/>
            <w:hideMark/>
          </w:tcPr>
          <w:p w14:paraId="1F17611C" w14:textId="50BEB24F" w:rsidR="003E67B5" w:rsidRPr="00645866" w:rsidRDefault="003E67B5" w:rsidP="00DC175A">
            <w:pPr>
              <w:jc w:val="both"/>
              <w:rPr>
                <w:rFonts w:ascii="David" w:hAnsi="David" w:cs="David"/>
                <w:sz w:val="24"/>
                <w:szCs w:val="24"/>
                <w:highlight w:val="yellow"/>
                <w:rtl/>
              </w:rPr>
            </w:pPr>
            <w:r w:rsidRPr="00030DA7">
              <w:rPr>
                <w:rFonts w:ascii="David" w:hAnsi="David" w:cs="David" w:hint="cs"/>
                <w:sz w:val="24"/>
                <w:szCs w:val="24"/>
              </w:rPr>
              <w:t>14</w:t>
            </w:r>
          </w:p>
        </w:tc>
        <w:tc>
          <w:tcPr>
            <w:tcW w:w="2266" w:type="dxa"/>
            <w:noWrap/>
            <w:hideMark/>
          </w:tcPr>
          <w:p w14:paraId="5EF53C1F" w14:textId="1E0087E8" w:rsidR="003E67B5" w:rsidRPr="00645866" w:rsidRDefault="003E67B5" w:rsidP="00DC175A">
            <w:pPr>
              <w:jc w:val="both"/>
              <w:rPr>
                <w:rFonts w:ascii="David" w:hAnsi="David" w:cs="David"/>
                <w:sz w:val="24"/>
                <w:szCs w:val="24"/>
                <w:highlight w:val="yellow"/>
              </w:rPr>
            </w:pPr>
            <w:r w:rsidRPr="00030DA7">
              <w:rPr>
                <w:rFonts w:ascii="David" w:hAnsi="David" w:cs="David" w:hint="cs"/>
                <w:sz w:val="24"/>
                <w:szCs w:val="24"/>
              </w:rPr>
              <w:t>10:00</w:t>
            </w:r>
          </w:p>
        </w:tc>
      </w:tr>
      <w:tr w:rsidR="003E67B5" w:rsidRPr="00030DA7" w14:paraId="4DBD91FF" w14:textId="77777777" w:rsidTr="00983F15">
        <w:trPr>
          <w:trHeight w:val="315"/>
        </w:trPr>
        <w:tc>
          <w:tcPr>
            <w:tcW w:w="448" w:type="dxa"/>
          </w:tcPr>
          <w:p w14:paraId="6C3FF208" w14:textId="5A5AE416" w:rsidR="003E67B5" w:rsidRPr="00030DA7" w:rsidRDefault="003E67B5" w:rsidP="00DC175A">
            <w:pPr>
              <w:jc w:val="both"/>
              <w:rPr>
                <w:rFonts w:ascii="David" w:hAnsi="David" w:cs="David"/>
                <w:sz w:val="24"/>
                <w:szCs w:val="24"/>
                <w:rtl/>
              </w:rPr>
            </w:pPr>
            <w:r>
              <w:rPr>
                <w:rFonts w:ascii="David" w:hAnsi="David" w:cs="David" w:hint="cs"/>
                <w:sz w:val="24"/>
                <w:szCs w:val="24"/>
                <w:rtl/>
              </w:rPr>
              <w:t>18</w:t>
            </w:r>
          </w:p>
        </w:tc>
        <w:tc>
          <w:tcPr>
            <w:tcW w:w="1274" w:type="dxa"/>
          </w:tcPr>
          <w:p w14:paraId="6C351DC8" w14:textId="333551FE" w:rsidR="003E67B5" w:rsidRPr="00030DA7" w:rsidRDefault="003E67B5" w:rsidP="00DC175A">
            <w:pPr>
              <w:jc w:val="both"/>
              <w:rPr>
                <w:rFonts w:ascii="David" w:hAnsi="David" w:cs="David"/>
                <w:sz w:val="24"/>
                <w:szCs w:val="24"/>
                <w:rtl/>
              </w:rPr>
            </w:pPr>
            <w:r w:rsidRPr="00030DA7">
              <w:rPr>
                <w:rFonts w:ascii="David" w:hAnsi="David" w:cs="David" w:hint="cs"/>
                <w:b/>
                <w:bCs/>
                <w:sz w:val="24"/>
                <w:szCs w:val="24"/>
                <w:rtl/>
              </w:rPr>
              <w:t>מחוזי</w:t>
            </w:r>
          </w:p>
        </w:tc>
        <w:tc>
          <w:tcPr>
            <w:tcW w:w="1857" w:type="dxa"/>
            <w:hideMark/>
          </w:tcPr>
          <w:p w14:paraId="4CC47738" w14:textId="0B54CC74" w:rsidR="003E67B5" w:rsidRPr="00030DA7" w:rsidRDefault="003E67B5" w:rsidP="00DC175A">
            <w:pPr>
              <w:jc w:val="both"/>
              <w:rPr>
                <w:rFonts w:ascii="David" w:hAnsi="David" w:cs="David"/>
                <w:sz w:val="24"/>
                <w:szCs w:val="24"/>
                <w:rtl/>
              </w:rPr>
            </w:pPr>
            <w:r w:rsidRPr="00030DA7">
              <w:rPr>
                <w:rFonts w:ascii="David" w:hAnsi="David" w:cs="David" w:hint="cs"/>
                <w:sz w:val="24"/>
                <w:szCs w:val="24"/>
                <w:rtl/>
              </w:rPr>
              <w:t>עבא"פ</w:t>
            </w:r>
          </w:p>
        </w:tc>
        <w:tc>
          <w:tcPr>
            <w:tcW w:w="2835" w:type="dxa"/>
            <w:hideMark/>
          </w:tcPr>
          <w:p w14:paraId="281E7909" w14:textId="20660BD0" w:rsidR="003E67B5" w:rsidRPr="00030DA7" w:rsidRDefault="003E67B5" w:rsidP="00DC175A">
            <w:pPr>
              <w:jc w:val="both"/>
              <w:rPr>
                <w:rFonts w:ascii="David" w:hAnsi="David" w:cs="David"/>
                <w:sz w:val="24"/>
                <w:szCs w:val="24"/>
                <w:rtl/>
              </w:rPr>
            </w:pPr>
            <w:r w:rsidRPr="00030DA7">
              <w:rPr>
                <w:rFonts w:ascii="David" w:hAnsi="David" w:cs="David" w:hint="cs"/>
                <w:sz w:val="24"/>
                <w:szCs w:val="24"/>
              </w:rPr>
              <w:t>9</w:t>
            </w:r>
          </w:p>
        </w:tc>
        <w:tc>
          <w:tcPr>
            <w:tcW w:w="2266" w:type="dxa"/>
            <w:noWrap/>
            <w:hideMark/>
          </w:tcPr>
          <w:p w14:paraId="34161201" w14:textId="7CC84417" w:rsidR="003E67B5" w:rsidRPr="00030DA7" w:rsidRDefault="003E67B5" w:rsidP="00DC175A">
            <w:pPr>
              <w:jc w:val="both"/>
              <w:rPr>
                <w:rFonts w:ascii="David" w:hAnsi="David" w:cs="David"/>
                <w:sz w:val="24"/>
                <w:szCs w:val="24"/>
              </w:rPr>
            </w:pPr>
            <w:r w:rsidRPr="00030DA7">
              <w:rPr>
                <w:rFonts w:ascii="David" w:hAnsi="David" w:cs="David" w:hint="cs"/>
                <w:sz w:val="24"/>
                <w:szCs w:val="24"/>
              </w:rPr>
              <w:t>00:40</w:t>
            </w:r>
          </w:p>
        </w:tc>
      </w:tr>
      <w:tr w:rsidR="003E67B5" w:rsidRPr="00030DA7" w14:paraId="045E2798" w14:textId="77777777" w:rsidTr="00983F15">
        <w:trPr>
          <w:trHeight w:val="315"/>
        </w:trPr>
        <w:tc>
          <w:tcPr>
            <w:tcW w:w="448" w:type="dxa"/>
          </w:tcPr>
          <w:p w14:paraId="7C96B11C" w14:textId="34CEE53E" w:rsidR="003E67B5" w:rsidRPr="00030DA7" w:rsidRDefault="003E67B5" w:rsidP="00DC175A">
            <w:pPr>
              <w:jc w:val="both"/>
              <w:rPr>
                <w:rFonts w:ascii="David" w:hAnsi="David" w:cs="David"/>
                <w:sz w:val="24"/>
                <w:szCs w:val="24"/>
                <w:rtl/>
              </w:rPr>
            </w:pPr>
            <w:r>
              <w:rPr>
                <w:rFonts w:ascii="David" w:hAnsi="David" w:cs="David" w:hint="cs"/>
                <w:sz w:val="24"/>
                <w:szCs w:val="24"/>
                <w:rtl/>
              </w:rPr>
              <w:t>19</w:t>
            </w:r>
          </w:p>
        </w:tc>
        <w:tc>
          <w:tcPr>
            <w:tcW w:w="1274" w:type="dxa"/>
          </w:tcPr>
          <w:p w14:paraId="3C157855" w14:textId="6D4E722A" w:rsidR="003E67B5" w:rsidRPr="00030DA7" w:rsidRDefault="003E67B5" w:rsidP="00DC175A">
            <w:pPr>
              <w:jc w:val="both"/>
              <w:rPr>
                <w:rFonts w:ascii="David" w:hAnsi="David" w:cs="David"/>
                <w:sz w:val="24"/>
                <w:szCs w:val="24"/>
                <w:rtl/>
              </w:rPr>
            </w:pPr>
            <w:r w:rsidRPr="00030DA7">
              <w:rPr>
                <w:rFonts w:ascii="David" w:hAnsi="David" w:cs="David" w:hint="cs"/>
                <w:b/>
                <w:bCs/>
                <w:sz w:val="24"/>
                <w:szCs w:val="24"/>
                <w:rtl/>
              </w:rPr>
              <w:t>מחוזי</w:t>
            </w:r>
          </w:p>
        </w:tc>
        <w:tc>
          <w:tcPr>
            <w:tcW w:w="1857" w:type="dxa"/>
            <w:noWrap/>
            <w:hideMark/>
          </w:tcPr>
          <w:p w14:paraId="1EB623C8" w14:textId="15EDC51B" w:rsidR="003E67B5" w:rsidRPr="00030DA7" w:rsidRDefault="003E67B5" w:rsidP="00DC175A">
            <w:pPr>
              <w:jc w:val="both"/>
              <w:rPr>
                <w:rFonts w:ascii="David" w:hAnsi="David" w:cs="David"/>
                <w:sz w:val="24"/>
                <w:szCs w:val="24"/>
                <w:rtl/>
              </w:rPr>
            </w:pPr>
            <w:r w:rsidRPr="00030DA7">
              <w:rPr>
                <w:rFonts w:ascii="David" w:hAnsi="David" w:cs="David" w:hint="cs"/>
                <w:sz w:val="24"/>
                <w:szCs w:val="24"/>
                <w:rtl/>
              </w:rPr>
              <w:t>נמ"ב</w:t>
            </w:r>
          </w:p>
        </w:tc>
        <w:tc>
          <w:tcPr>
            <w:tcW w:w="2835" w:type="dxa"/>
            <w:hideMark/>
          </w:tcPr>
          <w:p w14:paraId="4C876D66" w14:textId="2CB5AF04" w:rsidR="003E67B5" w:rsidRPr="00030DA7" w:rsidRDefault="003E67B5" w:rsidP="00DC175A">
            <w:pPr>
              <w:jc w:val="both"/>
              <w:rPr>
                <w:rFonts w:ascii="David" w:hAnsi="David" w:cs="David"/>
                <w:sz w:val="24"/>
                <w:szCs w:val="24"/>
                <w:rtl/>
              </w:rPr>
            </w:pPr>
            <w:r w:rsidRPr="00030DA7">
              <w:rPr>
                <w:rFonts w:ascii="David" w:hAnsi="David" w:cs="David" w:hint="cs"/>
                <w:sz w:val="24"/>
                <w:szCs w:val="24"/>
              </w:rPr>
              <w:t>6</w:t>
            </w:r>
          </w:p>
        </w:tc>
        <w:tc>
          <w:tcPr>
            <w:tcW w:w="2266" w:type="dxa"/>
            <w:noWrap/>
            <w:hideMark/>
          </w:tcPr>
          <w:p w14:paraId="027CAF4F" w14:textId="3A930C2E" w:rsidR="003E67B5" w:rsidRPr="00030DA7" w:rsidRDefault="003E67B5" w:rsidP="00DC175A">
            <w:pPr>
              <w:jc w:val="both"/>
              <w:rPr>
                <w:rFonts w:ascii="David" w:hAnsi="David" w:cs="David"/>
                <w:sz w:val="24"/>
                <w:szCs w:val="24"/>
              </w:rPr>
            </w:pPr>
            <w:r w:rsidRPr="00030DA7">
              <w:rPr>
                <w:rFonts w:ascii="David" w:hAnsi="David" w:cs="David" w:hint="cs"/>
                <w:sz w:val="24"/>
                <w:szCs w:val="24"/>
              </w:rPr>
              <w:t>01:15</w:t>
            </w:r>
          </w:p>
        </w:tc>
      </w:tr>
      <w:tr w:rsidR="003E67B5" w:rsidRPr="00030DA7" w14:paraId="02F8B172" w14:textId="77777777" w:rsidTr="00983F15">
        <w:trPr>
          <w:trHeight w:val="315"/>
        </w:trPr>
        <w:tc>
          <w:tcPr>
            <w:tcW w:w="448" w:type="dxa"/>
          </w:tcPr>
          <w:p w14:paraId="2B21A70C" w14:textId="18531A03" w:rsidR="003E67B5" w:rsidRPr="00030DA7" w:rsidRDefault="003E67B5" w:rsidP="00DC175A">
            <w:pPr>
              <w:jc w:val="both"/>
              <w:rPr>
                <w:rFonts w:ascii="David" w:hAnsi="David" w:cs="David"/>
                <w:sz w:val="24"/>
                <w:szCs w:val="24"/>
                <w:rtl/>
              </w:rPr>
            </w:pPr>
            <w:r>
              <w:rPr>
                <w:rFonts w:ascii="David" w:hAnsi="David" w:cs="David" w:hint="cs"/>
                <w:sz w:val="24"/>
                <w:szCs w:val="24"/>
                <w:rtl/>
              </w:rPr>
              <w:t>20</w:t>
            </w:r>
          </w:p>
        </w:tc>
        <w:tc>
          <w:tcPr>
            <w:tcW w:w="1274" w:type="dxa"/>
          </w:tcPr>
          <w:p w14:paraId="45124400" w14:textId="5EE3FB23" w:rsidR="003E67B5" w:rsidRPr="00030DA7" w:rsidRDefault="003E67B5" w:rsidP="00DC175A">
            <w:pPr>
              <w:jc w:val="both"/>
              <w:rPr>
                <w:rFonts w:ascii="David" w:hAnsi="David" w:cs="David"/>
                <w:sz w:val="24"/>
                <w:szCs w:val="24"/>
                <w:rtl/>
              </w:rPr>
            </w:pPr>
            <w:r w:rsidRPr="00030DA7">
              <w:rPr>
                <w:rFonts w:ascii="David" w:hAnsi="David" w:cs="David" w:hint="cs"/>
                <w:b/>
                <w:bCs/>
                <w:sz w:val="24"/>
                <w:szCs w:val="24"/>
                <w:rtl/>
              </w:rPr>
              <w:t>מחוזי</w:t>
            </w:r>
          </w:p>
        </w:tc>
        <w:tc>
          <w:tcPr>
            <w:tcW w:w="1857" w:type="dxa"/>
            <w:noWrap/>
            <w:hideMark/>
          </w:tcPr>
          <w:p w14:paraId="68C79DFC" w14:textId="3940057B" w:rsidR="003E67B5" w:rsidRPr="00030DA7" w:rsidRDefault="003E67B5" w:rsidP="00DC175A">
            <w:pPr>
              <w:jc w:val="both"/>
              <w:rPr>
                <w:rFonts w:ascii="David" w:hAnsi="David" w:cs="David"/>
                <w:sz w:val="24"/>
                <w:szCs w:val="24"/>
                <w:rtl/>
              </w:rPr>
            </w:pPr>
            <w:r w:rsidRPr="00030DA7">
              <w:rPr>
                <w:rFonts w:ascii="David" w:hAnsi="David" w:cs="David" w:hint="cs"/>
                <w:sz w:val="24"/>
                <w:szCs w:val="24"/>
                <w:rtl/>
              </w:rPr>
              <w:t>תה"ג</w:t>
            </w:r>
          </w:p>
        </w:tc>
        <w:tc>
          <w:tcPr>
            <w:tcW w:w="2835" w:type="dxa"/>
            <w:noWrap/>
            <w:hideMark/>
          </w:tcPr>
          <w:p w14:paraId="4D04B6F2" w14:textId="08D021A3" w:rsidR="003E67B5" w:rsidRPr="00030DA7" w:rsidRDefault="003E67B5" w:rsidP="00DC175A">
            <w:pPr>
              <w:jc w:val="both"/>
              <w:rPr>
                <w:rFonts w:ascii="David" w:hAnsi="David" w:cs="David"/>
                <w:sz w:val="24"/>
                <w:szCs w:val="24"/>
                <w:rtl/>
              </w:rPr>
            </w:pPr>
            <w:r w:rsidRPr="00030DA7">
              <w:rPr>
                <w:rFonts w:ascii="David" w:hAnsi="David" w:cs="David" w:hint="cs"/>
                <w:sz w:val="24"/>
                <w:szCs w:val="24"/>
              </w:rPr>
              <w:t>14</w:t>
            </w:r>
          </w:p>
        </w:tc>
        <w:tc>
          <w:tcPr>
            <w:tcW w:w="2266" w:type="dxa"/>
            <w:noWrap/>
            <w:hideMark/>
          </w:tcPr>
          <w:p w14:paraId="48EB390E" w14:textId="2BEEAF33" w:rsidR="003E67B5" w:rsidRPr="00030DA7" w:rsidRDefault="003E67B5" w:rsidP="00DC175A">
            <w:pPr>
              <w:jc w:val="both"/>
              <w:rPr>
                <w:rFonts w:ascii="David" w:hAnsi="David" w:cs="David"/>
                <w:sz w:val="24"/>
                <w:szCs w:val="24"/>
              </w:rPr>
            </w:pPr>
            <w:r w:rsidRPr="00030DA7">
              <w:rPr>
                <w:rFonts w:ascii="David" w:hAnsi="David" w:cs="David" w:hint="cs"/>
                <w:sz w:val="24"/>
                <w:szCs w:val="24"/>
                <w:rtl/>
              </w:rPr>
              <w:t>23:</w:t>
            </w:r>
            <w:r>
              <w:rPr>
                <w:rFonts w:ascii="David" w:hAnsi="David" w:cs="David" w:hint="cs"/>
                <w:sz w:val="24"/>
                <w:szCs w:val="24"/>
                <w:rtl/>
              </w:rPr>
              <w:t>30</w:t>
            </w:r>
          </w:p>
        </w:tc>
      </w:tr>
      <w:tr w:rsidR="003E67B5" w:rsidRPr="00030DA7" w14:paraId="284A2DFB" w14:textId="77777777" w:rsidTr="00983F15">
        <w:trPr>
          <w:trHeight w:val="315"/>
        </w:trPr>
        <w:tc>
          <w:tcPr>
            <w:tcW w:w="448" w:type="dxa"/>
          </w:tcPr>
          <w:p w14:paraId="6F51265C" w14:textId="3AD7A526" w:rsidR="003E67B5" w:rsidRPr="00030DA7" w:rsidRDefault="003E67B5" w:rsidP="00DC175A">
            <w:pPr>
              <w:jc w:val="both"/>
              <w:rPr>
                <w:rFonts w:ascii="David" w:hAnsi="David" w:cs="David"/>
                <w:sz w:val="24"/>
                <w:szCs w:val="24"/>
                <w:rtl/>
              </w:rPr>
            </w:pPr>
            <w:r>
              <w:rPr>
                <w:rFonts w:ascii="David" w:hAnsi="David" w:cs="David" w:hint="cs"/>
                <w:sz w:val="24"/>
                <w:szCs w:val="24"/>
                <w:rtl/>
              </w:rPr>
              <w:t>21</w:t>
            </w:r>
          </w:p>
        </w:tc>
        <w:tc>
          <w:tcPr>
            <w:tcW w:w="1274" w:type="dxa"/>
          </w:tcPr>
          <w:p w14:paraId="17399514" w14:textId="41BBA1C1" w:rsidR="003E67B5" w:rsidRPr="00030DA7" w:rsidRDefault="003E67B5" w:rsidP="00DC175A">
            <w:pPr>
              <w:jc w:val="both"/>
              <w:rPr>
                <w:rFonts w:ascii="David" w:hAnsi="David" w:cs="David"/>
                <w:sz w:val="24"/>
                <w:szCs w:val="24"/>
                <w:rtl/>
              </w:rPr>
            </w:pPr>
            <w:r w:rsidRPr="00ED057B">
              <w:rPr>
                <w:rFonts w:ascii="David" w:hAnsi="David" w:cs="David" w:hint="cs"/>
                <w:b/>
                <w:bCs/>
                <w:sz w:val="24"/>
                <w:szCs w:val="24"/>
                <w:rtl/>
              </w:rPr>
              <w:t>מחוזי</w:t>
            </w:r>
          </w:p>
        </w:tc>
        <w:tc>
          <w:tcPr>
            <w:tcW w:w="1857" w:type="dxa"/>
            <w:noWrap/>
            <w:hideMark/>
          </w:tcPr>
          <w:p w14:paraId="1718EB46" w14:textId="6C436DE6" w:rsidR="003E67B5" w:rsidRPr="00030DA7" w:rsidRDefault="003E67B5" w:rsidP="00DC175A">
            <w:pPr>
              <w:jc w:val="both"/>
              <w:rPr>
                <w:rFonts w:ascii="David" w:hAnsi="David" w:cs="David"/>
                <w:sz w:val="24"/>
                <w:szCs w:val="24"/>
                <w:rtl/>
              </w:rPr>
            </w:pPr>
            <w:r w:rsidRPr="00ED057B">
              <w:rPr>
                <w:rFonts w:ascii="David" w:hAnsi="David" w:cs="David" w:hint="cs"/>
                <w:sz w:val="24"/>
                <w:szCs w:val="24"/>
                <w:rtl/>
              </w:rPr>
              <w:t>ת"כ</w:t>
            </w:r>
            <w:r>
              <w:rPr>
                <w:rFonts w:ascii="David" w:hAnsi="David" w:cs="David" w:hint="cs"/>
                <w:sz w:val="24"/>
                <w:szCs w:val="24"/>
                <w:rtl/>
              </w:rPr>
              <w:t xml:space="preserve"> </w:t>
            </w:r>
          </w:p>
        </w:tc>
        <w:tc>
          <w:tcPr>
            <w:tcW w:w="2835" w:type="dxa"/>
            <w:noWrap/>
            <w:hideMark/>
          </w:tcPr>
          <w:p w14:paraId="32068917" w14:textId="202B8EDE" w:rsidR="003E67B5" w:rsidRPr="00030DA7" w:rsidRDefault="003E67B5" w:rsidP="00DC175A">
            <w:pPr>
              <w:jc w:val="both"/>
              <w:rPr>
                <w:rFonts w:ascii="David" w:hAnsi="David" w:cs="David"/>
                <w:sz w:val="24"/>
                <w:szCs w:val="24"/>
                <w:rtl/>
              </w:rPr>
            </w:pPr>
            <w:r w:rsidRPr="00ED057B">
              <w:rPr>
                <w:rFonts w:ascii="David" w:hAnsi="David" w:cs="David" w:hint="cs"/>
                <w:sz w:val="24"/>
                <w:szCs w:val="24"/>
              </w:rPr>
              <w:t>10</w:t>
            </w:r>
          </w:p>
        </w:tc>
        <w:tc>
          <w:tcPr>
            <w:tcW w:w="2266" w:type="dxa"/>
            <w:noWrap/>
            <w:hideMark/>
          </w:tcPr>
          <w:p w14:paraId="3FC5F4B9" w14:textId="2B57DF62" w:rsidR="003E67B5" w:rsidRPr="00030DA7" w:rsidRDefault="003E67B5" w:rsidP="00DC175A">
            <w:pPr>
              <w:jc w:val="both"/>
              <w:rPr>
                <w:rFonts w:ascii="David" w:hAnsi="David" w:cs="David"/>
                <w:sz w:val="24"/>
                <w:szCs w:val="24"/>
              </w:rPr>
            </w:pPr>
            <w:r>
              <w:rPr>
                <w:rFonts w:ascii="David" w:hAnsi="David" w:cs="David"/>
                <w:sz w:val="24"/>
                <w:szCs w:val="24"/>
              </w:rPr>
              <w:t>40</w:t>
            </w:r>
            <w:r w:rsidRPr="00ED057B">
              <w:rPr>
                <w:rFonts w:ascii="David" w:hAnsi="David" w:cs="David" w:hint="cs"/>
                <w:sz w:val="24"/>
                <w:szCs w:val="24"/>
              </w:rPr>
              <w:t>:00</w:t>
            </w:r>
          </w:p>
        </w:tc>
      </w:tr>
      <w:tr w:rsidR="003E67B5" w:rsidRPr="00030DA7" w14:paraId="52829F7D" w14:textId="77777777" w:rsidTr="00983F15">
        <w:trPr>
          <w:trHeight w:val="315"/>
        </w:trPr>
        <w:tc>
          <w:tcPr>
            <w:tcW w:w="448" w:type="dxa"/>
          </w:tcPr>
          <w:p w14:paraId="40D2C8AE" w14:textId="2DC5C592" w:rsidR="003E67B5" w:rsidRPr="00ED057B" w:rsidRDefault="003E67B5" w:rsidP="00DC175A">
            <w:pPr>
              <w:jc w:val="both"/>
              <w:rPr>
                <w:rFonts w:ascii="David" w:hAnsi="David" w:cs="David"/>
                <w:sz w:val="24"/>
                <w:szCs w:val="24"/>
                <w:rtl/>
              </w:rPr>
            </w:pPr>
            <w:r>
              <w:rPr>
                <w:rFonts w:ascii="David" w:hAnsi="David" w:cs="David" w:hint="cs"/>
                <w:sz w:val="24"/>
                <w:szCs w:val="24"/>
                <w:rtl/>
              </w:rPr>
              <w:t>22</w:t>
            </w:r>
          </w:p>
        </w:tc>
        <w:tc>
          <w:tcPr>
            <w:tcW w:w="1274" w:type="dxa"/>
          </w:tcPr>
          <w:p w14:paraId="71699486" w14:textId="4FE54173" w:rsidR="003E67B5" w:rsidRPr="00ED057B" w:rsidRDefault="003E67B5" w:rsidP="00DC175A">
            <w:pPr>
              <w:jc w:val="both"/>
              <w:rPr>
                <w:rFonts w:ascii="David" w:hAnsi="David" w:cs="David"/>
                <w:sz w:val="24"/>
                <w:szCs w:val="24"/>
                <w:rtl/>
              </w:rPr>
            </w:pPr>
            <w:r w:rsidRPr="00FD20E6">
              <w:rPr>
                <w:rFonts w:ascii="David" w:hAnsi="David" w:cs="David" w:hint="cs"/>
                <w:b/>
                <w:bCs/>
                <w:sz w:val="24"/>
                <w:szCs w:val="24"/>
                <w:rtl/>
              </w:rPr>
              <w:t>מחוזי</w:t>
            </w:r>
          </w:p>
        </w:tc>
        <w:tc>
          <w:tcPr>
            <w:tcW w:w="1857" w:type="dxa"/>
            <w:noWrap/>
            <w:hideMark/>
          </w:tcPr>
          <w:p w14:paraId="7A73C64C" w14:textId="6A074838" w:rsidR="003E67B5" w:rsidRPr="00ED057B" w:rsidRDefault="003E67B5" w:rsidP="00DC175A">
            <w:pPr>
              <w:jc w:val="both"/>
              <w:rPr>
                <w:rFonts w:ascii="David" w:hAnsi="David" w:cs="David"/>
                <w:sz w:val="24"/>
                <w:szCs w:val="24"/>
                <w:rtl/>
              </w:rPr>
            </w:pPr>
            <w:r>
              <w:rPr>
                <w:rFonts w:ascii="David" w:hAnsi="David" w:cs="David" w:hint="cs"/>
                <w:sz w:val="24"/>
                <w:szCs w:val="24"/>
                <w:rtl/>
              </w:rPr>
              <w:t>ת"א (כלכלי)</w:t>
            </w:r>
          </w:p>
        </w:tc>
        <w:tc>
          <w:tcPr>
            <w:tcW w:w="2835" w:type="dxa"/>
            <w:noWrap/>
            <w:hideMark/>
          </w:tcPr>
          <w:p w14:paraId="468B47EC" w14:textId="74E9BC30" w:rsidR="003E67B5" w:rsidRPr="00ED057B" w:rsidRDefault="003E67B5" w:rsidP="00DC175A">
            <w:pPr>
              <w:jc w:val="both"/>
              <w:rPr>
                <w:rFonts w:ascii="David" w:hAnsi="David" w:cs="David"/>
                <w:sz w:val="24"/>
                <w:szCs w:val="24"/>
                <w:rtl/>
              </w:rPr>
            </w:pPr>
            <w:r w:rsidRPr="00CA6B58">
              <w:rPr>
                <w:rFonts w:ascii="David" w:hAnsi="David" w:cs="David" w:hint="cs"/>
                <w:sz w:val="24"/>
                <w:szCs w:val="24"/>
                <w:rtl/>
              </w:rPr>
              <w:t>172</w:t>
            </w:r>
          </w:p>
        </w:tc>
        <w:tc>
          <w:tcPr>
            <w:tcW w:w="2266" w:type="dxa"/>
            <w:noWrap/>
            <w:hideMark/>
          </w:tcPr>
          <w:p w14:paraId="6852FB61" w14:textId="0C23BB98" w:rsidR="003E67B5" w:rsidRPr="00ED057B" w:rsidRDefault="003E67B5" w:rsidP="00DC175A">
            <w:pPr>
              <w:jc w:val="both"/>
              <w:rPr>
                <w:rFonts w:ascii="David" w:hAnsi="David" w:cs="David"/>
                <w:sz w:val="24"/>
                <w:szCs w:val="24"/>
              </w:rPr>
            </w:pPr>
            <w:r>
              <w:rPr>
                <w:rFonts w:ascii="David" w:hAnsi="David" w:cs="David" w:hint="cs"/>
                <w:sz w:val="24"/>
                <w:szCs w:val="24"/>
                <w:rtl/>
              </w:rPr>
              <w:t>50:00</w:t>
            </w:r>
          </w:p>
        </w:tc>
      </w:tr>
      <w:tr w:rsidR="003E67B5" w:rsidRPr="00030DA7" w14:paraId="37511711" w14:textId="77777777" w:rsidTr="00983F15">
        <w:trPr>
          <w:trHeight w:val="315"/>
        </w:trPr>
        <w:tc>
          <w:tcPr>
            <w:tcW w:w="448" w:type="dxa"/>
          </w:tcPr>
          <w:p w14:paraId="782D63C9" w14:textId="3ED3C5B8" w:rsidR="003E67B5" w:rsidRDefault="003E67B5" w:rsidP="00DC175A">
            <w:pPr>
              <w:jc w:val="both"/>
              <w:rPr>
                <w:rFonts w:ascii="David" w:hAnsi="David" w:cs="David"/>
                <w:sz w:val="24"/>
                <w:szCs w:val="24"/>
                <w:rtl/>
              </w:rPr>
            </w:pPr>
            <w:r>
              <w:rPr>
                <w:rFonts w:ascii="David" w:hAnsi="David" w:cs="David" w:hint="cs"/>
                <w:sz w:val="24"/>
                <w:szCs w:val="24"/>
                <w:rtl/>
              </w:rPr>
              <w:t>23</w:t>
            </w:r>
          </w:p>
        </w:tc>
        <w:tc>
          <w:tcPr>
            <w:tcW w:w="1274" w:type="dxa"/>
          </w:tcPr>
          <w:p w14:paraId="005A0D03" w14:textId="27ED92BA" w:rsidR="003E67B5" w:rsidRPr="00ED057B" w:rsidRDefault="003E67B5" w:rsidP="00DC175A">
            <w:pPr>
              <w:jc w:val="both"/>
              <w:rPr>
                <w:rFonts w:ascii="David" w:hAnsi="David" w:cs="David"/>
                <w:b/>
                <w:bCs/>
                <w:sz w:val="24"/>
                <w:szCs w:val="24"/>
                <w:rtl/>
              </w:rPr>
            </w:pPr>
            <w:r w:rsidRPr="00FD20E6">
              <w:rPr>
                <w:rFonts w:ascii="David" w:hAnsi="David" w:cs="David" w:hint="cs"/>
                <w:b/>
                <w:bCs/>
                <w:sz w:val="24"/>
                <w:szCs w:val="24"/>
                <w:rtl/>
              </w:rPr>
              <w:t>מחוזי</w:t>
            </w:r>
          </w:p>
        </w:tc>
        <w:tc>
          <w:tcPr>
            <w:tcW w:w="1857" w:type="dxa"/>
            <w:noWrap/>
          </w:tcPr>
          <w:p w14:paraId="19B1CA4A" w14:textId="2F5F13F3" w:rsidR="003E67B5" w:rsidRPr="00ED057B" w:rsidRDefault="003E67B5" w:rsidP="00DC175A">
            <w:pPr>
              <w:jc w:val="both"/>
              <w:rPr>
                <w:rFonts w:ascii="David" w:hAnsi="David" w:cs="David"/>
                <w:sz w:val="24"/>
                <w:szCs w:val="24"/>
                <w:rtl/>
              </w:rPr>
            </w:pPr>
            <w:r w:rsidRPr="00F50DC2">
              <w:rPr>
                <w:rFonts w:ascii="David" w:hAnsi="David" w:cs="David" w:hint="cs"/>
                <w:sz w:val="24"/>
                <w:szCs w:val="24"/>
                <w:rtl/>
              </w:rPr>
              <w:t>ת"</w:t>
            </w:r>
            <w:r>
              <w:rPr>
                <w:rFonts w:ascii="David" w:hAnsi="David" w:cs="David" w:hint="cs"/>
                <w:sz w:val="24"/>
                <w:szCs w:val="24"/>
                <w:rtl/>
              </w:rPr>
              <w:t>פ</w:t>
            </w:r>
            <w:r w:rsidRPr="00F50DC2">
              <w:rPr>
                <w:rFonts w:ascii="David" w:hAnsi="David" w:cs="David" w:hint="cs"/>
                <w:sz w:val="24"/>
                <w:szCs w:val="24"/>
                <w:rtl/>
              </w:rPr>
              <w:t xml:space="preserve"> (כלכלי)</w:t>
            </w:r>
          </w:p>
        </w:tc>
        <w:tc>
          <w:tcPr>
            <w:tcW w:w="2835" w:type="dxa"/>
            <w:noWrap/>
          </w:tcPr>
          <w:p w14:paraId="54AA3414" w14:textId="592F6CED" w:rsidR="003E67B5" w:rsidRPr="00CA6B58" w:rsidRDefault="003E67B5" w:rsidP="00DC175A">
            <w:pPr>
              <w:jc w:val="both"/>
              <w:rPr>
                <w:rFonts w:ascii="David" w:hAnsi="David" w:cs="David"/>
                <w:sz w:val="24"/>
                <w:szCs w:val="24"/>
              </w:rPr>
            </w:pPr>
            <w:r w:rsidRPr="00CA6B58">
              <w:rPr>
                <w:rFonts w:ascii="David" w:hAnsi="David" w:cs="David" w:hint="cs"/>
                <w:sz w:val="24"/>
                <w:szCs w:val="24"/>
                <w:rtl/>
              </w:rPr>
              <w:t>6</w:t>
            </w:r>
          </w:p>
        </w:tc>
        <w:tc>
          <w:tcPr>
            <w:tcW w:w="2266" w:type="dxa"/>
            <w:noWrap/>
          </w:tcPr>
          <w:p w14:paraId="209CB825" w14:textId="48B04507" w:rsidR="003E67B5" w:rsidRDefault="003E67B5" w:rsidP="00DC175A">
            <w:pPr>
              <w:jc w:val="both"/>
              <w:rPr>
                <w:rFonts w:ascii="David" w:hAnsi="David" w:cs="David"/>
                <w:sz w:val="24"/>
                <w:szCs w:val="24"/>
              </w:rPr>
            </w:pPr>
            <w:r>
              <w:rPr>
                <w:rFonts w:ascii="David" w:hAnsi="David" w:cs="David" w:hint="cs"/>
                <w:sz w:val="24"/>
                <w:szCs w:val="24"/>
                <w:rtl/>
              </w:rPr>
              <w:t>137:00</w:t>
            </w:r>
          </w:p>
        </w:tc>
      </w:tr>
      <w:tr w:rsidR="003E67B5" w:rsidRPr="00030DA7" w14:paraId="179DB582" w14:textId="77777777" w:rsidTr="00983F15">
        <w:trPr>
          <w:trHeight w:val="315"/>
        </w:trPr>
        <w:tc>
          <w:tcPr>
            <w:tcW w:w="448" w:type="dxa"/>
          </w:tcPr>
          <w:p w14:paraId="3CEEC6C9" w14:textId="7273EA0B" w:rsidR="003E67B5" w:rsidRDefault="003E67B5" w:rsidP="00DC175A">
            <w:pPr>
              <w:jc w:val="both"/>
              <w:rPr>
                <w:rFonts w:ascii="David" w:hAnsi="David" w:cs="David"/>
                <w:sz w:val="24"/>
                <w:szCs w:val="24"/>
                <w:rtl/>
              </w:rPr>
            </w:pPr>
            <w:r>
              <w:rPr>
                <w:rFonts w:ascii="David" w:hAnsi="David" w:cs="David" w:hint="cs"/>
                <w:sz w:val="24"/>
                <w:szCs w:val="24"/>
                <w:rtl/>
              </w:rPr>
              <w:t>24</w:t>
            </w:r>
          </w:p>
        </w:tc>
        <w:tc>
          <w:tcPr>
            <w:tcW w:w="1274" w:type="dxa"/>
          </w:tcPr>
          <w:p w14:paraId="2F4CDE2B" w14:textId="31B9E438" w:rsidR="003E67B5" w:rsidRPr="00ED057B" w:rsidRDefault="003E67B5" w:rsidP="00DC175A">
            <w:pPr>
              <w:jc w:val="both"/>
              <w:rPr>
                <w:rFonts w:ascii="David" w:hAnsi="David" w:cs="David"/>
                <w:b/>
                <w:bCs/>
                <w:sz w:val="24"/>
                <w:szCs w:val="24"/>
                <w:rtl/>
              </w:rPr>
            </w:pPr>
            <w:r w:rsidRPr="00FD20E6">
              <w:rPr>
                <w:rFonts w:ascii="David" w:hAnsi="David" w:cs="David" w:hint="cs"/>
                <w:b/>
                <w:bCs/>
                <w:sz w:val="24"/>
                <w:szCs w:val="24"/>
                <w:rtl/>
              </w:rPr>
              <w:t>מחוזי</w:t>
            </w:r>
          </w:p>
        </w:tc>
        <w:tc>
          <w:tcPr>
            <w:tcW w:w="1857" w:type="dxa"/>
            <w:noWrap/>
          </w:tcPr>
          <w:p w14:paraId="32F3E699" w14:textId="7D52E63A" w:rsidR="003E67B5" w:rsidRPr="00ED057B" w:rsidRDefault="003E67B5" w:rsidP="00DC175A">
            <w:pPr>
              <w:jc w:val="both"/>
              <w:rPr>
                <w:rFonts w:ascii="David" w:hAnsi="David" w:cs="David"/>
                <w:sz w:val="24"/>
                <w:szCs w:val="24"/>
                <w:rtl/>
              </w:rPr>
            </w:pPr>
            <w:r w:rsidRPr="00F50DC2">
              <w:rPr>
                <w:rFonts w:ascii="David" w:hAnsi="David" w:cs="David" w:hint="cs"/>
                <w:sz w:val="24"/>
                <w:szCs w:val="24"/>
                <w:rtl/>
              </w:rPr>
              <w:t>ת</w:t>
            </w:r>
            <w:r>
              <w:rPr>
                <w:rFonts w:ascii="David" w:hAnsi="David" w:cs="David" w:hint="cs"/>
                <w:sz w:val="24"/>
                <w:szCs w:val="24"/>
                <w:rtl/>
              </w:rPr>
              <w:t>נ</w:t>
            </w:r>
            <w:r w:rsidRPr="00F50DC2">
              <w:rPr>
                <w:rFonts w:ascii="David" w:hAnsi="David" w:cs="David" w:hint="cs"/>
                <w:sz w:val="24"/>
                <w:szCs w:val="24"/>
                <w:rtl/>
              </w:rPr>
              <w:t>"</w:t>
            </w:r>
            <w:r>
              <w:rPr>
                <w:rFonts w:ascii="David" w:hAnsi="David" w:cs="David" w:hint="cs"/>
                <w:sz w:val="24"/>
                <w:szCs w:val="24"/>
                <w:rtl/>
              </w:rPr>
              <w:t>ג</w:t>
            </w:r>
            <w:r w:rsidRPr="00F50DC2">
              <w:rPr>
                <w:rFonts w:ascii="David" w:hAnsi="David" w:cs="David" w:hint="cs"/>
                <w:sz w:val="24"/>
                <w:szCs w:val="24"/>
                <w:rtl/>
              </w:rPr>
              <w:t xml:space="preserve"> (כלכלי)</w:t>
            </w:r>
          </w:p>
        </w:tc>
        <w:tc>
          <w:tcPr>
            <w:tcW w:w="2835" w:type="dxa"/>
            <w:noWrap/>
          </w:tcPr>
          <w:p w14:paraId="51E2404A" w14:textId="5B998F67" w:rsidR="003E67B5" w:rsidRPr="00CA6B58" w:rsidRDefault="003E67B5" w:rsidP="00DC175A">
            <w:pPr>
              <w:jc w:val="both"/>
              <w:rPr>
                <w:rFonts w:ascii="David" w:hAnsi="David" w:cs="David"/>
                <w:sz w:val="24"/>
                <w:szCs w:val="24"/>
              </w:rPr>
            </w:pPr>
            <w:r w:rsidRPr="00CA6B58">
              <w:rPr>
                <w:rFonts w:ascii="David" w:hAnsi="David" w:cs="David" w:hint="cs"/>
                <w:sz w:val="24"/>
                <w:szCs w:val="24"/>
                <w:rtl/>
              </w:rPr>
              <w:t>36</w:t>
            </w:r>
          </w:p>
        </w:tc>
        <w:tc>
          <w:tcPr>
            <w:tcW w:w="2266" w:type="dxa"/>
            <w:noWrap/>
          </w:tcPr>
          <w:p w14:paraId="6FC94660" w14:textId="24ECA3E8" w:rsidR="003E67B5" w:rsidRDefault="003E67B5" w:rsidP="00DC175A">
            <w:pPr>
              <w:jc w:val="both"/>
              <w:rPr>
                <w:rFonts w:ascii="David" w:hAnsi="David" w:cs="David"/>
                <w:sz w:val="24"/>
                <w:szCs w:val="24"/>
              </w:rPr>
            </w:pPr>
            <w:r>
              <w:rPr>
                <w:rFonts w:ascii="David" w:hAnsi="David" w:cs="David" w:hint="cs"/>
                <w:sz w:val="24"/>
                <w:szCs w:val="24"/>
                <w:rtl/>
              </w:rPr>
              <w:t>49:00</w:t>
            </w:r>
          </w:p>
        </w:tc>
      </w:tr>
      <w:tr w:rsidR="003E67B5" w:rsidRPr="00030DA7" w14:paraId="1E12BD58" w14:textId="77777777" w:rsidTr="00983F15">
        <w:trPr>
          <w:trHeight w:val="315"/>
        </w:trPr>
        <w:tc>
          <w:tcPr>
            <w:tcW w:w="448" w:type="dxa"/>
          </w:tcPr>
          <w:p w14:paraId="1848ED9B" w14:textId="0A843B91" w:rsidR="003E67B5" w:rsidRDefault="003E67B5" w:rsidP="00DC175A">
            <w:pPr>
              <w:jc w:val="both"/>
              <w:rPr>
                <w:rFonts w:ascii="David" w:hAnsi="David" w:cs="David"/>
                <w:sz w:val="24"/>
                <w:szCs w:val="24"/>
                <w:rtl/>
              </w:rPr>
            </w:pPr>
            <w:r>
              <w:rPr>
                <w:rFonts w:ascii="David" w:hAnsi="David" w:cs="David" w:hint="cs"/>
                <w:sz w:val="24"/>
                <w:szCs w:val="24"/>
                <w:rtl/>
              </w:rPr>
              <w:t>25</w:t>
            </w:r>
          </w:p>
        </w:tc>
        <w:tc>
          <w:tcPr>
            <w:tcW w:w="1274" w:type="dxa"/>
          </w:tcPr>
          <w:p w14:paraId="40D021AF" w14:textId="57D30786" w:rsidR="003E67B5" w:rsidRPr="00ED057B" w:rsidRDefault="003E67B5" w:rsidP="00DC175A">
            <w:pPr>
              <w:jc w:val="both"/>
              <w:rPr>
                <w:rFonts w:ascii="David" w:hAnsi="David" w:cs="David"/>
                <w:b/>
                <w:bCs/>
                <w:sz w:val="24"/>
                <w:szCs w:val="24"/>
                <w:rtl/>
              </w:rPr>
            </w:pPr>
            <w:r w:rsidRPr="00FD20E6">
              <w:rPr>
                <w:rFonts w:ascii="David" w:hAnsi="David" w:cs="David" w:hint="cs"/>
                <w:b/>
                <w:bCs/>
                <w:sz w:val="24"/>
                <w:szCs w:val="24"/>
                <w:rtl/>
              </w:rPr>
              <w:t>מחוזי</w:t>
            </w:r>
          </w:p>
        </w:tc>
        <w:tc>
          <w:tcPr>
            <w:tcW w:w="1857" w:type="dxa"/>
            <w:noWrap/>
          </w:tcPr>
          <w:p w14:paraId="0BA91044" w14:textId="56435296" w:rsidR="003E67B5" w:rsidRPr="00ED057B" w:rsidRDefault="003E67B5" w:rsidP="00DC175A">
            <w:pPr>
              <w:jc w:val="both"/>
              <w:rPr>
                <w:rFonts w:ascii="David" w:hAnsi="David" w:cs="David"/>
                <w:sz w:val="24"/>
                <w:szCs w:val="24"/>
                <w:rtl/>
              </w:rPr>
            </w:pPr>
            <w:r w:rsidRPr="00F50DC2">
              <w:rPr>
                <w:rFonts w:ascii="David" w:hAnsi="David" w:cs="David" w:hint="cs"/>
                <w:sz w:val="24"/>
                <w:szCs w:val="24"/>
                <w:rtl/>
              </w:rPr>
              <w:t>ת</w:t>
            </w:r>
            <w:r>
              <w:rPr>
                <w:rFonts w:ascii="David" w:hAnsi="David" w:cs="David" w:hint="cs"/>
                <w:sz w:val="24"/>
                <w:szCs w:val="24"/>
                <w:rtl/>
              </w:rPr>
              <w:t>נ</w:t>
            </w:r>
            <w:r w:rsidRPr="00F50DC2">
              <w:rPr>
                <w:rFonts w:ascii="David" w:hAnsi="David" w:cs="David" w:hint="cs"/>
                <w:sz w:val="24"/>
                <w:szCs w:val="24"/>
                <w:rtl/>
              </w:rPr>
              <w:t>"</w:t>
            </w:r>
            <w:r>
              <w:rPr>
                <w:rFonts w:ascii="David" w:hAnsi="David" w:cs="David" w:hint="cs"/>
                <w:sz w:val="24"/>
                <w:szCs w:val="24"/>
                <w:rtl/>
              </w:rPr>
              <w:t>ג</w:t>
            </w:r>
            <w:r w:rsidRPr="00F50DC2">
              <w:rPr>
                <w:rFonts w:ascii="David" w:hAnsi="David" w:cs="David" w:hint="cs"/>
                <w:sz w:val="24"/>
                <w:szCs w:val="24"/>
                <w:rtl/>
              </w:rPr>
              <w:t xml:space="preserve"> (</w:t>
            </w:r>
            <w:r>
              <w:rPr>
                <w:rFonts w:ascii="David" w:hAnsi="David" w:cs="David" w:hint="cs"/>
                <w:sz w:val="24"/>
                <w:szCs w:val="24"/>
                <w:rtl/>
              </w:rPr>
              <w:t xml:space="preserve">שאינו </w:t>
            </w:r>
            <w:r w:rsidRPr="00F50DC2">
              <w:rPr>
                <w:rFonts w:ascii="David" w:hAnsi="David" w:cs="David" w:hint="cs"/>
                <w:sz w:val="24"/>
                <w:szCs w:val="24"/>
                <w:rtl/>
              </w:rPr>
              <w:t>כלכלי)</w:t>
            </w:r>
          </w:p>
        </w:tc>
        <w:tc>
          <w:tcPr>
            <w:tcW w:w="2835" w:type="dxa"/>
            <w:noWrap/>
          </w:tcPr>
          <w:p w14:paraId="6FE1C470" w14:textId="542DD922" w:rsidR="003E67B5" w:rsidRPr="00CA6B58" w:rsidRDefault="003E67B5" w:rsidP="00DC175A">
            <w:pPr>
              <w:jc w:val="both"/>
              <w:rPr>
                <w:rFonts w:ascii="David" w:hAnsi="David" w:cs="David"/>
                <w:sz w:val="24"/>
                <w:szCs w:val="24"/>
              </w:rPr>
            </w:pPr>
            <w:r w:rsidRPr="00CA6B58">
              <w:rPr>
                <w:rFonts w:ascii="David" w:hAnsi="David" w:cs="David" w:hint="cs"/>
                <w:sz w:val="24"/>
                <w:szCs w:val="24"/>
                <w:rtl/>
              </w:rPr>
              <w:t>12</w:t>
            </w:r>
          </w:p>
        </w:tc>
        <w:tc>
          <w:tcPr>
            <w:tcW w:w="2266" w:type="dxa"/>
            <w:noWrap/>
          </w:tcPr>
          <w:p w14:paraId="4339DE52" w14:textId="73FB65FC" w:rsidR="003E67B5" w:rsidRDefault="003E67B5" w:rsidP="00DC175A">
            <w:pPr>
              <w:jc w:val="both"/>
              <w:rPr>
                <w:rFonts w:ascii="David" w:hAnsi="David" w:cs="David"/>
                <w:sz w:val="24"/>
                <w:szCs w:val="24"/>
              </w:rPr>
            </w:pPr>
            <w:r>
              <w:rPr>
                <w:rFonts w:ascii="David" w:hAnsi="David" w:cs="David" w:hint="cs"/>
                <w:sz w:val="24"/>
                <w:szCs w:val="24"/>
                <w:rtl/>
              </w:rPr>
              <w:t>11:00</w:t>
            </w:r>
          </w:p>
        </w:tc>
      </w:tr>
      <w:tr w:rsidR="003E67B5" w:rsidRPr="00030DA7" w14:paraId="32654A4B" w14:textId="77777777" w:rsidTr="00983F15">
        <w:trPr>
          <w:trHeight w:val="315"/>
        </w:trPr>
        <w:tc>
          <w:tcPr>
            <w:tcW w:w="448" w:type="dxa"/>
          </w:tcPr>
          <w:p w14:paraId="28AAEAF5" w14:textId="3BCD1A4D" w:rsidR="003E67B5" w:rsidRDefault="003E67B5" w:rsidP="00983F15">
            <w:pPr>
              <w:jc w:val="both"/>
              <w:rPr>
                <w:rFonts w:ascii="David" w:hAnsi="David" w:cs="David"/>
                <w:sz w:val="24"/>
                <w:szCs w:val="24"/>
                <w:rtl/>
              </w:rPr>
            </w:pPr>
            <w:r>
              <w:rPr>
                <w:rFonts w:ascii="David" w:hAnsi="David" w:cs="David" w:hint="cs"/>
                <w:sz w:val="24"/>
                <w:szCs w:val="24"/>
                <w:rtl/>
              </w:rPr>
              <w:t>26</w:t>
            </w:r>
          </w:p>
        </w:tc>
        <w:tc>
          <w:tcPr>
            <w:tcW w:w="1274" w:type="dxa"/>
          </w:tcPr>
          <w:p w14:paraId="40047E8A" w14:textId="0A463E16" w:rsidR="003E67B5" w:rsidRPr="00FD20E6" w:rsidRDefault="003E67B5" w:rsidP="00983F15">
            <w:pPr>
              <w:jc w:val="both"/>
              <w:rPr>
                <w:rFonts w:ascii="David" w:hAnsi="David" w:cs="David"/>
                <w:b/>
                <w:bCs/>
                <w:sz w:val="24"/>
                <w:szCs w:val="24"/>
                <w:rtl/>
              </w:rPr>
            </w:pPr>
            <w:r w:rsidRPr="00FD20E6">
              <w:rPr>
                <w:rFonts w:ascii="David" w:hAnsi="David" w:cs="David" w:hint="cs"/>
                <w:b/>
                <w:bCs/>
                <w:sz w:val="24"/>
                <w:szCs w:val="24"/>
                <w:rtl/>
              </w:rPr>
              <w:t>מחוזי</w:t>
            </w:r>
          </w:p>
        </w:tc>
        <w:tc>
          <w:tcPr>
            <w:tcW w:w="1857" w:type="dxa"/>
            <w:noWrap/>
          </w:tcPr>
          <w:p w14:paraId="07775432" w14:textId="0089A931" w:rsidR="003E67B5" w:rsidRPr="00F50DC2" w:rsidRDefault="003E67B5" w:rsidP="00983F15">
            <w:pPr>
              <w:jc w:val="both"/>
              <w:rPr>
                <w:rFonts w:ascii="David" w:hAnsi="David" w:cs="David"/>
                <w:sz w:val="24"/>
                <w:szCs w:val="24"/>
                <w:rtl/>
              </w:rPr>
            </w:pPr>
            <w:r w:rsidRPr="00F50DC2">
              <w:rPr>
                <w:rFonts w:ascii="David" w:hAnsi="David" w:cs="David" w:hint="cs"/>
                <w:sz w:val="24"/>
                <w:szCs w:val="24"/>
                <w:rtl/>
              </w:rPr>
              <w:t>ת"</w:t>
            </w:r>
            <w:r>
              <w:rPr>
                <w:rFonts w:ascii="David" w:hAnsi="David" w:cs="David" w:hint="cs"/>
                <w:sz w:val="24"/>
                <w:szCs w:val="24"/>
                <w:rtl/>
              </w:rPr>
              <w:t xml:space="preserve">צ </w:t>
            </w:r>
            <w:r w:rsidRPr="00F50DC2">
              <w:rPr>
                <w:rFonts w:ascii="David" w:hAnsi="David" w:cs="David" w:hint="cs"/>
                <w:sz w:val="24"/>
                <w:szCs w:val="24"/>
                <w:rtl/>
              </w:rPr>
              <w:t>(כלכלי)</w:t>
            </w:r>
          </w:p>
        </w:tc>
        <w:tc>
          <w:tcPr>
            <w:tcW w:w="2835" w:type="dxa"/>
            <w:noWrap/>
          </w:tcPr>
          <w:p w14:paraId="07E5B066" w14:textId="0CDCA800" w:rsidR="003E67B5" w:rsidRPr="00CA6B58" w:rsidRDefault="003E67B5" w:rsidP="00983F15">
            <w:pPr>
              <w:jc w:val="both"/>
              <w:rPr>
                <w:rFonts w:ascii="David" w:hAnsi="David" w:cs="David"/>
                <w:sz w:val="24"/>
                <w:szCs w:val="24"/>
                <w:rtl/>
              </w:rPr>
            </w:pPr>
            <w:r w:rsidRPr="00CA6B58">
              <w:rPr>
                <w:rFonts w:ascii="David" w:hAnsi="David" w:cs="David" w:hint="cs"/>
                <w:sz w:val="24"/>
                <w:szCs w:val="24"/>
                <w:rtl/>
              </w:rPr>
              <w:t>25</w:t>
            </w:r>
          </w:p>
        </w:tc>
        <w:tc>
          <w:tcPr>
            <w:tcW w:w="2266" w:type="dxa"/>
            <w:noWrap/>
          </w:tcPr>
          <w:p w14:paraId="11ACEF4E" w14:textId="2A680B10" w:rsidR="003E67B5" w:rsidRDefault="003E67B5" w:rsidP="00983F15">
            <w:pPr>
              <w:jc w:val="both"/>
              <w:rPr>
                <w:rFonts w:ascii="David" w:hAnsi="David" w:cs="David"/>
                <w:sz w:val="24"/>
                <w:szCs w:val="24"/>
                <w:rtl/>
              </w:rPr>
            </w:pPr>
            <w:r>
              <w:rPr>
                <w:rFonts w:ascii="David" w:hAnsi="David" w:cs="David" w:hint="cs"/>
                <w:sz w:val="24"/>
                <w:szCs w:val="24"/>
                <w:rtl/>
              </w:rPr>
              <w:t>85:00</w:t>
            </w:r>
          </w:p>
        </w:tc>
      </w:tr>
      <w:tr w:rsidR="003E67B5" w:rsidRPr="00030DA7" w14:paraId="12D56FA4" w14:textId="77777777" w:rsidTr="00983F15">
        <w:trPr>
          <w:trHeight w:val="315"/>
        </w:trPr>
        <w:tc>
          <w:tcPr>
            <w:tcW w:w="448" w:type="dxa"/>
          </w:tcPr>
          <w:p w14:paraId="4FF68C5E" w14:textId="1C34544A" w:rsidR="003E67B5" w:rsidRDefault="003E67B5" w:rsidP="003E67B5">
            <w:pPr>
              <w:jc w:val="both"/>
              <w:rPr>
                <w:rFonts w:ascii="David" w:hAnsi="David" w:cs="David"/>
                <w:sz w:val="24"/>
                <w:szCs w:val="24"/>
                <w:rtl/>
              </w:rPr>
            </w:pPr>
            <w:r>
              <w:rPr>
                <w:rFonts w:ascii="David" w:hAnsi="David" w:cs="David" w:hint="cs"/>
                <w:sz w:val="24"/>
                <w:szCs w:val="24"/>
                <w:rtl/>
              </w:rPr>
              <w:t>27</w:t>
            </w:r>
          </w:p>
        </w:tc>
        <w:tc>
          <w:tcPr>
            <w:tcW w:w="1274" w:type="dxa"/>
          </w:tcPr>
          <w:p w14:paraId="4073E337" w14:textId="34881656" w:rsidR="003E67B5" w:rsidRPr="00ED057B" w:rsidRDefault="003E67B5" w:rsidP="003E67B5">
            <w:pPr>
              <w:jc w:val="both"/>
              <w:rPr>
                <w:rFonts w:ascii="David" w:hAnsi="David" w:cs="David"/>
                <w:b/>
                <w:bCs/>
                <w:sz w:val="24"/>
                <w:szCs w:val="24"/>
                <w:rtl/>
              </w:rPr>
            </w:pPr>
            <w:r w:rsidRPr="00030DA7">
              <w:rPr>
                <w:rFonts w:ascii="David" w:hAnsi="David" w:cs="David" w:hint="cs"/>
                <w:b/>
                <w:bCs/>
                <w:sz w:val="24"/>
                <w:szCs w:val="24"/>
                <w:rtl/>
              </w:rPr>
              <w:t>שלום</w:t>
            </w:r>
          </w:p>
        </w:tc>
        <w:tc>
          <w:tcPr>
            <w:tcW w:w="1857" w:type="dxa"/>
            <w:noWrap/>
          </w:tcPr>
          <w:p w14:paraId="38E0927E" w14:textId="63CDABDE" w:rsidR="003E67B5" w:rsidRPr="00ED057B" w:rsidRDefault="003E67B5" w:rsidP="003E67B5">
            <w:pPr>
              <w:jc w:val="both"/>
              <w:rPr>
                <w:rFonts w:ascii="David" w:hAnsi="David" w:cs="David"/>
                <w:sz w:val="24"/>
                <w:szCs w:val="24"/>
                <w:rtl/>
              </w:rPr>
            </w:pPr>
            <w:r w:rsidRPr="00030DA7">
              <w:rPr>
                <w:rFonts w:ascii="David" w:hAnsi="David" w:cs="David" w:hint="cs"/>
                <w:sz w:val="24"/>
                <w:szCs w:val="24"/>
                <w:rtl/>
              </w:rPr>
              <w:t>בע"א</w:t>
            </w:r>
          </w:p>
        </w:tc>
        <w:tc>
          <w:tcPr>
            <w:tcW w:w="2835" w:type="dxa"/>
            <w:noWrap/>
          </w:tcPr>
          <w:p w14:paraId="1A60B9A0" w14:textId="6447608D" w:rsidR="003E67B5" w:rsidRPr="00CA6B58" w:rsidRDefault="003E67B5" w:rsidP="003E67B5">
            <w:pPr>
              <w:jc w:val="both"/>
              <w:rPr>
                <w:rFonts w:ascii="David" w:hAnsi="David" w:cs="David"/>
                <w:sz w:val="24"/>
                <w:szCs w:val="24"/>
              </w:rPr>
            </w:pPr>
            <w:r w:rsidRPr="00CA6B58">
              <w:rPr>
                <w:rFonts w:ascii="David" w:hAnsi="David" w:cs="David" w:hint="cs"/>
                <w:sz w:val="24"/>
                <w:szCs w:val="24"/>
              </w:rPr>
              <w:t>1138</w:t>
            </w:r>
          </w:p>
        </w:tc>
        <w:tc>
          <w:tcPr>
            <w:tcW w:w="2266" w:type="dxa"/>
            <w:noWrap/>
          </w:tcPr>
          <w:p w14:paraId="0BBDFE67" w14:textId="214FF98F" w:rsidR="003E67B5" w:rsidRDefault="003E67B5" w:rsidP="003E67B5">
            <w:pPr>
              <w:jc w:val="both"/>
              <w:rPr>
                <w:rFonts w:ascii="David" w:hAnsi="David" w:cs="David"/>
                <w:sz w:val="24"/>
                <w:szCs w:val="24"/>
              </w:rPr>
            </w:pPr>
            <w:r w:rsidRPr="00030DA7">
              <w:rPr>
                <w:rFonts w:ascii="David" w:hAnsi="David" w:cs="David" w:hint="cs"/>
                <w:sz w:val="24"/>
                <w:szCs w:val="24"/>
              </w:rPr>
              <w:t>02:00</w:t>
            </w:r>
          </w:p>
        </w:tc>
      </w:tr>
      <w:tr w:rsidR="003E67B5" w:rsidRPr="00030DA7" w14:paraId="7D9B6C69" w14:textId="77777777" w:rsidTr="00983F15">
        <w:trPr>
          <w:trHeight w:val="315"/>
        </w:trPr>
        <w:tc>
          <w:tcPr>
            <w:tcW w:w="448" w:type="dxa"/>
          </w:tcPr>
          <w:p w14:paraId="43D33E45" w14:textId="46C43B83" w:rsidR="003E67B5" w:rsidRPr="00030DA7" w:rsidRDefault="003E67B5" w:rsidP="003E67B5">
            <w:pPr>
              <w:jc w:val="both"/>
              <w:rPr>
                <w:rFonts w:ascii="David" w:hAnsi="David" w:cs="David"/>
                <w:sz w:val="24"/>
                <w:szCs w:val="24"/>
                <w:rtl/>
              </w:rPr>
            </w:pPr>
            <w:r>
              <w:rPr>
                <w:rFonts w:ascii="David" w:hAnsi="David" w:cs="David" w:hint="cs"/>
                <w:sz w:val="24"/>
                <w:szCs w:val="24"/>
                <w:rtl/>
              </w:rPr>
              <w:t>28</w:t>
            </w:r>
          </w:p>
        </w:tc>
        <w:tc>
          <w:tcPr>
            <w:tcW w:w="1274" w:type="dxa"/>
          </w:tcPr>
          <w:p w14:paraId="1A08BE40" w14:textId="53458FA1" w:rsidR="003E67B5" w:rsidRPr="00030DA7" w:rsidRDefault="003E67B5" w:rsidP="003E67B5">
            <w:pPr>
              <w:jc w:val="both"/>
              <w:rPr>
                <w:rFonts w:ascii="David" w:hAnsi="David" w:cs="David"/>
                <w:sz w:val="24"/>
                <w:szCs w:val="24"/>
                <w:rtl/>
              </w:rPr>
            </w:pPr>
            <w:r w:rsidRPr="00030DA7">
              <w:rPr>
                <w:rFonts w:ascii="David" w:hAnsi="David" w:cs="David" w:hint="cs"/>
                <w:b/>
                <w:bCs/>
                <w:sz w:val="24"/>
                <w:szCs w:val="24"/>
                <w:rtl/>
              </w:rPr>
              <w:t>שלום</w:t>
            </w:r>
          </w:p>
        </w:tc>
        <w:tc>
          <w:tcPr>
            <w:tcW w:w="1857" w:type="dxa"/>
            <w:noWrap/>
            <w:hideMark/>
          </w:tcPr>
          <w:p w14:paraId="5C776747" w14:textId="6310B2F6" w:rsidR="003E67B5" w:rsidRPr="00030DA7" w:rsidRDefault="003E67B5" w:rsidP="003E67B5">
            <w:pPr>
              <w:jc w:val="both"/>
              <w:rPr>
                <w:rFonts w:ascii="David" w:hAnsi="David" w:cs="David"/>
                <w:sz w:val="24"/>
                <w:szCs w:val="24"/>
                <w:rtl/>
              </w:rPr>
            </w:pPr>
            <w:r w:rsidRPr="00030DA7">
              <w:rPr>
                <w:rFonts w:ascii="David" w:hAnsi="David" w:cs="David" w:hint="cs"/>
                <w:sz w:val="24"/>
                <w:szCs w:val="24"/>
                <w:rtl/>
              </w:rPr>
              <w:t>המ"ש</w:t>
            </w:r>
          </w:p>
        </w:tc>
        <w:tc>
          <w:tcPr>
            <w:tcW w:w="2835" w:type="dxa"/>
            <w:noWrap/>
            <w:hideMark/>
          </w:tcPr>
          <w:p w14:paraId="6BC1FA50" w14:textId="47D0F48B" w:rsidR="003E67B5" w:rsidRPr="00CA6B58" w:rsidRDefault="003E67B5" w:rsidP="003E67B5">
            <w:pPr>
              <w:jc w:val="both"/>
              <w:rPr>
                <w:rFonts w:ascii="David" w:hAnsi="David" w:cs="David"/>
                <w:sz w:val="24"/>
                <w:szCs w:val="24"/>
                <w:rtl/>
              </w:rPr>
            </w:pPr>
            <w:r w:rsidRPr="00CA6B58">
              <w:rPr>
                <w:rFonts w:ascii="David" w:hAnsi="David" w:cs="David" w:hint="cs"/>
                <w:sz w:val="24"/>
                <w:szCs w:val="24"/>
              </w:rPr>
              <w:t>775</w:t>
            </w:r>
          </w:p>
        </w:tc>
        <w:tc>
          <w:tcPr>
            <w:tcW w:w="2266" w:type="dxa"/>
            <w:noWrap/>
            <w:hideMark/>
          </w:tcPr>
          <w:p w14:paraId="0BACC202" w14:textId="2C711B7B" w:rsidR="003E67B5" w:rsidRPr="00030DA7" w:rsidRDefault="003E67B5" w:rsidP="003E67B5">
            <w:pPr>
              <w:jc w:val="both"/>
              <w:rPr>
                <w:rFonts w:ascii="David" w:hAnsi="David" w:cs="David"/>
                <w:sz w:val="24"/>
                <w:szCs w:val="24"/>
              </w:rPr>
            </w:pPr>
            <w:r w:rsidRPr="00030DA7">
              <w:rPr>
                <w:rFonts w:ascii="David" w:hAnsi="David" w:cs="David" w:hint="cs"/>
                <w:sz w:val="24"/>
                <w:szCs w:val="24"/>
              </w:rPr>
              <w:t>00:20</w:t>
            </w:r>
          </w:p>
        </w:tc>
      </w:tr>
      <w:tr w:rsidR="00DB5BCC" w:rsidRPr="00030DA7" w14:paraId="688DE266" w14:textId="77777777" w:rsidTr="00983F15">
        <w:trPr>
          <w:trHeight w:val="315"/>
        </w:trPr>
        <w:tc>
          <w:tcPr>
            <w:tcW w:w="448" w:type="dxa"/>
          </w:tcPr>
          <w:p w14:paraId="0033B15B" w14:textId="77777777" w:rsidR="00DB5BCC" w:rsidRDefault="00DB5BCC" w:rsidP="00DB5BCC">
            <w:pPr>
              <w:jc w:val="both"/>
              <w:rPr>
                <w:rFonts w:ascii="David" w:hAnsi="David" w:cs="David"/>
                <w:sz w:val="24"/>
                <w:szCs w:val="24"/>
                <w:rtl/>
              </w:rPr>
            </w:pPr>
          </w:p>
        </w:tc>
        <w:tc>
          <w:tcPr>
            <w:tcW w:w="1274" w:type="dxa"/>
          </w:tcPr>
          <w:p w14:paraId="5A27B1EB" w14:textId="27B8F03D" w:rsidR="00DB5BCC" w:rsidRPr="00030DA7" w:rsidRDefault="00DB5BCC" w:rsidP="00DB5BCC">
            <w:pPr>
              <w:jc w:val="both"/>
              <w:rPr>
                <w:rFonts w:ascii="David" w:hAnsi="David" w:cs="David"/>
                <w:b/>
                <w:bCs/>
                <w:sz w:val="24"/>
                <w:szCs w:val="24"/>
                <w:rtl/>
              </w:rPr>
            </w:pPr>
            <w:r w:rsidRPr="00030DA7">
              <w:rPr>
                <w:rFonts w:ascii="David" w:hAnsi="David" w:cs="David" w:hint="cs"/>
                <w:b/>
                <w:bCs/>
                <w:sz w:val="24"/>
                <w:szCs w:val="24"/>
                <w:rtl/>
              </w:rPr>
              <w:t>ערכאה</w:t>
            </w:r>
          </w:p>
        </w:tc>
        <w:tc>
          <w:tcPr>
            <w:tcW w:w="1857" w:type="dxa"/>
            <w:noWrap/>
          </w:tcPr>
          <w:p w14:paraId="3FE1779D" w14:textId="7CE513C5" w:rsidR="00DB5BCC" w:rsidRPr="00030DA7" w:rsidRDefault="00DB5BCC" w:rsidP="00DB5BCC">
            <w:pPr>
              <w:jc w:val="both"/>
              <w:rPr>
                <w:rFonts w:ascii="David" w:hAnsi="David" w:cs="David"/>
                <w:sz w:val="24"/>
                <w:szCs w:val="24"/>
                <w:rtl/>
              </w:rPr>
            </w:pPr>
            <w:r w:rsidRPr="00030DA7">
              <w:rPr>
                <w:rFonts w:ascii="David" w:hAnsi="David" w:cs="David" w:hint="cs"/>
                <w:b/>
                <w:bCs/>
                <w:sz w:val="24"/>
                <w:szCs w:val="24"/>
                <w:rtl/>
              </w:rPr>
              <w:t>סוג תיק</w:t>
            </w:r>
          </w:p>
        </w:tc>
        <w:tc>
          <w:tcPr>
            <w:tcW w:w="2835" w:type="dxa"/>
            <w:noWrap/>
          </w:tcPr>
          <w:p w14:paraId="47B691D5" w14:textId="7B3474EF" w:rsidR="00DB5BCC" w:rsidRPr="00CA6B58" w:rsidRDefault="00DB5BCC" w:rsidP="00DB5BCC">
            <w:pPr>
              <w:jc w:val="both"/>
              <w:rPr>
                <w:rFonts w:ascii="David" w:hAnsi="David" w:cs="David"/>
                <w:sz w:val="24"/>
                <w:szCs w:val="24"/>
              </w:rPr>
            </w:pPr>
            <w:r w:rsidRPr="00030DA7">
              <w:rPr>
                <w:rFonts w:ascii="David" w:hAnsi="David" w:cs="David" w:hint="cs"/>
                <w:b/>
                <w:bCs/>
                <w:sz w:val="24"/>
                <w:szCs w:val="24"/>
                <w:rtl/>
              </w:rPr>
              <w:t>כמות תיקים</w:t>
            </w:r>
            <w:r>
              <w:rPr>
                <w:rFonts w:ascii="David" w:hAnsi="David" w:cs="David" w:hint="cs"/>
                <w:b/>
                <w:bCs/>
                <w:sz w:val="24"/>
                <w:szCs w:val="24"/>
                <w:rtl/>
              </w:rPr>
              <w:t xml:space="preserve"> שנסגרו ב-2019</w:t>
            </w:r>
          </w:p>
        </w:tc>
        <w:tc>
          <w:tcPr>
            <w:tcW w:w="2266" w:type="dxa"/>
            <w:noWrap/>
          </w:tcPr>
          <w:p w14:paraId="42058360" w14:textId="2676E525" w:rsidR="00DB5BCC" w:rsidRPr="00030DA7" w:rsidRDefault="00DB5BCC" w:rsidP="00DB5BCC">
            <w:pPr>
              <w:jc w:val="both"/>
              <w:rPr>
                <w:rFonts w:ascii="David" w:hAnsi="David" w:cs="David"/>
                <w:sz w:val="24"/>
                <w:szCs w:val="24"/>
              </w:rPr>
            </w:pPr>
            <w:r w:rsidRPr="00030DA7">
              <w:rPr>
                <w:rFonts w:ascii="David" w:hAnsi="David" w:cs="David" w:hint="cs"/>
                <w:b/>
                <w:bCs/>
                <w:sz w:val="24"/>
                <w:szCs w:val="24"/>
                <w:rtl/>
              </w:rPr>
              <w:t>משקל מוערך</w:t>
            </w:r>
            <w:r>
              <w:rPr>
                <w:rFonts w:ascii="David" w:hAnsi="David" w:cs="David" w:hint="cs"/>
                <w:b/>
                <w:bCs/>
                <w:sz w:val="24"/>
                <w:szCs w:val="24"/>
                <w:rtl/>
              </w:rPr>
              <w:t xml:space="preserve"> (בשעות)</w:t>
            </w:r>
          </w:p>
        </w:tc>
      </w:tr>
      <w:tr w:rsidR="00DB5BCC" w:rsidRPr="00030DA7" w14:paraId="46A7C9A4" w14:textId="77777777" w:rsidTr="00983F15">
        <w:trPr>
          <w:trHeight w:val="315"/>
        </w:trPr>
        <w:tc>
          <w:tcPr>
            <w:tcW w:w="448" w:type="dxa"/>
          </w:tcPr>
          <w:p w14:paraId="4E9B065C" w14:textId="61B55878" w:rsidR="00DB5BCC" w:rsidRPr="00030DA7" w:rsidRDefault="00DB5BCC" w:rsidP="00DB5BCC">
            <w:pPr>
              <w:jc w:val="both"/>
              <w:rPr>
                <w:rFonts w:ascii="David" w:hAnsi="David" w:cs="David"/>
                <w:sz w:val="24"/>
                <w:szCs w:val="24"/>
                <w:rtl/>
              </w:rPr>
            </w:pPr>
            <w:r>
              <w:rPr>
                <w:rFonts w:ascii="David" w:hAnsi="David" w:cs="David" w:hint="cs"/>
                <w:sz w:val="24"/>
                <w:szCs w:val="24"/>
                <w:rtl/>
              </w:rPr>
              <w:t>29</w:t>
            </w:r>
          </w:p>
        </w:tc>
        <w:tc>
          <w:tcPr>
            <w:tcW w:w="1274" w:type="dxa"/>
          </w:tcPr>
          <w:p w14:paraId="2C4FC7F9" w14:textId="225BDED7" w:rsidR="00DB5BCC" w:rsidRPr="00030DA7" w:rsidRDefault="00DB5BCC" w:rsidP="00DB5BCC">
            <w:pPr>
              <w:jc w:val="both"/>
              <w:rPr>
                <w:rFonts w:ascii="David" w:hAnsi="David" w:cs="David"/>
                <w:sz w:val="24"/>
                <w:szCs w:val="24"/>
                <w:rtl/>
              </w:rPr>
            </w:pPr>
            <w:r w:rsidRPr="00030DA7">
              <w:rPr>
                <w:rFonts w:ascii="David" w:hAnsi="David" w:cs="David" w:hint="cs"/>
                <w:b/>
                <w:bCs/>
                <w:sz w:val="24"/>
                <w:szCs w:val="24"/>
                <w:rtl/>
              </w:rPr>
              <w:t>שלום</w:t>
            </w:r>
          </w:p>
        </w:tc>
        <w:tc>
          <w:tcPr>
            <w:tcW w:w="1857" w:type="dxa"/>
            <w:noWrap/>
            <w:hideMark/>
          </w:tcPr>
          <w:p w14:paraId="0BB7590D" w14:textId="1720F2FD" w:rsidR="00DB5BCC" w:rsidRPr="00030DA7" w:rsidRDefault="00DB5BCC" w:rsidP="00DB5BCC">
            <w:pPr>
              <w:jc w:val="both"/>
              <w:rPr>
                <w:rFonts w:ascii="David" w:hAnsi="David" w:cs="David"/>
                <w:sz w:val="24"/>
                <w:szCs w:val="24"/>
                <w:rtl/>
              </w:rPr>
            </w:pPr>
            <w:r w:rsidRPr="00030DA7">
              <w:rPr>
                <w:rFonts w:ascii="David" w:hAnsi="David" w:cs="David" w:hint="cs"/>
                <w:sz w:val="24"/>
                <w:szCs w:val="24"/>
                <w:rtl/>
              </w:rPr>
              <w:t>מס"ט</w:t>
            </w:r>
          </w:p>
        </w:tc>
        <w:tc>
          <w:tcPr>
            <w:tcW w:w="2835" w:type="dxa"/>
            <w:noWrap/>
            <w:hideMark/>
          </w:tcPr>
          <w:p w14:paraId="13E0070A" w14:textId="0C908D65" w:rsidR="00DB5BCC" w:rsidRPr="00CA6B58" w:rsidRDefault="00DB5BCC" w:rsidP="00DB5BCC">
            <w:pPr>
              <w:jc w:val="both"/>
              <w:rPr>
                <w:rFonts w:ascii="David" w:hAnsi="David" w:cs="David"/>
                <w:sz w:val="24"/>
                <w:szCs w:val="24"/>
                <w:rtl/>
              </w:rPr>
            </w:pPr>
            <w:r w:rsidRPr="00CA6B58">
              <w:rPr>
                <w:rFonts w:ascii="David" w:hAnsi="David" w:cs="David" w:hint="cs"/>
                <w:sz w:val="24"/>
                <w:szCs w:val="24"/>
              </w:rPr>
              <w:t>328</w:t>
            </w:r>
          </w:p>
        </w:tc>
        <w:tc>
          <w:tcPr>
            <w:tcW w:w="2266" w:type="dxa"/>
            <w:noWrap/>
            <w:hideMark/>
          </w:tcPr>
          <w:p w14:paraId="147AD0C5" w14:textId="5ED672EE" w:rsidR="00DB5BCC" w:rsidRPr="00030DA7" w:rsidRDefault="00DB5BCC" w:rsidP="00DB5BCC">
            <w:pPr>
              <w:jc w:val="both"/>
              <w:rPr>
                <w:rFonts w:ascii="David" w:hAnsi="David" w:cs="David"/>
                <w:sz w:val="24"/>
                <w:szCs w:val="24"/>
              </w:rPr>
            </w:pPr>
            <w:r w:rsidRPr="00030DA7">
              <w:rPr>
                <w:rFonts w:ascii="David" w:hAnsi="David" w:cs="David" w:hint="cs"/>
                <w:sz w:val="24"/>
                <w:szCs w:val="24"/>
              </w:rPr>
              <w:t>00:04</w:t>
            </w:r>
          </w:p>
        </w:tc>
      </w:tr>
      <w:tr w:rsidR="00DB5BCC" w:rsidRPr="00030DA7" w14:paraId="74EB9B8D" w14:textId="77777777" w:rsidTr="00983F15">
        <w:trPr>
          <w:trHeight w:val="315"/>
        </w:trPr>
        <w:tc>
          <w:tcPr>
            <w:tcW w:w="448" w:type="dxa"/>
          </w:tcPr>
          <w:p w14:paraId="2DEF7BA2" w14:textId="713222A3" w:rsidR="00DB5BCC" w:rsidRPr="00030DA7" w:rsidRDefault="00DB5BCC" w:rsidP="00DB5BCC">
            <w:pPr>
              <w:jc w:val="both"/>
              <w:rPr>
                <w:rFonts w:ascii="David" w:hAnsi="David" w:cs="David"/>
                <w:sz w:val="24"/>
                <w:szCs w:val="24"/>
                <w:rtl/>
              </w:rPr>
            </w:pPr>
            <w:r>
              <w:rPr>
                <w:rFonts w:ascii="David" w:hAnsi="David" w:cs="David" w:hint="cs"/>
                <w:sz w:val="24"/>
                <w:szCs w:val="24"/>
                <w:rtl/>
              </w:rPr>
              <w:t>30</w:t>
            </w:r>
          </w:p>
        </w:tc>
        <w:tc>
          <w:tcPr>
            <w:tcW w:w="1274" w:type="dxa"/>
          </w:tcPr>
          <w:p w14:paraId="5766D4A2" w14:textId="06F944B7" w:rsidR="00DB5BCC" w:rsidRPr="00030DA7" w:rsidRDefault="00DB5BCC" w:rsidP="00DB5BCC">
            <w:pPr>
              <w:jc w:val="both"/>
              <w:rPr>
                <w:rFonts w:ascii="David" w:hAnsi="David" w:cs="David"/>
                <w:sz w:val="24"/>
                <w:szCs w:val="24"/>
                <w:rtl/>
              </w:rPr>
            </w:pPr>
            <w:r w:rsidRPr="00030DA7">
              <w:rPr>
                <w:rFonts w:ascii="David" w:hAnsi="David" w:cs="David" w:hint="cs"/>
                <w:b/>
                <w:bCs/>
                <w:sz w:val="24"/>
                <w:szCs w:val="24"/>
                <w:rtl/>
              </w:rPr>
              <w:t>שלום</w:t>
            </w:r>
          </w:p>
        </w:tc>
        <w:tc>
          <w:tcPr>
            <w:tcW w:w="1857" w:type="dxa"/>
            <w:noWrap/>
            <w:hideMark/>
          </w:tcPr>
          <w:p w14:paraId="1EF84271" w14:textId="2BB35F62" w:rsidR="00DB5BCC" w:rsidRPr="00030DA7" w:rsidRDefault="00DB5BCC" w:rsidP="00DB5BCC">
            <w:pPr>
              <w:jc w:val="both"/>
              <w:rPr>
                <w:rFonts w:ascii="David" w:hAnsi="David" w:cs="David"/>
                <w:sz w:val="24"/>
                <w:szCs w:val="24"/>
                <w:rtl/>
              </w:rPr>
            </w:pPr>
            <w:r w:rsidRPr="00030DA7">
              <w:rPr>
                <w:rFonts w:ascii="David" w:hAnsi="David" w:cs="David" w:hint="cs"/>
                <w:sz w:val="24"/>
                <w:szCs w:val="24"/>
                <w:rtl/>
              </w:rPr>
              <w:t>פע"מ</w:t>
            </w:r>
          </w:p>
        </w:tc>
        <w:tc>
          <w:tcPr>
            <w:tcW w:w="2835" w:type="dxa"/>
            <w:noWrap/>
            <w:hideMark/>
          </w:tcPr>
          <w:p w14:paraId="351998A2" w14:textId="254840F0" w:rsidR="00DB5BCC" w:rsidRPr="00CA6B58" w:rsidRDefault="00DB5BCC" w:rsidP="00DB5BCC">
            <w:pPr>
              <w:jc w:val="both"/>
              <w:rPr>
                <w:rFonts w:ascii="David" w:hAnsi="David" w:cs="David"/>
                <w:sz w:val="24"/>
                <w:szCs w:val="24"/>
                <w:rtl/>
              </w:rPr>
            </w:pPr>
            <w:r w:rsidRPr="00CA6B58">
              <w:rPr>
                <w:rFonts w:ascii="David" w:hAnsi="David" w:cs="David" w:hint="cs"/>
                <w:sz w:val="24"/>
                <w:szCs w:val="24"/>
              </w:rPr>
              <w:t>270</w:t>
            </w:r>
          </w:p>
        </w:tc>
        <w:tc>
          <w:tcPr>
            <w:tcW w:w="2266" w:type="dxa"/>
            <w:noWrap/>
            <w:hideMark/>
          </w:tcPr>
          <w:p w14:paraId="32013F71" w14:textId="126C0909" w:rsidR="00DB5BCC" w:rsidRPr="00030DA7" w:rsidRDefault="00DB5BCC" w:rsidP="00DB5BCC">
            <w:pPr>
              <w:jc w:val="both"/>
              <w:rPr>
                <w:rFonts w:ascii="David" w:hAnsi="David" w:cs="David"/>
                <w:sz w:val="24"/>
                <w:szCs w:val="24"/>
              </w:rPr>
            </w:pPr>
            <w:r w:rsidRPr="00030DA7">
              <w:rPr>
                <w:rFonts w:ascii="David" w:hAnsi="David" w:cs="David" w:hint="cs"/>
                <w:sz w:val="24"/>
                <w:szCs w:val="24"/>
              </w:rPr>
              <w:t>02:00</w:t>
            </w:r>
          </w:p>
        </w:tc>
      </w:tr>
      <w:tr w:rsidR="00DB5BCC" w:rsidRPr="00030DA7" w14:paraId="04E80943" w14:textId="77777777" w:rsidTr="00983F15">
        <w:trPr>
          <w:trHeight w:val="315"/>
        </w:trPr>
        <w:tc>
          <w:tcPr>
            <w:tcW w:w="448" w:type="dxa"/>
          </w:tcPr>
          <w:p w14:paraId="3C900247" w14:textId="7E86104E" w:rsidR="00DB5BCC" w:rsidRPr="00030DA7" w:rsidRDefault="00DB5BCC" w:rsidP="00DB5BCC">
            <w:pPr>
              <w:jc w:val="both"/>
              <w:rPr>
                <w:rFonts w:ascii="David" w:hAnsi="David" w:cs="David"/>
                <w:sz w:val="24"/>
                <w:szCs w:val="24"/>
                <w:rtl/>
              </w:rPr>
            </w:pPr>
            <w:r>
              <w:rPr>
                <w:rFonts w:ascii="David" w:hAnsi="David" w:cs="David" w:hint="cs"/>
                <w:sz w:val="24"/>
                <w:szCs w:val="24"/>
                <w:rtl/>
              </w:rPr>
              <w:t>31</w:t>
            </w:r>
          </w:p>
        </w:tc>
        <w:tc>
          <w:tcPr>
            <w:tcW w:w="1274" w:type="dxa"/>
          </w:tcPr>
          <w:p w14:paraId="7BB43D9F" w14:textId="777247D0" w:rsidR="00DB5BCC" w:rsidRPr="00030DA7" w:rsidRDefault="00DB5BCC" w:rsidP="00DB5BCC">
            <w:pPr>
              <w:jc w:val="both"/>
              <w:rPr>
                <w:rFonts w:ascii="David" w:hAnsi="David" w:cs="David"/>
                <w:sz w:val="24"/>
                <w:szCs w:val="24"/>
                <w:rtl/>
              </w:rPr>
            </w:pPr>
            <w:r w:rsidRPr="00030DA7">
              <w:rPr>
                <w:rFonts w:ascii="David" w:hAnsi="David" w:cs="David" w:hint="cs"/>
                <w:b/>
                <w:bCs/>
                <w:sz w:val="24"/>
                <w:szCs w:val="24"/>
                <w:rtl/>
              </w:rPr>
              <w:t>שלום</w:t>
            </w:r>
          </w:p>
        </w:tc>
        <w:tc>
          <w:tcPr>
            <w:tcW w:w="1857" w:type="dxa"/>
            <w:noWrap/>
            <w:hideMark/>
          </w:tcPr>
          <w:p w14:paraId="4CAD092D" w14:textId="25EDEF49" w:rsidR="00DB5BCC" w:rsidRPr="00030DA7" w:rsidRDefault="00DB5BCC" w:rsidP="00DB5BCC">
            <w:pPr>
              <w:jc w:val="both"/>
              <w:rPr>
                <w:rFonts w:ascii="David" w:hAnsi="David" w:cs="David"/>
                <w:sz w:val="24"/>
                <w:szCs w:val="24"/>
                <w:rtl/>
              </w:rPr>
            </w:pPr>
            <w:r w:rsidRPr="00030DA7">
              <w:rPr>
                <w:rFonts w:ascii="David" w:hAnsi="David" w:cs="David" w:hint="cs"/>
                <w:sz w:val="24"/>
                <w:szCs w:val="24"/>
                <w:rtl/>
              </w:rPr>
              <w:t>ש</w:t>
            </w:r>
          </w:p>
        </w:tc>
        <w:tc>
          <w:tcPr>
            <w:tcW w:w="2835" w:type="dxa"/>
            <w:noWrap/>
            <w:hideMark/>
          </w:tcPr>
          <w:p w14:paraId="2545EC79" w14:textId="37672480" w:rsidR="00DB5BCC" w:rsidRPr="00CA6B58" w:rsidRDefault="00DB5BCC" w:rsidP="00DB5BCC">
            <w:pPr>
              <w:jc w:val="both"/>
              <w:rPr>
                <w:rFonts w:ascii="David" w:hAnsi="David" w:cs="David"/>
                <w:sz w:val="24"/>
                <w:szCs w:val="24"/>
                <w:rtl/>
              </w:rPr>
            </w:pPr>
            <w:r w:rsidRPr="00CA6B58">
              <w:rPr>
                <w:rFonts w:ascii="David" w:hAnsi="David" w:cs="David" w:hint="cs"/>
                <w:sz w:val="24"/>
                <w:szCs w:val="24"/>
              </w:rPr>
              <w:t>245</w:t>
            </w:r>
          </w:p>
        </w:tc>
        <w:tc>
          <w:tcPr>
            <w:tcW w:w="2266" w:type="dxa"/>
            <w:noWrap/>
            <w:hideMark/>
          </w:tcPr>
          <w:p w14:paraId="068DB1BB" w14:textId="3585296C" w:rsidR="00DB5BCC" w:rsidRPr="00030DA7" w:rsidRDefault="00DB5BCC" w:rsidP="00DB5BCC">
            <w:pPr>
              <w:jc w:val="both"/>
              <w:rPr>
                <w:rFonts w:ascii="David" w:hAnsi="David" w:cs="David"/>
                <w:sz w:val="24"/>
                <w:szCs w:val="24"/>
              </w:rPr>
            </w:pPr>
            <w:r w:rsidRPr="00030DA7">
              <w:rPr>
                <w:rFonts w:ascii="David" w:hAnsi="David" w:cs="David" w:hint="cs"/>
                <w:sz w:val="24"/>
                <w:szCs w:val="24"/>
              </w:rPr>
              <w:t>04:00</w:t>
            </w:r>
          </w:p>
        </w:tc>
      </w:tr>
      <w:tr w:rsidR="00DB5BCC" w:rsidRPr="00030DA7" w14:paraId="71527E5E" w14:textId="77777777" w:rsidTr="00983F15">
        <w:trPr>
          <w:trHeight w:val="315"/>
        </w:trPr>
        <w:tc>
          <w:tcPr>
            <w:tcW w:w="448" w:type="dxa"/>
          </w:tcPr>
          <w:p w14:paraId="54B7F6E7" w14:textId="7B2E3109" w:rsidR="00DB5BCC" w:rsidRPr="00030DA7" w:rsidRDefault="00DB5BCC" w:rsidP="00DB5BCC">
            <w:pPr>
              <w:jc w:val="both"/>
              <w:rPr>
                <w:rFonts w:ascii="David" w:hAnsi="David" w:cs="David"/>
                <w:sz w:val="24"/>
                <w:szCs w:val="24"/>
                <w:rtl/>
              </w:rPr>
            </w:pPr>
            <w:r>
              <w:rPr>
                <w:rFonts w:ascii="David" w:hAnsi="David" w:cs="David" w:hint="cs"/>
                <w:sz w:val="24"/>
                <w:szCs w:val="24"/>
                <w:rtl/>
              </w:rPr>
              <w:t>32</w:t>
            </w:r>
          </w:p>
        </w:tc>
        <w:tc>
          <w:tcPr>
            <w:tcW w:w="1274" w:type="dxa"/>
          </w:tcPr>
          <w:p w14:paraId="3087D229" w14:textId="2C040BC5" w:rsidR="00DB5BCC" w:rsidRPr="00030DA7" w:rsidRDefault="00DB5BCC" w:rsidP="00DB5BCC">
            <w:pPr>
              <w:jc w:val="both"/>
              <w:rPr>
                <w:rFonts w:ascii="David" w:hAnsi="David" w:cs="David"/>
                <w:sz w:val="24"/>
                <w:szCs w:val="24"/>
                <w:rtl/>
              </w:rPr>
            </w:pPr>
            <w:r w:rsidRPr="00030DA7">
              <w:rPr>
                <w:rFonts w:ascii="David" w:hAnsi="David" w:cs="David" w:hint="cs"/>
                <w:b/>
                <w:bCs/>
                <w:sz w:val="24"/>
                <w:szCs w:val="24"/>
                <w:rtl/>
              </w:rPr>
              <w:t>שלום</w:t>
            </w:r>
          </w:p>
        </w:tc>
        <w:tc>
          <w:tcPr>
            <w:tcW w:w="1857" w:type="dxa"/>
            <w:noWrap/>
            <w:hideMark/>
          </w:tcPr>
          <w:p w14:paraId="65964B5B" w14:textId="03231640" w:rsidR="00DB5BCC" w:rsidRPr="00030DA7" w:rsidRDefault="00DB5BCC" w:rsidP="00DB5BCC">
            <w:pPr>
              <w:jc w:val="both"/>
              <w:rPr>
                <w:rFonts w:ascii="David" w:hAnsi="David" w:cs="David"/>
                <w:sz w:val="24"/>
                <w:szCs w:val="24"/>
                <w:rtl/>
              </w:rPr>
            </w:pPr>
            <w:r w:rsidRPr="00030DA7">
              <w:rPr>
                <w:rFonts w:ascii="David" w:hAnsi="David" w:cs="David" w:hint="cs"/>
                <w:sz w:val="24"/>
                <w:szCs w:val="24"/>
                <w:rtl/>
              </w:rPr>
              <w:t>מ"ס</w:t>
            </w:r>
          </w:p>
        </w:tc>
        <w:tc>
          <w:tcPr>
            <w:tcW w:w="2835" w:type="dxa"/>
            <w:noWrap/>
            <w:hideMark/>
          </w:tcPr>
          <w:p w14:paraId="51D5C171" w14:textId="0AB705D9" w:rsidR="00DB5BCC" w:rsidRPr="00CA6B58" w:rsidRDefault="00DB5BCC" w:rsidP="00DB5BCC">
            <w:pPr>
              <w:jc w:val="both"/>
              <w:rPr>
                <w:rFonts w:ascii="David" w:hAnsi="David" w:cs="David"/>
                <w:sz w:val="24"/>
                <w:szCs w:val="24"/>
                <w:rtl/>
              </w:rPr>
            </w:pPr>
            <w:r w:rsidRPr="00CA6B58">
              <w:rPr>
                <w:rFonts w:ascii="David" w:hAnsi="David" w:cs="David" w:hint="cs"/>
                <w:sz w:val="24"/>
                <w:szCs w:val="24"/>
              </w:rPr>
              <w:t>230</w:t>
            </w:r>
          </w:p>
        </w:tc>
        <w:tc>
          <w:tcPr>
            <w:tcW w:w="2266" w:type="dxa"/>
            <w:noWrap/>
            <w:hideMark/>
          </w:tcPr>
          <w:p w14:paraId="106AEEA9" w14:textId="76F74DD0" w:rsidR="00DB5BCC" w:rsidRPr="00030DA7" w:rsidRDefault="00DB5BCC" w:rsidP="00DB5BCC">
            <w:pPr>
              <w:jc w:val="both"/>
              <w:rPr>
                <w:rFonts w:ascii="David" w:hAnsi="David" w:cs="David"/>
                <w:sz w:val="24"/>
                <w:szCs w:val="24"/>
              </w:rPr>
            </w:pPr>
            <w:r w:rsidRPr="00030DA7">
              <w:rPr>
                <w:rFonts w:ascii="David" w:hAnsi="David" w:cs="David" w:hint="cs"/>
                <w:sz w:val="24"/>
                <w:szCs w:val="24"/>
              </w:rPr>
              <w:t>00:04</w:t>
            </w:r>
          </w:p>
        </w:tc>
      </w:tr>
      <w:tr w:rsidR="00DB5BCC" w:rsidRPr="00030DA7" w14:paraId="01121BDB" w14:textId="77777777" w:rsidTr="00983F15">
        <w:trPr>
          <w:trHeight w:val="315"/>
        </w:trPr>
        <w:tc>
          <w:tcPr>
            <w:tcW w:w="448" w:type="dxa"/>
          </w:tcPr>
          <w:p w14:paraId="04C6C61A" w14:textId="21FD6699" w:rsidR="00DB5BCC" w:rsidRPr="00030DA7" w:rsidRDefault="00DB5BCC" w:rsidP="00DB5BCC">
            <w:pPr>
              <w:jc w:val="both"/>
              <w:rPr>
                <w:rFonts w:ascii="David" w:hAnsi="David" w:cs="David"/>
                <w:sz w:val="24"/>
                <w:szCs w:val="24"/>
                <w:rtl/>
              </w:rPr>
            </w:pPr>
            <w:r>
              <w:rPr>
                <w:rFonts w:ascii="David" w:hAnsi="David" w:cs="David" w:hint="cs"/>
                <w:sz w:val="24"/>
                <w:szCs w:val="24"/>
                <w:rtl/>
              </w:rPr>
              <w:t>33</w:t>
            </w:r>
          </w:p>
        </w:tc>
        <w:tc>
          <w:tcPr>
            <w:tcW w:w="1274" w:type="dxa"/>
          </w:tcPr>
          <w:p w14:paraId="58AA80ED" w14:textId="765493B1" w:rsidR="00DB5BCC" w:rsidRPr="00030DA7" w:rsidRDefault="00DB5BCC" w:rsidP="00DB5BCC">
            <w:pPr>
              <w:jc w:val="both"/>
              <w:rPr>
                <w:rFonts w:ascii="David" w:hAnsi="David" w:cs="David"/>
                <w:sz w:val="24"/>
                <w:szCs w:val="24"/>
                <w:rtl/>
              </w:rPr>
            </w:pPr>
            <w:r w:rsidRPr="00030DA7">
              <w:rPr>
                <w:rFonts w:ascii="David" w:hAnsi="David" w:cs="David" w:hint="cs"/>
                <w:b/>
                <w:bCs/>
                <w:sz w:val="24"/>
                <w:szCs w:val="24"/>
                <w:rtl/>
              </w:rPr>
              <w:t>שלום</w:t>
            </w:r>
          </w:p>
        </w:tc>
        <w:tc>
          <w:tcPr>
            <w:tcW w:w="1857" w:type="dxa"/>
            <w:noWrap/>
            <w:hideMark/>
          </w:tcPr>
          <w:p w14:paraId="2020E7C1" w14:textId="58F2C634" w:rsidR="00DB5BCC" w:rsidRPr="00030DA7" w:rsidRDefault="00DB5BCC" w:rsidP="00DB5BCC">
            <w:pPr>
              <w:jc w:val="both"/>
              <w:rPr>
                <w:rFonts w:ascii="David" w:hAnsi="David" w:cs="David"/>
                <w:sz w:val="24"/>
                <w:szCs w:val="24"/>
                <w:rtl/>
              </w:rPr>
            </w:pPr>
            <w:r w:rsidRPr="00030DA7">
              <w:rPr>
                <w:rFonts w:ascii="David" w:hAnsi="David" w:cs="David" w:hint="cs"/>
                <w:sz w:val="24"/>
                <w:szCs w:val="24"/>
                <w:rtl/>
              </w:rPr>
              <w:t>תל"פ</w:t>
            </w:r>
          </w:p>
        </w:tc>
        <w:tc>
          <w:tcPr>
            <w:tcW w:w="2835" w:type="dxa"/>
            <w:noWrap/>
            <w:hideMark/>
          </w:tcPr>
          <w:p w14:paraId="2967A0EB" w14:textId="4F69FA7E" w:rsidR="00DB5BCC" w:rsidRPr="00CA6B58" w:rsidRDefault="00DB5BCC" w:rsidP="00DB5BCC">
            <w:pPr>
              <w:jc w:val="both"/>
              <w:rPr>
                <w:rFonts w:ascii="David" w:hAnsi="David" w:cs="David"/>
                <w:sz w:val="24"/>
                <w:szCs w:val="24"/>
                <w:rtl/>
              </w:rPr>
            </w:pPr>
            <w:r w:rsidRPr="00CA6B58">
              <w:rPr>
                <w:rFonts w:ascii="David" w:hAnsi="David" w:cs="David" w:hint="cs"/>
                <w:sz w:val="24"/>
                <w:szCs w:val="24"/>
              </w:rPr>
              <w:t>152</w:t>
            </w:r>
          </w:p>
        </w:tc>
        <w:tc>
          <w:tcPr>
            <w:tcW w:w="2266" w:type="dxa"/>
            <w:noWrap/>
            <w:hideMark/>
          </w:tcPr>
          <w:p w14:paraId="07952DFE" w14:textId="49AD4C46" w:rsidR="00DB5BCC" w:rsidRPr="00030DA7" w:rsidRDefault="00DB5BCC" w:rsidP="00DB5BCC">
            <w:pPr>
              <w:jc w:val="both"/>
              <w:rPr>
                <w:rFonts w:ascii="David" w:hAnsi="David" w:cs="David"/>
                <w:sz w:val="24"/>
                <w:szCs w:val="24"/>
              </w:rPr>
            </w:pPr>
            <w:r w:rsidRPr="00030DA7">
              <w:rPr>
                <w:rFonts w:ascii="David" w:hAnsi="David" w:cs="David" w:hint="cs"/>
                <w:sz w:val="24"/>
                <w:szCs w:val="24"/>
              </w:rPr>
              <w:t>00:11</w:t>
            </w:r>
          </w:p>
        </w:tc>
      </w:tr>
      <w:tr w:rsidR="00DB5BCC" w:rsidRPr="00030DA7" w14:paraId="62FCEC4D" w14:textId="77777777" w:rsidTr="00983F15">
        <w:trPr>
          <w:trHeight w:val="315"/>
        </w:trPr>
        <w:tc>
          <w:tcPr>
            <w:tcW w:w="448" w:type="dxa"/>
          </w:tcPr>
          <w:p w14:paraId="2EC344FA" w14:textId="6B0F009C" w:rsidR="00DB5BCC" w:rsidRPr="00030DA7" w:rsidRDefault="00DB5BCC" w:rsidP="00DB5BCC">
            <w:pPr>
              <w:jc w:val="both"/>
              <w:rPr>
                <w:rFonts w:ascii="David" w:hAnsi="David" w:cs="David"/>
                <w:sz w:val="24"/>
                <w:szCs w:val="24"/>
                <w:rtl/>
              </w:rPr>
            </w:pPr>
            <w:r>
              <w:rPr>
                <w:rFonts w:ascii="David" w:hAnsi="David" w:cs="David" w:hint="cs"/>
                <w:sz w:val="24"/>
                <w:szCs w:val="24"/>
                <w:rtl/>
              </w:rPr>
              <w:t>34</w:t>
            </w:r>
          </w:p>
        </w:tc>
        <w:tc>
          <w:tcPr>
            <w:tcW w:w="1274" w:type="dxa"/>
          </w:tcPr>
          <w:p w14:paraId="1439E8F1" w14:textId="6A65D02E" w:rsidR="00DB5BCC" w:rsidRPr="00030DA7" w:rsidRDefault="00DB5BCC" w:rsidP="00DB5BCC">
            <w:pPr>
              <w:jc w:val="both"/>
              <w:rPr>
                <w:rFonts w:ascii="David" w:hAnsi="David" w:cs="David"/>
                <w:sz w:val="24"/>
                <w:szCs w:val="24"/>
                <w:rtl/>
              </w:rPr>
            </w:pPr>
            <w:r w:rsidRPr="00030DA7">
              <w:rPr>
                <w:rFonts w:ascii="David" w:hAnsi="David" w:cs="David" w:hint="cs"/>
                <w:b/>
                <w:bCs/>
                <w:sz w:val="24"/>
                <w:szCs w:val="24"/>
                <w:rtl/>
              </w:rPr>
              <w:t>שלום</w:t>
            </w:r>
          </w:p>
        </w:tc>
        <w:tc>
          <w:tcPr>
            <w:tcW w:w="1857" w:type="dxa"/>
            <w:noWrap/>
            <w:hideMark/>
          </w:tcPr>
          <w:p w14:paraId="0CAA146C" w14:textId="487A556C" w:rsidR="00DB5BCC" w:rsidRPr="00030DA7" w:rsidRDefault="00DB5BCC" w:rsidP="00DB5BCC">
            <w:pPr>
              <w:jc w:val="both"/>
              <w:rPr>
                <w:rFonts w:ascii="David" w:hAnsi="David" w:cs="David"/>
                <w:sz w:val="24"/>
                <w:szCs w:val="24"/>
                <w:rtl/>
              </w:rPr>
            </w:pPr>
            <w:r w:rsidRPr="00030DA7">
              <w:rPr>
                <w:rFonts w:ascii="David" w:hAnsi="David" w:cs="David" w:hint="cs"/>
                <w:sz w:val="24"/>
                <w:szCs w:val="24"/>
                <w:rtl/>
              </w:rPr>
              <w:t>רער"צ</w:t>
            </w:r>
          </w:p>
        </w:tc>
        <w:tc>
          <w:tcPr>
            <w:tcW w:w="2835" w:type="dxa"/>
            <w:noWrap/>
            <w:hideMark/>
          </w:tcPr>
          <w:p w14:paraId="73DE2B2A" w14:textId="69189D0E" w:rsidR="00DB5BCC" w:rsidRPr="00CA6B58" w:rsidRDefault="00DB5BCC" w:rsidP="00DB5BCC">
            <w:pPr>
              <w:jc w:val="both"/>
              <w:rPr>
                <w:rFonts w:ascii="David" w:hAnsi="David" w:cs="David"/>
                <w:sz w:val="24"/>
                <w:szCs w:val="24"/>
                <w:rtl/>
              </w:rPr>
            </w:pPr>
            <w:r w:rsidRPr="00CA6B58">
              <w:rPr>
                <w:rFonts w:ascii="David" w:hAnsi="David" w:cs="David" w:hint="cs"/>
                <w:sz w:val="24"/>
                <w:szCs w:val="24"/>
              </w:rPr>
              <w:t>86</w:t>
            </w:r>
          </w:p>
        </w:tc>
        <w:tc>
          <w:tcPr>
            <w:tcW w:w="2266" w:type="dxa"/>
            <w:noWrap/>
            <w:hideMark/>
          </w:tcPr>
          <w:p w14:paraId="2D2AEE18" w14:textId="7B563E4D" w:rsidR="00DB5BCC" w:rsidRPr="00030DA7" w:rsidRDefault="00DB5BCC" w:rsidP="00DB5BCC">
            <w:pPr>
              <w:jc w:val="both"/>
              <w:rPr>
                <w:rFonts w:ascii="David" w:hAnsi="David" w:cs="David"/>
                <w:sz w:val="24"/>
                <w:szCs w:val="24"/>
              </w:rPr>
            </w:pPr>
            <w:r w:rsidRPr="00030DA7">
              <w:rPr>
                <w:rFonts w:ascii="David" w:hAnsi="David" w:cs="David" w:hint="cs"/>
                <w:sz w:val="24"/>
                <w:szCs w:val="24"/>
              </w:rPr>
              <w:t>01:15</w:t>
            </w:r>
          </w:p>
        </w:tc>
      </w:tr>
      <w:tr w:rsidR="00DB5BCC" w:rsidRPr="00030DA7" w14:paraId="23D275EF" w14:textId="77777777" w:rsidTr="00983F15">
        <w:trPr>
          <w:trHeight w:val="315"/>
        </w:trPr>
        <w:tc>
          <w:tcPr>
            <w:tcW w:w="448" w:type="dxa"/>
          </w:tcPr>
          <w:p w14:paraId="1C024128" w14:textId="27283A01" w:rsidR="00DB5BCC" w:rsidRPr="00030DA7" w:rsidRDefault="00DB5BCC" w:rsidP="00DB5BCC">
            <w:pPr>
              <w:jc w:val="both"/>
              <w:rPr>
                <w:rFonts w:ascii="David" w:hAnsi="David" w:cs="David"/>
                <w:sz w:val="24"/>
                <w:szCs w:val="24"/>
                <w:rtl/>
              </w:rPr>
            </w:pPr>
            <w:r>
              <w:rPr>
                <w:rFonts w:ascii="David" w:hAnsi="David" w:cs="David" w:hint="cs"/>
                <w:sz w:val="24"/>
                <w:szCs w:val="24"/>
                <w:rtl/>
              </w:rPr>
              <w:t>35</w:t>
            </w:r>
          </w:p>
        </w:tc>
        <w:tc>
          <w:tcPr>
            <w:tcW w:w="1274" w:type="dxa"/>
          </w:tcPr>
          <w:p w14:paraId="1D8A66B0" w14:textId="59C2F971" w:rsidR="00DB5BCC" w:rsidRPr="00030DA7" w:rsidRDefault="00DB5BCC" w:rsidP="00DB5BCC">
            <w:pPr>
              <w:jc w:val="both"/>
              <w:rPr>
                <w:rFonts w:ascii="David" w:hAnsi="David" w:cs="David"/>
                <w:sz w:val="24"/>
                <w:szCs w:val="24"/>
                <w:rtl/>
              </w:rPr>
            </w:pPr>
            <w:r w:rsidRPr="00030DA7">
              <w:rPr>
                <w:rFonts w:ascii="David" w:hAnsi="David" w:cs="David" w:hint="cs"/>
                <w:b/>
                <w:bCs/>
                <w:sz w:val="24"/>
                <w:szCs w:val="24"/>
                <w:rtl/>
              </w:rPr>
              <w:t>שלום</w:t>
            </w:r>
          </w:p>
        </w:tc>
        <w:tc>
          <w:tcPr>
            <w:tcW w:w="1857" w:type="dxa"/>
            <w:noWrap/>
            <w:hideMark/>
          </w:tcPr>
          <w:p w14:paraId="61922888" w14:textId="14E5B6A1" w:rsidR="00DB5BCC" w:rsidRPr="00030DA7" w:rsidRDefault="00DB5BCC" w:rsidP="00DB5BCC">
            <w:pPr>
              <w:jc w:val="both"/>
              <w:rPr>
                <w:rFonts w:ascii="David" w:hAnsi="David" w:cs="David"/>
                <w:sz w:val="24"/>
                <w:szCs w:val="24"/>
                <w:rtl/>
              </w:rPr>
            </w:pPr>
            <w:r w:rsidRPr="00030DA7">
              <w:rPr>
                <w:rFonts w:ascii="David" w:hAnsi="David" w:cs="David" w:hint="cs"/>
                <w:sz w:val="24"/>
                <w:szCs w:val="24"/>
                <w:rtl/>
              </w:rPr>
              <w:t>מב"ס</w:t>
            </w:r>
          </w:p>
        </w:tc>
        <w:tc>
          <w:tcPr>
            <w:tcW w:w="2835" w:type="dxa"/>
            <w:noWrap/>
            <w:hideMark/>
          </w:tcPr>
          <w:p w14:paraId="3F29C4E5" w14:textId="3C44985F" w:rsidR="00DB5BCC" w:rsidRPr="00CA6B58" w:rsidRDefault="00DB5BCC" w:rsidP="00DB5BCC">
            <w:pPr>
              <w:jc w:val="both"/>
              <w:rPr>
                <w:rFonts w:ascii="David" w:hAnsi="David" w:cs="David"/>
                <w:sz w:val="24"/>
                <w:szCs w:val="24"/>
                <w:rtl/>
              </w:rPr>
            </w:pPr>
            <w:r w:rsidRPr="00CA6B58">
              <w:rPr>
                <w:rFonts w:ascii="David" w:hAnsi="David" w:cs="David" w:hint="cs"/>
                <w:sz w:val="24"/>
                <w:szCs w:val="24"/>
              </w:rPr>
              <w:t>75</w:t>
            </w:r>
          </w:p>
        </w:tc>
        <w:tc>
          <w:tcPr>
            <w:tcW w:w="2266" w:type="dxa"/>
            <w:noWrap/>
            <w:hideMark/>
          </w:tcPr>
          <w:p w14:paraId="407356B7" w14:textId="57B8BF53" w:rsidR="00DB5BCC" w:rsidRPr="00030DA7" w:rsidRDefault="00DB5BCC" w:rsidP="00DB5BCC">
            <w:pPr>
              <w:jc w:val="both"/>
              <w:rPr>
                <w:rFonts w:ascii="David" w:hAnsi="David" w:cs="David"/>
                <w:sz w:val="24"/>
                <w:szCs w:val="24"/>
              </w:rPr>
            </w:pPr>
            <w:r w:rsidRPr="00030DA7">
              <w:rPr>
                <w:rFonts w:ascii="David" w:hAnsi="David" w:cs="David" w:hint="cs"/>
                <w:sz w:val="24"/>
                <w:szCs w:val="24"/>
              </w:rPr>
              <w:t>03:00</w:t>
            </w:r>
          </w:p>
        </w:tc>
      </w:tr>
      <w:tr w:rsidR="00DB5BCC" w:rsidRPr="00030DA7" w14:paraId="00193DB8" w14:textId="77777777" w:rsidTr="00983F15">
        <w:trPr>
          <w:trHeight w:val="315"/>
        </w:trPr>
        <w:tc>
          <w:tcPr>
            <w:tcW w:w="448" w:type="dxa"/>
          </w:tcPr>
          <w:p w14:paraId="5C03284A" w14:textId="27BD31F3" w:rsidR="00DB5BCC" w:rsidRPr="00030DA7" w:rsidRDefault="00DB5BCC" w:rsidP="00DB5BCC">
            <w:pPr>
              <w:jc w:val="both"/>
              <w:rPr>
                <w:rFonts w:ascii="David" w:hAnsi="David" w:cs="David"/>
                <w:sz w:val="24"/>
                <w:szCs w:val="24"/>
                <w:rtl/>
              </w:rPr>
            </w:pPr>
            <w:r>
              <w:rPr>
                <w:rFonts w:ascii="David" w:hAnsi="David" w:cs="David" w:hint="cs"/>
                <w:sz w:val="24"/>
                <w:szCs w:val="24"/>
                <w:rtl/>
              </w:rPr>
              <w:t>36</w:t>
            </w:r>
          </w:p>
        </w:tc>
        <w:tc>
          <w:tcPr>
            <w:tcW w:w="1274" w:type="dxa"/>
          </w:tcPr>
          <w:p w14:paraId="002D9041" w14:textId="79214B43" w:rsidR="00DB5BCC" w:rsidRPr="00030DA7" w:rsidRDefault="00DB5BCC" w:rsidP="00DB5BCC">
            <w:pPr>
              <w:jc w:val="both"/>
              <w:rPr>
                <w:rFonts w:ascii="David" w:hAnsi="David" w:cs="David"/>
                <w:sz w:val="24"/>
                <w:szCs w:val="24"/>
                <w:rtl/>
              </w:rPr>
            </w:pPr>
            <w:r w:rsidRPr="00030DA7">
              <w:rPr>
                <w:rFonts w:ascii="David" w:hAnsi="David" w:cs="David" w:hint="cs"/>
                <w:b/>
                <w:bCs/>
                <w:sz w:val="24"/>
                <w:szCs w:val="24"/>
                <w:rtl/>
              </w:rPr>
              <w:t>שלום</w:t>
            </w:r>
          </w:p>
        </w:tc>
        <w:tc>
          <w:tcPr>
            <w:tcW w:w="1857" w:type="dxa"/>
            <w:noWrap/>
            <w:hideMark/>
          </w:tcPr>
          <w:p w14:paraId="6F03BA45" w14:textId="02CCC7D4" w:rsidR="00DB5BCC" w:rsidRPr="00030DA7" w:rsidRDefault="00DB5BCC" w:rsidP="00DB5BCC">
            <w:pPr>
              <w:jc w:val="both"/>
              <w:rPr>
                <w:rFonts w:ascii="David" w:hAnsi="David" w:cs="David"/>
                <w:sz w:val="24"/>
                <w:szCs w:val="24"/>
                <w:rtl/>
              </w:rPr>
            </w:pPr>
            <w:r w:rsidRPr="00030DA7">
              <w:rPr>
                <w:rFonts w:ascii="David" w:hAnsi="David" w:cs="David" w:hint="cs"/>
                <w:sz w:val="24"/>
                <w:szCs w:val="24"/>
                <w:rtl/>
              </w:rPr>
              <w:t>בר"ש</w:t>
            </w:r>
          </w:p>
        </w:tc>
        <w:tc>
          <w:tcPr>
            <w:tcW w:w="2835" w:type="dxa"/>
            <w:noWrap/>
            <w:hideMark/>
          </w:tcPr>
          <w:p w14:paraId="7D0DCCCB" w14:textId="71628C92" w:rsidR="00DB5BCC" w:rsidRPr="00CA6B58" w:rsidRDefault="00DB5BCC" w:rsidP="00DB5BCC">
            <w:pPr>
              <w:jc w:val="both"/>
              <w:rPr>
                <w:rFonts w:ascii="David" w:hAnsi="David" w:cs="David"/>
                <w:sz w:val="24"/>
                <w:szCs w:val="24"/>
                <w:rtl/>
              </w:rPr>
            </w:pPr>
            <w:r w:rsidRPr="00CA6B58">
              <w:rPr>
                <w:rFonts w:ascii="David" w:hAnsi="David" w:cs="David" w:hint="cs"/>
                <w:sz w:val="24"/>
                <w:szCs w:val="24"/>
              </w:rPr>
              <w:t>74</w:t>
            </w:r>
          </w:p>
        </w:tc>
        <w:tc>
          <w:tcPr>
            <w:tcW w:w="2266" w:type="dxa"/>
            <w:noWrap/>
            <w:hideMark/>
          </w:tcPr>
          <w:p w14:paraId="15768D59" w14:textId="5E95F842" w:rsidR="00DB5BCC" w:rsidRPr="00030DA7" w:rsidRDefault="00DB5BCC" w:rsidP="00DB5BCC">
            <w:pPr>
              <w:jc w:val="both"/>
              <w:rPr>
                <w:rFonts w:ascii="David" w:hAnsi="David" w:cs="David"/>
                <w:sz w:val="24"/>
                <w:szCs w:val="24"/>
              </w:rPr>
            </w:pPr>
            <w:r w:rsidRPr="00030DA7">
              <w:rPr>
                <w:rFonts w:ascii="David" w:hAnsi="David" w:cs="David" w:hint="cs"/>
                <w:sz w:val="24"/>
                <w:szCs w:val="24"/>
              </w:rPr>
              <w:t>02:00</w:t>
            </w:r>
          </w:p>
        </w:tc>
      </w:tr>
      <w:tr w:rsidR="00DB5BCC" w:rsidRPr="00030DA7" w14:paraId="04DE98BC" w14:textId="77777777" w:rsidTr="00983F15">
        <w:trPr>
          <w:trHeight w:val="315"/>
        </w:trPr>
        <w:tc>
          <w:tcPr>
            <w:tcW w:w="448" w:type="dxa"/>
          </w:tcPr>
          <w:p w14:paraId="636159AA" w14:textId="36DC3986" w:rsidR="00DB5BCC" w:rsidRPr="00030DA7" w:rsidRDefault="00DB5BCC" w:rsidP="00DB5BCC">
            <w:pPr>
              <w:jc w:val="both"/>
              <w:rPr>
                <w:rFonts w:ascii="David" w:hAnsi="David" w:cs="David"/>
                <w:sz w:val="24"/>
                <w:szCs w:val="24"/>
                <w:rtl/>
              </w:rPr>
            </w:pPr>
            <w:r>
              <w:rPr>
                <w:rFonts w:ascii="David" w:hAnsi="David" w:cs="David" w:hint="cs"/>
                <w:sz w:val="24"/>
                <w:szCs w:val="24"/>
                <w:rtl/>
              </w:rPr>
              <w:t>37</w:t>
            </w:r>
          </w:p>
        </w:tc>
        <w:tc>
          <w:tcPr>
            <w:tcW w:w="1274" w:type="dxa"/>
          </w:tcPr>
          <w:p w14:paraId="28B9B3D7" w14:textId="59A75E51" w:rsidR="00DB5BCC" w:rsidRPr="00030DA7" w:rsidRDefault="00DB5BCC" w:rsidP="00DB5BCC">
            <w:pPr>
              <w:jc w:val="both"/>
              <w:rPr>
                <w:rFonts w:ascii="David" w:hAnsi="David" w:cs="David"/>
                <w:sz w:val="24"/>
                <w:szCs w:val="24"/>
                <w:rtl/>
              </w:rPr>
            </w:pPr>
            <w:r w:rsidRPr="00030DA7">
              <w:rPr>
                <w:rFonts w:ascii="David" w:hAnsi="David" w:cs="David" w:hint="cs"/>
                <w:b/>
                <w:bCs/>
                <w:sz w:val="24"/>
                <w:szCs w:val="24"/>
                <w:rtl/>
              </w:rPr>
              <w:t>שלום</w:t>
            </w:r>
          </w:p>
        </w:tc>
        <w:tc>
          <w:tcPr>
            <w:tcW w:w="1857" w:type="dxa"/>
            <w:noWrap/>
            <w:hideMark/>
          </w:tcPr>
          <w:p w14:paraId="7735017D" w14:textId="40A16CB4" w:rsidR="00DB5BCC" w:rsidRPr="00030DA7" w:rsidRDefault="00DB5BCC" w:rsidP="00DB5BCC">
            <w:pPr>
              <w:jc w:val="both"/>
              <w:rPr>
                <w:rFonts w:ascii="David" w:hAnsi="David" w:cs="David"/>
                <w:sz w:val="24"/>
                <w:szCs w:val="24"/>
                <w:rtl/>
              </w:rPr>
            </w:pPr>
            <w:r w:rsidRPr="00030DA7">
              <w:rPr>
                <w:rFonts w:ascii="David" w:hAnsi="David" w:cs="David" w:hint="cs"/>
                <w:sz w:val="24"/>
                <w:szCs w:val="24"/>
                <w:rtl/>
              </w:rPr>
              <w:t>תו"ח</w:t>
            </w:r>
          </w:p>
        </w:tc>
        <w:tc>
          <w:tcPr>
            <w:tcW w:w="2835" w:type="dxa"/>
            <w:noWrap/>
            <w:hideMark/>
          </w:tcPr>
          <w:p w14:paraId="47871611" w14:textId="5E3FBFCC" w:rsidR="00DB5BCC" w:rsidRPr="00CA6B58" w:rsidRDefault="00DB5BCC" w:rsidP="00DB5BCC">
            <w:pPr>
              <w:jc w:val="both"/>
              <w:rPr>
                <w:rFonts w:ascii="David" w:hAnsi="David" w:cs="David"/>
                <w:sz w:val="24"/>
                <w:szCs w:val="24"/>
                <w:rtl/>
              </w:rPr>
            </w:pPr>
            <w:r w:rsidRPr="00CA6B58">
              <w:rPr>
                <w:rFonts w:ascii="David" w:hAnsi="David" w:cs="David" w:hint="cs"/>
                <w:sz w:val="24"/>
                <w:szCs w:val="24"/>
              </w:rPr>
              <w:t>71</w:t>
            </w:r>
          </w:p>
        </w:tc>
        <w:tc>
          <w:tcPr>
            <w:tcW w:w="2266" w:type="dxa"/>
            <w:noWrap/>
            <w:hideMark/>
          </w:tcPr>
          <w:p w14:paraId="2466552E" w14:textId="009227CB" w:rsidR="00DB5BCC" w:rsidRPr="00030DA7" w:rsidRDefault="00DB5BCC" w:rsidP="00DB5BCC">
            <w:pPr>
              <w:jc w:val="both"/>
              <w:rPr>
                <w:rFonts w:ascii="David" w:hAnsi="David" w:cs="David"/>
                <w:sz w:val="24"/>
                <w:szCs w:val="24"/>
              </w:rPr>
            </w:pPr>
            <w:r w:rsidRPr="00030DA7">
              <w:rPr>
                <w:rFonts w:ascii="David" w:hAnsi="David" w:cs="David" w:hint="cs"/>
                <w:sz w:val="24"/>
                <w:szCs w:val="24"/>
              </w:rPr>
              <w:t>11:00</w:t>
            </w:r>
          </w:p>
        </w:tc>
      </w:tr>
      <w:tr w:rsidR="00DB5BCC" w:rsidRPr="00030DA7" w14:paraId="0713DEF7" w14:textId="77777777" w:rsidTr="00983F15">
        <w:trPr>
          <w:trHeight w:val="315"/>
        </w:trPr>
        <w:tc>
          <w:tcPr>
            <w:tcW w:w="448" w:type="dxa"/>
          </w:tcPr>
          <w:p w14:paraId="6A9621A9" w14:textId="4FFEF374" w:rsidR="00DB5BCC" w:rsidRPr="00030DA7" w:rsidRDefault="00DB5BCC" w:rsidP="00DB5BCC">
            <w:pPr>
              <w:jc w:val="both"/>
              <w:rPr>
                <w:rFonts w:ascii="David" w:hAnsi="David" w:cs="David"/>
                <w:sz w:val="24"/>
                <w:szCs w:val="24"/>
                <w:rtl/>
              </w:rPr>
            </w:pPr>
            <w:r>
              <w:rPr>
                <w:rFonts w:ascii="David" w:hAnsi="David" w:cs="David" w:hint="cs"/>
                <w:sz w:val="24"/>
                <w:szCs w:val="24"/>
                <w:rtl/>
              </w:rPr>
              <w:t>38</w:t>
            </w:r>
          </w:p>
        </w:tc>
        <w:tc>
          <w:tcPr>
            <w:tcW w:w="1274" w:type="dxa"/>
          </w:tcPr>
          <w:p w14:paraId="1C964788" w14:textId="52B74073" w:rsidR="00DB5BCC" w:rsidRPr="00030DA7" w:rsidRDefault="00DB5BCC" w:rsidP="00DB5BCC">
            <w:pPr>
              <w:jc w:val="both"/>
              <w:rPr>
                <w:rFonts w:ascii="David" w:hAnsi="David" w:cs="David"/>
                <w:sz w:val="24"/>
                <w:szCs w:val="24"/>
                <w:rtl/>
              </w:rPr>
            </w:pPr>
            <w:r w:rsidRPr="00030DA7">
              <w:rPr>
                <w:rFonts w:ascii="David" w:hAnsi="David" w:cs="David" w:hint="cs"/>
                <w:b/>
                <w:bCs/>
                <w:sz w:val="24"/>
                <w:szCs w:val="24"/>
                <w:rtl/>
              </w:rPr>
              <w:t>נוער</w:t>
            </w:r>
          </w:p>
        </w:tc>
        <w:tc>
          <w:tcPr>
            <w:tcW w:w="1857" w:type="dxa"/>
            <w:noWrap/>
            <w:hideMark/>
          </w:tcPr>
          <w:p w14:paraId="4C42FEE7" w14:textId="685B58A6" w:rsidR="00DB5BCC" w:rsidRPr="00030DA7" w:rsidRDefault="00DB5BCC" w:rsidP="00DB5BCC">
            <w:pPr>
              <w:jc w:val="both"/>
              <w:rPr>
                <w:rFonts w:ascii="David" w:hAnsi="David" w:cs="David"/>
                <w:sz w:val="24"/>
                <w:szCs w:val="24"/>
                <w:rtl/>
              </w:rPr>
            </w:pPr>
            <w:r w:rsidRPr="00030DA7">
              <w:rPr>
                <w:rFonts w:ascii="David" w:hAnsi="David" w:cs="David" w:hint="cs"/>
                <w:sz w:val="24"/>
                <w:szCs w:val="24"/>
                <w:rtl/>
              </w:rPr>
              <w:t>בש"ע</w:t>
            </w:r>
          </w:p>
        </w:tc>
        <w:tc>
          <w:tcPr>
            <w:tcW w:w="2835" w:type="dxa"/>
            <w:noWrap/>
            <w:hideMark/>
          </w:tcPr>
          <w:p w14:paraId="4139BD3C" w14:textId="1E79A8E9" w:rsidR="00DB5BCC" w:rsidRPr="00CA6B58" w:rsidRDefault="00DB5BCC" w:rsidP="00DB5BCC">
            <w:pPr>
              <w:jc w:val="both"/>
              <w:rPr>
                <w:rFonts w:ascii="David" w:hAnsi="David" w:cs="David"/>
                <w:sz w:val="24"/>
                <w:szCs w:val="24"/>
                <w:rtl/>
              </w:rPr>
            </w:pPr>
            <w:r w:rsidRPr="00CA6B58">
              <w:rPr>
                <w:rFonts w:ascii="David" w:hAnsi="David" w:cs="David" w:hint="cs"/>
                <w:sz w:val="24"/>
                <w:szCs w:val="24"/>
              </w:rPr>
              <w:t>156</w:t>
            </w:r>
          </w:p>
        </w:tc>
        <w:tc>
          <w:tcPr>
            <w:tcW w:w="2266" w:type="dxa"/>
            <w:noWrap/>
            <w:hideMark/>
          </w:tcPr>
          <w:p w14:paraId="5F1D6E0D" w14:textId="25334FDB" w:rsidR="00DB5BCC" w:rsidRPr="00030DA7" w:rsidRDefault="00DB5BCC" w:rsidP="00DB5BCC">
            <w:pPr>
              <w:jc w:val="both"/>
              <w:rPr>
                <w:rFonts w:ascii="David" w:hAnsi="David" w:cs="David"/>
                <w:sz w:val="24"/>
                <w:szCs w:val="24"/>
              </w:rPr>
            </w:pPr>
            <w:r w:rsidRPr="00030DA7">
              <w:rPr>
                <w:rFonts w:ascii="David" w:hAnsi="David" w:cs="David" w:hint="cs"/>
                <w:sz w:val="24"/>
                <w:szCs w:val="24"/>
              </w:rPr>
              <w:t>01:15</w:t>
            </w:r>
          </w:p>
        </w:tc>
      </w:tr>
      <w:tr w:rsidR="00DB5BCC" w:rsidRPr="00030DA7" w14:paraId="775E82D8" w14:textId="77777777" w:rsidTr="00983F15">
        <w:trPr>
          <w:trHeight w:val="315"/>
        </w:trPr>
        <w:tc>
          <w:tcPr>
            <w:tcW w:w="448" w:type="dxa"/>
          </w:tcPr>
          <w:p w14:paraId="205D4EF9" w14:textId="680796BA" w:rsidR="00DB5BCC" w:rsidRPr="00030DA7" w:rsidRDefault="00DB5BCC" w:rsidP="00DB5BCC">
            <w:pPr>
              <w:jc w:val="both"/>
              <w:rPr>
                <w:rFonts w:ascii="David" w:hAnsi="David" w:cs="David"/>
                <w:sz w:val="24"/>
                <w:szCs w:val="24"/>
                <w:rtl/>
              </w:rPr>
            </w:pPr>
            <w:r>
              <w:rPr>
                <w:rFonts w:ascii="David" w:hAnsi="David" w:cs="David" w:hint="cs"/>
                <w:sz w:val="24"/>
                <w:szCs w:val="24"/>
                <w:rtl/>
              </w:rPr>
              <w:t>39</w:t>
            </w:r>
          </w:p>
        </w:tc>
        <w:tc>
          <w:tcPr>
            <w:tcW w:w="1274" w:type="dxa"/>
          </w:tcPr>
          <w:p w14:paraId="36AB6480" w14:textId="46B1C342" w:rsidR="00DB5BCC" w:rsidRPr="00030DA7" w:rsidRDefault="00DB5BCC" w:rsidP="00DB5BCC">
            <w:pPr>
              <w:jc w:val="both"/>
              <w:rPr>
                <w:rFonts w:ascii="David" w:hAnsi="David" w:cs="David"/>
                <w:sz w:val="24"/>
                <w:szCs w:val="24"/>
                <w:rtl/>
              </w:rPr>
            </w:pPr>
            <w:r w:rsidRPr="00030DA7">
              <w:rPr>
                <w:rFonts w:ascii="David" w:hAnsi="David" w:cs="David" w:hint="cs"/>
                <w:b/>
                <w:bCs/>
                <w:sz w:val="24"/>
                <w:szCs w:val="24"/>
                <w:rtl/>
              </w:rPr>
              <w:t>נוער</w:t>
            </w:r>
          </w:p>
        </w:tc>
        <w:tc>
          <w:tcPr>
            <w:tcW w:w="1857" w:type="dxa"/>
            <w:noWrap/>
            <w:hideMark/>
          </w:tcPr>
          <w:p w14:paraId="683B4542" w14:textId="0C201D75" w:rsidR="00DB5BCC" w:rsidRPr="00030DA7" w:rsidRDefault="00DB5BCC" w:rsidP="00DB5BCC">
            <w:pPr>
              <w:jc w:val="both"/>
              <w:rPr>
                <w:rFonts w:ascii="David" w:hAnsi="David" w:cs="David"/>
                <w:sz w:val="24"/>
                <w:szCs w:val="24"/>
                <w:rtl/>
              </w:rPr>
            </w:pPr>
            <w:r w:rsidRPr="00030DA7">
              <w:rPr>
                <w:rFonts w:ascii="David" w:hAnsi="David" w:cs="David" w:hint="cs"/>
                <w:sz w:val="24"/>
                <w:szCs w:val="24"/>
                <w:rtl/>
              </w:rPr>
              <w:t>בע"ח</w:t>
            </w:r>
          </w:p>
        </w:tc>
        <w:tc>
          <w:tcPr>
            <w:tcW w:w="2835" w:type="dxa"/>
            <w:noWrap/>
            <w:hideMark/>
          </w:tcPr>
          <w:p w14:paraId="44DCEF1C" w14:textId="5061796A" w:rsidR="00DB5BCC" w:rsidRPr="00CA6B58" w:rsidRDefault="00DB5BCC" w:rsidP="00DB5BCC">
            <w:pPr>
              <w:jc w:val="both"/>
              <w:rPr>
                <w:rFonts w:ascii="David" w:hAnsi="David" w:cs="David"/>
                <w:sz w:val="24"/>
                <w:szCs w:val="24"/>
                <w:rtl/>
              </w:rPr>
            </w:pPr>
            <w:r w:rsidRPr="00CA6B58">
              <w:rPr>
                <w:rFonts w:ascii="David" w:hAnsi="David" w:cs="David" w:hint="cs"/>
                <w:sz w:val="24"/>
                <w:szCs w:val="24"/>
              </w:rPr>
              <w:t>61</w:t>
            </w:r>
          </w:p>
        </w:tc>
        <w:tc>
          <w:tcPr>
            <w:tcW w:w="2266" w:type="dxa"/>
            <w:noWrap/>
            <w:hideMark/>
          </w:tcPr>
          <w:p w14:paraId="6ACDE1DB" w14:textId="13270B4F" w:rsidR="00DB5BCC" w:rsidRPr="00030DA7" w:rsidRDefault="00DB5BCC" w:rsidP="00DB5BCC">
            <w:pPr>
              <w:jc w:val="both"/>
              <w:rPr>
                <w:rFonts w:ascii="David" w:hAnsi="David" w:cs="David"/>
                <w:sz w:val="24"/>
                <w:szCs w:val="24"/>
              </w:rPr>
            </w:pPr>
            <w:r w:rsidRPr="00030DA7">
              <w:rPr>
                <w:rFonts w:ascii="David" w:hAnsi="David" w:cs="David" w:hint="cs"/>
                <w:sz w:val="24"/>
                <w:szCs w:val="24"/>
              </w:rPr>
              <w:t>02:00</w:t>
            </w:r>
          </w:p>
        </w:tc>
      </w:tr>
      <w:tr w:rsidR="00DB5BCC" w:rsidRPr="00030DA7" w14:paraId="4F663860" w14:textId="77777777" w:rsidTr="00983F15">
        <w:trPr>
          <w:trHeight w:val="315"/>
        </w:trPr>
        <w:tc>
          <w:tcPr>
            <w:tcW w:w="448" w:type="dxa"/>
          </w:tcPr>
          <w:p w14:paraId="7FCE9512" w14:textId="535F44B1" w:rsidR="00DB5BCC" w:rsidRPr="00030DA7" w:rsidRDefault="00DB5BCC" w:rsidP="00DB5BCC">
            <w:pPr>
              <w:jc w:val="both"/>
              <w:rPr>
                <w:rFonts w:ascii="David" w:hAnsi="David" w:cs="David"/>
                <w:sz w:val="24"/>
                <w:szCs w:val="24"/>
                <w:rtl/>
              </w:rPr>
            </w:pPr>
            <w:r>
              <w:rPr>
                <w:rFonts w:ascii="David" w:hAnsi="David" w:cs="David" w:hint="cs"/>
                <w:sz w:val="24"/>
                <w:szCs w:val="24"/>
                <w:rtl/>
              </w:rPr>
              <w:t>40</w:t>
            </w:r>
          </w:p>
        </w:tc>
        <w:tc>
          <w:tcPr>
            <w:tcW w:w="1274" w:type="dxa"/>
          </w:tcPr>
          <w:p w14:paraId="3339D671" w14:textId="28DBB98C" w:rsidR="00DB5BCC" w:rsidRPr="00030DA7" w:rsidRDefault="00DB5BCC" w:rsidP="00DB5BCC">
            <w:pPr>
              <w:jc w:val="both"/>
              <w:rPr>
                <w:rFonts w:ascii="David" w:hAnsi="David" w:cs="David"/>
                <w:sz w:val="24"/>
                <w:szCs w:val="24"/>
                <w:rtl/>
              </w:rPr>
            </w:pPr>
            <w:r w:rsidRPr="00030DA7">
              <w:rPr>
                <w:rFonts w:ascii="David" w:hAnsi="David" w:cs="David" w:hint="cs"/>
                <w:b/>
                <w:bCs/>
                <w:sz w:val="24"/>
                <w:szCs w:val="24"/>
                <w:rtl/>
              </w:rPr>
              <w:t>נוער</w:t>
            </w:r>
          </w:p>
        </w:tc>
        <w:tc>
          <w:tcPr>
            <w:tcW w:w="1857" w:type="dxa"/>
            <w:noWrap/>
            <w:hideMark/>
          </w:tcPr>
          <w:p w14:paraId="4CE46D1D" w14:textId="4D901A62" w:rsidR="00DB5BCC" w:rsidRPr="00030DA7" w:rsidRDefault="00DB5BCC" w:rsidP="00DB5BCC">
            <w:pPr>
              <w:jc w:val="both"/>
              <w:rPr>
                <w:rFonts w:ascii="David" w:hAnsi="David" w:cs="David"/>
                <w:sz w:val="24"/>
                <w:szCs w:val="24"/>
                <w:rtl/>
              </w:rPr>
            </w:pPr>
            <w:r w:rsidRPr="00030DA7">
              <w:rPr>
                <w:rFonts w:ascii="David" w:hAnsi="David" w:cs="David" w:hint="cs"/>
                <w:sz w:val="24"/>
                <w:szCs w:val="24"/>
                <w:rtl/>
              </w:rPr>
              <w:t>ג"פ</w:t>
            </w:r>
          </w:p>
        </w:tc>
        <w:tc>
          <w:tcPr>
            <w:tcW w:w="2835" w:type="dxa"/>
            <w:noWrap/>
            <w:hideMark/>
          </w:tcPr>
          <w:p w14:paraId="723AD6FC" w14:textId="38E7D9F1" w:rsidR="00DB5BCC" w:rsidRPr="00CA6B58" w:rsidRDefault="00DB5BCC" w:rsidP="00DB5BCC">
            <w:pPr>
              <w:jc w:val="both"/>
              <w:rPr>
                <w:rFonts w:ascii="David" w:hAnsi="David" w:cs="David"/>
                <w:sz w:val="24"/>
                <w:szCs w:val="24"/>
                <w:rtl/>
              </w:rPr>
            </w:pPr>
            <w:r w:rsidRPr="00CA6B58">
              <w:rPr>
                <w:rFonts w:ascii="David" w:hAnsi="David" w:cs="David" w:hint="cs"/>
                <w:sz w:val="24"/>
                <w:szCs w:val="24"/>
              </w:rPr>
              <w:t>53</w:t>
            </w:r>
          </w:p>
        </w:tc>
        <w:tc>
          <w:tcPr>
            <w:tcW w:w="2266" w:type="dxa"/>
            <w:noWrap/>
            <w:hideMark/>
          </w:tcPr>
          <w:p w14:paraId="56567F80" w14:textId="7DC8ACC9" w:rsidR="00DB5BCC" w:rsidRPr="00030DA7" w:rsidRDefault="00DB5BCC" w:rsidP="00DB5BCC">
            <w:pPr>
              <w:jc w:val="both"/>
              <w:rPr>
                <w:rFonts w:ascii="David" w:hAnsi="David" w:cs="David"/>
                <w:sz w:val="24"/>
                <w:szCs w:val="24"/>
              </w:rPr>
            </w:pPr>
            <w:r w:rsidRPr="00030DA7">
              <w:rPr>
                <w:rFonts w:ascii="David" w:hAnsi="David" w:cs="David" w:hint="cs"/>
                <w:sz w:val="24"/>
                <w:szCs w:val="24"/>
              </w:rPr>
              <w:t>01:00</w:t>
            </w:r>
          </w:p>
        </w:tc>
      </w:tr>
      <w:tr w:rsidR="00DB5BCC" w:rsidRPr="00030DA7" w14:paraId="70518E9D" w14:textId="77777777" w:rsidTr="00983F15">
        <w:trPr>
          <w:trHeight w:val="315"/>
        </w:trPr>
        <w:tc>
          <w:tcPr>
            <w:tcW w:w="448" w:type="dxa"/>
          </w:tcPr>
          <w:p w14:paraId="1F8DA3C7" w14:textId="481AC46C" w:rsidR="00DB5BCC" w:rsidRPr="00030DA7" w:rsidRDefault="00DB5BCC" w:rsidP="00DB5BCC">
            <w:pPr>
              <w:jc w:val="both"/>
              <w:rPr>
                <w:rFonts w:ascii="David" w:hAnsi="David" w:cs="David"/>
                <w:sz w:val="24"/>
                <w:szCs w:val="24"/>
                <w:rtl/>
              </w:rPr>
            </w:pPr>
            <w:r>
              <w:rPr>
                <w:rFonts w:ascii="David" w:hAnsi="David" w:cs="David" w:hint="cs"/>
                <w:sz w:val="24"/>
                <w:szCs w:val="24"/>
                <w:rtl/>
              </w:rPr>
              <w:t>41</w:t>
            </w:r>
          </w:p>
        </w:tc>
        <w:tc>
          <w:tcPr>
            <w:tcW w:w="1274" w:type="dxa"/>
          </w:tcPr>
          <w:p w14:paraId="17D0C829" w14:textId="1D3B1303" w:rsidR="00DB5BCC" w:rsidRPr="00030DA7" w:rsidRDefault="00DB5BCC" w:rsidP="00DB5BCC">
            <w:pPr>
              <w:jc w:val="both"/>
              <w:rPr>
                <w:rFonts w:ascii="David" w:hAnsi="David" w:cs="David"/>
                <w:sz w:val="24"/>
                <w:szCs w:val="24"/>
                <w:rtl/>
              </w:rPr>
            </w:pPr>
            <w:r w:rsidRPr="00030DA7">
              <w:rPr>
                <w:rFonts w:ascii="David" w:hAnsi="David" w:cs="David" w:hint="cs"/>
                <w:b/>
                <w:bCs/>
                <w:sz w:val="24"/>
                <w:szCs w:val="24"/>
                <w:rtl/>
              </w:rPr>
              <w:t>תעבורה</w:t>
            </w:r>
          </w:p>
        </w:tc>
        <w:tc>
          <w:tcPr>
            <w:tcW w:w="1857" w:type="dxa"/>
            <w:noWrap/>
            <w:hideMark/>
          </w:tcPr>
          <w:p w14:paraId="3F9B8F95" w14:textId="21D64FC1" w:rsidR="00DB5BCC" w:rsidRPr="00030DA7" w:rsidRDefault="00DB5BCC" w:rsidP="00DB5BCC">
            <w:pPr>
              <w:jc w:val="both"/>
              <w:rPr>
                <w:rFonts w:ascii="David" w:hAnsi="David" w:cs="David"/>
                <w:sz w:val="24"/>
                <w:szCs w:val="24"/>
                <w:rtl/>
              </w:rPr>
            </w:pPr>
            <w:r w:rsidRPr="00030DA7">
              <w:rPr>
                <w:rFonts w:ascii="David" w:hAnsi="David" w:cs="David" w:hint="cs"/>
                <w:sz w:val="24"/>
                <w:szCs w:val="24"/>
                <w:rtl/>
              </w:rPr>
              <w:t>תת"ח</w:t>
            </w:r>
          </w:p>
        </w:tc>
        <w:tc>
          <w:tcPr>
            <w:tcW w:w="2835" w:type="dxa"/>
            <w:noWrap/>
            <w:hideMark/>
          </w:tcPr>
          <w:p w14:paraId="4DE013EE" w14:textId="61BDF92A" w:rsidR="00DB5BCC" w:rsidRPr="00CA6B58" w:rsidRDefault="00DB5BCC" w:rsidP="00DB5BCC">
            <w:pPr>
              <w:jc w:val="both"/>
              <w:rPr>
                <w:rFonts w:ascii="David" w:hAnsi="David" w:cs="David"/>
                <w:sz w:val="24"/>
                <w:szCs w:val="24"/>
                <w:rtl/>
              </w:rPr>
            </w:pPr>
            <w:r w:rsidRPr="00CA6B58">
              <w:rPr>
                <w:rFonts w:ascii="David" w:hAnsi="David" w:cs="David" w:hint="cs"/>
                <w:sz w:val="24"/>
                <w:szCs w:val="24"/>
              </w:rPr>
              <w:t>231</w:t>
            </w:r>
          </w:p>
        </w:tc>
        <w:tc>
          <w:tcPr>
            <w:tcW w:w="2266" w:type="dxa"/>
            <w:noWrap/>
            <w:hideMark/>
          </w:tcPr>
          <w:p w14:paraId="28697245" w14:textId="0F9FF5D3" w:rsidR="00DB5BCC" w:rsidRPr="00030DA7" w:rsidRDefault="00DB5BCC" w:rsidP="00DB5BCC">
            <w:pPr>
              <w:jc w:val="both"/>
              <w:rPr>
                <w:rFonts w:ascii="David" w:hAnsi="David" w:cs="David"/>
                <w:sz w:val="24"/>
                <w:szCs w:val="24"/>
              </w:rPr>
            </w:pPr>
            <w:r w:rsidRPr="00030DA7">
              <w:rPr>
                <w:rFonts w:ascii="David" w:hAnsi="David" w:cs="David" w:hint="cs"/>
                <w:sz w:val="24"/>
                <w:szCs w:val="24"/>
              </w:rPr>
              <w:t>01:00</w:t>
            </w:r>
          </w:p>
        </w:tc>
      </w:tr>
      <w:tr w:rsidR="00DB5BCC" w:rsidRPr="00030DA7" w14:paraId="00263E50" w14:textId="77777777" w:rsidTr="00983F15">
        <w:trPr>
          <w:trHeight w:val="315"/>
        </w:trPr>
        <w:tc>
          <w:tcPr>
            <w:tcW w:w="448" w:type="dxa"/>
          </w:tcPr>
          <w:p w14:paraId="03D91D2B" w14:textId="2677E462" w:rsidR="00DB5BCC" w:rsidRPr="00030DA7" w:rsidRDefault="00DB5BCC" w:rsidP="00DB5BCC">
            <w:pPr>
              <w:jc w:val="both"/>
              <w:rPr>
                <w:rFonts w:ascii="David" w:hAnsi="David" w:cs="David"/>
                <w:sz w:val="24"/>
                <w:szCs w:val="24"/>
                <w:rtl/>
              </w:rPr>
            </w:pPr>
            <w:r>
              <w:rPr>
                <w:rFonts w:ascii="David" w:hAnsi="David" w:cs="David" w:hint="cs"/>
                <w:sz w:val="24"/>
                <w:szCs w:val="24"/>
                <w:rtl/>
              </w:rPr>
              <w:t>42</w:t>
            </w:r>
          </w:p>
        </w:tc>
        <w:tc>
          <w:tcPr>
            <w:tcW w:w="1274" w:type="dxa"/>
          </w:tcPr>
          <w:p w14:paraId="3B409F1D" w14:textId="373A1A5E" w:rsidR="00DB5BCC" w:rsidRPr="00030DA7" w:rsidRDefault="00DB5BCC" w:rsidP="00DB5BCC">
            <w:pPr>
              <w:jc w:val="both"/>
              <w:rPr>
                <w:rFonts w:ascii="David" w:hAnsi="David" w:cs="David"/>
                <w:sz w:val="24"/>
                <w:szCs w:val="24"/>
                <w:rtl/>
              </w:rPr>
            </w:pPr>
            <w:r w:rsidRPr="00030DA7">
              <w:rPr>
                <w:rFonts w:ascii="David" w:hAnsi="David" w:cs="David" w:hint="cs"/>
                <w:b/>
                <w:bCs/>
                <w:sz w:val="24"/>
                <w:szCs w:val="24"/>
                <w:rtl/>
              </w:rPr>
              <w:t>משפחה</w:t>
            </w:r>
          </w:p>
        </w:tc>
        <w:tc>
          <w:tcPr>
            <w:tcW w:w="1857" w:type="dxa"/>
            <w:noWrap/>
            <w:hideMark/>
          </w:tcPr>
          <w:p w14:paraId="3924E09F" w14:textId="18211CCC" w:rsidR="00DB5BCC" w:rsidRPr="00030DA7" w:rsidRDefault="00DB5BCC" w:rsidP="00DB5BCC">
            <w:pPr>
              <w:jc w:val="both"/>
              <w:rPr>
                <w:rFonts w:ascii="David" w:hAnsi="David" w:cs="David"/>
                <w:sz w:val="24"/>
                <w:szCs w:val="24"/>
                <w:rtl/>
              </w:rPr>
            </w:pPr>
            <w:r w:rsidRPr="00030DA7">
              <w:rPr>
                <w:rFonts w:ascii="David" w:hAnsi="David" w:cs="David" w:hint="cs"/>
                <w:sz w:val="24"/>
                <w:szCs w:val="24"/>
                <w:rtl/>
              </w:rPr>
              <w:t>ש"ש</w:t>
            </w:r>
          </w:p>
        </w:tc>
        <w:tc>
          <w:tcPr>
            <w:tcW w:w="2835" w:type="dxa"/>
            <w:noWrap/>
            <w:hideMark/>
          </w:tcPr>
          <w:p w14:paraId="56C9F95E" w14:textId="2E2614C5" w:rsidR="00DB5BCC" w:rsidRPr="00CA6B58" w:rsidRDefault="00DB5BCC" w:rsidP="00DB5BCC">
            <w:pPr>
              <w:jc w:val="both"/>
              <w:rPr>
                <w:rFonts w:ascii="David" w:hAnsi="David" w:cs="David"/>
                <w:sz w:val="24"/>
                <w:szCs w:val="24"/>
                <w:rtl/>
              </w:rPr>
            </w:pPr>
            <w:r w:rsidRPr="00CA6B58">
              <w:rPr>
                <w:rFonts w:ascii="David" w:hAnsi="David" w:cs="David" w:hint="cs"/>
                <w:sz w:val="24"/>
                <w:szCs w:val="24"/>
              </w:rPr>
              <w:t>255</w:t>
            </w:r>
          </w:p>
        </w:tc>
        <w:tc>
          <w:tcPr>
            <w:tcW w:w="2266" w:type="dxa"/>
            <w:noWrap/>
            <w:hideMark/>
          </w:tcPr>
          <w:p w14:paraId="1D70818A" w14:textId="04734A6E" w:rsidR="00DB5BCC" w:rsidRPr="00030DA7" w:rsidRDefault="00DB5BCC" w:rsidP="00DB5BCC">
            <w:pPr>
              <w:jc w:val="both"/>
              <w:rPr>
                <w:rFonts w:ascii="David" w:hAnsi="David" w:cs="David"/>
                <w:sz w:val="24"/>
                <w:szCs w:val="24"/>
              </w:rPr>
            </w:pPr>
            <w:r w:rsidRPr="00030DA7">
              <w:rPr>
                <w:rFonts w:ascii="David" w:hAnsi="David" w:cs="David" w:hint="cs"/>
                <w:sz w:val="24"/>
                <w:szCs w:val="24"/>
              </w:rPr>
              <w:t>02:</w:t>
            </w:r>
            <w:r>
              <w:rPr>
                <w:rFonts w:ascii="David" w:hAnsi="David" w:cs="David"/>
                <w:sz w:val="24"/>
                <w:szCs w:val="24"/>
              </w:rPr>
              <w:t>00</w:t>
            </w:r>
          </w:p>
        </w:tc>
      </w:tr>
      <w:tr w:rsidR="00DB5BCC" w:rsidRPr="00030DA7" w14:paraId="26630BCC" w14:textId="77777777" w:rsidTr="00983F15">
        <w:trPr>
          <w:trHeight w:val="315"/>
        </w:trPr>
        <w:tc>
          <w:tcPr>
            <w:tcW w:w="448" w:type="dxa"/>
          </w:tcPr>
          <w:p w14:paraId="563138DC" w14:textId="2EBE1647" w:rsidR="00DB5BCC" w:rsidRPr="00030DA7" w:rsidRDefault="00DB5BCC" w:rsidP="00DB5BCC">
            <w:pPr>
              <w:jc w:val="both"/>
              <w:rPr>
                <w:rFonts w:ascii="David" w:hAnsi="David" w:cs="David"/>
                <w:sz w:val="24"/>
                <w:szCs w:val="24"/>
                <w:rtl/>
              </w:rPr>
            </w:pPr>
            <w:r>
              <w:rPr>
                <w:rFonts w:ascii="David" w:hAnsi="David" w:cs="David" w:hint="cs"/>
                <w:sz w:val="24"/>
                <w:szCs w:val="24"/>
                <w:rtl/>
              </w:rPr>
              <w:t>43</w:t>
            </w:r>
          </w:p>
        </w:tc>
        <w:tc>
          <w:tcPr>
            <w:tcW w:w="1274" w:type="dxa"/>
          </w:tcPr>
          <w:p w14:paraId="395F39CC" w14:textId="190A27B2" w:rsidR="00DB5BCC" w:rsidRPr="00030DA7" w:rsidRDefault="00DB5BCC" w:rsidP="00DB5BCC">
            <w:pPr>
              <w:jc w:val="both"/>
              <w:rPr>
                <w:rFonts w:ascii="David" w:hAnsi="David" w:cs="David"/>
                <w:sz w:val="24"/>
                <w:szCs w:val="24"/>
                <w:rtl/>
              </w:rPr>
            </w:pPr>
            <w:r w:rsidRPr="00030DA7">
              <w:rPr>
                <w:rFonts w:ascii="David" w:hAnsi="David" w:cs="David" w:hint="cs"/>
                <w:b/>
                <w:bCs/>
                <w:sz w:val="24"/>
                <w:szCs w:val="24"/>
                <w:rtl/>
              </w:rPr>
              <w:t>משפחה</w:t>
            </w:r>
          </w:p>
        </w:tc>
        <w:tc>
          <w:tcPr>
            <w:tcW w:w="1857" w:type="dxa"/>
            <w:noWrap/>
            <w:hideMark/>
          </w:tcPr>
          <w:p w14:paraId="1539223A" w14:textId="107DC019" w:rsidR="00DB5BCC" w:rsidRPr="00030DA7" w:rsidRDefault="00DB5BCC" w:rsidP="00DB5BCC">
            <w:pPr>
              <w:jc w:val="both"/>
              <w:rPr>
                <w:rFonts w:ascii="David" w:hAnsi="David" w:cs="David"/>
                <w:sz w:val="24"/>
                <w:szCs w:val="24"/>
                <w:rtl/>
              </w:rPr>
            </w:pPr>
            <w:r w:rsidRPr="00030DA7">
              <w:rPr>
                <w:rFonts w:ascii="David" w:hAnsi="David" w:cs="David" w:hint="cs"/>
                <w:sz w:val="24"/>
                <w:szCs w:val="24"/>
                <w:rtl/>
              </w:rPr>
              <w:t>ת"ג</w:t>
            </w:r>
          </w:p>
        </w:tc>
        <w:tc>
          <w:tcPr>
            <w:tcW w:w="2835" w:type="dxa"/>
            <w:noWrap/>
            <w:hideMark/>
          </w:tcPr>
          <w:p w14:paraId="4BE2B9C0" w14:textId="6DDC0314" w:rsidR="00DB5BCC" w:rsidRPr="00CA6B58" w:rsidRDefault="00DB5BCC" w:rsidP="00DB5BCC">
            <w:pPr>
              <w:jc w:val="both"/>
              <w:rPr>
                <w:rFonts w:ascii="David" w:hAnsi="David" w:cs="David"/>
                <w:sz w:val="24"/>
                <w:szCs w:val="24"/>
                <w:rtl/>
              </w:rPr>
            </w:pPr>
            <w:r w:rsidRPr="00CA6B58">
              <w:rPr>
                <w:rFonts w:ascii="David" w:hAnsi="David" w:cs="David" w:hint="cs"/>
                <w:sz w:val="24"/>
                <w:szCs w:val="24"/>
              </w:rPr>
              <w:t>218</w:t>
            </w:r>
          </w:p>
        </w:tc>
        <w:tc>
          <w:tcPr>
            <w:tcW w:w="2266" w:type="dxa"/>
            <w:noWrap/>
            <w:hideMark/>
          </w:tcPr>
          <w:p w14:paraId="53FCDACF" w14:textId="3C9B4CE5" w:rsidR="00DB5BCC" w:rsidRPr="00030DA7" w:rsidRDefault="00DB5BCC" w:rsidP="00DB5BCC">
            <w:pPr>
              <w:jc w:val="both"/>
              <w:rPr>
                <w:rFonts w:ascii="David" w:hAnsi="David" w:cs="David"/>
                <w:sz w:val="24"/>
                <w:szCs w:val="24"/>
              </w:rPr>
            </w:pPr>
            <w:r w:rsidRPr="00030DA7">
              <w:rPr>
                <w:rFonts w:ascii="David" w:hAnsi="David" w:cs="David" w:hint="cs"/>
                <w:sz w:val="24"/>
                <w:szCs w:val="24"/>
              </w:rPr>
              <w:t>03:30</w:t>
            </w:r>
          </w:p>
        </w:tc>
      </w:tr>
      <w:tr w:rsidR="00DB5BCC" w:rsidRPr="00030DA7" w14:paraId="13DD476A" w14:textId="77777777" w:rsidTr="00983F15">
        <w:trPr>
          <w:trHeight w:val="315"/>
        </w:trPr>
        <w:tc>
          <w:tcPr>
            <w:tcW w:w="448" w:type="dxa"/>
          </w:tcPr>
          <w:p w14:paraId="40C8475C" w14:textId="0E9693F9" w:rsidR="00DB5BCC" w:rsidRPr="00030DA7" w:rsidRDefault="00DB5BCC" w:rsidP="00DB5BCC">
            <w:pPr>
              <w:jc w:val="both"/>
              <w:rPr>
                <w:rFonts w:ascii="David" w:hAnsi="David" w:cs="David"/>
                <w:sz w:val="24"/>
                <w:szCs w:val="24"/>
                <w:rtl/>
              </w:rPr>
            </w:pPr>
            <w:r>
              <w:rPr>
                <w:rFonts w:ascii="David" w:hAnsi="David" w:cs="David" w:hint="cs"/>
                <w:sz w:val="24"/>
                <w:szCs w:val="24"/>
                <w:rtl/>
              </w:rPr>
              <w:t>44</w:t>
            </w:r>
          </w:p>
        </w:tc>
        <w:tc>
          <w:tcPr>
            <w:tcW w:w="1274" w:type="dxa"/>
          </w:tcPr>
          <w:p w14:paraId="5E665B61" w14:textId="69811366" w:rsidR="00DB5BCC" w:rsidRPr="00030DA7" w:rsidRDefault="00DB5BCC" w:rsidP="00DB5BCC">
            <w:pPr>
              <w:jc w:val="both"/>
              <w:rPr>
                <w:rFonts w:ascii="David" w:hAnsi="David" w:cs="David"/>
                <w:sz w:val="24"/>
                <w:szCs w:val="24"/>
                <w:rtl/>
              </w:rPr>
            </w:pPr>
            <w:r w:rsidRPr="00030DA7">
              <w:rPr>
                <w:rFonts w:ascii="David" w:hAnsi="David" w:cs="David" w:hint="cs"/>
                <w:b/>
                <w:bCs/>
                <w:sz w:val="24"/>
                <w:szCs w:val="24"/>
                <w:rtl/>
              </w:rPr>
              <w:t>עבודה</w:t>
            </w:r>
          </w:p>
        </w:tc>
        <w:tc>
          <w:tcPr>
            <w:tcW w:w="1857" w:type="dxa"/>
            <w:noWrap/>
            <w:hideMark/>
          </w:tcPr>
          <w:p w14:paraId="17CC729B" w14:textId="74199696" w:rsidR="00DB5BCC" w:rsidRPr="00030DA7" w:rsidRDefault="00DB5BCC" w:rsidP="00DB5BCC">
            <w:pPr>
              <w:jc w:val="both"/>
              <w:rPr>
                <w:rFonts w:ascii="David" w:hAnsi="David" w:cs="David"/>
                <w:sz w:val="24"/>
                <w:szCs w:val="24"/>
                <w:rtl/>
              </w:rPr>
            </w:pPr>
            <w:r w:rsidRPr="00030DA7">
              <w:rPr>
                <w:rFonts w:ascii="David" w:hAnsi="David" w:cs="David" w:hint="cs"/>
                <w:sz w:val="24"/>
                <w:szCs w:val="24"/>
                <w:rtl/>
              </w:rPr>
              <w:t>ד"ח</w:t>
            </w:r>
          </w:p>
        </w:tc>
        <w:tc>
          <w:tcPr>
            <w:tcW w:w="2835" w:type="dxa"/>
            <w:noWrap/>
            <w:hideMark/>
          </w:tcPr>
          <w:p w14:paraId="19555A09" w14:textId="3154B27A" w:rsidR="00DB5BCC" w:rsidRPr="00CA6B58" w:rsidRDefault="00DB5BCC" w:rsidP="00DB5BCC">
            <w:pPr>
              <w:jc w:val="both"/>
              <w:rPr>
                <w:rFonts w:ascii="David" w:hAnsi="David" w:cs="David"/>
                <w:sz w:val="24"/>
                <w:szCs w:val="24"/>
                <w:rtl/>
              </w:rPr>
            </w:pPr>
            <w:r w:rsidRPr="00CA6B58">
              <w:rPr>
                <w:rFonts w:ascii="David" w:hAnsi="David" w:cs="David" w:hint="cs"/>
                <w:sz w:val="24"/>
                <w:szCs w:val="24"/>
              </w:rPr>
              <w:t>93</w:t>
            </w:r>
          </w:p>
        </w:tc>
        <w:tc>
          <w:tcPr>
            <w:tcW w:w="2266" w:type="dxa"/>
            <w:noWrap/>
            <w:hideMark/>
          </w:tcPr>
          <w:p w14:paraId="7A6BC7CF" w14:textId="2577B125" w:rsidR="00DB5BCC" w:rsidRPr="00030DA7" w:rsidRDefault="00DB5BCC" w:rsidP="00DB5BCC">
            <w:pPr>
              <w:jc w:val="both"/>
              <w:rPr>
                <w:rFonts w:ascii="David" w:hAnsi="David" w:cs="David"/>
                <w:sz w:val="24"/>
                <w:szCs w:val="24"/>
              </w:rPr>
            </w:pPr>
            <w:r w:rsidRPr="00030DA7">
              <w:rPr>
                <w:rFonts w:ascii="David" w:hAnsi="David" w:cs="David" w:hint="cs"/>
                <w:sz w:val="24"/>
                <w:szCs w:val="24"/>
              </w:rPr>
              <w:t>01:00</w:t>
            </w:r>
          </w:p>
        </w:tc>
      </w:tr>
    </w:tbl>
    <w:p w14:paraId="66E96838" w14:textId="560056FB" w:rsidR="004A4C2F" w:rsidRDefault="004A4C2F" w:rsidP="003121C1">
      <w:pPr>
        <w:spacing w:line="360" w:lineRule="auto"/>
        <w:rPr>
          <w:rFonts w:ascii="David" w:hAnsi="David" w:cs="David"/>
          <w:sz w:val="24"/>
          <w:szCs w:val="24"/>
          <w:rtl/>
        </w:rPr>
      </w:pPr>
    </w:p>
    <w:p w14:paraId="6615B9F7" w14:textId="77777777" w:rsidR="004A4C2F" w:rsidRDefault="004A4C2F">
      <w:pPr>
        <w:bidi w:val="0"/>
        <w:spacing w:after="0" w:line="240" w:lineRule="auto"/>
        <w:rPr>
          <w:rFonts w:ascii="David" w:hAnsi="David" w:cs="David"/>
          <w:sz w:val="24"/>
          <w:szCs w:val="24"/>
          <w:rtl/>
        </w:rPr>
      </w:pPr>
      <w:r>
        <w:rPr>
          <w:rFonts w:ascii="David" w:hAnsi="David" w:cs="David"/>
          <w:sz w:val="24"/>
          <w:szCs w:val="24"/>
          <w:rtl/>
        </w:rPr>
        <w:br w:type="page"/>
      </w:r>
    </w:p>
    <w:p w14:paraId="71F56EF0" w14:textId="79E0E2D5" w:rsidR="00433BF0" w:rsidRPr="00F25744" w:rsidRDefault="004A4C2F" w:rsidP="00240B10">
      <w:pPr>
        <w:pStyle w:val="2"/>
        <w:numPr>
          <w:ilvl w:val="0"/>
          <w:numId w:val="0"/>
        </w:numPr>
        <w:ind w:left="360"/>
        <w:jc w:val="center"/>
        <w:rPr>
          <w:rtl/>
        </w:rPr>
      </w:pPr>
      <w:bookmarkStart w:id="1028" w:name="_Toc74751071"/>
      <w:r>
        <w:rPr>
          <w:rFonts w:hint="cs"/>
          <w:rtl/>
        </w:rPr>
        <w:lastRenderedPageBreak/>
        <w:t>נספח י'</w:t>
      </w:r>
      <w:r w:rsidR="00433BF0">
        <w:rPr>
          <w:rFonts w:hint="cs"/>
          <w:rtl/>
        </w:rPr>
        <w:t xml:space="preserve">: </w:t>
      </w:r>
      <w:r w:rsidR="00433BF0" w:rsidRPr="00F25744">
        <w:rPr>
          <w:rFonts w:hint="cs"/>
          <w:rtl/>
        </w:rPr>
        <w:t>תמהיל יום העבודה של שופט עם עוזר משפטי שמסייע/ לא מסייע במשימות כתיבה מהותיות</w:t>
      </w:r>
      <w:r w:rsidR="00433BF0">
        <w:rPr>
          <w:rFonts w:hint="cs"/>
          <w:rtl/>
        </w:rPr>
        <w:t xml:space="preserve"> ב</w:t>
      </w:r>
      <w:r w:rsidR="00240B10">
        <w:rPr>
          <w:rFonts w:hint="cs"/>
          <w:rtl/>
        </w:rPr>
        <w:t>רמה ה</w:t>
      </w:r>
      <w:r w:rsidR="00433BF0">
        <w:rPr>
          <w:rFonts w:hint="cs"/>
          <w:rtl/>
        </w:rPr>
        <w:t>ערכאת</w:t>
      </w:r>
      <w:r w:rsidR="00240B10">
        <w:rPr>
          <w:rFonts w:hint="cs"/>
          <w:rtl/>
        </w:rPr>
        <w:t>ית</w:t>
      </w:r>
      <w:bookmarkEnd w:id="1028"/>
    </w:p>
    <w:p w14:paraId="2879F661" w14:textId="77777777" w:rsidR="00433BF0" w:rsidRPr="00240B10" w:rsidRDefault="00433BF0" w:rsidP="00433BF0">
      <w:pPr>
        <w:spacing w:line="360" w:lineRule="auto"/>
        <w:rPr>
          <w:rFonts w:ascii="David" w:hAnsi="David" w:cs="David"/>
          <w:b/>
          <w:bCs/>
          <w:sz w:val="24"/>
          <w:szCs w:val="24"/>
          <w:rtl/>
        </w:rPr>
      </w:pPr>
    </w:p>
    <w:p w14:paraId="2EA6B3A4" w14:textId="4A8A9FD3" w:rsidR="004A4C2F" w:rsidRDefault="00433BF0" w:rsidP="00433BF0">
      <w:pPr>
        <w:pStyle w:val="3"/>
        <w:numPr>
          <w:ilvl w:val="0"/>
          <w:numId w:val="0"/>
        </w:numPr>
        <w:rPr>
          <w:rtl/>
        </w:rPr>
      </w:pPr>
      <w:bookmarkStart w:id="1029" w:name="_Toc74751072"/>
      <w:r>
        <w:rPr>
          <w:rFonts w:hint="cs"/>
          <w:rtl/>
        </w:rPr>
        <w:t xml:space="preserve">נספח י1: </w:t>
      </w:r>
      <w:r w:rsidRPr="00433BF0">
        <w:rPr>
          <w:rFonts w:hint="cs"/>
          <w:rtl/>
        </w:rPr>
        <w:t>ערכאת המחוזי</w:t>
      </w:r>
      <w:bookmarkEnd w:id="1029"/>
    </w:p>
    <w:tbl>
      <w:tblPr>
        <w:tblpPr w:rightFromText="85" w:vertAnchor="text" w:tblpX="-560" w:tblpY="1"/>
        <w:bidiVisual/>
        <w:tblW w:w="9210" w:type="dxa"/>
        <w:tblLook w:val="04A0" w:firstRow="1" w:lastRow="0" w:firstColumn="1" w:lastColumn="0" w:noHBand="0" w:noVBand="1"/>
      </w:tblPr>
      <w:tblGrid>
        <w:gridCol w:w="2972"/>
        <w:gridCol w:w="1559"/>
        <w:gridCol w:w="2551"/>
        <w:gridCol w:w="2128"/>
      </w:tblGrid>
      <w:tr w:rsidR="004A4C2F" w:rsidRPr="002E5EC6" w14:paraId="7AFC561B" w14:textId="77777777" w:rsidTr="00502795">
        <w:trPr>
          <w:trHeight w:val="630"/>
        </w:trPr>
        <w:tc>
          <w:tcPr>
            <w:tcW w:w="2972" w:type="dxa"/>
            <w:tcBorders>
              <w:bottom w:val="single" w:sz="4" w:space="0" w:color="auto"/>
            </w:tcBorders>
            <w:shd w:val="clear" w:color="auto" w:fill="auto"/>
            <w:vAlign w:val="center"/>
          </w:tcPr>
          <w:p w14:paraId="4C46673B" w14:textId="77777777" w:rsidR="004A4C2F" w:rsidRPr="002E5EC6" w:rsidRDefault="004A4C2F" w:rsidP="00502795">
            <w:pPr>
              <w:spacing w:after="0" w:line="240" w:lineRule="auto"/>
              <w:ind w:left="360"/>
              <w:rPr>
                <w:rFonts w:ascii="Arial" w:eastAsia="Times New Roman" w:hAnsi="Arial" w:cs="David"/>
                <w:b/>
                <w:bCs/>
                <w:color w:val="000000"/>
                <w:sz w:val="24"/>
                <w:szCs w:val="24"/>
                <w:rtl/>
              </w:rPr>
            </w:pPr>
            <w:r w:rsidRPr="002E5EC6">
              <w:rPr>
                <w:rFonts w:ascii="Arial" w:eastAsia="Times New Roman" w:hAnsi="Arial" w:cs="David" w:hint="cs"/>
                <w:b/>
                <w:bCs/>
                <w:color w:val="000000"/>
                <w:sz w:val="24"/>
                <w:szCs w:val="24"/>
                <w:rtl/>
              </w:rPr>
              <w:t>סוג הפעילות</w:t>
            </w:r>
          </w:p>
        </w:tc>
        <w:tc>
          <w:tcPr>
            <w:tcW w:w="1559" w:type="dxa"/>
            <w:tcBorders>
              <w:bottom w:val="single" w:sz="4" w:space="0" w:color="auto"/>
            </w:tcBorders>
            <w:shd w:val="clear" w:color="auto" w:fill="auto"/>
            <w:noWrap/>
            <w:vAlign w:val="center"/>
          </w:tcPr>
          <w:p w14:paraId="43F3154E" w14:textId="22199E91" w:rsidR="004A4C2F" w:rsidRPr="002E5EC6" w:rsidRDefault="004A4C2F" w:rsidP="00502795">
            <w:pPr>
              <w:spacing w:after="0" w:line="240" w:lineRule="auto"/>
              <w:ind w:left="-109"/>
              <w:jc w:val="center"/>
              <w:rPr>
                <w:rFonts w:ascii="Arial" w:eastAsia="Times New Roman" w:hAnsi="Arial" w:cs="David"/>
                <w:b/>
                <w:bCs/>
                <w:color w:val="000000"/>
                <w:sz w:val="24"/>
                <w:szCs w:val="24"/>
                <w:rtl/>
              </w:rPr>
            </w:pPr>
            <w:r w:rsidRPr="002E5EC6">
              <w:rPr>
                <w:rFonts w:ascii="Arial" w:eastAsia="Times New Roman" w:hAnsi="Arial" w:cs="David" w:hint="cs"/>
                <w:b/>
                <w:bCs/>
                <w:color w:val="000000"/>
                <w:sz w:val="24"/>
                <w:szCs w:val="24"/>
                <w:rtl/>
              </w:rPr>
              <w:t xml:space="preserve">עם </w:t>
            </w:r>
            <w:r>
              <w:rPr>
                <w:rFonts w:ascii="Arial" w:eastAsia="Times New Roman" w:hAnsi="Arial" w:cs="David" w:hint="cs"/>
                <w:b/>
                <w:bCs/>
                <w:color w:val="000000"/>
                <w:sz w:val="24"/>
                <w:szCs w:val="24"/>
                <w:rtl/>
              </w:rPr>
              <w:t>עו</w:t>
            </w:r>
            <w:r w:rsidR="00240B10">
              <w:rPr>
                <w:rFonts w:ascii="Arial" w:eastAsia="Times New Roman" w:hAnsi="Arial" w:cs="David" w:hint="cs"/>
                <w:b/>
                <w:bCs/>
                <w:color w:val="000000"/>
                <w:sz w:val="24"/>
                <w:szCs w:val="24"/>
                <w:rtl/>
              </w:rPr>
              <w:t>ז</w:t>
            </w:r>
            <w:r w:rsidR="00095FFA">
              <w:rPr>
                <w:rFonts w:ascii="Arial" w:eastAsia="Times New Roman" w:hAnsi="Arial" w:cs="David" w:hint="cs"/>
                <w:b/>
                <w:bCs/>
                <w:color w:val="000000"/>
                <w:sz w:val="24"/>
                <w:szCs w:val="24"/>
                <w:rtl/>
              </w:rPr>
              <w:t xml:space="preserve">ר </w:t>
            </w:r>
            <w:r w:rsidR="00240B10">
              <w:rPr>
                <w:rFonts w:ascii="Arial" w:eastAsia="Times New Roman" w:hAnsi="Arial" w:cs="David" w:hint="cs"/>
                <w:b/>
                <w:bCs/>
                <w:color w:val="000000"/>
                <w:sz w:val="24"/>
                <w:szCs w:val="24"/>
                <w:rtl/>
              </w:rPr>
              <w:t>מש</w:t>
            </w:r>
            <w:r w:rsidR="00095FFA">
              <w:rPr>
                <w:rFonts w:ascii="Arial" w:eastAsia="Times New Roman" w:hAnsi="Arial" w:cs="David" w:hint="cs"/>
                <w:b/>
                <w:bCs/>
                <w:color w:val="000000"/>
                <w:sz w:val="24"/>
                <w:szCs w:val="24"/>
                <w:rtl/>
              </w:rPr>
              <w:t>פטי</w:t>
            </w:r>
          </w:p>
        </w:tc>
        <w:tc>
          <w:tcPr>
            <w:tcW w:w="2551" w:type="dxa"/>
            <w:tcBorders>
              <w:bottom w:val="single" w:sz="4" w:space="0" w:color="auto"/>
            </w:tcBorders>
            <w:shd w:val="clear" w:color="auto" w:fill="auto"/>
            <w:vAlign w:val="center"/>
          </w:tcPr>
          <w:p w14:paraId="5F852721" w14:textId="49176FC6" w:rsidR="004A4C2F" w:rsidRPr="002E5EC6" w:rsidRDefault="004A4C2F" w:rsidP="00502795">
            <w:pPr>
              <w:spacing w:after="0" w:line="240" w:lineRule="auto"/>
              <w:ind w:left="360"/>
              <w:jc w:val="center"/>
              <w:rPr>
                <w:rFonts w:ascii="Arial" w:eastAsia="Times New Roman" w:hAnsi="Arial" w:cs="David"/>
                <w:b/>
                <w:bCs/>
                <w:color w:val="000000"/>
                <w:sz w:val="24"/>
                <w:szCs w:val="24"/>
                <w:rtl/>
              </w:rPr>
            </w:pPr>
            <w:r>
              <w:rPr>
                <w:rFonts w:ascii="Arial" w:eastAsia="Times New Roman" w:hAnsi="Arial" w:cs="David" w:hint="cs"/>
                <w:b/>
                <w:bCs/>
                <w:color w:val="000000"/>
                <w:sz w:val="24"/>
                <w:szCs w:val="24"/>
                <w:rtl/>
              </w:rPr>
              <w:t xml:space="preserve">עם עוזר משפטי שלא </w:t>
            </w:r>
            <w:r w:rsidR="00240B10">
              <w:rPr>
                <w:rFonts w:ascii="Arial" w:eastAsia="Times New Roman" w:hAnsi="Arial" w:cs="David" w:hint="cs"/>
                <w:b/>
                <w:bCs/>
                <w:color w:val="000000"/>
                <w:sz w:val="24"/>
                <w:szCs w:val="24"/>
                <w:rtl/>
              </w:rPr>
              <w:t>מסייע בכתיבה</w:t>
            </w:r>
          </w:p>
        </w:tc>
        <w:tc>
          <w:tcPr>
            <w:tcW w:w="2128" w:type="dxa"/>
            <w:tcBorders>
              <w:bottom w:val="single" w:sz="4" w:space="0" w:color="auto"/>
            </w:tcBorders>
            <w:shd w:val="clear" w:color="auto" w:fill="auto"/>
            <w:vAlign w:val="center"/>
          </w:tcPr>
          <w:p w14:paraId="123AF602" w14:textId="330B8379" w:rsidR="004A4C2F" w:rsidRPr="002E5EC6" w:rsidRDefault="004A4C2F" w:rsidP="00502795">
            <w:pPr>
              <w:spacing w:after="0" w:line="240" w:lineRule="auto"/>
              <w:ind w:left="360"/>
              <w:jc w:val="center"/>
              <w:rPr>
                <w:rFonts w:ascii="Arial" w:eastAsia="Times New Roman" w:hAnsi="Arial" w:cs="David"/>
                <w:b/>
                <w:bCs/>
                <w:color w:val="000000"/>
                <w:sz w:val="24"/>
                <w:szCs w:val="24"/>
                <w:rtl/>
              </w:rPr>
            </w:pPr>
            <w:r>
              <w:rPr>
                <w:rFonts w:ascii="Arial" w:eastAsia="Times New Roman" w:hAnsi="Arial" w:cs="David" w:hint="cs"/>
                <w:b/>
                <w:bCs/>
                <w:color w:val="000000"/>
                <w:sz w:val="24"/>
                <w:szCs w:val="24"/>
                <w:rtl/>
              </w:rPr>
              <w:t xml:space="preserve">עם עוזר משפטי </w:t>
            </w:r>
            <w:r w:rsidR="00240B10">
              <w:rPr>
                <w:rFonts w:ascii="Arial" w:eastAsia="Times New Roman" w:hAnsi="Arial" w:cs="David" w:hint="cs"/>
                <w:b/>
                <w:bCs/>
                <w:color w:val="000000"/>
                <w:sz w:val="24"/>
                <w:szCs w:val="24"/>
                <w:rtl/>
              </w:rPr>
              <w:t>שמסייע</w:t>
            </w:r>
            <w:r>
              <w:rPr>
                <w:rFonts w:ascii="Arial" w:eastAsia="Times New Roman" w:hAnsi="Arial" w:cs="David" w:hint="cs"/>
                <w:b/>
                <w:bCs/>
                <w:color w:val="000000"/>
                <w:sz w:val="24"/>
                <w:szCs w:val="24"/>
                <w:rtl/>
              </w:rPr>
              <w:t xml:space="preserve"> </w:t>
            </w:r>
            <w:r w:rsidR="00240B10">
              <w:rPr>
                <w:rFonts w:ascii="Arial" w:eastAsia="Times New Roman" w:hAnsi="Arial" w:cs="David" w:hint="cs"/>
                <w:b/>
                <w:bCs/>
                <w:color w:val="000000"/>
                <w:sz w:val="24"/>
                <w:szCs w:val="24"/>
                <w:rtl/>
              </w:rPr>
              <w:t>בכתיבה</w:t>
            </w:r>
          </w:p>
        </w:tc>
      </w:tr>
      <w:tr w:rsidR="004A4C2F" w:rsidRPr="002E5EC6" w14:paraId="44FF8166" w14:textId="77777777" w:rsidTr="00502795">
        <w:trPr>
          <w:trHeight w:val="521"/>
        </w:trPr>
        <w:tc>
          <w:tcPr>
            <w:tcW w:w="2972" w:type="dxa"/>
            <w:tcBorders>
              <w:top w:val="single" w:sz="4" w:space="0" w:color="auto"/>
            </w:tcBorders>
            <w:shd w:val="clear" w:color="auto" w:fill="auto"/>
            <w:vAlign w:val="center"/>
            <w:hideMark/>
          </w:tcPr>
          <w:p w14:paraId="3D805088" w14:textId="77777777" w:rsidR="004A4C2F" w:rsidRPr="003C619C" w:rsidRDefault="004A4C2F" w:rsidP="00214401">
            <w:pPr>
              <w:spacing w:after="0" w:line="240" w:lineRule="auto"/>
              <w:ind w:left="28"/>
              <w:rPr>
                <w:rFonts w:ascii="Arial" w:eastAsia="Times New Roman" w:hAnsi="Arial" w:cs="David"/>
                <w:b/>
                <w:bCs/>
                <w:color w:val="000000"/>
                <w:sz w:val="24"/>
                <w:szCs w:val="24"/>
              </w:rPr>
            </w:pPr>
            <w:r w:rsidRPr="003C619C">
              <w:rPr>
                <w:rFonts w:ascii="Arial" w:eastAsia="Times New Roman" w:hAnsi="Arial" w:cs="David" w:hint="cs"/>
                <w:b/>
                <w:bCs/>
                <w:color w:val="000000"/>
                <w:sz w:val="24"/>
                <w:szCs w:val="24"/>
                <w:rtl/>
              </w:rPr>
              <w:t>אדמיניסטרציה קשורה בתיקים</w:t>
            </w:r>
          </w:p>
        </w:tc>
        <w:tc>
          <w:tcPr>
            <w:tcW w:w="1559" w:type="dxa"/>
            <w:tcBorders>
              <w:top w:val="single" w:sz="4" w:space="0" w:color="auto"/>
            </w:tcBorders>
            <w:shd w:val="clear" w:color="auto" w:fill="auto"/>
            <w:noWrap/>
            <w:vAlign w:val="center"/>
            <w:hideMark/>
          </w:tcPr>
          <w:p w14:paraId="7E9E3BA8" w14:textId="77777777" w:rsidR="004A4C2F" w:rsidRPr="00F370C2" w:rsidRDefault="004A4C2F" w:rsidP="00502795">
            <w:pPr>
              <w:spacing w:after="0" w:line="240" w:lineRule="auto"/>
              <w:ind w:left="360"/>
              <w:jc w:val="center"/>
              <w:rPr>
                <w:rFonts w:ascii="David" w:eastAsia="Times New Roman" w:hAnsi="David" w:cs="David"/>
                <w:color w:val="000000"/>
                <w:sz w:val="24"/>
                <w:szCs w:val="24"/>
              </w:rPr>
            </w:pPr>
            <w:r w:rsidRPr="00F370C2">
              <w:rPr>
                <w:rFonts w:ascii="David" w:eastAsia="Times New Roman" w:hAnsi="David" w:cs="David"/>
                <w:color w:val="000000"/>
                <w:sz w:val="24"/>
                <w:szCs w:val="24"/>
              </w:rPr>
              <w:t>2.1%</w:t>
            </w:r>
          </w:p>
        </w:tc>
        <w:tc>
          <w:tcPr>
            <w:tcW w:w="2551" w:type="dxa"/>
            <w:tcBorders>
              <w:top w:val="single" w:sz="4" w:space="0" w:color="auto"/>
            </w:tcBorders>
            <w:shd w:val="clear" w:color="auto" w:fill="auto"/>
            <w:vAlign w:val="center"/>
          </w:tcPr>
          <w:p w14:paraId="17639C76" w14:textId="77777777" w:rsidR="004A4C2F" w:rsidRPr="00F370C2" w:rsidRDefault="004A4C2F" w:rsidP="00502795">
            <w:pPr>
              <w:spacing w:after="0" w:line="240" w:lineRule="auto"/>
              <w:ind w:left="360"/>
              <w:jc w:val="center"/>
              <w:rPr>
                <w:rFonts w:ascii="David" w:eastAsia="Times New Roman" w:hAnsi="David" w:cs="David"/>
                <w:color w:val="000000"/>
                <w:sz w:val="24"/>
                <w:szCs w:val="24"/>
              </w:rPr>
            </w:pPr>
            <w:r w:rsidRPr="00F370C2">
              <w:rPr>
                <w:rFonts w:ascii="David" w:eastAsia="Times New Roman" w:hAnsi="David" w:cs="David"/>
                <w:color w:val="000000"/>
                <w:sz w:val="24"/>
                <w:szCs w:val="24"/>
              </w:rPr>
              <w:t>2.</w:t>
            </w:r>
            <w:r>
              <w:rPr>
                <w:rFonts w:ascii="David" w:eastAsia="Times New Roman" w:hAnsi="David" w:cs="David"/>
                <w:color w:val="000000"/>
                <w:sz w:val="24"/>
                <w:szCs w:val="24"/>
              </w:rPr>
              <w:t>5</w:t>
            </w:r>
            <w:r w:rsidRPr="00F370C2">
              <w:rPr>
                <w:rFonts w:ascii="David" w:eastAsia="Times New Roman" w:hAnsi="David" w:cs="David"/>
                <w:color w:val="000000"/>
                <w:sz w:val="24"/>
                <w:szCs w:val="24"/>
              </w:rPr>
              <w:t>%</w:t>
            </w:r>
          </w:p>
        </w:tc>
        <w:tc>
          <w:tcPr>
            <w:tcW w:w="2128" w:type="dxa"/>
            <w:tcBorders>
              <w:top w:val="single" w:sz="4" w:space="0" w:color="auto"/>
            </w:tcBorders>
            <w:shd w:val="clear" w:color="auto" w:fill="auto"/>
            <w:vAlign w:val="center"/>
          </w:tcPr>
          <w:p w14:paraId="63761B3B" w14:textId="77777777" w:rsidR="004A4C2F" w:rsidRPr="00F370C2" w:rsidRDefault="004A4C2F" w:rsidP="00502795">
            <w:pPr>
              <w:spacing w:after="0" w:line="240" w:lineRule="auto"/>
              <w:ind w:left="360"/>
              <w:jc w:val="center"/>
              <w:rPr>
                <w:rFonts w:ascii="David" w:eastAsia="Times New Roman" w:hAnsi="David" w:cs="David"/>
                <w:color w:val="000000"/>
                <w:sz w:val="24"/>
                <w:szCs w:val="24"/>
              </w:rPr>
            </w:pPr>
            <w:r>
              <w:rPr>
                <w:rFonts w:ascii="David" w:eastAsia="Times New Roman" w:hAnsi="David" w:cs="David"/>
                <w:color w:val="000000"/>
                <w:sz w:val="24"/>
                <w:szCs w:val="24"/>
              </w:rPr>
              <w:t>2</w:t>
            </w:r>
            <w:r w:rsidRPr="00F370C2">
              <w:rPr>
                <w:rFonts w:ascii="David" w:eastAsia="Times New Roman" w:hAnsi="David" w:cs="David"/>
                <w:color w:val="000000"/>
                <w:sz w:val="24"/>
                <w:szCs w:val="24"/>
              </w:rPr>
              <w:t>%</w:t>
            </w:r>
          </w:p>
        </w:tc>
      </w:tr>
      <w:tr w:rsidR="004A4C2F" w:rsidRPr="002E5EC6" w14:paraId="13AB098F" w14:textId="77777777" w:rsidTr="00502795">
        <w:trPr>
          <w:trHeight w:val="326"/>
        </w:trPr>
        <w:tc>
          <w:tcPr>
            <w:tcW w:w="2972" w:type="dxa"/>
            <w:shd w:val="clear" w:color="auto" w:fill="auto"/>
            <w:vAlign w:val="center"/>
            <w:hideMark/>
          </w:tcPr>
          <w:p w14:paraId="1913ED2A" w14:textId="77777777" w:rsidR="004A4C2F" w:rsidRPr="003C619C" w:rsidRDefault="004A4C2F" w:rsidP="00214401">
            <w:pPr>
              <w:spacing w:after="0" w:line="240" w:lineRule="auto"/>
              <w:ind w:left="28"/>
              <w:rPr>
                <w:rFonts w:ascii="Arial" w:eastAsia="Times New Roman" w:hAnsi="Arial" w:cs="David"/>
                <w:b/>
                <w:bCs/>
                <w:color w:val="000000"/>
                <w:sz w:val="24"/>
                <w:szCs w:val="24"/>
              </w:rPr>
            </w:pPr>
            <w:r w:rsidRPr="003C619C">
              <w:rPr>
                <w:rFonts w:ascii="Arial" w:eastAsia="Times New Roman" w:hAnsi="Arial" w:cs="David" w:hint="cs"/>
                <w:b/>
                <w:bCs/>
                <w:color w:val="000000"/>
                <w:sz w:val="24"/>
                <w:szCs w:val="24"/>
                <w:rtl/>
              </w:rPr>
              <w:t>הכנה לדיונים</w:t>
            </w:r>
          </w:p>
        </w:tc>
        <w:tc>
          <w:tcPr>
            <w:tcW w:w="1559" w:type="dxa"/>
            <w:shd w:val="clear" w:color="auto" w:fill="auto"/>
            <w:noWrap/>
            <w:vAlign w:val="center"/>
            <w:hideMark/>
          </w:tcPr>
          <w:p w14:paraId="2C7E2632" w14:textId="77777777" w:rsidR="004A4C2F" w:rsidRPr="00F370C2" w:rsidRDefault="004A4C2F" w:rsidP="00502795">
            <w:pPr>
              <w:spacing w:after="0" w:line="240" w:lineRule="auto"/>
              <w:ind w:left="360"/>
              <w:jc w:val="center"/>
              <w:rPr>
                <w:rFonts w:ascii="David" w:eastAsia="Times New Roman" w:hAnsi="David" w:cs="David"/>
                <w:color w:val="000000"/>
                <w:sz w:val="24"/>
                <w:szCs w:val="24"/>
              </w:rPr>
            </w:pPr>
            <w:r>
              <w:rPr>
                <w:rFonts w:ascii="David" w:eastAsia="Times New Roman" w:hAnsi="David" w:cs="David"/>
                <w:color w:val="000000"/>
                <w:sz w:val="24"/>
                <w:szCs w:val="24"/>
              </w:rPr>
              <w:t>19</w:t>
            </w:r>
            <w:r w:rsidRPr="00F370C2">
              <w:rPr>
                <w:rFonts w:ascii="David" w:eastAsia="Times New Roman" w:hAnsi="David" w:cs="David"/>
                <w:color w:val="000000"/>
                <w:sz w:val="24"/>
                <w:szCs w:val="24"/>
              </w:rPr>
              <w:t>.</w:t>
            </w:r>
            <w:r>
              <w:rPr>
                <w:rFonts w:ascii="David" w:eastAsia="Times New Roman" w:hAnsi="David" w:cs="David"/>
                <w:color w:val="000000"/>
                <w:sz w:val="24"/>
                <w:szCs w:val="24"/>
              </w:rPr>
              <w:t>9</w:t>
            </w:r>
            <w:r w:rsidRPr="00F370C2">
              <w:rPr>
                <w:rFonts w:ascii="David" w:eastAsia="Times New Roman" w:hAnsi="David" w:cs="David"/>
                <w:color w:val="000000"/>
                <w:sz w:val="24"/>
                <w:szCs w:val="24"/>
              </w:rPr>
              <w:t>%</w:t>
            </w:r>
          </w:p>
        </w:tc>
        <w:tc>
          <w:tcPr>
            <w:tcW w:w="2551" w:type="dxa"/>
            <w:shd w:val="clear" w:color="auto" w:fill="auto"/>
            <w:vAlign w:val="center"/>
          </w:tcPr>
          <w:p w14:paraId="7E8C2001" w14:textId="77777777" w:rsidR="004A4C2F" w:rsidRPr="00F370C2" w:rsidRDefault="004A4C2F" w:rsidP="00502795">
            <w:pPr>
              <w:spacing w:after="0" w:line="240" w:lineRule="auto"/>
              <w:ind w:left="360"/>
              <w:jc w:val="center"/>
              <w:rPr>
                <w:rFonts w:ascii="David" w:eastAsia="Times New Roman" w:hAnsi="David" w:cs="David"/>
                <w:color w:val="000000"/>
                <w:sz w:val="24"/>
                <w:szCs w:val="24"/>
              </w:rPr>
            </w:pPr>
            <w:r w:rsidRPr="00F370C2">
              <w:rPr>
                <w:rFonts w:ascii="David" w:eastAsia="Times New Roman" w:hAnsi="David" w:cs="David"/>
                <w:color w:val="000000"/>
                <w:sz w:val="24"/>
                <w:szCs w:val="24"/>
              </w:rPr>
              <w:t>23.</w:t>
            </w:r>
            <w:r>
              <w:rPr>
                <w:rFonts w:ascii="David" w:eastAsia="Times New Roman" w:hAnsi="David" w:cs="David"/>
                <w:color w:val="000000"/>
                <w:sz w:val="24"/>
                <w:szCs w:val="24"/>
              </w:rPr>
              <w:t>1</w:t>
            </w:r>
            <w:r w:rsidRPr="00F370C2">
              <w:rPr>
                <w:rFonts w:ascii="David" w:eastAsia="Times New Roman" w:hAnsi="David" w:cs="David"/>
                <w:color w:val="000000"/>
                <w:sz w:val="24"/>
                <w:szCs w:val="24"/>
              </w:rPr>
              <w:t>%</w:t>
            </w:r>
          </w:p>
        </w:tc>
        <w:tc>
          <w:tcPr>
            <w:tcW w:w="2128" w:type="dxa"/>
            <w:shd w:val="clear" w:color="auto" w:fill="auto"/>
            <w:vAlign w:val="center"/>
          </w:tcPr>
          <w:p w14:paraId="60B4D061" w14:textId="77777777" w:rsidR="004A4C2F" w:rsidRPr="00F370C2" w:rsidRDefault="004A4C2F" w:rsidP="00502795">
            <w:pPr>
              <w:spacing w:after="0" w:line="240" w:lineRule="auto"/>
              <w:ind w:left="360"/>
              <w:jc w:val="center"/>
              <w:rPr>
                <w:rFonts w:ascii="David" w:eastAsia="Times New Roman" w:hAnsi="David" w:cs="David"/>
                <w:color w:val="000000"/>
                <w:sz w:val="24"/>
                <w:szCs w:val="24"/>
              </w:rPr>
            </w:pPr>
            <w:r w:rsidRPr="00F370C2">
              <w:rPr>
                <w:rFonts w:ascii="David" w:eastAsia="Times New Roman" w:hAnsi="David" w:cs="David"/>
                <w:color w:val="000000"/>
                <w:sz w:val="24"/>
                <w:szCs w:val="24"/>
              </w:rPr>
              <w:t>19.</w:t>
            </w:r>
            <w:r>
              <w:rPr>
                <w:rFonts w:ascii="David" w:eastAsia="Times New Roman" w:hAnsi="David" w:cs="David"/>
                <w:color w:val="000000"/>
                <w:sz w:val="24"/>
                <w:szCs w:val="24"/>
              </w:rPr>
              <w:t>1</w:t>
            </w:r>
            <w:r w:rsidRPr="00F370C2">
              <w:rPr>
                <w:rFonts w:ascii="David" w:eastAsia="Times New Roman" w:hAnsi="David" w:cs="David"/>
                <w:color w:val="000000"/>
                <w:sz w:val="24"/>
                <w:szCs w:val="24"/>
              </w:rPr>
              <w:t>%</w:t>
            </w:r>
          </w:p>
        </w:tc>
      </w:tr>
      <w:tr w:rsidR="004A4C2F" w:rsidRPr="002E5EC6" w14:paraId="40901687" w14:textId="77777777" w:rsidTr="00502795">
        <w:trPr>
          <w:trHeight w:val="450"/>
        </w:trPr>
        <w:tc>
          <w:tcPr>
            <w:tcW w:w="2972" w:type="dxa"/>
            <w:shd w:val="clear" w:color="auto" w:fill="auto"/>
            <w:vAlign w:val="center"/>
            <w:hideMark/>
          </w:tcPr>
          <w:p w14:paraId="239A7124" w14:textId="77777777" w:rsidR="004A4C2F" w:rsidRPr="00C021D7" w:rsidRDefault="004A4C2F" w:rsidP="00214401">
            <w:pPr>
              <w:spacing w:after="0" w:line="240" w:lineRule="auto"/>
              <w:ind w:left="28"/>
              <w:rPr>
                <w:rFonts w:ascii="Arial" w:eastAsia="Times New Roman" w:hAnsi="Arial" w:cs="David"/>
                <w:b/>
                <w:bCs/>
                <w:color w:val="000000"/>
                <w:sz w:val="24"/>
                <w:szCs w:val="24"/>
              </w:rPr>
            </w:pPr>
            <w:r w:rsidRPr="00C021D7">
              <w:rPr>
                <w:rFonts w:ascii="Arial" w:eastAsia="Times New Roman" w:hAnsi="Arial" w:cs="David" w:hint="cs"/>
                <w:b/>
                <w:bCs/>
                <w:color w:val="000000"/>
                <w:sz w:val="24"/>
                <w:szCs w:val="24"/>
                <w:rtl/>
              </w:rPr>
              <w:t>כתיבה</w:t>
            </w:r>
          </w:p>
        </w:tc>
        <w:tc>
          <w:tcPr>
            <w:tcW w:w="1559" w:type="dxa"/>
            <w:shd w:val="clear" w:color="auto" w:fill="auto"/>
            <w:noWrap/>
            <w:vAlign w:val="center"/>
            <w:hideMark/>
          </w:tcPr>
          <w:p w14:paraId="76F342C6" w14:textId="2453A9E6" w:rsidR="004A4C2F" w:rsidRPr="00F370C2" w:rsidRDefault="00915D8F" w:rsidP="00502795">
            <w:pPr>
              <w:spacing w:after="0" w:line="240" w:lineRule="auto"/>
              <w:ind w:left="360"/>
              <w:jc w:val="center"/>
              <w:rPr>
                <w:rFonts w:ascii="David" w:eastAsia="Times New Roman" w:hAnsi="David" w:cs="David"/>
                <w:color w:val="000000"/>
                <w:sz w:val="24"/>
                <w:szCs w:val="24"/>
                <w:rtl/>
              </w:rPr>
            </w:pPr>
            <w:r>
              <w:rPr>
                <w:rFonts w:ascii="David" w:eastAsia="Times New Roman" w:hAnsi="David" w:cs="David" w:hint="cs"/>
                <w:color w:val="000000"/>
                <w:sz w:val="24"/>
                <w:szCs w:val="24"/>
                <w:rtl/>
              </w:rPr>
              <w:t>38.4%</w:t>
            </w:r>
          </w:p>
        </w:tc>
        <w:tc>
          <w:tcPr>
            <w:tcW w:w="2551" w:type="dxa"/>
            <w:shd w:val="clear" w:color="auto" w:fill="auto"/>
            <w:vAlign w:val="center"/>
          </w:tcPr>
          <w:p w14:paraId="6D5597D1" w14:textId="38152336" w:rsidR="004A4C2F" w:rsidRPr="00F370C2" w:rsidRDefault="00915D8F" w:rsidP="00502795">
            <w:pPr>
              <w:spacing w:after="0" w:line="240" w:lineRule="auto"/>
              <w:ind w:left="360"/>
              <w:jc w:val="center"/>
              <w:rPr>
                <w:rFonts w:ascii="David" w:eastAsia="Times New Roman" w:hAnsi="David" w:cs="David"/>
                <w:color w:val="000000"/>
                <w:sz w:val="24"/>
                <w:szCs w:val="24"/>
              </w:rPr>
            </w:pPr>
            <w:r>
              <w:rPr>
                <w:rFonts w:ascii="David" w:eastAsia="Times New Roman" w:hAnsi="David" w:cs="David" w:hint="cs"/>
                <w:color w:val="000000"/>
                <w:sz w:val="24"/>
                <w:szCs w:val="24"/>
                <w:rtl/>
              </w:rPr>
              <w:t>38%</w:t>
            </w:r>
          </w:p>
        </w:tc>
        <w:tc>
          <w:tcPr>
            <w:tcW w:w="2128" w:type="dxa"/>
            <w:shd w:val="clear" w:color="auto" w:fill="auto"/>
            <w:vAlign w:val="center"/>
          </w:tcPr>
          <w:p w14:paraId="07AE30BA" w14:textId="12A26F8E" w:rsidR="004A4C2F" w:rsidRPr="00F370C2" w:rsidRDefault="00915D8F" w:rsidP="00502795">
            <w:pPr>
              <w:spacing w:after="0" w:line="240" w:lineRule="auto"/>
              <w:ind w:left="360"/>
              <w:jc w:val="center"/>
              <w:rPr>
                <w:rFonts w:ascii="David" w:eastAsia="Times New Roman" w:hAnsi="David" w:cs="David"/>
                <w:color w:val="000000"/>
                <w:sz w:val="24"/>
                <w:szCs w:val="24"/>
              </w:rPr>
            </w:pPr>
            <w:r>
              <w:rPr>
                <w:rFonts w:ascii="David" w:eastAsia="Times New Roman" w:hAnsi="David" w:cs="David" w:hint="cs"/>
                <w:color w:val="000000"/>
                <w:sz w:val="24"/>
                <w:szCs w:val="24"/>
                <w:rtl/>
              </w:rPr>
              <w:t>38.5%</w:t>
            </w:r>
          </w:p>
        </w:tc>
      </w:tr>
      <w:tr w:rsidR="004A4C2F" w:rsidRPr="002E5EC6" w14:paraId="7935F4AD" w14:textId="77777777" w:rsidTr="00502795">
        <w:trPr>
          <w:trHeight w:val="450"/>
        </w:trPr>
        <w:tc>
          <w:tcPr>
            <w:tcW w:w="2972" w:type="dxa"/>
            <w:shd w:val="clear" w:color="auto" w:fill="auto"/>
            <w:vAlign w:val="center"/>
          </w:tcPr>
          <w:p w14:paraId="72BD1367" w14:textId="77777777" w:rsidR="004A4C2F" w:rsidRPr="002E5EC6" w:rsidRDefault="004A4C2F" w:rsidP="00502795">
            <w:pPr>
              <w:spacing w:after="0" w:line="240" w:lineRule="auto"/>
              <w:ind w:left="360"/>
              <w:rPr>
                <w:rFonts w:ascii="Arial" w:eastAsia="Times New Roman" w:hAnsi="Arial" w:cs="David"/>
                <w:color w:val="000000"/>
                <w:sz w:val="24"/>
                <w:szCs w:val="24"/>
                <w:rtl/>
              </w:rPr>
            </w:pPr>
            <w:r>
              <w:rPr>
                <w:rFonts w:ascii="Arial" w:eastAsia="Times New Roman" w:hAnsi="Arial" w:cs="David" w:hint="cs"/>
                <w:color w:val="000000"/>
                <w:sz w:val="24"/>
                <w:szCs w:val="24"/>
                <w:rtl/>
              </w:rPr>
              <w:t>כתיבת החלטות ביניים במסמך עצמאי</w:t>
            </w:r>
          </w:p>
        </w:tc>
        <w:tc>
          <w:tcPr>
            <w:tcW w:w="1559" w:type="dxa"/>
            <w:shd w:val="clear" w:color="auto" w:fill="auto"/>
            <w:noWrap/>
            <w:vAlign w:val="center"/>
          </w:tcPr>
          <w:p w14:paraId="5A9E58DE" w14:textId="77777777" w:rsidR="004A4C2F" w:rsidRPr="00F370C2" w:rsidRDefault="004A4C2F" w:rsidP="00502795">
            <w:pPr>
              <w:spacing w:after="0" w:line="240" w:lineRule="auto"/>
              <w:ind w:left="360"/>
              <w:jc w:val="center"/>
              <w:rPr>
                <w:rFonts w:ascii="David" w:eastAsia="Times New Roman" w:hAnsi="David" w:cs="David"/>
                <w:color w:val="000000"/>
                <w:sz w:val="24"/>
                <w:szCs w:val="24"/>
              </w:rPr>
            </w:pPr>
            <w:r w:rsidRPr="00F370C2">
              <w:rPr>
                <w:rFonts w:ascii="David" w:eastAsia="Times New Roman" w:hAnsi="David" w:cs="David"/>
                <w:color w:val="000000"/>
                <w:sz w:val="24"/>
                <w:szCs w:val="24"/>
              </w:rPr>
              <w:t>7.</w:t>
            </w:r>
            <w:r>
              <w:rPr>
                <w:rFonts w:ascii="David" w:eastAsia="Times New Roman" w:hAnsi="David" w:cs="David"/>
                <w:color w:val="000000"/>
                <w:sz w:val="24"/>
                <w:szCs w:val="24"/>
              </w:rPr>
              <w:t>3</w:t>
            </w:r>
            <w:r w:rsidRPr="00F370C2">
              <w:rPr>
                <w:rFonts w:ascii="David" w:eastAsia="Times New Roman" w:hAnsi="David" w:cs="David"/>
                <w:color w:val="000000"/>
                <w:sz w:val="24"/>
                <w:szCs w:val="24"/>
              </w:rPr>
              <w:t>%</w:t>
            </w:r>
          </w:p>
        </w:tc>
        <w:tc>
          <w:tcPr>
            <w:tcW w:w="2551" w:type="dxa"/>
            <w:shd w:val="clear" w:color="auto" w:fill="auto"/>
            <w:vAlign w:val="center"/>
          </w:tcPr>
          <w:p w14:paraId="07C41FA2" w14:textId="77777777" w:rsidR="004A4C2F" w:rsidRPr="00F370C2" w:rsidRDefault="004A4C2F" w:rsidP="00502795">
            <w:pPr>
              <w:spacing w:after="0" w:line="240" w:lineRule="auto"/>
              <w:ind w:left="360"/>
              <w:jc w:val="center"/>
              <w:rPr>
                <w:rFonts w:ascii="David" w:eastAsia="Times New Roman" w:hAnsi="David" w:cs="David"/>
                <w:color w:val="000000"/>
                <w:sz w:val="24"/>
                <w:szCs w:val="24"/>
              </w:rPr>
            </w:pPr>
            <w:r>
              <w:rPr>
                <w:rFonts w:ascii="David" w:eastAsia="Times New Roman" w:hAnsi="David" w:cs="David"/>
                <w:color w:val="000000"/>
                <w:sz w:val="24"/>
                <w:szCs w:val="24"/>
              </w:rPr>
              <w:t>10</w:t>
            </w:r>
            <w:r w:rsidRPr="00F370C2">
              <w:rPr>
                <w:rFonts w:ascii="David" w:eastAsia="Times New Roman" w:hAnsi="David" w:cs="David"/>
                <w:color w:val="000000"/>
                <w:sz w:val="24"/>
                <w:szCs w:val="24"/>
              </w:rPr>
              <w:t>%</w:t>
            </w:r>
          </w:p>
        </w:tc>
        <w:tc>
          <w:tcPr>
            <w:tcW w:w="2128" w:type="dxa"/>
            <w:shd w:val="clear" w:color="auto" w:fill="auto"/>
            <w:vAlign w:val="center"/>
          </w:tcPr>
          <w:p w14:paraId="09FE3B4F" w14:textId="77777777" w:rsidR="004A4C2F" w:rsidRPr="00F370C2" w:rsidRDefault="004A4C2F" w:rsidP="00502795">
            <w:pPr>
              <w:spacing w:after="0" w:line="240" w:lineRule="auto"/>
              <w:ind w:left="360"/>
              <w:jc w:val="center"/>
              <w:rPr>
                <w:rFonts w:ascii="David" w:eastAsia="Times New Roman" w:hAnsi="David" w:cs="David"/>
                <w:color w:val="000000"/>
                <w:sz w:val="24"/>
                <w:szCs w:val="24"/>
              </w:rPr>
            </w:pPr>
            <w:r w:rsidRPr="00F370C2">
              <w:rPr>
                <w:rFonts w:ascii="David" w:eastAsia="Times New Roman" w:hAnsi="David" w:cs="David"/>
                <w:color w:val="000000"/>
                <w:sz w:val="24"/>
                <w:szCs w:val="24"/>
              </w:rPr>
              <w:t>6.</w:t>
            </w:r>
            <w:r>
              <w:rPr>
                <w:rFonts w:ascii="David" w:eastAsia="Times New Roman" w:hAnsi="David" w:cs="David"/>
                <w:color w:val="000000"/>
                <w:sz w:val="24"/>
                <w:szCs w:val="24"/>
              </w:rPr>
              <w:t>7</w:t>
            </w:r>
            <w:r w:rsidRPr="00F370C2">
              <w:rPr>
                <w:rFonts w:ascii="David" w:eastAsia="Times New Roman" w:hAnsi="David" w:cs="David"/>
                <w:color w:val="000000"/>
                <w:sz w:val="24"/>
                <w:szCs w:val="24"/>
              </w:rPr>
              <w:t>%</w:t>
            </w:r>
          </w:p>
        </w:tc>
      </w:tr>
      <w:tr w:rsidR="004A4C2F" w:rsidRPr="002E5EC6" w14:paraId="0F87A1B0" w14:textId="77777777" w:rsidTr="00502795">
        <w:trPr>
          <w:trHeight w:val="450"/>
        </w:trPr>
        <w:tc>
          <w:tcPr>
            <w:tcW w:w="2972" w:type="dxa"/>
            <w:shd w:val="clear" w:color="auto" w:fill="auto"/>
            <w:vAlign w:val="center"/>
          </w:tcPr>
          <w:p w14:paraId="25F88CC8" w14:textId="77777777" w:rsidR="004A4C2F" w:rsidRPr="002E5EC6" w:rsidRDefault="004A4C2F" w:rsidP="00502795">
            <w:pPr>
              <w:spacing w:after="0" w:line="240" w:lineRule="auto"/>
              <w:ind w:left="360"/>
              <w:rPr>
                <w:rFonts w:ascii="Arial" w:eastAsia="Times New Roman" w:hAnsi="Arial" w:cs="David"/>
                <w:color w:val="000000"/>
                <w:sz w:val="24"/>
                <w:szCs w:val="24"/>
                <w:rtl/>
              </w:rPr>
            </w:pPr>
            <w:r>
              <w:rPr>
                <w:rFonts w:ascii="Arial" w:eastAsia="Times New Roman" w:hAnsi="Arial" w:cs="David" w:hint="cs"/>
                <w:color w:val="000000"/>
                <w:sz w:val="24"/>
                <w:szCs w:val="24"/>
                <w:rtl/>
              </w:rPr>
              <w:t>כתיבת פסקי דין</w:t>
            </w:r>
          </w:p>
        </w:tc>
        <w:tc>
          <w:tcPr>
            <w:tcW w:w="1559" w:type="dxa"/>
            <w:shd w:val="clear" w:color="auto" w:fill="auto"/>
            <w:noWrap/>
            <w:vAlign w:val="center"/>
          </w:tcPr>
          <w:p w14:paraId="4B3D98EA" w14:textId="77777777" w:rsidR="004A4C2F" w:rsidRPr="00F370C2" w:rsidRDefault="004A4C2F" w:rsidP="00502795">
            <w:pPr>
              <w:spacing w:after="0" w:line="240" w:lineRule="auto"/>
              <w:ind w:left="360"/>
              <w:jc w:val="center"/>
              <w:rPr>
                <w:rFonts w:ascii="David" w:eastAsia="Times New Roman" w:hAnsi="David" w:cs="David"/>
                <w:color w:val="000000"/>
                <w:sz w:val="24"/>
                <w:szCs w:val="24"/>
              </w:rPr>
            </w:pPr>
            <w:r w:rsidRPr="00F370C2">
              <w:rPr>
                <w:rFonts w:ascii="David" w:eastAsia="Times New Roman" w:hAnsi="David" w:cs="David"/>
                <w:color w:val="000000"/>
                <w:sz w:val="24"/>
                <w:szCs w:val="24"/>
              </w:rPr>
              <w:t>16.9%</w:t>
            </w:r>
          </w:p>
        </w:tc>
        <w:tc>
          <w:tcPr>
            <w:tcW w:w="2551" w:type="dxa"/>
            <w:shd w:val="clear" w:color="auto" w:fill="auto"/>
            <w:vAlign w:val="center"/>
          </w:tcPr>
          <w:p w14:paraId="1520350F" w14:textId="77777777" w:rsidR="004A4C2F" w:rsidRPr="00F370C2" w:rsidRDefault="004A4C2F" w:rsidP="00502795">
            <w:pPr>
              <w:spacing w:after="0" w:line="240" w:lineRule="auto"/>
              <w:ind w:left="360"/>
              <w:jc w:val="center"/>
              <w:rPr>
                <w:rFonts w:ascii="David" w:eastAsia="Times New Roman" w:hAnsi="David" w:cs="David"/>
                <w:color w:val="000000"/>
                <w:sz w:val="24"/>
                <w:szCs w:val="24"/>
              </w:rPr>
            </w:pPr>
            <w:r w:rsidRPr="00F370C2">
              <w:rPr>
                <w:rFonts w:ascii="David" w:eastAsia="Times New Roman" w:hAnsi="David" w:cs="David"/>
                <w:color w:val="000000"/>
                <w:sz w:val="24"/>
                <w:szCs w:val="24"/>
              </w:rPr>
              <w:t>9.</w:t>
            </w:r>
            <w:r>
              <w:rPr>
                <w:rFonts w:ascii="David" w:eastAsia="Times New Roman" w:hAnsi="David" w:cs="David"/>
                <w:color w:val="000000"/>
                <w:sz w:val="24"/>
                <w:szCs w:val="24"/>
              </w:rPr>
              <w:t>6</w:t>
            </w:r>
            <w:r w:rsidRPr="00F370C2">
              <w:rPr>
                <w:rFonts w:ascii="David" w:eastAsia="Times New Roman" w:hAnsi="David" w:cs="David"/>
                <w:color w:val="000000"/>
                <w:sz w:val="24"/>
                <w:szCs w:val="24"/>
              </w:rPr>
              <w:t>%</w:t>
            </w:r>
          </w:p>
        </w:tc>
        <w:tc>
          <w:tcPr>
            <w:tcW w:w="2128" w:type="dxa"/>
            <w:shd w:val="clear" w:color="auto" w:fill="auto"/>
            <w:vAlign w:val="center"/>
          </w:tcPr>
          <w:p w14:paraId="0FA03115" w14:textId="77777777" w:rsidR="004A4C2F" w:rsidRPr="00F370C2" w:rsidRDefault="004A4C2F" w:rsidP="00502795">
            <w:pPr>
              <w:spacing w:after="0" w:line="240" w:lineRule="auto"/>
              <w:ind w:left="360"/>
              <w:jc w:val="center"/>
              <w:rPr>
                <w:rFonts w:ascii="David" w:eastAsia="Times New Roman" w:hAnsi="David" w:cs="David"/>
                <w:color w:val="000000"/>
                <w:sz w:val="24"/>
                <w:szCs w:val="24"/>
              </w:rPr>
            </w:pPr>
            <w:r w:rsidRPr="00F370C2">
              <w:rPr>
                <w:rFonts w:ascii="David" w:eastAsia="Times New Roman" w:hAnsi="David" w:cs="David"/>
                <w:color w:val="000000"/>
                <w:sz w:val="24"/>
                <w:szCs w:val="24"/>
              </w:rPr>
              <w:t>18.5%</w:t>
            </w:r>
          </w:p>
        </w:tc>
      </w:tr>
      <w:tr w:rsidR="004A4C2F" w:rsidRPr="002E5EC6" w14:paraId="6DB52485" w14:textId="77777777" w:rsidTr="00502795">
        <w:trPr>
          <w:trHeight w:val="450"/>
        </w:trPr>
        <w:tc>
          <w:tcPr>
            <w:tcW w:w="2972" w:type="dxa"/>
            <w:shd w:val="clear" w:color="auto" w:fill="auto"/>
            <w:vAlign w:val="center"/>
          </w:tcPr>
          <w:p w14:paraId="6152931C" w14:textId="77777777" w:rsidR="004A4C2F" w:rsidRPr="002E5EC6" w:rsidRDefault="004A4C2F" w:rsidP="00502795">
            <w:pPr>
              <w:spacing w:after="0" w:line="240" w:lineRule="auto"/>
              <w:ind w:left="360"/>
              <w:rPr>
                <w:rFonts w:ascii="Arial" w:eastAsia="Times New Roman" w:hAnsi="Arial" w:cs="David"/>
                <w:color w:val="000000"/>
                <w:sz w:val="24"/>
                <w:szCs w:val="24"/>
              </w:rPr>
            </w:pPr>
            <w:r w:rsidRPr="002E5EC6">
              <w:rPr>
                <w:rFonts w:ascii="Arial" w:eastAsia="Times New Roman" w:hAnsi="Arial" w:cs="David" w:hint="cs"/>
                <w:color w:val="000000"/>
                <w:sz w:val="24"/>
                <w:szCs w:val="24"/>
                <w:rtl/>
              </w:rPr>
              <w:t>טיפול במשימות בסל העבודה</w:t>
            </w:r>
          </w:p>
        </w:tc>
        <w:tc>
          <w:tcPr>
            <w:tcW w:w="1559" w:type="dxa"/>
            <w:shd w:val="clear" w:color="auto" w:fill="auto"/>
            <w:noWrap/>
            <w:vAlign w:val="center"/>
          </w:tcPr>
          <w:p w14:paraId="37E27F86" w14:textId="77777777" w:rsidR="004A4C2F" w:rsidRPr="007B7372" w:rsidRDefault="004A4C2F" w:rsidP="00502795">
            <w:pPr>
              <w:spacing w:after="0" w:line="240" w:lineRule="auto"/>
              <w:ind w:left="360"/>
              <w:jc w:val="center"/>
              <w:rPr>
                <w:rFonts w:eastAsia="Times New Roman" w:cs="David"/>
                <w:color w:val="000000"/>
                <w:sz w:val="24"/>
                <w:szCs w:val="24"/>
              </w:rPr>
            </w:pPr>
            <w:r w:rsidRPr="00F370C2">
              <w:rPr>
                <w:rFonts w:ascii="David" w:eastAsia="Times New Roman" w:hAnsi="David" w:cs="David"/>
                <w:color w:val="000000"/>
                <w:sz w:val="24"/>
                <w:szCs w:val="24"/>
              </w:rPr>
              <w:t>14.2%</w:t>
            </w:r>
          </w:p>
        </w:tc>
        <w:tc>
          <w:tcPr>
            <w:tcW w:w="2551" w:type="dxa"/>
            <w:shd w:val="clear" w:color="auto" w:fill="auto"/>
            <w:vAlign w:val="center"/>
          </w:tcPr>
          <w:p w14:paraId="0743162B" w14:textId="77777777" w:rsidR="004A4C2F" w:rsidRPr="00F370C2" w:rsidRDefault="004A4C2F" w:rsidP="00502795">
            <w:pPr>
              <w:spacing w:after="0" w:line="240" w:lineRule="auto"/>
              <w:ind w:left="360"/>
              <w:jc w:val="center"/>
              <w:rPr>
                <w:rFonts w:ascii="David" w:eastAsia="Times New Roman" w:hAnsi="David" w:cs="David"/>
                <w:color w:val="000000"/>
                <w:sz w:val="24"/>
                <w:szCs w:val="24"/>
              </w:rPr>
            </w:pPr>
            <w:r w:rsidRPr="00F370C2">
              <w:rPr>
                <w:rFonts w:ascii="David" w:eastAsia="Times New Roman" w:hAnsi="David" w:cs="David"/>
                <w:color w:val="000000"/>
                <w:sz w:val="24"/>
                <w:szCs w:val="24"/>
              </w:rPr>
              <w:t>18.</w:t>
            </w:r>
            <w:r>
              <w:rPr>
                <w:rFonts w:ascii="David" w:eastAsia="Times New Roman" w:hAnsi="David" w:cs="David"/>
                <w:color w:val="000000"/>
                <w:sz w:val="24"/>
                <w:szCs w:val="24"/>
              </w:rPr>
              <w:t>4</w:t>
            </w:r>
            <w:r w:rsidRPr="00F370C2">
              <w:rPr>
                <w:rFonts w:ascii="David" w:eastAsia="Times New Roman" w:hAnsi="David" w:cs="David"/>
                <w:color w:val="000000"/>
                <w:sz w:val="24"/>
                <w:szCs w:val="24"/>
              </w:rPr>
              <w:t>%</w:t>
            </w:r>
          </w:p>
        </w:tc>
        <w:tc>
          <w:tcPr>
            <w:tcW w:w="2128" w:type="dxa"/>
            <w:shd w:val="clear" w:color="auto" w:fill="auto"/>
            <w:vAlign w:val="center"/>
          </w:tcPr>
          <w:p w14:paraId="33B624F9" w14:textId="77777777" w:rsidR="004A4C2F" w:rsidRPr="00F370C2" w:rsidRDefault="004A4C2F" w:rsidP="00502795">
            <w:pPr>
              <w:spacing w:after="0" w:line="240" w:lineRule="auto"/>
              <w:ind w:left="360"/>
              <w:jc w:val="center"/>
              <w:rPr>
                <w:rFonts w:ascii="David" w:eastAsia="Times New Roman" w:hAnsi="David" w:cs="David"/>
                <w:color w:val="000000"/>
                <w:sz w:val="24"/>
                <w:szCs w:val="24"/>
              </w:rPr>
            </w:pPr>
            <w:r w:rsidRPr="00F370C2">
              <w:rPr>
                <w:rFonts w:ascii="David" w:eastAsia="Times New Roman" w:hAnsi="David" w:cs="David"/>
                <w:color w:val="000000"/>
                <w:sz w:val="24"/>
                <w:szCs w:val="24"/>
              </w:rPr>
              <w:t>13.</w:t>
            </w:r>
            <w:r>
              <w:rPr>
                <w:rFonts w:ascii="David" w:eastAsia="Times New Roman" w:hAnsi="David" w:cs="David"/>
                <w:color w:val="000000"/>
                <w:sz w:val="24"/>
                <w:szCs w:val="24"/>
              </w:rPr>
              <w:t>2</w:t>
            </w:r>
            <w:r w:rsidRPr="00F370C2">
              <w:rPr>
                <w:rFonts w:ascii="David" w:eastAsia="Times New Roman" w:hAnsi="David" w:cs="David"/>
                <w:color w:val="000000"/>
                <w:sz w:val="24"/>
                <w:szCs w:val="24"/>
              </w:rPr>
              <w:t>%</w:t>
            </w:r>
          </w:p>
        </w:tc>
      </w:tr>
      <w:tr w:rsidR="004A4C2F" w:rsidRPr="002E5EC6" w14:paraId="68BD29F4" w14:textId="77777777" w:rsidTr="00502795">
        <w:trPr>
          <w:trHeight w:val="580"/>
        </w:trPr>
        <w:tc>
          <w:tcPr>
            <w:tcW w:w="2972" w:type="dxa"/>
            <w:shd w:val="clear" w:color="auto" w:fill="auto"/>
            <w:vAlign w:val="center"/>
            <w:hideMark/>
          </w:tcPr>
          <w:p w14:paraId="5946E7C5" w14:textId="77777777" w:rsidR="004A4C2F" w:rsidRPr="003C619C" w:rsidRDefault="004A4C2F" w:rsidP="00214401">
            <w:pPr>
              <w:spacing w:after="0" w:line="240" w:lineRule="auto"/>
              <w:rPr>
                <w:rFonts w:ascii="Arial" w:eastAsia="Times New Roman" w:hAnsi="Arial" w:cs="David"/>
                <w:b/>
                <w:bCs/>
                <w:color w:val="000000"/>
                <w:sz w:val="24"/>
                <w:szCs w:val="24"/>
              </w:rPr>
            </w:pPr>
            <w:r w:rsidRPr="003C619C">
              <w:rPr>
                <w:rFonts w:ascii="Arial" w:eastAsia="Times New Roman" w:hAnsi="Arial" w:cs="David" w:hint="cs"/>
                <w:b/>
                <w:bCs/>
                <w:color w:val="000000"/>
                <w:sz w:val="24"/>
                <w:szCs w:val="24"/>
                <w:rtl/>
              </w:rPr>
              <w:t>עבודה שיפוטית שאינה קשורה בתיקים</w:t>
            </w:r>
          </w:p>
        </w:tc>
        <w:tc>
          <w:tcPr>
            <w:tcW w:w="1559" w:type="dxa"/>
            <w:shd w:val="clear" w:color="auto" w:fill="auto"/>
            <w:noWrap/>
            <w:vAlign w:val="center"/>
            <w:hideMark/>
          </w:tcPr>
          <w:p w14:paraId="10364850" w14:textId="77777777" w:rsidR="004A4C2F" w:rsidRPr="00F370C2" w:rsidRDefault="004A4C2F" w:rsidP="00502795">
            <w:pPr>
              <w:spacing w:after="0" w:line="240" w:lineRule="auto"/>
              <w:ind w:left="360"/>
              <w:jc w:val="center"/>
              <w:rPr>
                <w:rFonts w:ascii="David" w:eastAsia="Times New Roman" w:hAnsi="David" w:cs="David"/>
                <w:color w:val="000000"/>
                <w:sz w:val="24"/>
                <w:szCs w:val="24"/>
                <w:rtl/>
              </w:rPr>
            </w:pPr>
            <w:r>
              <w:rPr>
                <w:rFonts w:ascii="David" w:eastAsia="Times New Roman" w:hAnsi="David" w:cs="David"/>
                <w:color w:val="000000"/>
                <w:sz w:val="24"/>
                <w:szCs w:val="24"/>
              </w:rPr>
              <w:t>14</w:t>
            </w:r>
            <w:r w:rsidRPr="00F370C2">
              <w:rPr>
                <w:rFonts w:ascii="David" w:eastAsia="Times New Roman" w:hAnsi="David" w:cs="David"/>
                <w:color w:val="000000"/>
                <w:sz w:val="24"/>
                <w:szCs w:val="24"/>
              </w:rPr>
              <w:t>%</w:t>
            </w:r>
          </w:p>
        </w:tc>
        <w:tc>
          <w:tcPr>
            <w:tcW w:w="2551" w:type="dxa"/>
            <w:shd w:val="clear" w:color="auto" w:fill="auto"/>
            <w:vAlign w:val="center"/>
          </w:tcPr>
          <w:p w14:paraId="0D80CD14" w14:textId="77777777" w:rsidR="004A4C2F" w:rsidRPr="00F370C2" w:rsidRDefault="004A4C2F" w:rsidP="00502795">
            <w:pPr>
              <w:spacing w:after="0" w:line="240" w:lineRule="auto"/>
              <w:ind w:left="360"/>
              <w:jc w:val="center"/>
              <w:rPr>
                <w:rFonts w:ascii="David" w:eastAsia="Times New Roman" w:hAnsi="David" w:cs="David"/>
                <w:color w:val="000000"/>
                <w:sz w:val="24"/>
                <w:szCs w:val="24"/>
              </w:rPr>
            </w:pPr>
            <w:r w:rsidRPr="00F370C2">
              <w:rPr>
                <w:rFonts w:ascii="David" w:eastAsia="Times New Roman" w:hAnsi="David" w:cs="David"/>
                <w:color w:val="000000"/>
                <w:sz w:val="24"/>
                <w:szCs w:val="24"/>
              </w:rPr>
              <w:t>12.</w:t>
            </w:r>
            <w:r>
              <w:rPr>
                <w:rFonts w:ascii="David" w:eastAsia="Times New Roman" w:hAnsi="David" w:cs="David"/>
                <w:color w:val="000000"/>
                <w:sz w:val="24"/>
                <w:szCs w:val="24"/>
              </w:rPr>
              <w:t>2</w:t>
            </w:r>
            <w:r w:rsidRPr="00F370C2">
              <w:rPr>
                <w:rFonts w:ascii="David" w:eastAsia="Times New Roman" w:hAnsi="David" w:cs="David"/>
                <w:color w:val="000000"/>
                <w:sz w:val="24"/>
                <w:szCs w:val="24"/>
              </w:rPr>
              <w:t>%</w:t>
            </w:r>
          </w:p>
        </w:tc>
        <w:tc>
          <w:tcPr>
            <w:tcW w:w="2128" w:type="dxa"/>
            <w:shd w:val="clear" w:color="auto" w:fill="auto"/>
            <w:vAlign w:val="center"/>
          </w:tcPr>
          <w:p w14:paraId="21482B98" w14:textId="77777777" w:rsidR="004A4C2F" w:rsidRPr="00F370C2" w:rsidRDefault="004A4C2F" w:rsidP="00502795">
            <w:pPr>
              <w:spacing w:after="0" w:line="240" w:lineRule="auto"/>
              <w:ind w:left="360"/>
              <w:jc w:val="center"/>
              <w:rPr>
                <w:rFonts w:ascii="David" w:eastAsia="Times New Roman" w:hAnsi="David" w:cs="David"/>
                <w:color w:val="000000"/>
                <w:sz w:val="24"/>
                <w:szCs w:val="24"/>
              </w:rPr>
            </w:pPr>
            <w:r w:rsidRPr="00F370C2">
              <w:rPr>
                <w:rFonts w:ascii="David" w:eastAsia="Times New Roman" w:hAnsi="David" w:cs="David"/>
                <w:color w:val="000000"/>
                <w:sz w:val="24"/>
                <w:szCs w:val="24"/>
              </w:rPr>
              <w:t>14.</w:t>
            </w:r>
            <w:r>
              <w:rPr>
                <w:rFonts w:ascii="David" w:eastAsia="Times New Roman" w:hAnsi="David" w:cs="David"/>
                <w:color w:val="000000"/>
                <w:sz w:val="24"/>
                <w:szCs w:val="24"/>
              </w:rPr>
              <w:t>4</w:t>
            </w:r>
            <w:r w:rsidRPr="00F370C2">
              <w:rPr>
                <w:rFonts w:ascii="David" w:eastAsia="Times New Roman" w:hAnsi="David" w:cs="David"/>
                <w:color w:val="000000"/>
                <w:sz w:val="24"/>
                <w:szCs w:val="24"/>
              </w:rPr>
              <w:t>%</w:t>
            </w:r>
          </w:p>
        </w:tc>
      </w:tr>
      <w:tr w:rsidR="004A4C2F" w:rsidRPr="002E5EC6" w14:paraId="3AF62D7E" w14:textId="77777777" w:rsidTr="00502795">
        <w:trPr>
          <w:trHeight w:val="470"/>
        </w:trPr>
        <w:tc>
          <w:tcPr>
            <w:tcW w:w="2972" w:type="dxa"/>
            <w:tcBorders>
              <w:bottom w:val="single" w:sz="4" w:space="0" w:color="auto"/>
            </w:tcBorders>
            <w:shd w:val="clear" w:color="auto" w:fill="auto"/>
            <w:vAlign w:val="center"/>
            <w:hideMark/>
          </w:tcPr>
          <w:p w14:paraId="3BFF5746" w14:textId="77777777" w:rsidR="004A4C2F" w:rsidRPr="003C619C" w:rsidRDefault="004A4C2F" w:rsidP="00214401">
            <w:pPr>
              <w:spacing w:after="0" w:line="240" w:lineRule="auto"/>
              <w:rPr>
                <w:rFonts w:ascii="Arial" w:eastAsia="Times New Roman" w:hAnsi="Arial" w:cs="David"/>
                <w:b/>
                <w:bCs/>
                <w:color w:val="000000"/>
                <w:sz w:val="24"/>
                <w:szCs w:val="24"/>
              </w:rPr>
            </w:pPr>
            <w:r w:rsidRPr="003C619C">
              <w:rPr>
                <w:rFonts w:ascii="Arial" w:eastAsia="Times New Roman" w:hAnsi="Arial" w:cs="David" w:hint="cs"/>
                <w:b/>
                <w:bCs/>
                <w:color w:val="000000"/>
                <w:sz w:val="24"/>
                <w:szCs w:val="24"/>
                <w:rtl/>
              </w:rPr>
              <w:t>שמיעת דיונים</w:t>
            </w:r>
          </w:p>
        </w:tc>
        <w:tc>
          <w:tcPr>
            <w:tcW w:w="1559" w:type="dxa"/>
            <w:tcBorders>
              <w:bottom w:val="single" w:sz="4" w:space="0" w:color="auto"/>
            </w:tcBorders>
            <w:shd w:val="clear" w:color="auto" w:fill="auto"/>
            <w:noWrap/>
            <w:vAlign w:val="center"/>
            <w:hideMark/>
          </w:tcPr>
          <w:p w14:paraId="4DC3E5E8" w14:textId="77777777" w:rsidR="004A4C2F" w:rsidRPr="00F370C2" w:rsidRDefault="004A4C2F" w:rsidP="00502795">
            <w:pPr>
              <w:spacing w:after="0" w:line="240" w:lineRule="auto"/>
              <w:ind w:left="360"/>
              <w:jc w:val="center"/>
              <w:rPr>
                <w:rFonts w:ascii="David" w:eastAsia="Times New Roman" w:hAnsi="David" w:cs="David"/>
                <w:color w:val="000000"/>
                <w:sz w:val="24"/>
                <w:szCs w:val="24"/>
                <w:rtl/>
              </w:rPr>
            </w:pPr>
            <w:r w:rsidRPr="00F370C2">
              <w:rPr>
                <w:rFonts w:ascii="David" w:eastAsia="Times New Roman" w:hAnsi="David" w:cs="David"/>
                <w:color w:val="000000"/>
                <w:sz w:val="24"/>
                <w:szCs w:val="24"/>
              </w:rPr>
              <w:t>25.</w:t>
            </w:r>
            <w:r>
              <w:rPr>
                <w:rFonts w:ascii="David" w:eastAsia="Times New Roman" w:hAnsi="David" w:cs="David"/>
                <w:color w:val="000000"/>
                <w:sz w:val="24"/>
                <w:szCs w:val="24"/>
              </w:rPr>
              <w:t>7</w:t>
            </w:r>
            <w:r w:rsidRPr="00F370C2">
              <w:rPr>
                <w:rFonts w:ascii="David" w:eastAsia="Times New Roman" w:hAnsi="David" w:cs="David"/>
                <w:color w:val="000000"/>
                <w:sz w:val="24"/>
                <w:szCs w:val="24"/>
              </w:rPr>
              <w:t>%</w:t>
            </w:r>
          </w:p>
        </w:tc>
        <w:tc>
          <w:tcPr>
            <w:tcW w:w="2551" w:type="dxa"/>
            <w:tcBorders>
              <w:bottom w:val="single" w:sz="4" w:space="0" w:color="auto"/>
            </w:tcBorders>
            <w:shd w:val="clear" w:color="auto" w:fill="auto"/>
            <w:vAlign w:val="center"/>
          </w:tcPr>
          <w:p w14:paraId="6F57C813" w14:textId="77777777" w:rsidR="004A4C2F" w:rsidRPr="00F370C2" w:rsidRDefault="004A4C2F" w:rsidP="00502795">
            <w:pPr>
              <w:spacing w:after="0" w:line="240" w:lineRule="auto"/>
              <w:ind w:left="360"/>
              <w:jc w:val="center"/>
              <w:rPr>
                <w:rFonts w:ascii="David" w:eastAsia="Times New Roman" w:hAnsi="David" w:cs="David"/>
                <w:color w:val="000000"/>
                <w:sz w:val="24"/>
                <w:szCs w:val="24"/>
              </w:rPr>
            </w:pPr>
            <w:r>
              <w:rPr>
                <w:rFonts w:ascii="David" w:eastAsia="Times New Roman" w:hAnsi="David" w:cs="David"/>
                <w:color w:val="000000"/>
                <w:sz w:val="24"/>
                <w:szCs w:val="24"/>
              </w:rPr>
              <w:t>24</w:t>
            </w:r>
            <w:r w:rsidRPr="00F370C2">
              <w:rPr>
                <w:rFonts w:ascii="David" w:eastAsia="Times New Roman" w:hAnsi="David" w:cs="David"/>
                <w:color w:val="000000"/>
                <w:sz w:val="24"/>
                <w:szCs w:val="24"/>
              </w:rPr>
              <w:t>.</w:t>
            </w:r>
            <w:r>
              <w:rPr>
                <w:rFonts w:ascii="David" w:eastAsia="Times New Roman" w:hAnsi="David" w:cs="David"/>
                <w:color w:val="000000"/>
                <w:sz w:val="24"/>
                <w:szCs w:val="24"/>
              </w:rPr>
              <w:t>2</w:t>
            </w:r>
            <w:r w:rsidRPr="00F370C2">
              <w:rPr>
                <w:rFonts w:ascii="David" w:eastAsia="Times New Roman" w:hAnsi="David" w:cs="David"/>
                <w:color w:val="000000"/>
                <w:sz w:val="24"/>
                <w:szCs w:val="24"/>
              </w:rPr>
              <w:t>%</w:t>
            </w:r>
          </w:p>
        </w:tc>
        <w:tc>
          <w:tcPr>
            <w:tcW w:w="2128" w:type="dxa"/>
            <w:tcBorders>
              <w:bottom w:val="single" w:sz="4" w:space="0" w:color="auto"/>
            </w:tcBorders>
            <w:shd w:val="clear" w:color="auto" w:fill="auto"/>
            <w:vAlign w:val="center"/>
          </w:tcPr>
          <w:p w14:paraId="15A37618" w14:textId="77777777" w:rsidR="004A4C2F" w:rsidRPr="00F370C2" w:rsidRDefault="004A4C2F" w:rsidP="00502795">
            <w:pPr>
              <w:spacing w:after="0" w:line="240" w:lineRule="auto"/>
              <w:ind w:left="360"/>
              <w:jc w:val="center"/>
              <w:rPr>
                <w:rFonts w:ascii="David" w:eastAsia="Times New Roman" w:hAnsi="David" w:cs="David"/>
                <w:color w:val="000000"/>
                <w:sz w:val="24"/>
                <w:szCs w:val="24"/>
              </w:rPr>
            </w:pPr>
            <w:r>
              <w:rPr>
                <w:rFonts w:ascii="David" w:eastAsia="Times New Roman" w:hAnsi="David" w:cs="David"/>
                <w:color w:val="000000"/>
                <w:sz w:val="24"/>
                <w:szCs w:val="24"/>
              </w:rPr>
              <w:t>26</w:t>
            </w:r>
            <w:r w:rsidRPr="00F370C2">
              <w:rPr>
                <w:rFonts w:ascii="David" w:eastAsia="Times New Roman" w:hAnsi="David" w:cs="David"/>
                <w:color w:val="000000"/>
                <w:sz w:val="24"/>
                <w:szCs w:val="24"/>
              </w:rPr>
              <w:t>.</w:t>
            </w:r>
            <w:r>
              <w:rPr>
                <w:rFonts w:ascii="David" w:eastAsia="Times New Roman" w:hAnsi="David" w:cs="David"/>
                <w:color w:val="000000"/>
                <w:sz w:val="24"/>
                <w:szCs w:val="24"/>
              </w:rPr>
              <w:t>1</w:t>
            </w:r>
            <w:r w:rsidRPr="00F370C2">
              <w:rPr>
                <w:rFonts w:ascii="David" w:eastAsia="Times New Roman" w:hAnsi="David" w:cs="David"/>
                <w:color w:val="000000"/>
                <w:sz w:val="24"/>
                <w:szCs w:val="24"/>
              </w:rPr>
              <w:t>%</w:t>
            </w:r>
          </w:p>
        </w:tc>
      </w:tr>
    </w:tbl>
    <w:p w14:paraId="6F9E02BC" w14:textId="77777777" w:rsidR="00095FFA" w:rsidRDefault="00095FFA" w:rsidP="00240B10">
      <w:pPr>
        <w:pStyle w:val="3"/>
        <w:numPr>
          <w:ilvl w:val="0"/>
          <w:numId w:val="0"/>
        </w:numPr>
        <w:rPr>
          <w:rtl/>
        </w:rPr>
      </w:pPr>
    </w:p>
    <w:p w14:paraId="0FEBD854" w14:textId="4134B9DF" w:rsidR="00095FFA" w:rsidRDefault="00095FFA" w:rsidP="00240B10">
      <w:pPr>
        <w:pStyle w:val="3"/>
        <w:numPr>
          <w:ilvl w:val="0"/>
          <w:numId w:val="0"/>
        </w:numPr>
        <w:rPr>
          <w:rtl/>
        </w:rPr>
      </w:pPr>
    </w:p>
    <w:p w14:paraId="40AD8AF9" w14:textId="3FB64E48" w:rsidR="004A4C2F" w:rsidRDefault="00240B10" w:rsidP="00240B10">
      <w:pPr>
        <w:pStyle w:val="3"/>
        <w:numPr>
          <w:ilvl w:val="0"/>
          <w:numId w:val="0"/>
        </w:numPr>
        <w:rPr>
          <w:rtl/>
        </w:rPr>
      </w:pPr>
      <w:bookmarkStart w:id="1030" w:name="_Toc74751073"/>
      <w:r>
        <w:rPr>
          <w:rFonts w:hint="cs"/>
          <w:rtl/>
        </w:rPr>
        <w:t xml:space="preserve">נספח י2: </w:t>
      </w:r>
      <w:r w:rsidR="00433BF0" w:rsidRPr="00240B10">
        <w:rPr>
          <w:rFonts w:hint="cs"/>
          <w:rtl/>
        </w:rPr>
        <w:t>ערכאת השלום</w:t>
      </w:r>
      <w:bookmarkEnd w:id="1030"/>
    </w:p>
    <w:tbl>
      <w:tblPr>
        <w:tblpPr w:rightFromText="85" w:vertAnchor="text" w:tblpX="-509" w:tblpY="1"/>
        <w:bidiVisual/>
        <w:tblW w:w="9161" w:type="dxa"/>
        <w:tblLook w:val="04A0" w:firstRow="1" w:lastRow="0" w:firstColumn="1" w:lastColumn="0" w:noHBand="0" w:noVBand="1"/>
      </w:tblPr>
      <w:tblGrid>
        <w:gridCol w:w="2906"/>
        <w:gridCol w:w="2000"/>
        <w:gridCol w:w="2410"/>
        <w:gridCol w:w="1845"/>
      </w:tblGrid>
      <w:tr w:rsidR="00915D8F" w:rsidRPr="002E5EC6" w14:paraId="577E6C7F" w14:textId="77777777" w:rsidTr="00502795">
        <w:trPr>
          <w:trHeight w:val="809"/>
        </w:trPr>
        <w:tc>
          <w:tcPr>
            <w:tcW w:w="2906" w:type="dxa"/>
            <w:tcBorders>
              <w:bottom w:val="single" w:sz="4" w:space="0" w:color="auto"/>
            </w:tcBorders>
            <w:shd w:val="clear" w:color="auto" w:fill="auto"/>
            <w:vAlign w:val="center"/>
          </w:tcPr>
          <w:p w14:paraId="35C3613D" w14:textId="77777777" w:rsidR="00915D8F" w:rsidRPr="002E5EC6" w:rsidRDefault="00915D8F" w:rsidP="00502795">
            <w:pPr>
              <w:spacing w:line="240" w:lineRule="auto"/>
              <w:ind w:left="360"/>
              <w:rPr>
                <w:rFonts w:ascii="Arial" w:eastAsia="Times New Roman" w:hAnsi="Arial" w:cs="David"/>
                <w:b/>
                <w:bCs/>
                <w:color w:val="000000"/>
                <w:sz w:val="24"/>
                <w:szCs w:val="24"/>
                <w:rtl/>
              </w:rPr>
            </w:pPr>
            <w:r w:rsidRPr="002E5EC6">
              <w:rPr>
                <w:rFonts w:ascii="Arial" w:eastAsia="Times New Roman" w:hAnsi="Arial" w:cs="David" w:hint="cs"/>
                <w:b/>
                <w:bCs/>
                <w:color w:val="000000"/>
                <w:sz w:val="24"/>
                <w:szCs w:val="24"/>
                <w:rtl/>
              </w:rPr>
              <w:t>סוג הפעילות</w:t>
            </w:r>
          </w:p>
        </w:tc>
        <w:tc>
          <w:tcPr>
            <w:tcW w:w="2000" w:type="dxa"/>
            <w:tcBorders>
              <w:bottom w:val="single" w:sz="4" w:space="0" w:color="auto"/>
            </w:tcBorders>
            <w:shd w:val="clear" w:color="auto" w:fill="auto"/>
            <w:noWrap/>
            <w:vAlign w:val="center"/>
          </w:tcPr>
          <w:p w14:paraId="06DCA20B" w14:textId="7C046138" w:rsidR="00915D8F" w:rsidRPr="002E5EC6" w:rsidRDefault="00915D8F" w:rsidP="00502795">
            <w:pPr>
              <w:bidi w:val="0"/>
              <w:spacing w:line="240" w:lineRule="auto"/>
              <w:ind w:left="360"/>
              <w:jc w:val="center"/>
              <w:rPr>
                <w:rFonts w:ascii="Arial" w:eastAsia="Times New Roman" w:hAnsi="Arial" w:cs="David"/>
                <w:b/>
                <w:bCs/>
                <w:color w:val="000000"/>
                <w:sz w:val="24"/>
                <w:szCs w:val="24"/>
              </w:rPr>
            </w:pPr>
            <w:r w:rsidRPr="002E5EC6">
              <w:rPr>
                <w:rFonts w:ascii="Arial" w:eastAsia="Times New Roman" w:hAnsi="Arial" w:cs="David" w:hint="cs"/>
                <w:b/>
                <w:bCs/>
                <w:color w:val="000000"/>
                <w:sz w:val="24"/>
                <w:szCs w:val="24"/>
                <w:rtl/>
              </w:rPr>
              <w:t xml:space="preserve">עם </w:t>
            </w:r>
            <w:r>
              <w:rPr>
                <w:rFonts w:ascii="Arial" w:eastAsia="Times New Roman" w:hAnsi="Arial" w:cs="David" w:hint="cs"/>
                <w:b/>
                <w:bCs/>
                <w:color w:val="000000"/>
                <w:sz w:val="24"/>
                <w:szCs w:val="24"/>
                <w:rtl/>
              </w:rPr>
              <w:t>עוז</w:t>
            </w:r>
            <w:r w:rsidR="00095FFA">
              <w:rPr>
                <w:rFonts w:ascii="Arial" w:eastAsia="Times New Roman" w:hAnsi="Arial" w:cs="David" w:hint="cs"/>
                <w:b/>
                <w:bCs/>
                <w:color w:val="000000"/>
                <w:sz w:val="24"/>
                <w:szCs w:val="24"/>
                <w:rtl/>
              </w:rPr>
              <w:t xml:space="preserve">ר </w:t>
            </w:r>
            <w:r>
              <w:rPr>
                <w:rFonts w:ascii="Arial" w:eastAsia="Times New Roman" w:hAnsi="Arial" w:cs="David" w:hint="cs"/>
                <w:b/>
                <w:bCs/>
                <w:color w:val="000000"/>
                <w:sz w:val="24"/>
                <w:szCs w:val="24"/>
                <w:rtl/>
              </w:rPr>
              <w:t>מש</w:t>
            </w:r>
            <w:r w:rsidR="00095FFA">
              <w:rPr>
                <w:rFonts w:ascii="Arial" w:eastAsia="Times New Roman" w:hAnsi="Arial" w:cs="David" w:hint="cs"/>
                <w:b/>
                <w:bCs/>
                <w:color w:val="000000"/>
                <w:sz w:val="24"/>
                <w:szCs w:val="24"/>
                <w:rtl/>
              </w:rPr>
              <w:t>פטי</w:t>
            </w:r>
          </w:p>
        </w:tc>
        <w:tc>
          <w:tcPr>
            <w:tcW w:w="2410" w:type="dxa"/>
            <w:tcBorders>
              <w:bottom w:val="single" w:sz="4" w:space="0" w:color="auto"/>
            </w:tcBorders>
            <w:shd w:val="clear" w:color="auto" w:fill="auto"/>
            <w:vAlign w:val="center"/>
          </w:tcPr>
          <w:p w14:paraId="59412815" w14:textId="084A21EA" w:rsidR="00915D8F" w:rsidRPr="002E5EC6" w:rsidRDefault="00915D8F" w:rsidP="00502795">
            <w:pPr>
              <w:bidi w:val="0"/>
              <w:spacing w:line="240" w:lineRule="auto"/>
              <w:ind w:left="360"/>
              <w:jc w:val="center"/>
              <w:rPr>
                <w:rFonts w:ascii="Arial" w:eastAsia="Times New Roman" w:hAnsi="Arial" w:cs="David"/>
                <w:b/>
                <w:bCs/>
                <w:color w:val="000000"/>
                <w:sz w:val="24"/>
                <w:szCs w:val="24"/>
                <w:rtl/>
              </w:rPr>
            </w:pPr>
            <w:r>
              <w:rPr>
                <w:rFonts w:ascii="Arial" w:eastAsia="Times New Roman" w:hAnsi="Arial" w:cs="David" w:hint="cs"/>
                <w:b/>
                <w:bCs/>
                <w:color w:val="000000"/>
                <w:sz w:val="24"/>
                <w:szCs w:val="24"/>
                <w:rtl/>
              </w:rPr>
              <w:t>עם עוזר משפטי שלא מסייע בכתיבה</w:t>
            </w:r>
          </w:p>
        </w:tc>
        <w:tc>
          <w:tcPr>
            <w:tcW w:w="1845" w:type="dxa"/>
            <w:tcBorders>
              <w:bottom w:val="single" w:sz="4" w:space="0" w:color="auto"/>
            </w:tcBorders>
            <w:shd w:val="clear" w:color="auto" w:fill="auto"/>
            <w:vAlign w:val="center"/>
          </w:tcPr>
          <w:p w14:paraId="33AB8E4A" w14:textId="70AC267D" w:rsidR="00915D8F" w:rsidRPr="002E5EC6" w:rsidRDefault="00915D8F" w:rsidP="00502795">
            <w:pPr>
              <w:bidi w:val="0"/>
              <w:spacing w:line="240" w:lineRule="auto"/>
              <w:ind w:left="-100"/>
              <w:jc w:val="center"/>
              <w:rPr>
                <w:rFonts w:ascii="Arial" w:eastAsia="Times New Roman" w:hAnsi="Arial" w:cs="David"/>
                <w:b/>
                <w:bCs/>
                <w:color w:val="000000"/>
                <w:sz w:val="24"/>
                <w:szCs w:val="24"/>
                <w:rtl/>
              </w:rPr>
            </w:pPr>
            <w:r>
              <w:rPr>
                <w:rFonts w:ascii="Arial" w:eastAsia="Times New Roman" w:hAnsi="Arial" w:cs="David" w:hint="cs"/>
                <w:b/>
                <w:bCs/>
                <w:color w:val="000000"/>
                <w:sz w:val="24"/>
                <w:szCs w:val="24"/>
                <w:rtl/>
              </w:rPr>
              <w:t>עם עוזר משפטי שמסייע בכתיבה</w:t>
            </w:r>
          </w:p>
        </w:tc>
      </w:tr>
      <w:tr w:rsidR="00915D8F" w:rsidRPr="002E5EC6" w14:paraId="2862CA41" w14:textId="77777777" w:rsidTr="00502795">
        <w:trPr>
          <w:trHeight w:val="358"/>
        </w:trPr>
        <w:tc>
          <w:tcPr>
            <w:tcW w:w="2906" w:type="dxa"/>
            <w:tcBorders>
              <w:top w:val="single" w:sz="4" w:space="0" w:color="auto"/>
            </w:tcBorders>
            <w:shd w:val="clear" w:color="auto" w:fill="auto"/>
            <w:vAlign w:val="center"/>
            <w:hideMark/>
          </w:tcPr>
          <w:p w14:paraId="28152625" w14:textId="77777777" w:rsidR="00915D8F" w:rsidRPr="003F3949" w:rsidRDefault="00915D8F" w:rsidP="00A419E3">
            <w:pPr>
              <w:spacing w:line="240" w:lineRule="auto"/>
              <w:rPr>
                <w:rFonts w:ascii="Arial" w:eastAsia="Times New Roman" w:hAnsi="Arial" w:cs="David"/>
                <w:b/>
                <w:bCs/>
                <w:color w:val="000000"/>
                <w:sz w:val="24"/>
                <w:szCs w:val="24"/>
              </w:rPr>
            </w:pPr>
            <w:r w:rsidRPr="003F3949">
              <w:rPr>
                <w:rFonts w:ascii="Arial" w:eastAsia="Times New Roman" w:hAnsi="Arial" w:cs="David" w:hint="cs"/>
                <w:b/>
                <w:bCs/>
                <w:color w:val="000000"/>
                <w:sz w:val="24"/>
                <w:szCs w:val="24"/>
                <w:rtl/>
              </w:rPr>
              <w:t>אדמיניסטרציה קשורה בתיקים</w:t>
            </w:r>
          </w:p>
        </w:tc>
        <w:tc>
          <w:tcPr>
            <w:tcW w:w="2000" w:type="dxa"/>
            <w:tcBorders>
              <w:top w:val="single" w:sz="4" w:space="0" w:color="auto"/>
            </w:tcBorders>
            <w:shd w:val="clear" w:color="auto" w:fill="auto"/>
            <w:noWrap/>
            <w:vAlign w:val="center"/>
            <w:hideMark/>
          </w:tcPr>
          <w:p w14:paraId="190BBE3F" w14:textId="77777777" w:rsidR="00915D8F" w:rsidRPr="002551CA" w:rsidRDefault="00915D8F" w:rsidP="00502795">
            <w:pPr>
              <w:bidi w:val="0"/>
              <w:spacing w:line="240" w:lineRule="auto"/>
              <w:ind w:left="360"/>
              <w:jc w:val="center"/>
              <w:rPr>
                <w:rFonts w:ascii="David" w:eastAsia="Times New Roman" w:hAnsi="David" w:cs="David"/>
                <w:color w:val="000000"/>
                <w:sz w:val="24"/>
                <w:szCs w:val="24"/>
              </w:rPr>
            </w:pPr>
            <w:r w:rsidRPr="002551CA">
              <w:rPr>
                <w:rFonts w:ascii="David" w:eastAsia="Times New Roman" w:hAnsi="David" w:cs="David"/>
                <w:color w:val="000000"/>
                <w:sz w:val="24"/>
                <w:szCs w:val="24"/>
              </w:rPr>
              <w:t>2%</w:t>
            </w:r>
          </w:p>
        </w:tc>
        <w:tc>
          <w:tcPr>
            <w:tcW w:w="2410" w:type="dxa"/>
            <w:tcBorders>
              <w:top w:val="single" w:sz="4" w:space="0" w:color="auto"/>
            </w:tcBorders>
            <w:shd w:val="clear" w:color="auto" w:fill="auto"/>
            <w:vAlign w:val="center"/>
          </w:tcPr>
          <w:p w14:paraId="728E4795" w14:textId="77777777" w:rsidR="00915D8F" w:rsidRPr="002551CA" w:rsidRDefault="00915D8F" w:rsidP="00502795">
            <w:pPr>
              <w:bidi w:val="0"/>
              <w:spacing w:line="240" w:lineRule="auto"/>
              <w:ind w:left="360"/>
              <w:jc w:val="center"/>
              <w:rPr>
                <w:rFonts w:ascii="David" w:eastAsia="Times New Roman" w:hAnsi="David" w:cs="David"/>
                <w:color w:val="000000"/>
                <w:sz w:val="24"/>
                <w:szCs w:val="24"/>
                <w:rtl/>
              </w:rPr>
            </w:pPr>
            <w:r>
              <w:rPr>
                <w:rFonts w:ascii="David" w:eastAsia="Times New Roman" w:hAnsi="David" w:cs="David"/>
                <w:color w:val="000000"/>
                <w:sz w:val="24"/>
                <w:szCs w:val="24"/>
              </w:rPr>
              <w:t>1.7%</w:t>
            </w:r>
          </w:p>
        </w:tc>
        <w:tc>
          <w:tcPr>
            <w:tcW w:w="1845" w:type="dxa"/>
            <w:tcBorders>
              <w:top w:val="single" w:sz="4" w:space="0" w:color="auto"/>
            </w:tcBorders>
            <w:shd w:val="clear" w:color="auto" w:fill="auto"/>
            <w:vAlign w:val="center"/>
          </w:tcPr>
          <w:p w14:paraId="575D1105" w14:textId="77777777" w:rsidR="00915D8F" w:rsidRPr="002551CA" w:rsidRDefault="00915D8F" w:rsidP="00502795">
            <w:pPr>
              <w:bidi w:val="0"/>
              <w:spacing w:line="240" w:lineRule="auto"/>
              <w:ind w:left="360"/>
              <w:jc w:val="center"/>
              <w:rPr>
                <w:rFonts w:ascii="David" w:eastAsia="Times New Roman" w:hAnsi="David" w:cs="David"/>
                <w:color w:val="000000"/>
                <w:sz w:val="24"/>
                <w:szCs w:val="24"/>
                <w:rtl/>
              </w:rPr>
            </w:pPr>
            <w:r>
              <w:rPr>
                <w:rFonts w:ascii="David" w:eastAsia="Times New Roman" w:hAnsi="David" w:cs="David"/>
                <w:color w:val="000000"/>
                <w:sz w:val="24"/>
                <w:szCs w:val="24"/>
              </w:rPr>
              <w:t>2.2%</w:t>
            </w:r>
          </w:p>
        </w:tc>
      </w:tr>
      <w:tr w:rsidR="00915D8F" w:rsidRPr="002E5EC6" w14:paraId="0B594659" w14:textId="77777777" w:rsidTr="00502795">
        <w:trPr>
          <w:trHeight w:val="146"/>
        </w:trPr>
        <w:tc>
          <w:tcPr>
            <w:tcW w:w="2906" w:type="dxa"/>
            <w:shd w:val="clear" w:color="auto" w:fill="auto"/>
            <w:vAlign w:val="center"/>
            <w:hideMark/>
          </w:tcPr>
          <w:p w14:paraId="70F5E67E" w14:textId="77777777" w:rsidR="00915D8F" w:rsidRPr="003F3949" w:rsidRDefault="00915D8F" w:rsidP="00A419E3">
            <w:pPr>
              <w:spacing w:line="240" w:lineRule="auto"/>
              <w:rPr>
                <w:rFonts w:ascii="Arial" w:eastAsia="Times New Roman" w:hAnsi="Arial" w:cs="David"/>
                <w:b/>
                <w:bCs/>
                <w:color w:val="000000"/>
                <w:sz w:val="24"/>
                <w:szCs w:val="24"/>
              </w:rPr>
            </w:pPr>
            <w:r w:rsidRPr="003F3949">
              <w:rPr>
                <w:rFonts w:ascii="Arial" w:eastAsia="Times New Roman" w:hAnsi="Arial" w:cs="David" w:hint="cs"/>
                <w:b/>
                <w:bCs/>
                <w:color w:val="000000"/>
                <w:sz w:val="24"/>
                <w:szCs w:val="24"/>
                <w:rtl/>
              </w:rPr>
              <w:t>הכנה לדיונים</w:t>
            </w:r>
          </w:p>
        </w:tc>
        <w:tc>
          <w:tcPr>
            <w:tcW w:w="2000" w:type="dxa"/>
            <w:shd w:val="clear" w:color="auto" w:fill="auto"/>
            <w:noWrap/>
            <w:vAlign w:val="center"/>
            <w:hideMark/>
          </w:tcPr>
          <w:p w14:paraId="061566B1" w14:textId="77777777" w:rsidR="00915D8F" w:rsidRPr="002551CA" w:rsidRDefault="00915D8F" w:rsidP="00502795">
            <w:pPr>
              <w:bidi w:val="0"/>
              <w:spacing w:line="240" w:lineRule="auto"/>
              <w:ind w:left="360"/>
              <w:jc w:val="center"/>
              <w:rPr>
                <w:rFonts w:ascii="David" w:eastAsia="Times New Roman" w:hAnsi="David" w:cs="David"/>
                <w:color w:val="000000"/>
                <w:sz w:val="24"/>
                <w:szCs w:val="24"/>
                <w:rtl/>
              </w:rPr>
            </w:pPr>
            <w:r>
              <w:rPr>
                <w:rFonts w:ascii="David" w:eastAsia="Times New Roman" w:hAnsi="David" w:cs="David"/>
                <w:color w:val="000000"/>
                <w:sz w:val="24"/>
                <w:szCs w:val="24"/>
              </w:rPr>
              <w:t>13.4%</w:t>
            </w:r>
          </w:p>
        </w:tc>
        <w:tc>
          <w:tcPr>
            <w:tcW w:w="2410" w:type="dxa"/>
            <w:shd w:val="clear" w:color="auto" w:fill="auto"/>
            <w:vAlign w:val="center"/>
          </w:tcPr>
          <w:p w14:paraId="7E11576F" w14:textId="77777777" w:rsidR="00915D8F" w:rsidRPr="002551CA" w:rsidRDefault="00915D8F" w:rsidP="00502795">
            <w:pPr>
              <w:bidi w:val="0"/>
              <w:spacing w:line="240" w:lineRule="auto"/>
              <w:ind w:left="360"/>
              <w:jc w:val="center"/>
              <w:rPr>
                <w:rFonts w:ascii="David" w:eastAsia="Times New Roman" w:hAnsi="David" w:cs="David"/>
                <w:color w:val="000000"/>
                <w:sz w:val="24"/>
                <w:szCs w:val="24"/>
                <w:rtl/>
              </w:rPr>
            </w:pPr>
            <w:r>
              <w:rPr>
                <w:rFonts w:ascii="David" w:eastAsia="Times New Roman" w:hAnsi="David" w:cs="David"/>
                <w:color w:val="000000"/>
                <w:sz w:val="24"/>
                <w:szCs w:val="24"/>
              </w:rPr>
              <w:t>16.6%</w:t>
            </w:r>
          </w:p>
        </w:tc>
        <w:tc>
          <w:tcPr>
            <w:tcW w:w="1845" w:type="dxa"/>
            <w:shd w:val="clear" w:color="auto" w:fill="auto"/>
            <w:vAlign w:val="center"/>
          </w:tcPr>
          <w:p w14:paraId="7A5433EF" w14:textId="77777777" w:rsidR="00915D8F" w:rsidRPr="002551CA" w:rsidRDefault="00915D8F" w:rsidP="00502795">
            <w:pPr>
              <w:bidi w:val="0"/>
              <w:spacing w:line="240" w:lineRule="auto"/>
              <w:ind w:left="360"/>
              <w:jc w:val="center"/>
              <w:rPr>
                <w:rFonts w:ascii="David" w:eastAsia="Times New Roman" w:hAnsi="David" w:cs="David"/>
                <w:color w:val="000000"/>
                <w:sz w:val="24"/>
                <w:szCs w:val="24"/>
                <w:rtl/>
              </w:rPr>
            </w:pPr>
            <w:r>
              <w:rPr>
                <w:rFonts w:ascii="David" w:eastAsia="Times New Roman" w:hAnsi="David" w:cs="David"/>
                <w:color w:val="000000"/>
                <w:sz w:val="24"/>
                <w:szCs w:val="24"/>
              </w:rPr>
              <w:t>12.2%</w:t>
            </w:r>
          </w:p>
        </w:tc>
      </w:tr>
      <w:tr w:rsidR="00915D8F" w:rsidRPr="002E5EC6" w14:paraId="06930FCB" w14:textId="77777777" w:rsidTr="00502795">
        <w:trPr>
          <w:trHeight w:val="152"/>
        </w:trPr>
        <w:tc>
          <w:tcPr>
            <w:tcW w:w="2906" w:type="dxa"/>
            <w:shd w:val="clear" w:color="auto" w:fill="auto"/>
            <w:vAlign w:val="center"/>
          </w:tcPr>
          <w:p w14:paraId="7AEC74CF" w14:textId="77777777" w:rsidR="00915D8F" w:rsidRPr="001C2206" w:rsidRDefault="00915D8F" w:rsidP="00A419E3">
            <w:pPr>
              <w:spacing w:line="240" w:lineRule="auto"/>
              <w:rPr>
                <w:rFonts w:ascii="Arial" w:eastAsia="Times New Roman" w:hAnsi="Arial" w:cs="David"/>
                <w:b/>
                <w:bCs/>
                <w:color w:val="000000"/>
                <w:sz w:val="24"/>
                <w:szCs w:val="24"/>
              </w:rPr>
            </w:pPr>
            <w:r w:rsidRPr="001C2206">
              <w:rPr>
                <w:rFonts w:ascii="Arial" w:eastAsia="Times New Roman" w:hAnsi="Arial" w:cs="David" w:hint="cs"/>
                <w:b/>
                <w:bCs/>
                <w:color w:val="000000"/>
                <w:sz w:val="24"/>
                <w:szCs w:val="24"/>
                <w:rtl/>
              </w:rPr>
              <w:t>כתיבה</w:t>
            </w:r>
          </w:p>
        </w:tc>
        <w:tc>
          <w:tcPr>
            <w:tcW w:w="2000" w:type="dxa"/>
            <w:shd w:val="clear" w:color="auto" w:fill="auto"/>
            <w:noWrap/>
            <w:vAlign w:val="center"/>
          </w:tcPr>
          <w:p w14:paraId="2162E5ED" w14:textId="77777777" w:rsidR="00915D8F" w:rsidRPr="002551CA" w:rsidRDefault="00915D8F" w:rsidP="00502795">
            <w:pPr>
              <w:bidi w:val="0"/>
              <w:spacing w:line="240" w:lineRule="auto"/>
              <w:ind w:left="360"/>
              <w:jc w:val="center"/>
              <w:rPr>
                <w:rFonts w:ascii="David" w:eastAsia="Times New Roman" w:hAnsi="David" w:cs="David"/>
                <w:color w:val="000000"/>
                <w:sz w:val="24"/>
                <w:szCs w:val="24"/>
                <w:rtl/>
              </w:rPr>
            </w:pPr>
            <w:r>
              <w:rPr>
                <w:rFonts w:ascii="David" w:eastAsia="Times New Roman" w:hAnsi="David" w:cs="David"/>
                <w:color w:val="000000"/>
                <w:sz w:val="24"/>
                <w:szCs w:val="24"/>
              </w:rPr>
              <w:t>45.1%</w:t>
            </w:r>
          </w:p>
        </w:tc>
        <w:tc>
          <w:tcPr>
            <w:tcW w:w="2410" w:type="dxa"/>
            <w:shd w:val="clear" w:color="auto" w:fill="auto"/>
            <w:vAlign w:val="center"/>
          </w:tcPr>
          <w:p w14:paraId="6A1B8246" w14:textId="77777777" w:rsidR="00915D8F" w:rsidRPr="002551CA" w:rsidRDefault="00915D8F" w:rsidP="00502795">
            <w:pPr>
              <w:bidi w:val="0"/>
              <w:spacing w:line="240" w:lineRule="auto"/>
              <w:ind w:left="360"/>
              <w:jc w:val="center"/>
              <w:rPr>
                <w:rFonts w:ascii="David" w:eastAsia="Times New Roman" w:hAnsi="David" w:cs="David"/>
                <w:color w:val="000000"/>
                <w:sz w:val="24"/>
                <w:szCs w:val="24"/>
                <w:rtl/>
              </w:rPr>
            </w:pPr>
            <w:r>
              <w:rPr>
                <w:rFonts w:ascii="David" w:eastAsia="Times New Roman" w:hAnsi="David" w:cs="David"/>
                <w:color w:val="000000"/>
                <w:sz w:val="24"/>
                <w:szCs w:val="24"/>
              </w:rPr>
              <w:t>44.7%</w:t>
            </w:r>
          </w:p>
        </w:tc>
        <w:tc>
          <w:tcPr>
            <w:tcW w:w="1845" w:type="dxa"/>
            <w:shd w:val="clear" w:color="auto" w:fill="auto"/>
            <w:vAlign w:val="center"/>
          </w:tcPr>
          <w:p w14:paraId="3C6194B7" w14:textId="77777777" w:rsidR="00915D8F" w:rsidRPr="002551CA" w:rsidRDefault="00915D8F" w:rsidP="00502795">
            <w:pPr>
              <w:bidi w:val="0"/>
              <w:spacing w:line="240" w:lineRule="auto"/>
              <w:ind w:left="360"/>
              <w:jc w:val="center"/>
              <w:rPr>
                <w:rFonts w:ascii="David" w:eastAsia="Times New Roman" w:hAnsi="David" w:cs="David"/>
                <w:color w:val="000000"/>
                <w:sz w:val="24"/>
                <w:szCs w:val="24"/>
                <w:rtl/>
              </w:rPr>
            </w:pPr>
            <w:r>
              <w:rPr>
                <w:rFonts w:ascii="David" w:eastAsia="Times New Roman" w:hAnsi="David" w:cs="David"/>
                <w:color w:val="000000"/>
                <w:sz w:val="24"/>
                <w:szCs w:val="24"/>
              </w:rPr>
              <w:t>45.3%</w:t>
            </w:r>
          </w:p>
        </w:tc>
      </w:tr>
      <w:tr w:rsidR="00915D8F" w:rsidRPr="002E5EC6" w14:paraId="02E34035" w14:textId="77777777" w:rsidTr="00502795">
        <w:trPr>
          <w:trHeight w:val="306"/>
        </w:trPr>
        <w:tc>
          <w:tcPr>
            <w:tcW w:w="2906" w:type="dxa"/>
            <w:shd w:val="clear" w:color="auto" w:fill="auto"/>
            <w:vAlign w:val="center"/>
          </w:tcPr>
          <w:p w14:paraId="76A7A384" w14:textId="5C675F56" w:rsidR="00915D8F" w:rsidRPr="002E5EC6" w:rsidRDefault="00915D8F" w:rsidP="00502795">
            <w:pPr>
              <w:spacing w:line="240" w:lineRule="auto"/>
              <w:ind w:left="360"/>
              <w:rPr>
                <w:rFonts w:ascii="Arial" w:eastAsia="Times New Roman" w:hAnsi="Arial" w:cs="David"/>
                <w:color w:val="000000"/>
                <w:sz w:val="24"/>
                <w:szCs w:val="24"/>
                <w:rtl/>
              </w:rPr>
            </w:pPr>
            <w:r>
              <w:rPr>
                <w:rFonts w:ascii="Arial" w:eastAsia="Times New Roman" w:hAnsi="Arial" w:cs="David" w:hint="cs"/>
                <w:color w:val="000000"/>
                <w:sz w:val="24"/>
                <w:szCs w:val="24"/>
                <w:rtl/>
              </w:rPr>
              <w:t>כתיבת החלטות</w:t>
            </w:r>
            <w:r w:rsidR="00095FFA">
              <w:rPr>
                <w:rFonts w:ascii="Arial" w:eastAsia="Times New Roman" w:hAnsi="Arial" w:cs="David" w:hint="cs"/>
                <w:color w:val="000000"/>
                <w:sz w:val="24"/>
                <w:szCs w:val="24"/>
                <w:rtl/>
              </w:rPr>
              <w:t xml:space="preserve"> ביניים במסמך עצמאי</w:t>
            </w:r>
          </w:p>
        </w:tc>
        <w:tc>
          <w:tcPr>
            <w:tcW w:w="2000" w:type="dxa"/>
            <w:shd w:val="clear" w:color="auto" w:fill="auto"/>
            <w:noWrap/>
            <w:vAlign w:val="center"/>
          </w:tcPr>
          <w:p w14:paraId="5CBE5D6B" w14:textId="77777777" w:rsidR="00915D8F" w:rsidRPr="002551CA" w:rsidRDefault="00915D8F" w:rsidP="00502795">
            <w:pPr>
              <w:bidi w:val="0"/>
              <w:spacing w:line="240" w:lineRule="auto"/>
              <w:ind w:left="360"/>
              <w:jc w:val="center"/>
              <w:rPr>
                <w:rFonts w:ascii="David" w:eastAsia="Times New Roman" w:hAnsi="David" w:cs="David"/>
                <w:color w:val="000000"/>
                <w:sz w:val="24"/>
                <w:szCs w:val="24"/>
                <w:rtl/>
              </w:rPr>
            </w:pPr>
            <w:r>
              <w:rPr>
                <w:rFonts w:ascii="David" w:eastAsia="Times New Roman" w:hAnsi="David" w:cs="David"/>
                <w:color w:val="000000"/>
                <w:sz w:val="24"/>
                <w:szCs w:val="24"/>
              </w:rPr>
              <w:t>7.7%</w:t>
            </w:r>
          </w:p>
        </w:tc>
        <w:tc>
          <w:tcPr>
            <w:tcW w:w="2410" w:type="dxa"/>
            <w:shd w:val="clear" w:color="auto" w:fill="auto"/>
            <w:vAlign w:val="center"/>
          </w:tcPr>
          <w:p w14:paraId="0E12BDEC" w14:textId="77777777" w:rsidR="00915D8F" w:rsidRPr="002551CA" w:rsidRDefault="00915D8F" w:rsidP="00502795">
            <w:pPr>
              <w:bidi w:val="0"/>
              <w:spacing w:line="240" w:lineRule="auto"/>
              <w:ind w:left="360"/>
              <w:jc w:val="center"/>
              <w:rPr>
                <w:rFonts w:ascii="David" w:eastAsia="Times New Roman" w:hAnsi="David" w:cs="David"/>
                <w:color w:val="000000"/>
                <w:sz w:val="24"/>
                <w:szCs w:val="24"/>
                <w:rtl/>
              </w:rPr>
            </w:pPr>
            <w:r>
              <w:rPr>
                <w:rFonts w:ascii="David" w:eastAsia="Times New Roman" w:hAnsi="David" w:cs="David"/>
                <w:color w:val="000000"/>
                <w:sz w:val="24"/>
                <w:szCs w:val="24"/>
              </w:rPr>
              <w:t>8.6%</w:t>
            </w:r>
          </w:p>
        </w:tc>
        <w:tc>
          <w:tcPr>
            <w:tcW w:w="1845" w:type="dxa"/>
            <w:shd w:val="clear" w:color="auto" w:fill="auto"/>
            <w:vAlign w:val="center"/>
          </w:tcPr>
          <w:p w14:paraId="000CB75E" w14:textId="77777777" w:rsidR="00915D8F" w:rsidRPr="002551CA" w:rsidRDefault="00915D8F" w:rsidP="00502795">
            <w:pPr>
              <w:bidi w:val="0"/>
              <w:spacing w:line="240" w:lineRule="auto"/>
              <w:ind w:left="360"/>
              <w:jc w:val="center"/>
              <w:rPr>
                <w:rFonts w:ascii="David" w:eastAsia="Times New Roman" w:hAnsi="David" w:cs="David"/>
                <w:color w:val="000000"/>
                <w:sz w:val="24"/>
                <w:szCs w:val="24"/>
                <w:rtl/>
              </w:rPr>
            </w:pPr>
            <w:r>
              <w:rPr>
                <w:rFonts w:ascii="David" w:eastAsia="Times New Roman" w:hAnsi="David" w:cs="David"/>
                <w:color w:val="000000"/>
                <w:sz w:val="24"/>
                <w:szCs w:val="24"/>
              </w:rPr>
              <w:t>7.4%</w:t>
            </w:r>
          </w:p>
        </w:tc>
      </w:tr>
      <w:tr w:rsidR="00915D8F" w:rsidRPr="002E5EC6" w14:paraId="3C4CB1B5" w14:textId="77777777" w:rsidTr="00502795">
        <w:trPr>
          <w:trHeight w:val="352"/>
        </w:trPr>
        <w:tc>
          <w:tcPr>
            <w:tcW w:w="2906" w:type="dxa"/>
            <w:shd w:val="clear" w:color="auto" w:fill="auto"/>
            <w:vAlign w:val="center"/>
          </w:tcPr>
          <w:p w14:paraId="6322E76D" w14:textId="77777777" w:rsidR="00915D8F" w:rsidRPr="002E5EC6" w:rsidRDefault="00915D8F" w:rsidP="00502795">
            <w:pPr>
              <w:spacing w:line="240" w:lineRule="auto"/>
              <w:ind w:left="360"/>
              <w:rPr>
                <w:rFonts w:ascii="Arial" w:eastAsia="Times New Roman" w:hAnsi="Arial" w:cs="David"/>
                <w:color w:val="000000"/>
                <w:sz w:val="24"/>
                <w:szCs w:val="24"/>
                <w:rtl/>
              </w:rPr>
            </w:pPr>
            <w:r>
              <w:rPr>
                <w:rFonts w:ascii="Arial" w:eastAsia="Times New Roman" w:hAnsi="Arial" w:cs="David" w:hint="cs"/>
                <w:color w:val="000000"/>
                <w:sz w:val="24"/>
                <w:szCs w:val="24"/>
                <w:rtl/>
              </w:rPr>
              <w:t>כתיבת פסקי דין</w:t>
            </w:r>
          </w:p>
        </w:tc>
        <w:tc>
          <w:tcPr>
            <w:tcW w:w="2000" w:type="dxa"/>
            <w:shd w:val="clear" w:color="auto" w:fill="auto"/>
            <w:noWrap/>
            <w:vAlign w:val="center"/>
          </w:tcPr>
          <w:p w14:paraId="418FF72C" w14:textId="77777777" w:rsidR="00915D8F" w:rsidRPr="002551CA" w:rsidRDefault="00915D8F" w:rsidP="00502795">
            <w:pPr>
              <w:bidi w:val="0"/>
              <w:spacing w:line="240" w:lineRule="auto"/>
              <w:ind w:left="360"/>
              <w:jc w:val="center"/>
              <w:rPr>
                <w:rFonts w:ascii="David" w:eastAsia="Times New Roman" w:hAnsi="David" w:cs="David"/>
                <w:color w:val="000000"/>
                <w:sz w:val="24"/>
                <w:szCs w:val="24"/>
                <w:rtl/>
              </w:rPr>
            </w:pPr>
            <w:r>
              <w:rPr>
                <w:rFonts w:ascii="David" w:eastAsia="Times New Roman" w:hAnsi="David" w:cs="David"/>
                <w:color w:val="000000"/>
                <w:sz w:val="24"/>
                <w:szCs w:val="24"/>
              </w:rPr>
              <w:t>19%</w:t>
            </w:r>
          </w:p>
        </w:tc>
        <w:tc>
          <w:tcPr>
            <w:tcW w:w="2410" w:type="dxa"/>
            <w:shd w:val="clear" w:color="auto" w:fill="auto"/>
            <w:vAlign w:val="center"/>
          </w:tcPr>
          <w:p w14:paraId="4B0A3D28" w14:textId="77777777" w:rsidR="00915D8F" w:rsidRPr="002551CA" w:rsidRDefault="00915D8F" w:rsidP="00502795">
            <w:pPr>
              <w:bidi w:val="0"/>
              <w:spacing w:line="240" w:lineRule="auto"/>
              <w:ind w:left="360"/>
              <w:jc w:val="center"/>
              <w:rPr>
                <w:rFonts w:ascii="David" w:eastAsia="Times New Roman" w:hAnsi="David" w:cs="David"/>
                <w:color w:val="000000"/>
                <w:sz w:val="24"/>
                <w:szCs w:val="24"/>
                <w:rtl/>
              </w:rPr>
            </w:pPr>
            <w:r>
              <w:rPr>
                <w:rFonts w:ascii="David" w:eastAsia="Times New Roman" w:hAnsi="David" w:cs="David"/>
                <w:color w:val="000000"/>
                <w:sz w:val="24"/>
                <w:szCs w:val="24"/>
              </w:rPr>
              <w:t>16%</w:t>
            </w:r>
          </w:p>
        </w:tc>
        <w:tc>
          <w:tcPr>
            <w:tcW w:w="1845" w:type="dxa"/>
            <w:shd w:val="clear" w:color="auto" w:fill="auto"/>
            <w:vAlign w:val="center"/>
          </w:tcPr>
          <w:p w14:paraId="62D91021" w14:textId="77777777" w:rsidR="00915D8F" w:rsidRPr="002551CA" w:rsidRDefault="00915D8F" w:rsidP="00502795">
            <w:pPr>
              <w:bidi w:val="0"/>
              <w:spacing w:line="240" w:lineRule="auto"/>
              <w:ind w:left="360"/>
              <w:jc w:val="center"/>
              <w:rPr>
                <w:rFonts w:ascii="David" w:eastAsia="Times New Roman" w:hAnsi="David" w:cs="David"/>
                <w:color w:val="000000"/>
                <w:sz w:val="24"/>
                <w:szCs w:val="24"/>
                <w:rtl/>
              </w:rPr>
            </w:pPr>
            <w:r>
              <w:rPr>
                <w:rFonts w:ascii="David" w:eastAsia="Times New Roman" w:hAnsi="David" w:cs="David"/>
                <w:color w:val="000000"/>
                <w:sz w:val="24"/>
                <w:szCs w:val="24"/>
              </w:rPr>
              <w:t>20.2%</w:t>
            </w:r>
          </w:p>
        </w:tc>
      </w:tr>
      <w:tr w:rsidR="00095FFA" w:rsidRPr="002E5EC6" w14:paraId="5BBFC289" w14:textId="77777777" w:rsidTr="00502795">
        <w:trPr>
          <w:trHeight w:val="352"/>
        </w:trPr>
        <w:tc>
          <w:tcPr>
            <w:tcW w:w="2906" w:type="dxa"/>
            <w:shd w:val="clear" w:color="auto" w:fill="auto"/>
            <w:vAlign w:val="center"/>
          </w:tcPr>
          <w:p w14:paraId="488B3405" w14:textId="5518E196" w:rsidR="00095FFA" w:rsidRDefault="00095FFA" w:rsidP="00502795">
            <w:pPr>
              <w:spacing w:line="240" w:lineRule="auto"/>
              <w:ind w:left="360"/>
              <w:rPr>
                <w:rFonts w:ascii="Arial" w:eastAsia="Times New Roman" w:hAnsi="Arial" w:cs="David"/>
                <w:color w:val="000000"/>
                <w:sz w:val="24"/>
                <w:szCs w:val="24"/>
                <w:rtl/>
              </w:rPr>
            </w:pPr>
            <w:r w:rsidRPr="002E5EC6">
              <w:rPr>
                <w:rFonts w:ascii="Arial" w:eastAsia="Times New Roman" w:hAnsi="Arial" w:cs="David" w:hint="cs"/>
                <w:color w:val="000000"/>
                <w:sz w:val="24"/>
                <w:szCs w:val="24"/>
                <w:rtl/>
              </w:rPr>
              <w:t>טיפול במשימות בסל העבודה</w:t>
            </w:r>
          </w:p>
        </w:tc>
        <w:tc>
          <w:tcPr>
            <w:tcW w:w="2000" w:type="dxa"/>
            <w:shd w:val="clear" w:color="auto" w:fill="auto"/>
            <w:noWrap/>
            <w:vAlign w:val="center"/>
          </w:tcPr>
          <w:p w14:paraId="1F576CE0" w14:textId="36931BAC" w:rsidR="00095FFA" w:rsidRDefault="00095FFA" w:rsidP="00502795">
            <w:pPr>
              <w:bidi w:val="0"/>
              <w:spacing w:line="240" w:lineRule="auto"/>
              <w:ind w:left="360"/>
              <w:jc w:val="center"/>
              <w:rPr>
                <w:rFonts w:ascii="David" w:eastAsia="Times New Roman" w:hAnsi="David" w:cs="David"/>
                <w:color w:val="000000"/>
                <w:sz w:val="24"/>
                <w:szCs w:val="24"/>
              </w:rPr>
            </w:pPr>
            <w:r>
              <w:rPr>
                <w:rFonts w:ascii="David" w:eastAsia="Times New Roman" w:hAnsi="David" w:cs="David"/>
                <w:color w:val="000000"/>
                <w:sz w:val="24"/>
                <w:szCs w:val="24"/>
              </w:rPr>
              <w:t>18.4%</w:t>
            </w:r>
          </w:p>
        </w:tc>
        <w:tc>
          <w:tcPr>
            <w:tcW w:w="2410" w:type="dxa"/>
            <w:shd w:val="clear" w:color="auto" w:fill="auto"/>
            <w:vAlign w:val="center"/>
          </w:tcPr>
          <w:p w14:paraId="77F884AB" w14:textId="449969B4" w:rsidR="00095FFA" w:rsidRDefault="00095FFA" w:rsidP="00502795">
            <w:pPr>
              <w:bidi w:val="0"/>
              <w:spacing w:line="240" w:lineRule="auto"/>
              <w:ind w:left="360"/>
              <w:jc w:val="center"/>
              <w:rPr>
                <w:rFonts w:ascii="David" w:eastAsia="Times New Roman" w:hAnsi="David" w:cs="David"/>
                <w:color w:val="000000"/>
                <w:sz w:val="24"/>
                <w:szCs w:val="24"/>
              </w:rPr>
            </w:pPr>
            <w:r>
              <w:rPr>
                <w:rFonts w:ascii="David" w:eastAsia="Times New Roman" w:hAnsi="David" w:cs="David"/>
                <w:color w:val="000000"/>
                <w:sz w:val="24"/>
                <w:szCs w:val="24"/>
              </w:rPr>
              <w:t>20.1%</w:t>
            </w:r>
          </w:p>
        </w:tc>
        <w:tc>
          <w:tcPr>
            <w:tcW w:w="1845" w:type="dxa"/>
            <w:shd w:val="clear" w:color="auto" w:fill="auto"/>
            <w:vAlign w:val="center"/>
          </w:tcPr>
          <w:p w14:paraId="14069646" w14:textId="4C78FE86" w:rsidR="00095FFA" w:rsidRDefault="00095FFA" w:rsidP="00502795">
            <w:pPr>
              <w:bidi w:val="0"/>
              <w:spacing w:line="240" w:lineRule="auto"/>
              <w:ind w:left="360"/>
              <w:jc w:val="center"/>
              <w:rPr>
                <w:rFonts w:ascii="David" w:eastAsia="Times New Roman" w:hAnsi="David" w:cs="David"/>
                <w:color w:val="000000"/>
                <w:sz w:val="24"/>
                <w:szCs w:val="24"/>
              </w:rPr>
            </w:pPr>
            <w:r>
              <w:rPr>
                <w:rFonts w:ascii="David" w:eastAsia="Times New Roman" w:hAnsi="David" w:cs="David"/>
                <w:color w:val="000000"/>
                <w:sz w:val="24"/>
                <w:szCs w:val="24"/>
              </w:rPr>
              <w:t>17.7%</w:t>
            </w:r>
          </w:p>
        </w:tc>
      </w:tr>
      <w:tr w:rsidR="00095FFA" w:rsidRPr="002E5EC6" w14:paraId="16B9BB6D" w14:textId="77777777" w:rsidTr="00502795">
        <w:trPr>
          <w:trHeight w:val="286"/>
        </w:trPr>
        <w:tc>
          <w:tcPr>
            <w:tcW w:w="2906" w:type="dxa"/>
            <w:shd w:val="clear" w:color="auto" w:fill="auto"/>
            <w:vAlign w:val="center"/>
            <w:hideMark/>
          </w:tcPr>
          <w:p w14:paraId="654A3FEC" w14:textId="77777777" w:rsidR="00095FFA" w:rsidRPr="003F3949" w:rsidRDefault="00095FFA" w:rsidP="00A419E3">
            <w:pPr>
              <w:spacing w:line="240" w:lineRule="auto"/>
              <w:rPr>
                <w:rFonts w:ascii="Arial" w:eastAsia="Times New Roman" w:hAnsi="Arial" w:cs="David"/>
                <w:b/>
                <w:bCs/>
                <w:color w:val="000000"/>
                <w:sz w:val="24"/>
                <w:szCs w:val="24"/>
              </w:rPr>
            </w:pPr>
            <w:r w:rsidRPr="003F3949">
              <w:rPr>
                <w:rFonts w:ascii="Arial" w:eastAsia="Times New Roman" w:hAnsi="Arial" w:cs="David" w:hint="cs"/>
                <w:b/>
                <w:bCs/>
                <w:color w:val="000000"/>
                <w:sz w:val="24"/>
                <w:szCs w:val="24"/>
                <w:rtl/>
              </w:rPr>
              <w:t>עבודה שיפוטית שאינה קשורה בתיקים</w:t>
            </w:r>
          </w:p>
        </w:tc>
        <w:tc>
          <w:tcPr>
            <w:tcW w:w="2000" w:type="dxa"/>
            <w:shd w:val="clear" w:color="auto" w:fill="auto"/>
            <w:noWrap/>
            <w:vAlign w:val="center"/>
            <w:hideMark/>
          </w:tcPr>
          <w:p w14:paraId="003161F4" w14:textId="77777777" w:rsidR="00095FFA" w:rsidRPr="002551CA" w:rsidRDefault="00095FFA" w:rsidP="00502795">
            <w:pPr>
              <w:bidi w:val="0"/>
              <w:spacing w:line="240" w:lineRule="auto"/>
              <w:ind w:left="360"/>
              <w:jc w:val="center"/>
              <w:rPr>
                <w:rFonts w:ascii="David" w:eastAsia="Times New Roman" w:hAnsi="David" w:cs="David"/>
                <w:color w:val="000000"/>
                <w:sz w:val="24"/>
                <w:szCs w:val="24"/>
                <w:rtl/>
              </w:rPr>
            </w:pPr>
            <w:r>
              <w:rPr>
                <w:rFonts w:ascii="David" w:eastAsia="Times New Roman" w:hAnsi="David" w:cs="David"/>
                <w:color w:val="000000"/>
                <w:sz w:val="24"/>
                <w:szCs w:val="24"/>
              </w:rPr>
              <w:t>12.1%</w:t>
            </w:r>
          </w:p>
        </w:tc>
        <w:tc>
          <w:tcPr>
            <w:tcW w:w="2410" w:type="dxa"/>
            <w:shd w:val="clear" w:color="auto" w:fill="auto"/>
            <w:vAlign w:val="center"/>
          </w:tcPr>
          <w:p w14:paraId="01877A87" w14:textId="77777777" w:rsidR="00095FFA" w:rsidRPr="002551CA" w:rsidRDefault="00095FFA" w:rsidP="00502795">
            <w:pPr>
              <w:bidi w:val="0"/>
              <w:spacing w:line="240" w:lineRule="auto"/>
              <w:ind w:left="360"/>
              <w:jc w:val="center"/>
              <w:rPr>
                <w:rFonts w:ascii="David" w:eastAsia="Times New Roman" w:hAnsi="David" w:cs="David"/>
                <w:color w:val="000000"/>
                <w:sz w:val="24"/>
                <w:szCs w:val="24"/>
                <w:rtl/>
              </w:rPr>
            </w:pPr>
            <w:r>
              <w:rPr>
                <w:rFonts w:ascii="David" w:eastAsia="Times New Roman" w:hAnsi="David" w:cs="David"/>
                <w:color w:val="000000"/>
                <w:sz w:val="24"/>
                <w:szCs w:val="24"/>
              </w:rPr>
              <w:t>10.5%</w:t>
            </w:r>
          </w:p>
        </w:tc>
        <w:tc>
          <w:tcPr>
            <w:tcW w:w="1845" w:type="dxa"/>
            <w:shd w:val="clear" w:color="auto" w:fill="auto"/>
            <w:vAlign w:val="center"/>
          </w:tcPr>
          <w:p w14:paraId="457438F4" w14:textId="77777777" w:rsidR="00095FFA" w:rsidRPr="002551CA" w:rsidRDefault="00095FFA" w:rsidP="00502795">
            <w:pPr>
              <w:bidi w:val="0"/>
              <w:spacing w:line="240" w:lineRule="auto"/>
              <w:ind w:left="360"/>
              <w:jc w:val="center"/>
              <w:rPr>
                <w:rFonts w:ascii="David" w:eastAsia="Times New Roman" w:hAnsi="David" w:cs="David"/>
                <w:color w:val="000000"/>
                <w:sz w:val="24"/>
                <w:szCs w:val="24"/>
                <w:rtl/>
              </w:rPr>
            </w:pPr>
            <w:r>
              <w:rPr>
                <w:rFonts w:ascii="David" w:eastAsia="Times New Roman" w:hAnsi="David" w:cs="David"/>
                <w:color w:val="000000"/>
                <w:sz w:val="24"/>
                <w:szCs w:val="24"/>
              </w:rPr>
              <w:t>12.8%</w:t>
            </w:r>
          </w:p>
        </w:tc>
      </w:tr>
      <w:tr w:rsidR="00095FFA" w:rsidRPr="002E5EC6" w14:paraId="4F468DDE" w14:textId="77777777" w:rsidTr="00502795">
        <w:trPr>
          <w:trHeight w:val="452"/>
        </w:trPr>
        <w:tc>
          <w:tcPr>
            <w:tcW w:w="2906" w:type="dxa"/>
            <w:tcBorders>
              <w:bottom w:val="single" w:sz="4" w:space="0" w:color="auto"/>
            </w:tcBorders>
            <w:shd w:val="clear" w:color="auto" w:fill="auto"/>
            <w:vAlign w:val="center"/>
            <w:hideMark/>
          </w:tcPr>
          <w:p w14:paraId="6E580808" w14:textId="77777777" w:rsidR="00095FFA" w:rsidRPr="003F3949" w:rsidRDefault="00095FFA" w:rsidP="00A419E3">
            <w:pPr>
              <w:spacing w:line="240" w:lineRule="auto"/>
              <w:rPr>
                <w:rFonts w:ascii="Arial" w:eastAsia="Times New Roman" w:hAnsi="Arial" w:cs="David"/>
                <w:b/>
                <w:bCs/>
                <w:color w:val="000000"/>
                <w:sz w:val="24"/>
                <w:szCs w:val="24"/>
              </w:rPr>
            </w:pPr>
            <w:r w:rsidRPr="003F3949">
              <w:rPr>
                <w:rFonts w:ascii="Arial" w:eastAsia="Times New Roman" w:hAnsi="Arial" w:cs="David" w:hint="cs"/>
                <w:b/>
                <w:bCs/>
                <w:color w:val="000000"/>
                <w:sz w:val="24"/>
                <w:szCs w:val="24"/>
                <w:rtl/>
              </w:rPr>
              <w:t>שמיעת דיונים</w:t>
            </w:r>
          </w:p>
        </w:tc>
        <w:tc>
          <w:tcPr>
            <w:tcW w:w="2000" w:type="dxa"/>
            <w:tcBorders>
              <w:bottom w:val="single" w:sz="4" w:space="0" w:color="auto"/>
            </w:tcBorders>
            <w:shd w:val="clear" w:color="auto" w:fill="auto"/>
            <w:noWrap/>
            <w:vAlign w:val="center"/>
            <w:hideMark/>
          </w:tcPr>
          <w:p w14:paraId="20CF7595" w14:textId="77777777" w:rsidR="00095FFA" w:rsidRPr="002551CA" w:rsidRDefault="00095FFA" w:rsidP="00502795">
            <w:pPr>
              <w:bidi w:val="0"/>
              <w:spacing w:line="240" w:lineRule="auto"/>
              <w:ind w:left="360"/>
              <w:jc w:val="center"/>
              <w:rPr>
                <w:rFonts w:ascii="David" w:eastAsia="Times New Roman" w:hAnsi="David" w:cs="David"/>
                <w:color w:val="000000"/>
                <w:sz w:val="24"/>
                <w:szCs w:val="24"/>
                <w:rtl/>
              </w:rPr>
            </w:pPr>
            <w:r>
              <w:rPr>
                <w:rFonts w:ascii="David" w:eastAsia="Times New Roman" w:hAnsi="David" w:cs="David"/>
                <w:color w:val="000000"/>
                <w:sz w:val="24"/>
                <w:szCs w:val="24"/>
              </w:rPr>
              <w:t>27.3%</w:t>
            </w:r>
          </w:p>
        </w:tc>
        <w:tc>
          <w:tcPr>
            <w:tcW w:w="2410" w:type="dxa"/>
            <w:tcBorders>
              <w:bottom w:val="single" w:sz="4" w:space="0" w:color="auto"/>
            </w:tcBorders>
            <w:shd w:val="clear" w:color="auto" w:fill="auto"/>
            <w:vAlign w:val="center"/>
          </w:tcPr>
          <w:p w14:paraId="51DE8708" w14:textId="77777777" w:rsidR="00095FFA" w:rsidRPr="002551CA" w:rsidRDefault="00095FFA" w:rsidP="00502795">
            <w:pPr>
              <w:bidi w:val="0"/>
              <w:spacing w:line="240" w:lineRule="auto"/>
              <w:ind w:left="360"/>
              <w:jc w:val="center"/>
              <w:rPr>
                <w:rFonts w:ascii="David" w:eastAsia="Times New Roman" w:hAnsi="David" w:cs="David"/>
                <w:color w:val="000000"/>
                <w:sz w:val="24"/>
                <w:szCs w:val="24"/>
                <w:rtl/>
              </w:rPr>
            </w:pPr>
            <w:r>
              <w:rPr>
                <w:rFonts w:ascii="David" w:eastAsia="Times New Roman" w:hAnsi="David" w:cs="David"/>
                <w:color w:val="000000"/>
                <w:sz w:val="24"/>
                <w:szCs w:val="24"/>
              </w:rPr>
              <w:t>26.6%</w:t>
            </w:r>
          </w:p>
        </w:tc>
        <w:tc>
          <w:tcPr>
            <w:tcW w:w="1845" w:type="dxa"/>
            <w:tcBorders>
              <w:bottom w:val="single" w:sz="4" w:space="0" w:color="auto"/>
            </w:tcBorders>
            <w:shd w:val="clear" w:color="auto" w:fill="auto"/>
            <w:vAlign w:val="center"/>
          </w:tcPr>
          <w:p w14:paraId="60EF16B2" w14:textId="77777777" w:rsidR="00095FFA" w:rsidRPr="002551CA" w:rsidRDefault="00095FFA" w:rsidP="00502795">
            <w:pPr>
              <w:bidi w:val="0"/>
              <w:spacing w:line="240" w:lineRule="auto"/>
              <w:ind w:left="360"/>
              <w:jc w:val="center"/>
              <w:rPr>
                <w:rFonts w:ascii="David" w:eastAsia="Times New Roman" w:hAnsi="David" w:cs="David"/>
                <w:color w:val="000000"/>
                <w:sz w:val="24"/>
                <w:szCs w:val="24"/>
                <w:rtl/>
              </w:rPr>
            </w:pPr>
            <w:r>
              <w:rPr>
                <w:rFonts w:ascii="David" w:eastAsia="Times New Roman" w:hAnsi="David" w:cs="David"/>
                <w:color w:val="000000"/>
                <w:sz w:val="24"/>
                <w:szCs w:val="24"/>
              </w:rPr>
              <w:t>27.6%</w:t>
            </w:r>
          </w:p>
        </w:tc>
      </w:tr>
    </w:tbl>
    <w:p w14:paraId="1BFC1F76" w14:textId="49C842A1" w:rsidR="00095FFA" w:rsidRDefault="00095FFA" w:rsidP="00240B10">
      <w:pPr>
        <w:pStyle w:val="3"/>
        <w:numPr>
          <w:ilvl w:val="0"/>
          <w:numId w:val="0"/>
        </w:numPr>
        <w:rPr>
          <w:rtl/>
        </w:rPr>
      </w:pPr>
    </w:p>
    <w:p w14:paraId="22B1039D" w14:textId="7E68F870" w:rsidR="00DB5BCC" w:rsidRDefault="00DB5BCC" w:rsidP="00DB5BCC">
      <w:pPr>
        <w:rPr>
          <w:rtl/>
        </w:rPr>
      </w:pPr>
    </w:p>
    <w:p w14:paraId="1C0FCE3C" w14:textId="77777777" w:rsidR="00DB5BCC" w:rsidRPr="00DB5BCC" w:rsidRDefault="00DB5BCC" w:rsidP="00DB5BCC">
      <w:pPr>
        <w:rPr>
          <w:rtl/>
        </w:rPr>
      </w:pPr>
    </w:p>
    <w:p w14:paraId="67759C99" w14:textId="07DAA2F6" w:rsidR="00433BF0" w:rsidRDefault="00240B10" w:rsidP="00240B10">
      <w:pPr>
        <w:pStyle w:val="3"/>
        <w:numPr>
          <w:ilvl w:val="0"/>
          <w:numId w:val="0"/>
        </w:numPr>
        <w:rPr>
          <w:rtl/>
        </w:rPr>
      </w:pPr>
      <w:bookmarkStart w:id="1031" w:name="_Toc74751074"/>
      <w:r>
        <w:rPr>
          <w:rFonts w:hint="cs"/>
          <w:rtl/>
        </w:rPr>
        <w:lastRenderedPageBreak/>
        <w:t xml:space="preserve">נספח י3: </w:t>
      </w:r>
      <w:r w:rsidR="00433BF0" w:rsidRPr="00240B10">
        <w:rPr>
          <w:rFonts w:hint="cs"/>
          <w:rtl/>
        </w:rPr>
        <w:t>ערכאת התעבורה</w:t>
      </w:r>
      <w:bookmarkEnd w:id="1031"/>
    </w:p>
    <w:p w14:paraId="69AA6260" w14:textId="77777777" w:rsidR="00095FFA" w:rsidRPr="00095FFA" w:rsidRDefault="00095FFA" w:rsidP="00095FFA">
      <w:pPr>
        <w:rPr>
          <w:rtl/>
        </w:rPr>
      </w:pPr>
    </w:p>
    <w:tbl>
      <w:tblPr>
        <w:tblpPr w:rightFromText="85" w:vertAnchor="text" w:tblpX="539" w:tblpY="1"/>
        <w:bidiVisual/>
        <w:tblW w:w="8080" w:type="dxa"/>
        <w:tblLook w:val="04A0" w:firstRow="1" w:lastRow="0" w:firstColumn="1" w:lastColumn="0" w:noHBand="0" w:noVBand="1"/>
      </w:tblPr>
      <w:tblGrid>
        <w:gridCol w:w="3125"/>
        <w:gridCol w:w="2971"/>
        <w:gridCol w:w="1984"/>
      </w:tblGrid>
      <w:tr w:rsidR="00433BF0" w:rsidRPr="002E5EC6" w14:paraId="1AF3A5BA" w14:textId="77777777" w:rsidTr="00502795">
        <w:trPr>
          <w:trHeight w:val="304"/>
        </w:trPr>
        <w:tc>
          <w:tcPr>
            <w:tcW w:w="3125" w:type="dxa"/>
            <w:tcBorders>
              <w:bottom w:val="single" w:sz="4" w:space="0" w:color="auto"/>
            </w:tcBorders>
            <w:shd w:val="clear" w:color="auto" w:fill="auto"/>
            <w:vAlign w:val="center"/>
          </w:tcPr>
          <w:p w14:paraId="7A46E513" w14:textId="77777777" w:rsidR="00433BF0" w:rsidRPr="002E5EC6" w:rsidRDefault="00433BF0" w:rsidP="00502795">
            <w:pPr>
              <w:spacing w:after="0" w:line="240" w:lineRule="auto"/>
              <w:ind w:left="360"/>
              <w:rPr>
                <w:rFonts w:ascii="Arial" w:eastAsia="Times New Roman" w:hAnsi="Arial" w:cs="David"/>
                <w:b/>
                <w:bCs/>
                <w:color w:val="000000"/>
                <w:sz w:val="24"/>
                <w:szCs w:val="24"/>
                <w:rtl/>
              </w:rPr>
            </w:pPr>
            <w:r w:rsidRPr="002E5EC6">
              <w:rPr>
                <w:rFonts w:ascii="Arial" w:eastAsia="Times New Roman" w:hAnsi="Arial" w:cs="David" w:hint="cs"/>
                <w:b/>
                <w:bCs/>
                <w:color w:val="000000"/>
                <w:sz w:val="24"/>
                <w:szCs w:val="24"/>
                <w:rtl/>
              </w:rPr>
              <w:t>סוג הפעילות</w:t>
            </w:r>
          </w:p>
        </w:tc>
        <w:tc>
          <w:tcPr>
            <w:tcW w:w="2971" w:type="dxa"/>
            <w:tcBorders>
              <w:bottom w:val="single" w:sz="4" w:space="0" w:color="auto"/>
            </w:tcBorders>
            <w:shd w:val="clear" w:color="auto" w:fill="auto"/>
            <w:vAlign w:val="center"/>
          </w:tcPr>
          <w:p w14:paraId="0CCF0576" w14:textId="77777777" w:rsidR="00433BF0" w:rsidRPr="002E5EC6" w:rsidRDefault="00433BF0" w:rsidP="00502795">
            <w:pPr>
              <w:bidi w:val="0"/>
              <w:spacing w:after="0" w:line="240" w:lineRule="auto"/>
              <w:ind w:left="360"/>
              <w:jc w:val="center"/>
              <w:rPr>
                <w:rFonts w:ascii="Arial" w:eastAsia="Times New Roman" w:hAnsi="Arial" w:cs="David"/>
                <w:b/>
                <w:bCs/>
                <w:color w:val="000000"/>
                <w:sz w:val="24"/>
                <w:szCs w:val="24"/>
              </w:rPr>
            </w:pPr>
            <w:r w:rsidRPr="002E5EC6">
              <w:rPr>
                <w:rFonts w:ascii="Arial" w:eastAsia="Times New Roman" w:hAnsi="Arial" w:cs="David" w:hint="cs"/>
                <w:b/>
                <w:bCs/>
                <w:color w:val="000000"/>
                <w:sz w:val="24"/>
                <w:szCs w:val="24"/>
                <w:rtl/>
              </w:rPr>
              <w:t>ללא עוז</w:t>
            </w:r>
            <w:r>
              <w:rPr>
                <w:rFonts w:ascii="Arial" w:eastAsia="Times New Roman" w:hAnsi="Arial" w:cs="David" w:hint="cs"/>
                <w:b/>
                <w:bCs/>
                <w:color w:val="000000"/>
                <w:sz w:val="24"/>
                <w:szCs w:val="24"/>
                <w:rtl/>
              </w:rPr>
              <w:t>ר משפטי</w:t>
            </w:r>
          </w:p>
        </w:tc>
        <w:tc>
          <w:tcPr>
            <w:tcW w:w="1984" w:type="dxa"/>
            <w:tcBorders>
              <w:bottom w:val="single" w:sz="4" w:space="0" w:color="auto"/>
            </w:tcBorders>
            <w:shd w:val="clear" w:color="auto" w:fill="auto"/>
            <w:noWrap/>
            <w:vAlign w:val="center"/>
          </w:tcPr>
          <w:p w14:paraId="7D114792" w14:textId="77777777" w:rsidR="00433BF0" w:rsidRPr="002E5EC6" w:rsidRDefault="00433BF0" w:rsidP="00502795">
            <w:pPr>
              <w:bidi w:val="0"/>
              <w:spacing w:after="0" w:line="240" w:lineRule="auto"/>
              <w:ind w:left="360"/>
              <w:jc w:val="center"/>
              <w:rPr>
                <w:rFonts w:ascii="Arial" w:eastAsia="Times New Roman" w:hAnsi="Arial" w:cs="David"/>
                <w:b/>
                <w:bCs/>
                <w:color w:val="000000"/>
                <w:sz w:val="24"/>
                <w:szCs w:val="24"/>
                <w:rtl/>
              </w:rPr>
            </w:pPr>
            <w:r w:rsidRPr="002E5EC6">
              <w:rPr>
                <w:rFonts w:ascii="Arial" w:eastAsia="Times New Roman" w:hAnsi="Arial" w:cs="David" w:hint="cs"/>
                <w:b/>
                <w:bCs/>
                <w:color w:val="000000"/>
                <w:sz w:val="24"/>
                <w:szCs w:val="24"/>
                <w:rtl/>
              </w:rPr>
              <w:t>עם עו</w:t>
            </w:r>
            <w:r>
              <w:rPr>
                <w:rFonts w:ascii="Arial" w:eastAsia="Times New Roman" w:hAnsi="Arial" w:cs="David" w:hint="cs"/>
                <w:b/>
                <w:bCs/>
                <w:color w:val="000000"/>
                <w:sz w:val="24"/>
                <w:szCs w:val="24"/>
                <w:rtl/>
              </w:rPr>
              <w:t>זר משפטי</w:t>
            </w:r>
          </w:p>
        </w:tc>
      </w:tr>
      <w:tr w:rsidR="00433BF0" w:rsidRPr="002E5EC6" w14:paraId="61A7AE36" w14:textId="77777777" w:rsidTr="00502795">
        <w:trPr>
          <w:trHeight w:val="630"/>
        </w:trPr>
        <w:tc>
          <w:tcPr>
            <w:tcW w:w="3125" w:type="dxa"/>
            <w:tcBorders>
              <w:top w:val="single" w:sz="4" w:space="0" w:color="auto"/>
            </w:tcBorders>
            <w:shd w:val="clear" w:color="auto" w:fill="auto"/>
            <w:vAlign w:val="center"/>
            <w:hideMark/>
          </w:tcPr>
          <w:p w14:paraId="10298373" w14:textId="77777777" w:rsidR="00433BF0" w:rsidRPr="00095FFA" w:rsidRDefault="00433BF0" w:rsidP="00A419E3">
            <w:pPr>
              <w:spacing w:after="0" w:line="240" w:lineRule="auto"/>
              <w:ind w:left="34"/>
              <w:rPr>
                <w:rFonts w:ascii="Arial" w:eastAsia="Times New Roman" w:hAnsi="Arial" w:cs="David"/>
                <w:b/>
                <w:bCs/>
                <w:color w:val="000000"/>
                <w:sz w:val="24"/>
                <w:szCs w:val="24"/>
              </w:rPr>
            </w:pPr>
            <w:r w:rsidRPr="00095FFA">
              <w:rPr>
                <w:rFonts w:ascii="Arial" w:eastAsia="Times New Roman" w:hAnsi="Arial" w:cs="David" w:hint="cs"/>
                <w:b/>
                <w:bCs/>
                <w:color w:val="000000"/>
                <w:sz w:val="24"/>
                <w:szCs w:val="24"/>
                <w:rtl/>
              </w:rPr>
              <w:t>אדמיניסטרציה קשורה בתיקים</w:t>
            </w:r>
          </w:p>
        </w:tc>
        <w:tc>
          <w:tcPr>
            <w:tcW w:w="2971" w:type="dxa"/>
            <w:tcBorders>
              <w:top w:val="single" w:sz="4" w:space="0" w:color="auto"/>
            </w:tcBorders>
            <w:shd w:val="clear" w:color="auto" w:fill="auto"/>
            <w:vAlign w:val="center"/>
          </w:tcPr>
          <w:p w14:paraId="23A49311" w14:textId="77777777" w:rsidR="00433BF0" w:rsidRPr="00593D0C" w:rsidRDefault="00433BF0" w:rsidP="00502795">
            <w:pPr>
              <w:bidi w:val="0"/>
              <w:spacing w:after="0" w:line="240" w:lineRule="auto"/>
              <w:ind w:left="360"/>
              <w:jc w:val="center"/>
              <w:rPr>
                <w:rFonts w:ascii="David" w:eastAsia="Times New Roman" w:hAnsi="David" w:cs="David"/>
                <w:color w:val="000000"/>
                <w:sz w:val="24"/>
                <w:szCs w:val="24"/>
              </w:rPr>
            </w:pPr>
            <w:r>
              <w:rPr>
                <w:rFonts w:ascii="David" w:eastAsia="Times New Roman" w:hAnsi="David" w:cs="David"/>
                <w:color w:val="000000"/>
                <w:sz w:val="24"/>
                <w:szCs w:val="24"/>
              </w:rPr>
              <w:t>2</w:t>
            </w:r>
            <w:r w:rsidRPr="00593D0C">
              <w:rPr>
                <w:rFonts w:ascii="David" w:eastAsia="Times New Roman" w:hAnsi="David" w:cs="David"/>
                <w:color w:val="000000"/>
                <w:sz w:val="24"/>
                <w:szCs w:val="24"/>
              </w:rPr>
              <w:t>.</w:t>
            </w:r>
            <w:r>
              <w:rPr>
                <w:rFonts w:ascii="David" w:eastAsia="Times New Roman" w:hAnsi="David" w:cs="David"/>
                <w:color w:val="000000"/>
                <w:sz w:val="24"/>
                <w:szCs w:val="24"/>
              </w:rPr>
              <w:t>7</w:t>
            </w:r>
            <w:r w:rsidRPr="00593D0C">
              <w:rPr>
                <w:rFonts w:ascii="David" w:eastAsia="Times New Roman" w:hAnsi="David" w:cs="David"/>
                <w:color w:val="000000"/>
                <w:sz w:val="24"/>
                <w:szCs w:val="24"/>
              </w:rPr>
              <w:t>%</w:t>
            </w:r>
          </w:p>
        </w:tc>
        <w:tc>
          <w:tcPr>
            <w:tcW w:w="1984" w:type="dxa"/>
            <w:tcBorders>
              <w:top w:val="single" w:sz="4" w:space="0" w:color="auto"/>
            </w:tcBorders>
            <w:shd w:val="clear" w:color="auto" w:fill="auto"/>
            <w:noWrap/>
            <w:vAlign w:val="center"/>
            <w:hideMark/>
          </w:tcPr>
          <w:p w14:paraId="7BAAC72B" w14:textId="77777777" w:rsidR="00433BF0" w:rsidRPr="00593D0C" w:rsidRDefault="00433BF0" w:rsidP="00502795">
            <w:pPr>
              <w:bidi w:val="0"/>
              <w:spacing w:after="0" w:line="240" w:lineRule="auto"/>
              <w:ind w:left="360"/>
              <w:jc w:val="center"/>
              <w:rPr>
                <w:rFonts w:ascii="David" w:eastAsia="Times New Roman" w:hAnsi="David" w:cs="David"/>
                <w:color w:val="000000"/>
                <w:sz w:val="24"/>
                <w:szCs w:val="24"/>
                <w:rtl/>
              </w:rPr>
            </w:pPr>
            <w:r w:rsidRPr="00593D0C">
              <w:rPr>
                <w:rFonts w:ascii="David" w:eastAsia="Times New Roman" w:hAnsi="David" w:cs="David"/>
                <w:color w:val="000000"/>
                <w:sz w:val="24"/>
                <w:szCs w:val="24"/>
              </w:rPr>
              <w:t>4.</w:t>
            </w:r>
            <w:r w:rsidRPr="00593D0C">
              <w:rPr>
                <w:rFonts w:ascii="David" w:eastAsia="Times New Roman" w:hAnsi="David" w:cs="David"/>
                <w:color w:val="000000"/>
                <w:sz w:val="24"/>
                <w:szCs w:val="24"/>
                <w:rtl/>
              </w:rPr>
              <w:t>4</w:t>
            </w:r>
            <w:r w:rsidRPr="00593D0C">
              <w:rPr>
                <w:rFonts w:ascii="David" w:eastAsia="Times New Roman" w:hAnsi="David" w:cs="David"/>
                <w:color w:val="000000"/>
                <w:sz w:val="24"/>
                <w:szCs w:val="24"/>
              </w:rPr>
              <w:t>%</w:t>
            </w:r>
          </w:p>
        </w:tc>
      </w:tr>
      <w:tr w:rsidR="00433BF0" w:rsidRPr="002E5EC6" w14:paraId="16A00EC0" w14:textId="77777777" w:rsidTr="00502795">
        <w:trPr>
          <w:trHeight w:val="394"/>
        </w:trPr>
        <w:tc>
          <w:tcPr>
            <w:tcW w:w="3125" w:type="dxa"/>
            <w:shd w:val="clear" w:color="auto" w:fill="auto"/>
            <w:vAlign w:val="center"/>
            <w:hideMark/>
          </w:tcPr>
          <w:p w14:paraId="78D3358A" w14:textId="77777777" w:rsidR="00433BF0" w:rsidRPr="00095FFA" w:rsidRDefault="00433BF0" w:rsidP="00A419E3">
            <w:pPr>
              <w:spacing w:after="0" w:line="240" w:lineRule="auto"/>
              <w:ind w:left="34"/>
              <w:rPr>
                <w:rFonts w:ascii="Arial" w:eastAsia="Times New Roman" w:hAnsi="Arial" w:cs="David"/>
                <w:b/>
                <w:bCs/>
                <w:color w:val="000000"/>
                <w:sz w:val="24"/>
                <w:szCs w:val="24"/>
              </w:rPr>
            </w:pPr>
            <w:r w:rsidRPr="00095FFA">
              <w:rPr>
                <w:rFonts w:ascii="Arial" w:eastAsia="Times New Roman" w:hAnsi="Arial" w:cs="David" w:hint="cs"/>
                <w:b/>
                <w:bCs/>
                <w:color w:val="000000"/>
                <w:sz w:val="24"/>
                <w:szCs w:val="24"/>
                <w:rtl/>
              </w:rPr>
              <w:t>הכנה לדיונים</w:t>
            </w:r>
          </w:p>
        </w:tc>
        <w:tc>
          <w:tcPr>
            <w:tcW w:w="2971" w:type="dxa"/>
            <w:shd w:val="clear" w:color="auto" w:fill="auto"/>
            <w:vAlign w:val="center"/>
          </w:tcPr>
          <w:p w14:paraId="59B9ECDC" w14:textId="77777777" w:rsidR="00433BF0" w:rsidRPr="00593D0C" w:rsidRDefault="00433BF0" w:rsidP="00502795">
            <w:pPr>
              <w:bidi w:val="0"/>
              <w:spacing w:after="0" w:line="240" w:lineRule="auto"/>
              <w:ind w:left="360"/>
              <w:jc w:val="center"/>
              <w:rPr>
                <w:rFonts w:ascii="David" w:eastAsia="Times New Roman" w:hAnsi="David" w:cs="David"/>
                <w:color w:val="000000"/>
                <w:sz w:val="24"/>
                <w:szCs w:val="24"/>
              </w:rPr>
            </w:pPr>
            <w:r w:rsidRPr="00593D0C">
              <w:rPr>
                <w:rFonts w:ascii="David" w:eastAsia="Times New Roman" w:hAnsi="David" w:cs="David"/>
                <w:color w:val="000000"/>
                <w:sz w:val="24"/>
                <w:szCs w:val="24"/>
              </w:rPr>
              <w:t>5.7%</w:t>
            </w:r>
          </w:p>
        </w:tc>
        <w:tc>
          <w:tcPr>
            <w:tcW w:w="1984" w:type="dxa"/>
            <w:shd w:val="clear" w:color="auto" w:fill="auto"/>
            <w:noWrap/>
            <w:vAlign w:val="center"/>
            <w:hideMark/>
          </w:tcPr>
          <w:p w14:paraId="4CC0AC55" w14:textId="77777777" w:rsidR="00433BF0" w:rsidRPr="00593D0C" w:rsidRDefault="00433BF0" w:rsidP="00502795">
            <w:pPr>
              <w:bidi w:val="0"/>
              <w:spacing w:after="0" w:line="240" w:lineRule="auto"/>
              <w:ind w:left="360"/>
              <w:jc w:val="center"/>
              <w:rPr>
                <w:rFonts w:ascii="David" w:eastAsia="Times New Roman" w:hAnsi="David" w:cs="David"/>
                <w:color w:val="000000"/>
                <w:sz w:val="24"/>
                <w:szCs w:val="24"/>
                <w:rtl/>
              </w:rPr>
            </w:pPr>
            <w:r w:rsidRPr="00593D0C">
              <w:rPr>
                <w:rFonts w:ascii="David" w:eastAsia="Times New Roman" w:hAnsi="David" w:cs="David"/>
                <w:color w:val="000000"/>
                <w:sz w:val="24"/>
                <w:szCs w:val="24"/>
              </w:rPr>
              <w:t>2.</w:t>
            </w:r>
            <w:r>
              <w:rPr>
                <w:rFonts w:ascii="David" w:eastAsia="Times New Roman" w:hAnsi="David" w:cs="David"/>
                <w:color w:val="000000"/>
                <w:sz w:val="24"/>
                <w:szCs w:val="24"/>
              </w:rPr>
              <w:t>6</w:t>
            </w:r>
            <w:r w:rsidRPr="00593D0C">
              <w:rPr>
                <w:rFonts w:ascii="David" w:eastAsia="Times New Roman" w:hAnsi="David" w:cs="David"/>
                <w:color w:val="000000"/>
                <w:sz w:val="24"/>
                <w:szCs w:val="24"/>
              </w:rPr>
              <w:t>%</w:t>
            </w:r>
          </w:p>
        </w:tc>
      </w:tr>
      <w:tr w:rsidR="00433BF0" w:rsidRPr="002E5EC6" w14:paraId="143F085D" w14:textId="77777777" w:rsidTr="00502795">
        <w:trPr>
          <w:trHeight w:val="455"/>
        </w:trPr>
        <w:tc>
          <w:tcPr>
            <w:tcW w:w="3125" w:type="dxa"/>
            <w:shd w:val="clear" w:color="auto" w:fill="auto"/>
            <w:vAlign w:val="center"/>
            <w:hideMark/>
          </w:tcPr>
          <w:p w14:paraId="1562955F" w14:textId="77777777" w:rsidR="00433BF0" w:rsidRPr="001F1F34" w:rsidRDefault="00433BF0" w:rsidP="00A419E3">
            <w:pPr>
              <w:spacing w:after="0" w:line="240" w:lineRule="auto"/>
              <w:ind w:left="34"/>
              <w:rPr>
                <w:rFonts w:ascii="Arial" w:eastAsia="Times New Roman" w:hAnsi="Arial" w:cs="David"/>
                <w:b/>
                <w:bCs/>
                <w:color w:val="000000"/>
                <w:sz w:val="24"/>
                <w:szCs w:val="24"/>
              </w:rPr>
            </w:pPr>
            <w:r w:rsidRPr="001F1F34">
              <w:rPr>
                <w:rFonts w:ascii="Arial" w:eastAsia="Times New Roman" w:hAnsi="Arial" w:cs="David" w:hint="cs"/>
                <w:b/>
                <w:bCs/>
                <w:color w:val="000000"/>
                <w:sz w:val="24"/>
                <w:szCs w:val="24"/>
                <w:rtl/>
              </w:rPr>
              <w:t>כתיבה</w:t>
            </w:r>
          </w:p>
        </w:tc>
        <w:tc>
          <w:tcPr>
            <w:tcW w:w="2971" w:type="dxa"/>
            <w:shd w:val="clear" w:color="auto" w:fill="auto"/>
            <w:vAlign w:val="center"/>
          </w:tcPr>
          <w:p w14:paraId="02092B24" w14:textId="77777777" w:rsidR="00433BF0" w:rsidRPr="00593D0C" w:rsidRDefault="00433BF0" w:rsidP="00502795">
            <w:pPr>
              <w:bidi w:val="0"/>
              <w:spacing w:after="0" w:line="240" w:lineRule="auto"/>
              <w:ind w:left="360"/>
              <w:jc w:val="center"/>
              <w:rPr>
                <w:rFonts w:ascii="David" w:eastAsia="Times New Roman" w:hAnsi="David" w:cs="David"/>
                <w:color w:val="000000"/>
                <w:sz w:val="24"/>
                <w:szCs w:val="24"/>
              </w:rPr>
            </w:pPr>
            <w:r>
              <w:rPr>
                <w:rFonts w:ascii="David" w:eastAsia="Times New Roman" w:hAnsi="David" w:cs="David"/>
                <w:color w:val="000000"/>
                <w:sz w:val="24"/>
                <w:szCs w:val="24"/>
              </w:rPr>
              <w:t>2</w:t>
            </w:r>
            <w:r w:rsidRPr="00593D0C">
              <w:rPr>
                <w:rFonts w:ascii="David" w:eastAsia="Times New Roman" w:hAnsi="David" w:cs="David"/>
                <w:color w:val="000000"/>
                <w:sz w:val="24"/>
                <w:szCs w:val="24"/>
              </w:rPr>
              <w:t>4%</w:t>
            </w:r>
          </w:p>
        </w:tc>
        <w:tc>
          <w:tcPr>
            <w:tcW w:w="1984" w:type="dxa"/>
            <w:shd w:val="clear" w:color="auto" w:fill="auto"/>
            <w:noWrap/>
            <w:vAlign w:val="center"/>
          </w:tcPr>
          <w:p w14:paraId="34C8BE73" w14:textId="77777777" w:rsidR="00433BF0" w:rsidRPr="00593D0C" w:rsidRDefault="00433BF0" w:rsidP="00502795">
            <w:pPr>
              <w:bidi w:val="0"/>
              <w:spacing w:after="0" w:line="240" w:lineRule="auto"/>
              <w:ind w:left="360"/>
              <w:jc w:val="center"/>
              <w:rPr>
                <w:rFonts w:ascii="David" w:eastAsia="Times New Roman" w:hAnsi="David" w:cs="David"/>
                <w:color w:val="000000"/>
                <w:sz w:val="24"/>
                <w:szCs w:val="24"/>
                <w:rtl/>
              </w:rPr>
            </w:pPr>
            <w:r>
              <w:rPr>
                <w:rFonts w:ascii="David" w:eastAsia="Times New Roman" w:hAnsi="David" w:cs="David"/>
                <w:color w:val="000000"/>
                <w:sz w:val="24"/>
                <w:szCs w:val="24"/>
              </w:rPr>
              <w:t>23.9</w:t>
            </w:r>
            <w:r w:rsidRPr="00593D0C">
              <w:rPr>
                <w:rFonts w:ascii="David" w:eastAsia="Times New Roman" w:hAnsi="David" w:cs="David"/>
                <w:color w:val="000000"/>
                <w:sz w:val="24"/>
                <w:szCs w:val="24"/>
              </w:rPr>
              <w:t>%</w:t>
            </w:r>
          </w:p>
        </w:tc>
      </w:tr>
      <w:tr w:rsidR="00433BF0" w:rsidRPr="002E5EC6" w14:paraId="3380204B" w14:textId="77777777" w:rsidTr="00502795">
        <w:trPr>
          <w:trHeight w:val="456"/>
        </w:trPr>
        <w:tc>
          <w:tcPr>
            <w:tcW w:w="3125" w:type="dxa"/>
            <w:shd w:val="clear" w:color="auto" w:fill="auto"/>
            <w:vAlign w:val="center"/>
          </w:tcPr>
          <w:p w14:paraId="1BADA99B" w14:textId="5B749768" w:rsidR="00433BF0" w:rsidRPr="002E5EC6" w:rsidRDefault="00095FFA" w:rsidP="00A419E3">
            <w:pPr>
              <w:spacing w:after="0" w:line="240" w:lineRule="auto"/>
              <w:ind w:left="317"/>
              <w:rPr>
                <w:rFonts w:ascii="Arial" w:eastAsia="Times New Roman" w:hAnsi="Arial" w:cs="David"/>
                <w:color w:val="000000"/>
                <w:sz w:val="24"/>
                <w:szCs w:val="24"/>
                <w:rtl/>
              </w:rPr>
            </w:pPr>
            <w:r>
              <w:rPr>
                <w:rFonts w:ascii="Arial" w:eastAsia="Times New Roman" w:hAnsi="Arial" w:cs="David" w:hint="cs"/>
                <w:color w:val="000000"/>
                <w:sz w:val="24"/>
                <w:szCs w:val="24"/>
                <w:rtl/>
              </w:rPr>
              <w:t>כתיבת החלטות ביניים במסמך עצמאי</w:t>
            </w:r>
          </w:p>
        </w:tc>
        <w:tc>
          <w:tcPr>
            <w:tcW w:w="2971" w:type="dxa"/>
            <w:shd w:val="clear" w:color="auto" w:fill="auto"/>
            <w:vAlign w:val="center"/>
          </w:tcPr>
          <w:p w14:paraId="70506F41" w14:textId="77777777" w:rsidR="00433BF0" w:rsidRPr="00593D0C" w:rsidRDefault="00433BF0" w:rsidP="00502795">
            <w:pPr>
              <w:bidi w:val="0"/>
              <w:spacing w:after="0" w:line="240" w:lineRule="auto"/>
              <w:ind w:left="360"/>
              <w:jc w:val="center"/>
              <w:rPr>
                <w:rFonts w:ascii="David" w:eastAsia="Times New Roman" w:hAnsi="David" w:cs="David"/>
                <w:color w:val="000000"/>
                <w:sz w:val="24"/>
                <w:szCs w:val="24"/>
              </w:rPr>
            </w:pPr>
            <w:r w:rsidRPr="00593D0C">
              <w:rPr>
                <w:rFonts w:ascii="David" w:eastAsia="Times New Roman" w:hAnsi="David" w:cs="David"/>
                <w:color w:val="000000"/>
                <w:sz w:val="24"/>
                <w:szCs w:val="24"/>
              </w:rPr>
              <w:t>1.</w:t>
            </w:r>
            <w:r>
              <w:rPr>
                <w:rFonts w:ascii="David" w:eastAsia="Times New Roman" w:hAnsi="David" w:cs="David" w:hint="cs"/>
                <w:color w:val="000000"/>
                <w:sz w:val="24"/>
                <w:szCs w:val="24"/>
                <w:rtl/>
              </w:rPr>
              <w:t>8</w:t>
            </w:r>
            <w:r w:rsidRPr="00593D0C">
              <w:rPr>
                <w:rFonts w:ascii="David" w:eastAsia="Times New Roman" w:hAnsi="David" w:cs="David"/>
                <w:color w:val="000000"/>
                <w:sz w:val="24"/>
                <w:szCs w:val="24"/>
              </w:rPr>
              <w:t>%</w:t>
            </w:r>
          </w:p>
        </w:tc>
        <w:tc>
          <w:tcPr>
            <w:tcW w:w="1984" w:type="dxa"/>
            <w:shd w:val="clear" w:color="auto" w:fill="auto"/>
            <w:noWrap/>
            <w:vAlign w:val="center"/>
          </w:tcPr>
          <w:p w14:paraId="58C9098C" w14:textId="77777777" w:rsidR="00433BF0" w:rsidRPr="00593D0C" w:rsidRDefault="00433BF0" w:rsidP="00502795">
            <w:pPr>
              <w:bidi w:val="0"/>
              <w:spacing w:after="0" w:line="240" w:lineRule="auto"/>
              <w:ind w:left="360"/>
              <w:jc w:val="center"/>
              <w:rPr>
                <w:rFonts w:ascii="David" w:eastAsia="Times New Roman" w:hAnsi="David" w:cs="David"/>
                <w:color w:val="000000"/>
                <w:sz w:val="24"/>
                <w:szCs w:val="24"/>
              </w:rPr>
            </w:pPr>
            <w:r w:rsidRPr="00593D0C">
              <w:rPr>
                <w:rFonts w:ascii="David" w:eastAsia="Times New Roman" w:hAnsi="David" w:cs="David"/>
                <w:color w:val="000000"/>
                <w:sz w:val="24"/>
                <w:szCs w:val="24"/>
              </w:rPr>
              <w:t>2.0%</w:t>
            </w:r>
          </w:p>
        </w:tc>
      </w:tr>
      <w:tr w:rsidR="00433BF0" w:rsidRPr="002E5EC6" w14:paraId="556A574E" w14:textId="77777777" w:rsidTr="00502795">
        <w:trPr>
          <w:trHeight w:val="456"/>
        </w:trPr>
        <w:tc>
          <w:tcPr>
            <w:tcW w:w="3125" w:type="dxa"/>
            <w:shd w:val="clear" w:color="auto" w:fill="auto"/>
            <w:vAlign w:val="center"/>
          </w:tcPr>
          <w:p w14:paraId="5563AE51" w14:textId="77777777" w:rsidR="00433BF0" w:rsidRPr="002E5EC6" w:rsidRDefault="00433BF0" w:rsidP="00A419E3">
            <w:pPr>
              <w:spacing w:after="0" w:line="240" w:lineRule="auto"/>
              <w:ind w:left="317"/>
              <w:rPr>
                <w:rFonts w:ascii="Arial" w:eastAsia="Times New Roman" w:hAnsi="Arial" w:cs="David"/>
                <w:color w:val="000000"/>
                <w:sz w:val="24"/>
                <w:szCs w:val="24"/>
                <w:rtl/>
              </w:rPr>
            </w:pPr>
            <w:r>
              <w:rPr>
                <w:rFonts w:ascii="Arial" w:eastAsia="Times New Roman" w:hAnsi="Arial" w:cs="David" w:hint="cs"/>
                <w:color w:val="000000"/>
                <w:sz w:val="24"/>
                <w:szCs w:val="24"/>
                <w:rtl/>
              </w:rPr>
              <w:t>כתיבת פסקי דין</w:t>
            </w:r>
          </w:p>
        </w:tc>
        <w:tc>
          <w:tcPr>
            <w:tcW w:w="2971" w:type="dxa"/>
            <w:shd w:val="clear" w:color="auto" w:fill="auto"/>
            <w:vAlign w:val="center"/>
          </w:tcPr>
          <w:p w14:paraId="6C2347CB" w14:textId="77777777" w:rsidR="00433BF0" w:rsidRPr="00593D0C" w:rsidRDefault="00433BF0" w:rsidP="00502795">
            <w:pPr>
              <w:bidi w:val="0"/>
              <w:spacing w:after="0" w:line="240" w:lineRule="auto"/>
              <w:ind w:left="360"/>
              <w:jc w:val="center"/>
              <w:rPr>
                <w:rFonts w:ascii="David" w:eastAsia="Times New Roman" w:hAnsi="David" w:cs="David"/>
                <w:color w:val="000000"/>
                <w:sz w:val="24"/>
                <w:szCs w:val="24"/>
              </w:rPr>
            </w:pPr>
            <w:r w:rsidRPr="00593D0C">
              <w:rPr>
                <w:rFonts w:ascii="David" w:eastAsia="Times New Roman" w:hAnsi="David" w:cs="David"/>
                <w:color w:val="000000"/>
                <w:sz w:val="24"/>
                <w:szCs w:val="24"/>
              </w:rPr>
              <w:t>8.</w:t>
            </w:r>
            <w:r>
              <w:rPr>
                <w:rFonts w:ascii="David" w:eastAsia="Times New Roman" w:hAnsi="David" w:cs="David" w:hint="cs"/>
                <w:color w:val="000000"/>
                <w:sz w:val="24"/>
                <w:szCs w:val="24"/>
                <w:rtl/>
              </w:rPr>
              <w:t>1</w:t>
            </w:r>
            <w:r w:rsidRPr="00593D0C">
              <w:rPr>
                <w:rFonts w:ascii="David" w:eastAsia="Times New Roman" w:hAnsi="David" w:cs="David"/>
                <w:color w:val="000000"/>
                <w:sz w:val="24"/>
                <w:szCs w:val="24"/>
              </w:rPr>
              <w:t>%</w:t>
            </w:r>
          </w:p>
        </w:tc>
        <w:tc>
          <w:tcPr>
            <w:tcW w:w="1984" w:type="dxa"/>
            <w:shd w:val="clear" w:color="auto" w:fill="auto"/>
            <w:noWrap/>
            <w:vAlign w:val="center"/>
          </w:tcPr>
          <w:p w14:paraId="208625F1" w14:textId="77777777" w:rsidR="00433BF0" w:rsidRPr="00593D0C" w:rsidRDefault="00433BF0" w:rsidP="00502795">
            <w:pPr>
              <w:bidi w:val="0"/>
              <w:spacing w:after="0" w:line="240" w:lineRule="auto"/>
              <w:ind w:left="360"/>
              <w:jc w:val="center"/>
              <w:rPr>
                <w:rFonts w:ascii="David" w:eastAsia="Times New Roman" w:hAnsi="David" w:cs="David"/>
                <w:color w:val="000000"/>
                <w:sz w:val="24"/>
                <w:szCs w:val="24"/>
              </w:rPr>
            </w:pPr>
            <w:r w:rsidRPr="00593D0C">
              <w:rPr>
                <w:rFonts w:ascii="David" w:eastAsia="Times New Roman" w:hAnsi="David" w:cs="David"/>
                <w:color w:val="000000"/>
                <w:sz w:val="24"/>
                <w:szCs w:val="24"/>
              </w:rPr>
              <w:t>5.</w:t>
            </w:r>
            <w:r>
              <w:rPr>
                <w:rFonts w:ascii="David" w:eastAsia="Times New Roman" w:hAnsi="David" w:cs="David" w:hint="cs"/>
                <w:color w:val="000000"/>
                <w:sz w:val="24"/>
                <w:szCs w:val="24"/>
                <w:rtl/>
              </w:rPr>
              <w:t>3</w:t>
            </w:r>
            <w:r w:rsidRPr="00593D0C">
              <w:rPr>
                <w:rFonts w:ascii="David" w:eastAsia="Times New Roman" w:hAnsi="David" w:cs="David"/>
                <w:color w:val="000000"/>
                <w:sz w:val="24"/>
                <w:szCs w:val="24"/>
              </w:rPr>
              <w:t>%</w:t>
            </w:r>
          </w:p>
        </w:tc>
      </w:tr>
      <w:tr w:rsidR="00095FFA" w:rsidRPr="002E5EC6" w14:paraId="6B021B2F" w14:textId="77777777" w:rsidTr="00502795">
        <w:trPr>
          <w:trHeight w:val="456"/>
        </w:trPr>
        <w:tc>
          <w:tcPr>
            <w:tcW w:w="3125" w:type="dxa"/>
            <w:shd w:val="clear" w:color="auto" w:fill="auto"/>
            <w:vAlign w:val="center"/>
          </w:tcPr>
          <w:p w14:paraId="2ABB621C" w14:textId="1DB190C8" w:rsidR="00095FFA" w:rsidRDefault="00095FFA" w:rsidP="00A419E3">
            <w:pPr>
              <w:spacing w:after="0" w:line="240" w:lineRule="auto"/>
              <w:ind w:left="317"/>
              <w:rPr>
                <w:rFonts w:ascii="Arial" w:eastAsia="Times New Roman" w:hAnsi="Arial" w:cs="David"/>
                <w:color w:val="000000"/>
                <w:sz w:val="24"/>
                <w:szCs w:val="24"/>
                <w:rtl/>
              </w:rPr>
            </w:pPr>
            <w:r w:rsidRPr="002E5EC6">
              <w:rPr>
                <w:rFonts w:ascii="Arial" w:eastAsia="Times New Roman" w:hAnsi="Arial" w:cs="David" w:hint="cs"/>
                <w:color w:val="000000"/>
                <w:sz w:val="24"/>
                <w:szCs w:val="24"/>
                <w:rtl/>
              </w:rPr>
              <w:t>טיפול במשימות בסל העבודה</w:t>
            </w:r>
          </w:p>
        </w:tc>
        <w:tc>
          <w:tcPr>
            <w:tcW w:w="2971" w:type="dxa"/>
            <w:shd w:val="clear" w:color="auto" w:fill="auto"/>
            <w:vAlign w:val="center"/>
          </w:tcPr>
          <w:p w14:paraId="71AF97B2" w14:textId="400C1888" w:rsidR="00095FFA" w:rsidRPr="00593D0C" w:rsidRDefault="00095FFA" w:rsidP="00502795">
            <w:pPr>
              <w:bidi w:val="0"/>
              <w:spacing w:after="0" w:line="240" w:lineRule="auto"/>
              <w:ind w:left="360"/>
              <w:jc w:val="center"/>
              <w:rPr>
                <w:rFonts w:ascii="David" w:eastAsia="Times New Roman" w:hAnsi="David" w:cs="David"/>
                <w:color w:val="000000"/>
                <w:sz w:val="24"/>
                <w:szCs w:val="24"/>
              </w:rPr>
            </w:pPr>
            <w:r>
              <w:rPr>
                <w:rFonts w:ascii="David" w:eastAsia="Times New Roman" w:hAnsi="David" w:cs="David" w:hint="cs"/>
                <w:color w:val="000000"/>
                <w:sz w:val="24"/>
                <w:szCs w:val="24"/>
                <w:rtl/>
              </w:rPr>
              <w:t>14.1</w:t>
            </w:r>
            <w:r>
              <w:rPr>
                <w:rFonts w:ascii="David" w:eastAsia="Times New Roman" w:hAnsi="David" w:cs="David"/>
                <w:color w:val="000000"/>
                <w:sz w:val="24"/>
                <w:szCs w:val="24"/>
              </w:rPr>
              <w:t>%</w:t>
            </w:r>
          </w:p>
        </w:tc>
        <w:tc>
          <w:tcPr>
            <w:tcW w:w="1984" w:type="dxa"/>
            <w:shd w:val="clear" w:color="auto" w:fill="auto"/>
            <w:noWrap/>
            <w:vAlign w:val="center"/>
          </w:tcPr>
          <w:p w14:paraId="785B8B76" w14:textId="2B15E503" w:rsidR="00095FFA" w:rsidRPr="00593D0C" w:rsidRDefault="00095FFA" w:rsidP="00502795">
            <w:pPr>
              <w:bidi w:val="0"/>
              <w:spacing w:after="0" w:line="240" w:lineRule="auto"/>
              <w:ind w:left="360"/>
              <w:jc w:val="center"/>
              <w:rPr>
                <w:rFonts w:ascii="David" w:eastAsia="Times New Roman" w:hAnsi="David" w:cs="David"/>
                <w:color w:val="000000"/>
                <w:sz w:val="24"/>
                <w:szCs w:val="24"/>
              </w:rPr>
            </w:pPr>
            <w:r>
              <w:rPr>
                <w:rFonts w:ascii="David" w:eastAsia="Times New Roman" w:hAnsi="David" w:cs="David" w:hint="cs"/>
                <w:color w:val="000000"/>
                <w:sz w:val="24"/>
                <w:szCs w:val="24"/>
                <w:rtl/>
              </w:rPr>
              <w:t>16.7</w:t>
            </w:r>
            <w:r>
              <w:rPr>
                <w:rFonts w:ascii="David" w:eastAsia="Times New Roman" w:hAnsi="David" w:cs="David"/>
                <w:color w:val="000000"/>
                <w:sz w:val="24"/>
                <w:szCs w:val="24"/>
              </w:rPr>
              <w:t>%</w:t>
            </w:r>
          </w:p>
        </w:tc>
      </w:tr>
      <w:tr w:rsidR="00095FFA" w:rsidRPr="002E5EC6" w14:paraId="6376D414" w14:textId="77777777" w:rsidTr="00502795">
        <w:trPr>
          <w:trHeight w:val="397"/>
        </w:trPr>
        <w:tc>
          <w:tcPr>
            <w:tcW w:w="3125" w:type="dxa"/>
            <w:shd w:val="clear" w:color="auto" w:fill="auto"/>
            <w:vAlign w:val="center"/>
            <w:hideMark/>
          </w:tcPr>
          <w:p w14:paraId="6BA4337C" w14:textId="77777777" w:rsidR="00095FFA" w:rsidRPr="00095FFA" w:rsidRDefault="00095FFA" w:rsidP="00A419E3">
            <w:pPr>
              <w:spacing w:after="0" w:line="240" w:lineRule="auto"/>
              <w:ind w:left="34"/>
              <w:rPr>
                <w:rFonts w:ascii="Arial" w:eastAsia="Times New Roman" w:hAnsi="Arial" w:cs="David"/>
                <w:b/>
                <w:bCs/>
                <w:color w:val="000000"/>
                <w:sz w:val="24"/>
                <w:szCs w:val="24"/>
              </w:rPr>
            </w:pPr>
            <w:r w:rsidRPr="00095FFA">
              <w:rPr>
                <w:rFonts w:ascii="Arial" w:eastAsia="Times New Roman" w:hAnsi="Arial" w:cs="David" w:hint="cs"/>
                <w:b/>
                <w:bCs/>
                <w:color w:val="000000"/>
                <w:sz w:val="24"/>
                <w:szCs w:val="24"/>
                <w:rtl/>
              </w:rPr>
              <w:t>עבודה שיפוטית שאינה קשורה בתיקים</w:t>
            </w:r>
          </w:p>
        </w:tc>
        <w:tc>
          <w:tcPr>
            <w:tcW w:w="2971" w:type="dxa"/>
            <w:shd w:val="clear" w:color="auto" w:fill="auto"/>
            <w:vAlign w:val="center"/>
          </w:tcPr>
          <w:p w14:paraId="15580852" w14:textId="77777777" w:rsidR="00095FFA" w:rsidRPr="00593D0C" w:rsidRDefault="00095FFA" w:rsidP="00502795">
            <w:pPr>
              <w:bidi w:val="0"/>
              <w:spacing w:after="0" w:line="240" w:lineRule="auto"/>
              <w:ind w:left="360"/>
              <w:jc w:val="center"/>
              <w:rPr>
                <w:rFonts w:ascii="David" w:eastAsia="Times New Roman" w:hAnsi="David" w:cs="David"/>
                <w:color w:val="000000"/>
                <w:sz w:val="24"/>
                <w:szCs w:val="24"/>
              </w:rPr>
            </w:pPr>
            <w:r>
              <w:rPr>
                <w:rFonts w:ascii="David" w:eastAsia="Times New Roman" w:hAnsi="David" w:cs="David"/>
                <w:color w:val="000000"/>
                <w:sz w:val="24"/>
                <w:szCs w:val="24"/>
              </w:rPr>
              <w:t>13</w:t>
            </w:r>
            <w:r w:rsidRPr="00593D0C">
              <w:rPr>
                <w:rFonts w:ascii="David" w:eastAsia="Times New Roman" w:hAnsi="David" w:cs="David"/>
                <w:color w:val="000000"/>
                <w:sz w:val="24"/>
                <w:szCs w:val="24"/>
              </w:rPr>
              <w:t>.</w:t>
            </w:r>
            <w:r>
              <w:rPr>
                <w:rFonts w:ascii="David" w:eastAsia="Times New Roman" w:hAnsi="David" w:cs="David"/>
                <w:color w:val="000000"/>
                <w:sz w:val="24"/>
                <w:szCs w:val="24"/>
              </w:rPr>
              <w:t>1</w:t>
            </w:r>
            <w:r w:rsidRPr="00593D0C">
              <w:rPr>
                <w:rFonts w:ascii="David" w:eastAsia="Times New Roman" w:hAnsi="David" w:cs="David"/>
                <w:color w:val="000000"/>
                <w:sz w:val="24"/>
                <w:szCs w:val="24"/>
              </w:rPr>
              <w:t>%</w:t>
            </w:r>
          </w:p>
        </w:tc>
        <w:tc>
          <w:tcPr>
            <w:tcW w:w="1984" w:type="dxa"/>
            <w:shd w:val="clear" w:color="auto" w:fill="auto"/>
            <w:noWrap/>
            <w:vAlign w:val="center"/>
            <w:hideMark/>
          </w:tcPr>
          <w:p w14:paraId="6D43F765" w14:textId="77777777" w:rsidR="00095FFA" w:rsidRPr="00593D0C" w:rsidRDefault="00095FFA" w:rsidP="00502795">
            <w:pPr>
              <w:bidi w:val="0"/>
              <w:spacing w:after="0" w:line="240" w:lineRule="auto"/>
              <w:ind w:left="360"/>
              <w:jc w:val="center"/>
              <w:rPr>
                <w:rFonts w:ascii="David" w:eastAsia="Times New Roman" w:hAnsi="David" w:cs="David"/>
                <w:color w:val="000000"/>
                <w:sz w:val="24"/>
                <w:szCs w:val="24"/>
                <w:rtl/>
              </w:rPr>
            </w:pPr>
            <w:r w:rsidRPr="00593D0C">
              <w:rPr>
                <w:rFonts w:ascii="David" w:eastAsia="Times New Roman" w:hAnsi="David" w:cs="David"/>
                <w:color w:val="000000"/>
                <w:sz w:val="24"/>
                <w:szCs w:val="24"/>
              </w:rPr>
              <w:t>12.</w:t>
            </w:r>
            <w:r>
              <w:rPr>
                <w:rFonts w:ascii="David" w:eastAsia="Times New Roman" w:hAnsi="David" w:cs="David"/>
                <w:color w:val="000000"/>
                <w:sz w:val="24"/>
                <w:szCs w:val="24"/>
              </w:rPr>
              <w:t>7</w:t>
            </w:r>
            <w:r w:rsidRPr="00593D0C">
              <w:rPr>
                <w:rFonts w:ascii="David" w:eastAsia="Times New Roman" w:hAnsi="David" w:cs="David"/>
                <w:color w:val="000000"/>
                <w:sz w:val="24"/>
                <w:szCs w:val="24"/>
              </w:rPr>
              <w:t>%</w:t>
            </w:r>
          </w:p>
        </w:tc>
      </w:tr>
      <w:tr w:rsidR="00095FFA" w:rsidRPr="002E5EC6" w14:paraId="6A786450" w14:textId="77777777" w:rsidTr="00502795">
        <w:trPr>
          <w:trHeight w:val="426"/>
        </w:trPr>
        <w:tc>
          <w:tcPr>
            <w:tcW w:w="3125" w:type="dxa"/>
            <w:tcBorders>
              <w:bottom w:val="single" w:sz="4" w:space="0" w:color="auto"/>
            </w:tcBorders>
            <w:shd w:val="clear" w:color="auto" w:fill="auto"/>
            <w:vAlign w:val="center"/>
            <w:hideMark/>
          </w:tcPr>
          <w:p w14:paraId="60B2DCCE" w14:textId="77777777" w:rsidR="00095FFA" w:rsidRPr="00095FFA" w:rsidRDefault="00095FFA" w:rsidP="00A419E3">
            <w:pPr>
              <w:spacing w:after="0" w:line="240" w:lineRule="auto"/>
              <w:ind w:left="34"/>
              <w:rPr>
                <w:rFonts w:ascii="Arial" w:eastAsia="Times New Roman" w:hAnsi="Arial" w:cs="David"/>
                <w:b/>
                <w:bCs/>
                <w:color w:val="000000"/>
                <w:sz w:val="24"/>
                <w:szCs w:val="24"/>
              </w:rPr>
            </w:pPr>
            <w:r w:rsidRPr="00095FFA">
              <w:rPr>
                <w:rFonts w:ascii="Arial" w:eastAsia="Times New Roman" w:hAnsi="Arial" w:cs="David" w:hint="cs"/>
                <w:b/>
                <w:bCs/>
                <w:color w:val="000000"/>
                <w:sz w:val="24"/>
                <w:szCs w:val="24"/>
                <w:rtl/>
              </w:rPr>
              <w:t>שמיעת דיונים</w:t>
            </w:r>
          </w:p>
        </w:tc>
        <w:tc>
          <w:tcPr>
            <w:tcW w:w="2971" w:type="dxa"/>
            <w:tcBorders>
              <w:bottom w:val="single" w:sz="4" w:space="0" w:color="auto"/>
            </w:tcBorders>
            <w:shd w:val="clear" w:color="auto" w:fill="auto"/>
            <w:vAlign w:val="center"/>
          </w:tcPr>
          <w:p w14:paraId="48CDA6FF" w14:textId="77777777" w:rsidR="00095FFA" w:rsidRPr="00593D0C" w:rsidRDefault="00095FFA" w:rsidP="00502795">
            <w:pPr>
              <w:bidi w:val="0"/>
              <w:spacing w:after="0" w:line="240" w:lineRule="auto"/>
              <w:ind w:left="360"/>
              <w:jc w:val="center"/>
              <w:rPr>
                <w:rFonts w:ascii="David" w:eastAsia="Times New Roman" w:hAnsi="David" w:cs="David"/>
                <w:color w:val="000000"/>
                <w:sz w:val="24"/>
                <w:szCs w:val="24"/>
              </w:rPr>
            </w:pPr>
            <w:r w:rsidRPr="00593D0C">
              <w:rPr>
                <w:rFonts w:ascii="David" w:eastAsia="Times New Roman" w:hAnsi="David" w:cs="David"/>
                <w:color w:val="000000"/>
                <w:sz w:val="24"/>
                <w:szCs w:val="24"/>
              </w:rPr>
              <w:t>54.</w:t>
            </w:r>
            <w:r>
              <w:rPr>
                <w:rFonts w:ascii="David" w:eastAsia="Times New Roman" w:hAnsi="David" w:cs="David"/>
                <w:color w:val="000000"/>
                <w:sz w:val="24"/>
                <w:szCs w:val="24"/>
              </w:rPr>
              <w:t>5</w:t>
            </w:r>
            <w:r w:rsidRPr="00593D0C">
              <w:rPr>
                <w:rFonts w:ascii="David" w:eastAsia="Times New Roman" w:hAnsi="David" w:cs="David"/>
                <w:color w:val="000000"/>
                <w:sz w:val="24"/>
                <w:szCs w:val="24"/>
              </w:rPr>
              <w:t>%</w:t>
            </w:r>
          </w:p>
        </w:tc>
        <w:tc>
          <w:tcPr>
            <w:tcW w:w="1984" w:type="dxa"/>
            <w:tcBorders>
              <w:bottom w:val="single" w:sz="4" w:space="0" w:color="auto"/>
            </w:tcBorders>
            <w:shd w:val="clear" w:color="auto" w:fill="auto"/>
            <w:noWrap/>
            <w:vAlign w:val="center"/>
            <w:hideMark/>
          </w:tcPr>
          <w:p w14:paraId="148C6E83" w14:textId="77777777" w:rsidR="00095FFA" w:rsidRPr="00593D0C" w:rsidRDefault="00095FFA" w:rsidP="00502795">
            <w:pPr>
              <w:bidi w:val="0"/>
              <w:spacing w:after="0" w:line="240" w:lineRule="auto"/>
              <w:ind w:left="360"/>
              <w:jc w:val="center"/>
              <w:rPr>
                <w:rFonts w:ascii="David" w:eastAsia="Times New Roman" w:hAnsi="David" w:cs="David"/>
                <w:color w:val="000000"/>
                <w:sz w:val="24"/>
                <w:szCs w:val="24"/>
                <w:rtl/>
              </w:rPr>
            </w:pPr>
            <w:r w:rsidRPr="00593D0C">
              <w:rPr>
                <w:rFonts w:ascii="David" w:eastAsia="Times New Roman" w:hAnsi="David" w:cs="David"/>
                <w:color w:val="000000"/>
                <w:sz w:val="24"/>
                <w:szCs w:val="24"/>
              </w:rPr>
              <w:t>56.</w:t>
            </w:r>
            <w:r>
              <w:rPr>
                <w:rFonts w:ascii="David" w:eastAsia="Times New Roman" w:hAnsi="David" w:cs="David"/>
                <w:color w:val="000000"/>
                <w:sz w:val="24"/>
                <w:szCs w:val="24"/>
              </w:rPr>
              <w:t>3</w:t>
            </w:r>
            <w:r w:rsidRPr="00593D0C">
              <w:rPr>
                <w:rFonts w:ascii="David" w:eastAsia="Times New Roman" w:hAnsi="David" w:cs="David"/>
                <w:color w:val="000000"/>
                <w:sz w:val="24"/>
                <w:szCs w:val="24"/>
              </w:rPr>
              <w:t>%</w:t>
            </w:r>
          </w:p>
        </w:tc>
      </w:tr>
    </w:tbl>
    <w:p w14:paraId="64857DFA" w14:textId="288275BF" w:rsidR="00433BF0" w:rsidRDefault="00433BF0" w:rsidP="003121C1">
      <w:pPr>
        <w:spacing w:line="360" w:lineRule="auto"/>
        <w:rPr>
          <w:rFonts w:ascii="David" w:hAnsi="David" w:cs="David"/>
          <w:b/>
          <w:bCs/>
          <w:sz w:val="24"/>
          <w:szCs w:val="24"/>
          <w:rtl/>
        </w:rPr>
      </w:pPr>
    </w:p>
    <w:p w14:paraId="2FEBD8E3" w14:textId="5B8DD152" w:rsidR="00095FFA" w:rsidRDefault="00095FFA" w:rsidP="003121C1">
      <w:pPr>
        <w:spacing w:line="360" w:lineRule="auto"/>
        <w:rPr>
          <w:rFonts w:ascii="David" w:hAnsi="David" w:cs="David"/>
          <w:b/>
          <w:bCs/>
          <w:sz w:val="24"/>
          <w:szCs w:val="24"/>
          <w:rtl/>
        </w:rPr>
      </w:pPr>
    </w:p>
    <w:p w14:paraId="773619A7" w14:textId="77777777" w:rsidR="00502795" w:rsidRDefault="00502795" w:rsidP="00240B10">
      <w:pPr>
        <w:pStyle w:val="3"/>
        <w:numPr>
          <w:ilvl w:val="0"/>
          <w:numId w:val="0"/>
        </w:numPr>
        <w:rPr>
          <w:rtl/>
        </w:rPr>
      </w:pPr>
      <w:bookmarkStart w:id="1032" w:name="_Toc74751075"/>
    </w:p>
    <w:p w14:paraId="629D1AF6" w14:textId="77777777" w:rsidR="00502795" w:rsidRDefault="00502795" w:rsidP="00240B10">
      <w:pPr>
        <w:pStyle w:val="3"/>
        <w:numPr>
          <w:ilvl w:val="0"/>
          <w:numId w:val="0"/>
        </w:numPr>
        <w:rPr>
          <w:rtl/>
        </w:rPr>
      </w:pPr>
    </w:p>
    <w:p w14:paraId="3E5A2BF1" w14:textId="77777777" w:rsidR="00502795" w:rsidRDefault="00502795" w:rsidP="00240B10">
      <w:pPr>
        <w:pStyle w:val="3"/>
        <w:numPr>
          <w:ilvl w:val="0"/>
          <w:numId w:val="0"/>
        </w:numPr>
        <w:rPr>
          <w:rtl/>
        </w:rPr>
      </w:pPr>
    </w:p>
    <w:p w14:paraId="58BDAD21" w14:textId="77777777" w:rsidR="00502795" w:rsidRDefault="00502795" w:rsidP="00240B10">
      <w:pPr>
        <w:pStyle w:val="3"/>
        <w:numPr>
          <w:ilvl w:val="0"/>
          <w:numId w:val="0"/>
        </w:numPr>
        <w:rPr>
          <w:rtl/>
        </w:rPr>
      </w:pPr>
    </w:p>
    <w:p w14:paraId="700A151E" w14:textId="77777777" w:rsidR="00502795" w:rsidRDefault="00502795" w:rsidP="00240B10">
      <w:pPr>
        <w:pStyle w:val="3"/>
        <w:numPr>
          <w:ilvl w:val="0"/>
          <w:numId w:val="0"/>
        </w:numPr>
        <w:rPr>
          <w:rtl/>
        </w:rPr>
      </w:pPr>
    </w:p>
    <w:p w14:paraId="36E11F56" w14:textId="77777777" w:rsidR="00502795" w:rsidRDefault="00502795" w:rsidP="00240B10">
      <w:pPr>
        <w:pStyle w:val="3"/>
        <w:numPr>
          <w:ilvl w:val="0"/>
          <w:numId w:val="0"/>
        </w:numPr>
        <w:rPr>
          <w:rtl/>
        </w:rPr>
      </w:pPr>
    </w:p>
    <w:p w14:paraId="3947B2BB" w14:textId="77777777" w:rsidR="00502795" w:rsidRDefault="00502795" w:rsidP="00240B10">
      <w:pPr>
        <w:pStyle w:val="3"/>
        <w:numPr>
          <w:ilvl w:val="0"/>
          <w:numId w:val="0"/>
        </w:numPr>
        <w:rPr>
          <w:rtl/>
        </w:rPr>
      </w:pPr>
    </w:p>
    <w:p w14:paraId="59CBB9C3" w14:textId="77777777" w:rsidR="00502795" w:rsidRDefault="00502795" w:rsidP="00240B10">
      <w:pPr>
        <w:pStyle w:val="3"/>
        <w:numPr>
          <w:ilvl w:val="0"/>
          <w:numId w:val="0"/>
        </w:numPr>
        <w:rPr>
          <w:rtl/>
        </w:rPr>
      </w:pPr>
    </w:p>
    <w:p w14:paraId="1E6FCF26" w14:textId="77777777" w:rsidR="00502795" w:rsidRDefault="00502795" w:rsidP="00240B10">
      <w:pPr>
        <w:pStyle w:val="3"/>
        <w:numPr>
          <w:ilvl w:val="0"/>
          <w:numId w:val="0"/>
        </w:numPr>
        <w:rPr>
          <w:rtl/>
        </w:rPr>
      </w:pPr>
    </w:p>
    <w:p w14:paraId="1BAED361" w14:textId="77777777" w:rsidR="00502795" w:rsidRDefault="00502795" w:rsidP="00240B10">
      <w:pPr>
        <w:pStyle w:val="3"/>
        <w:numPr>
          <w:ilvl w:val="0"/>
          <w:numId w:val="0"/>
        </w:numPr>
        <w:rPr>
          <w:rtl/>
        </w:rPr>
      </w:pPr>
    </w:p>
    <w:p w14:paraId="4CF5A216" w14:textId="04F93C85" w:rsidR="00433BF0" w:rsidRDefault="00240B10" w:rsidP="00240B10">
      <w:pPr>
        <w:pStyle w:val="3"/>
        <w:numPr>
          <w:ilvl w:val="0"/>
          <w:numId w:val="0"/>
        </w:numPr>
        <w:rPr>
          <w:rtl/>
        </w:rPr>
      </w:pPr>
      <w:r>
        <w:rPr>
          <w:rFonts w:hint="cs"/>
          <w:rtl/>
        </w:rPr>
        <w:t xml:space="preserve">נספח י4: </w:t>
      </w:r>
      <w:r w:rsidR="00433BF0" w:rsidRPr="00240B10">
        <w:rPr>
          <w:rFonts w:hint="cs"/>
          <w:rtl/>
        </w:rPr>
        <w:t>ערכאת המשפחה</w:t>
      </w:r>
      <w:bookmarkEnd w:id="1032"/>
    </w:p>
    <w:p w14:paraId="68936E2A" w14:textId="77777777" w:rsidR="00502795" w:rsidRPr="00502795" w:rsidRDefault="00502795" w:rsidP="00502795">
      <w:pPr>
        <w:rPr>
          <w:rtl/>
        </w:rPr>
      </w:pPr>
    </w:p>
    <w:tbl>
      <w:tblPr>
        <w:tblpPr w:rightFromText="85" w:vertAnchor="text" w:tblpXSpec="center" w:tblpY="1"/>
        <w:bidiVisual/>
        <w:tblW w:w="8651" w:type="dxa"/>
        <w:tblLook w:val="04A0" w:firstRow="1" w:lastRow="0" w:firstColumn="1" w:lastColumn="0" w:noHBand="0" w:noVBand="1"/>
      </w:tblPr>
      <w:tblGrid>
        <w:gridCol w:w="2697"/>
        <w:gridCol w:w="2127"/>
        <w:gridCol w:w="1984"/>
        <w:gridCol w:w="1843"/>
      </w:tblGrid>
      <w:tr w:rsidR="00095FFA" w:rsidRPr="002E5EC6" w14:paraId="1AA467D9" w14:textId="77777777" w:rsidTr="00502795">
        <w:trPr>
          <w:trHeight w:val="630"/>
        </w:trPr>
        <w:tc>
          <w:tcPr>
            <w:tcW w:w="2697" w:type="dxa"/>
            <w:tcBorders>
              <w:bottom w:val="single" w:sz="4" w:space="0" w:color="auto"/>
            </w:tcBorders>
            <w:shd w:val="clear" w:color="auto" w:fill="auto"/>
            <w:vAlign w:val="center"/>
          </w:tcPr>
          <w:p w14:paraId="3918C036" w14:textId="77777777" w:rsidR="00095FFA" w:rsidRPr="002E5EC6" w:rsidRDefault="00095FFA" w:rsidP="00502795">
            <w:pPr>
              <w:spacing w:after="0" w:line="240" w:lineRule="auto"/>
              <w:rPr>
                <w:rFonts w:ascii="Arial" w:eastAsia="Times New Roman" w:hAnsi="Arial" w:cs="David"/>
                <w:b/>
                <w:bCs/>
                <w:color w:val="000000"/>
                <w:sz w:val="24"/>
                <w:szCs w:val="24"/>
                <w:rtl/>
              </w:rPr>
            </w:pPr>
            <w:r w:rsidRPr="002E5EC6">
              <w:rPr>
                <w:rFonts w:ascii="Arial" w:eastAsia="Times New Roman" w:hAnsi="Arial" w:cs="David" w:hint="cs"/>
                <w:b/>
                <w:bCs/>
                <w:color w:val="000000"/>
                <w:sz w:val="24"/>
                <w:szCs w:val="24"/>
                <w:rtl/>
              </w:rPr>
              <w:t>סוג הפעילות</w:t>
            </w:r>
          </w:p>
        </w:tc>
        <w:tc>
          <w:tcPr>
            <w:tcW w:w="2127" w:type="dxa"/>
            <w:tcBorders>
              <w:bottom w:val="single" w:sz="4" w:space="0" w:color="auto"/>
            </w:tcBorders>
            <w:shd w:val="clear" w:color="auto" w:fill="auto"/>
            <w:noWrap/>
            <w:vAlign w:val="center"/>
          </w:tcPr>
          <w:p w14:paraId="0592B056" w14:textId="6E0ABB0D" w:rsidR="00095FFA" w:rsidRPr="002E5EC6" w:rsidRDefault="00095FFA" w:rsidP="00502795">
            <w:pPr>
              <w:spacing w:after="0" w:line="240" w:lineRule="auto"/>
              <w:jc w:val="center"/>
              <w:rPr>
                <w:rFonts w:ascii="Arial" w:eastAsia="Times New Roman" w:hAnsi="Arial" w:cs="David"/>
                <w:b/>
                <w:bCs/>
                <w:color w:val="000000"/>
                <w:sz w:val="24"/>
                <w:szCs w:val="24"/>
                <w:rtl/>
              </w:rPr>
            </w:pPr>
            <w:r w:rsidRPr="002E5EC6">
              <w:rPr>
                <w:rFonts w:ascii="Arial" w:eastAsia="Times New Roman" w:hAnsi="Arial" w:cs="David" w:hint="cs"/>
                <w:b/>
                <w:bCs/>
                <w:color w:val="000000"/>
                <w:sz w:val="24"/>
                <w:szCs w:val="24"/>
                <w:rtl/>
              </w:rPr>
              <w:t>עם ע</w:t>
            </w:r>
            <w:r>
              <w:rPr>
                <w:rFonts w:ascii="Arial" w:eastAsia="Times New Roman" w:hAnsi="Arial" w:cs="David" w:hint="cs"/>
                <w:b/>
                <w:bCs/>
                <w:color w:val="000000"/>
                <w:sz w:val="24"/>
                <w:szCs w:val="24"/>
                <w:rtl/>
              </w:rPr>
              <w:t>וזר משפטי</w:t>
            </w:r>
          </w:p>
        </w:tc>
        <w:tc>
          <w:tcPr>
            <w:tcW w:w="1984" w:type="dxa"/>
            <w:tcBorders>
              <w:bottom w:val="single" w:sz="4" w:space="0" w:color="auto"/>
            </w:tcBorders>
            <w:shd w:val="clear" w:color="auto" w:fill="auto"/>
            <w:vAlign w:val="center"/>
          </w:tcPr>
          <w:p w14:paraId="6783891D" w14:textId="6D0F9301" w:rsidR="00095FFA" w:rsidRPr="002E5EC6" w:rsidRDefault="00095FFA" w:rsidP="00502795">
            <w:pPr>
              <w:spacing w:after="0" w:line="240" w:lineRule="auto"/>
              <w:jc w:val="center"/>
              <w:rPr>
                <w:rFonts w:ascii="Arial" w:eastAsia="Times New Roman" w:hAnsi="Arial" w:cs="David"/>
                <w:b/>
                <w:bCs/>
                <w:color w:val="000000"/>
                <w:sz w:val="24"/>
                <w:szCs w:val="24"/>
              </w:rPr>
            </w:pPr>
            <w:r>
              <w:rPr>
                <w:rFonts w:ascii="Arial" w:eastAsia="Times New Roman" w:hAnsi="Arial" w:cs="David" w:hint="cs"/>
                <w:b/>
                <w:bCs/>
                <w:color w:val="000000"/>
                <w:sz w:val="24"/>
                <w:szCs w:val="24"/>
                <w:rtl/>
              </w:rPr>
              <w:t>עם עוזר משפטי שלא מסייע בכתיבה</w:t>
            </w:r>
          </w:p>
        </w:tc>
        <w:tc>
          <w:tcPr>
            <w:tcW w:w="1843" w:type="dxa"/>
            <w:tcBorders>
              <w:bottom w:val="single" w:sz="4" w:space="0" w:color="auto"/>
            </w:tcBorders>
            <w:shd w:val="clear" w:color="auto" w:fill="auto"/>
            <w:vAlign w:val="center"/>
          </w:tcPr>
          <w:p w14:paraId="3C300E61" w14:textId="30D8BF37" w:rsidR="00095FFA" w:rsidRPr="002E5EC6" w:rsidRDefault="00095FFA" w:rsidP="00502795">
            <w:pPr>
              <w:spacing w:after="0" w:line="240" w:lineRule="auto"/>
              <w:jc w:val="center"/>
              <w:rPr>
                <w:rFonts w:ascii="Arial" w:eastAsia="Times New Roman" w:hAnsi="Arial" w:cs="David"/>
                <w:b/>
                <w:bCs/>
                <w:color w:val="000000"/>
                <w:sz w:val="24"/>
                <w:szCs w:val="24"/>
                <w:rtl/>
              </w:rPr>
            </w:pPr>
            <w:r>
              <w:rPr>
                <w:rFonts w:ascii="Arial" w:eastAsia="Times New Roman" w:hAnsi="Arial" w:cs="David" w:hint="cs"/>
                <w:b/>
                <w:bCs/>
                <w:color w:val="000000"/>
                <w:sz w:val="24"/>
                <w:szCs w:val="24"/>
                <w:rtl/>
              </w:rPr>
              <w:t>עם עוזר משפטי שמסייע בכתיבה</w:t>
            </w:r>
          </w:p>
        </w:tc>
      </w:tr>
      <w:tr w:rsidR="00433BF0" w:rsidRPr="002E5EC6" w14:paraId="2442A00A" w14:textId="77777777" w:rsidTr="00502795">
        <w:trPr>
          <w:trHeight w:val="630"/>
        </w:trPr>
        <w:tc>
          <w:tcPr>
            <w:tcW w:w="2697" w:type="dxa"/>
            <w:tcBorders>
              <w:top w:val="single" w:sz="4" w:space="0" w:color="auto"/>
            </w:tcBorders>
            <w:shd w:val="clear" w:color="auto" w:fill="auto"/>
            <w:vAlign w:val="center"/>
            <w:hideMark/>
          </w:tcPr>
          <w:p w14:paraId="3030A3AF" w14:textId="77777777" w:rsidR="00433BF0" w:rsidRPr="00C613A5" w:rsidRDefault="00433BF0" w:rsidP="00502795">
            <w:pPr>
              <w:spacing w:after="0" w:line="240" w:lineRule="auto"/>
              <w:rPr>
                <w:rFonts w:ascii="Arial" w:eastAsia="Times New Roman" w:hAnsi="Arial" w:cs="David"/>
                <w:b/>
                <w:bCs/>
                <w:color w:val="000000"/>
                <w:sz w:val="24"/>
                <w:szCs w:val="24"/>
              </w:rPr>
            </w:pPr>
            <w:r w:rsidRPr="00C613A5">
              <w:rPr>
                <w:rFonts w:ascii="Arial" w:eastAsia="Times New Roman" w:hAnsi="Arial" w:cs="David" w:hint="cs"/>
                <w:b/>
                <w:bCs/>
                <w:color w:val="000000"/>
                <w:sz w:val="24"/>
                <w:szCs w:val="24"/>
                <w:rtl/>
              </w:rPr>
              <w:t>אדמיניסטרציה קשורה בתיקים</w:t>
            </w:r>
          </w:p>
        </w:tc>
        <w:tc>
          <w:tcPr>
            <w:tcW w:w="2127" w:type="dxa"/>
            <w:tcBorders>
              <w:top w:val="single" w:sz="4" w:space="0" w:color="auto"/>
            </w:tcBorders>
            <w:shd w:val="clear" w:color="auto" w:fill="auto"/>
            <w:noWrap/>
            <w:vAlign w:val="center"/>
            <w:hideMark/>
          </w:tcPr>
          <w:p w14:paraId="55043EB9" w14:textId="77777777" w:rsidR="00433BF0" w:rsidRPr="00391C4D" w:rsidRDefault="00433BF0" w:rsidP="00502795">
            <w:pPr>
              <w:spacing w:after="0" w:line="240" w:lineRule="auto"/>
              <w:jc w:val="center"/>
              <w:rPr>
                <w:rFonts w:ascii="David" w:eastAsia="Times New Roman" w:hAnsi="David" w:cs="David"/>
                <w:color w:val="000000"/>
                <w:sz w:val="24"/>
                <w:szCs w:val="24"/>
              </w:rPr>
            </w:pPr>
            <w:r w:rsidRPr="00391C4D">
              <w:rPr>
                <w:rFonts w:ascii="David" w:eastAsia="Times New Roman" w:hAnsi="David" w:cs="David"/>
                <w:color w:val="000000"/>
                <w:sz w:val="24"/>
                <w:szCs w:val="24"/>
              </w:rPr>
              <w:t>2.2%</w:t>
            </w:r>
          </w:p>
        </w:tc>
        <w:tc>
          <w:tcPr>
            <w:tcW w:w="1984" w:type="dxa"/>
            <w:tcBorders>
              <w:top w:val="single" w:sz="4" w:space="0" w:color="auto"/>
            </w:tcBorders>
            <w:shd w:val="clear" w:color="auto" w:fill="auto"/>
            <w:vAlign w:val="center"/>
          </w:tcPr>
          <w:p w14:paraId="1EE72A5B" w14:textId="77777777" w:rsidR="00433BF0" w:rsidRPr="00391C4D" w:rsidRDefault="00433BF0" w:rsidP="00502795">
            <w:pPr>
              <w:spacing w:after="0" w:line="240" w:lineRule="auto"/>
              <w:jc w:val="center"/>
              <w:rPr>
                <w:rFonts w:ascii="David" w:eastAsia="Times New Roman" w:hAnsi="David" w:cs="David"/>
                <w:color w:val="000000"/>
                <w:sz w:val="24"/>
                <w:szCs w:val="24"/>
              </w:rPr>
            </w:pPr>
            <w:r w:rsidRPr="00391C4D">
              <w:rPr>
                <w:rFonts w:ascii="David" w:eastAsia="Times New Roman" w:hAnsi="David" w:cs="David"/>
                <w:color w:val="000000"/>
                <w:sz w:val="24"/>
                <w:szCs w:val="24"/>
              </w:rPr>
              <w:t>1.4%</w:t>
            </w:r>
          </w:p>
        </w:tc>
        <w:tc>
          <w:tcPr>
            <w:tcW w:w="1843" w:type="dxa"/>
            <w:tcBorders>
              <w:top w:val="single" w:sz="4" w:space="0" w:color="auto"/>
            </w:tcBorders>
            <w:shd w:val="clear" w:color="auto" w:fill="auto"/>
            <w:vAlign w:val="center"/>
          </w:tcPr>
          <w:p w14:paraId="2550B529" w14:textId="77777777" w:rsidR="00433BF0" w:rsidRPr="00391C4D" w:rsidRDefault="00433BF0" w:rsidP="00502795">
            <w:pPr>
              <w:spacing w:after="0" w:line="240" w:lineRule="auto"/>
              <w:jc w:val="center"/>
              <w:rPr>
                <w:rFonts w:ascii="David" w:eastAsia="Times New Roman" w:hAnsi="David" w:cs="David"/>
                <w:color w:val="000000"/>
                <w:sz w:val="24"/>
                <w:szCs w:val="24"/>
              </w:rPr>
            </w:pPr>
            <w:r w:rsidRPr="00391C4D">
              <w:rPr>
                <w:rFonts w:ascii="David" w:eastAsia="Times New Roman" w:hAnsi="David" w:cs="David"/>
                <w:color w:val="000000"/>
                <w:sz w:val="24"/>
                <w:szCs w:val="24"/>
              </w:rPr>
              <w:t>2.</w:t>
            </w:r>
            <w:r>
              <w:rPr>
                <w:rFonts w:ascii="David" w:eastAsia="Times New Roman" w:hAnsi="David" w:cs="David" w:hint="cs"/>
                <w:color w:val="000000"/>
                <w:sz w:val="24"/>
                <w:szCs w:val="24"/>
                <w:rtl/>
              </w:rPr>
              <w:t>4</w:t>
            </w:r>
            <w:r w:rsidRPr="00391C4D">
              <w:rPr>
                <w:rFonts w:ascii="David" w:eastAsia="Times New Roman" w:hAnsi="David" w:cs="David"/>
                <w:color w:val="000000"/>
                <w:sz w:val="24"/>
                <w:szCs w:val="24"/>
              </w:rPr>
              <w:t>%</w:t>
            </w:r>
          </w:p>
        </w:tc>
      </w:tr>
      <w:tr w:rsidR="00433BF0" w:rsidRPr="002E5EC6" w14:paraId="60C4F8A0" w14:textId="77777777" w:rsidTr="00502795">
        <w:trPr>
          <w:trHeight w:val="293"/>
        </w:trPr>
        <w:tc>
          <w:tcPr>
            <w:tcW w:w="2697" w:type="dxa"/>
            <w:shd w:val="clear" w:color="auto" w:fill="auto"/>
            <w:vAlign w:val="center"/>
            <w:hideMark/>
          </w:tcPr>
          <w:p w14:paraId="2B0277AD" w14:textId="77777777" w:rsidR="00433BF0" w:rsidRPr="00C613A5" w:rsidRDefault="00433BF0" w:rsidP="00502795">
            <w:pPr>
              <w:spacing w:after="0" w:line="240" w:lineRule="auto"/>
              <w:rPr>
                <w:rFonts w:ascii="Arial" w:eastAsia="Times New Roman" w:hAnsi="Arial" w:cs="David"/>
                <w:b/>
                <w:bCs/>
                <w:color w:val="000000"/>
                <w:sz w:val="24"/>
                <w:szCs w:val="24"/>
              </w:rPr>
            </w:pPr>
            <w:r w:rsidRPr="00C613A5">
              <w:rPr>
                <w:rFonts w:ascii="Arial" w:eastAsia="Times New Roman" w:hAnsi="Arial" w:cs="David" w:hint="cs"/>
                <w:b/>
                <w:bCs/>
                <w:color w:val="000000"/>
                <w:sz w:val="24"/>
                <w:szCs w:val="24"/>
                <w:rtl/>
              </w:rPr>
              <w:t>הכנה לדיונים</w:t>
            </w:r>
          </w:p>
        </w:tc>
        <w:tc>
          <w:tcPr>
            <w:tcW w:w="2127" w:type="dxa"/>
            <w:shd w:val="clear" w:color="auto" w:fill="auto"/>
            <w:noWrap/>
            <w:vAlign w:val="center"/>
            <w:hideMark/>
          </w:tcPr>
          <w:p w14:paraId="18B5EBBC" w14:textId="77777777" w:rsidR="00433BF0" w:rsidRPr="00391C4D" w:rsidRDefault="00433BF0" w:rsidP="00502795">
            <w:pPr>
              <w:spacing w:after="0" w:line="240" w:lineRule="auto"/>
              <w:jc w:val="center"/>
              <w:rPr>
                <w:rFonts w:ascii="David" w:eastAsia="Times New Roman" w:hAnsi="David" w:cs="David"/>
                <w:color w:val="000000"/>
                <w:sz w:val="24"/>
                <w:szCs w:val="24"/>
                <w:rtl/>
              </w:rPr>
            </w:pPr>
            <w:r w:rsidRPr="00391C4D">
              <w:rPr>
                <w:rFonts w:ascii="David" w:eastAsia="Times New Roman" w:hAnsi="David" w:cs="David"/>
                <w:color w:val="000000"/>
                <w:sz w:val="24"/>
                <w:szCs w:val="24"/>
              </w:rPr>
              <w:t>12.1%</w:t>
            </w:r>
          </w:p>
        </w:tc>
        <w:tc>
          <w:tcPr>
            <w:tcW w:w="1984" w:type="dxa"/>
            <w:shd w:val="clear" w:color="auto" w:fill="auto"/>
            <w:vAlign w:val="center"/>
          </w:tcPr>
          <w:p w14:paraId="16215481" w14:textId="77777777" w:rsidR="00433BF0" w:rsidRPr="00391C4D" w:rsidRDefault="00433BF0" w:rsidP="00502795">
            <w:pPr>
              <w:spacing w:after="0" w:line="240" w:lineRule="auto"/>
              <w:jc w:val="center"/>
              <w:rPr>
                <w:rFonts w:ascii="David" w:eastAsia="Times New Roman" w:hAnsi="David" w:cs="David"/>
                <w:color w:val="000000"/>
                <w:sz w:val="24"/>
                <w:szCs w:val="24"/>
              </w:rPr>
            </w:pPr>
            <w:r w:rsidRPr="00391C4D">
              <w:rPr>
                <w:rFonts w:ascii="David" w:eastAsia="Times New Roman" w:hAnsi="David" w:cs="David"/>
                <w:color w:val="000000"/>
                <w:sz w:val="24"/>
                <w:szCs w:val="24"/>
              </w:rPr>
              <w:t>13.5%</w:t>
            </w:r>
          </w:p>
        </w:tc>
        <w:tc>
          <w:tcPr>
            <w:tcW w:w="1843" w:type="dxa"/>
            <w:shd w:val="clear" w:color="auto" w:fill="auto"/>
            <w:vAlign w:val="center"/>
          </w:tcPr>
          <w:p w14:paraId="17B39E1A" w14:textId="77777777" w:rsidR="00433BF0" w:rsidRPr="00391C4D" w:rsidRDefault="00433BF0" w:rsidP="00502795">
            <w:pPr>
              <w:spacing w:after="0" w:line="240" w:lineRule="auto"/>
              <w:jc w:val="center"/>
              <w:rPr>
                <w:rFonts w:ascii="David" w:eastAsia="Times New Roman" w:hAnsi="David" w:cs="David"/>
                <w:color w:val="000000"/>
                <w:sz w:val="24"/>
                <w:szCs w:val="24"/>
              </w:rPr>
            </w:pPr>
            <w:r w:rsidRPr="00391C4D">
              <w:rPr>
                <w:rFonts w:ascii="David" w:eastAsia="Times New Roman" w:hAnsi="David" w:cs="David"/>
                <w:color w:val="000000"/>
                <w:sz w:val="24"/>
                <w:szCs w:val="24"/>
              </w:rPr>
              <w:t>11.9%</w:t>
            </w:r>
          </w:p>
        </w:tc>
      </w:tr>
      <w:tr w:rsidR="00433BF0" w:rsidRPr="002E5EC6" w14:paraId="7C11BB3C" w14:textId="77777777" w:rsidTr="00502795">
        <w:trPr>
          <w:trHeight w:val="410"/>
        </w:trPr>
        <w:tc>
          <w:tcPr>
            <w:tcW w:w="2697" w:type="dxa"/>
            <w:shd w:val="clear" w:color="auto" w:fill="auto"/>
            <w:vAlign w:val="center"/>
          </w:tcPr>
          <w:p w14:paraId="7F830044" w14:textId="77777777" w:rsidR="00433BF0" w:rsidRPr="00C613A5" w:rsidRDefault="00433BF0" w:rsidP="00502795">
            <w:pPr>
              <w:spacing w:after="0" w:line="240" w:lineRule="auto"/>
              <w:rPr>
                <w:rFonts w:ascii="Arial" w:eastAsia="Times New Roman" w:hAnsi="Arial" w:cs="David"/>
                <w:b/>
                <w:bCs/>
                <w:color w:val="000000"/>
                <w:sz w:val="24"/>
                <w:szCs w:val="24"/>
              </w:rPr>
            </w:pPr>
            <w:r w:rsidRPr="00C613A5">
              <w:rPr>
                <w:rFonts w:ascii="Arial" w:eastAsia="Times New Roman" w:hAnsi="Arial" w:cs="David" w:hint="cs"/>
                <w:b/>
                <w:bCs/>
                <w:color w:val="000000"/>
                <w:sz w:val="24"/>
                <w:szCs w:val="24"/>
                <w:rtl/>
              </w:rPr>
              <w:t>כתיבה</w:t>
            </w:r>
          </w:p>
        </w:tc>
        <w:tc>
          <w:tcPr>
            <w:tcW w:w="2127" w:type="dxa"/>
            <w:shd w:val="clear" w:color="auto" w:fill="auto"/>
            <w:noWrap/>
            <w:vAlign w:val="center"/>
          </w:tcPr>
          <w:p w14:paraId="5FAE315A" w14:textId="77777777" w:rsidR="00433BF0" w:rsidRPr="00391C4D" w:rsidRDefault="00433BF0" w:rsidP="00502795">
            <w:pPr>
              <w:spacing w:after="0" w:line="240" w:lineRule="auto"/>
              <w:jc w:val="center"/>
              <w:rPr>
                <w:rFonts w:ascii="David" w:eastAsia="Times New Roman" w:hAnsi="David" w:cs="David"/>
                <w:color w:val="000000"/>
                <w:sz w:val="24"/>
                <w:szCs w:val="24"/>
              </w:rPr>
            </w:pPr>
            <w:r>
              <w:rPr>
                <w:rFonts w:ascii="David" w:eastAsia="Times New Roman" w:hAnsi="David" w:cs="David"/>
                <w:color w:val="000000"/>
                <w:sz w:val="24"/>
                <w:szCs w:val="24"/>
              </w:rPr>
              <w:t>46.1%</w:t>
            </w:r>
          </w:p>
        </w:tc>
        <w:tc>
          <w:tcPr>
            <w:tcW w:w="1984" w:type="dxa"/>
            <w:shd w:val="clear" w:color="auto" w:fill="auto"/>
            <w:vAlign w:val="center"/>
          </w:tcPr>
          <w:p w14:paraId="38A84541" w14:textId="77777777" w:rsidR="00433BF0" w:rsidRPr="00391C4D" w:rsidRDefault="00433BF0" w:rsidP="00502795">
            <w:pPr>
              <w:spacing w:after="0" w:line="240" w:lineRule="auto"/>
              <w:jc w:val="center"/>
              <w:rPr>
                <w:rFonts w:ascii="David" w:eastAsia="Times New Roman" w:hAnsi="David" w:cs="David"/>
                <w:color w:val="000000"/>
                <w:sz w:val="24"/>
                <w:szCs w:val="24"/>
              </w:rPr>
            </w:pPr>
            <w:r>
              <w:rPr>
                <w:rFonts w:ascii="David" w:eastAsia="Times New Roman" w:hAnsi="David" w:cs="David"/>
                <w:color w:val="000000"/>
                <w:sz w:val="24"/>
                <w:szCs w:val="24"/>
              </w:rPr>
              <w:t>47.7%</w:t>
            </w:r>
          </w:p>
        </w:tc>
        <w:tc>
          <w:tcPr>
            <w:tcW w:w="1843" w:type="dxa"/>
            <w:shd w:val="clear" w:color="auto" w:fill="auto"/>
            <w:vAlign w:val="center"/>
          </w:tcPr>
          <w:p w14:paraId="2A75963F" w14:textId="77777777" w:rsidR="00433BF0" w:rsidRPr="00391C4D" w:rsidRDefault="00433BF0" w:rsidP="00502795">
            <w:pPr>
              <w:spacing w:after="0" w:line="240" w:lineRule="auto"/>
              <w:jc w:val="center"/>
              <w:rPr>
                <w:rFonts w:ascii="David" w:eastAsia="Times New Roman" w:hAnsi="David" w:cs="David"/>
                <w:color w:val="000000"/>
                <w:sz w:val="24"/>
                <w:szCs w:val="24"/>
              </w:rPr>
            </w:pPr>
            <w:r>
              <w:rPr>
                <w:rFonts w:ascii="David" w:eastAsia="Times New Roman" w:hAnsi="David" w:cs="David"/>
                <w:color w:val="000000"/>
                <w:sz w:val="24"/>
                <w:szCs w:val="24"/>
              </w:rPr>
              <w:t>45.8%</w:t>
            </w:r>
          </w:p>
        </w:tc>
      </w:tr>
      <w:tr w:rsidR="00433BF0" w:rsidRPr="002E5EC6" w14:paraId="1058F686" w14:textId="77777777" w:rsidTr="00502795">
        <w:trPr>
          <w:trHeight w:val="667"/>
        </w:trPr>
        <w:tc>
          <w:tcPr>
            <w:tcW w:w="2697" w:type="dxa"/>
            <w:shd w:val="clear" w:color="auto" w:fill="auto"/>
            <w:vAlign w:val="center"/>
            <w:hideMark/>
          </w:tcPr>
          <w:p w14:paraId="4F48F085" w14:textId="6A4CCAD2" w:rsidR="00433BF0" w:rsidRPr="00C613A5" w:rsidRDefault="00095FFA" w:rsidP="00A419E3">
            <w:pPr>
              <w:spacing w:after="0" w:line="240" w:lineRule="auto"/>
              <w:ind w:left="326"/>
              <w:rPr>
                <w:rFonts w:ascii="Arial" w:eastAsia="Times New Roman" w:hAnsi="Arial" w:cs="David"/>
                <w:color w:val="000000"/>
                <w:sz w:val="24"/>
                <w:szCs w:val="24"/>
              </w:rPr>
            </w:pPr>
            <w:r w:rsidRPr="002E5EC6">
              <w:rPr>
                <w:rFonts w:ascii="Arial" w:eastAsia="Times New Roman" w:hAnsi="Arial" w:cs="David" w:hint="cs"/>
                <w:color w:val="000000"/>
                <w:sz w:val="24"/>
                <w:szCs w:val="24"/>
                <w:rtl/>
              </w:rPr>
              <w:t>טיפול במשימות בסל העבודה</w:t>
            </w:r>
          </w:p>
        </w:tc>
        <w:tc>
          <w:tcPr>
            <w:tcW w:w="2127" w:type="dxa"/>
            <w:shd w:val="clear" w:color="auto" w:fill="auto"/>
            <w:noWrap/>
            <w:vAlign w:val="center"/>
            <w:hideMark/>
          </w:tcPr>
          <w:p w14:paraId="3C4004BE" w14:textId="77777777" w:rsidR="00433BF0" w:rsidRPr="00391C4D" w:rsidRDefault="00433BF0" w:rsidP="00502795">
            <w:pPr>
              <w:spacing w:after="0" w:line="240" w:lineRule="auto"/>
              <w:jc w:val="center"/>
              <w:rPr>
                <w:rFonts w:ascii="David" w:eastAsia="Times New Roman" w:hAnsi="David" w:cs="David"/>
                <w:color w:val="000000"/>
                <w:sz w:val="24"/>
                <w:szCs w:val="24"/>
                <w:rtl/>
              </w:rPr>
            </w:pPr>
            <w:r w:rsidRPr="00391C4D">
              <w:rPr>
                <w:rFonts w:ascii="David" w:eastAsia="Times New Roman" w:hAnsi="David" w:cs="David"/>
                <w:color w:val="000000"/>
                <w:sz w:val="24"/>
                <w:szCs w:val="24"/>
              </w:rPr>
              <w:t>28.2%</w:t>
            </w:r>
          </w:p>
        </w:tc>
        <w:tc>
          <w:tcPr>
            <w:tcW w:w="1984" w:type="dxa"/>
            <w:shd w:val="clear" w:color="auto" w:fill="auto"/>
            <w:vAlign w:val="center"/>
          </w:tcPr>
          <w:p w14:paraId="7F02D279" w14:textId="77777777" w:rsidR="00433BF0" w:rsidRPr="00391C4D" w:rsidRDefault="00433BF0" w:rsidP="00502795">
            <w:pPr>
              <w:spacing w:after="0" w:line="240" w:lineRule="auto"/>
              <w:jc w:val="center"/>
              <w:rPr>
                <w:rFonts w:ascii="David" w:eastAsia="Times New Roman" w:hAnsi="David" w:cs="David"/>
                <w:color w:val="000000"/>
                <w:sz w:val="24"/>
                <w:szCs w:val="24"/>
              </w:rPr>
            </w:pPr>
            <w:r w:rsidRPr="00391C4D">
              <w:rPr>
                <w:rFonts w:ascii="David" w:eastAsia="Times New Roman" w:hAnsi="David" w:cs="David"/>
                <w:color w:val="000000"/>
                <w:sz w:val="24"/>
                <w:szCs w:val="24"/>
              </w:rPr>
              <w:t>31.</w:t>
            </w:r>
            <w:r>
              <w:rPr>
                <w:rFonts w:ascii="David" w:eastAsia="Times New Roman" w:hAnsi="David" w:cs="David" w:hint="cs"/>
                <w:color w:val="000000"/>
                <w:sz w:val="24"/>
                <w:szCs w:val="24"/>
                <w:rtl/>
              </w:rPr>
              <w:t>5</w:t>
            </w:r>
            <w:r w:rsidRPr="00391C4D">
              <w:rPr>
                <w:rFonts w:ascii="David" w:eastAsia="Times New Roman" w:hAnsi="David" w:cs="David"/>
                <w:color w:val="000000"/>
                <w:sz w:val="24"/>
                <w:szCs w:val="24"/>
              </w:rPr>
              <w:t>%</w:t>
            </w:r>
          </w:p>
        </w:tc>
        <w:tc>
          <w:tcPr>
            <w:tcW w:w="1843" w:type="dxa"/>
            <w:shd w:val="clear" w:color="auto" w:fill="auto"/>
            <w:vAlign w:val="center"/>
          </w:tcPr>
          <w:p w14:paraId="2A5169EA" w14:textId="77777777" w:rsidR="00433BF0" w:rsidRPr="00391C4D" w:rsidRDefault="00433BF0" w:rsidP="00502795">
            <w:pPr>
              <w:spacing w:after="0" w:line="240" w:lineRule="auto"/>
              <w:jc w:val="center"/>
              <w:rPr>
                <w:rFonts w:ascii="David" w:eastAsia="Times New Roman" w:hAnsi="David" w:cs="David"/>
                <w:color w:val="000000"/>
                <w:sz w:val="24"/>
                <w:szCs w:val="24"/>
              </w:rPr>
            </w:pPr>
            <w:r w:rsidRPr="00391C4D">
              <w:rPr>
                <w:rFonts w:ascii="David" w:eastAsia="Times New Roman" w:hAnsi="David" w:cs="David"/>
                <w:color w:val="000000"/>
                <w:sz w:val="24"/>
                <w:szCs w:val="24"/>
              </w:rPr>
              <w:t>27.6%</w:t>
            </w:r>
          </w:p>
        </w:tc>
      </w:tr>
      <w:tr w:rsidR="00433BF0" w:rsidRPr="002E5EC6" w14:paraId="2EECA686" w14:textId="77777777" w:rsidTr="00502795">
        <w:trPr>
          <w:trHeight w:val="705"/>
        </w:trPr>
        <w:tc>
          <w:tcPr>
            <w:tcW w:w="2697" w:type="dxa"/>
            <w:shd w:val="clear" w:color="auto" w:fill="auto"/>
            <w:vAlign w:val="center"/>
          </w:tcPr>
          <w:p w14:paraId="3FF63537" w14:textId="74CF5126" w:rsidR="00433BF0" w:rsidRPr="00C613A5" w:rsidRDefault="00095FFA" w:rsidP="00A419E3">
            <w:pPr>
              <w:spacing w:after="0" w:line="240" w:lineRule="auto"/>
              <w:ind w:left="326"/>
              <w:rPr>
                <w:rFonts w:ascii="Arial" w:eastAsia="Times New Roman" w:hAnsi="Arial" w:cs="David"/>
                <w:color w:val="000000"/>
                <w:sz w:val="24"/>
                <w:szCs w:val="24"/>
                <w:rtl/>
              </w:rPr>
            </w:pPr>
            <w:r>
              <w:rPr>
                <w:rFonts w:ascii="Arial" w:eastAsia="Times New Roman" w:hAnsi="Arial" w:cs="David" w:hint="cs"/>
                <w:color w:val="000000"/>
                <w:sz w:val="24"/>
                <w:szCs w:val="24"/>
                <w:rtl/>
              </w:rPr>
              <w:t>כתיבת החלטות ביניים במסמך עצמאי</w:t>
            </w:r>
          </w:p>
        </w:tc>
        <w:tc>
          <w:tcPr>
            <w:tcW w:w="2127" w:type="dxa"/>
            <w:shd w:val="clear" w:color="auto" w:fill="auto"/>
            <w:noWrap/>
            <w:vAlign w:val="center"/>
          </w:tcPr>
          <w:p w14:paraId="63646435" w14:textId="77777777" w:rsidR="00433BF0" w:rsidRPr="00095FFA" w:rsidRDefault="00433BF0" w:rsidP="00502795">
            <w:pPr>
              <w:spacing w:after="0" w:line="240" w:lineRule="auto"/>
              <w:jc w:val="center"/>
              <w:rPr>
                <w:rFonts w:asciiTheme="minorHAnsi" w:eastAsia="Times New Roman" w:hAnsiTheme="minorHAnsi" w:cs="David"/>
                <w:color w:val="000000"/>
                <w:sz w:val="24"/>
                <w:szCs w:val="24"/>
              </w:rPr>
            </w:pPr>
            <w:r>
              <w:rPr>
                <w:rFonts w:ascii="David" w:eastAsia="Times New Roman" w:hAnsi="David" w:cs="David"/>
                <w:color w:val="000000"/>
                <w:sz w:val="24"/>
                <w:szCs w:val="24"/>
              </w:rPr>
              <w:t>7</w:t>
            </w:r>
            <w:r w:rsidRPr="00391C4D">
              <w:rPr>
                <w:rFonts w:ascii="David" w:eastAsia="Times New Roman" w:hAnsi="David" w:cs="David"/>
                <w:color w:val="000000"/>
                <w:sz w:val="24"/>
                <w:szCs w:val="24"/>
              </w:rPr>
              <w:t>.</w:t>
            </w:r>
            <w:r>
              <w:rPr>
                <w:rFonts w:ascii="David" w:eastAsia="Times New Roman" w:hAnsi="David" w:cs="David"/>
                <w:color w:val="000000"/>
                <w:sz w:val="24"/>
                <w:szCs w:val="24"/>
              </w:rPr>
              <w:t>8</w:t>
            </w:r>
            <w:r w:rsidRPr="00391C4D">
              <w:rPr>
                <w:rFonts w:ascii="David" w:eastAsia="Times New Roman" w:hAnsi="David" w:cs="David"/>
                <w:color w:val="000000"/>
                <w:sz w:val="24"/>
                <w:szCs w:val="24"/>
              </w:rPr>
              <w:t>%</w:t>
            </w:r>
          </w:p>
        </w:tc>
        <w:tc>
          <w:tcPr>
            <w:tcW w:w="1984" w:type="dxa"/>
            <w:shd w:val="clear" w:color="auto" w:fill="auto"/>
            <w:vAlign w:val="center"/>
          </w:tcPr>
          <w:p w14:paraId="1D652E4E" w14:textId="77777777" w:rsidR="00433BF0" w:rsidRPr="00391C4D" w:rsidRDefault="00433BF0" w:rsidP="00502795">
            <w:pPr>
              <w:spacing w:after="0" w:line="240" w:lineRule="auto"/>
              <w:jc w:val="center"/>
              <w:rPr>
                <w:rFonts w:ascii="David" w:eastAsia="Times New Roman" w:hAnsi="David" w:cs="David"/>
                <w:color w:val="000000"/>
                <w:sz w:val="24"/>
                <w:szCs w:val="24"/>
              </w:rPr>
            </w:pPr>
            <w:r w:rsidRPr="00391C4D">
              <w:rPr>
                <w:rFonts w:ascii="David" w:eastAsia="Times New Roman" w:hAnsi="David" w:cs="David"/>
                <w:color w:val="000000"/>
                <w:sz w:val="24"/>
                <w:szCs w:val="24"/>
              </w:rPr>
              <w:t>10.3%</w:t>
            </w:r>
          </w:p>
        </w:tc>
        <w:tc>
          <w:tcPr>
            <w:tcW w:w="1843" w:type="dxa"/>
            <w:shd w:val="clear" w:color="auto" w:fill="auto"/>
            <w:vAlign w:val="center"/>
          </w:tcPr>
          <w:p w14:paraId="4DAE3323" w14:textId="77777777" w:rsidR="00433BF0" w:rsidRPr="00391C4D" w:rsidRDefault="00433BF0" w:rsidP="00502795">
            <w:pPr>
              <w:spacing w:after="0" w:line="240" w:lineRule="auto"/>
              <w:jc w:val="center"/>
              <w:rPr>
                <w:rFonts w:ascii="David" w:eastAsia="Times New Roman" w:hAnsi="David" w:cs="David"/>
                <w:color w:val="000000"/>
                <w:sz w:val="24"/>
                <w:szCs w:val="24"/>
              </w:rPr>
            </w:pPr>
            <w:r w:rsidRPr="00391C4D">
              <w:rPr>
                <w:rFonts w:ascii="David" w:eastAsia="Times New Roman" w:hAnsi="David" w:cs="David"/>
                <w:color w:val="000000"/>
                <w:sz w:val="24"/>
                <w:szCs w:val="24"/>
              </w:rPr>
              <w:t>7.</w:t>
            </w:r>
            <w:r>
              <w:rPr>
                <w:rFonts w:ascii="David" w:eastAsia="Times New Roman" w:hAnsi="David" w:cs="David" w:hint="cs"/>
                <w:color w:val="000000"/>
                <w:sz w:val="24"/>
                <w:szCs w:val="24"/>
                <w:rtl/>
              </w:rPr>
              <w:t>3</w:t>
            </w:r>
            <w:r w:rsidRPr="00391C4D">
              <w:rPr>
                <w:rFonts w:ascii="David" w:eastAsia="Times New Roman" w:hAnsi="David" w:cs="David"/>
                <w:color w:val="000000"/>
                <w:sz w:val="24"/>
                <w:szCs w:val="24"/>
              </w:rPr>
              <w:t>%</w:t>
            </w:r>
          </w:p>
        </w:tc>
      </w:tr>
      <w:tr w:rsidR="00433BF0" w:rsidRPr="002E5EC6" w14:paraId="614241C3" w14:textId="77777777" w:rsidTr="00502795">
        <w:trPr>
          <w:trHeight w:val="559"/>
        </w:trPr>
        <w:tc>
          <w:tcPr>
            <w:tcW w:w="2697" w:type="dxa"/>
            <w:shd w:val="clear" w:color="auto" w:fill="auto"/>
            <w:vAlign w:val="center"/>
          </w:tcPr>
          <w:p w14:paraId="47BD303B" w14:textId="4ECFD6CB" w:rsidR="00433BF0" w:rsidRPr="00C613A5" w:rsidRDefault="00433BF0" w:rsidP="00A419E3">
            <w:pPr>
              <w:spacing w:after="0" w:line="240" w:lineRule="auto"/>
              <w:ind w:left="326"/>
              <w:rPr>
                <w:rFonts w:ascii="Arial" w:eastAsia="Times New Roman" w:hAnsi="Arial" w:cs="David"/>
                <w:color w:val="000000"/>
                <w:sz w:val="24"/>
                <w:szCs w:val="24"/>
                <w:rtl/>
              </w:rPr>
            </w:pPr>
            <w:r w:rsidRPr="00C613A5">
              <w:rPr>
                <w:rFonts w:ascii="Arial" w:eastAsia="Times New Roman" w:hAnsi="Arial" w:cs="David" w:hint="cs"/>
                <w:color w:val="000000"/>
                <w:sz w:val="24"/>
                <w:szCs w:val="24"/>
                <w:rtl/>
              </w:rPr>
              <w:t>כתיבת פסקי דין</w:t>
            </w:r>
          </w:p>
        </w:tc>
        <w:tc>
          <w:tcPr>
            <w:tcW w:w="2127" w:type="dxa"/>
            <w:shd w:val="clear" w:color="auto" w:fill="auto"/>
            <w:noWrap/>
            <w:vAlign w:val="center"/>
          </w:tcPr>
          <w:p w14:paraId="3FF02133" w14:textId="77777777" w:rsidR="00433BF0" w:rsidRPr="00391C4D" w:rsidRDefault="00433BF0" w:rsidP="00502795">
            <w:pPr>
              <w:spacing w:after="0" w:line="240" w:lineRule="auto"/>
              <w:jc w:val="center"/>
              <w:rPr>
                <w:rFonts w:ascii="David" w:eastAsia="Times New Roman" w:hAnsi="David" w:cs="David"/>
                <w:color w:val="000000"/>
                <w:sz w:val="24"/>
                <w:szCs w:val="24"/>
              </w:rPr>
            </w:pPr>
            <w:r>
              <w:rPr>
                <w:rFonts w:ascii="David" w:eastAsia="Times New Roman" w:hAnsi="David" w:cs="David"/>
                <w:color w:val="000000"/>
                <w:sz w:val="24"/>
                <w:szCs w:val="24"/>
              </w:rPr>
              <w:t>10%</w:t>
            </w:r>
          </w:p>
        </w:tc>
        <w:tc>
          <w:tcPr>
            <w:tcW w:w="1984" w:type="dxa"/>
            <w:shd w:val="clear" w:color="auto" w:fill="auto"/>
            <w:vAlign w:val="center"/>
          </w:tcPr>
          <w:p w14:paraId="7A366C3A" w14:textId="77777777" w:rsidR="00433BF0" w:rsidRPr="00391C4D" w:rsidRDefault="00433BF0" w:rsidP="00502795">
            <w:pPr>
              <w:spacing w:after="0" w:line="240" w:lineRule="auto"/>
              <w:jc w:val="center"/>
              <w:rPr>
                <w:rFonts w:ascii="David" w:eastAsia="Times New Roman" w:hAnsi="David" w:cs="David"/>
                <w:color w:val="000000"/>
                <w:sz w:val="24"/>
                <w:szCs w:val="24"/>
              </w:rPr>
            </w:pPr>
            <w:r w:rsidRPr="00391C4D">
              <w:rPr>
                <w:rFonts w:ascii="David" w:eastAsia="Times New Roman" w:hAnsi="David" w:cs="David"/>
                <w:color w:val="000000"/>
                <w:sz w:val="24"/>
                <w:szCs w:val="24"/>
              </w:rPr>
              <w:t>5.8%</w:t>
            </w:r>
          </w:p>
        </w:tc>
        <w:tc>
          <w:tcPr>
            <w:tcW w:w="1843" w:type="dxa"/>
            <w:shd w:val="clear" w:color="auto" w:fill="auto"/>
            <w:vAlign w:val="center"/>
          </w:tcPr>
          <w:p w14:paraId="14E2F0F2" w14:textId="77777777" w:rsidR="00433BF0" w:rsidRPr="00391C4D" w:rsidRDefault="00433BF0" w:rsidP="00502795">
            <w:pPr>
              <w:spacing w:after="0" w:line="240" w:lineRule="auto"/>
              <w:jc w:val="center"/>
              <w:rPr>
                <w:rFonts w:ascii="David" w:eastAsia="Times New Roman" w:hAnsi="David" w:cs="David"/>
                <w:color w:val="000000"/>
                <w:sz w:val="24"/>
                <w:szCs w:val="24"/>
              </w:rPr>
            </w:pPr>
            <w:r>
              <w:rPr>
                <w:rFonts w:ascii="David" w:eastAsia="Times New Roman" w:hAnsi="David" w:cs="David"/>
                <w:color w:val="000000"/>
                <w:sz w:val="24"/>
                <w:szCs w:val="24"/>
              </w:rPr>
              <w:t>10</w:t>
            </w:r>
            <w:r w:rsidRPr="00391C4D">
              <w:rPr>
                <w:rFonts w:ascii="David" w:eastAsia="Times New Roman" w:hAnsi="David" w:cs="David"/>
                <w:color w:val="000000"/>
                <w:sz w:val="24"/>
                <w:szCs w:val="24"/>
              </w:rPr>
              <w:t>.</w:t>
            </w:r>
            <w:r>
              <w:rPr>
                <w:rFonts w:ascii="David" w:eastAsia="Times New Roman" w:hAnsi="David" w:cs="David"/>
                <w:color w:val="000000"/>
                <w:sz w:val="24"/>
                <w:szCs w:val="24"/>
              </w:rPr>
              <w:t>8</w:t>
            </w:r>
            <w:r w:rsidRPr="00391C4D">
              <w:rPr>
                <w:rFonts w:ascii="David" w:eastAsia="Times New Roman" w:hAnsi="David" w:cs="David"/>
                <w:color w:val="000000"/>
                <w:sz w:val="24"/>
                <w:szCs w:val="24"/>
              </w:rPr>
              <w:t>%</w:t>
            </w:r>
          </w:p>
        </w:tc>
      </w:tr>
      <w:tr w:rsidR="00433BF0" w:rsidRPr="002E5EC6" w14:paraId="331BF2A7" w14:textId="77777777" w:rsidTr="00502795">
        <w:trPr>
          <w:trHeight w:val="580"/>
        </w:trPr>
        <w:tc>
          <w:tcPr>
            <w:tcW w:w="2697" w:type="dxa"/>
            <w:shd w:val="clear" w:color="auto" w:fill="auto"/>
            <w:vAlign w:val="center"/>
            <w:hideMark/>
          </w:tcPr>
          <w:p w14:paraId="45E1CB7A" w14:textId="77777777" w:rsidR="00433BF0" w:rsidRPr="00C613A5" w:rsidRDefault="00433BF0" w:rsidP="00502795">
            <w:pPr>
              <w:spacing w:after="0" w:line="240" w:lineRule="auto"/>
              <w:rPr>
                <w:rFonts w:ascii="Arial" w:eastAsia="Times New Roman" w:hAnsi="Arial" w:cs="David"/>
                <w:b/>
                <w:bCs/>
                <w:color w:val="000000"/>
                <w:sz w:val="24"/>
                <w:szCs w:val="24"/>
              </w:rPr>
            </w:pPr>
            <w:r w:rsidRPr="00C613A5">
              <w:rPr>
                <w:rFonts w:ascii="Arial" w:eastAsia="Times New Roman" w:hAnsi="Arial" w:cs="David" w:hint="cs"/>
                <w:b/>
                <w:bCs/>
                <w:color w:val="000000"/>
                <w:sz w:val="24"/>
                <w:szCs w:val="24"/>
                <w:rtl/>
              </w:rPr>
              <w:t>עבודה שיפוטית שאינה קשורה בתיקים</w:t>
            </w:r>
          </w:p>
        </w:tc>
        <w:tc>
          <w:tcPr>
            <w:tcW w:w="2127" w:type="dxa"/>
            <w:shd w:val="clear" w:color="auto" w:fill="auto"/>
            <w:noWrap/>
            <w:vAlign w:val="center"/>
            <w:hideMark/>
          </w:tcPr>
          <w:p w14:paraId="0247E7E8" w14:textId="77777777" w:rsidR="00433BF0" w:rsidRPr="00391C4D" w:rsidRDefault="00433BF0" w:rsidP="00502795">
            <w:pPr>
              <w:spacing w:after="0" w:line="240" w:lineRule="auto"/>
              <w:jc w:val="center"/>
              <w:rPr>
                <w:rFonts w:ascii="David" w:eastAsia="Times New Roman" w:hAnsi="David" w:cs="David"/>
                <w:color w:val="000000"/>
                <w:sz w:val="24"/>
                <w:szCs w:val="24"/>
                <w:rtl/>
              </w:rPr>
            </w:pPr>
            <w:r>
              <w:rPr>
                <w:rFonts w:ascii="David" w:eastAsia="Times New Roman" w:hAnsi="David" w:cs="David"/>
                <w:color w:val="000000"/>
                <w:sz w:val="24"/>
                <w:szCs w:val="24"/>
              </w:rPr>
              <w:t>9%</w:t>
            </w:r>
          </w:p>
        </w:tc>
        <w:tc>
          <w:tcPr>
            <w:tcW w:w="1984" w:type="dxa"/>
            <w:shd w:val="clear" w:color="auto" w:fill="auto"/>
            <w:vAlign w:val="center"/>
          </w:tcPr>
          <w:p w14:paraId="1B9867EE" w14:textId="77777777" w:rsidR="00433BF0" w:rsidRPr="00391C4D" w:rsidRDefault="00433BF0" w:rsidP="00502795">
            <w:pPr>
              <w:spacing w:after="0" w:line="240" w:lineRule="auto"/>
              <w:jc w:val="center"/>
              <w:rPr>
                <w:rFonts w:ascii="David" w:eastAsia="Times New Roman" w:hAnsi="David" w:cs="David"/>
                <w:color w:val="000000"/>
                <w:sz w:val="24"/>
                <w:szCs w:val="24"/>
              </w:rPr>
            </w:pPr>
            <w:r>
              <w:rPr>
                <w:rFonts w:ascii="David" w:eastAsia="Times New Roman" w:hAnsi="David" w:cs="David"/>
                <w:color w:val="000000"/>
                <w:sz w:val="24"/>
                <w:szCs w:val="24"/>
              </w:rPr>
              <w:t>7</w:t>
            </w:r>
            <w:r w:rsidRPr="00391C4D">
              <w:rPr>
                <w:rFonts w:ascii="David" w:eastAsia="Times New Roman" w:hAnsi="David" w:cs="David"/>
                <w:color w:val="000000"/>
                <w:sz w:val="24"/>
                <w:szCs w:val="24"/>
              </w:rPr>
              <w:t>.</w:t>
            </w:r>
            <w:r>
              <w:rPr>
                <w:rFonts w:ascii="David" w:eastAsia="Times New Roman" w:hAnsi="David" w:cs="David"/>
                <w:color w:val="000000"/>
                <w:sz w:val="24"/>
                <w:szCs w:val="24"/>
              </w:rPr>
              <w:t>8</w:t>
            </w:r>
            <w:r w:rsidRPr="00391C4D">
              <w:rPr>
                <w:rFonts w:ascii="David" w:eastAsia="Times New Roman" w:hAnsi="David" w:cs="David"/>
                <w:color w:val="000000"/>
                <w:sz w:val="24"/>
                <w:szCs w:val="24"/>
              </w:rPr>
              <w:t>%</w:t>
            </w:r>
          </w:p>
        </w:tc>
        <w:tc>
          <w:tcPr>
            <w:tcW w:w="1843" w:type="dxa"/>
            <w:shd w:val="clear" w:color="auto" w:fill="auto"/>
            <w:vAlign w:val="center"/>
          </w:tcPr>
          <w:p w14:paraId="40D7D53A" w14:textId="77777777" w:rsidR="00433BF0" w:rsidRPr="00391C4D" w:rsidRDefault="00433BF0" w:rsidP="00502795">
            <w:pPr>
              <w:spacing w:after="0" w:line="240" w:lineRule="auto"/>
              <w:jc w:val="center"/>
              <w:rPr>
                <w:rFonts w:ascii="David" w:eastAsia="Times New Roman" w:hAnsi="David" w:cs="David"/>
                <w:color w:val="000000"/>
                <w:sz w:val="24"/>
                <w:szCs w:val="24"/>
              </w:rPr>
            </w:pPr>
            <w:r w:rsidRPr="00391C4D">
              <w:rPr>
                <w:rFonts w:ascii="David" w:eastAsia="Times New Roman" w:hAnsi="David" w:cs="David"/>
                <w:color w:val="000000"/>
                <w:sz w:val="24"/>
                <w:szCs w:val="24"/>
              </w:rPr>
              <w:t>9.</w:t>
            </w:r>
            <w:r>
              <w:rPr>
                <w:rFonts w:ascii="David" w:eastAsia="Times New Roman" w:hAnsi="David" w:cs="David"/>
                <w:color w:val="000000"/>
                <w:sz w:val="24"/>
                <w:szCs w:val="24"/>
              </w:rPr>
              <w:t>3</w:t>
            </w:r>
            <w:r w:rsidRPr="00391C4D">
              <w:rPr>
                <w:rFonts w:ascii="David" w:eastAsia="Times New Roman" w:hAnsi="David" w:cs="David"/>
                <w:color w:val="000000"/>
                <w:sz w:val="24"/>
                <w:szCs w:val="24"/>
              </w:rPr>
              <w:t>%</w:t>
            </w:r>
          </w:p>
        </w:tc>
      </w:tr>
      <w:tr w:rsidR="00433BF0" w:rsidRPr="002E5EC6" w14:paraId="24C5FD4B" w14:textId="77777777" w:rsidTr="00502795">
        <w:trPr>
          <w:trHeight w:val="457"/>
        </w:trPr>
        <w:tc>
          <w:tcPr>
            <w:tcW w:w="2697" w:type="dxa"/>
            <w:tcBorders>
              <w:bottom w:val="single" w:sz="4" w:space="0" w:color="auto"/>
            </w:tcBorders>
            <w:shd w:val="clear" w:color="auto" w:fill="auto"/>
            <w:vAlign w:val="center"/>
            <w:hideMark/>
          </w:tcPr>
          <w:p w14:paraId="5238CFAD" w14:textId="77777777" w:rsidR="00433BF0" w:rsidRPr="00C613A5" w:rsidRDefault="00433BF0" w:rsidP="00502795">
            <w:pPr>
              <w:spacing w:after="0" w:line="240" w:lineRule="auto"/>
              <w:rPr>
                <w:rFonts w:ascii="Arial" w:eastAsia="Times New Roman" w:hAnsi="Arial" w:cs="David"/>
                <w:b/>
                <w:bCs/>
                <w:color w:val="000000"/>
                <w:sz w:val="24"/>
                <w:szCs w:val="24"/>
              </w:rPr>
            </w:pPr>
            <w:r w:rsidRPr="00C613A5">
              <w:rPr>
                <w:rFonts w:ascii="Arial" w:eastAsia="Times New Roman" w:hAnsi="Arial" w:cs="David" w:hint="cs"/>
                <w:b/>
                <w:bCs/>
                <w:color w:val="000000"/>
                <w:sz w:val="24"/>
                <w:szCs w:val="24"/>
                <w:rtl/>
              </w:rPr>
              <w:t>שמיעת דיונים</w:t>
            </w:r>
          </w:p>
        </w:tc>
        <w:tc>
          <w:tcPr>
            <w:tcW w:w="2127" w:type="dxa"/>
            <w:tcBorders>
              <w:bottom w:val="single" w:sz="4" w:space="0" w:color="auto"/>
            </w:tcBorders>
            <w:shd w:val="clear" w:color="auto" w:fill="auto"/>
            <w:noWrap/>
            <w:vAlign w:val="center"/>
            <w:hideMark/>
          </w:tcPr>
          <w:p w14:paraId="688405F9" w14:textId="77777777" w:rsidR="00433BF0" w:rsidRPr="00391C4D" w:rsidRDefault="00433BF0" w:rsidP="00502795">
            <w:pPr>
              <w:spacing w:after="0" w:line="240" w:lineRule="auto"/>
              <w:jc w:val="center"/>
              <w:rPr>
                <w:rFonts w:ascii="David" w:eastAsia="Times New Roman" w:hAnsi="David" w:cs="David"/>
                <w:color w:val="000000"/>
                <w:sz w:val="24"/>
                <w:szCs w:val="24"/>
                <w:rtl/>
              </w:rPr>
            </w:pPr>
            <w:r>
              <w:rPr>
                <w:rFonts w:ascii="David" w:eastAsia="Times New Roman" w:hAnsi="David" w:cs="David"/>
                <w:color w:val="000000"/>
                <w:sz w:val="24"/>
                <w:szCs w:val="24"/>
              </w:rPr>
              <w:t>30</w:t>
            </w:r>
            <w:r w:rsidRPr="00391C4D">
              <w:rPr>
                <w:rFonts w:ascii="David" w:eastAsia="Times New Roman" w:hAnsi="David" w:cs="David"/>
                <w:color w:val="000000"/>
                <w:sz w:val="24"/>
                <w:szCs w:val="24"/>
              </w:rPr>
              <w:t>.</w:t>
            </w:r>
            <w:r>
              <w:rPr>
                <w:rFonts w:ascii="David" w:eastAsia="Times New Roman" w:hAnsi="David" w:cs="David"/>
                <w:color w:val="000000"/>
                <w:sz w:val="24"/>
                <w:szCs w:val="24"/>
              </w:rPr>
              <w:t>5</w:t>
            </w:r>
            <w:r w:rsidRPr="00391C4D">
              <w:rPr>
                <w:rFonts w:ascii="David" w:eastAsia="Times New Roman" w:hAnsi="David" w:cs="David"/>
                <w:color w:val="000000"/>
                <w:sz w:val="24"/>
                <w:szCs w:val="24"/>
              </w:rPr>
              <w:t>%</w:t>
            </w:r>
          </w:p>
        </w:tc>
        <w:tc>
          <w:tcPr>
            <w:tcW w:w="1984" w:type="dxa"/>
            <w:tcBorders>
              <w:bottom w:val="single" w:sz="4" w:space="0" w:color="auto"/>
            </w:tcBorders>
            <w:shd w:val="clear" w:color="auto" w:fill="auto"/>
            <w:vAlign w:val="center"/>
          </w:tcPr>
          <w:p w14:paraId="2BE61167" w14:textId="77777777" w:rsidR="00433BF0" w:rsidRPr="00391C4D" w:rsidRDefault="00433BF0" w:rsidP="00502795">
            <w:pPr>
              <w:spacing w:after="0" w:line="240" w:lineRule="auto"/>
              <w:jc w:val="center"/>
              <w:rPr>
                <w:rFonts w:ascii="David" w:eastAsia="Times New Roman" w:hAnsi="David" w:cs="David"/>
                <w:color w:val="000000"/>
                <w:sz w:val="24"/>
                <w:szCs w:val="24"/>
              </w:rPr>
            </w:pPr>
            <w:r w:rsidRPr="00391C4D">
              <w:rPr>
                <w:rFonts w:ascii="David" w:eastAsia="Times New Roman" w:hAnsi="David" w:cs="David"/>
                <w:color w:val="000000"/>
                <w:sz w:val="24"/>
                <w:szCs w:val="24"/>
              </w:rPr>
              <w:t>29.</w:t>
            </w:r>
            <w:r>
              <w:rPr>
                <w:rFonts w:ascii="David" w:eastAsia="Times New Roman" w:hAnsi="David" w:cs="David"/>
                <w:color w:val="000000"/>
                <w:sz w:val="24"/>
                <w:szCs w:val="24"/>
              </w:rPr>
              <w:t>6</w:t>
            </w:r>
            <w:r w:rsidRPr="00391C4D">
              <w:rPr>
                <w:rFonts w:ascii="David" w:eastAsia="Times New Roman" w:hAnsi="David" w:cs="David"/>
                <w:color w:val="000000"/>
                <w:sz w:val="24"/>
                <w:szCs w:val="24"/>
              </w:rPr>
              <w:t>%</w:t>
            </w:r>
          </w:p>
        </w:tc>
        <w:tc>
          <w:tcPr>
            <w:tcW w:w="1843" w:type="dxa"/>
            <w:tcBorders>
              <w:bottom w:val="single" w:sz="4" w:space="0" w:color="auto"/>
            </w:tcBorders>
            <w:shd w:val="clear" w:color="auto" w:fill="auto"/>
            <w:vAlign w:val="center"/>
          </w:tcPr>
          <w:p w14:paraId="34365E22" w14:textId="77777777" w:rsidR="00433BF0" w:rsidRPr="00391C4D" w:rsidRDefault="00433BF0" w:rsidP="00502795">
            <w:pPr>
              <w:spacing w:after="0" w:line="240" w:lineRule="auto"/>
              <w:jc w:val="center"/>
              <w:rPr>
                <w:rFonts w:ascii="David" w:eastAsia="Times New Roman" w:hAnsi="David" w:cs="David"/>
                <w:color w:val="000000"/>
                <w:sz w:val="24"/>
                <w:szCs w:val="24"/>
              </w:rPr>
            </w:pPr>
            <w:r w:rsidRPr="00391C4D">
              <w:rPr>
                <w:rFonts w:ascii="David" w:eastAsia="Times New Roman" w:hAnsi="David" w:cs="David"/>
                <w:color w:val="000000"/>
                <w:sz w:val="24"/>
                <w:szCs w:val="24"/>
              </w:rPr>
              <w:t>30.</w:t>
            </w:r>
            <w:r>
              <w:rPr>
                <w:rFonts w:ascii="David" w:eastAsia="Times New Roman" w:hAnsi="David" w:cs="David"/>
                <w:color w:val="000000"/>
                <w:sz w:val="24"/>
                <w:szCs w:val="24"/>
              </w:rPr>
              <w:t>7</w:t>
            </w:r>
            <w:r w:rsidRPr="00391C4D">
              <w:rPr>
                <w:rFonts w:ascii="David" w:eastAsia="Times New Roman" w:hAnsi="David" w:cs="David"/>
                <w:color w:val="000000"/>
                <w:sz w:val="24"/>
                <w:szCs w:val="24"/>
              </w:rPr>
              <w:t>%</w:t>
            </w:r>
          </w:p>
        </w:tc>
      </w:tr>
    </w:tbl>
    <w:p w14:paraId="2C9FF594" w14:textId="77777777" w:rsidR="00433BF0" w:rsidRPr="00433BF0" w:rsidRDefault="00433BF0" w:rsidP="003121C1">
      <w:pPr>
        <w:spacing w:line="360" w:lineRule="auto"/>
        <w:rPr>
          <w:rFonts w:ascii="David" w:hAnsi="David" w:cs="David"/>
          <w:b/>
          <w:bCs/>
          <w:sz w:val="24"/>
          <w:szCs w:val="24"/>
          <w:rtl/>
        </w:rPr>
      </w:pPr>
    </w:p>
    <w:sectPr w:rsidR="00433BF0" w:rsidRPr="00433BF0" w:rsidSect="00F057A1">
      <w:headerReference w:type="even" r:id="rId49"/>
      <w:headerReference w:type="default" r:id="rId50"/>
      <w:footerReference w:type="default" r:id="rId51"/>
      <w:headerReference w:type="first" r:id="rId52"/>
      <w:pgSz w:w="11906" w:h="16838"/>
      <w:pgMar w:top="1276" w:right="1416" w:bottom="1304" w:left="1841"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6B4FD7" w14:textId="77777777" w:rsidR="000761E8" w:rsidRDefault="000761E8">
      <w:pPr>
        <w:spacing w:after="0" w:line="240" w:lineRule="auto"/>
      </w:pPr>
      <w:r>
        <w:separator/>
      </w:r>
    </w:p>
  </w:endnote>
  <w:endnote w:type="continuationSeparator" w:id="0">
    <w:p w14:paraId="000C30B4" w14:textId="77777777" w:rsidR="000761E8" w:rsidRDefault="000761E8">
      <w:pPr>
        <w:spacing w:after="0" w:line="240" w:lineRule="auto"/>
      </w:pPr>
      <w:r>
        <w:continuationSeparator/>
      </w:r>
    </w:p>
  </w:endnote>
  <w:endnote w:type="continuationNotice" w:id="1">
    <w:p w14:paraId="348BC90C" w14:textId="77777777" w:rsidR="000761E8" w:rsidRDefault="000761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altName w:val="Malgun Gothic Semilight"/>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Bold">
    <w:panose1 w:val="00000000000000000000"/>
    <w:charset w:val="B1"/>
    <w:family w:val="auto"/>
    <w:notTrueType/>
    <w:pitch w:val="default"/>
    <w:sig w:usb0="00000800" w:usb1="0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C7680" w14:textId="77777777" w:rsidR="000761E8" w:rsidRPr="00F057A1" w:rsidRDefault="000761E8" w:rsidP="00F057A1">
    <w:pPr>
      <w:pStyle w:val="a7"/>
      <w:jc w:val="center"/>
      <w:rPr>
        <w:rFonts w:ascii="David" w:hAnsi="David" w:cs="David"/>
        <w:sz w:val="24"/>
        <w:szCs w:val="24"/>
      </w:rPr>
    </w:pPr>
    <w:r>
      <w:rPr>
        <w:rFonts w:ascii="David" w:hAnsi="David" w:cs="David" w:hint="cs"/>
        <w:sz w:val="24"/>
        <w:szCs w:val="24"/>
        <w:rtl/>
      </w:rPr>
      <w:t>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83AAB" w14:textId="77777777" w:rsidR="000761E8" w:rsidRDefault="000761E8" w:rsidP="006A11FB">
    <w:pPr>
      <w:pStyle w:val="a7"/>
      <w:tabs>
        <w:tab w:val="left" w:pos="3762"/>
        <w:tab w:val="center" w:pos="4748"/>
      </w:tabs>
      <w:rPr>
        <w:rtl/>
        <w:cs/>
      </w:rPr>
    </w:pPr>
    <w:r>
      <w:rPr>
        <w:rtl/>
      </w:rPr>
      <w:tab/>
    </w:r>
    <w:r>
      <w:rPr>
        <w:rtl/>
      </w:rPr>
      <w:tab/>
    </w:r>
    <w:r>
      <w:rPr>
        <w:rtl/>
      </w:rPr>
      <w:tab/>
    </w:r>
    <w:r w:rsidRPr="003B3D37">
      <w:rPr>
        <w:rFonts w:cs="David"/>
      </w:rPr>
      <w:fldChar w:fldCharType="begin"/>
    </w:r>
    <w:r w:rsidRPr="003B3D37">
      <w:rPr>
        <w:rFonts w:cs="David"/>
      </w:rPr>
      <w:instrText xml:space="preserve"> PAGE   \* MERGEFORMAT </w:instrText>
    </w:r>
    <w:r w:rsidRPr="003B3D37">
      <w:rPr>
        <w:rFonts w:cs="David"/>
      </w:rPr>
      <w:fldChar w:fldCharType="separate"/>
    </w:r>
    <w:r>
      <w:rPr>
        <w:rFonts w:cs="David"/>
        <w:noProof/>
        <w:rtl/>
      </w:rPr>
      <w:t>66</w:t>
    </w:r>
    <w:r w:rsidRPr="003B3D37">
      <w:rPr>
        <w:rFonts w:cs="David"/>
      </w:rPr>
      <w:fldChar w:fldCharType="end"/>
    </w:r>
  </w:p>
  <w:p w14:paraId="3C4F5FD4" w14:textId="77777777" w:rsidR="000761E8" w:rsidRDefault="000761E8">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6462A" w14:textId="77777777" w:rsidR="000761E8" w:rsidRDefault="000761E8" w:rsidP="005366CC">
    <w:pPr>
      <w:pStyle w:val="a7"/>
      <w:jc w:val="center"/>
      <w:rPr>
        <w:rFonts w:ascii="David" w:hAnsi="David" w:cs="David"/>
        <w:sz w:val="24"/>
        <w:szCs w:val="24"/>
      </w:rPr>
    </w:pPr>
  </w:p>
  <w:p w14:paraId="6621C3B8" w14:textId="563AB363" w:rsidR="000761E8" w:rsidRPr="005366CC" w:rsidRDefault="000761E8" w:rsidP="005366CC">
    <w:pPr>
      <w:pStyle w:val="a7"/>
      <w:jc w:val="center"/>
      <w:rPr>
        <w:rFonts w:asciiTheme="minorHAnsi" w:hAnsiTheme="minorHAnsi" w:cs="David"/>
        <w:sz w:val="24"/>
        <w:szCs w:val="24"/>
      </w:rPr>
    </w:pPr>
    <w:r w:rsidRPr="00F057A1">
      <w:rPr>
        <w:rFonts w:ascii="David" w:hAnsi="David" w:cs="David"/>
        <w:sz w:val="24"/>
        <w:szCs w:val="24"/>
      </w:rPr>
      <w:fldChar w:fldCharType="begin"/>
    </w:r>
    <w:r w:rsidRPr="00F057A1">
      <w:rPr>
        <w:rFonts w:ascii="David" w:hAnsi="David" w:cs="David"/>
        <w:sz w:val="24"/>
        <w:szCs w:val="24"/>
        <w:rtl/>
        <w:cs/>
      </w:rPr>
      <w:instrText>PAGE   \* MERGEFORMAT</w:instrText>
    </w:r>
    <w:r w:rsidRPr="00F057A1">
      <w:rPr>
        <w:rFonts w:ascii="David" w:hAnsi="David" w:cs="David"/>
        <w:sz w:val="24"/>
        <w:szCs w:val="24"/>
      </w:rPr>
      <w:fldChar w:fldCharType="separate"/>
    </w:r>
    <w:r w:rsidR="008F1BC3" w:rsidRPr="008F1BC3">
      <w:rPr>
        <w:rFonts w:ascii="David" w:hAnsi="David" w:cs="David"/>
        <w:noProof/>
        <w:sz w:val="24"/>
        <w:szCs w:val="24"/>
        <w:rtl/>
        <w:lang w:val="he-IL"/>
      </w:rPr>
      <w:t>21</w:t>
    </w:r>
    <w:r w:rsidRPr="00F057A1">
      <w:rPr>
        <w:rFonts w:ascii="David" w:hAnsi="David" w:cs="David"/>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872DB1" w14:textId="77777777" w:rsidR="000761E8" w:rsidRDefault="000761E8" w:rsidP="00594534">
      <w:pPr>
        <w:spacing w:after="0" w:line="240" w:lineRule="auto"/>
      </w:pPr>
      <w:r>
        <w:separator/>
      </w:r>
    </w:p>
  </w:footnote>
  <w:footnote w:type="continuationSeparator" w:id="0">
    <w:p w14:paraId="451FC529" w14:textId="77777777" w:rsidR="000761E8" w:rsidRDefault="000761E8" w:rsidP="00594534">
      <w:pPr>
        <w:spacing w:after="0" w:line="240" w:lineRule="auto"/>
      </w:pPr>
      <w:r>
        <w:continuationSeparator/>
      </w:r>
    </w:p>
  </w:footnote>
  <w:footnote w:type="continuationNotice" w:id="1">
    <w:p w14:paraId="75CD2BFF" w14:textId="77777777" w:rsidR="000761E8" w:rsidRDefault="000761E8">
      <w:pPr>
        <w:spacing w:after="0" w:line="240" w:lineRule="auto"/>
      </w:pPr>
    </w:p>
  </w:footnote>
  <w:footnote w:id="2">
    <w:p w14:paraId="2C38940E" w14:textId="0F5E49B7" w:rsidR="000761E8" w:rsidRPr="00F25744" w:rsidRDefault="000761E8" w:rsidP="007810C0">
      <w:pPr>
        <w:pStyle w:val="a4"/>
        <w:bidi/>
        <w:spacing w:before="0" w:after="0" w:line="240" w:lineRule="auto"/>
        <w:ind w:left="142" w:hanging="142"/>
        <w:rPr>
          <w:rtl/>
        </w:rPr>
      </w:pPr>
      <w:r w:rsidRPr="00F25744">
        <w:rPr>
          <w:rStyle w:val="a6"/>
        </w:rPr>
        <w:footnoteRef/>
      </w:r>
      <w:r w:rsidRPr="00F25744">
        <w:t xml:space="preserve"> </w:t>
      </w:r>
      <w:r w:rsidRPr="00F25744">
        <w:rPr>
          <w:rFonts w:ascii="David" w:hAnsi="David" w:cs="David" w:hint="cs"/>
          <w:rtl/>
        </w:rPr>
        <w:t>מחקר חשוב ועצום ממדים</w:t>
      </w:r>
      <w:r w:rsidRPr="00F25744">
        <w:rPr>
          <w:rFonts w:ascii="David" w:hAnsi="David" w:cs="David"/>
          <w:rtl/>
        </w:rPr>
        <w:t xml:space="preserve"> זה לא היה יוצא אל הפועל ללא עזרתם של רבים, ועל </w:t>
      </w:r>
      <w:r w:rsidRPr="00F25744">
        <w:rPr>
          <w:rFonts w:ascii="David" w:hAnsi="David" w:cs="David" w:hint="cs"/>
          <w:rtl/>
        </w:rPr>
        <w:t>כך</w:t>
      </w:r>
      <w:r w:rsidRPr="00F25744">
        <w:rPr>
          <w:rFonts w:ascii="David" w:hAnsi="David" w:cs="David"/>
          <w:rtl/>
        </w:rPr>
        <w:t xml:space="preserve"> אנו רוצ</w:t>
      </w:r>
      <w:r w:rsidRPr="00F25744">
        <w:rPr>
          <w:rFonts w:ascii="David" w:hAnsi="David" w:cs="David" w:hint="cs"/>
          <w:rtl/>
        </w:rPr>
        <w:t>ות</w:t>
      </w:r>
      <w:r w:rsidRPr="00F25744">
        <w:rPr>
          <w:rFonts w:ascii="David" w:hAnsi="David" w:cs="David"/>
          <w:rtl/>
        </w:rPr>
        <w:t xml:space="preserve"> להוקיר תודה. </w:t>
      </w:r>
      <w:r w:rsidRPr="00F25744">
        <w:rPr>
          <w:rFonts w:ascii="David" w:hAnsi="David" w:cs="David" w:hint="cs"/>
          <w:rtl/>
        </w:rPr>
        <w:t xml:space="preserve">ראשית נודה לכבוד נשיאת בית המשפט העליון, השופטת אסתר חיות, ולמנהל בתי המשפט, השופט ד"ר יגאל מרזל, על תמיכתם וסיועם למחקר בכל שלביו, ורתימת המערכת כולה להצלחת המחקר. נודה לנשיאים ולסגני הנשיאים אשר ייעצו, העירו, השיבו על שאלות רבות וגייסו את השופטים והרשמים לשיתוף פעולה בכל שלבי המחקר השונים. תודה לשופט עמי קובו ולשופטת קרן אזולאי, חברי ועדת ההיגוי, על הייעוץ שנתנו במהלך המחקר ועל הערותיהם המועילות על טיוטת המחקר. תודה לשופטים ולרשמים אשר שיתפו פעולה ותיעדו במהלך המחקר את כל הפעולות השיפוטיות שביצעו ומילאו בתשומת לב את השאלונים השונים, וכן לשופטים השונים שעמם התייעצנו במהלך המחקר. תודה לעוזרים המשפטיים אשר ביצעו את ההדרכות לשופטים, לרשמים ולשאר העוזרים המשפטיים על המחקר: עורכות ועורכי הדין מיטל בר-דוד, אושרת מצה, עדי קפלן, רוית טל, יונית פרידמן, סיון רצון, אורטל כהן (שר שלום), עינת מידן, טלי ראובני, אסף ג'רבי, ליאור אהרוני, ערן שחר, עוזי סלע, מיכל אביעזר, יסמין זמיר-כספי, אבישג פומרנץ, אודליה אזולאי-מויאל, שמרית גנני, אורטל בן אור, יפעת עזראי, דברת בן לולו, מיכל טילינגר, שירלי בטסיקס קיסוס, מעיין פלטנר סטולרו, מאיה בלאו, רולא חמאיסי, לנה ערמון, גלית רשף-אוסמו, יונית ויינהבר, ובכלל זאת תודה מיוחדת לעו"ד אודליה חבקין, מנהלת מנ"ת מחוזית במחוז מרכז, על ההדרכה, הייעוץ והמענה לשאלות רבות. כמו כן נודה לכל העוזרים המשפטיים אשר סייעו לשופטים למלא את היומנים המקוונים. תודה לגב' שלומית לוי-לביא, </w:t>
      </w:r>
      <w:r w:rsidRPr="00F25744">
        <w:rPr>
          <w:rFonts w:ascii="David" w:hAnsi="David" w:cs="David"/>
          <w:rtl/>
        </w:rPr>
        <w:t>סמנכ"לית בכירה תפעול ומזכירויות</w:t>
      </w:r>
      <w:r w:rsidRPr="00F25744">
        <w:rPr>
          <w:rFonts w:ascii="David" w:hAnsi="David" w:cs="David" w:hint="cs"/>
          <w:rtl/>
        </w:rPr>
        <w:t xml:space="preserve">, על הייעוץ והסיוע הרב בגיוס הקלדניות והקלדנים לתיעוד זמני הדיונים בתקופת המחקר, ולנעמה הוד ואיילת קביצל אשר ייעצו לנו על מערך המחקר של הקלדניות, </w:t>
      </w:r>
      <w:r>
        <w:rPr>
          <w:rFonts w:ascii="David" w:hAnsi="David" w:cs="David" w:hint="cs"/>
          <w:rtl/>
        </w:rPr>
        <w:t>ו</w:t>
      </w:r>
      <w:r w:rsidRPr="00F25744">
        <w:rPr>
          <w:rFonts w:ascii="David" w:hAnsi="David" w:cs="David" w:hint="cs"/>
          <w:rtl/>
        </w:rPr>
        <w:t>הכינו וביצעו את ההדרכות לקלדניות בכל רחבי הארץ. תודה לקלדניות ולקלדנים ולאחראיות הקלדניות אשר תיעדו את זמני הדיונים ואספו את הנתונים לצורך העברתם למחלקת המחקר. תודה מיוחדת לגרמן בלטל ממחלקת המחשוב בהנהלת בתי המשפט</w:t>
      </w:r>
      <w:r w:rsidRPr="00F25744">
        <w:rPr>
          <w:rFonts w:ascii="David" w:hAnsi="David" w:cs="David"/>
          <w:rtl/>
        </w:rPr>
        <w:t xml:space="preserve"> ש</w:t>
      </w:r>
      <w:r w:rsidRPr="00F25744">
        <w:rPr>
          <w:rFonts w:ascii="David" w:hAnsi="David" w:cs="David" w:hint="cs"/>
          <w:rtl/>
        </w:rPr>
        <w:t xml:space="preserve">ללא עזרתו בהפקת הנתונים, המחקר לא היה מתממש. נסיים בתודה לעוזרי המחקר של המחלקה: אביטל קלץ, אסף שטיין, ליאל שני, אפרת גילרנטר, מוריה פרקש זימר ושחר ברקמן-דויטש על </w:t>
      </w:r>
      <w:r w:rsidRPr="00F25744">
        <w:rPr>
          <w:rFonts w:cs="David" w:hint="cs"/>
          <w:rtl/>
        </w:rPr>
        <w:t>מלאכת איסוף הנתונים.</w:t>
      </w:r>
      <w:r w:rsidRPr="00F25744">
        <w:t xml:space="preserve"> </w:t>
      </w:r>
    </w:p>
  </w:footnote>
  <w:footnote w:id="3">
    <w:p w14:paraId="1194A3F9" w14:textId="77777777" w:rsidR="000761E8" w:rsidRPr="00F25744" w:rsidRDefault="000761E8" w:rsidP="00727589">
      <w:pPr>
        <w:pStyle w:val="a4"/>
        <w:bidi/>
        <w:spacing w:before="0" w:after="0" w:line="240" w:lineRule="auto"/>
        <w:ind w:left="142" w:hanging="142"/>
        <w:rPr>
          <w:rFonts w:ascii="David" w:hAnsi="David" w:cs="David"/>
          <w:rtl/>
        </w:rPr>
      </w:pPr>
      <w:r w:rsidRPr="00F25744">
        <w:rPr>
          <w:rStyle w:val="a6"/>
        </w:rPr>
        <w:footnoteRef/>
      </w:r>
      <w:r w:rsidRPr="00F25744">
        <w:rPr>
          <w:rStyle w:val="a6"/>
        </w:rPr>
        <w:t xml:space="preserve"> </w:t>
      </w:r>
      <w:r w:rsidRPr="00F25744">
        <w:rPr>
          <w:rFonts w:ascii="David" w:hAnsi="David" w:cs="David" w:hint="cs"/>
          <w:rtl/>
        </w:rPr>
        <w:t xml:space="preserve"> </w:t>
      </w:r>
      <w:r w:rsidRPr="00F25744">
        <w:rPr>
          <w:rFonts w:ascii="David" w:hAnsi="David" w:cs="David"/>
          <w:rtl/>
        </w:rPr>
        <w:tab/>
        <w:t>קרן וינשל-מרגל, ענבל גלון ויפעת טרבולוס, "יצירת מדד משקלות תיקים להערכת העומס השיפוטי בישראל", מחלקת המחקר של הרשות השופטת (03.2014). </w:t>
      </w:r>
    </w:p>
  </w:footnote>
  <w:footnote w:id="4">
    <w:p w14:paraId="0E63347E" w14:textId="50A260E5" w:rsidR="000761E8" w:rsidRPr="00F25744" w:rsidRDefault="000761E8" w:rsidP="00103004">
      <w:pPr>
        <w:widowControl w:val="0"/>
        <w:autoSpaceDE w:val="0"/>
        <w:autoSpaceDN w:val="0"/>
        <w:adjustRightInd w:val="0"/>
        <w:spacing w:after="0" w:line="240" w:lineRule="auto"/>
        <w:ind w:left="83" w:hanging="83"/>
        <w:jc w:val="both"/>
        <w:rPr>
          <w:rtl/>
        </w:rPr>
      </w:pPr>
      <w:r w:rsidRPr="00F25744">
        <w:rPr>
          <w:rStyle w:val="a6"/>
        </w:rPr>
        <w:footnoteRef/>
      </w:r>
      <w:r w:rsidRPr="00F25744">
        <w:t xml:space="preserve"> </w:t>
      </w:r>
      <w:r w:rsidRPr="00F25744">
        <w:rPr>
          <w:rFonts w:ascii="David" w:hAnsi="David" w:cs="David" w:hint="cs"/>
          <w:sz w:val="20"/>
          <w:szCs w:val="20"/>
          <w:rtl/>
        </w:rPr>
        <w:t xml:space="preserve">כך, למשל, בעקבות פרסומים שונים בעניין זה מחודש פברואר </w:t>
      </w:r>
      <w:r>
        <w:rPr>
          <w:rFonts w:ascii="David" w:hAnsi="David" w:cs="David" w:hint="cs"/>
          <w:sz w:val="20"/>
          <w:szCs w:val="20"/>
          <w:rtl/>
        </w:rPr>
        <w:t>2020</w:t>
      </w:r>
      <w:r w:rsidRPr="00F25744">
        <w:rPr>
          <w:rFonts w:ascii="David" w:hAnsi="David" w:cs="David" w:hint="cs"/>
          <w:sz w:val="20"/>
          <w:szCs w:val="20"/>
          <w:rtl/>
        </w:rPr>
        <w:t xml:space="preserve">, אמר שר המשפטים דאז, אמיר אוחנה, כי "העומס על בתי המשפט ועל השופטים הוא תופעה ארוכת שנים, המלווה את שרי המשפטים לדורותיהם", וכן שרת המשפטים לשעבר, איילת שקד אמרה כי "שופטי ישראל הם מהשופטים העמוסים בעולם". מתוך </w:t>
      </w:r>
      <w:r w:rsidRPr="00F25744">
        <w:rPr>
          <w:rFonts w:ascii="David" w:hAnsi="David" w:cs="David"/>
          <w:sz w:val="20"/>
          <w:szCs w:val="20"/>
          <w:rtl/>
        </w:rPr>
        <w:t>אתר ישראל היום:</w:t>
      </w:r>
      <w:r w:rsidRPr="00F25744">
        <w:rPr>
          <w:rFonts w:ascii="David" w:hAnsi="David" w:cs="David"/>
          <w:rtl/>
        </w:rPr>
        <w:t xml:space="preserve"> </w:t>
      </w:r>
      <w:hyperlink w:history="1">
        <w:r w:rsidRPr="00F25744">
          <w:rPr>
            <w:rStyle w:val="Hyperlink"/>
            <w:rFonts w:ascii="David" w:hAnsi="David" w:cs="David"/>
          </w:rPr>
          <w:t>https://www.israelhayom.co.il/article/732507</w:t>
        </w:r>
      </w:hyperlink>
      <w:r w:rsidRPr="00F25744">
        <w:rPr>
          <w:rFonts w:ascii="David" w:hAnsi="David" w:cs="David"/>
          <w:rtl/>
        </w:rPr>
        <w:t xml:space="preserve"> </w:t>
      </w:r>
      <w:r w:rsidRPr="00F25744">
        <w:rPr>
          <w:rFonts w:ascii="David" w:hAnsi="David" w:cs="David"/>
          <w:sz w:val="20"/>
          <w:szCs w:val="20"/>
          <w:rtl/>
        </w:rPr>
        <w:t>(11.02.2020).</w:t>
      </w:r>
    </w:p>
  </w:footnote>
  <w:footnote w:id="5">
    <w:p w14:paraId="0EE17F9F" w14:textId="77777777" w:rsidR="000761E8" w:rsidRPr="00F25744" w:rsidRDefault="000761E8" w:rsidP="00174B1F">
      <w:pPr>
        <w:pStyle w:val="a4"/>
        <w:bidi/>
        <w:spacing w:before="0" w:after="0" w:line="240" w:lineRule="auto"/>
        <w:ind w:left="285" w:hanging="285"/>
        <w:rPr>
          <w:rFonts w:ascii="David" w:hAnsi="David" w:cs="David"/>
          <w:rtl/>
        </w:rPr>
      </w:pPr>
      <w:r w:rsidRPr="00F25744">
        <w:rPr>
          <w:rStyle w:val="a6"/>
        </w:rPr>
        <w:footnoteRef/>
      </w:r>
      <w:r w:rsidRPr="00F25744">
        <w:rPr>
          <w:rtl/>
        </w:rPr>
        <w:t xml:space="preserve"> </w:t>
      </w:r>
      <w:r w:rsidRPr="00F25744">
        <w:rPr>
          <w:rFonts w:ascii="David" w:hAnsi="David" w:cs="David"/>
          <w:rtl/>
        </w:rPr>
        <w:tab/>
      </w:r>
      <w:r w:rsidRPr="00F25744">
        <w:rPr>
          <w:rFonts w:ascii="David" w:hAnsi="David" w:cs="David" w:hint="cs"/>
          <w:rtl/>
        </w:rPr>
        <w:t xml:space="preserve">ראו </w:t>
      </w:r>
      <w:r w:rsidRPr="00F25744">
        <w:rPr>
          <w:rFonts w:ascii="David" w:hAnsi="David" w:cs="David"/>
          <w:rtl/>
        </w:rPr>
        <w:t xml:space="preserve">מאמר </w:t>
      </w:r>
      <w:r w:rsidRPr="00F25744">
        <w:rPr>
          <w:rFonts w:ascii="David" w:hAnsi="David" w:cs="David" w:hint="cs"/>
          <w:rtl/>
        </w:rPr>
        <w:t>ה</w:t>
      </w:r>
      <w:r w:rsidRPr="00F25744">
        <w:rPr>
          <w:rFonts w:ascii="David" w:hAnsi="David" w:cs="David"/>
          <w:rtl/>
        </w:rPr>
        <w:t xml:space="preserve">דעה של השופט </w:t>
      </w:r>
      <w:r w:rsidRPr="00F25744">
        <w:rPr>
          <w:rFonts w:ascii="David" w:hAnsi="David" w:cs="David" w:hint="cs"/>
          <w:rtl/>
        </w:rPr>
        <w:t>(</w:t>
      </w:r>
      <w:r w:rsidRPr="00F25744">
        <w:rPr>
          <w:rFonts w:ascii="David" w:hAnsi="David" w:cs="David"/>
          <w:rtl/>
        </w:rPr>
        <w:t>בדימוס</w:t>
      </w:r>
      <w:r w:rsidRPr="00F25744">
        <w:rPr>
          <w:rFonts w:ascii="David" w:hAnsi="David" w:cs="David" w:hint="cs"/>
          <w:rtl/>
        </w:rPr>
        <w:t>)</w:t>
      </w:r>
      <w:r w:rsidRPr="00F25744">
        <w:rPr>
          <w:rFonts w:ascii="David" w:hAnsi="David" w:cs="David"/>
          <w:rtl/>
        </w:rPr>
        <w:t xml:space="preserve"> אליהו מצא באתר המכון הישראלי לדמוקרטיה</w:t>
      </w:r>
      <w:r w:rsidRPr="00F25744">
        <w:rPr>
          <w:rFonts w:ascii="David" w:hAnsi="David" w:cs="David" w:hint="cs"/>
          <w:rtl/>
        </w:rPr>
        <w:t>,</w:t>
      </w:r>
      <w:r w:rsidRPr="00F25744">
        <w:rPr>
          <w:rFonts w:ascii="David" w:hAnsi="David" w:cs="David"/>
          <w:rtl/>
        </w:rPr>
        <w:t xml:space="preserve"> </w:t>
      </w:r>
      <w:r w:rsidRPr="00F25744">
        <w:rPr>
          <w:rFonts w:ascii="David" w:hAnsi="David" w:cs="David" w:hint="cs"/>
          <w:rtl/>
        </w:rPr>
        <w:t>"</w:t>
      </w:r>
      <w:r w:rsidRPr="00F25744">
        <w:rPr>
          <w:rFonts w:ascii="David" w:hAnsi="David" w:cs="David"/>
          <w:rtl/>
        </w:rPr>
        <w:t>העומס בבתי המשפט פוגע בציבור</w:t>
      </w:r>
      <w:r w:rsidRPr="00F25744">
        <w:rPr>
          <w:rFonts w:ascii="David" w:hAnsi="David" w:cs="David" w:hint="cs"/>
          <w:rtl/>
        </w:rPr>
        <w:t>"</w:t>
      </w:r>
      <w:r w:rsidRPr="00F25744">
        <w:rPr>
          <w:rFonts w:ascii="David" w:hAnsi="David" w:cs="David"/>
          <w:rtl/>
        </w:rPr>
        <w:t xml:space="preserve"> </w:t>
      </w:r>
      <w:hyperlink w:history="1">
        <w:r w:rsidRPr="00F25744">
          <w:rPr>
            <w:rStyle w:val="Hyperlink"/>
            <w:rFonts w:ascii="David" w:hAnsi="David" w:cs="David"/>
          </w:rPr>
          <w:t>https://</w:t>
        </w:r>
        <w:bookmarkStart w:id="12" w:name="_Hlt44612493"/>
        <w:bookmarkStart w:id="13" w:name="_Hlt44612494"/>
        <w:r w:rsidRPr="00F25744">
          <w:rPr>
            <w:rStyle w:val="Hyperlink"/>
            <w:rFonts w:ascii="David" w:hAnsi="David" w:cs="David"/>
          </w:rPr>
          <w:t>w</w:t>
        </w:r>
        <w:bookmarkEnd w:id="12"/>
        <w:bookmarkEnd w:id="13"/>
        <w:r w:rsidRPr="00F25744">
          <w:rPr>
            <w:rStyle w:val="Hyperlink"/>
            <w:rFonts w:ascii="David" w:hAnsi="David" w:cs="David"/>
          </w:rPr>
          <w:t>ww.idi.org.il/articles/9380</w:t>
        </w:r>
      </w:hyperlink>
      <w:r w:rsidRPr="00F25744">
        <w:rPr>
          <w:rFonts w:ascii="David" w:hAnsi="David" w:cs="David" w:hint="cs"/>
          <w:rtl/>
        </w:rPr>
        <w:t xml:space="preserve"> (22.02.2011). </w:t>
      </w:r>
    </w:p>
  </w:footnote>
  <w:footnote w:id="6">
    <w:p w14:paraId="7BE9B2ED" w14:textId="77777777" w:rsidR="000761E8" w:rsidRPr="00F25744" w:rsidRDefault="000761E8" w:rsidP="00174B1F">
      <w:pPr>
        <w:pStyle w:val="a4"/>
        <w:bidi/>
        <w:spacing w:before="0" w:after="0" w:line="240" w:lineRule="auto"/>
        <w:ind w:left="285" w:hanging="285"/>
        <w:rPr>
          <w:rFonts w:ascii="David" w:hAnsi="David" w:cs="David"/>
          <w:rtl/>
        </w:rPr>
      </w:pPr>
      <w:r w:rsidRPr="00F25744">
        <w:rPr>
          <w:rFonts w:cs="Calibri"/>
          <w:sz w:val="14"/>
          <w:szCs w:val="14"/>
        </w:rPr>
        <w:footnoteRef/>
      </w:r>
      <w:r w:rsidRPr="00F25744">
        <w:rPr>
          <w:rFonts w:ascii="David" w:hAnsi="David" w:cs="David"/>
        </w:rPr>
        <w:t xml:space="preserve"> </w:t>
      </w:r>
      <w:r w:rsidRPr="00F25744">
        <w:rPr>
          <w:rFonts w:ascii="David" w:hAnsi="David" w:cs="David"/>
          <w:rtl/>
        </w:rPr>
        <w:tab/>
      </w:r>
      <w:r w:rsidRPr="00F25744">
        <w:rPr>
          <w:rFonts w:ascii="David" w:hAnsi="David" w:cs="David" w:hint="cs"/>
          <w:rtl/>
        </w:rPr>
        <w:t>שני בנקין ו</w:t>
      </w:r>
      <w:r w:rsidRPr="00F25744">
        <w:rPr>
          <w:rFonts w:ascii="David" w:hAnsi="David" w:cs="David"/>
          <w:rtl/>
        </w:rPr>
        <w:t xml:space="preserve">גלי אביב, </w:t>
      </w:r>
      <w:r w:rsidRPr="00F25744">
        <w:rPr>
          <w:rFonts w:ascii="David" w:hAnsi="David" w:cs="David" w:hint="cs"/>
          <w:rtl/>
        </w:rPr>
        <w:t>"</w:t>
      </w:r>
      <w:r w:rsidRPr="00F25744">
        <w:rPr>
          <w:rFonts w:ascii="David" w:hAnsi="David" w:cs="David"/>
          <w:rtl/>
        </w:rPr>
        <w:t>דו"ח הנציבות האירופית לבחינת יעילות מערכות הצדק להשוואת והערכת מערכות משפט לשנת 2018 - ניתוח נתוני 2016</w:t>
      </w:r>
      <w:r w:rsidRPr="00F25744">
        <w:rPr>
          <w:rFonts w:ascii="David" w:hAnsi="David" w:cs="David" w:hint="cs"/>
          <w:rtl/>
        </w:rPr>
        <w:t>"</w:t>
      </w:r>
      <w:r w:rsidRPr="00F25744">
        <w:rPr>
          <w:rFonts w:ascii="David" w:hAnsi="David" w:cs="David"/>
          <w:rtl/>
        </w:rPr>
        <w:t>, מחלקת המחקר של הרשות השופטת (06.2019).</w:t>
      </w:r>
    </w:p>
  </w:footnote>
  <w:footnote w:id="7">
    <w:p w14:paraId="4F8228D4" w14:textId="77777777" w:rsidR="000761E8" w:rsidRPr="00F25744" w:rsidRDefault="000761E8" w:rsidP="00174B1F">
      <w:pPr>
        <w:pStyle w:val="a4"/>
        <w:bidi/>
        <w:spacing w:before="0" w:after="0" w:line="240" w:lineRule="auto"/>
        <w:ind w:left="285" w:hanging="285"/>
        <w:rPr>
          <w:rtl/>
        </w:rPr>
      </w:pPr>
      <w:r w:rsidRPr="00F25744">
        <w:rPr>
          <w:rStyle w:val="a6"/>
        </w:rPr>
        <w:footnoteRef/>
      </w:r>
      <w:r w:rsidRPr="00F25744">
        <w:rPr>
          <w:rtl/>
        </w:rPr>
        <w:t xml:space="preserve"> </w:t>
      </w:r>
      <w:r w:rsidRPr="00F25744">
        <w:rPr>
          <w:rFonts w:ascii="David" w:hAnsi="David" w:cs="David"/>
          <w:rtl/>
        </w:rPr>
        <w:tab/>
      </w:r>
      <w:r w:rsidRPr="00F25744">
        <w:rPr>
          <w:rFonts w:ascii="David" w:hAnsi="David" w:cs="David" w:hint="cs"/>
          <w:rtl/>
        </w:rPr>
        <w:t>כפי המפורט בעמוד 11 לדו"ח ההשוואתי לעיל, בהתאם להגדרות ה-</w:t>
      </w:r>
      <w:r w:rsidRPr="00F25744">
        <w:rPr>
          <w:rFonts w:ascii="David" w:hAnsi="David" w:cs="David" w:hint="cs"/>
        </w:rPr>
        <w:t>CEPEJ</w:t>
      </w:r>
      <w:r w:rsidRPr="00F25744">
        <w:rPr>
          <w:rFonts w:ascii="David" w:hAnsi="David" w:cs="David" w:hint="cs"/>
          <w:rtl/>
        </w:rPr>
        <w:t xml:space="preserve">, </w:t>
      </w:r>
      <w:r w:rsidRPr="00F25744">
        <w:rPr>
          <w:rFonts w:ascii="David" w:hAnsi="David" w:cs="David"/>
          <w:rtl/>
        </w:rPr>
        <w:t xml:space="preserve">בישראל </w:t>
      </w:r>
      <w:r w:rsidRPr="00F25744">
        <w:rPr>
          <w:rFonts w:ascii="David" w:hAnsi="David" w:cs="David" w:hint="cs"/>
          <w:rtl/>
        </w:rPr>
        <w:t>"</w:t>
      </w:r>
      <w:r w:rsidRPr="00F25744">
        <w:rPr>
          <w:rFonts w:ascii="David" w:hAnsi="David" w:cs="David"/>
          <w:rtl/>
        </w:rPr>
        <w:t>שופטים מקצועיים ארעיים</w:t>
      </w:r>
      <w:r w:rsidRPr="00F25744">
        <w:rPr>
          <w:rFonts w:ascii="David" w:hAnsi="David" w:cs="David" w:hint="cs"/>
          <w:rtl/>
        </w:rPr>
        <w:t>"</w:t>
      </w:r>
      <w:r w:rsidRPr="00F25744">
        <w:rPr>
          <w:rFonts w:ascii="David" w:hAnsi="David" w:cs="David"/>
          <w:rtl/>
        </w:rPr>
        <w:t xml:space="preserve"> ה</w:t>
      </w:r>
      <w:r w:rsidRPr="00F25744">
        <w:rPr>
          <w:rFonts w:ascii="David" w:hAnsi="David" w:cs="David" w:hint="cs"/>
          <w:rtl/>
        </w:rPr>
        <w:t>ם</w:t>
      </w:r>
      <w:r w:rsidRPr="00F25744">
        <w:rPr>
          <w:rFonts w:ascii="David" w:hAnsi="David" w:cs="David"/>
          <w:rtl/>
        </w:rPr>
        <w:t xml:space="preserve"> שופטים בדימוס</w:t>
      </w:r>
      <w:r w:rsidRPr="00F25744">
        <w:rPr>
          <w:rFonts w:ascii="David" w:hAnsi="David" w:cs="David" w:hint="cs"/>
          <w:rtl/>
        </w:rPr>
        <w:t xml:space="preserve"> </w:t>
      </w:r>
      <w:r w:rsidRPr="00F25744">
        <w:rPr>
          <w:rFonts w:ascii="David" w:hAnsi="David" w:cs="David"/>
          <w:rtl/>
        </w:rPr>
        <w:t xml:space="preserve">המוסמכים לשפוט על פי מינוי </w:t>
      </w:r>
      <w:r w:rsidRPr="00F25744">
        <w:rPr>
          <w:rFonts w:ascii="David" w:hAnsi="David" w:cs="David" w:hint="cs"/>
          <w:rtl/>
        </w:rPr>
        <w:t xml:space="preserve">לזמן קצוב </w:t>
      </w:r>
      <w:r w:rsidRPr="00F25744">
        <w:rPr>
          <w:rFonts w:ascii="David" w:hAnsi="David" w:cs="David"/>
          <w:rtl/>
        </w:rPr>
        <w:t>ושופטים עמיתים</w:t>
      </w:r>
      <w:r w:rsidRPr="00F25744">
        <w:rPr>
          <w:rFonts w:ascii="David" w:hAnsi="David" w:cs="David" w:hint="cs"/>
          <w:rtl/>
        </w:rPr>
        <w:t>, ואילו "שופטים לא מקצועיים" בישראל הם נציגי ציבור בבתי הדין לעבודה.</w:t>
      </w:r>
    </w:p>
  </w:footnote>
  <w:footnote w:id="8">
    <w:p w14:paraId="4F653B3C" w14:textId="77777777" w:rsidR="000761E8" w:rsidRPr="00F25744" w:rsidRDefault="000761E8" w:rsidP="00174B1F">
      <w:pPr>
        <w:pStyle w:val="a4"/>
        <w:bidi/>
        <w:spacing w:before="0" w:after="0"/>
        <w:ind w:left="285" w:hanging="285"/>
        <w:rPr>
          <w:rFonts w:cs="David"/>
          <w:rtl/>
        </w:rPr>
      </w:pPr>
      <w:r w:rsidRPr="00F25744">
        <w:rPr>
          <w:rStyle w:val="a6"/>
          <w:rFonts w:cs="David"/>
        </w:rPr>
        <w:footnoteRef/>
      </w:r>
      <w:r w:rsidRPr="00F25744">
        <w:rPr>
          <w:rFonts w:cs="David"/>
        </w:rPr>
        <w:t xml:space="preserve"> </w:t>
      </w:r>
      <w:r w:rsidRPr="00F25744">
        <w:rPr>
          <w:rFonts w:cs="David"/>
          <w:rtl/>
        </w:rPr>
        <w:tab/>
      </w:r>
      <w:r w:rsidRPr="00F25744">
        <w:rPr>
          <w:rFonts w:cs="David" w:hint="cs"/>
          <w:rtl/>
        </w:rPr>
        <w:t>ראו לעיל ה"ש 5, בעמוד 23.</w:t>
      </w:r>
    </w:p>
  </w:footnote>
  <w:footnote w:id="9">
    <w:p w14:paraId="799E4E0D" w14:textId="77777777" w:rsidR="000761E8" w:rsidRPr="00F25744" w:rsidRDefault="000761E8" w:rsidP="00174B1F">
      <w:pPr>
        <w:pStyle w:val="a4"/>
        <w:bidi/>
        <w:spacing w:before="0" w:after="0" w:line="240" w:lineRule="auto"/>
        <w:ind w:left="285" w:hanging="285"/>
        <w:rPr>
          <w:rtl/>
        </w:rPr>
      </w:pPr>
      <w:r w:rsidRPr="00F25744">
        <w:rPr>
          <w:rStyle w:val="a6"/>
        </w:rPr>
        <w:footnoteRef/>
      </w:r>
      <w:r w:rsidRPr="00F25744">
        <w:t xml:space="preserve"> </w:t>
      </w:r>
      <w:r w:rsidRPr="00F25744">
        <w:rPr>
          <w:rFonts w:ascii="David" w:hAnsi="David" w:cs="David"/>
          <w:rtl/>
        </w:rPr>
        <w:tab/>
      </w:r>
      <w:r w:rsidRPr="00F25744">
        <w:rPr>
          <w:rFonts w:ascii="David" w:hAnsi="David" w:cs="David" w:hint="cs"/>
          <w:rtl/>
        </w:rPr>
        <w:t xml:space="preserve">במסגרת מחקר זה נמדד הזמן </w:t>
      </w:r>
      <w:r w:rsidRPr="00F25744">
        <w:rPr>
          <w:rFonts w:ascii="David" w:hAnsi="David" w:cs="David" w:hint="cs"/>
          <w:b/>
          <w:bCs/>
          <w:rtl/>
        </w:rPr>
        <w:t>השיפוטי</w:t>
      </w:r>
      <w:r w:rsidRPr="00F25744">
        <w:rPr>
          <w:rFonts w:ascii="David" w:hAnsi="David" w:cs="David" w:hint="cs"/>
          <w:rtl/>
        </w:rPr>
        <w:t xml:space="preserve"> בלבד, כלומר הזמן שהקדיש השופט עצמו לטיפול בתיק, ולא הזמן שנדרש לטיפול בתיק באופן מערכתי, כמו הזמן המזכירותי או הזמן שהקדישו צוותי העזר לשופט.</w:t>
      </w:r>
    </w:p>
  </w:footnote>
  <w:footnote w:id="10">
    <w:p w14:paraId="49254015" w14:textId="77777777" w:rsidR="000761E8" w:rsidRPr="00F25744" w:rsidRDefault="000761E8" w:rsidP="00471AED">
      <w:pPr>
        <w:pStyle w:val="a4"/>
        <w:bidi/>
        <w:spacing w:line="240" w:lineRule="auto"/>
        <w:ind w:left="142" w:hanging="142"/>
        <w:rPr>
          <w:rtl/>
        </w:rPr>
      </w:pPr>
      <w:r w:rsidRPr="00F25744">
        <w:rPr>
          <w:rStyle w:val="a6"/>
        </w:rPr>
        <w:footnoteRef/>
      </w:r>
      <w:r w:rsidRPr="00F25744">
        <w:rPr>
          <w:rFonts w:hint="cs"/>
          <w:rtl/>
        </w:rPr>
        <w:t xml:space="preserve"> </w:t>
      </w:r>
      <w:r w:rsidRPr="00F25744">
        <w:rPr>
          <w:rFonts w:ascii="David" w:hAnsi="David" w:cs="David" w:hint="cs"/>
          <w:b/>
          <w:bCs/>
          <w:rtl/>
        </w:rPr>
        <w:t>הכנה לדיונים</w:t>
      </w:r>
      <w:r w:rsidRPr="00F25744">
        <w:rPr>
          <w:rFonts w:ascii="David" w:hAnsi="David" w:cs="David" w:hint="cs"/>
          <w:rtl/>
        </w:rPr>
        <w:t xml:space="preserve"> (בחלוקה לדיוני הוכחות ואחרים), </w:t>
      </w:r>
      <w:r w:rsidRPr="00F25744">
        <w:rPr>
          <w:rFonts w:ascii="David" w:hAnsi="David" w:cs="David" w:hint="cs"/>
          <w:b/>
          <w:bCs/>
          <w:rtl/>
        </w:rPr>
        <w:t>שמיעת דיונים</w:t>
      </w:r>
      <w:r w:rsidRPr="00F25744">
        <w:rPr>
          <w:rFonts w:ascii="David" w:hAnsi="David" w:cs="David" w:hint="cs"/>
          <w:rtl/>
        </w:rPr>
        <w:t xml:space="preserve"> (בחלוקה לדיוני הוכחות ואחרים), </w:t>
      </w:r>
      <w:r w:rsidRPr="00F25744">
        <w:rPr>
          <w:rFonts w:ascii="David" w:hAnsi="David" w:cs="David" w:hint="cs"/>
          <w:b/>
          <w:bCs/>
          <w:rtl/>
        </w:rPr>
        <w:t>כתיבת פתקיות, החלטות ביניים וכתיבת פסקי דין</w:t>
      </w:r>
      <w:r w:rsidRPr="00F25744">
        <w:rPr>
          <w:rFonts w:ascii="David" w:hAnsi="David" w:cs="David" w:hint="cs"/>
          <w:rtl/>
        </w:rPr>
        <w:t xml:space="preserve"> (בחלוקה לפסקי דין מנומקים לעומת פסקי דין לא מנומקים כמו פסיקה לפשרה על פי סעיף 79א' לחוק בתי המשפט [נוסח משולב], התשמ"ד-1984, מתן תוקף של פסק דין להסכמי פשרות בין הצדדים וכיו"ב). </w:t>
      </w:r>
    </w:p>
  </w:footnote>
  <w:footnote w:id="11">
    <w:p w14:paraId="35184D1B" w14:textId="77777777" w:rsidR="000761E8" w:rsidRPr="00F25744" w:rsidRDefault="000761E8" w:rsidP="00174B1F">
      <w:pPr>
        <w:pStyle w:val="aa"/>
        <w:ind w:left="285" w:hanging="283"/>
        <w:jc w:val="both"/>
        <w:rPr>
          <w:rtl/>
        </w:rPr>
      </w:pPr>
      <w:r w:rsidRPr="00F25744">
        <w:rPr>
          <w:rStyle w:val="a6"/>
        </w:rPr>
        <w:footnoteRef/>
      </w:r>
      <w:r w:rsidRPr="00F25744">
        <w:t xml:space="preserve"> </w:t>
      </w:r>
      <w:r w:rsidRPr="00F25744">
        <w:rPr>
          <w:rFonts w:cs="David"/>
          <w:rtl/>
        </w:rPr>
        <w:tab/>
      </w:r>
      <w:r w:rsidRPr="00F25744">
        <w:rPr>
          <w:rFonts w:cs="David" w:hint="cs"/>
          <w:rtl/>
        </w:rPr>
        <w:t>תקופה זו נבחרה משום שאין בה חגים או פגרות, והיא אף אינה סמוכה לפגרות, ועל כן היא אפשרה בחינה של חמישה שבועות רצופים של עבודה שוטפת. בהמשך יוסבר מדוע בחרנו דווקא מחקר בן חמישה שבועות, תקופה קצרה יחסית לתקופה שהוגדרה במחקרים דומים אחרים שנערכו בעולם, מחד גיסא, אך ארוכה דיה כדי לאפשר קבלת כמות מספקת של נתונים על אודות האירועים השונים בכל תיק, מאידך גיסא. עוד יצוין כאן, כי למרבה המזל תקופת המחקר הסתיימה טרם התפשטות נגיף הקורונה בישראל, כך שהמחקר אינו מושפע מהשינויים בעומסים ובאופן העבודה השיפוטית בעקבות משבר הקורונה.</w:t>
      </w:r>
    </w:p>
  </w:footnote>
  <w:footnote w:id="12">
    <w:p w14:paraId="0052D8BC" w14:textId="77777777" w:rsidR="000761E8" w:rsidRPr="00F25744" w:rsidRDefault="000761E8" w:rsidP="00174B1F">
      <w:pPr>
        <w:pStyle w:val="a4"/>
        <w:bidi/>
        <w:spacing w:before="0" w:after="0" w:line="240" w:lineRule="auto"/>
        <w:ind w:left="285" w:hanging="285"/>
        <w:rPr>
          <w:rtl/>
        </w:rPr>
      </w:pPr>
      <w:r w:rsidRPr="00F25744">
        <w:rPr>
          <w:rStyle w:val="a6"/>
        </w:rPr>
        <w:footnoteRef/>
      </w:r>
      <w:r w:rsidRPr="00F25744">
        <w:t xml:space="preserve"> </w:t>
      </w:r>
      <w:r w:rsidRPr="00F25744">
        <w:rPr>
          <w:rFonts w:cs="David" w:hint="cs"/>
          <w:rtl/>
        </w:rPr>
        <w:t xml:space="preserve"> שני בנקין, "מדד עומס העבודה השיפוטית בבתי הדין האזוריים לעבודה", מחלקת המחקר של הרשות השופטת (02.2019).</w:t>
      </w:r>
    </w:p>
  </w:footnote>
  <w:footnote w:id="13">
    <w:p w14:paraId="05514232" w14:textId="77777777" w:rsidR="000761E8" w:rsidRPr="00F25744" w:rsidRDefault="000761E8" w:rsidP="00174B1F">
      <w:pPr>
        <w:pStyle w:val="a4"/>
        <w:bidi/>
        <w:spacing w:line="240" w:lineRule="auto"/>
        <w:ind w:left="285" w:hanging="285"/>
        <w:rPr>
          <w:rFonts w:cs="David"/>
          <w:rtl/>
        </w:rPr>
      </w:pPr>
      <w:r w:rsidRPr="00F25744">
        <w:rPr>
          <w:rStyle w:val="a6"/>
        </w:rPr>
        <w:footnoteRef/>
      </w:r>
      <w:r w:rsidRPr="00F25744">
        <w:t xml:space="preserve"> </w:t>
      </w:r>
      <w:r w:rsidRPr="00F25744">
        <w:rPr>
          <w:rFonts w:cs="David"/>
          <w:rtl/>
        </w:rPr>
        <w:tab/>
      </w:r>
      <w:r w:rsidRPr="00F25744">
        <w:rPr>
          <w:rFonts w:cs="David" w:hint="cs"/>
          <w:rtl/>
        </w:rPr>
        <w:t>ראו עוד בהקשר זה, לרבות רשימת המקורות ובה הפנייה למאמרים שנכתבו על מחקרי המשקלות שנעשו במדינות ארה"ב, במחקר בתי הדין לעבודה, ה"ש 11 לעיל.</w:t>
      </w:r>
    </w:p>
  </w:footnote>
  <w:footnote w:id="14">
    <w:p w14:paraId="19653DDA" w14:textId="77777777" w:rsidR="000761E8" w:rsidRPr="00F25744" w:rsidRDefault="000761E8" w:rsidP="004271F8">
      <w:pPr>
        <w:pStyle w:val="a4"/>
        <w:bidi/>
        <w:spacing w:before="0" w:after="0"/>
        <w:rPr>
          <w:rFonts w:cs="David"/>
          <w:rtl/>
        </w:rPr>
      </w:pPr>
      <w:r w:rsidRPr="00F25744">
        <w:rPr>
          <w:rStyle w:val="a6"/>
          <w:rFonts w:cs="David"/>
        </w:rPr>
        <w:footnoteRef/>
      </w:r>
      <w:r w:rsidRPr="00F25744">
        <w:rPr>
          <w:rFonts w:cs="David"/>
          <w:rtl/>
        </w:rPr>
        <w:t xml:space="preserve"> </w:t>
      </w:r>
      <w:r w:rsidRPr="00F25744">
        <w:rPr>
          <w:rFonts w:cs="David" w:hint="cs"/>
          <w:rtl/>
        </w:rPr>
        <w:t>ראו ה"ש 2 לעיל, בעמודים 21 ו- 55.</w:t>
      </w:r>
    </w:p>
  </w:footnote>
  <w:footnote w:id="15">
    <w:p w14:paraId="5C029332" w14:textId="77777777" w:rsidR="000761E8" w:rsidRPr="00F25744" w:rsidRDefault="000761E8" w:rsidP="004271F8">
      <w:pPr>
        <w:pStyle w:val="a4"/>
        <w:bidi/>
        <w:spacing w:before="0" w:after="0"/>
        <w:rPr>
          <w:rFonts w:cs="David"/>
          <w:rtl/>
        </w:rPr>
      </w:pPr>
      <w:r w:rsidRPr="00F25744">
        <w:rPr>
          <w:rStyle w:val="a6"/>
          <w:rFonts w:cs="David"/>
        </w:rPr>
        <w:footnoteRef/>
      </w:r>
      <w:r w:rsidRPr="00F25744">
        <w:rPr>
          <w:rFonts w:cs="David"/>
          <w:rtl/>
        </w:rPr>
        <w:t xml:space="preserve"> </w:t>
      </w:r>
      <w:r w:rsidRPr="00F25744">
        <w:rPr>
          <w:rFonts w:cs="David" w:hint="cs"/>
          <w:rtl/>
        </w:rPr>
        <w:t>ראו ה"ש 2 לעיל, בעמ' 55.</w:t>
      </w:r>
    </w:p>
  </w:footnote>
  <w:footnote w:id="16">
    <w:p w14:paraId="69D5C542" w14:textId="77777777" w:rsidR="000761E8" w:rsidRPr="00F25744" w:rsidRDefault="000761E8" w:rsidP="00412A6C">
      <w:pPr>
        <w:pStyle w:val="aa"/>
        <w:spacing w:after="0" w:line="240" w:lineRule="auto"/>
        <w:ind w:left="284" w:hanging="284"/>
        <w:jc w:val="both"/>
        <w:rPr>
          <w:rtl/>
        </w:rPr>
      </w:pPr>
      <w:r w:rsidRPr="00F25744">
        <w:rPr>
          <w:rStyle w:val="a6"/>
        </w:rPr>
        <w:footnoteRef/>
      </w:r>
      <w:r w:rsidRPr="00F25744">
        <w:t xml:space="preserve"> </w:t>
      </w:r>
      <w:r w:rsidRPr="00F25744">
        <w:rPr>
          <w:rFonts w:cs="David" w:hint="cs"/>
          <w:rtl/>
        </w:rPr>
        <w:t xml:space="preserve"> בבדיקת ממצאי השאלונים המסכמים עלה כי מרבית השופטים מילאו את השאלון באופן מלא, אולם היו שופטים שמילאו אותו באופן חלקי. לגבי השאלונים החלקיים, ייתכן ששופט מילא את היומן באופן חלקי ואז חזר ומילא אותו שוב באופן מלא ואין חיווי על האם מדובר באותו השופט או לא. על מנת ליהנות ממרבית המידע שיכולנו לקבל מהשאלונים עשינו בדיקות רגישות לבחון האם שימוש הן בנתונים חלקיים והן בנתונים מלאים יניבו תוצאות שונות מאשר שימוש רק בשאלונים אשר מולאו עד הסוף. מצאנו כי אין הבדל משמעותי בממצאים. לפיכך, ומאחר שהיה חשוב לנו לקבל כמה שיותר תשובות לשאלון שנועד לתקף ולהשלים נתונים חסרים, בחרנו להשתמש הן בשאלונים החלקיים והן בשאלונים המלאים.</w:t>
      </w:r>
    </w:p>
  </w:footnote>
  <w:footnote w:id="17">
    <w:p w14:paraId="48FD6046" w14:textId="77777777" w:rsidR="000761E8" w:rsidRPr="00F25744" w:rsidRDefault="000761E8" w:rsidP="00754DF0">
      <w:pPr>
        <w:pStyle w:val="a4"/>
        <w:bidi/>
        <w:spacing w:before="0" w:after="0" w:line="240" w:lineRule="auto"/>
        <w:ind w:left="284" w:hanging="284"/>
        <w:rPr>
          <w:rFonts w:cs="David"/>
          <w:rtl/>
        </w:rPr>
      </w:pPr>
      <w:r w:rsidRPr="00F25744">
        <w:rPr>
          <w:rStyle w:val="a6"/>
        </w:rPr>
        <w:footnoteRef/>
      </w:r>
      <w:r w:rsidRPr="00F25744">
        <w:rPr>
          <w:rFonts w:cs="David"/>
        </w:rPr>
        <w:t xml:space="preserve"> </w:t>
      </w:r>
      <w:r w:rsidRPr="00F25744">
        <w:rPr>
          <w:rFonts w:cs="David"/>
          <w:rtl/>
        </w:rPr>
        <w:tab/>
      </w:r>
      <w:r w:rsidRPr="00F25744">
        <w:rPr>
          <w:rFonts w:cs="David" w:hint="cs"/>
          <w:rtl/>
        </w:rPr>
        <w:t xml:space="preserve">בחירת העוזרים המשפטיים לביצוע ההדרכות נעשתה באמצעות פנייה של נשיאי בתי המשפט לכלל העוזרים המשפטיים על מנת שיציעו את מועמדותם להדרכות. הנשיאים העבירו למחלקת המחקר את שמותיהם של העוזרים המשפטיים שנבחרו על ידם לביצוע ההדרכות.   </w:t>
      </w:r>
    </w:p>
  </w:footnote>
  <w:footnote w:id="18">
    <w:p w14:paraId="3B633B77" w14:textId="77777777" w:rsidR="000761E8" w:rsidRPr="00F25744" w:rsidRDefault="000761E8" w:rsidP="006F58EF">
      <w:pPr>
        <w:spacing w:after="0" w:line="240" w:lineRule="auto"/>
        <w:ind w:left="284" w:hanging="284"/>
        <w:jc w:val="both"/>
        <w:rPr>
          <w:rFonts w:cs="David"/>
          <w:sz w:val="20"/>
          <w:szCs w:val="20"/>
          <w:rtl/>
        </w:rPr>
      </w:pPr>
      <w:r w:rsidRPr="00F25744">
        <w:rPr>
          <w:rStyle w:val="a6"/>
          <w:sz w:val="20"/>
          <w:szCs w:val="20"/>
        </w:rPr>
        <w:footnoteRef/>
      </w:r>
      <w:r w:rsidRPr="00F25744">
        <w:rPr>
          <w:sz w:val="20"/>
          <w:szCs w:val="20"/>
        </w:rPr>
        <w:t xml:space="preserve"> </w:t>
      </w:r>
      <w:r w:rsidRPr="00F25744">
        <w:rPr>
          <w:rFonts w:cs="David" w:hint="cs"/>
          <w:sz w:val="20"/>
          <w:szCs w:val="20"/>
          <w:rtl/>
        </w:rPr>
        <w:t xml:space="preserve">  מספר האולם שבו התקיימו הדיונים נועד לשמש כעזר למחקר בנושא נצולת אולמות אשר מתבצע בהנהלת בתי המשפט. מספר האולם הומר למספר פיקטיבי טרם העברת הנתונים להנהלת בתי המשפט, לצורך שמירה על אנונימיות השופטים. מטרת מחקר זה היא לסייע בניהול נצולת האולמות והגברת יעילות הדיונים, למשל באמצעות קביעת משמרת שנייה של דיונים, או בניית אולמות דיונים ובתי משפט חדשים.</w:t>
      </w:r>
    </w:p>
    <w:p w14:paraId="68ED1C7E" w14:textId="77777777" w:rsidR="000761E8" w:rsidRPr="00F25744" w:rsidRDefault="000761E8" w:rsidP="006227EC">
      <w:pPr>
        <w:pStyle w:val="a4"/>
        <w:bidi/>
        <w:rPr>
          <w:rtl/>
        </w:rPr>
      </w:pPr>
    </w:p>
  </w:footnote>
  <w:footnote w:id="19">
    <w:p w14:paraId="6B6B0CED" w14:textId="77777777" w:rsidR="000761E8" w:rsidRPr="00F25744" w:rsidRDefault="000761E8" w:rsidP="00C65090">
      <w:pPr>
        <w:pStyle w:val="a4"/>
        <w:bidi/>
        <w:spacing w:before="0" w:after="0" w:line="240" w:lineRule="auto"/>
        <w:ind w:left="284" w:hanging="284"/>
        <w:rPr>
          <w:rtl/>
        </w:rPr>
      </w:pPr>
      <w:r w:rsidRPr="00F25744">
        <w:rPr>
          <w:rStyle w:val="a6"/>
        </w:rPr>
        <w:footnoteRef/>
      </w:r>
      <w:r w:rsidRPr="00F25744">
        <w:t xml:space="preserve"> </w:t>
      </w:r>
      <w:r w:rsidRPr="00F25744">
        <w:rPr>
          <w:rFonts w:cs="David" w:hint="cs"/>
          <w:rtl/>
        </w:rPr>
        <w:t xml:space="preserve"> </w:t>
      </w:r>
      <w:r w:rsidRPr="00F25744">
        <w:rPr>
          <w:rFonts w:cs="David"/>
          <w:rtl/>
        </w:rPr>
        <w:tab/>
      </w:r>
      <w:r w:rsidRPr="00F25744">
        <w:rPr>
          <w:rFonts w:cs="David" w:hint="cs"/>
          <w:rtl/>
        </w:rPr>
        <w:t>מפאת הכמות הגדולה של סוגי התיקים במערכת, והזמן הנדרש לקריאה רצינית של כל תיק לצורך סיווג נכון של סיבת הסגירה, החלטנו להעמיד את גודל המדגם על בין 50 ל-80 תיקים מכל סוג (בהתאם לנדירות סוג התיק). המדגם התבסס על תיקי 2018, ובסוגי תיקים נדירים שבהם לא התקבלו די תיקים כדי לבסס מדגם על בסיס תיקי 2018 בלבד, הוספנו תיקים משנת 2019. בתיקי ת"א נערך מדגם נפרד לכל אחד מסוגי העניין המרכזיים, ובתיקי תא"מ נערך מדגם נפרד על תיקי רכב לעומת תיקי תא"מ מסוגים אחרים.</w:t>
      </w:r>
    </w:p>
  </w:footnote>
  <w:footnote w:id="20">
    <w:p w14:paraId="04DBC34F" w14:textId="77777777" w:rsidR="000761E8" w:rsidRPr="00F25744" w:rsidRDefault="000761E8" w:rsidP="00174B1F">
      <w:pPr>
        <w:pStyle w:val="a4"/>
        <w:bidi/>
        <w:spacing w:before="0" w:after="0" w:line="240" w:lineRule="auto"/>
        <w:ind w:left="285" w:hanging="285"/>
        <w:rPr>
          <w:rFonts w:cs="David"/>
          <w:rtl/>
        </w:rPr>
      </w:pPr>
      <w:r w:rsidRPr="00F25744">
        <w:rPr>
          <w:rStyle w:val="a6"/>
        </w:rPr>
        <w:footnoteRef/>
      </w:r>
      <w:r w:rsidRPr="00F25744">
        <w:t xml:space="preserve"> </w:t>
      </w:r>
      <w:r w:rsidRPr="00F25744">
        <w:rPr>
          <w:rFonts w:cs="David"/>
          <w:rtl/>
        </w:rPr>
        <w:tab/>
      </w:r>
      <w:r w:rsidRPr="00F25744">
        <w:rPr>
          <w:rFonts w:cs="David" w:hint="cs"/>
          <w:rtl/>
        </w:rPr>
        <w:t>אמנם פסקי דין בהעדר הגנה או בהעדר התייצבות לעתים אינה כוללים הנמקה או שהם כוללים הנמקה מינימלית, אולם הוחלט עוד במחקר המשקלות הקודם כי לצורך הקיבוץ לקטגוריות, ומאחר שהם לרוב כן כוללים הנמקה כלשהי, הקטגוריה המתאימה ביותר עבורם היא קטגוריית פסקי הדין המנומקים.</w:t>
      </w:r>
    </w:p>
  </w:footnote>
  <w:footnote w:id="21">
    <w:p w14:paraId="7DE04DB1" w14:textId="5EAA9771" w:rsidR="000761E8" w:rsidRPr="00F25744" w:rsidRDefault="000761E8" w:rsidP="00796C9F">
      <w:pPr>
        <w:pStyle w:val="a4"/>
        <w:bidi/>
        <w:spacing w:before="0" w:after="0" w:line="240" w:lineRule="auto"/>
        <w:ind w:left="284" w:hanging="284"/>
        <w:rPr>
          <w:rFonts w:cs="David"/>
          <w:color w:val="FF0000"/>
        </w:rPr>
      </w:pPr>
      <w:r w:rsidRPr="00F25744">
        <w:rPr>
          <w:rStyle w:val="a6"/>
        </w:rPr>
        <w:footnoteRef/>
      </w:r>
      <w:r w:rsidRPr="00F25744">
        <w:rPr>
          <w:rFonts w:cs="David"/>
        </w:rPr>
        <w:t xml:space="preserve"> </w:t>
      </w:r>
      <w:r w:rsidRPr="00F25744">
        <w:rPr>
          <w:rFonts w:cs="David" w:hint="cs"/>
          <w:rtl/>
        </w:rPr>
        <w:t xml:space="preserve"> לגבי שליפת מספר</w:t>
      </w:r>
      <w:r w:rsidRPr="00F25744">
        <w:rPr>
          <w:rFonts w:cs="David"/>
          <w:rtl/>
        </w:rPr>
        <w:t xml:space="preserve"> </w:t>
      </w:r>
      <w:r w:rsidRPr="00F25744">
        <w:rPr>
          <w:rFonts w:cs="David" w:hint="cs"/>
          <w:rtl/>
        </w:rPr>
        <w:t>ה</w:t>
      </w:r>
      <w:r w:rsidRPr="00F25744">
        <w:rPr>
          <w:rFonts w:cs="David"/>
          <w:rtl/>
        </w:rPr>
        <w:t xml:space="preserve">עמודים </w:t>
      </w:r>
      <w:r w:rsidRPr="00F25744">
        <w:rPr>
          <w:rFonts w:cs="David" w:hint="cs"/>
          <w:rtl/>
        </w:rPr>
        <w:t>ב</w:t>
      </w:r>
      <w:r w:rsidRPr="00F25744">
        <w:rPr>
          <w:rFonts w:cs="David"/>
          <w:rtl/>
        </w:rPr>
        <w:t>החלט</w:t>
      </w:r>
      <w:r w:rsidRPr="00F25744">
        <w:rPr>
          <w:rFonts w:cs="David" w:hint="cs"/>
          <w:rtl/>
        </w:rPr>
        <w:t>ו</w:t>
      </w:r>
      <w:r w:rsidRPr="00F25744">
        <w:rPr>
          <w:rFonts w:cs="David"/>
          <w:rtl/>
        </w:rPr>
        <w:t>ת ביניים</w:t>
      </w:r>
      <w:r w:rsidRPr="00F25744">
        <w:rPr>
          <w:rFonts w:cs="David" w:hint="cs"/>
          <w:rtl/>
        </w:rPr>
        <w:t xml:space="preserve"> יוער, כי בעטי</w:t>
      </w:r>
      <w:r>
        <w:rPr>
          <w:rFonts w:cs="David" w:hint="cs"/>
          <w:rtl/>
        </w:rPr>
        <w:t>ה</w:t>
      </w:r>
      <w:r w:rsidRPr="00F25744">
        <w:rPr>
          <w:rFonts w:cs="David" w:hint="cs"/>
          <w:rtl/>
        </w:rPr>
        <w:t xml:space="preserve"> של </w:t>
      </w:r>
      <w:r>
        <w:rPr>
          <w:rFonts w:cs="David" w:hint="cs"/>
          <w:rtl/>
        </w:rPr>
        <w:t xml:space="preserve">תקלה </w:t>
      </w:r>
      <w:r w:rsidRPr="00F25744">
        <w:rPr>
          <w:rFonts w:cs="David" w:hint="cs"/>
          <w:rtl/>
        </w:rPr>
        <w:t>כלשה</w:t>
      </w:r>
      <w:r>
        <w:rPr>
          <w:rFonts w:cs="David" w:hint="cs"/>
          <w:rtl/>
        </w:rPr>
        <w:t>י</w:t>
      </w:r>
      <w:r w:rsidRPr="00F25744">
        <w:rPr>
          <w:rFonts w:cs="David" w:hint="cs"/>
          <w:rtl/>
        </w:rPr>
        <w:t xml:space="preserve"> במערכת נט המשפט, המערכת אינה סופרת את מספרי העמודים בכל החלטות הביניים, אלא רק בחלקן. עם זאת, החלטנו להשתמש בנתון זה עבור רוב סוגי התיקים, מאחר שאין סיבה להניח שקיים</w:t>
      </w:r>
      <w:r w:rsidRPr="00F25744">
        <w:rPr>
          <w:rFonts w:cs="David"/>
          <w:rtl/>
        </w:rPr>
        <w:t xml:space="preserve"> הבדל </w:t>
      </w:r>
      <w:r w:rsidRPr="00F25744">
        <w:rPr>
          <w:rFonts w:cs="David" w:hint="cs"/>
          <w:rtl/>
        </w:rPr>
        <w:t>כלשהו בין ההחלטות שמספר העמודים בהן נספר על ידי המערכת לאלו שלא (בסוגי התיקים הנפוצים מדובר על אלפי החלטות שכן נספרו). בסוגי התיקים שבהם מצאנו כי  המערכת ספרה את מספרי העמודים בכמות מועטה של החלטות, או כאשר מצאנו הבדלים ניכרים בין השנים בממוצעי ההחלטות, ביצענו בדיקה יזומה על מדגם תיקים כ</w:t>
      </w:r>
      <w:r w:rsidRPr="00F25744">
        <w:rPr>
          <w:rFonts w:cs="David"/>
          <w:rtl/>
        </w:rPr>
        <w:t>די לקבוע את מספר העמודים הממוצע</w:t>
      </w:r>
      <w:r w:rsidRPr="00F25744">
        <w:rPr>
          <w:rFonts w:cs="David" w:hint="cs"/>
          <w:rtl/>
        </w:rPr>
        <w:t xml:space="preserve"> של החלטות ביניים באותו סוג תיק. </w:t>
      </w:r>
    </w:p>
    <w:p w14:paraId="21116EA5" w14:textId="77777777" w:rsidR="000761E8" w:rsidRPr="00F25744" w:rsidRDefault="000761E8" w:rsidP="00CA38D1">
      <w:pPr>
        <w:pStyle w:val="a4"/>
        <w:bidi/>
        <w:rPr>
          <w:rtl/>
        </w:rPr>
      </w:pPr>
    </w:p>
  </w:footnote>
  <w:footnote w:id="22">
    <w:p w14:paraId="3801A068" w14:textId="77777777" w:rsidR="000761E8" w:rsidRPr="00F25744" w:rsidRDefault="000761E8" w:rsidP="00900756">
      <w:pPr>
        <w:pStyle w:val="a4"/>
        <w:bidi/>
        <w:spacing w:line="240" w:lineRule="auto"/>
        <w:ind w:left="285" w:hanging="283"/>
        <w:rPr>
          <w:rFonts w:cs="David"/>
          <w:rtl/>
        </w:rPr>
      </w:pPr>
      <w:r w:rsidRPr="00F25744">
        <w:rPr>
          <w:rStyle w:val="a6"/>
        </w:rPr>
        <w:footnoteRef/>
      </w:r>
      <w:r w:rsidRPr="00F25744">
        <w:t xml:space="preserve"> </w:t>
      </w:r>
      <w:r w:rsidRPr="00F25744">
        <w:rPr>
          <w:rFonts w:hint="cs"/>
          <w:rtl/>
        </w:rPr>
        <w:t xml:space="preserve"> </w:t>
      </w:r>
      <w:r w:rsidRPr="00F25744">
        <w:rPr>
          <w:rFonts w:cs="David" w:hint="cs"/>
          <w:rtl/>
        </w:rPr>
        <w:t>יש לציין כי מרבית תיקי התנ"ג (36 מתוך 48 שנסגרו בשנת 2019) הם תיקי המחלקה הכלכלית בתל אביב. תיקים אלו מורכבים וזמני הטיפול בהם ארוכים יותר, לפי הערכות שופטי המחלקה הכלכלית. הטענה העיקרית שעלתה לגבי זמני הטיפול שנמדדו בתיקי תנ"ג נגעה לפער המשמעותי בינם ובין זמני הטיפול שהוערכו במחקר הקודם. התשובה העיקרית שמצאנו לפער זה היא שבתקופת המחקר הקודם טרם הוקמה המחלקה הכלכלית.</w:t>
      </w:r>
    </w:p>
  </w:footnote>
  <w:footnote w:id="23">
    <w:p w14:paraId="72159480" w14:textId="514DA8AB" w:rsidR="000761E8" w:rsidRPr="00F25744" w:rsidRDefault="000761E8" w:rsidP="00B82DA0">
      <w:pPr>
        <w:pStyle w:val="a4"/>
        <w:bidi/>
        <w:spacing w:before="0" w:after="0" w:line="240" w:lineRule="auto"/>
        <w:ind w:left="285" w:hanging="285"/>
        <w:rPr>
          <w:rtl/>
        </w:rPr>
      </w:pPr>
      <w:r w:rsidRPr="00F25744">
        <w:rPr>
          <w:rStyle w:val="a6"/>
        </w:rPr>
        <w:footnoteRef/>
      </w:r>
      <w:r w:rsidRPr="00F25744">
        <w:t xml:space="preserve"> </w:t>
      </w:r>
      <w:r>
        <w:rPr>
          <w:rFonts w:cs="David" w:hint="cs"/>
          <w:rtl/>
        </w:rPr>
        <w:t xml:space="preserve"> </w:t>
      </w:r>
      <w:r>
        <w:rPr>
          <w:rFonts w:cs="David"/>
          <w:rtl/>
        </w:rPr>
        <w:tab/>
      </w:r>
      <w:r w:rsidRPr="00F25744">
        <w:rPr>
          <w:rFonts w:cs="David" w:hint="cs"/>
          <w:rtl/>
        </w:rPr>
        <w:t>הצגנו כאן את הזמן המשוקלל של ע"פ + ענ"פ (ערעור פלילי וערעור נוער פלילי) משו</w:t>
      </w:r>
      <w:r>
        <w:rPr>
          <w:rFonts w:cs="David" w:hint="cs"/>
          <w:rtl/>
        </w:rPr>
        <w:t xml:space="preserve">ם שתיק ערעור נוער פלילי הוא סוג </w:t>
      </w:r>
      <w:r w:rsidRPr="00F25744">
        <w:rPr>
          <w:rFonts w:cs="David" w:hint="cs"/>
          <w:rtl/>
        </w:rPr>
        <w:t>תיק חדש יחסית במערכת, ועל כן במחקר הקודם לא הייתה אליו התייחסות נפרדת. כדי לייצג נכונה את מגמת העלייה מהמחקר הקודם, הצגנו כאמור את המשקל המשוקלל.</w:t>
      </w:r>
      <w:r w:rsidRPr="00F25744">
        <w:rPr>
          <w:rFonts w:hint="cs"/>
          <w:rtl/>
        </w:rPr>
        <w:t xml:space="preserve"> </w:t>
      </w:r>
    </w:p>
  </w:footnote>
  <w:footnote w:id="24">
    <w:p w14:paraId="40EED747" w14:textId="1744B72D" w:rsidR="000761E8" w:rsidRPr="00F25744" w:rsidRDefault="000761E8" w:rsidP="00B83E28">
      <w:pPr>
        <w:pStyle w:val="a4"/>
        <w:bidi/>
        <w:spacing w:before="0" w:after="0" w:line="240" w:lineRule="auto"/>
        <w:ind w:left="284" w:hanging="284"/>
        <w:rPr>
          <w:rtl/>
        </w:rPr>
      </w:pPr>
      <w:r w:rsidRPr="00F25744">
        <w:rPr>
          <w:rStyle w:val="a6"/>
        </w:rPr>
        <w:footnoteRef/>
      </w:r>
      <w:r w:rsidRPr="00F25744">
        <w:t xml:space="preserve"> </w:t>
      </w:r>
      <w:r>
        <w:rPr>
          <w:rFonts w:cs="David" w:hint="cs"/>
          <w:rtl/>
        </w:rPr>
        <w:t xml:space="preserve"> </w:t>
      </w:r>
      <w:r>
        <w:rPr>
          <w:rFonts w:cs="David"/>
          <w:rtl/>
        </w:rPr>
        <w:tab/>
      </w:r>
      <w:r w:rsidRPr="00F25744">
        <w:rPr>
          <w:rFonts w:cs="David" w:hint="cs"/>
          <w:rtl/>
        </w:rPr>
        <w:t>ערעור אזרחי משוקלל כולל ערעור אזרחי שנדון בהרכב וערעור אזרחי שנדון בדן יחיד.</w:t>
      </w:r>
    </w:p>
  </w:footnote>
  <w:footnote w:id="25">
    <w:p w14:paraId="25C5A479" w14:textId="77777777" w:rsidR="000761E8" w:rsidRPr="00F25744" w:rsidRDefault="000761E8" w:rsidP="00B83E28">
      <w:pPr>
        <w:pStyle w:val="a4"/>
        <w:bidi/>
        <w:spacing w:before="0" w:after="0" w:line="240" w:lineRule="auto"/>
        <w:ind w:left="284" w:hanging="284"/>
        <w:rPr>
          <w:rFonts w:cs="David"/>
          <w:rtl/>
        </w:rPr>
      </w:pPr>
      <w:r w:rsidRPr="00F25744">
        <w:rPr>
          <w:rStyle w:val="a6"/>
          <w:rFonts w:cs="David"/>
        </w:rPr>
        <w:footnoteRef/>
      </w:r>
      <w:r w:rsidRPr="00F25744">
        <w:rPr>
          <w:rFonts w:cs="David"/>
        </w:rPr>
        <w:t xml:space="preserve">  </w:t>
      </w:r>
      <w:r w:rsidRPr="00F25744">
        <w:rPr>
          <w:rFonts w:cs="David" w:hint="cs"/>
          <w:rtl/>
        </w:rPr>
        <w:t xml:space="preserve">מדובר בעתירות אסירים על ועדות שחרורים הנדונות בהרכב. </w:t>
      </w:r>
    </w:p>
  </w:footnote>
  <w:footnote w:id="26">
    <w:p w14:paraId="2A437C17" w14:textId="77777777" w:rsidR="000761E8" w:rsidRPr="00F25744" w:rsidRDefault="000761E8" w:rsidP="00174B1F">
      <w:pPr>
        <w:ind w:left="285" w:hanging="285"/>
        <w:jc w:val="both"/>
        <w:rPr>
          <w:rFonts w:ascii="Arial" w:hAnsi="Arial"/>
        </w:rPr>
      </w:pPr>
      <w:r w:rsidRPr="00F25744">
        <w:rPr>
          <w:rStyle w:val="a6"/>
        </w:rPr>
        <w:footnoteRef/>
      </w:r>
      <w:r w:rsidRPr="00F25744">
        <w:t xml:space="preserve"> </w:t>
      </w:r>
      <w:r w:rsidRPr="00F25744">
        <w:rPr>
          <w:rFonts w:ascii="David" w:hAnsi="David" w:cs="David" w:hint="cs"/>
          <w:sz w:val="20"/>
          <w:szCs w:val="20"/>
          <w:rtl/>
        </w:rPr>
        <w:t xml:space="preserve"> </w:t>
      </w:r>
      <w:r w:rsidRPr="00F25744">
        <w:rPr>
          <w:rFonts w:ascii="David" w:hAnsi="David" w:cs="David"/>
          <w:sz w:val="20"/>
          <w:szCs w:val="20"/>
          <w:rtl/>
        </w:rPr>
        <w:t xml:space="preserve">במערכת נט המשפט קיימים שני סוגי תיקים המתייחסים להתנגדות לביצוע שטר: תיק </w:t>
      </w:r>
      <w:r w:rsidRPr="00F25744">
        <w:rPr>
          <w:rFonts w:ascii="David" w:hAnsi="David" w:cs="David" w:hint="cs"/>
          <w:sz w:val="20"/>
          <w:szCs w:val="20"/>
          <w:rtl/>
        </w:rPr>
        <w:t>ת</w:t>
      </w:r>
      <w:r w:rsidRPr="00F25744">
        <w:rPr>
          <w:rFonts w:ascii="David" w:hAnsi="David" w:cs="David"/>
          <w:sz w:val="20"/>
          <w:szCs w:val="20"/>
          <w:rtl/>
        </w:rPr>
        <w:t>"ט (התנגדות לביצוע שטר) ותיק ת"א - התנגדות לביצוע שטר/ ביצוע תביעה. משיחות עם שופטים עולה כי תיק ת"ט נדון בדרך כלל על ידי הרשמים, הוא פשוט וקצר יותר, ובסיומו אם ניתנת רשות להתגונן, התיק הופך להיות תיק מסוג ת"א</w:t>
      </w:r>
      <w:r w:rsidRPr="00F25744">
        <w:rPr>
          <w:rFonts w:ascii="David" w:hAnsi="David" w:cs="David" w:hint="cs"/>
          <w:sz w:val="20"/>
          <w:szCs w:val="20"/>
          <w:rtl/>
        </w:rPr>
        <w:t xml:space="preserve"> - התנגדות לביצוע שטר</w:t>
      </w:r>
      <w:r w:rsidRPr="00F25744">
        <w:rPr>
          <w:rFonts w:ascii="David" w:hAnsi="David" w:cs="David"/>
          <w:sz w:val="20"/>
          <w:szCs w:val="20"/>
          <w:rtl/>
        </w:rPr>
        <w:t>, אשר נדון על ידי שופט. במסגרת מחקר זה נמדדו זמניהם של שני סוגי תיקים אלו בנפרד, ואכן ניתן לראות שתיק ת"ט קיבל מדד זמן נמוך בהרבה מתיק ת"א – התנגדות לביצוע שטר/תביעה.</w:t>
      </w:r>
    </w:p>
    <w:p w14:paraId="79FC58CA" w14:textId="77777777" w:rsidR="000761E8" w:rsidRPr="00F25744" w:rsidRDefault="000761E8" w:rsidP="00066E71">
      <w:pPr>
        <w:pStyle w:val="a4"/>
        <w:bidi/>
        <w:spacing w:line="240" w:lineRule="auto"/>
        <w:rPr>
          <w:rFonts w:cs="David"/>
          <w:rtl/>
        </w:rPr>
      </w:pPr>
    </w:p>
  </w:footnote>
  <w:footnote w:id="27">
    <w:p w14:paraId="60E746CD" w14:textId="77777777" w:rsidR="000761E8" w:rsidRPr="00F25744" w:rsidRDefault="000761E8" w:rsidP="00095719">
      <w:pPr>
        <w:pStyle w:val="a4"/>
        <w:bidi/>
        <w:spacing w:before="0" w:after="0" w:line="240" w:lineRule="auto"/>
        <w:ind w:left="225" w:hanging="225"/>
        <w:rPr>
          <w:rFonts w:cs="David"/>
          <w:rtl/>
        </w:rPr>
      </w:pPr>
      <w:r w:rsidRPr="00F25744">
        <w:rPr>
          <w:rStyle w:val="a6"/>
        </w:rPr>
        <w:footnoteRef/>
      </w:r>
      <w:r w:rsidRPr="00F25744">
        <w:t xml:space="preserve"> </w:t>
      </w:r>
      <w:r w:rsidRPr="00F25744">
        <w:rPr>
          <w:rFonts w:cs="David" w:hint="cs"/>
          <w:rtl/>
        </w:rPr>
        <w:t xml:space="preserve"> משיחות עם שופטי שלום עלה, כי להערכתם תיקי הפ"ב מצריכים זמן שיפוטי ארוך יותר. חשוב לציין כי הסמכות לדון בתיקים אלו עברה לערכאת השלום לפני תקופה קצרה יחסית, ועל כן ספק אם הם נדונים בשלום מספיק זמן כדי להעריך באופן מדויק ומהימן את זמני הטיפול השיפוטי הממוצעים בהם.</w:t>
      </w:r>
    </w:p>
  </w:footnote>
  <w:footnote w:id="28">
    <w:p w14:paraId="23940569" w14:textId="77777777" w:rsidR="000761E8" w:rsidRPr="00F25744" w:rsidRDefault="000761E8" w:rsidP="00220A8E">
      <w:pPr>
        <w:pStyle w:val="a4"/>
        <w:bidi/>
        <w:spacing w:before="0" w:after="0" w:line="240" w:lineRule="auto"/>
        <w:rPr>
          <w:rFonts w:cs="David"/>
          <w:rtl/>
        </w:rPr>
      </w:pPr>
      <w:r w:rsidRPr="00F25744">
        <w:rPr>
          <w:rStyle w:val="a6"/>
        </w:rPr>
        <w:footnoteRef/>
      </w:r>
      <w:r w:rsidRPr="00F25744">
        <w:t xml:space="preserve"> </w:t>
      </w:r>
      <w:r w:rsidRPr="00F25744">
        <w:rPr>
          <w:rFonts w:cs="David" w:hint="cs"/>
          <w:rtl/>
        </w:rPr>
        <w:t xml:space="preserve"> ראו ה"ש 25.</w:t>
      </w:r>
    </w:p>
  </w:footnote>
  <w:footnote w:id="29">
    <w:p w14:paraId="00A045F2" w14:textId="6CBD7944" w:rsidR="000761E8" w:rsidRPr="00F25744" w:rsidRDefault="000761E8" w:rsidP="008B328F">
      <w:pPr>
        <w:pStyle w:val="a4"/>
        <w:bidi/>
        <w:ind w:left="144" w:hanging="144"/>
        <w:rPr>
          <w:rFonts w:cs="David"/>
          <w:rtl/>
        </w:rPr>
      </w:pPr>
      <w:r w:rsidRPr="00F25744">
        <w:rPr>
          <w:rStyle w:val="a6"/>
        </w:rPr>
        <w:footnoteRef/>
      </w:r>
      <w:r w:rsidRPr="00F25744">
        <w:t xml:space="preserve"> </w:t>
      </w:r>
      <w:r w:rsidRPr="00F25744">
        <w:rPr>
          <w:rFonts w:cs="David" w:hint="cs"/>
          <w:rtl/>
        </w:rPr>
        <w:t xml:space="preserve">נעיר, כי לא כל תיקי העניינים המקומיים נמצאים במערכת נט המשפט. בעבר, חלק מהעיריות ניהלו את בתי המשפט לעניינים מקומיים בעצמן ולא התחברו </w:t>
      </w:r>
      <w:r w:rsidRPr="003E67B5">
        <w:rPr>
          <w:rFonts w:cs="David" w:hint="cs"/>
          <w:rtl/>
        </w:rPr>
        <w:t>למערכת. כיום, בעקבות מהלך שהובילה הנהלת בתי המשפט, חוברו כמעט כל בתי המשפט לעניינים מקומיים לנט המשפט, למעט שלושה בתי משפט לעניינים מקומיים במחוז תל אביב, מתוך תשעה במחוז זה, ושני בתי משפט לעניינים מקומיים במחוז ירושלים. בשל</w:t>
      </w:r>
      <w:r w:rsidRPr="00F25744">
        <w:rPr>
          <w:rFonts w:cs="David" w:hint="cs"/>
          <w:rtl/>
        </w:rPr>
        <w:t xml:space="preserve"> העובדה שחלק קטן מבתי המשפט לעניינים מקומיים כאמור לא מתנהלים בנט המשפט, חסרות לנו הכמויות של התיקים, אולם מדובר במיעוט של תיקי העמ"ק.</w:t>
      </w:r>
    </w:p>
  </w:footnote>
  <w:footnote w:id="30">
    <w:p w14:paraId="1FA7FC41" w14:textId="77777777" w:rsidR="000761E8" w:rsidRPr="00F25744" w:rsidRDefault="000761E8" w:rsidP="00174B1F">
      <w:pPr>
        <w:pStyle w:val="a4"/>
        <w:bidi/>
        <w:spacing w:before="0" w:after="0" w:line="240" w:lineRule="auto"/>
        <w:ind w:left="285" w:hanging="285"/>
        <w:rPr>
          <w:rFonts w:cs="David"/>
          <w:rtl/>
        </w:rPr>
      </w:pPr>
      <w:r w:rsidRPr="00F25744">
        <w:rPr>
          <w:rStyle w:val="a6"/>
        </w:rPr>
        <w:footnoteRef/>
      </w:r>
      <w:r w:rsidRPr="00F25744">
        <w:t xml:space="preserve"> </w:t>
      </w:r>
      <w:r w:rsidRPr="00F25744">
        <w:rPr>
          <w:rFonts w:cs="David" w:hint="cs"/>
          <w:rtl/>
        </w:rPr>
        <w:t xml:space="preserve"> חשוב להעיר כי תיקי </w:t>
      </w:r>
      <w:r w:rsidRPr="00F25744">
        <w:rPr>
          <w:rFonts w:cs="David" w:hint="cs"/>
          <w:b/>
          <w:bCs/>
          <w:rtl/>
        </w:rPr>
        <w:t>אמ"ץ</w:t>
      </w:r>
      <w:r w:rsidRPr="00F25744">
        <w:rPr>
          <w:rFonts w:cs="David" w:hint="cs"/>
          <w:rtl/>
        </w:rPr>
        <w:t xml:space="preserve">, בהיותם תיקים חסויים, אינם מתקיימים במערכת נט המשפט, ועל כן לא יכולנו לקבל לגביהם נתוני מחשב כלשהם. לפיכך, במסגרת השאלון המסכם נשאלו השופטים אשר דיווחו כי הם מטפלים בתיקי אמ"ץ שאלות רבות הנוגעות לכל הנתונים שלא יכולנו לשאוב מנט המשפט. מכאן, שהזמן השיפוטי שנמדד לגבי סוג תיק זה מבוסס ברובו על הערכות השופטים. </w:t>
      </w:r>
    </w:p>
  </w:footnote>
  <w:footnote w:id="31">
    <w:p w14:paraId="0A850AF5" w14:textId="77777777" w:rsidR="000761E8" w:rsidRPr="00F25744" w:rsidRDefault="000761E8" w:rsidP="00174B1F">
      <w:pPr>
        <w:spacing w:after="0" w:line="240" w:lineRule="auto"/>
        <w:ind w:left="285" w:hanging="285"/>
        <w:jc w:val="both"/>
        <w:rPr>
          <w:rFonts w:cs="David"/>
          <w:sz w:val="20"/>
          <w:szCs w:val="20"/>
          <w:rtl/>
        </w:rPr>
      </w:pPr>
      <w:r w:rsidRPr="00F25744">
        <w:rPr>
          <w:rStyle w:val="a6"/>
        </w:rPr>
        <w:footnoteRef/>
      </w:r>
      <w:r w:rsidRPr="00F25744">
        <w:t xml:space="preserve"> </w:t>
      </w:r>
      <w:r w:rsidRPr="00F25744">
        <w:rPr>
          <w:rFonts w:hint="cs"/>
          <w:rtl/>
        </w:rPr>
        <w:t xml:space="preserve"> </w:t>
      </w:r>
      <w:r w:rsidRPr="00F25744">
        <w:rPr>
          <w:rFonts w:cs="David" w:hint="cs"/>
          <w:sz w:val="20"/>
          <w:szCs w:val="20"/>
          <w:rtl/>
        </w:rPr>
        <w:t xml:space="preserve">נציין שוב, כי לא יכולנו לחשב את זמניהם של סוגי התיקים </w:t>
      </w:r>
      <w:r w:rsidRPr="00F25744">
        <w:rPr>
          <w:rFonts w:cs="David" w:hint="cs"/>
          <w:b/>
          <w:bCs/>
          <w:sz w:val="20"/>
          <w:szCs w:val="20"/>
          <w:rtl/>
        </w:rPr>
        <w:t>הנדירים</w:t>
      </w:r>
      <w:r w:rsidRPr="00F25744">
        <w:rPr>
          <w:rFonts w:cs="David" w:hint="cs"/>
          <w:sz w:val="20"/>
          <w:szCs w:val="20"/>
          <w:rtl/>
        </w:rPr>
        <w:t xml:space="preserve"> ביותר בכל ערכאה, בשל מיעוט הנתונים לגביהם. עם זאת, קיימים סוגי תיקים, אשר לגביהם היו לנו נתונים על כל האירועים בתיק ושכיחותם, אך מעטים, שוב, בשל נדירותם. ניתן לראות כי בשנת 2019 נסגרו רק 37 תיקי ה"נ (היתר נישואין), ועל כן, במהלך תקופת המחקר קיבלנו מעט מאד דיווחים על פעולות שנעשו בתיק זה, ולא קיבלנו כלל דיווח על אודות משך הזמן לכתיבת פסק דין בתיק זה. במסגרת השאלון המסכם, שבו התבקשו השופטים להעריך את משכי הזמן הדרושים לביצוע פעולות שונות בתיקים, ניסינו להשלים ולתקף את מיעוט הנתונים שקיבלנו במהלך תקופת המחקר. עוד נציין, כי מספר שופטים ביקשו כי נמדוד את זמניו של תיק זה למרות נדירותו. על כן, החלטנו שלא לוותר על הצגת הזמנים שנמדדו לתיק ה"נ, אלא לסמן סוג תיק זה בכוכבית (*). </w:t>
      </w:r>
    </w:p>
  </w:footnote>
  <w:footnote w:id="32">
    <w:p w14:paraId="2D02009B" w14:textId="77777777" w:rsidR="000761E8" w:rsidRPr="00F25744" w:rsidRDefault="000761E8" w:rsidP="00174B1F">
      <w:pPr>
        <w:pStyle w:val="a4"/>
        <w:bidi/>
        <w:spacing w:before="0" w:after="0" w:line="240" w:lineRule="auto"/>
        <w:ind w:left="285" w:hanging="285"/>
        <w:rPr>
          <w:rFonts w:cs="David"/>
          <w:rtl/>
        </w:rPr>
      </w:pPr>
      <w:r w:rsidRPr="00F25744">
        <w:t xml:space="preserve"> </w:t>
      </w:r>
      <w:r w:rsidRPr="00F25744">
        <w:rPr>
          <w:rStyle w:val="a6"/>
        </w:rPr>
        <w:footnoteRef/>
      </w:r>
      <w:r w:rsidRPr="00F25744">
        <w:t xml:space="preserve"> </w:t>
      </w:r>
      <w:r w:rsidRPr="00F25744">
        <w:rPr>
          <w:rFonts w:cs="David"/>
          <w:rtl/>
        </w:rPr>
        <w:tab/>
      </w:r>
      <w:r w:rsidRPr="00F25744">
        <w:rPr>
          <w:rFonts w:cs="David" w:hint="cs"/>
          <w:rtl/>
        </w:rPr>
        <w:t>ממצא זה, שלפיו זמן הטיפול השיפוטי בתיק מ"ת נוער ארוך יותר מזמן הטיפול בתיק ת"פ נוער, תוקף גם במסגרת השאלון המסכם וגם בשיחה עם נשיאת בתי המשפט לנוער, וכן יש לציין כי ממצא דומה נמצא גם במחקר המשקלות הקודם.</w:t>
      </w:r>
    </w:p>
    <w:p w14:paraId="40DE00DB" w14:textId="77777777" w:rsidR="000761E8" w:rsidRPr="00F25744" w:rsidRDefault="000761E8" w:rsidP="00174B1F">
      <w:pPr>
        <w:pStyle w:val="a4"/>
        <w:bidi/>
        <w:spacing w:before="0" w:after="0" w:line="240" w:lineRule="auto"/>
        <w:ind w:left="285"/>
        <w:rPr>
          <w:rFonts w:cs="David"/>
          <w:rtl/>
        </w:rPr>
      </w:pPr>
      <w:r w:rsidRPr="00F25744">
        <w:rPr>
          <w:rFonts w:cs="David" w:hint="cs"/>
          <w:rtl/>
        </w:rPr>
        <w:t xml:space="preserve">כמו כן, משיחה עם נשיאת בתי המשפט לנוער, עולה כי הליכי המעצרים הנוגעים לקטינים (תיקי </w:t>
      </w:r>
      <w:r w:rsidRPr="00F25744">
        <w:rPr>
          <w:rFonts w:cs="David" w:hint="cs"/>
          <w:b/>
          <w:bCs/>
          <w:rtl/>
        </w:rPr>
        <w:t>מ"י</w:t>
      </w:r>
      <w:r w:rsidRPr="00F25744">
        <w:rPr>
          <w:rFonts w:cs="David" w:hint="cs"/>
          <w:rtl/>
        </w:rPr>
        <w:t xml:space="preserve">, תיקי </w:t>
      </w:r>
      <w:r w:rsidRPr="00F25744">
        <w:rPr>
          <w:rFonts w:cs="David" w:hint="cs"/>
          <w:b/>
          <w:bCs/>
          <w:rtl/>
        </w:rPr>
        <w:t>מי"ב</w:t>
      </w:r>
      <w:r w:rsidRPr="00F25744">
        <w:rPr>
          <w:rFonts w:cs="David" w:hint="cs"/>
          <w:rtl/>
        </w:rPr>
        <w:t xml:space="preserve"> ותיקי </w:t>
      </w:r>
      <w:r w:rsidRPr="00F25744">
        <w:rPr>
          <w:rFonts w:cs="David" w:hint="cs"/>
          <w:b/>
          <w:bCs/>
          <w:rtl/>
        </w:rPr>
        <w:t>מ"ת</w:t>
      </w:r>
      <w:r w:rsidRPr="00F25744">
        <w:rPr>
          <w:rFonts w:cs="David" w:hint="cs"/>
          <w:rtl/>
        </w:rPr>
        <w:t xml:space="preserve"> עד לשלב הכרעת הדין) נשמעים בפני שופטי </w:t>
      </w:r>
      <w:r w:rsidRPr="00F25744">
        <w:rPr>
          <w:rFonts w:cs="David" w:hint="cs"/>
          <w:b/>
          <w:bCs/>
          <w:rtl/>
        </w:rPr>
        <w:t>נוער</w:t>
      </w:r>
      <w:r w:rsidRPr="00F25744">
        <w:rPr>
          <w:rFonts w:cs="David" w:hint="cs"/>
          <w:rtl/>
        </w:rPr>
        <w:t xml:space="preserve"> במחוזות תל אביב, צפון ולעתים גם במחוז ירושלים. בשאר המחוזות הם נשמעים בפני </w:t>
      </w:r>
      <w:r w:rsidRPr="00F25744">
        <w:rPr>
          <w:rFonts w:cs="David" w:hint="cs"/>
          <w:b/>
          <w:bCs/>
          <w:rtl/>
        </w:rPr>
        <w:t>שופטי שלום</w:t>
      </w:r>
      <w:r w:rsidRPr="00F25744">
        <w:rPr>
          <w:rFonts w:cs="David" w:hint="cs"/>
          <w:rtl/>
        </w:rPr>
        <w:t xml:space="preserve"> עם הסמכה להליכי מעצר בענייני קטינים. משלב הכרעת הדין בתיק הפלילי, בכל הארץ, הליכי מ״ת והמשכם, מתקיימים עד לתום ההליך הפלילי, בפני שופטי </w:t>
      </w:r>
      <w:r w:rsidRPr="00F25744">
        <w:rPr>
          <w:rFonts w:cs="David" w:hint="cs"/>
          <w:b/>
          <w:bCs/>
          <w:rtl/>
        </w:rPr>
        <w:t>הנוער</w:t>
      </w:r>
      <w:r w:rsidRPr="00F25744">
        <w:rPr>
          <w:rFonts w:cs="David" w:hint="cs"/>
          <w:rtl/>
        </w:rPr>
        <w:t xml:space="preserve"> בלבד.</w:t>
      </w:r>
    </w:p>
  </w:footnote>
  <w:footnote w:id="33">
    <w:p w14:paraId="1FD398C8" w14:textId="77777777" w:rsidR="000761E8" w:rsidRPr="00F25744" w:rsidRDefault="000761E8" w:rsidP="003E55D2">
      <w:pPr>
        <w:pStyle w:val="a4"/>
        <w:bidi/>
        <w:spacing w:before="0" w:after="0" w:line="240" w:lineRule="auto"/>
        <w:rPr>
          <w:rFonts w:ascii="David" w:hAnsi="David" w:cs="David"/>
          <w:rtl/>
        </w:rPr>
      </w:pPr>
      <w:r w:rsidRPr="00F25744">
        <w:rPr>
          <w:rStyle w:val="a6"/>
          <w:rFonts w:ascii="David" w:hAnsi="David" w:cs="David"/>
        </w:rPr>
        <w:footnoteRef/>
      </w:r>
      <w:r w:rsidRPr="00F25744">
        <w:rPr>
          <w:rFonts w:ascii="David" w:hAnsi="David" w:cs="David"/>
        </w:rPr>
        <w:t xml:space="preserve"> </w:t>
      </w:r>
      <w:r w:rsidRPr="00F25744">
        <w:rPr>
          <w:rFonts w:ascii="David" w:hAnsi="David" w:cs="David"/>
          <w:rtl/>
        </w:rPr>
        <w:t xml:space="preserve"> </w:t>
      </w:r>
      <w:r w:rsidRPr="00F25744">
        <w:rPr>
          <w:rFonts w:ascii="David" w:hAnsi="David" w:cs="David" w:hint="cs"/>
          <w:rtl/>
        </w:rPr>
        <w:t xml:space="preserve"> </w:t>
      </w:r>
      <w:r w:rsidRPr="00F25744">
        <w:rPr>
          <w:rFonts w:ascii="David" w:hAnsi="David" w:cs="David"/>
          <w:rtl/>
        </w:rPr>
        <w:t>ראו ה"ש 11.</w:t>
      </w:r>
    </w:p>
  </w:footnote>
  <w:footnote w:id="34">
    <w:p w14:paraId="1398E9E8" w14:textId="77777777" w:rsidR="000761E8" w:rsidRPr="00F25744" w:rsidRDefault="000761E8" w:rsidP="002D25A0">
      <w:pPr>
        <w:spacing w:after="0" w:line="240" w:lineRule="auto"/>
        <w:ind w:left="285" w:hanging="285"/>
        <w:jc w:val="both"/>
        <w:rPr>
          <w:rFonts w:cs="David"/>
          <w:rtl/>
        </w:rPr>
      </w:pPr>
      <w:r w:rsidRPr="00F25744">
        <w:rPr>
          <w:rStyle w:val="a6"/>
        </w:rPr>
        <w:footnoteRef/>
      </w:r>
      <w:r w:rsidRPr="00F25744">
        <w:t xml:space="preserve"> </w:t>
      </w:r>
      <w:r w:rsidRPr="00F25744">
        <w:rPr>
          <w:rFonts w:hint="cs"/>
          <w:rtl/>
        </w:rPr>
        <w:t xml:space="preserve"> </w:t>
      </w:r>
      <w:r w:rsidRPr="00F25744">
        <w:rPr>
          <w:rFonts w:cs="David" w:hint="cs"/>
          <w:sz w:val="20"/>
          <w:szCs w:val="20"/>
          <w:rtl/>
        </w:rPr>
        <w:t>יש לציין, כי סוגי התיקים של בתי הדין לעבודה אשר לא קיבלו משקל במחקר הקודם, קיבלו משקל שיורי אשר עמד על 3:07 שעות.</w:t>
      </w:r>
    </w:p>
    <w:p w14:paraId="6C521410" w14:textId="77777777" w:rsidR="000761E8" w:rsidRPr="00F25744" w:rsidRDefault="000761E8" w:rsidP="002D25A0">
      <w:pPr>
        <w:pStyle w:val="a4"/>
        <w:bidi/>
        <w:rPr>
          <w:rtl/>
        </w:rPr>
      </w:pPr>
    </w:p>
  </w:footnote>
  <w:footnote w:id="35">
    <w:p w14:paraId="03243768" w14:textId="77777777" w:rsidR="000761E8" w:rsidRPr="00F25744" w:rsidRDefault="000761E8" w:rsidP="002D25A0">
      <w:pPr>
        <w:spacing w:after="0" w:line="240" w:lineRule="auto"/>
        <w:ind w:left="285" w:hanging="285"/>
        <w:jc w:val="both"/>
        <w:rPr>
          <w:rFonts w:cs="David"/>
          <w:rtl/>
        </w:rPr>
      </w:pPr>
      <w:r w:rsidRPr="00F25744">
        <w:rPr>
          <w:rStyle w:val="a6"/>
        </w:rPr>
        <w:footnoteRef/>
      </w:r>
      <w:r w:rsidRPr="00F25744">
        <w:t xml:space="preserve"> </w:t>
      </w:r>
      <w:r w:rsidRPr="00F25744">
        <w:rPr>
          <w:rFonts w:hint="cs"/>
          <w:rtl/>
        </w:rPr>
        <w:t xml:space="preserve"> </w:t>
      </w:r>
      <w:r w:rsidRPr="00F25744">
        <w:rPr>
          <w:rFonts w:cs="David" w:hint="cs"/>
          <w:sz w:val="20"/>
          <w:szCs w:val="20"/>
          <w:rtl/>
        </w:rPr>
        <w:t>יש לציין, כי סוגי התיקים של בתי הדין לעבודה אשר לא קיבלו משקל במחקר הקודם, קיבלו משקל שיורי אשר עמד על 3:07 שעות.</w:t>
      </w:r>
    </w:p>
    <w:p w14:paraId="1F6E41C9" w14:textId="77777777" w:rsidR="000761E8" w:rsidRPr="00F25744" w:rsidRDefault="000761E8" w:rsidP="002D25A0">
      <w:pPr>
        <w:pStyle w:val="a4"/>
        <w:bidi/>
        <w:rPr>
          <w:rtl/>
        </w:rPr>
      </w:pPr>
    </w:p>
  </w:footnote>
  <w:footnote w:id="36">
    <w:p w14:paraId="23D89F27" w14:textId="77777777" w:rsidR="000761E8" w:rsidRPr="00F25744" w:rsidRDefault="000761E8" w:rsidP="00174B1F">
      <w:pPr>
        <w:pStyle w:val="a4"/>
        <w:bidi/>
        <w:rPr>
          <w:rFonts w:cs="David"/>
          <w:rtl/>
        </w:rPr>
      </w:pPr>
      <w:r w:rsidRPr="00F25744">
        <w:rPr>
          <w:rStyle w:val="a6"/>
        </w:rPr>
        <w:footnoteRef/>
      </w:r>
      <w:r w:rsidRPr="00F25744">
        <w:t xml:space="preserve"> </w:t>
      </w:r>
      <w:r w:rsidRPr="00F25744">
        <w:rPr>
          <w:rFonts w:cs="David" w:hint="cs"/>
          <w:rtl/>
        </w:rPr>
        <w:t xml:space="preserve"> לפירוט הממצאים של בתי הדין לעבודה ראו מחקר בתי הדין לעבודה, להלן הפניה בה"ש 11.</w:t>
      </w:r>
    </w:p>
  </w:footnote>
  <w:footnote w:id="37">
    <w:p w14:paraId="485E6007" w14:textId="77777777" w:rsidR="000761E8" w:rsidRPr="00F25744" w:rsidRDefault="000761E8" w:rsidP="00F231E7">
      <w:pPr>
        <w:pStyle w:val="a3"/>
        <w:widowControl w:val="0"/>
        <w:autoSpaceDE w:val="0"/>
        <w:autoSpaceDN w:val="0"/>
        <w:bidi/>
        <w:adjustRightInd w:val="0"/>
        <w:spacing w:before="60" w:after="60" w:line="240" w:lineRule="auto"/>
        <w:ind w:left="285" w:hanging="285"/>
        <w:rPr>
          <w:b/>
          <w:bCs/>
          <w:rtl/>
        </w:rPr>
      </w:pPr>
      <w:r w:rsidRPr="00F25744">
        <w:rPr>
          <w:rStyle w:val="a6"/>
        </w:rPr>
        <w:footnoteRef/>
      </w:r>
      <w:r w:rsidRPr="00F25744">
        <w:t xml:space="preserve"> </w:t>
      </w:r>
      <w:r w:rsidRPr="00F25744">
        <w:rPr>
          <w:rFonts w:ascii="David" w:hAnsi="David" w:cs="David" w:hint="cs"/>
          <w:sz w:val="20"/>
          <w:szCs w:val="20"/>
          <w:rtl/>
        </w:rPr>
        <w:t xml:space="preserve"> </w:t>
      </w:r>
      <w:r w:rsidRPr="00F25744">
        <w:rPr>
          <w:rFonts w:ascii="David" w:hAnsi="David" w:cs="David"/>
          <w:sz w:val="20"/>
          <w:szCs w:val="20"/>
          <w:rtl/>
        </w:rPr>
        <w:tab/>
      </w:r>
      <w:r w:rsidRPr="00F25744">
        <w:rPr>
          <w:rFonts w:ascii="David" w:hAnsi="David" w:cs="David" w:hint="cs"/>
          <w:sz w:val="20"/>
          <w:szCs w:val="20"/>
          <w:rtl/>
        </w:rPr>
        <w:t>לצורך חילוץ ממוצע שעות העבודה השיפוטיות היומיות הורדנו תוצאות קיצוניות, אשר שיקפו נתונים של למעלה מ-24 שעות עבודה ביום, ואשר מולאו ביחס להשתלמויות בנות יותר מיום עבודה אחד.</w:t>
      </w:r>
      <w:r w:rsidRPr="00F25744">
        <w:rPr>
          <w:rFonts w:ascii="David" w:hAnsi="David" w:cs="David" w:hint="cs"/>
          <w:sz w:val="24"/>
          <w:szCs w:val="24"/>
          <w:rtl/>
        </w:rPr>
        <w:t xml:space="preserve"> </w:t>
      </w:r>
    </w:p>
  </w:footnote>
  <w:footnote w:id="38">
    <w:p w14:paraId="6796C39C" w14:textId="77777777" w:rsidR="000761E8" w:rsidRPr="00F25744" w:rsidRDefault="000761E8" w:rsidP="00220F11">
      <w:pPr>
        <w:pStyle w:val="a4"/>
        <w:bidi/>
        <w:rPr>
          <w:rFonts w:ascii="David" w:hAnsi="David" w:cs="David"/>
          <w:color w:val="202121"/>
          <w:rtl/>
        </w:rPr>
      </w:pPr>
      <w:r w:rsidRPr="00F25744">
        <w:rPr>
          <w:rStyle w:val="a6"/>
        </w:rPr>
        <w:footnoteRef/>
      </w:r>
      <w:r w:rsidRPr="00F25744">
        <w:t xml:space="preserve"> </w:t>
      </w:r>
      <w:r w:rsidRPr="00F25744">
        <w:rPr>
          <w:rFonts w:ascii="David" w:hAnsi="David" w:cs="David" w:hint="cs"/>
          <w:rtl/>
        </w:rPr>
        <w:t xml:space="preserve"> </w:t>
      </w:r>
      <w:r w:rsidRPr="00F25744">
        <w:rPr>
          <w:rFonts w:ascii="David" w:hAnsi="David" w:cs="David"/>
          <w:rtl/>
        </w:rPr>
        <w:t>בהתאם ל</w:t>
      </w:r>
      <w:r w:rsidRPr="00F25744">
        <w:rPr>
          <w:rFonts w:ascii="David" w:hAnsi="David" w:cs="David"/>
          <w:color w:val="202121"/>
          <w:rtl/>
        </w:rPr>
        <w:t xml:space="preserve">צו </w:t>
      </w:r>
      <w:r w:rsidRPr="00F25744">
        <w:rPr>
          <w:rFonts w:ascii="David" w:hAnsi="David" w:cs="David" w:hint="cs"/>
          <w:color w:val="202121"/>
          <w:rtl/>
        </w:rPr>
        <w:t>ה</w:t>
      </w:r>
      <w:r w:rsidRPr="00F25744">
        <w:rPr>
          <w:rFonts w:ascii="David" w:hAnsi="David" w:cs="David"/>
          <w:color w:val="202121"/>
          <w:rtl/>
        </w:rPr>
        <w:t>הרחבה בדבר קיצור שבוע העבודה במשק</w:t>
      </w:r>
      <w:r w:rsidRPr="00F25744">
        <w:rPr>
          <w:rFonts w:ascii="David" w:hAnsi="David" w:cs="David" w:hint="cs"/>
          <w:color w:val="202121"/>
          <w:rtl/>
        </w:rPr>
        <w:t>, שנחתם ביום 15.3.2018.</w:t>
      </w:r>
    </w:p>
  </w:footnote>
  <w:footnote w:id="39">
    <w:p w14:paraId="1DDB1410" w14:textId="77777777" w:rsidR="000761E8" w:rsidRPr="00F25744" w:rsidRDefault="000761E8" w:rsidP="00F231E7">
      <w:pPr>
        <w:pStyle w:val="a4"/>
        <w:bidi/>
        <w:spacing w:before="0" w:after="0" w:line="240" w:lineRule="auto"/>
        <w:ind w:left="285" w:hanging="284"/>
        <w:rPr>
          <w:rFonts w:cs="David"/>
          <w:rtl/>
        </w:rPr>
      </w:pPr>
      <w:r w:rsidRPr="00F25744">
        <w:rPr>
          <w:rStyle w:val="a6"/>
          <w:rFonts w:cs="David"/>
        </w:rPr>
        <w:footnoteRef/>
      </w:r>
      <w:r w:rsidRPr="00F25744">
        <w:rPr>
          <w:rFonts w:cs="David"/>
        </w:rPr>
        <w:t xml:space="preserve"> </w:t>
      </w:r>
      <w:r w:rsidRPr="00F25744">
        <w:rPr>
          <w:rFonts w:cs="David" w:hint="cs"/>
          <w:rtl/>
        </w:rPr>
        <w:t xml:space="preserve"> </w:t>
      </w:r>
      <w:r w:rsidRPr="00F25744">
        <w:rPr>
          <w:rFonts w:cs="David"/>
          <w:rtl/>
        </w:rPr>
        <w:tab/>
      </w:r>
      <w:r w:rsidRPr="00F25744">
        <w:rPr>
          <w:rFonts w:cs="David" w:hint="cs"/>
          <w:rtl/>
        </w:rPr>
        <w:t>ראו למשל כתבות שפורסמו על סקר זה בפרקליטות, שערכה פרופ' שרון טוקר מאוניברסיטת תל אביב בחודש יוני 2018 (הסקר עצמו לא פורסם):</w:t>
      </w:r>
    </w:p>
    <w:p w14:paraId="789D5BDD" w14:textId="77777777" w:rsidR="000761E8" w:rsidRPr="00F25744" w:rsidRDefault="008F1BC3" w:rsidP="00F231E7">
      <w:pPr>
        <w:pStyle w:val="a4"/>
        <w:bidi/>
        <w:spacing w:before="0" w:after="0" w:line="240" w:lineRule="auto"/>
        <w:ind w:left="570" w:hanging="284"/>
        <w:rPr>
          <w:rtl/>
        </w:rPr>
      </w:pPr>
      <w:hyperlink w:history="1">
        <w:r w:rsidR="000761E8" w:rsidRPr="00F25744">
          <w:rPr>
            <w:rStyle w:val="Hyperlink"/>
          </w:rPr>
          <w:t>https://www.ynet.co.il/articles/0,7340,L-5285276,00.html</w:t>
        </w:r>
      </w:hyperlink>
    </w:p>
    <w:p w14:paraId="47DA1403" w14:textId="77777777" w:rsidR="000761E8" w:rsidRPr="00F25744" w:rsidRDefault="008F1BC3" w:rsidP="00F231E7">
      <w:pPr>
        <w:pStyle w:val="a4"/>
        <w:bidi/>
        <w:spacing w:before="0" w:after="0" w:line="240" w:lineRule="auto"/>
        <w:ind w:left="570" w:hanging="284"/>
        <w:rPr>
          <w:rtl/>
        </w:rPr>
      </w:pPr>
      <w:hyperlink w:history="1">
        <w:r w:rsidR="000761E8" w:rsidRPr="00F25744">
          <w:rPr>
            <w:rStyle w:val="Hyperlink"/>
          </w:rPr>
          <w:t>https://www.globes.co.il/news/article.aspx?did=1001241290</w:t>
        </w:r>
      </w:hyperlink>
    </w:p>
  </w:footnote>
  <w:footnote w:id="40">
    <w:p w14:paraId="143E9221" w14:textId="4F07219F" w:rsidR="000761E8" w:rsidRPr="00F25744" w:rsidRDefault="000761E8" w:rsidP="00153E33">
      <w:pPr>
        <w:pStyle w:val="a4"/>
        <w:bidi/>
        <w:spacing w:before="0" w:after="0"/>
        <w:ind w:left="285" w:hanging="284"/>
        <w:rPr>
          <w:rtl/>
        </w:rPr>
      </w:pPr>
      <w:r w:rsidRPr="00F25744">
        <w:rPr>
          <w:rStyle w:val="a6"/>
        </w:rPr>
        <w:footnoteRef/>
      </w:r>
      <w:r w:rsidRPr="00F25744">
        <w:t xml:space="preserve"> </w:t>
      </w:r>
      <w:r w:rsidRPr="00F25744">
        <w:rPr>
          <w:rFonts w:ascii="David" w:hAnsi="David" w:cs="David" w:hint="cs"/>
          <w:rtl/>
        </w:rPr>
        <w:t xml:space="preserve"> </w:t>
      </w:r>
      <w:r w:rsidRPr="00F25744">
        <w:rPr>
          <w:rFonts w:ascii="David" w:hAnsi="David" w:cs="David"/>
          <w:rtl/>
        </w:rPr>
        <w:tab/>
      </w:r>
      <w:r w:rsidRPr="00F25744">
        <w:rPr>
          <w:rFonts w:ascii="David" w:hAnsi="David" w:cs="David" w:hint="cs"/>
          <w:rtl/>
        </w:rPr>
        <w:t xml:space="preserve">ציינו כאן את מספר התשובות ולא מספר השופטים, שכן כפי שפורט לעיל (ראו ה"ש 15), ייתכן שחלק מן השופטים השיבו על השאלון יותר מפעם אחת, בשל תקלות שונות או העדר זמן להשיב על השאלון במלואו בפעם אחת. עם זאת ידוע לנו גם שרוב </w:t>
      </w:r>
      <w:r>
        <w:rPr>
          <w:rFonts w:ascii="David" w:hAnsi="David" w:cs="David" w:hint="cs"/>
          <w:rtl/>
        </w:rPr>
        <w:t>הקשיים</w:t>
      </w:r>
      <w:r w:rsidRPr="00F25744">
        <w:rPr>
          <w:rFonts w:ascii="David" w:hAnsi="David" w:cs="David" w:hint="cs"/>
          <w:rtl/>
        </w:rPr>
        <w:t xml:space="preserve"> שבה</w:t>
      </w:r>
      <w:r>
        <w:rPr>
          <w:rFonts w:ascii="David" w:hAnsi="David" w:cs="David" w:hint="cs"/>
          <w:rtl/>
        </w:rPr>
        <w:t>ם</w:t>
      </w:r>
      <w:r w:rsidRPr="00F25744">
        <w:rPr>
          <w:rFonts w:ascii="David" w:hAnsi="David" w:cs="David" w:hint="cs"/>
          <w:rtl/>
        </w:rPr>
        <w:t xml:space="preserve"> נתקלו השופטים הופיעו בחלקים הראשונים של השאלון המסכם, ועל כן ניתן להניח שכמות התשובות שקיבלנו על חלק זה של השאלון אכן משקפת, פחות או יותר, את כמות השופטים שהשיבו על פרק זה של השאלון</w:t>
      </w:r>
      <w:r w:rsidRPr="00F25744">
        <w:rPr>
          <w:rFonts w:hint="cs"/>
          <w:rtl/>
        </w:rPr>
        <w:t>.</w:t>
      </w:r>
    </w:p>
  </w:footnote>
  <w:footnote w:id="41">
    <w:p w14:paraId="3F78CA10" w14:textId="77777777" w:rsidR="000761E8" w:rsidRPr="00F25744" w:rsidRDefault="000761E8" w:rsidP="00395EEF">
      <w:pPr>
        <w:pStyle w:val="a4"/>
        <w:bidi/>
        <w:rPr>
          <w:rtl/>
        </w:rPr>
      </w:pPr>
      <w:r w:rsidRPr="00F25744">
        <w:rPr>
          <w:rStyle w:val="a6"/>
        </w:rPr>
        <w:footnoteRef/>
      </w:r>
      <w:r w:rsidRPr="00F25744">
        <w:t xml:space="preserve"> </w:t>
      </w:r>
      <w:r w:rsidRPr="00F25744">
        <w:rPr>
          <w:rFonts w:ascii="David" w:hAnsi="David" w:cs="David" w:hint="cs"/>
          <w:rtl/>
        </w:rPr>
        <w:t xml:space="preserve"> </w:t>
      </w:r>
      <w:r w:rsidRPr="00F25744">
        <w:rPr>
          <w:rFonts w:ascii="David" w:hAnsi="David" w:cs="David"/>
          <w:rtl/>
        </w:rPr>
        <w:t>שאלה זו לא נשאלה במחקר של בתי הדין לעבודה.</w:t>
      </w:r>
    </w:p>
  </w:footnote>
  <w:footnote w:id="42">
    <w:p w14:paraId="17ECABFF" w14:textId="77777777" w:rsidR="000761E8" w:rsidRPr="00F25744" w:rsidRDefault="000761E8" w:rsidP="00F231E7">
      <w:pPr>
        <w:pStyle w:val="a4"/>
        <w:bidi/>
        <w:spacing w:before="0" w:after="0" w:line="240" w:lineRule="auto"/>
        <w:ind w:left="285" w:hanging="285"/>
        <w:rPr>
          <w:rFonts w:cs="David"/>
          <w:rtl/>
        </w:rPr>
      </w:pPr>
      <w:r w:rsidRPr="00F25744">
        <w:rPr>
          <w:rStyle w:val="a6"/>
        </w:rPr>
        <w:footnoteRef/>
      </w:r>
      <w:r w:rsidRPr="00F25744">
        <w:t xml:space="preserve"> </w:t>
      </w:r>
      <w:r w:rsidRPr="00F25744">
        <w:rPr>
          <w:rFonts w:cs="David" w:hint="cs"/>
          <w:rtl/>
        </w:rPr>
        <w:t xml:space="preserve"> ראו למשל מאמרים העוסקים בקורבנות משנית של עו"ד המייצגים נפגעי עבירה, בעיקר עבירות מין, ואוכלוסיות מוחלשות שונות:</w:t>
      </w:r>
    </w:p>
    <w:p w14:paraId="6D8F037E" w14:textId="77777777" w:rsidR="000761E8" w:rsidRPr="00F25744" w:rsidRDefault="000761E8" w:rsidP="00F231E7">
      <w:pPr>
        <w:pStyle w:val="a4"/>
        <w:bidi/>
        <w:spacing w:before="0" w:after="0" w:line="240" w:lineRule="auto"/>
        <w:ind w:left="285"/>
        <w:rPr>
          <w:rFonts w:cs="David"/>
          <w:rtl/>
        </w:rPr>
      </w:pPr>
      <w:r w:rsidRPr="00F25744">
        <w:rPr>
          <w:rFonts w:ascii="Times New Roman" w:hAnsi="Times New Roman" w:cs="David" w:hint="cs"/>
          <w:rtl/>
        </w:rPr>
        <w:t xml:space="preserve">נעמי לבנקרון, "זולגות הדמעות מעצמן: מחיריה הרגשיים של עריכת דין חברתית", </w:t>
      </w:r>
      <w:r w:rsidRPr="00F25744">
        <w:rPr>
          <w:rFonts w:cs="David" w:hint="cs"/>
          <w:b/>
          <w:bCs/>
          <w:rtl/>
        </w:rPr>
        <w:t>מעשי משפט</w:t>
      </w:r>
      <w:r w:rsidRPr="00F25744">
        <w:rPr>
          <w:rFonts w:cs="David" w:hint="cs"/>
          <w:rtl/>
        </w:rPr>
        <w:t xml:space="preserve"> ו' (2014), עמ' 13-43.</w:t>
      </w:r>
    </w:p>
    <w:p w14:paraId="2285D8E9" w14:textId="77777777" w:rsidR="000761E8" w:rsidRPr="00F25744" w:rsidRDefault="000761E8" w:rsidP="00F231E7">
      <w:pPr>
        <w:pStyle w:val="a4"/>
        <w:spacing w:before="0" w:after="0" w:line="240" w:lineRule="auto"/>
        <w:jc w:val="left"/>
        <w:rPr>
          <w:rFonts w:cs="David"/>
        </w:rPr>
      </w:pPr>
      <w:r w:rsidRPr="00F25744">
        <w:rPr>
          <w:rFonts w:cs="David"/>
        </w:rPr>
        <w:t xml:space="preserve">Evan R, </w:t>
      </w:r>
      <w:r w:rsidRPr="00F25744">
        <w:rPr>
          <w:rFonts w:ascii="Times New Roman" w:hAnsi="Times New Roman" w:cs="David"/>
        </w:rPr>
        <w:t>Practical Tools for Trauma: Sex Crimes Litigation as Hazardous Duty,</w:t>
      </w:r>
      <w:r w:rsidRPr="00F25744">
        <w:rPr>
          <w:rFonts w:ascii="Times New Roman" w:hAnsi="Times New Roman" w:cs="David"/>
          <w:i/>
          <w:iCs/>
        </w:rPr>
        <w:t xml:space="preserve"> Ohio State Journal of Criminal Law </w:t>
      </w:r>
      <w:r w:rsidRPr="00F25744">
        <w:rPr>
          <w:rFonts w:ascii="Times New Roman" w:hAnsi="Times New Roman" w:cs="David"/>
        </w:rPr>
        <w:t>,487-578</w:t>
      </w:r>
      <w:r w:rsidRPr="00F25744">
        <w:rPr>
          <w:rFonts w:cs="David"/>
        </w:rPr>
        <w:t xml:space="preserve"> </w:t>
      </w:r>
      <w:r w:rsidRPr="00F25744">
        <w:rPr>
          <w:rFonts w:ascii="Times New Roman" w:hAnsi="Times New Roman" w:cs="David"/>
        </w:rPr>
        <w:t>(2014).</w:t>
      </w:r>
    </w:p>
  </w:footnote>
  <w:footnote w:id="43">
    <w:p w14:paraId="03DF17EC" w14:textId="77777777" w:rsidR="000761E8" w:rsidRPr="00F25744" w:rsidRDefault="000761E8" w:rsidP="00F231E7">
      <w:pPr>
        <w:pStyle w:val="a4"/>
        <w:bidi/>
        <w:spacing w:line="240" w:lineRule="auto"/>
        <w:ind w:left="285" w:hanging="285"/>
        <w:rPr>
          <w:rtl/>
        </w:rPr>
      </w:pPr>
      <w:r w:rsidRPr="00F25744">
        <w:rPr>
          <w:rStyle w:val="a6"/>
          <w:rFonts w:cs="Calibri"/>
        </w:rPr>
        <w:footnoteRef/>
      </w:r>
      <w:r w:rsidRPr="00F25744">
        <w:rPr>
          <w:rFonts w:cs="Calibri"/>
        </w:rPr>
        <w:t xml:space="preserve"> Vrklevski, L. P., &amp; Franklin, J. (2008) Vicarious Trauma: The Impact on Solicitors of Exposure to Traumatic    Material. </w:t>
      </w:r>
      <w:r w:rsidRPr="00F25744">
        <w:rPr>
          <w:rFonts w:cs="Calibri"/>
          <w:i/>
          <w:iCs/>
        </w:rPr>
        <w:t>Traumatology</w:t>
      </w:r>
      <w:r w:rsidRPr="00F25744">
        <w:rPr>
          <w:rFonts w:cs="Calibri"/>
        </w:rPr>
        <w:t xml:space="preserve">, </w:t>
      </w:r>
      <w:r w:rsidRPr="00F25744">
        <w:rPr>
          <w:rFonts w:cs="Calibri"/>
          <w:i/>
          <w:iCs/>
        </w:rPr>
        <w:t>14</w:t>
      </w:r>
      <w:r w:rsidRPr="00F25744">
        <w:rPr>
          <w:rFonts w:cs="Calibri"/>
        </w:rPr>
        <w:t>(1), 106–118.</w:t>
      </w:r>
    </w:p>
  </w:footnote>
  <w:footnote w:id="44">
    <w:p w14:paraId="20A571D5" w14:textId="77777777" w:rsidR="000761E8" w:rsidRPr="00F25744" w:rsidRDefault="000761E8" w:rsidP="00F231E7">
      <w:pPr>
        <w:pStyle w:val="a4"/>
        <w:bidi/>
        <w:rPr>
          <w:rFonts w:cs="David"/>
          <w:rtl/>
        </w:rPr>
      </w:pPr>
      <w:r w:rsidRPr="00F25744">
        <w:rPr>
          <w:rStyle w:val="a6"/>
        </w:rPr>
        <w:footnoteRef/>
      </w:r>
      <w:r w:rsidRPr="00F25744">
        <w:t xml:space="preserve"> </w:t>
      </w:r>
      <w:r w:rsidRPr="00F25744">
        <w:rPr>
          <w:rFonts w:cs="David" w:hint="cs"/>
          <w:rtl/>
        </w:rPr>
        <w:t>ראו הפניה למחקר בתי הדין לעבודה, לעיל בה"ש 11.</w:t>
      </w:r>
    </w:p>
  </w:footnote>
  <w:footnote w:id="45">
    <w:p w14:paraId="060CBB98" w14:textId="77777777" w:rsidR="000761E8" w:rsidRPr="00F25744" w:rsidRDefault="000761E8" w:rsidP="00865E48">
      <w:pPr>
        <w:spacing w:before="120" w:after="0" w:line="240" w:lineRule="auto"/>
        <w:ind w:left="285" w:hanging="286"/>
        <w:jc w:val="both"/>
        <w:rPr>
          <w:rFonts w:ascii="David" w:hAnsi="David" w:cs="David"/>
          <w:sz w:val="20"/>
          <w:szCs w:val="20"/>
          <w:rtl/>
        </w:rPr>
      </w:pPr>
      <w:r w:rsidRPr="00F25744">
        <w:rPr>
          <w:rStyle w:val="a6"/>
          <w:rFonts w:cs="David"/>
          <w:sz w:val="20"/>
          <w:szCs w:val="20"/>
        </w:rPr>
        <w:footnoteRef/>
      </w:r>
      <w:r w:rsidRPr="00F25744">
        <w:rPr>
          <w:rFonts w:cs="David"/>
          <w:sz w:val="20"/>
          <w:szCs w:val="20"/>
          <w:rtl/>
        </w:rPr>
        <w:t xml:space="preserve"> </w:t>
      </w:r>
      <w:r w:rsidRPr="00F25744">
        <w:rPr>
          <w:rFonts w:ascii="David" w:hAnsi="David" w:cs="David"/>
          <w:b/>
          <w:bCs/>
          <w:sz w:val="20"/>
          <w:szCs w:val="20"/>
          <w:rtl/>
        </w:rPr>
        <w:tab/>
      </w:r>
      <w:r w:rsidRPr="00F25744">
        <w:rPr>
          <w:rFonts w:ascii="David" w:hAnsi="David" w:cs="David" w:hint="cs"/>
          <w:b/>
          <w:bCs/>
          <w:sz w:val="20"/>
          <w:szCs w:val="20"/>
          <w:rtl/>
        </w:rPr>
        <w:t>הסבר לגבי תיקי ההרכבים</w:t>
      </w:r>
      <w:r w:rsidRPr="00F25744">
        <w:rPr>
          <w:rFonts w:ascii="David" w:hAnsi="David" w:cs="David" w:hint="cs"/>
          <w:sz w:val="20"/>
          <w:szCs w:val="20"/>
          <w:rtl/>
        </w:rPr>
        <w:t xml:space="preserve"> </w:t>
      </w:r>
      <w:r w:rsidRPr="00F25744">
        <w:rPr>
          <w:rFonts w:ascii="David" w:hAnsi="David" w:cs="David"/>
          <w:sz w:val="20"/>
          <w:szCs w:val="20"/>
          <w:rtl/>
        </w:rPr>
        <w:t>–</w:t>
      </w:r>
      <w:r w:rsidRPr="00F25744">
        <w:rPr>
          <w:rFonts w:ascii="David" w:hAnsi="David" w:cs="David" w:hint="cs"/>
          <w:sz w:val="20"/>
          <w:szCs w:val="20"/>
          <w:rtl/>
        </w:rPr>
        <w:t xml:space="preserve"> מחלקת המחקר תנסה לתת משקל נפרד לתיקי הרכב, כך שהתיק יקבל משקל הן כתיק של דן יחיד והן כתיק של הרכב, ובהרכב תהיה חלוקה בין המשקל שהטיפול בתיק מטיל על השופט/ת במידה שהוא/היא חבר בהרכב או אב ביה"ד. </w:t>
      </w:r>
    </w:p>
    <w:p w14:paraId="31856713" w14:textId="77777777" w:rsidR="000761E8" w:rsidRPr="00F25744" w:rsidRDefault="000761E8" w:rsidP="00865E48">
      <w:pPr>
        <w:spacing w:before="120" w:after="0" w:line="240" w:lineRule="auto"/>
        <w:ind w:left="285"/>
        <w:jc w:val="both"/>
        <w:rPr>
          <w:rFonts w:ascii="David" w:hAnsi="David" w:cs="David"/>
          <w:sz w:val="20"/>
          <w:szCs w:val="20"/>
        </w:rPr>
      </w:pPr>
      <w:r w:rsidRPr="00F25744">
        <w:rPr>
          <w:rFonts w:ascii="David" w:hAnsi="David" w:cs="David" w:hint="cs"/>
          <w:sz w:val="20"/>
          <w:szCs w:val="20"/>
          <w:rtl/>
        </w:rPr>
        <w:t xml:space="preserve">על כן, אנא בחר/י מהרשימה שלהלן רק את התיקים שבהם ישבת לאחרונה כאשר התנהלו כתיקים בדן יחיד, או בתיקי הרכב </w:t>
      </w:r>
      <w:r w:rsidRPr="00F25744">
        <w:rPr>
          <w:rFonts w:ascii="David" w:hAnsi="David" w:cs="David"/>
          <w:sz w:val="20"/>
          <w:szCs w:val="20"/>
          <w:rtl/>
        </w:rPr>
        <w:t>–</w:t>
      </w:r>
      <w:r w:rsidRPr="00F25744">
        <w:rPr>
          <w:rFonts w:ascii="David" w:hAnsi="David" w:cs="David" w:hint="cs"/>
          <w:sz w:val="20"/>
          <w:szCs w:val="20"/>
          <w:rtl/>
        </w:rPr>
        <w:t xml:space="preserve"> אם ישבת בהם כחברי הרכב, או כאב ביה"ד.</w:t>
      </w:r>
    </w:p>
    <w:p w14:paraId="65D007DC" w14:textId="77777777" w:rsidR="000761E8" w:rsidRPr="00F25744" w:rsidRDefault="000761E8" w:rsidP="005E4C22">
      <w:pPr>
        <w:pStyle w:val="a4"/>
        <w:rPr>
          <w:rtl/>
        </w:rPr>
      </w:pPr>
    </w:p>
  </w:footnote>
  <w:footnote w:id="46">
    <w:p w14:paraId="78CA7975" w14:textId="77777777" w:rsidR="000761E8" w:rsidRPr="00F25744" w:rsidRDefault="000761E8" w:rsidP="005E4C22">
      <w:pPr>
        <w:spacing w:before="120" w:after="0" w:line="240" w:lineRule="auto"/>
        <w:ind w:left="140" w:hanging="141"/>
        <w:jc w:val="both"/>
      </w:pPr>
      <w:r w:rsidRPr="00F25744">
        <w:rPr>
          <w:rStyle w:val="a6"/>
          <w:rFonts w:cs="David"/>
          <w:sz w:val="20"/>
          <w:szCs w:val="20"/>
        </w:rPr>
        <w:footnoteRef/>
      </w:r>
      <w:r w:rsidRPr="00F25744">
        <w:rPr>
          <w:rFonts w:cs="David"/>
          <w:sz w:val="20"/>
          <w:szCs w:val="20"/>
          <w:rtl/>
        </w:rPr>
        <w:t xml:space="preserve"> </w:t>
      </w:r>
      <w:r w:rsidRPr="00F25744">
        <w:rPr>
          <w:rFonts w:ascii="David" w:hAnsi="David" w:cs="David" w:hint="cs"/>
          <w:sz w:val="20"/>
          <w:szCs w:val="20"/>
          <w:rtl/>
        </w:rPr>
        <w:t xml:space="preserve"> </w:t>
      </w:r>
      <w:r w:rsidRPr="00F25744">
        <w:rPr>
          <w:rFonts w:ascii="David" w:hAnsi="David" w:cs="David" w:hint="cs"/>
          <w:b/>
          <w:bCs/>
          <w:sz w:val="20"/>
          <w:szCs w:val="20"/>
          <w:rtl/>
        </w:rPr>
        <w:t>לגבי תיקי ההרכבים</w:t>
      </w:r>
      <w:r w:rsidRPr="00F25744">
        <w:rPr>
          <w:rFonts w:ascii="David" w:hAnsi="David" w:cs="David" w:hint="cs"/>
          <w:sz w:val="20"/>
          <w:szCs w:val="20"/>
          <w:rtl/>
        </w:rPr>
        <w:t xml:space="preserve"> </w:t>
      </w:r>
      <w:r w:rsidRPr="00F25744">
        <w:rPr>
          <w:rFonts w:ascii="David" w:hAnsi="David" w:cs="David"/>
          <w:sz w:val="20"/>
          <w:szCs w:val="20"/>
          <w:rtl/>
        </w:rPr>
        <w:t>–</w:t>
      </w:r>
      <w:r w:rsidRPr="00F25744">
        <w:rPr>
          <w:rFonts w:ascii="David" w:hAnsi="David" w:cs="David" w:hint="cs"/>
          <w:sz w:val="20"/>
          <w:szCs w:val="20"/>
          <w:rtl/>
        </w:rPr>
        <w:t xml:space="preserve"> מחלקת המחקר תנסה לתת משקל נפרד לתיקי הרכב, כך שהתיק יקבל משקל הן כתיק של דן יחיד והן כתיק של הרכב, כאשר רלוונטי, ובהרכב תהיה חלוקה בין המשקל שהטיפול בתיק מטיל על השופט/ת במידה שהוא/היא חבר בהרכב או אב ביה"ד. </w:t>
      </w:r>
    </w:p>
  </w:footnote>
  <w:footnote w:id="47">
    <w:p w14:paraId="0AA264FC" w14:textId="77777777" w:rsidR="000761E8" w:rsidRPr="00F25744" w:rsidRDefault="000761E8" w:rsidP="005E4C22">
      <w:pPr>
        <w:spacing w:before="120" w:after="0" w:line="240" w:lineRule="auto"/>
        <w:ind w:left="140" w:hanging="141"/>
        <w:jc w:val="both"/>
        <w:rPr>
          <w:rFonts w:ascii="David" w:hAnsi="David" w:cs="David"/>
          <w:sz w:val="20"/>
          <w:szCs w:val="20"/>
          <w:rtl/>
        </w:rPr>
      </w:pPr>
      <w:r w:rsidRPr="00F25744">
        <w:rPr>
          <w:rFonts w:cs="Calibri"/>
          <w:sz w:val="14"/>
          <w:szCs w:val="14"/>
        </w:rPr>
        <w:footnoteRef/>
      </w:r>
      <w:r w:rsidRPr="00F25744">
        <w:rPr>
          <w:rFonts w:ascii="David" w:hAnsi="David" w:cs="David"/>
          <w:sz w:val="20"/>
          <w:szCs w:val="20"/>
          <w:rtl/>
        </w:rPr>
        <w:t xml:space="preserve"> </w:t>
      </w:r>
      <w:r w:rsidRPr="00F25744">
        <w:rPr>
          <w:rFonts w:ascii="David" w:hAnsi="David" w:cs="David" w:hint="cs"/>
          <w:b/>
          <w:bCs/>
          <w:sz w:val="20"/>
          <w:szCs w:val="20"/>
          <w:rtl/>
        </w:rPr>
        <w:t>לגבי סוגי העניין בתיקי ת"א</w:t>
      </w:r>
      <w:r w:rsidRPr="00F25744">
        <w:rPr>
          <w:rFonts w:ascii="David" w:hAnsi="David" w:cs="David" w:hint="cs"/>
          <w:sz w:val="20"/>
          <w:szCs w:val="20"/>
          <w:rtl/>
        </w:rPr>
        <w:t xml:space="preserve"> - לבקשת שופטים ונשיאים רבים מערכאת המחוזי ננסה בין היתר באמצעות שאלון זה לתת משקל נפרד לסוגי העניין המרכזיים בתיקים מסוג ת"א.</w:t>
      </w:r>
    </w:p>
  </w:footnote>
  <w:footnote w:id="48">
    <w:p w14:paraId="1308C52E" w14:textId="77777777" w:rsidR="000761E8" w:rsidRPr="00DF1BF4" w:rsidRDefault="000761E8" w:rsidP="005E4C22">
      <w:pPr>
        <w:spacing w:before="120" w:after="0" w:line="240" w:lineRule="auto"/>
        <w:ind w:left="140" w:hanging="141"/>
        <w:jc w:val="both"/>
        <w:rPr>
          <w:rFonts w:ascii="David" w:hAnsi="David" w:cs="David"/>
          <w:sz w:val="20"/>
          <w:szCs w:val="20"/>
          <w:rtl/>
        </w:rPr>
      </w:pPr>
      <w:r w:rsidRPr="00F25744">
        <w:rPr>
          <w:rFonts w:ascii="David" w:hAnsi="David" w:cs="David"/>
          <w:sz w:val="20"/>
          <w:szCs w:val="20"/>
        </w:rPr>
        <w:footnoteRef/>
      </w:r>
      <w:r w:rsidRPr="00F25744">
        <w:rPr>
          <w:rFonts w:ascii="David" w:hAnsi="David" w:cs="David"/>
          <w:sz w:val="20"/>
          <w:szCs w:val="20"/>
          <w:rtl/>
        </w:rPr>
        <w:t xml:space="preserve"> </w:t>
      </w:r>
      <w:r w:rsidRPr="00F25744">
        <w:rPr>
          <w:rFonts w:ascii="David" w:hAnsi="David" w:cs="David" w:hint="cs"/>
          <w:b/>
          <w:bCs/>
          <w:sz w:val="20"/>
          <w:szCs w:val="20"/>
          <w:rtl/>
        </w:rPr>
        <w:t>לגבי סוגי העניין בתיקי ת"א</w:t>
      </w:r>
      <w:r w:rsidRPr="00F25744">
        <w:rPr>
          <w:rFonts w:ascii="David" w:hAnsi="David" w:cs="David" w:hint="cs"/>
          <w:sz w:val="20"/>
          <w:szCs w:val="20"/>
          <w:rtl/>
        </w:rPr>
        <w:t xml:space="preserve"> </w:t>
      </w:r>
      <w:r w:rsidRPr="00F25744">
        <w:rPr>
          <w:rFonts w:ascii="David" w:hAnsi="David" w:cs="David" w:hint="cs"/>
          <w:b/>
          <w:bCs/>
          <w:sz w:val="20"/>
          <w:szCs w:val="20"/>
          <w:rtl/>
        </w:rPr>
        <w:t>ותא"מ</w:t>
      </w:r>
      <w:r w:rsidRPr="00F25744">
        <w:rPr>
          <w:rFonts w:ascii="David" w:hAnsi="David" w:cs="David" w:hint="cs"/>
          <w:sz w:val="20"/>
          <w:szCs w:val="20"/>
          <w:rtl/>
        </w:rPr>
        <w:t xml:space="preserve"> - לבקשת שופטים ונשיאים רבים מערכאת השלום ננסה בין היתר באמצעות שאלון זה, לתת משקל נפרד לסוגי העניין המרכזיים בתיקים מסוג ת"א, וכן לתיקי תא"מ- רכב לעומת תיקי תא"מ אחרים.</w:t>
      </w:r>
    </w:p>
    <w:p w14:paraId="528140F0" w14:textId="77777777" w:rsidR="000761E8" w:rsidRDefault="000761E8" w:rsidP="005E4C22">
      <w:pPr>
        <w:pStyle w:val="a4"/>
        <w:rPr>
          <w:rt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ED99A" w14:textId="076DE7FE" w:rsidR="000761E8" w:rsidRPr="00F057A1" w:rsidRDefault="000761E8" w:rsidP="00437A02">
    <w:pPr>
      <w:pStyle w:val="ae"/>
      <w:pBdr>
        <w:bottom w:val="thickThinSmallGap" w:sz="24" w:space="1" w:color="622423"/>
      </w:pBdr>
      <w:tabs>
        <w:tab w:val="clear" w:pos="8306"/>
        <w:tab w:val="right" w:pos="8548"/>
      </w:tabs>
      <w:ind w:left="-58"/>
      <w:jc w:val="right"/>
      <w:rPr>
        <w:u w:color="2E74B5"/>
        <w:lang w:val="en-GB"/>
      </w:rPr>
    </w:pPr>
    <w:r w:rsidRPr="00F057A1">
      <w:rPr>
        <w:rFonts w:ascii="Cambria" w:hAnsi="Cambria" w:cs="David" w:hint="cs"/>
        <w:u w:color="2E74B5"/>
        <w:rtl/>
        <w:lang w:val="en-GB"/>
      </w:rPr>
      <w:t>מחקר מדד עומס העבודה השיפוטית 2020</w:t>
    </w:r>
    <w:r w:rsidRPr="00F057A1">
      <w:rPr>
        <w:rFonts w:ascii="Cambria" w:hAnsi="Cambria" w:cs="David" w:hint="cs"/>
        <w:u w:color="2E74B5"/>
        <w:rtl/>
      </w:rPr>
      <w:t xml:space="preserve">                                     מחלקת</w:t>
    </w:r>
    <w:r w:rsidRPr="00F057A1">
      <w:rPr>
        <w:rFonts w:ascii="Cambria" w:hAnsi="Cambria" w:cs="David"/>
        <w:u w:color="2E74B5"/>
        <w:rtl/>
      </w:rPr>
      <w:t xml:space="preserve"> </w:t>
    </w:r>
    <w:r w:rsidRPr="00F057A1">
      <w:rPr>
        <w:rFonts w:ascii="Cambria" w:hAnsi="Cambria" w:cs="David" w:hint="cs"/>
        <w:u w:color="2E74B5"/>
        <w:rtl/>
      </w:rPr>
      <w:t>המחקר</w:t>
    </w:r>
    <w:r w:rsidRPr="00F057A1">
      <w:rPr>
        <w:rFonts w:ascii="Cambria" w:hAnsi="Cambria" w:cs="David"/>
        <w:u w:color="2E74B5"/>
        <w:rtl/>
      </w:rPr>
      <w:t xml:space="preserve"> </w:t>
    </w:r>
    <w:r w:rsidRPr="00F057A1">
      <w:rPr>
        <w:rFonts w:ascii="Cambria" w:hAnsi="Cambria" w:cs="David" w:hint="cs"/>
        <w:u w:color="2E74B5"/>
        <w:rtl/>
      </w:rPr>
      <w:t>של</w:t>
    </w:r>
    <w:r w:rsidRPr="00F057A1">
      <w:rPr>
        <w:rFonts w:ascii="Cambria" w:hAnsi="Cambria" w:cs="David"/>
        <w:u w:color="2E74B5"/>
        <w:rtl/>
      </w:rPr>
      <w:t xml:space="preserve"> </w:t>
    </w:r>
    <w:r w:rsidRPr="00F057A1">
      <w:rPr>
        <w:rFonts w:ascii="Cambria" w:hAnsi="Cambria" w:cs="David" w:hint="cs"/>
        <w:u w:color="2E74B5"/>
        <w:rtl/>
      </w:rPr>
      <w:t>הרשות</w:t>
    </w:r>
    <w:r w:rsidRPr="00F057A1">
      <w:rPr>
        <w:rFonts w:ascii="Cambria" w:hAnsi="Cambria" w:cs="David"/>
        <w:u w:color="2E74B5"/>
        <w:rtl/>
      </w:rPr>
      <w:t xml:space="preserve"> </w:t>
    </w:r>
    <w:r w:rsidRPr="00F057A1">
      <w:rPr>
        <w:rFonts w:ascii="Cambria" w:hAnsi="Cambria" w:cs="David" w:hint="cs"/>
        <w:u w:color="2E74B5"/>
        <w:rtl/>
      </w:rPr>
      <w:t>השופטת</w:t>
    </w:r>
  </w:p>
  <w:p w14:paraId="257E8EA3" w14:textId="77777777" w:rsidR="000761E8" w:rsidRDefault="000761E8" w:rsidP="006147BD">
    <w:pPr>
      <w:pStyle w:val="ae"/>
      <w:tabs>
        <w:tab w:val="left" w:pos="1931"/>
      </w:tabs>
      <w:spacing w:before="0" w:line="240"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0FDCA" w14:textId="1E69A636" w:rsidR="000761E8" w:rsidRPr="00DA15F3" w:rsidRDefault="000761E8" w:rsidP="00F057A1">
    <w:pPr>
      <w:pStyle w:val="ae"/>
      <w:pBdr>
        <w:bottom w:val="thickThinSmallGap" w:sz="24" w:space="1" w:color="622423"/>
      </w:pBdr>
      <w:tabs>
        <w:tab w:val="clear" w:pos="8306"/>
        <w:tab w:val="right" w:pos="8548"/>
      </w:tabs>
      <w:ind w:left="-58"/>
      <w:jc w:val="right"/>
      <w:rPr>
        <w:rtl/>
      </w:rPr>
    </w:pPr>
    <w:r>
      <w:rPr>
        <w:rFonts w:ascii="Cambria" w:hAnsi="Cambria" w:cs="David" w:hint="cs"/>
        <w:rtl/>
      </w:rPr>
      <w:t xml:space="preserve">מחקר מדד עומס העבודה השיפוטית 2020                                     </w:t>
    </w:r>
    <w:r w:rsidRPr="00DA15F3">
      <w:rPr>
        <w:rFonts w:ascii="Cambria" w:hAnsi="Cambria" w:cs="David" w:hint="cs"/>
        <w:rtl/>
      </w:rPr>
      <w:t>מחלקת</w:t>
    </w:r>
    <w:r w:rsidRPr="00DA15F3">
      <w:rPr>
        <w:rFonts w:ascii="Cambria" w:hAnsi="Cambria" w:cs="David"/>
        <w:rtl/>
      </w:rPr>
      <w:t xml:space="preserve"> </w:t>
    </w:r>
    <w:r>
      <w:rPr>
        <w:rFonts w:ascii="Cambria" w:hAnsi="Cambria" w:cs="David" w:hint="cs"/>
        <w:rtl/>
      </w:rPr>
      <w:t>ה</w:t>
    </w:r>
    <w:r w:rsidRPr="00DA15F3">
      <w:rPr>
        <w:rFonts w:ascii="Cambria" w:hAnsi="Cambria" w:cs="David" w:hint="cs"/>
        <w:rtl/>
      </w:rPr>
      <w:t>מחקר</w:t>
    </w:r>
    <w:r w:rsidRPr="00DA15F3">
      <w:rPr>
        <w:rFonts w:ascii="Cambria" w:hAnsi="Cambria" w:cs="David"/>
        <w:rtl/>
      </w:rPr>
      <w:t xml:space="preserve"> </w:t>
    </w:r>
    <w:r w:rsidRPr="00DA15F3">
      <w:rPr>
        <w:rFonts w:ascii="Cambria" w:hAnsi="Cambria" w:cs="David" w:hint="cs"/>
        <w:rtl/>
      </w:rPr>
      <w:t>של</w:t>
    </w:r>
    <w:r w:rsidRPr="00DA15F3">
      <w:rPr>
        <w:rFonts w:ascii="Cambria" w:hAnsi="Cambria" w:cs="David"/>
        <w:rtl/>
      </w:rPr>
      <w:t xml:space="preserve"> </w:t>
    </w:r>
    <w:r w:rsidRPr="00DA15F3">
      <w:rPr>
        <w:rFonts w:ascii="Cambria" w:hAnsi="Cambria" w:cs="David" w:hint="cs"/>
        <w:rtl/>
      </w:rPr>
      <w:t>הרשות</w:t>
    </w:r>
    <w:r w:rsidRPr="00DA15F3">
      <w:rPr>
        <w:rFonts w:ascii="Cambria" w:hAnsi="Cambria" w:cs="David"/>
        <w:rtl/>
      </w:rPr>
      <w:t xml:space="preserve"> </w:t>
    </w:r>
    <w:r w:rsidRPr="00DA15F3">
      <w:rPr>
        <w:rFonts w:ascii="Cambria" w:hAnsi="Cambria" w:cs="David" w:hint="cs"/>
        <w:rtl/>
      </w:rPr>
      <w:t>השופטת</w:t>
    </w:r>
  </w:p>
  <w:p w14:paraId="1A050468" w14:textId="77777777" w:rsidR="000761E8" w:rsidRPr="00490D6F" w:rsidRDefault="000761E8" w:rsidP="00341018">
    <w:pPr>
      <w:pStyle w:val="ae"/>
      <w:tabs>
        <w:tab w:val="left" w:pos="1931"/>
        <w:tab w:val="left" w:pos="2127"/>
      </w:tabs>
      <w:spacing w:before="0" w:line="240" w:lineRule="auto"/>
      <w:jc w:val="left"/>
      <w:rPr>
        <w:sz w:val="16"/>
        <w:szCs w:val="16"/>
      </w:rPr>
    </w:pPr>
    <w:r>
      <w:rPr>
        <w:sz w:val="16"/>
        <w:szCs w:val="16"/>
      </w:rPr>
      <w:tab/>
    </w:r>
    <w:r>
      <w:rPr>
        <w:sz w:val="16"/>
        <w:szCs w:val="16"/>
      </w:rPr>
      <w:tab/>
    </w:r>
    <w:r>
      <w:rPr>
        <w:sz w:val="16"/>
        <w:szCs w:val="16"/>
      </w:rP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704C7" w14:textId="42B75A17" w:rsidR="000761E8" w:rsidRDefault="000761E8">
    <w:pPr>
      <w:pStyle w:val="ae"/>
    </w:pPr>
  </w:p>
  <w:p w14:paraId="163F2DEC" w14:textId="77777777" w:rsidR="000761E8" w:rsidRDefault="000761E8"/>
  <w:p w14:paraId="10D1723B" w14:textId="77777777" w:rsidR="000761E8" w:rsidRDefault="000761E8"/>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A8F79" w14:textId="77777777" w:rsidR="000761E8" w:rsidRDefault="000761E8" w:rsidP="005366CC">
    <w:pPr>
      <w:spacing w:after="0"/>
      <w:rPr>
        <w:rFonts w:ascii="Cambria" w:hAnsi="Cambria" w:cs="David"/>
        <w:sz w:val="24"/>
        <w:szCs w:val="24"/>
        <w:rtl/>
      </w:rPr>
    </w:pPr>
  </w:p>
  <w:p w14:paraId="75DB63E8" w14:textId="3E80F598" w:rsidR="000761E8" w:rsidRDefault="000761E8" w:rsidP="005366CC">
    <w:pPr>
      <w:spacing w:after="0"/>
      <w:rPr>
        <w:sz w:val="24"/>
        <w:szCs w:val="24"/>
        <w:rtl/>
      </w:rPr>
    </w:pPr>
    <w:r w:rsidRPr="002E1ACD">
      <w:rPr>
        <w:rFonts w:ascii="Cambria" w:hAnsi="Cambria" w:cs="David" w:hint="cs"/>
        <w:sz w:val="24"/>
        <w:szCs w:val="24"/>
        <w:rtl/>
      </w:rPr>
      <w:t xml:space="preserve">עומס העבודה השיפוטית במערכת </w:t>
    </w:r>
    <w:r>
      <w:rPr>
        <w:rFonts w:ascii="Cambria" w:hAnsi="Cambria" w:cs="David" w:hint="cs"/>
        <w:sz w:val="24"/>
        <w:szCs w:val="24"/>
        <w:rtl/>
      </w:rPr>
      <w:t xml:space="preserve">בתי </w:t>
    </w:r>
    <w:r w:rsidRPr="002E1ACD">
      <w:rPr>
        <w:rFonts w:ascii="Cambria" w:hAnsi="Cambria" w:cs="David" w:hint="cs"/>
        <w:sz w:val="24"/>
        <w:szCs w:val="24"/>
        <w:rtl/>
      </w:rPr>
      <w:t>המשפט בישראל             מחלקת</w:t>
    </w:r>
    <w:r w:rsidRPr="002E1ACD">
      <w:rPr>
        <w:rFonts w:ascii="Cambria" w:hAnsi="Cambria" w:cs="David"/>
        <w:sz w:val="24"/>
        <w:szCs w:val="24"/>
        <w:rtl/>
      </w:rPr>
      <w:t xml:space="preserve"> </w:t>
    </w:r>
    <w:r w:rsidRPr="002E1ACD">
      <w:rPr>
        <w:rFonts w:ascii="Cambria" w:hAnsi="Cambria" w:cs="David" w:hint="cs"/>
        <w:sz w:val="24"/>
        <w:szCs w:val="24"/>
        <w:rtl/>
      </w:rPr>
      <w:t>המחקר</w:t>
    </w:r>
    <w:r w:rsidRPr="002E1ACD">
      <w:rPr>
        <w:rFonts w:ascii="Cambria" w:hAnsi="Cambria" w:cs="David"/>
        <w:sz w:val="24"/>
        <w:szCs w:val="24"/>
        <w:rtl/>
      </w:rPr>
      <w:t xml:space="preserve"> </w:t>
    </w:r>
    <w:r w:rsidRPr="002E1ACD">
      <w:rPr>
        <w:rFonts w:ascii="Cambria" w:hAnsi="Cambria" w:cs="David" w:hint="cs"/>
        <w:sz w:val="24"/>
        <w:szCs w:val="24"/>
        <w:rtl/>
      </w:rPr>
      <w:t>של</w:t>
    </w:r>
    <w:r w:rsidRPr="002E1ACD">
      <w:rPr>
        <w:rFonts w:ascii="Cambria" w:hAnsi="Cambria" w:cs="David"/>
        <w:sz w:val="24"/>
        <w:szCs w:val="24"/>
        <w:rtl/>
      </w:rPr>
      <w:t xml:space="preserve"> </w:t>
    </w:r>
    <w:r w:rsidRPr="002E1ACD">
      <w:rPr>
        <w:rFonts w:ascii="Cambria" w:hAnsi="Cambria" w:cs="David" w:hint="cs"/>
        <w:sz w:val="24"/>
        <w:szCs w:val="24"/>
        <w:rtl/>
      </w:rPr>
      <w:t>הרשות</w:t>
    </w:r>
    <w:r w:rsidRPr="002E1ACD">
      <w:rPr>
        <w:rFonts w:ascii="Cambria" w:hAnsi="Cambria" w:cs="David"/>
        <w:sz w:val="24"/>
        <w:szCs w:val="24"/>
        <w:rtl/>
      </w:rPr>
      <w:t xml:space="preserve"> </w:t>
    </w:r>
    <w:r w:rsidRPr="002E1ACD">
      <w:rPr>
        <w:rFonts w:ascii="Cambria" w:hAnsi="Cambria" w:cs="David" w:hint="cs"/>
        <w:sz w:val="24"/>
        <w:szCs w:val="24"/>
        <w:rtl/>
      </w:rPr>
      <w:t>השופטת</w:t>
    </w:r>
  </w:p>
  <w:p w14:paraId="4D562E7F" w14:textId="28793772" w:rsidR="000761E8" w:rsidRDefault="000761E8" w:rsidP="002E1ACD">
    <w:pPr>
      <w:spacing w:after="0" w:line="120" w:lineRule="auto"/>
      <w:rPr>
        <w:sz w:val="24"/>
        <w:szCs w:val="24"/>
        <w:u w:val="double"/>
        <w:rtl/>
      </w:rPr>
    </w:pPr>
    <w:r w:rsidRPr="002E1ACD">
      <w:rPr>
        <w:rFonts w:hint="cs"/>
        <w:sz w:val="24"/>
        <w:szCs w:val="24"/>
        <w:u w:val="double"/>
        <w:rtl/>
      </w:rPr>
      <w:t>________________________________________________________________</w:t>
    </w:r>
  </w:p>
  <w:p w14:paraId="4D50D379" w14:textId="47A83FB7" w:rsidR="000761E8" w:rsidRPr="002E1ACD" w:rsidRDefault="000761E8" w:rsidP="002E1ACD">
    <w:pPr>
      <w:spacing w:after="0" w:line="120" w:lineRule="auto"/>
      <w:rPr>
        <w:sz w:val="24"/>
        <w:szCs w:val="24"/>
        <w:u w:val="double"/>
        <w:rtl/>
      </w:rPr>
    </w:pPr>
    <w:r>
      <w:rPr>
        <w:sz w:val="24"/>
        <w:szCs w:val="24"/>
        <w:u w:val="double"/>
        <w:rtl/>
      </w:rPr>
      <w:softHyphen/>
    </w:r>
    <w:r>
      <w:rPr>
        <w:sz w:val="24"/>
        <w:szCs w:val="24"/>
        <w:u w:val="double"/>
        <w:rtl/>
      </w:rPr>
      <w:softHyphen/>
    </w:r>
    <w:r>
      <w:rPr>
        <w:sz w:val="24"/>
        <w:szCs w:val="24"/>
        <w:u w:val="double"/>
        <w:rtl/>
      </w:rPr>
      <w:softHyphen/>
    </w:r>
    <w:r>
      <w:rPr>
        <w:sz w:val="24"/>
        <w:szCs w:val="24"/>
        <w:u w:val="double"/>
        <w:rtl/>
      </w:rPr>
      <w:softHyphen/>
    </w:r>
    <w:r>
      <w:rPr>
        <w:sz w:val="24"/>
        <w:szCs w:val="24"/>
        <w:u w:val="double"/>
        <w:rtl/>
      </w:rPr>
      <w:softHyphen/>
    </w:r>
    <w:r>
      <w:rPr>
        <w:sz w:val="24"/>
        <w:szCs w:val="24"/>
        <w:u w:val="double"/>
        <w:rtl/>
      </w:rPr>
      <w:softHyphen/>
    </w:r>
    <w:r>
      <w:rPr>
        <w:sz w:val="24"/>
        <w:szCs w:val="24"/>
        <w:u w:val="double"/>
        <w:rtl/>
      </w:rPr>
      <w:softHyphen/>
    </w:r>
    <w:r>
      <w:rPr>
        <w:sz w:val="24"/>
        <w:szCs w:val="24"/>
        <w:u w:val="double"/>
        <w:rtl/>
      </w:rPr>
      <w:softHyphen/>
    </w:r>
    <w:r>
      <w:rPr>
        <w:sz w:val="24"/>
        <w:szCs w:val="24"/>
        <w:u w:val="double"/>
        <w:rtl/>
      </w:rPr>
      <w:softHyphen/>
    </w:r>
    <w:r w:rsidRPr="002E1ACD">
      <w:rPr>
        <w:rFonts w:hint="cs"/>
        <w:sz w:val="24"/>
        <w:szCs w:val="24"/>
        <w:u w:val="thick"/>
        <w:rtl/>
      </w:rPr>
      <w:t>________________________________________________________________</w:t>
    </w:r>
  </w:p>
  <w:p w14:paraId="63CBD100" w14:textId="77777777" w:rsidR="000761E8" w:rsidRDefault="000761E8" w:rsidP="00F40F78">
    <w:pPr>
      <w:pStyle w:val="ae"/>
      <w:tabs>
        <w:tab w:val="left" w:pos="1931"/>
        <w:tab w:val="left" w:pos="2127"/>
      </w:tabs>
      <w:spacing w:before="0" w:line="240" w:lineRule="auto"/>
      <w:jc w:val="left"/>
      <w:rPr>
        <w:sz w:val="16"/>
        <w:szCs w:val="16"/>
      </w:rPr>
    </w:pPr>
  </w:p>
  <w:p w14:paraId="38A6045A" w14:textId="44EE0985" w:rsidR="000761E8" w:rsidRPr="00F40F78" w:rsidRDefault="000761E8" w:rsidP="00F40F78">
    <w:pPr>
      <w:pStyle w:val="ae"/>
      <w:tabs>
        <w:tab w:val="left" w:pos="1931"/>
        <w:tab w:val="left" w:pos="2127"/>
      </w:tabs>
      <w:spacing w:before="0" w:line="240" w:lineRule="auto"/>
      <w:jc w:val="left"/>
      <w:rPr>
        <w:sz w:val="16"/>
        <w:szCs w:val="16"/>
      </w:rPr>
    </w:pPr>
    <w:r>
      <w:rPr>
        <w:sz w:val="16"/>
        <w:szCs w:val="16"/>
      </w:rPr>
      <w:tab/>
    </w:r>
    <w:r>
      <w:rPr>
        <w:sz w:val="16"/>
        <w:szCs w:val="16"/>
      </w:rPr>
      <w:tab/>
    </w:r>
    <w:r>
      <w:rPr>
        <w:sz w:val="16"/>
        <w:szCs w:val="16"/>
      </w:rPr>
      <w:tab/>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26008" w14:textId="561A1C2A" w:rsidR="000761E8" w:rsidRDefault="000761E8">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A1DC4"/>
    <w:multiLevelType w:val="hybridMultilevel"/>
    <w:tmpl w:val="FD869FD2"/>
    <w:lvl w:ilvl="0" w:tplc="28CEE18C">
      <w:start w:val="1"/>
      <w:numFmt w:val="decimal"/>
      <w:lvlText w:val="%1."/>
      <w:lvlJc w:val="left"/>
      <w:pPr>
        <w:ind w:left="720" w:hanging="360"/>
      </w:pPr>
      <w:rPr>
        <w:rFonts w:hint="default"/>
        <w:b w:val="0"/>
        <w:bCs w:val="0"/>
      </w:rPr>
    </w:lvl>
    <w:lvl w:ilvl="1" w:tplc="40124190" w:tentative="1">
      <w:start w:val="1"/>
      <w:numFmt w:val="lowerLetter"/>
      <w:lvlText w:val="%2."/>
      <w:lvlJc w:val="left"/>
      <w:pPr>
        <w:ind w:left="1440" w:hanging="360"/>
      </w:pPr>
    </w:lvl>
    <w:lvl w:ilvl="2" w:tplc="9E5E219A" w:tentative="1">
      <w:start w:val="1"/>
      <w:numFmt w:val="lowerRoman"/>
      <w:lvlText w:val="%3."/>
      <w:lvlJc w:val="right"/>
      <w:pPr>
        <w:ind w:left="2160" w:hanging="180"/>
      </w:pPr>
    </w:lvl>
    <w:lvl w:ilvl="3" w:tplc="9A0AEB98" w:tentative="1">
      <w:start w:val="1"/>
      <w:numFmt w:val="decimal"/>
      <w:lvlText w:val="%4."/>
      <w:lvlJc w:val="left"/>
      <w:pPr>
        <w:ind w:left="2880" w:hanging="360"/>
      </w:pPr>
    </w:lvl>
    <w:lvl w:ilvl="4" w:tplc="B9601C8C" w:tentative="1">
      <w:start w:val="1"/>
      <w:numFmt w:val="lowerLetter"/>
      <w:lvlText w:val="%5."/>
      <w:lvlJc w:val="left"/>
      <w:pPr>
        <w:ind w:left="3600" w:hanging="360"/>
      </w:pPr>
    </w:lvl>
    <w:lvl w:ilvl="5" w:tplc="8E1C5834" w:tentative="1">
      <w:start w:val="1"/>
      <w:numFmt w:val="lowerRoman"/>
      <w:lvlText w:val="%6."/>
      <w:lvlJc w:val="right"/>
      <w:pPr>
        <w:ind w:left="4320" w:hanging="180"/>
      </w:pPr>
    </w:lvl>
    <w:lvl w:ilvl="6" w:tplc="440AA2B2" w:tentative="1">
      <w:start w:val="1"/>
      <w:numFmt w:val="decimal"/>
      <w:lvlText w:val="%7."/>
      <w:lvlJc w:val="left"/>
      <w:pPr>
        <w:ind w:left="5040" w:hanging="360"/>
      </w:pPr>
    </w:lvl>
    <w:lvl w:ilvl="7" w:tplc="F9C8177A" w:tentative="1">
      <w:start w:val="1"/>
      <w:numFmt w:val="lowerLetter"/>
      <w:lvlText w:val="%8."/>
      <w:lvlJc w:val="left"/>
      <w:pPr>
        <w:ind w:left="5760" w:hanging="360"/>
      </w:pPr>
    </w:lvl>
    <w:lvl w:ilvl="8" w:tplc="E1F4E1FC" w:tentative="1">
      <w:start w:val="1"/>
      <w:numFmt w:val="lowerRoman"/>
      <w:lvlText w:val="%9."/>
      <w:lvlJc w:val="right"/>
      <w:pPr>
        <w:ind w:left="6480" w:hanging="180"/>
      </w:pPr>
    </w:lvl>
  </w:abstractNum>
  <w:abstractNum w:abstractNumId="1" w15:restartNumberingAfterBreak="0">
    <w:nsid w:val="01A84308"/>
    <w:multiLevelType w:val="multilevel"/>
    <w:tmpl w:val="9A34617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01D0424F"/>
    <w:multiLevelType w:val="multilevel"/>
    <w:tmpl w:val="0DA24E32"/>
    <w:lvl w:ilvl="0">
      <w:start w:val="1"/>
      <w:numFmt w:val="decimal"/>
      <w:lvlText w:val="%1."/>
      <w:lvlJc w:val="left"/>
      <w:pPr>
        <w:ind w:left="720" w:hanging="360"/>
      </w:pPr>
      <w:rPr>
        <w:rFonts w:hint="default"/>
      </w:rPr>
    </w:lvl>
    <w:lvl w:ilvl="1">
      <w:start w:val="1"/>
      <w:numFmt w:val="decimal"/>
      <w:isLgl/>
      <w:lvlText w:val="%1.%2."/>
      <w:lvlJc w:val="left"/>
      <w:pPr>
        <w:ind w:left="1295" w:hanging="360"/>
      </w:pPr>
      <w:rPr>
        <w:rFonts w:hint="default"/>
      </w:rPr>
    </w:lvl>
    <w:lvl w:ilvl="2">
      <w:start w:val="1"/>
      <w:numFmt w:val="decimal"/>
      <w:isLgl/>
      <w:lvlText w:val="%1.%2.%3."/>
      <w:lvlJc w:val="left"/>
      <w:pPr>
        <w:ind w:left="2230" w:hanging="720"/>
      </w:pPr>
      <w:rPr>
        <w:rFonts w:hint="default"/>
      </w:rPr>
    </w:lvl>
    <w:lvl w:ilvl="3">
      <w:start w:val="1"/>
      <w:numFmt w:val="decimal"/>
      <w:isLgl/>
      <w:lvlText w:val="%1.%2.%3.%4."/>
      <w:lvlJc w:val="left"/>
      <w:pPr>
        <w:ind w:left="2805" w:hanging="720"/>
      </w:pPr>
      <w:rPr>
        <w:rFonts w:hint="default"/>
      </w:rPr>
    </w:lvl>
    <w:lvl w:ilvl="4">
      <w:start w:val="1"/>
      <w:numFmt w:val="decimal"/>
      <w:isLgl/>
      <w:lvlText w:val="%1.%2.%3.%4.%5."/>
      <w:lvlJc w:val="left"/>
      <w:pPr>
        <w:ind w:left="3740" w:hanging="1080"/>
      </w:pPr>
      <w:rPr>
        <w:rFonts w:hint="default"/>
      </w:rPr>
    </w:lvl>
    <w:lvl w:ilvl="5">
      <w:start w:val="1"/>
      <w:numFmt w:val="decimal"/>
      <w:isLgl/>
      <w:lvlText w:val="%1.%2.%3.%4.%5.%6."/>
      <w:lvlJc w:val="left"/>
      <w:pPr>
        <w:ind w:left="4315" w:hanging="1080"/>
      </w:pPr>
      <w:rPr>
        <w:rFonts w:hint="default"/>
      </w:rPr>
    </w:lvl>
    <w:lvl w:ilvl="6">
      <w:start w:val="1"/>
      <w:numFmt w:val="decimal"/>
      <w:isLgl/>
      <w:lvlText w:val="%1.%2.%3.%4.%5.%6.%7."/>
      <w:lvlJc w:val="left"/>
      <w:pPr>
        <w:ind w:left="5250" w:hanging="1440"/>
      </w:pPr>
      <w:rPr>
        <w:rFonts w:hint="default"/>
      </w:rPr>
    </w:lvl>
    <w:lvl w:ilvl="7">
      <w:start w:val="1"/>
      <w:numFmt w:val="decimal"/>
      <w:isLgl/>
      <w:lvlText w:val="%1.%2.%3.%4.%5.%6.%7.%8."/>
      <w:lvlJc w:val="left"/>
      <w:pPr>
        <w:ind w:left="5825" w:hanging="1440"/>
      </w:pPr>
      <w:rPr>
        <w:rFonts w:hint="default"/>
      </w:rPr>
    </w:lvl>
    <w:lvl w:ilvl="8">
      <w:start w:val="1"/>
      <w:numFmt w:val="decimal"/>
      <w:isLgl/>
      <w:lvlText w:val="%1.%2.%3.%4.%5.%6.%7.%8.%9."/>
      <w:lvlJc w:val="left"/>
      <w:pPr>
        <w:ind w:left="6400" w:hanging="1440"/>
      </w:pPr>
      <w:rPr>
        <w:rFonts w:hint="default"/>
      </w:rPr>
    </w:lvl>
  </w:abstractNum>
  <w:abstractNum w:abstractNumId="3" w15:restartNumberingAfterBreak="0">
    <w:nsid w:val="03B604AB"/>
    <w:multiLevelType w:val="hybridMultilevel"/>
    <w:tmpl w:val="9BA8F8FA"/>
    <w:lvl w:ilvl="0" w:tplc="5FB8B53E">
      <w:start w:val="1"/>
      <w:numFmt w:val="bullet"/>
      <w:lvlText w:val=""/>
      <w:lvlJc w:val="left"/>
      <w:pPr>
        <w:ind w:left="720" w:hanging="360"/>
      </w:pPr>
      <w:rPr>
        <w:rFonts w:ascii="Wingdings" w:hAnsi="Wingdings" w:hint="default"/>
      </w:rPr>
    </w:lvl>
    <w:lvl w:ilvl="1" w:tplc="9648E73E" w:tentative="1">
      <w:start w:val="1"/>
      <w:numFmt w:val="bullet"/>
      <w:lvlText w:val="o"/>
      <w:lvlJc w:val="left"/>
      <w:pPr>
        <w:ind w:left="1440" w:hanging="360"/>
      </w:pPr>
      <w:rPr>
        <w:rFonts w:ascii="Courier New" w:hAnsi="Courier New" w:cs="Courier New" w:hint="default"/>
      </w:rPr>
    </w:lvl>
    <w:lvl w:ilvl="2" w:tplc="C13A5B68" w:tentative="1">
      <w:start w:val="1"/>
      <w:numFmt w:val="bullet"/>
      <w:lvlText w:val=""/>
      <w:lvlJc w:val="left"/>
      <w:pPr>
        <w:ind w:left="2160" w:hanging="360"/>
      </w:pPr>
      <w:rPr>
        <w:rFonts w:ascii="Wingdings" w:hAnsi="Wingdings" w:hint="default"/>
      </w:rPr>
    </w:lvl>
    <w:lvl w:ilvl="3" w:tplc="FB1AB7D0" w:tentative="1">
      <w:start w:val="1"/>
      <w:numFmt w:val="bullet"/>
      <w:lvlText w:val=""/>
      <w:lvlJc w:val="left"/>
      <w:pPr>
        <w:ind w:left="2880" w:hanging="360"/>
      </w:pPr>
      <w:rPr>
        <w:rFonts w:ascii="Symbol" w:hAnsi="Symbol" w:hint="default"/>
      </w:rPr>
    </w:lvl>
    <w:lvl w:ilvl="4" w:tplc="18221A02" w:tentative="1">
      <w:start w:val="1"/>
      <w:numFmt w:val="bullet"/>
      <w:lvlText w:val="o"/>
      <w:lvlJc w:val="left"/>
      <w:pPr>
        <w:ind w:left="3600" w:hanging="360"/>
      </w:pPr>
      <w:rPr>
        <w:rFonts w:ascii="Courier New" w:hAnsi="Courier New" w:cs="Courier New" w:hint="default"/>
      </w:rPr>
    </w:lvl>
    <w:lvl w:ilvl="5" w:tplc="00143A9E" w:tentative="1">
      <w:start w:val="1"/>
      <w:numFmt w:val="bullet"/>
      <w:lvlText w:val=""/>
      <w:lvlJc w:val="left"/>
      <w:pPr>
        <w:ind w:left="4320" w:hanging="360"/>
      </w:pPr>
      <w:rPr>
        <w:rFonts w:ascii="Wingdings" w:hAnsi="Wingdings" w:hint="default"/>
      </w:rPr>
    </w:lvl>
    <w:lvl w:ilvl="6" w:tplc="46EE77C4" w:tentative="1">
      <w:start w:val="1"/>
      <w:numFmt w:val="bullet"/>
      <w:lvlText w:val=""/>
      <w:lvlJc w:val="left"/>
      <w:pPr>
        <w:ind w:left="5040" w:hanging="360"/>
      </w:pPr>
      <w:rPr>
        <w:rFonts w:ascii="Symbol" w:hAnsi="Symbol" w:hint="default"/>
      </w:rPr>
    </w:lvl>
    <w:lvl w:ilvl="7" w:tplc="3EC6A980" w:tentative="1">
      <w:start w:val="1"/>
      <w:numFmt w:val="bullet"/>
      <w:lvlText w:val="o"/>
      <w:lvlJc w:val="left"/>
      <w:pPr>
        <w:ind w:left="5760" w:hanging="360"/>
      </w:pPr>
      <w:rPr>
        <w:rFonts w:ascii="Courier New" w:hAnsi="Courier New" w:cs="Courier New" w:hint="default"/>
      </w:rPr>
    </w:lvl>
    <w:lvl w:ilvl="8" w:tplc="2E945D08" w:tentative="1">
      <w:start w:val="1"/>
      <w:numFmt w:val="bullet"/>
      <w:lvlText w:val=""/>
      <w:lvlJc w:val="left"/>
      <w:pPr>
        <w:ind w:left="6480" w:hanging="360"/>
      </w:pPr>
      <w:rPr>
        <w:rFonts w:ascii="Wingdings" w:hAnsi="Wingdings" w:hint="default"/>
      </w:rPr>
    </w:lvl>
  </w:abstractNum>
  <w:abstractNum w:abstractNumId="4" w15:restartNumberingAfterBreak="0">
    <w:nsid w:val="04043A59"/>
    <w:multiLevelType w:val="hybridMultilevel"/>
    <w:tmpl w:val="DBB43876"/>
    <w:lvl w:ilvl="0" w:tplc="83AA7FCA">
      <w:start w:val="1"/>
      <w:numFmt w:val="decimal"/>
      <w:lvlText w:val="%1."/>
      <w:lvlJc w:val="left"/>
      <w:pPr>
        <w:ind w:left="720" w:hanging="360"/>
      </w:pPr>
      <w:rPr>
        <w:rFonts w:hint="default"/>
      </w:rPr>
    </w:lvl>
    <w:lvl w:ilvl="1" w:tplc="014AD51E" w:tentative="1">
      <w:start w:val="1"/>
      <w:numFmt w:val="lowerLetter"/>
      <w:lvlText w:val="%2."/>
      <w:lvlJc w:val="left"/>
      <w:pPr>
        <w:ind w:left="1440" w:hanging="360"/>
      </w:pPr>
    </w:lvl>
    <w:lvl w:ilvl="2" w:tplc="6AC0B652" w:tentative="1">
      <w:start w:val="1"/>
      <w:numFmt w:val="lowerRoman"/>
      <w:lvlText w:val="%3."/>
      <w:lvlJc w:val="right"/>
      <w:pPr>
        <w:ind w:left="2160" w:hanging="180"/>
      </w:pPr>
    </w:lvl>
    <w:lvl w:ilvl="3" w:tplc="1DA20F2A" w:tentative="1">
      <w:start w:val="1"/>
      <w:numFmt w:val="decimal"/>
      <w:lvlText w:val="%4."/>
      <w:lvlJc w:val="left"/>
      <w:pPr>
        <w:ind w:left="2880" w:hanging="360"/>
      </w:pPr>
    </w:lvl>
    <w:lvl w:ilvl="4" w:tplc="26B40986" w:tentative="1">
      <w:start w:val="1"/>
      <w:numFmt w:val="lowerLetter"/>
      <w:lvlText w:val="%5."/>
      <w:lvlJc w:val="left"/>
      <w:pPr>
        <w:ind w:left="3600" w:hanging="360"/>
      </w:pPr>
    </w:lvl>
    <w:lvl w:ilvl="5" w:tplc="CB7C05D0" w:tentative="1">
      <w:start w:val="1"/>
      <w:numFmt w:val="lowerRoman"/>
      <w:lvlText w:val="%6."/>
      <w:lvlJc w:val="right"/>
      <w:pPr>
        <w:ind w:left="4320" w:hanging="180"/>
      </w:pPr>
    </w:lvl>
    <w:lvl w:ilvl="6" w:tplc="47BE9F3C" w:tentative="1">
      <w:start w:val="1"/>
      <w:numFmt w:val="decimal"/>
      <w:lvlText w:val="%7."/>
      <w:lvlJc w:val="left"/>
      <w:pPr>
        <w:ind w:left="5040" w:hanging="360"/>
      </w:pPr>
    </w:lvl>
    <w:lvl w:ilvl="7" w:tplc="5A109098" w:tentative="1">
      <w:start w:val="1"/>
      <w:numFmt w:val="lowerLetter"/>
      <w:lvlText w:val="%8."/>
      <w:lvlJc w:val="left"/>
      <w:pPr>
        <w:ind w:left="5760" w:hanging="360"/>
      </w:pPr>
    </w:lvl>
    <w:lvl w:ilvl="8" w:tplc="816ECE02" w:tentative="1">
      <w:start w:val="1"/>
      <w:numFmt w:val="lowerRoman"/>
      <w:lvlText w:val="%9."/>
      <w:lvlJc w:val="right"/>
      <w:pPr>
        <w:ind w:left="6480" w:hanging="180"/>
      </w:pPr>
    </w:lvl>
  </w:abstractNum>
  <w:abstractNum w:abstractNumId="5" w15:restartNumberingAfterBreak="0">
    <w:nsid w:val="10385D4D"/>
    <w:multiLevelType w:val="hybridMultilevel"/>
    <w:tmpl w:val="1F00CA26"/>
    <w:lvl w:ilvl="0" w:tplc="003A1B5A">
      <w:start w:val="1"/>
      <w:numFmt w:val="decimal"/>
      <w:lvlText w:val="%1."/>
      <w:lvlJc w:val="left"/>
      <w:pPr>
        <w:ind w:left="720" w:hanging="360"/>
      </w:pPr>
      <w:rPr>
        <w:rFonts w:hint="default"/>
        <w:b/>
      </w:rPr>
    </w:lvl>
    <w:lvl w:ilvl="1" w:tplc="945058DE" w:tentative="1">
      <w:start w:val="1"/>
      <w:numFmt w:val="lowerLetter"/>
      <w:lvlText w:val="%2."/>
      <w:lvlJc w:val="left"/>
      <w:pPr>
        <w:ind w:left="1440" w:hanging="360"/>
      </w:pPr>
    </w:lvl>
    <w:lvl w:ilvl="2" w:tplc="981E608A" w:tentative="1">
      <w:start w:val="1"/>
      <w:numFmt w:val="lowerRoman"/>
      <w:lvlText w:val="%3."/>
      <w:lvlJc w:val="right"/>
      <w:pPr>
        <w:ind w:left="2160" w:hanging="180"/>
      </w:pPr>
    </w:lvl>
    <w:lvl w:ilvl="3" w:tplc="03C4C462" w:tentative="1">
      <w:start w:val="1"/>
      <w:numFmt w:val="decimal"/>
      <w:lvlText w:val="%4."/>
      <w:lvlJc w:val="left"/>
      <w:pPr>
        <w:ind w:left="2880" w:hanging="360"/>
      </w:pPr>
    </w:lvl>
    <w:lvl w:ilvl="4" w:tplc="7BB06CA0" w:tentative="1">
      <w:start w:val="1"/>
      <w:numFmt w:val="lowerLetter"/>
      <w:lvlText w:val="%5."/>
      <w:lvlJc w:val="left"/>
      <w:pPr>
        <w:ind w:left="3600" w:hanging="360"/>
      </w:pPr>
    </w:lvl>
    <w:lvl w:ilvl="5" w:tplc="C2D4C564" w:tentative="1">
      <w:start w:val="1"/>
      <w:numFmt w:val="lowerRoman"/>
      <w:lvlText w:val="%6."/>
      <w:lvlJc w:val="right"/>
      <w:pPr>
        <w:ind w:left="4320" w:hanging="180"/>
      </w:pPr>
    </w:lvl>
    <w:lvl w:ilvl="6" w:tplc="FECC7B90" w:tentative="1">
      <w:start w:val="1"/>
      <w:numFmt w:val="decimal"/>
      <w:lvlText w:val="%7."/>
      <w:lvlJc w:val="left"/>
      <w:pPr>
        <w:ind w:left="5040" w:hanging="360"/>
      </w:pPr>
    </w:lvl>
    <w:lvl w:ilvl="7" w:tplc="AE4E75F4" w:tentative="1">
      <w:start w:val="1"/>
      <w:numFmt w:val="lowerLetter"/>
      <w:lvlText w:val="%8."/>
      <w:lvlJc w:val="left"/>
      <w:pPr>
        <w:ind w:left="5760" w:hanging="360"/>
      </w:pPr>
    </w:lvl>
    <w:lvl w:ilvl="8" w:tplc="769A6000" w:tentative="1">
      <w:start w:val="1"/>
      <w:numFmt w:val="lowerRoman"/>
      <w:lvlText w:val="%9."/>
      <w:lvlJc w:val="right"/>
      <w:pPr>
        <w:ind w:left="6480" w:hanging="180"/>
      </w:pPr>
    </w:lvl>
  </w:abstractNum>
  <w:abstractNum w:abstractNumId="6" w15:restartNumberingAfterBreak="0">
    <w:nsid w:val="11841926"/>
    <w:multiLevelType w:val="hybridMultilevel"/>
    <w:tmpl w:val="FBF6A59C"/>
    <w:lvl w:ilvl="0" w:tplc="3058F2FE">
      <w:start w:val="1"/>
      <w:numFmt w:val="bullet"/>
      <w:lvlText w:val=""/>
      <w:lvlJc w:val="left"/>
      <w:pPr>
        <w:ind w:left="720" w:hanging="360"/>
      </w:pPr>
      <w:rPr>
        <w:rFonts w:ascii="Symbol" w:hAnsi="Symbol" w:hint="default"/>
      </w:rPr>
    </w:lvl>
    <w:lvl w:ilvl="1" w:tplc="95A0CA16">
      <w:start w:val="1"/>
      <w:numFmt w:val="bullet"/>
      <w:lvlText w:val="o"/>
      <w:lvlJc w:val="left"/>
      <w:pPr>
        <w:ind w:left="1440" w:hanging="360"/>
      </w:pPr>
      <w:rPr>
        <w:rFonts w:ascii="Courier New" w:hAnsi="Courier New" w:cs="Courier New" w:hint="default"/>
      </w:rPr>
    </w:lvl>
    <w:lvl w:ilvl="2" w:tplc="306E3518" w:tentative="1">
      <w:start w:val="1"/>
      <w:numFmt w:val="bullet"/>
      <w:lvlText w:val=""/>
      <w:lvlJc w:val="left"/>
      <w:pPr>
        <w:ind w:left="2160" w:hanging="360"/>
      </w:pPr>
      <w:rPr>
        <w:rFonts w:ascii="Wingdings" w:hAnsi="Wingdings" w:hint="default"/>
      </w:rPr>
    </w:lvl>
    <w:lvl w:ilvl="3" w:tplc="3E94FFD4" w:tentative="1">
      <w:start w:val="1"/>
      <w:numFmt w:val="bullet"/>
      <w:lvlText w:val=""/>
      <w:lvlJc w:val="left"/>
      <w:pPr>
        <w:ind w:left="2880" w:hanging="360"/>
      </w:pPr>
      <w:rPr>
        <w:rFonts w:ascii="Symbol" w:hAnsi="Symbol" w:hint="default"/>
      </w:rPr>
    </w:lvl>
    <w:lvl w:ilvl="4" w:tplc="30C8C83C" w:tentative="1">
      <w:start w:val="1"/>
      <w:numFmt w:val="bullet"/>
      <w:lvlText w:val="o"/>
      <w:lvlJc w:val="left"/>
      <w:pPr>
        <w:ind w:left="3600" w:hanging="360"/>
      </w:pPr>
      <w:rPr>
        <w:rFonts w:ascii="Courier New" w:hAnsi="Courier New" w:cs="Courier New" w:hint="default"/>
      </w:rPr>
    </w:lvl>
    <w:lvl w:ilvl="5" w:tplc="3798312A" w:tentative="1">
      <w:start w:val="1"/>
      <w:numFmt w:val="bullet"/>
      <w:lvlText w:val=""/>
      <w:lvlJc w:val="left"/>
      <w:pPr>
        <w:ind w:left="4320" w:hanging="360"/>
      </w:pPr>
      <w:rPr>
        <w:rFonts w:ascii="Wingdings" w:hAnsi="Wingdings" w:hint="default"/>
      </w:rPr>
    </w:lvl>
    <w:lvl w:ilvl="6" w:tplc="710AFB8E" w:tentative="1">
      <w:start w:val="1"/>
      <w:numFmt w:val="bullet"/>
      <w:lvlText w:val=""/>
      <w:lvlJc w:val="left"/>
      <w:pPr>
        <w:ind w:left="5040" w:hanging="360"/>
      </w:pPr>
      <w:rPr>
        <w:rFonts w:ascii="Symbol" w:hAnsi="Symbol" w:hint="default"/>
      </w:rPr>
    </w:lvl>
    <w:lvl w:ilvl="7" w:tplc="21040C62" w:tentative="1">
      <w:start w:val="1"/>
      <w:numFmt w:val="bullet"/>
      <w:lvlText w:val="o"/>
      <w:lvlJc w:val="left"/>
      <w:pPr>
        <w:ind w:left="5760" w:hanging="360"/>
      </w:pPr>
      <w:rPr>
        <w:rFonts w:ascii="Courier New" w:hAnsi="Courier New" w:cs="Courier New" w:hint="default"/>
      </w:rPr>
    </w:lvl>
    <w:lvl w:ilvl="8" w:tplc="79E02D0E" w:tentative="1">
      <w:start w:val="1"/>
      <w:numFmt w:val="bullet"/>
      <w:lvlText w:val=""/>
      <w:lvlJc w:val="left"/>
      <w:pPr>
        <w:ind w:left="6480" w:hanging="360"/>
      </w:pPr>
      <w:rPr>
        <w:rFonts w:ascii="Wingdings" w:hAnsi="Wingdings" w:hint="default"/>
      </w:rPr>
    </w:lvl>
  </w:abstractNum>
  <w:abstractNum w:abstractNumId="7" w15:restartNumberingAfterBreak="0">
    <w:nsid w:val="120207F6"/>
    <w:multiLevelType w:val="hybridMultilevel"/>
    <w:tmpl w:val="A84A92DC"/>
    <w:lvl w:ilvl="0" w:tplc="963E4CE0">
      <w:start w:val="1"/>
      <w:numFmt w:val="bullet"/>
      <w:lvlText w:val=""/>
      <w:lvlJc w:val="left"/>
      <w:pPr>
        <w:ind w:left="1371" w:hanging="360"/>
      </w:pPr>
      <w:rPr>
        <w:rFonts w:ascii="Symbol" w:hAnsi="Symbol" w:hint="default"/>
      </w:rPr>
    </w:lvl>
    <w:lvl w:ilvl="1" w:tplc="853CD43E">
      <w:start w:val="1"/>
      <w:numFmt w:val="bullet"/>
      <w:lvlText w:val="o"/>
      <w:lvlJc w:val="left"/>
      <w:pPr>
        <w:ind w:left="2091" w:hanging="360"/>
      </w:pPr>
      <w:rPr>
        <w:rFonts w:ascii="Courier New" w:hAnsi="Courier New" w:cs="Courier New" w:hint="default"/>
      </w:rPr>
    </w:lvl>
    <w:lvl w:ilvl="2" w:tplc="DEEEC986" w:tentative="1">
      <w:start w:val="1"/>
      <w:numFmt w:val="bullet"/>
      <w:lvlText w:val=""/>
      <w:lvlJc w:val="left"/>
      <w:pPr>
        <w:ind w:left="2811" w:hanging="360"/>
      </w:pPr>
      <w:rPr>
        <w:rFonts w:ascii="Wingdings" w:hAnsi="Wingdings" w:hint="default"/>
      </w:rPr>
    </w:lvl>
    <w:lvl w:ilvl="3" w:tplc="BF243F8E">
      <w:start w:val="1"/>
      <w:numFmt w:val="bullet"/>
      <w:lvlText w:val=""/>
      <w:lvlJc w:val="left"/>
      <w:pPr>
        <w:ind w:left="3531" w:hanging="360"/>
      </w:pPr>
      <w:rPr>
        <w:rFonts w:ascii="Symbol" w:hAnsi="Symbol" w:hint="default"/>
      </w:rPr>
    </w:lvl>
    <w:lvl w:ilvl="4" w:tplc="8B42DE38">
      <w:start w:val="1"/>
      <w:numFmt w:val="bullet"/>
      <w:lvlText w:val="o"/>
      <w:lvlJc w:val="left"/>
      <w:pPr>
        <w:ind w:left="4251" w:hanging="360"/>
      </w:pPr>
      <w:rPr>
        <w:rFonts w:ascii="Courier New" w:hAnsi="Courier New" w:cs="Courier New" w:hint="default"/>
      </w:rPr>
    </w:lvl>
    <w:lvl w:ilvl="5" w:tplc="BBE0FBB8" w:tentative="1">
      <w:start w:val="1"/>
      <w:numFmt w:val="bullet"/>
      <w:lvlText w:val=""/>
      <w:lvlJc w:val="left"/>
      <w:pPr>
        <w:ind w:left="4971" w:hanging="360"/>
      </w:pPr>
      <w:rPr>
        <w:rFonts w:ascii="Wingdings" w:hAnsi="Wingdings" w:hint="default"/>
      </w:rPr>
    </w:lvl>
    <w:lvl w:ilvl="6" w:tplc="5C1869E0" w:tentative="1">
      <w:start w:val="1"/>
      <w:numFmt w:val="bullet"/>
      <w:lvlText w:val=""/>
      <w:lvlJc w:val="left"/>
      <w:pPr>
        <w:ind w:left="5691" w:hanging="360"/>
      </w:pPr>
      <w:rPr>
        <w:rFonts w:ascii="Symbol" w:hAnsi="Symbol" w:hint="default"/>
      </w:rPr>
    </w:lvl>
    <w:lvl w:ilvl="7" w:tplc="5784E876" w:tentative="1">
      <w:start w:val="1"/>
      <w:numFmt w:val="bullet"/>
      <w:lvlText w:val="o"/>
      <w:lvlJc w:val="left"/>
      <w:pPr>
        <w:ind w:left="6411" w:hanging="360"/>
      </w:pPr>
      <w:rPr>
        <w:rFonts w:ascii="Courier New" w:hAnsi="Courier New" w:cs="Courier New" w:hint="default"/>
      </w:rPr>
    </w:lvl>
    <w:lvl w:ilvl="8" w:tplc="80909484" w:tentative="1">
      <w:start w:val="1"/>
      <w:numFmt w:val="bullet"/>
      <w:lvlText w:val=""/>
      <w:lvlJc w:val="left"/>
      <w:pPr>
        <w:ind w:left="7131" w:hanging="360"/>
      </w:pPr>
      <w:rPr>
        <w:rFonts w:ascii="Wingdings" w:hAnsi="Wingdings" w:hint="default"/>
      </w:rPr>
    </w:lvl>
  </w:abstractNum>
  <w:abstractNum w:abstractNumId="8" w15:restartNumberingAfterBreak="0">
    <w:nsid w:val="14F10B3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A0607DA"/>
    <w:multiLevelType w:val="multilevel"/>
    <w:tmpl w:val="895AD0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1CDD005B"/>
    <w:multiLevelType w:val="multilevel"/>
    <w:tmpl w:val="A9FE286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1D8F404A"/>
    <w:multiLevelType w:val="multilevel"/>
    <w:tmpl w:val="154C5CBE"/>
    <w:lvl w:ilvl="0">
      <w:start w:val="1"/>
      <w:numFmt w:val="decimal"/>
      <w:lvlText w:val="%1."/>
      <w:lvlJc w:val="left"/>
      <w:pPr>
        <w:ind w:left="360" w:hanging="360"/>
      </w:pPr>
      <w:rPr>
        <w:rFonts w:ascii="David" w:eastAsia="Times New Roman" w:hAnsi="Times New Roman" w:cs="David"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1ECB1311"/>
    <w:multiLevelType w:val="hybridMultilevel"/>
    <w:tmpl w:val="C7161FD0"/>
    <w:lvl w:ilvl="0" w:tplc="1D720524">
      <w:start w:val="1"/>
      <w:numFmt w:val="decimal"/>
      <w:lvlText w:val="%1."/>
      <w:lvlJc w:val="left"/>
      <w:pPr>
        <w:ind w:left="720" w:hanging="360"/>
      </w:pPr>
      <w:rPr>
        <w:rFonts w:hint="default"/>
      </w:rPr>
    </w:lvl>
    <w:lvl w:ilvl="1" w:tplc="7C7AE2BE" w:tentative="1">
      <w:start w:val="1"/>
      <w:numFmt w:val="lowerLetter"/>
      <w:lvlText w:val="%2."/>
      <w:lvlJc w:val="left"/>
      <w:pPr>
        <w:ind w:left="1440" w:hanging="360"/>
      </w:pPr>
    </w:lvl>
    <w:lvl w:ilvl="2" w:tplc="2EC214C8" w:tentative="1">
      <w:start w:val="1"/>
      <w:numFmt w:val="lowerRoman"/>
      <w:lvlText w:val="%3."/>
      <w:lvlJc w:val="right"/>
      <w:pPr>
        <w:ind w:left="2160" w:hanging="180"/>
      </w:pPr>
    </w:lvl>
    <w:lvl w:ilvl="3" w:tplc="7D8AA0F8" w:tentative="1">
      <w:start w:val="1"/>
      <w:numFmt w:val="decimal"/>
      <w:lvlText w:val="%4."/>
      <w:lvlJc w:val="left"/>
      <w:pPr>
        <w:ind w:left="2880" w:hanging="360"/>
      </w:pPr>
    </w:lvl>
    <w:lvl w:ilvl="4" w:tplc="F1C6E900" w:tentative="1">
      <w:start w:val="1"/>
      <w:numFmt w:val="lowerLetter"/>
      <w:lvlText w:val="%5."/>
      <w:lvlJc w:val="left"/>
      <w:pPr>
        <w:ind w:left="3600" w:hanging="360"/>
      </w:pPr>
    </w:lvl>
    <w:lvl w:ilvl="5" w:tplc="5F5E1434" w:tentative="1">
      <w:start w:val="1"/>
      <w:numFmt w:val="lowerRoman"/>
      <w:lvlText w:val="%6."/>
      <w:lvlJc w:val="right"/>
      <w:pPr>
        <w:ind w:left="4320" w:hanging="180"/>
      </w:pPr>
    </w:lvl>
    <w:lvl w:ilvl="6" w:tplc="8EBC3740" w:tentative="1">
      <w:start w:val="1"/>
      <w:numFmt w:val="decimal"/>
      <w:lvlText w:val="%7."/>
      <w:lvlJc w:val="left"/>
      <w:pPr>
        <w:ind w:left="5040" w:hanging="360"/>
      </w:pPr>
    </w:lvl>
    <w:lvl w:ilvl="7" w:tplc="FA88BE04" w:tentative="1">
      <w:start w:val="1"/>
      <w:numFmt w:val="lowerLetter"/>
      <w:lvlText w:val="%8."/>
      <w:lvlJc w:val="left"/>
      <w:pPr>
        <w:ind w:left="5760" w:hanging="360"/>
      </w:pPr>
    </w:lvl>
    <w:lvl w:ilvl="8" w:tplc="4A120FBE" w:tentative="1">
      <w:start w:val="1"/>
      <w:numFmt w:val="lowerRoman"/>
      <w:lvlText w:val="%9."/>
      <w:lvlJc w:val="right"/>
      <w:pPr>
        <w:ind w:left="6480" w:hanging="180"/>
      </w:pPr>
    </w:lvl>
  </w:abstractNum>
  <w:abstractNum w:abstractNumId="13" w15:restartNumberingAfterBreak="0">
    <w:nsid w:val="200D4FF5"/>
    <w:multiLevelType w:val="multilevel"/>
    <w:tmpl w:val="801C3B0C"/>
    <w:lvl w:ilvl="0">
      <w:start w:val="1"/>
      <w:numFmt w:val="decimal"/>
      <w:lvlText w:val="%1."/>
      <w:lvlJc w:val="left"/>
      <w:pPr>
        <w:ind w:left="720" w:hanging="360"/>
      </w:pPr>
      <w:rPr>
        <w:b w:val="0"/>
        <w:bCs w:val="0"/>
      </w:rPr>
    </w:lvl>
    <w:lvl w:ilvl="1">
      <w:start w:val="1"/>
      <w:numFmt w:val="bullet"/>
      <w:lvlText w:val=""/>
      <w:lvlJc w:val="left"/>
      <w:pPr>
        <w:ind w:left="1440" w:hanging="360"/>
      </w:pPr>
      <w:rPr>
        <w:rFonts w:ascii="Wingdings" w:hAnsi="Wingding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4" w15:restartNumberingAfterBreak="0">
    <w:nsid w:val="20256D14"/>
    <w:multiLevelType w:val="hybridMultilevel"/>
    <w:tmpl w:val="EE5CF63C"/>
    <w:lvl w:ilvl="0" w:tplc="AB74F964">
      <w:start w:val="1"/>
      <w:numFmt w:val="bullet"/>
      <w:lvlText w:val=""/>
      <w:lvlJc w:val="left"/>
      <w:pPr>
        <w:ind w:left="720" w:hanging="360"/>
      </w:pPr>
      <w:rPr>
        <w:rFonts w:ascii="Symbol" w:hAnsi="Symbol" w:hint="default"/>
      </w:rPr>
    </w:lvl>
    <w:lvl w:ilvl="1" w:tplc="2E4465DC" w:tentative="1">
      <w:start w:val="1"/>
      <w:numFmt w:val="bullet"/>
      <w:lvlText w:val="o"/>
      <w:lvlJc w:val="left"/>
      <w:pPr>
        <w:ind w:left="1440" w:hanging="360"/>
      </w:pPr>
      <w:rPr>
        <w:rFonts w:ascii="Courier New" w:hAnsi="Courier New" w:cs="Courier New" w:hint="default"/>
      </w:rPr>
    </w:lvl>
    <w:lvl w:ilvl="2" w:tplc="06A68C74" w:tentative="1">
      <w:start w:val="1"/>
      <w:numFmt w:val="bullet"/>
      <w:lvlText w:val=""/>
      <w:lvlJc w:val="left"/>
      <w:pPr>
        <w:ind w:left="2160" w:hanging="360"/>
      </w:pPr>
      <w:rPr>
        <w:rFonts w:ascii="Wingdings" w:hAnsi="Wingdings" w:hint="default"/>
      </w:rPr>
    </w:lvl>
    <w:lvl w:ilvl="3" w:tplc="DD40593C" w:tentative="1">
      <w:start w:val="1"/>
      <w:numFmt w:val="bullet"/>
      <w:lvlText w:val=""/>
      <w:lvlJc w:val="left"/>
      <w:pPr>
        <w:ind w:left="2880" w:hanging="360"/>
      </w:pPr>
      <w:rPr>
        <w:rFonts w:ascii="Symbol" w:hAnsi="Symbol" w:hint="default"/>
      </w:rPr>
    </w:lvl>
    <w:lvl w:ilvl="4" w:tplc="ACF6C3BA" w:tentative="1">
      <w:start w:val="1"/>
      <w:numFmt w:val="bullet"/>
      <w:lvlText w:val="o"/>
      <w:lvlJc w:val="left"/>
      <w:pPr>
        <w:ind w:left="3600" w:hanging="360"/>
      </w:pPr>
      <w:rPr>
        <w:rFonts w:ascii="Courier New" w:hAnsi="Courier New" w:cs="Courier New" w:hint="default"/>
      </w:rPr>
    </w:lvl>
    <w:lvl w:ilvl="5" w:tplc="4C04B164" w:tentative="1">
      <w:start w:val="1"/>
      <w:numFmt w:val="bullet"/>
      <w:lvlText w:val=""/>
      <w:lvlJc w:val="left"/>
      <w:pPr>
        <w:ind w:left="4320" w:hanging="360"/>
      </w:pPr>
      <w:rPr>
        <w:rFonts w:ascii="Wingdings" w:hAnsi="Wingdings" w:hint="default"/>
      </w:rPr>
    </w:lvl>
    <w:lvl w:ilvl="6" w:tplc="B8948AE4" w:tentative="1">
      <w:start w:val="1"/>
      <w:numFmt w:val="bullet"/>
      <w:lvlText w:val=""/>
      <w:lvlJc w:val="left"/>
      <w:pPr>
        <w:ind w:left="5040" w:hanging="360"/>
      </w:pPr>
      <w:rPr>
        <w:rFonts w:ascii="Symbol" w:hAnsi="Symbol" w:hint="default"/>
      </w:rPr>
    </w:lvl>
    <w:lvl w:ilvl="7" w:tplc="B70CD396" w:tentative="1">
      <w:start w:val="1"/>
      <w:numFmt w:val="bullet"/>
      <w:lvlText w:val="o"/>
      <w:lvlJc w:val="left"/>
      <w:pPr>
        <w:ind w:left="5760" w:hanging="360"/>
      </w:pPr>
      <w:rPr>
        <w:rFonts w:ascii="Courier New" w:hAnsi="Courier New" w:cs="Courier New" w:hint="default"/>
      </w:rPr>
    </w:lvl>
    <w:lvl w:ilvl="8" w:tplc="E27E7DE2" w:tentative="1">
      <w:start w:val="1"/>
      <w:numFmt w:val="bullet"/>
      <w:lvlText w:val=""/>
      <w:lvlJc w:val="left"/>
      <w:pPr>
        <w:ind w:left="6480" w:hanging="360"/>
      </w:pPr>
      <w:rPr>
        <w:rFonts w:ascii="Wingdings" w:hAnsi="Wingdings" w:hint="default"/>
      </w:rPr>
    </w:lvl>
  </w:abstractNum>
  <w:abstractNum w:abstractNumId="15" w15:restartNumberingAfterBreak="0">
    <w:nsid w:val="2767475F"/>
    <w:multiLevelType w:val="hybridMultilevel"/>
    <w:tmpl w:val="ABE613B8"/>
    <w:lvl w:ilvl="0" w:tplc="50E6E6BE">
      <w:start w:val="1"/>
      <w:numFmt w:val="decimal"/>
      <w:lvlText w:val="%1."/>
      <w:lvlJc w:val="left"/>
      <w:pPr>
        <w:ind w:left="1169" w:hanging="360"/>
      </w:pPr>
      <w:rPr>
        <w:rFonts w:hint="default"/>
        <w:b/>
      </w:rPr>
    </w:lvl>
    <w:lvl w:ilvl="1" w:tplc="8B7487BC">
      <w:start w:val="1"/>
      <w:numFmt w:val="lowerLetter"/>
      <w:lvlText w:val="%2."/>
      <w:lvlJc w:val="left"/>
      <w:pPr>
        <w:ind w:left="1889" w:hanging="360"/>
      </w:pPr>
    </w:lvl>
    <w:lvl w:ilvl="2" w:tplc="BA609FF0" w:tentative="1">
      <w:start w:val="1"/>
      <w:numFmt w:val="lowerRoman"/>
      <w:lvlText w:val="%3."/>
      <w:lvlJc w:val="right"/>
      <w:pPr>
        <w:ind w:left="2609" w:hanging="180"/>
      </w:pPr>
    </w:lvl>
    <w:lvl w:ilvl="3" w:tplc="203AB9B0" w:tentative="1">
      <w:start w:val="1"/>
      <w:numFmt w:val="decimal"/>
      <w:lvlText w:val="%4."/>
      <w:lvlJc w:val="left"/>
      <w:pPr>
        <w:ind w:left="3329" w:hanging="360"/>
      </w:pPr>
    </w:lvl>
    <w:lvl w:ilvl="4" w:tplc="35FEBADC" w:tentative="1">
      <w:start w:val="1"/>
      <w:numFmt w:val="lowerLetter"/>
      <w:lvlText w:val="%5."/>
      <w:lvlJc w:val="left"/>
      <w:pPr>
        <w:ind w:left="4049" w:hanging="360"/>
      </w:pPr>
    </w:lvl>
    <w:lvl w:ilvl="5" w:tplc="0932055C" w:tentative="1">
      <w:start w:val="1"/>
      <w:numFmt w:val="lowerRoman"/>
      <w:lvlText w:val="%6."/>
      <w:lvlJc w:val="right"/>
      <w:pPr>
        <w:ind w:left="4769" w:hanging="180"/>
      </w:pPr>
    </w:lvl>
    <w:lvl w:ilvl="6" w:tplc="0D68B6EE" w:tentative="1">
      <w:start w:val="1"/>
      <w:numFmt w:val="decimal"/>
      <w:lvlText w:val="%7."/>
      <w:lvlJc w:val="left"/>
      <w:pPr>
        <w:ind w:left="5489" w:hanging="360"/>
      </w:pPr>
    </w:lvl>
    <w:lvl w:ilvl="7" w:tplc="7F7AF404" w:tentative="1">
      <w:start w:val="1"/>
      <w:numFmt w:val="lowerLetter"/>
      <w:lvlText w:val="%8."/>
      <w:lvlJc w:val="left"/>
      <w:pPr>
        <w:ind w:left="6209" w:hanging="360"/>
      </w:pPr>
    </w:lvl>
    <w:lvl w:ilvl="8" w:tplc="C0029308" w:tentative="1">
      <w:start w:val="1"/>
      <w:numFmt w:val="lowerRoman"/>
      <w:lvlText w:val="%9."/>
      <w:lvlJc w:val="right"/>
      <w:pPr>
        <w:ind w:left="6929" w:hanging="180"/>
      </w:pPr>
    </w:lvl>
  </w:abstractNum>
  <w:abstractNum w:abstractNumId="16" w15:restartNumberingAfterBreak="0">
    <w:nsid w:val="2A496535"/>
    <w:multiLevelType w:val="multilevel"/>
    <w:tmpl w:val="CD6EB0B4"/>
    <w:lvl w:ilvl="0">
      <w:start w:val="1"/>
      <w:numFmt w:val="decimal"/>
      <w:lvlText w:val="%1."/>
      <w:lvlJc w:val="left"/>
      <w:pPr>
        <w:ind w:left="360" w:hanging="360"/>
      </w:pPr>
      <w:rPr>
        <w:rFonts w:ascii="David" w:eastAsia="Times New Roman" w:hAnsi="Times New Roman" w:cs="David"/>
      </w:rPr>
    </w:lvl>
    <w:lvl w:ilvl="1">
      <w:start w:val="1"/>
      <w:numFmt w:val="decimal"/>
      <w:pStyle w:val="2"/>
      <w:isLgl/>
      <w:lvlText w:val="%1.%2."/>
      <w:lvlJc w:val="left"/>
      <w:pPr>
        <w:ind w:left="360" w:hanging="360"/>
      </w:pPr>
      <w:rPr>
        <w:rFonts w:hint="default"/>
      </w:rPr>
    </w:lvl>
    <w:lvl w:ilvl="2">
      <w:start w:val="1"/>
      <w:numFmt w:val="decimal"/>
      <w:pStyle w:val="3"/>
      <w:isLgl/>
      <w:lvlText w:val="%1.%2.%3."/>
      <w:lvlJc w:val="left"/>
      <w:pPr>
        <w:ind w:left="3697" w:hanging="720"/>
      </w:pPr>
      <w:rPr>
        <w:rFonts w:hint="default"/>
      </w:rPr>
    </w:lvl>
    <w:lvl w:ilvl="3">
      <w:start w:val="1"/>
      <w:numFmt w:val="decimal"/>
      <w:pStyle w:val="4"/>
      <w:isLgl/>
      <w:lvlText w:val="%1.%2.%3.%4."/>
      <w:lvlJc w:val="left"/>
      <w:pPr>
        <w:ind w:left="720" w:hanging="720"/>
      </w:pPr>
      <w:rPr>
        <w:rFonts w:hint="default"/>
      </w:rPr>
    </w:lvl>
    <w:lvl w:ilvl="4">
      <w:start w:val="1"/>
      <w:numFmt w:val="decimal"/>
      <w:pStyle w:val="5"/>
      <w:isLgl/>
      <w:lvlText w:val="%1.%2.%3.%4.%5."/>
      <w:lvlJc w:val="left"/>
      <w:pPr>
        <w:ind w:left="1080" w:hanging="1080"/>
      </w:p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2D821220"/>
    <w:multiLevelType w:val="hybridMultilevel"/>
    <w:tmpl w:val="0262B412"/>
    <w:lvl w:ilvl="0" w:tplc="86A83CB0">
      <w:start w:val="1"/>
      <w:numFmt w:val="bullet"/>
      <w:lvlText w:val=""/>
      <w:lvlJc w:val="left"/>
      <w:pPr>
        <w:tabs>
          <w:tab w:val="num" w:pos="720"/>
        </w:tabs>
        <w:ind w:left="720" w:hanging="360"/>
      </w:pPr>
      <w:rPr>
        <w:rFonts w:ascii="Wingdings" w:hAnsi="Wingdings" w:hint="default"/>
      </w:rPr>
    </w:lvl>
    <w:lvl w:ilvl="1" w:tplc="B6C6759E" w:tentative="1">
      <w:start w:val="1"/>
      <w:numFmt w:val="bullet"/>
      <w:lvlText w:val=""/>
      <w:lvlJc w:val="left"/>
      <w:pPr>
        <w:tabs>
          <w:tab w:val="num" w:pos="1440"/>
        </w:tabs>
        <w:ind w:left="1440" w:hanging="360"/>
      </w:pPr>
      <w:rPr>
        <w:rFonts w:ascii="Wingdings" w:hAnsi="Wingdings" w:hint="default"/>
      </w:rPr>
    </w:lvl>
    <w:lvl w:ilvl="2" w:tplc="9A0097A0" w:tentative="1">
      <w:start w:val="1"/>
      <w:numFmt w:val="bullet"/>
      <w:lvlText w:val=""/>
      <w:lvlJc w:val="left"/>
      <w:pPr>
        <w:tabs>
          <w:tab w:val="num" w:pos="2160"/>
        </w:tabs>
        <w:ind w:left="2160" w:hanging="360"/>
      </w:pPr>
      <w:rPr>
        <w:rFonts w:ascii="Wingdings" w:hAnsi="Wingdings" w:hint="default"/>
      </w:rPr>
    </w:lvl>
    <w:lvl w:ilvl="3" w:tplc="609E0562" w:tentative="1">
      <w:start w:val="1"/>
      <w:numFmt w:val="bullet"/>
      <w:lvlText w:val=""/>
      <w:lvlJc w:val="left"/>
      <w:pPr>
        <w:tabs>
          <w:tab w:val="num" w:pos="2880"/>
        </w:tabs>
        <w:ind w:left="2880" w:hanging="360"/>
      </w:pPr>
      <w:rPr>
        <w:rFonts w:ascii="Wingdings" w:hAnsi="Wingdings" w:hint="default"/>
      </w:rPr>
    </w:lvl>
    <w:lvl w:ilvl="4" w:tplc="D39EE23E" w:tentative="1">
      <w:start w:val="1"/>
      <w:numFmt w:val="bullet"/>
      <w:lvlText w:val=""/>
      <w:lvlJc w:val="left"/>
      <w:pPr>
        <w:tabs>
          <w:tab w:val="num" w:pos="3600"/>
        </w:tabs>
        <w:ind w:left="3600" w:hanging="360"/>
      </w:pPr>
      <w:rPr>
        <w:rFonts w:ascii="Wingdings" w:hAnsi="Wingdings" w:hint="default"/>
      </w:rPr>
    </w:lvl>
    <w:lvl w:ilvl="5" w:tplc="28F4A2F0" w:tentative="1">
      <w:start w:val="1"/>
      <w:numFmt w:val="bullet"/>
      <w:lvlText w:val=""/>
      <w:lvlJc w:val="left"/>
      <w:pPr>
        <w:tabs>
          <w:tab w:val="num" w:pos="4320"/>
        </w:tabs>
        <w:ind w:left="4320" w:hanging="360"/>
      </w:pPr>
      <w:rPr>
        <w:rFonts w:ascii="Wingdings" w:hAnsi="Wingdings" w:hint="default"/>
      </w:rPr>
    </w:lvl>
    <w:lvl w:ilvl="6" w:tplc="56CC417E" w:tentative="1">
      <w:start w:val="1"/>
      <w:numFmt w:val="bullet"/>
      <w:lvlText w:val=""/>
      <w:lvlJc w:val="left"/>
      <w:pPr>
        <w:tabs>
          <w:tab w:val="num" w:pos="5040"/>
        </w:tabs>
        <w:ind w:left="5040" w:hanging="360"/>
      </w:pPr>
      <w:rPr>
        <w:rFonts w:ascii="Wingdings" w:hAnsi="Wingdings" w:hint="default"/>
      </w:rPr>
    </w:lvl>
    <w:lvl w:ilvl="7" w:tplc="D76285BA" w:tentative="1">
      <w:start w:val="1"/>
      <w:numFmt w:val="bullet"/>
      <w:lvlText w:val=""/>
      <w:lvlJc w:val="left"/>
      <w:pPr>
        <w:tabs>
          <w:tab w:val="num" w:pos="5760"/>
        </w:tabs>
        <w:ind w:left="5760" w:hanging="360"/>
      </w:pPr>
      <w:rPr>
        <w:rFonts w:ascii="Wingdings" w:hAnsi="Wingdings" w:hint="default"/>
      </w:rPr>
    </w:lvl>
    <w:lvl w:ilvl="8" w:tplc="C868DEB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0D5192"/>
    <w:multiLevelType w:val="multilevel"/>
    <w:tmpl w:val="1E4EED36"/>
    <w:lvl w:ilvl="0">
      <w:start w:val="1"/>
      <w:numFmt w:val="decimal"/>
      <w:lvlText w:val="%1."/>
      <w:lvlJc w:val="left"/>
      <w:pPr>
        <w:ind w:left="360" w:hanging="360"/>
      </w:pPr>
      <w:rPr>
        <w:b w:val="0"/>
        <w:bCs w:val="0"/>
        <w:lang w:val="en-GB"/>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3951292"/>
    <w:multiLevelType w:val="multilevel"/>
    <w:tmpl w:val="DFB01C94"/>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0" w15:restartNumberingAfterBreak="0">
    <w:nsid w:val="36BE5735"/>
    <w:multiLevelType w:val="hybridMultilevel"/>
    <w:tmpl w:val="5866A834"/>
    <w:lvl w:ilvl="0" w:tplc="F31659B8">
      <w:start w:val="1"/>
      <w:numFmt w:val="decimal"/>
      <w:lvlText w:val="%1."/>
      <w:lvlJc w:val="left"/>
      <w:pPr>
        <w:ind w:left="359" w:hanging="360"/>
      </w:pPr>
      <w:rPr>
        <w:rFonts w:hint="default"/>
      </w:rPr>
    </w:lvl>
    <w:lvl w:ilvl="1" w:tplc="53AEAC12" w:tentative="1">
      <w:start w:val="1"/>
      <w:numFmt w:val="lowerLetter"/>
      <w:lvlText w:val="%2."/>
      <w:lvlJc w:val="left"/>
      <w:pPr>
        <w:ind w:left="1079" w:hanging="360"/>
      </w:pPr>
    </w:lvl>
    <w:lvl w:ilvl="2" w:tplc="CDF2516E" w:tentative="1">
      <w:start w:val="1"/>
      <w:numFmt w:val="lowerRoman"/>
      <w:lvlText w:val="%3."/>
      <w:lvlJc w:val="right"/>
      <w:pPr>
        <w:ind w:left="1799" w:hanging="180"/>
      </w:pPr>
    </w:lvl>
    <w:lvl w:ilvl="3" w:tplc="6F7686AA" w:tentative="1">
      <w:start w:val="1"/>
      <w:numFmt w:val="decimal"/>
      <w:lvlText w:val="%4."/>
      <w:lvlJc w:val="left"/>
      <w:pPr>
        <w:ind w:left="2519" w:hanging="360"/>
      </w:pPr>
    </w:lvl>
    <w:lvl w:ilvl="4" w:tplc="8DC8C480" w:tentative="1">
      <w:start w:val="1"/>
      <w:numFmt w:val="lowerLetter"/>
      <w:lvlText w:val="%5."/>
      <w:lvlJc w:val="left"/>
      <w:pPr>
        <w:ind w:left="3239" w:hanging="360"/>
      </w:pPr>
    </w:lvl>
    <w:lvl w:ilvl="5" w:tplc="E6F24FBE" w:tentative="1">
      <w:start w:val="1"/>
      <w:numFmt w:val="lowerRoman"/>
      <w:lvlText w:val="%6."/>
      <w:lvlJc w:val="right"/>
      <w:pPr>
        <w:ind w:left="3959" w:hanging="180"/>
      </w:pPr>
    </w:lvl>
    <w:lvl w:ilvl="6" w:tplc="BF942888" w:tentative="1">
      <w:start w:val="1"/>
      <w:numFmt w:val="decimal"/>
      <w:lvlText w:val="%7."/>
      <w:lvlJc w:val="left"/>
      <w:pPr>
        <w:ind w:left="4679" w:hanging="360"/>
      </w:pPr>
    </w:lvl>
    <w:lvl w:ilvl="7" w:tplc="70D04A8A" w:tentative="1">
      <w:start w:val="1"/>
      <w:numFmt w:val="lowerLetter"/>
      <w:lvlText w:val="%8."/>
      <w:lvlJc w:val="left"/>
      <w:pPr>
        <w:ind w:left="5399" w:hanging="360"/>
      </w:pPr>
    </w:lvl>
    <w:lvl w:ilvl="8" w:tplc="F81AAFD4" w:tentative="1">
      <w:start w:val="1"/>
      <w:numFmt w:val="lowerRoman"/>
      <w:lvlText w:val="%9."/>
      <w:lvlJc w:val="right"/>
      <w:pPr>
        <w:ind w:left="6119" w:hanging="180"/>
      </w:pPr>
    </w:lvl>
  </w:abstractNum>
  <w:abstractNum w:abstractNumId="21" w15:restartNumberingAfterBreak="0">
    <w:nsid w:val="391759FC"/>
    <w:multiLevelType w:val="hybridMultilevel"/>
    <w:tmpl w:val="F4749BC0"/>
    <w:lvl w:ilvl="0" w:tplc="FC4449FC">
      <w:start w:val="1"/>
      <w:numFmt w:val="hebrew1"/>
      <w:lvlText w:val="%1."/>
      <w:lvlJc w:val="left"/>
      <w:pPr>
        <w:ind w:left="644" w:hanging="360"/>
      </w:pPr>
      <w:rPr>
        <w:rFonts w:hint="default"/>
      </w:rPr>
    </w:lvl>
    <w:lvl w:ilvl="1" w:tplc="B84CB966" w:tentative="1">
      <w:start w:val="1"/>
      <w:numFmt w:val="lowerLetter"/>
      <w:lvlText w:val="%2."/>
      <w:lvlJc w:val="left"/>
      <w:pPr>
        <w:ind w:left="1364" w:hanging="360"/>
      </w:pPr>
    </w:lvl>
    <w:lvl w:ilvl="2" w:tplc="1E144B16" w:tentative="1">
      <w:start w:val="1"/>
      <w:numFmt w:val="lowerRoman"/>
      <w:lvlText w:val="%3."/>
      <w:lvlJc w:val="right"/>
      <w:pPr>
        <w:ind w:left="2084" w:hanging="180"/>
      </w:pPr>
    </w:lvl>
    <w:lvl w:ilvl="3" w:tplc="FA3A4508" w:tentative="1">
      <w:start w:val="1"/>
      <w:numFmt w:val="decimal"/>
      <w:lvlText w:val="%4."/>
      <w:lvlJc w:val="left"/>
      <w:pPr>
        <w:ind w:left="2804" w:hanging="360"/>
      </w:pPr>
    </w:lvl>
    <w:lvl w:ilvl="4" w:tplc="DAE2A93C" w:tentative="1">
      <w:start w:val="1"/>
      <w:numFmt w:val="lowerLetter"/>
      <w:lvlText w:val="%5."/>
      <w:lvlJc w:val="left"/>
      <w:pPr>
        <w:ind w:left="3524" w:hanging="360"/>
      </w:pPr>
    </w:lvl>
    <w:lvl w:ilvl="5" w:tplc="0F488EC6" w:tentative="1">
      <w:start w:val="1"/>
      <w:numFmt w:val="lowerRoman"/>
      <w:lvlText w:val="%6."/>
      <w:lvlJc w:val="right"/>
      <w:pPr>
        <w:ind w:left="4244" w:hanging="180"/>
      </w:pPr>
    </w:lvl>
    <w:lvl w:ilvl="6" w:tplc="C3BA65D8" w:tentative="1">
      <w:start w:val="1"/>
      <w:numFmt w:val="decimal"/>
      <w:lvlText w:val="%7."/>
      <w:lvlJc w:val="left"/>
      <w:pPr>
        <w:ind w:left="4964" w:hanging="360"/>
      </w:pPr>
    </w:lvl>
    <w:lvl w:ilvl="7" w:tplc="6980D5B6" w:tentative="1">
      <w:start w:val="1"/>
      <w:numFmt w:val="lowerLetter"/>
      <w:lvlText w:val="%8."/>
      <w:lvlJc w:val="left"/>
      <w:pPr>
        <w:ind w:left="5684" w:hanging="360"/>
      </w:pPr>
    </w:lvl>
    <w:lvl w:ilvl="8" w:tplc="53FE8D90" w:tentative="1">
      <w:start w:val="1"/>
      <w:numFmt w:val="lowerRoman"/>
      <w:lvlText w:val="%9."/>
      <w:lvlJc w:val="right"/>
      <w:pPr>
        <w:ind w:left="6404" w:hanging="180"/>
      </w:pPr>
    </w:lvl>
  </w:abstractNum>
  <w:abstractNum w:abstractNumId="22" w15:restartNumberingAfterBreak="0">
    <w:nsid w:val="3AE10C26"/>
    <w:multiLevelType w:val="hybridMultilevel"/>
    <w:tmpl w:val="ED3469E8"/>
    <w:lvl w:ilvl="0" w:tplc="26B20006">
      <w:start w:val="1"/>
      <w:numFmt w:val="bullet"/>
      <w:lvlText w:val=""/>
      <w:lvlJc w:val="left"/>
      <w:pPr>
        <w:ind w:left="1800" w:hanging="360"/>
      </w:pPr>
      <w:rPr>
        <w:rFonts w:ascii="Symbol" w:hAnsi="Symbol" w:hint="default"/>
      </w:rPr>
    </w:lvl>
    <w:lvl w:ilvl="1" w:tplc="5478D290">
      <w:start w:val="1"/>
      <w:numFmt w:val="bullet"/>
      <w:lvlText w:val="o"/>
      <w:lvlJc w:val="left"/>
      <w:pPr>
        <w:ind w:left="2520" w:hanging="360"/>
      </w:pPr>
      <w:rPr>
        <w:rFonts w:ascii="Courier New" w:hAnsi="Courier New" w:cs="Courier New" w:hint="default"/>
      </w:rPr>
    </w:lvl>
    <w:lvl w:ilvl="2" w:tplc="85F68F6A" w:tentative="1">
      <w:start w:val="1"/>
      <w:numFmt w:val="bullet"/>
      <w:lvlText w:val=""/>
      <w:lvlJc w:val="left"/>
      <w:pPr>
        <w:ind w:left="3240" w:hanging="360"/>
      </w:pPr>
      <w:rPr>
        <w:rFonts w:ascii="Wingdings" w:hAnsi="Wingdings" w:hint="default"/>
      </w:rPr>
    </w:lvl>
    <w:lvl w:ilvl="3" w:tplc="5F7ED898" w:tentative="1">
      <w:start w:val="1"/>
      <w:numFmt w:val="bullet"/>
      <w:lvlText w:val=""/>
      <w:lvlJc w:val="left"/>
      <w:pPr>
        <w:ind w:left="3960" w:hanging="360"/>
      </w:pPr>
      <w:rPr>
        <w:rFonts w:ascii="Symbol" w:hAnsi="Symbol" w:hint="default"/>
      </w:rPr>
    </w:lvl>
    <w:lvl w:ilvl="4" w:tplc="D25838CA" w:tentative="1">
      <w:start w:val="1"/>
      <w:numFmt w:val="bullet"/>
      <w:lvlText w:val="o"/>
      <w:lvlJc w:val="left"/>
      <w:pPr>
        <w:ind w:left="4680" w:hanging="360"/>
      </w:pPr>
      <w:rPr>
        <w:rFonts w:ascii="Courier New" w:hAnsi="Courier New" w:cs="Courier New" w:hint="default"/>
      </w:rPr>
    </w:lvl>
    <w:lvl w:ilvl="5" w:tplc="15908E92" w:tentative="1">
      <w:start w:val="1"/>
      <w:numFmt w:val="bullet"/>
      <w:lvlText w:val=""/>
      <w:lvlJc w:val="left"/>
      <w:pPr>
        <w:ind w:left="5400" w:hanging="360"/>
      </w:pPr>
      <w:rPr>
        <w:rFonts w:ascii="Wingdings" w:hAnsi="Wingdings" w:hint="default"/>
      </w:rPr>
    </w:lvl>
    <w:lvl w:ilvl="6" w:tplc="0B6458D6" w:tentative="1">
      <w:start w:val="1"/>
      <w:numFmt w:val="bullet"/>
      <w:lvlText w:val=""/>
      <w:lvlJc w:val="left"/>
      <w:pPr>
        <w:ind w:left="6120" w:hanging="360"/>
      </w:pPr>
      <w:rPr>
        <w:rFonts w:ascii="Symbol" w:hAnsi="Symbol" w:hint="default"/>
      </w:rPr>
    </w:lvl>
    <w:lvl w:ilvl="7" w:tplc="884073C4" w:tentative="1">
      <w:start w:val="1"/>
      <w:numFmt w:val="bullet"/>
      <w:lvlText w:val="o"/>
      <w:lvlJc w:val="left"/>
      <w:pPr>
        <w:ind w:left="6840" w:hanging="360"/>
      </w:pPr>
      <w:rPr>
        <w:rFonts w:ascii="Courier New" w:hAnsi="Courier New" w:cs="Courier New" w:hint="default"/>
      </w:rPr>
    </w:lvl>
    <w:lvl w:ilvl="8" w:tplc="AD8EBB10" w:tentative="1">
      <w:start w:val="1"/>
      <w:numFmt w:val="bullet"/>
      <w:lvlText w:val=""/>
      <w:lvlJc w:val="left"/>
      <w:pPr>
        <w:ind w:left="7560" w:hanging="360"/>
      </w:pPr>
      <w:rPr>
        <w:rFonts w:ascii="Wingdings" w:hAnsi="Wingdings" w:hint="default"/>
      </w:rPr>
    </w:lvl>
  </w:abstractNum>
  <w:abstractNum w:abstractNumId="23" w15:restartNumberingAfterBreak="0">
    <w:nsid w:val="3BE57775"/>
    <w:multiLevelType w:val="multilevel"/>
    <w:tmpl w:val="46488D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5EC2C14"/>
    <w:multiLevelType w:val="hybridMultilevel"/>
    <w:tmpl w:val="6150C986"/>
    <w:lvl w:ilvl="0" w:tplc="728E3AFA">
      <w:start w:val="1"/>
      <w:numFmt w:val="bullet"/>
      <w:lvlText w:val=""/>
      <w:lvlJc w:val="left"/>
      <w:pPr>
        <w:tabs>
          <w:tab w:val="num" w:pos="720"/>
        </w:tabs>
        <w:ind w:left="720" w:hanging="360"/>
      </w:pPr>
      <w:rPr>
        <w:rFonts w:ascii="Wingdings" w:hAnsi="Wingdings" w:hint="default"/>
      </w:rPr>
    </w:lvl>
    <w:lvl w:ilvl="1" w:tplc="F544CBDA" w:tentative="1">
      <w:start w:val="1"/>
      <w:numFmt w:val="bullet"/>
      <w:lvlText w:val=""/>
      <w:lvlJc w:val="left"/>
      <w:pPr>
        <w:tabs>
          <w:tab w:val="num" w:pos="1440"/>
        </w:tabs>
        <w:ind w:left="1440" w:hanging="360"/>
      </w:pPr>
      <w:rPr>
        <w:rFonts w:ascii="Wingdings" w:hAnsi="Wingdings" w:hint="default"/>
      </w:rPr>
    </w:lvl>
    <w:lvl w:ilvl="2" w:tplc="23C49D98" w:tentative="1">
      <w:start w:val="1"/>
      <w:numFmt w:val="bullet"/>
      <w:lvlText w:val=""/>
      <w:lvlJc w:val="left"/>
      <w:pPr>
        <w:tabs>
          <w:tab w:val="num" w:pos="2160"/>
        </w:tabs>
        <w:ind w:left="2160" w:hanging="360"/>
      </w:pPr>
      <w:rPr>
        <w:rFonts w:ascii="Wingdings" w:hAnsi="Wingdings" w:hint="default"/>
      </w:rPr>
    </w:lvl>
    <w:lvl w:ilvl="3" w:tplc="3EB4014E" w:tentative="1">
      <w:start w:val="1"/>
      <w:numFmt w:val="bullet"/>
      <w:lvlText w:val=""/>
      <w:lvlJc w:val="left"/>
      <w:pPr>
        <w:tabs>
          <w:tab w:val="num" w:pos="2880"/>
        </w:tabs>
        <w:ind w:left="2880" w:hanging="360"/>
      </w:pPr>
      <w:rPr>
        <w:rFonts w:ascii="Wingdings" w:hAnsi="Wingdings" w:hint="default"/>
      </w:rPr>
    </w:lvl>
    <w:lvl w:ilvl="4" w:tplc="4EE29DBC" w:tentative="1">
      <w:start w:val="1"/>
      <w:numFmt w:val="bullet"/>
      <w:lvlText w:val=""/>
      <w:lvlJc w:val="left"/>
      <w:pPr>
        <w:tabs>
          <w:tab w:val="num" w:pos="3600"/>
        </w:tabs>
        <w:ind w:left="3600" w:hanging="360"/>
      </w:pPr>
      <w:rPr>
        <w:rFonts w:ascii="Wingdings" w:hAnsi="Wingdings" w:hint="default"/>
      </w:rPr>
    </w:lvl>
    <w:lvl w:ilvl="5" w:tplc="D486D53E" w:tentative="1">
      <w:start w:val="1"/>
      <w:numFmt w:val="bullet"/>
      <w:lvlText w:val=""/>
      <w:lvlJc w:val="left"/>
      <w:pPr>
        <w:tabs>
          <w:tab w:val="num" w:pos="4320"/>
        </w:tabs>
        <w:ind w:left="4320" w:hanging="360"/>
      </w:pPr>
      <w:rPr>
        <w:rFonts w:ascii="Wingdings" w:hAnsi="Wingdings" w:hint="default"/>
      </w:rPr>
    </w:lvl>
    <w:lvl w:ilvl="6" w:tplc="3A7054A6" w:tentative="1">
      <w:start w:val="1"/>
      <w:numFmt w:val="bullet"/>
      <w:lvlText w:val=""/>
      <w:lvlJc w:val="left"/>
      <w:pPr>
        <w:tabs>
          <w:tab w:val="num" w:pos="5040"/>
        </w:tabs>
        <w:ind w:left="5040" w:hanging="360"/>
      </w:pPr>
      <w:rPr>
        <w:rFonts w:ascii="Wingdings" w:hAnsi="Wingdings" w:hint="default"/>
      </w:rPr>
    </w:lvl>
    <w:lvl w:ilvl="7" w:tplc="BE94B11E" w:tentative="1">
      <w:start w:val="1"/>
      <w:numFmt w:val="bullet"/>
      <w:lvlText w:val=""/>
      <w:lvlJc w:val="left"/>
      <w:pPr>
        <w:tabs>
          <w:tab w:val="num" w:pos="5760"/>
        </w:tabs>
        <w:ind w:left="5760" w:hanging="360"/>
      </w:pPr>
      <w:rPr>
        <w:rFonts w:ascii="Wingdings" w:hAnsi="Wingdings" w:hint="default"/>
      </w:rPr>
    </w:lvl>
    <w:lvl w:ilvl="8" w:tplc="472CDAA2"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7CA4BF1"/>
    <w:multiLevelType w:val="hybridMultilevel"/>
    <w:tmpl w:val="3DBCB7D0"/>
    <w:lvl w:ilvl="0" w:tplc="6428CB24">
      <w:start w:val="2"/>
      <w:numFmt w:val="bullet"/>
      <w:lvlText w:val=""/>
      <w:lvlJc w:val="left"/>
      <w:pPr>
        <w:ind w:left="728" w:hanging="360"/>
      </w:pPr>
      <w:rPr>
        <w:rFonts w:ascii="Symbol" w:eastAsia="Calibri" w:hAnsi="Symbol" w:cs="David" w:hint="default"/>
      </w:rPr>
    </w:lvl>
    <w:lvl w:ilvl="1" w:tplc="BC883064">
      <w:start w:val="1"/>
      <w:numFmt w:val="bullet"/>
      <w:lvlText w:val="o"/>
      <w:lvlJc w:val="left"/>
      <w:pPr>
        <w:ind w:left="1448" w:hanging="360"/>
      </w:pPr>
      <w:rPr>
        <w:rFonts w:ascii="Courier New" w:hAnsi="Courier New" w:cs="Courier New" w:hint="default"/>
      </w:rPr>
    </w:lvl>
    <w:lvl w:ilvl="2" w:tplc="EB8E3896" w:tentative="1">
      <w:start w:val="1"/>
      <w:numFmt w:val="bullet"/>
      <w:lvlText w:val=""/>
      <w:lvlJc w:val="left"/>
      <w:pPr>
        <w:ind w:left="2168" w:hanging="360"/>
      </w:pPr>
      <w:rPr>
        <w:rFonts w:ascii="Wingdings" w:hAnsi="Wingdings" w:hint="default"/>
      </w:rPr>
    </w:lvl>
    <w:lvl w:ilvl="3" w:tplc="36F4BFD2" w:tentative="1">
      <w:start w:val="1"/>
      <w:numFmt w:val="bullet"/>
      <w:lvlText w:val=""/>
      <w:lvlJc w:val="left"/>
      <w:pPr>
        <w:ind w:left="2888" w:hanging="360"/>
      </w:pPr>
      <w:rPr>
        <w:rFonts w:ascii="Symbol" w:hAnsi="Symbol" w:hint="default"/>
      </w:rPr>
    </w:lvl>
    <w:lvl w:ilvl="4" w:tplc="850EEB8E" w:tentative="1">
      <w:start w:val="1"/>
      <w:numFmt w:val="bullet"/>
      <w:lvlText w:val="o"/>
      <w:lvlJc w:val="left"/>
      <w:pPr>
        <w:ind w:left="3608" w:hanging="360"/>
      </w:pPr>
      <w:rPr>
        <w:rFonts w:ascii="Courier New" w:hAnsi="Courier New" w:cs="Courier New" w:hint="default"/>
      </w:rPr>
    </w:lvl>
    <w:lvl w:ilvl="5" w:tplc="40EE7192" w:tentative="1">
      <w:start w:val="1"/>
      <w:numFmt w:val="bullet"/>
      <w:lvlText w:val=""/>
      <w:lvlJc w:val="left"/>
      <w:pPr>
        <w:ind w:left="4328" w:hanging="360"/>
      </w:pPr>
      <w:rPr>
        <w:rFonts w:ascii="Wingdings" w:hAnsi="Wingdings" w:hint="default"/>
      </w:rPr>
    </w:lvl>
    <w:lvl w:ilvl="6" w:tplc="744C07AE" w:tentative="1">
      <w:start w:val="1"/>
      <w:numFmt w:val="bullet"/>
      <w:lvlText w:val=""/>
      <w:lvlJc w:val="left"/>
      <w:pPr>
        <w:ind w:left="5048" w:hanging="360"/>
      </w:pPr>
      <w:rPr>
        <w:rFonts w:ascii="Symbol" w:hAnsi="Symbol" w:hint="default"/>
      </w:rPr>
    </w:lvl>
    <w:lvl w:ilvl="7" w:tplc="1670086C" w:tentative="1">
      <w:start w:val="1"/>
      <w:numFmt w:val="bullet"/>
      <w:lvlText w:val="o"/>
      <w:lvlJc w:val="left"/>
      <w:pPr>
        <w:ind w:left="5768" w:hanging="360"/>
      </w:pPr>
      <w:rPr>
        <w:rFonts w:ascii="Courier New" w:hAnsi="Courier New" w:cs="Courier New" w:hint="default"/>
      </w:rPr>
    </w:lvl>
    <w:lvl w:ilvl="8" w:tplc="92823236" w:tentative="1">
      <w:start w:val="1"/>
      <w:numFmt w:val="bullet"/>
      <w:lvlText w:val=""/>
      <w:lvlJc w:val="left"/>
      <w:pPr>
        <w:ind w:left="6488" w:hanging="360"/>
      </w:pPr>
      <w:rPr>
        <w:rFonts w:ascii="Wingdings" w:hAnsi="Wingdings" w:hint="default"/>
      </w:rPr>
    </w:lvl>
  </w:abstractNum>
  <w:abstractNum w:abstractNumId="26" w15:restartNumberingAfterBreak="0">
    <w:nsid w:val="515607FA"/>
    <w:multiLevelType w:val="multilevel"/>
    <w:tmpl w:val="86BEB1EA"/>
    <w:lvl w:ilvl="0">
      <w:start w:val="1"/>
      <w:numFmt w:val="decimal"/>
      <w:lvlText w:val="%1."/>
      <w:lvlJc w:val="left"/>
      <w:pPr>
        <w:ind w:left="360" w:hanging="360"/>
      </w:pPr>
      <w:rPr>
        <w:rFonts w:hint="default"/>
        <w:b/>
        <w:bCs/>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7" w15:restartNumberingAfterBreak="0">
    <w:nsid w:val="575C2FA0"/>
    <w:multiLevelType w:val="hybridMultilevel"/>
    <w:tmpl w:val="9026816E"/>
    <w:lvl w:ilvl="0" w:tplc="AC5A980A">
      <w:start w:val="1"/>
      <w:numFmt w:val="bullet"/>
      <w:lvlText w:val=""/>
      <w:lvlJc w:val="left"/>
      <w:pPr>
        <w:tabs>
          <w:tab w:val="num" w:pos="720"/>
        </w:tabs>
        <w:ind w:left="720" w:hanging="360"/>
      </w:pPr>
      <w:rPr>
        <w:rFonts w:ascii="Wingdings" w:hAnsi="Wingdings" w:hint="default"/>
      </w:rPr>
    </w:lvl>
    <w:lvl w:ilvl="1" w:tplc="578873B6" w:tentative="1">
      <w:start w:val="1"/>
      <w:numFmt w:val="bullet"/>
      <w:lvlText w:val=""/>
      <w:lvlJc w:val="left"/>
      <w:pPr>
        <w:tabs>
          <w:tab w:val="num" w:pos="1440"/>
        </w:tabs>
        <w:ind w:left="1440" w:hanging="360"/>
      </w:pPr>
      <w:rPr>
        <w:rFonts w:ascii="Wingdings" w:hAnsi="Wingdings" w:hint="default"/>
      </w:rPr>
    </w:lvl>
    <w:lvl w:ilvl="2" w:tplc="83D88BA0" w:tentative="1">
      <w:start w:val="1"/>
      <w:numFmt w:val="bullet"/>
      <w:lvlText w:val=""/>
      <w:lvlJc w:val="left"/>
      <w:pPr>
        <w:tabs>
          <w:tab w:val="num" w:pos="2160"/>
        </w:tabs>
        <w:ind w:left="2160" w:hanging="360"/>
      </w:pPr>
      <w:rPr>
        <w:rFonts w:ascii="Wingdings" w:hAnsi="Wingdings" w:hint="default"/>
      </w:rPr>
    </w:lvl>
    <w:lvl w:ilvl="3" w:tplc="F3CA0BFC" w:tentative="1">
      <w:start w:val="1"/>
      <w:numFmt w:val="bullet"/>
      <w:lvlText w:val=""/>
      <w:lvlJc w:val="left"/>
      <w:pPr>
        <w:tabs>
          <w:tab w:val="num" w:pos="2880"/>
        </w:tabs>
        <w:ind w:left="2880" w:hanging="360"/>
      </w:pPr>
      <w:rPr>
        <w:rFonts w:ascii="Wingdings" w:hAnsi="Wingdings" w:hint="default"/>
      </w:rPr>
    </w:lvl>
    <w:lvl w:ilvl="4" w:tplc="0BCAB572" w:tentative="1">
      <w:start w:val="1"/>
      <w:numFmt w:val="bullet"/>
      <w:lvlText w:val=""/>
      <w:lvlJc w:val="left"/>
      <w:pPr>
        <w:tabs>
          <w:tab w:val="num" w:pos="3600"/>
        </w:tabs>
        <w:ind w:left="3600" w:hanging="360"/>
      </w:pPr>
      <w:rPr>
        <w:rFonts w:ascii="Wingdings" w:hAnsi="Wingdings" w:hint="default"/>
      </w:rPr>
    </w:lvl>
    <w:lvl w:ilvl="5" w:tplc="4D900B5E" w:tentative="1">
      <w:start w:val="1"/>
      <w:numFmt w:val="bullet"/>
      <w:lvlText w:val=""/>
      <w:lvlJc w:val="left"/>
      <w:pPr>
        <w:tabs>
          <w:tab w:val="num" w:pos="4320"/>
        </w:tabs>
        <w:ind w:left="4320" w:hanging="360"/>
      </w:pPr>
      <w:rPr>
        <w:rFonts w:ascii="Wingdings" w:hAnsi="Wingdings" w:hint="default"/>
      </w:rPr>
    </w:lvl>
    <w:lvl w:ilvl="6" w:tplc="66A680D0" w:tentative="1">
      <w:start w:val="1"/>
      <w:numFmt w:val="bullet"/>
      <w:lvlText w:val=""/>
      <w:lvlJc w:val="left"/>
      <w:pPr>
        <w:tabs>
          <w:tab w:val="num" w:pos="5040"/>
        </w:tabs>
        <w:ind w:left="5040" w:hanging="360"/>
      </w:pPr>
      <w:rPr>
        <w:rFonts w:ascii="Wingdings" w:hAnsi="Wingdings" w:hint="default"/>
      </w:rPr>
    </w:lvl>
    <w:lvl w:ilvl="7" w:tplc="3F24BC80" w:tentative="1">
      <w:start w:val="1"/>
      <w:numFmt w:val="bullet"/>
      <w:lvlText w:val=""/>
      <w:lvlJc w:val="left"/>
      <w:pPr>
        <w:tabs>
          <w:tab w:val="num" w:pos="5760"/>
        </w:tabs>
        <w:ind w:left="5760" w:hanging="360"/>
      </w:pPr>
      <w:rPr>
        <w:rFonts w:ascii="Wingdings" w:hAnsi="Wingdings" w:hint="default"/>
      </w:rPr>
    </w:lvl>
    <w:lvl w:ilvl="8" w:tplc="0AE424D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583FD6"/>
    <w:multiLevelType w:val="hybridMultilevel"/>
    <w:tmpl w:val="5412D1B8"/>
    <w:lvl w:ilvl="0" w:tplc="1BFAAB1C">
      <w:start w:val="1"/>
      <w:numFmt w:val="bullet"/>
      <w:lvlText w:val=""/>
      <w:lvlJc w:val="left"/>
      <w:pPr>
        <w:ind w:left="1088" w:hanging="360"/>
      </w:pPr>
      <w:rPr>
        <w:rFonts w:ascii="Wingdings" w:hAnsi="Wingdings" w:hint="default"/>
      </w:rPr>
    </w:lvl>
    <w:lvl w:ilvl="1" w:tplc="FAC60A8E" w:tentative="1">
      <w:start w:val="1"/>
      <w:numFmt w:val="bullet"/>
      <w:lvlText w:val="o"/>
      <w:lvlJc w:val="left"/>
      <w:pPr>
        <w:ind w:left="1808" w:hanging="360"/>
      </w:pPr>
      <w:rPr>
        <w:rFonts w:ascii="Courier New" w:hAnsi="Courier New" w:cs="Courier New" w:hint="default"/>
      </w:rPr>
    </w:lvl>
    <w:lvl w:ilvl="2" w:tplc="5D3066B6" w:tentative="1">
      <w:start w:val="1"/>
      <w:numFmt w:val="bullet"/>
      <w:lvlText w:val=""/>
      <w:lvlJc w:val="left"/>
      <w:pPr>
        <w:ind w:left="2528" w:hanging="360"/>
      </w:pPr>
      <w:rPr>
        <w:rFonts w:ascii="Wingdings" w:hAnsi="Wingdings" w:hint="default"/>
      </w:rPr>
    </w:lvl>
    <w:lvl w:ilvl="3" w:tplc="F278A8EE" w:tentative="1">
      <w:start w:val="1"/>
      <w:numFmt w:val="bullet"/>
      <w:lvlText w:val=""/>
      <w:lvlJc w:val="left"/>
      <w:pPr>
        <w:ind w:left="3248" w:hanging="360"/>
      </w:pPr>
      <w:rPr>
        <w:rFonts w:ascii="Symbol" w:hAnsi="Symbol" w:hint="default"/>
      </w:rPr>
    </w:lvl>
    <w:lvl w:ilvl="4" w:tplc="5BF416DA" w:tentative="1">
      <w:start w:val="1"/>
      <w:numFmt w:val="bullet"/>
      <w:lvlText w:val="o"/>
      <w:lvlJc w:val="left"/>
      <w:pPr>
        <w:ind w:left="3968" w:hanging="360"/>
      </w:pPr>
      <w:rPr>
        <w:rFonts w:ascii="Courier New" w:hAnsi="Courier New" w:cs="Courier New" w:hint="default"/>
      </w:rPr>
    </w:lvl>
    <w:lvl w:ilvl="5" w:tplc="14CC1312" w:tentative="1">
      <w:start w:val="1"/>
      <w:numFmt w:val="bullet"/>
      <w:lvlText w:val=""/>
      <w:lvlJc w:val="left"/>
      <w:pPr>
        <w:ind w:left="4688" w:hanging="360"/>
      </w:pPr>
      <w:rPr>
        <w:rFonts w:ascii="Wingdings" w:hAnsi="Wingdings" w:hint="default"/>
      </w:rPr>
    </w:lvl>
    <w:lvl w:ilvl="6" w:tplc="D6BEB27C" w:tentative="1">
      <w:start w:val="1"/>
      <w:numFmt w:val="bullet"/>
      <w:lvlText w:val=""/>
      <w:lvlJc w:val="left"/>
      <w:pPr>
        <w:ind w:left="5408" w:hanging="360"/>
      </w:pPr>
      <w:rPr>
        <w:rFonts w:ascii="Symbol" w:hAnsi="Symbol" w:hint="default"/>
      </w:rPr>
    </w:lvl>
    <w:lvl w:ilvl="7" w:tplc="CB480568" w:tentative="1">
      <w:start w:val="1"/>
      <w:numFmt w:val="bullet"/>
      <w:lvlText w:val="o"/>
      <w:lvlJc w:val="left"/>
      <w:pPr>
        <w:ind w:left="6128" w:hanging="360"/>
      </w:pPr>
      <w:rPr>
        <w:rFonts w:ascii="Courier New" w:hAnsi="Courier New" w:cs="Courier New" w:hint="default"/>
      </w:rPr>
    </w:lvl>
    <w:lvl w:ilvl="8" w:tplc="BE5C672A" w:tentative="1">
      <w:start w:val="1"/>
      <w:numFmt w:val="bullet"/>
      <w:lvlText w:val=""/>
      <w:lvlJc w:val="left"/>
      <w:pPr>
        <w:ind w:left="6848" w:hanging="360"/>
      </w:pPr>
      <w:rPr>
        <w:rFonts w:ascii="Wingdings" w:hAnsi="Wingdings" w:hint="default"/>
      </w:rPr>
    </w:lvl>
  </w:abstractNum>
  <w:abstractNum w:abstractNumId="29" w15:restartNumberingAfterBreak="0">
    <w:nsid w:val="5F9B08E1"/>
    <w:multiLevelType w:val="hybridMultilevel"/>
    <w:tmpl w:val="A712E076"/>
    <w:lvl w:ilvl="0" w:tplc="E2206FCA">
      <w:start w:val="1"/>
      <w:numFmt w:val="decimal"/>
      <w:lvlText w:val="%1."/>
      <w:lvlJc w:val="left"/>
      <w:pPr>
        <w:ind w:left="1169" w:hanging="360"/>
      </w:pPr>
      <w:rPr>
        <w:rFonts w:hint="default"/>
        <w:b/>
      </w:rPr>
    </w:lvl>
    <w:lvl w:ilvl="1" w:tplc="160C3D58" w:tentative="1">
      <w:start w:val="1"/>
      <w:numFmt w:val="lowerLetter"/>
      <w:lvlText w:val="%2."/>
      <w:lvlJc w:val="left"/>
      <w:pPr>
        <w:ind w:left="1889" w:hanging="360"/>
      </w:pPr>
    </w:lvl>
    <w:lvl w:ilvl="2" w:tplc="E57444FC" w:tentative="1">
      <w:start w:val="1"/>
      <w:numFmt w:val="lowerRoman"/>
      <w:lvlText w:val="%3."/>
      <w:lvlJc w:val="right"/>
      <w:pPr>
        <w:ind w:left="2609" w:hanging="180"/>
      </w:pPr>
    </w:lvl>
    <w:lvl w:ilvl="3" w:tplc="0D76DAC6" w:tentative="1">
      <w:start w:val="1"/>
      <w:numFmt w:val="decimal"/>
      <w:lvlText w:val="%4."/>
      <w:lvlJc w:val="left"/>
      <w:pPr>
        <w:ind w:left="3329" w:hanging="360"/>
      </w:pPr>
    </w:lvl>
    <w:lvl w:ilvl="4" w:tplc="6B5C463A" w:tentative="1">
      <w:start w:val="1"/>
      <w:numFmt w:val="lowerLetter"/>
      <w:lvlText w:val="%5."/>
      <w:lvlJc w:val="left"/>
      <w:pPr>
        <w:ind w:left="4049" w:hanging="360"/>
      </w:pPr>
    </w:lvl>
    <w:lvl w:ilvl="5" w:tplc="70608D2C" w:tentative="1">
      <w:start w:val="1"/>
      <w:numFmt w:val="lowerRoman"/>
      <w:lvlText w:val="%6."/>
      <w:lvlJc w:val="right"/>
      <w:pPr>
        <w:ind w:left="4769" w:hanging="180"/>
      </w:pPr>
    </w:lvl>
    <w:lvl w:ilvl="6" w:tplc="7D12B130" w:tentative="1">
      <w:start w:val="1"/>
      <w:numFmt w:val="decimal"/>
      <w:lvlText w:val="%7."/>
      <w:lvlJc w:val="left"/>
      <w:pPr>
        <w:ind w:left="5489" w:hanging="360"/>
      </w:pPr>
    </w:lvl>
    <w:lvl w:ilvl="7" w:tplc="2FD4679E" w:tentative="1">
      <w:start w:val="1"/>
      <w:numFmt w:val="lowerLetter"/>
      <w:lvlText w:val="%8."/>
      <w:lvlJc w:val="left"/>
      <w:pPr>
        <w:ind w:left="6209" w:hanging="360"/>
      </w:pPr>
    </w:lvl>
    <w:lvl w:ilvl="8" w:tplc="781C3404" w:tentative="1">
      <w:start w:val="1"/>
      <w:numFmt w:val="lowerRoman"/>
      <w:lvlText w:val="%9."/>
      <w:lvlJc w:val="right"/>
      <w:pPr>
        <w:ind w:left="6929" w:hanging="180"/>
      </w:pPr>
    </w:lvl>
  </w:abstractNum>
  <w:abstractNum w:abstractNumId="30" w15:restartNumberingAfterBreak="0">
    <w:nsid w:val="600F7044"/>
    <w:multiLevelType w:val="multilevel"/>
    <w:tmpl w:val="154C5CBE"/>
    <w:lvl w:ilvl="0">
      <w:start w:val="1"/>
      <w:numFmt w:val="decimal"/>
      <w:lvlText w:val="%1."/>
      <w:lvlJc w:val="left"/>
      <w:pPr>
        <w:ind w:left="360" w:hanging="360"/>
      </w:pPr>
      <w:rPr>
        <w:rFonts w:ascii="David" w:eastAsia="Times New Roman" w:hAnsi="Times New Roman" w:cs="David"/>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61314E13"/>
    <w:multiLevelType w:val="multilevel"/>
    <w:tmpl w:val="0E9A97C8"/>
    <w:lvl w:ilvl="0">
      <w:start w:val="1"/>
      <w:numFmt w:val="decimal"/>
      <w:lvlText w:val="%1."/>
      <w:lvlJc w:val="left"/>
      <w:pPr>
        <w:ind w:left="359"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1" w:hanging="720"/>
      </w:pPr>
      <w:rPr>
        <w:rFonts w:hint="default"/>
      </w:rPr>
    </w:lvl>
    <w:lvl w:ilvl="3">
      <w:start w:val="1"/>
      <w:numFmt w:val="decimal"/>
      <w:isLgl/>
      <w:lvlText w:val="%1.%2.%3.%4."/>
      <w:lvlJc w:val="left"/>
      <w:pPr>
        <w:ind w:left="722" w:hanging="720"/>
      </w:pPr>
      <w:rPr>
        <w:rFonts w:hint="default"/>
      </w:rPr>
    </w:lvl>
    <w:lvl w:ilvl="4">
      <w:start w:val="1"/>
      <w:numFmt w:val="decimal"/>
      <w:isLgl/>
      <w:lvlText w:val="%1.%2.%3.%4.%5."/>
      <w:lvlJc w:val="left"/>
      <w:pPr>
        <w:ind w:left="1083" w:hanging="1080"/>
      </w:pPr>
      <w:rPr>
        <w:rFonts w:hint="default"/>
      </w:rPr>
    </w:lvl>
    <w:lvl w:ilvl="5">
      <w:start w:val="1"/>
      <w:numFmt w:val="decimal"/>
      <w:isLgl/>
      <w:lvlText w:val="%1.%2.%3.%4.%5.%6."/>
      <w:lvlJc w:val="left"/>
      <w:pPr>
        <w:ind w:left="1084" w:hanging="1080"/>
      </w:pPr>
      <w:rPr>
        <w:rFonts w:hint="default"/>
      </w:rPr>
    </w:lvl>
    <w:lvl w:ilvl="6">
      <w:start w:val="1"/>
      <w:numFmt w:val="decimal"/>
      <w:isLgl/>
      <w:lvlText w:val="%1.%2.%3.%4.%5.%6.%7."/>
      <w:lvlJc w:val="left"/>
      <w:pPr>
        <w:ind w:left="1445" w:hanging="1440"/>
      </w:pPr>
      <w:rPr>
        <w:rFonts w:hint="default"/>
      </w:rPr>
    </w:lvl>
    <w:lvl w:ilvl="7">
      <w:start w:val="1"/>
      <w:numFmt w:val="decimal"/>
      <w:isLgl/>
      <w:lvlText w:val="%1.%2.%3.%4.%5.%6.%7.%8."/>
      <w:lvlJc w:val="left"/>
      <w:pPr>
        <w:ind w:left="1446" w:hanging="1440"/>
      </w:pPr>
      <w:rPr>
        <w:rFonts w:hint="default"/>
      </w:rPr>
    </w:lvl>
    <w:lvl w:ilvl="8">
      <w:start w:val="1"/>
      <w:numFmt w:val="decimal"/>
      <w:isLgl/>
      <w:lvlText w:val="%1.%2.%3.%4.%5.%6.%7.%8.%9."/>
      <w:lvlJc w:val="left"/>
      <w:pPr>
        <w:ind w:left="1807" w:hanging="1800"/>
      </w:pPr>
      <w:rPr>
        <w:rFonts w:hint="default"/>
      </w:rPr>
    </w:lvl>
  </w:abstractNum>
  <w:abstractNum w:abstractNumId="32" w15:restartNumberingAfterBreak="0">
    <w:nsid w:val="63061674"/>
    <w:multiLevelType w:val="multilevel"/>
    <w:tmpl w:val="2D56BD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65CE694E"/>
    <w:multiLevelType w:val="multilevel"/>
    <w:tmpl w:val="4FA837D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4" w15:restartNumberingAfterBreak="0">
    <w:nsid w:val="66A632EB"/>
    <w:multiLevelType w:val="hybridMultilevel"/>
    <w:tmpl w:val="5ED0D2C0"/>
    <w:lvl w:ilvl="0" w:tplc="375AE892">
      <w:start w:val="1"/>
      <w:numFmt w:val="decimal"/>
      <w:lvlText w:val="%1."/>
      <w:lvlJc w:val="left"/>
      <w:pPr>
        <w:tabs>
          <w:tab w:val="num" w:pos="720"/>
        </w:tabs>
        <w:ind w:left="720" w:hanging="360"/>
      </w:pPr>
    </w:lvl>
    <w:lvl w:ilvl="1" w:tplc="BE044416" w:tentative="1">
      <w:start w:val="1"/>
      <w:numFmt w:val="decimal"/>
      <w:lvlText w:val="%2."/>
      <w:lvlJc w:val="left"/>
      <w:pPr>
        <w:tabs>
          <w:tab w:val="num" w:pos="1440"/>
        </w:tabs>
        <w:ind w:left="1440" w:hanging="360"/>
      </w:pPr>
    </w:lvl>
    <w:lvl w:ilvl="2" w:tplc="53FA11FA" w:tentative="1">
      <w:start w:val="1"/>
      <w:numFmt w:val="decimal"/>
      <w:lvlText w:val="%3."/>
      <w:lvlJc w:val="left"/>
      <w:pPr>
        <w:tabs>
          <w:tab w:val="num" w:pos="2160"/>
        </w:tabs>
        <w:ind w:left="2160" w:hanging="360"/>
      </w:pPr>
    </w:lvl>
    <w:lvl w:ilvl="3" w:tplc="E62CE2D2" w:tentative="1">
      <w:start w:val="1"/>
      <w:numFmt w:val="decimal"/>
      <w:lvlText w:val="%4."/>
      <w:lvlJc w:val="left"/>
      <w:pPr>
        <w:tabs>
          <w:tab w:val="num" w:pos="2880"/>
        </w:tabs>
        <w:ind w:left="2880" w:hanging="360"/>
      </w:pPr>
    </w:lvl>
    <w:lvl w:ilvl="4" w:tplc="56068D0C" w:tentative="1">
      <w:start w:val="1"/>
      <w:numFmt w:val="decimal"/>
      <w:lvlText w:val="%5."/>
      <w:lvlJc w:val="left"/>
      <w:pPr>
        <w:tabs>
          <w:tab w:val="num" w:pos="3600"/>
        </w:tabs>
        <w:ind w:left="3600" w:hanging="360"/>
      </w:pPr>
    </w:lvl>
    <w:lvl w:ilvl="5" w:tplc="93D6F09A" w:tentative="1">
      <w:start w:val="1"/>
      <w:numFmt w:val="decimal"/>
      <w:lvlText w:val="%6."/>
      <w:lvlJc w:val="left"/>
      <w:pPr>
        <w:tabs>
          <w:tab w:val="num" w:pos="4320"/>
        </w:tabs>
        <w:ind w:left="4320" w:hanging="360"/>
      </w:pPr>
    </w:lvl>
    <w:lvl w:ilvl="6" w:tplc="CA8E5A5E" w:tentative="1">
      <w:start w:val="1"/>
      <w:numFmt w:val="decimal"/>
      <w:lvlText w:val="%7."/>
      <w:lvlJc w:val="left"/>
      <w:pPr>
        <w:tabs>
          <w:tab w:val="num" w:pos="5040"/>
        </w:tabs>
        <w:ind w:left="5040" w:hanging="360"/>
      </w:pPr>
    </w:lvl>
    <w:lvl w:ilvl="7" w:tplc="2C0C13CC" w:tentative="1">
      <w:start w:val="1"/>
      <w:numFmt w:val="decimal"/>
      <w:lvlText w:val="%8."/>
      <w:lvlJc w:val="left"/>
      <w:pPr>
        <w:tabs>
          <w:tab w:val="num" w:pos="5760"/>
        </w:tabs>
        <w:ind w:left="5760" w:hanging="360"/>
      </w:pPr>
    </w:lvl>
    <w:lvl w:ilvl="8" w:tplc="F9E0886C" w:tentative="1">
      <w:start w:val="1"/>
      <w:numFmt w:val="decimal"/>
      <w:lvlText w:val="%9."/>
      <w:lvlJc w:val="left"/>
      <w:pPr>
        <w:tabs>
          <w:tab w:val="num" w:pos="6480"/>
        </w:tabs>
        <w:ind w:left="6480" w:hanging="360"/>
      </w:pPr>
    </w:lvl>
  </w:abstractNum>
  <w:abstractNum w:abstractNumId="35" w15:restartNumberingAfterBreak="0">
    <w:nsid w:val="67213842"/>
    <w:multiLevelType w:val="multilevel"/>
    <w:tmpl w:val="84B8F37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68C80918"/>
    <w:multiLevelType w:val="hybridMultilevel"/>
    <w:tmpl w:val="3482B360"/>
    <w:lvl w:ilvl="0" w:tplc="B77ECA56">
      <w:start w:val="1"/>
      <w:numFmt w:val="bullet"/>
      <w:lvlText w:val=""/>
      <w:lvlJc w:val="left"/>
      <w:pPr>
        <w:ind w:left="720" w:hanging="360"/>
      </w:pPr>
      <w:rPr>
        <w:rFonts w:ascii="Symbol" w:hAnsi="Symbol" w:hint="default"/>
      </w:rPr>
    </w:lvl>
    <w:lvl w:ilvl="1" w:tplc="E3FA9A50" w:tentative="1">
      <w:start w:val="1"/>
      <w:numFmt w:val="bullet"/>
      <w:lvlText w:val="o"/>
      <w:lvlJc w:val="left"/>
      <w:pPr>
        <w:ind w:left="1440" w:hanging="360"/>
      </w:pPr>
      <w:rPr>
        <w:rFonts w:ascii="Courier New" w:hAnsi="Courier New" w:cs="Courier New" w:hint="default"/>
      </w:rPr>
    </w:lvl>
    <w:lvl w:ilvl="2" w:tplc="6D9A3960" w:tentative="1">
      <w:start w:val="1"/>
      <w:numFmt w:val="bullet"/>
      <w:lvlText w:val=""/>
      <w:lvlJc w:val="left"/>
      <w:pPr>
        <w:ind w:left="2160" w:hanging="360"/>
      </w:pPr>
      <w:rPr>
        <w:rFonts w:ascii="Wingdings" w:hAnsi="Wingdings" w:hint="default"/>
      </w:rPr>
    </w:lvl>
    <w:lvl w:ilvl="3" w:tplc="6090D640" w:tentative="1">
      <w:start w:val="1"/>
      <w:numFmt w:val="bullet"/>
      <w:lvlText w:val=""/>
      <w:lvlJc w:val="left"/>
      <w:pPr>
        <w:ind w:left="2880" w:hanging="360"/>
      </w:pPr>
      <w:rPr>
        <w:rFonts w:ascii="Symbol" w:hAnsi="Symbol" w:hint="default"/>
      </w:rPr>
    </w:lvl>
    <w:lvl w:ilvl="4" w:tplc="EA009BBE" w:tentative="1">
      <w:start w:val="1"/>
      <w:numFmt w:val="bullet"/>
      <w:lvlText w:val="o"/>
      <w:lvlJc w:val="left"/>
      <w:pPr>
        <w:ind w:left="3600" w:hanging="360"/>
      </w:pPr>
      <w:rPr>
        <w:rFonts w:ascii="Courier New" w:hAnsi="Courier New" w:cs="Courier New" w:hint="default"/>
      </w:rPr>
    </w:lvl>
    <w:lvl w:ilvl="5" w:tplc="6C78AA0A" w:tentative="1">
      <w:start w:val="1"/>
      <w:numFmt w:val="bullet"/>
      <w:lvlText w:val=""/>
      <w:lvlJc w:val="left"/>
      <w:pPr>
        <w:ind w:left="4320" w:hanging="360"/>
      </w:pPr>
      <w:rPr>
        <w:rFonts w:ascii="Wingdings" w:hAnsi="Wingdings" w:hint="default"/>
      </w:rPr>
    </w:lvl>
    <w:lvl w:ilvl="6" w:tplc="B4EAE676" w:tentative="1">
      <w:start w:val="1"/>
      <w:numFmt w:val="bullet"/>
      <w:lvlText w:val=""/>
      <w:lvlJc w:val="left"/>
      <w:pPr>
        <w:ind w:left="5040" w:hanging="360"/>
      </w:pPr>
      <w:rPr>
        <w:rFonts w:ascii="Symbol" w:hAnsi="Symbol" w:hint="default"/>
      </w:rPr>
    </w:lvl>
    <w:lvl w:ilvl="7" w:tplc="D38052F0" w:tentative="1">
      <w:start w:val="1"/>
      <w:numFmt w:val="bullet"/>
      <w:lvlText w:val="o"/>
      <w:lvlJc w:val="left"/>
      <w:pPr>
        <w:ind w:left="5760" w:hanging="360"/>
      </w:pPr>
      <w:rPr>
        <w:rFonts w:ascii="Courier New" w:hAnsi="Courier New" w:cs="Courier New" w:hint="default"/>
      </w:rPr>
    </w:lvl>
    <w:lvl w:ilvl="8" w:tplc="261A35FE" w:tentative="1">
      <w:start w:val="1"/>
      <w:numFmt w:val="bullet"/>
      <w:lvlText w:val=""/>
      <w:lvlJc w:val="left"/>
      <w:pPr>
        <w:ind w:left="6480" w:hanging="360"/>
      </w:pPr>
      <w:rPr>
        <w:rFonts w:ascii="Wingdings" w:hAnsi="Wingdings" w:hint="default"/>
      </w:rPr>
    </w:lvl>
  </w:abstractNum>
  <w:abstractNum w:abstractNumId="37" w15:restartNumberingAfterBreak="0">
    <w:nsid w:val="6C177971"/>
    <w:multiLevelType w:val="hybridMultilevel"/>
    <w:tmpl w:val="7990EE04"/>
    <w:lvl w:ilvl="0" w:tplc="8D267738">
      <w:start w:val="1"/>
      <w:numFmt w:val="decimal"/>
      <w:lvlText w:val="%1."/>
      <w:lvlJc w:val="left"/>
      <w:pPr>
        <w:ind w:left="720" w:hanging="360"/>
      </w:pPr>
      <w:rPr>
        <w:rFonts w:hint="default"/>
        <w:b/>
      </w:rPr>
    </w:lvl>
    <w:lvl w:ilvl="1" w:tplc="30FA43DC" w:tentative="1">
      <w:start w:val="1"/>
      <w:numFmt w:val="lowerLetter"/>
      <w:lvlText w:val="%2."/>
      <w:lvlJc w:val="left"/>
      <w:pPr>
        <w:ind w:left="1440" w:hanging="360"/>
      </w:pPr>
    </w:lvl>
    <w:lvl w:ilvl="2" w:tplc="9FEEFB8A" w:tentative="1">
      <w:start w:val="1"/>
      <w:numFmt w:val="lowerRoman"/>
      <w:lvlText w:val="%3."/>
      <w:lvlJc w:val="right"/>
      <w:pPr>
        <w:ind w:left="2160" w:hanging="180"/>
      </w:pPr>
    </w:lvl>
    <w:lvl w:ilvl="3" w:tplc="81005CC6" w:tentative="1">
      <w:start w:val="1"/>
      <w:numFmt w:val="decimal"/>
      <w:lvlText w:val="%4."/>
      <w:lvlJc w:val="left"/>
      <w:pPr>
        <w:ind w:left="2880" w:hanging="360"/>
      </w:pPr>
    </w:lvl>
    <w:lvl w:ilvl="4" w:tplc="7BC6001E" w:tentative="1">
      <w:start w:val="1"/>
      <w:numFmt w:val="lowerLetter"/>
      <w:lvlText w:val="%5."/>
      <w:lvlJc w:val="left"/>
      <w:pPr>
        <w:ind w:left="3600" w:hanging="360"/>
      </w:pPr>
    </w:lvl>
    <w:lvl w:ilvl="5" w:tplc="B7C81314" w:tentative="1">
      <w:start w:val="1"/>
      <w:numFmt w:val="lowerRoman"/>
      <w:lvlText w:val="%6."/>
      <w:lvlJc w:val="right"/>
      <w:pPr>
        <w:ind w:left="4320" w:hanging="180"/>
      </w:pPr>
    </w:lvl>
    <w:lvl w:ilvl="6" w:tplc="28F820F2" w:tentative="1">
      <w:start w:val="1"/>
      <w:numFmt w:val="decimal"/>
      <w:lvlText w:val="%7."/>
      <w:lvlJc w:val="left"/>
      <w:pPr>
        <w:ind w:left="5040" w:hanging="360"/>
      </w:pPr>
    </w:lvl>
    <w:lvl w:ilvl="7" w:tplc="4E3EEE3E" w:tentative="1">
      <w:start w:val="1"/>
      <w:numFmt w:val="lowerLetter"/>
      <w:lvlText w:val="%8."/>
      <w:lvlJc w:val="left"/>
      <w:pPr>
        <w:ind w:left="5760" w:hanging="360"/>
      </w:pPr>
    </w:lvl>
    <w:lvl w:ilvl="8" w:tplc="8A84616C" w:tentative="1">
      <w:start w:val="1"/>
      <w:numFmt w:val="lowerRoman"/>
      <w:lvlText w:val="%9."/>
      <w:lvlJc w:val="right"/>
      <w:pPr>
        <w:ind w:left="6480" w:hanging="180"/>
      </w:pPr>
    </w:lvl>
  </w:abstractNum>
  <w:abstractNum w:abstractNumId="38" w15:restartNumberingAfterBreak="0">
    <w:nsid w:val="6D8C522A"/>
    <w:multiLevelType w:val="hybridMultilevel"/>
    <w:tmpl w:val="F79A9218"/>
    <w:lvl w:ilvl="0" w:tplc="06067B3E">
      <w:start w:val="1"/>
      <w:numFmt w:val="decimal"/>
      <w:lvlText w:val="%1."/>
      <w:lvlJc w:val="left"/>
      <w:pPr>
        <w:ind w:left="720" w:hanging="360"/>
      </w:pPr>
      <w:rPr>
        <w:rFonts w:ascii="David" w:hAnsi="David" w:hint="default"/>
      </w:rPr>
    </w:lvl>
    <w:lvl w:ilvl="1" w:tplc="901E786A" w:tentative="1">
      <w:start w:val="1"/>
      <w:numFmt w:val="lowerLetter"/>
      <w:lvlText w:val="%2."/>
      <w:lvlJc w:val="left"/>
      <w:pPr>
        <w:ind w:left="1440" w:hanging="360"/>
      </w:pPr>
    </w:lvl>
    <w:lvl w:ilvl="2" w:tplc="17462F1A" w:tentative="1">
      <w:start w:val="1"/>
      <w:numFmt w:val="lowerRoman"/>
      <w:lvlText w:val="%3."/>
      <w:lvlJc w:val="right"/>
      <w:pPr>
        <w:ind w:left="2160" w:hanging="180"/>
      </w:pPr>
    </w:lvl>
    <w:lvl w:ilvl="3" w:tplc="511E7B0A" w:tentative="1">
      <w:start w:val="1"/>
      <w:numFmt w:val="decimal"/>
      <w:lvlText w:val="%4."/>
      <w:lvlJc w:val="left"/>
      <w:pPr>
        <w:ind w:left="2880" w:hanging="360"/>
      </w:pPr>
    </w:lvl>
    <w:lvl w:ilvl="4" w:tplc="9ADC6AF2" w:tentative="1">
      <w:start w:val="1"/>
      <w:numFmt w:val="lowerLetter"/>
      <w:lvlText w:val="%5."/>
      <w:lvlJc w:val="left"/>
      <w:pPr>
        <w:ind w:left="3600" w:hanging="360"/>
      </w:pPr>
    </w:lvl>
    <w:lvl w:ilvl="5" w:tplc="2A92943E" w:tentative="1">
      <w:start w:val="1"/>
      <w:numFmt w:val="lowerRoman"/>
      <w:lvlText w:val="%6."/>
      <w:lvlJc w:val="right"/>
      <w:pPr>
        <w:ind w:left="4320" w:hanging="180"/>
      </w:pPr>
    </w:lvl>
    <w:lvl w:ilvl="6" w:tplc="A0DA31E6" w:tentative="1">
      <w:start w:val="1"/>
      <w:numFmt w:val="decimal"/>
      <w:lvlText w:val="%7."/>
      <w:lvlJc w:val="left"/>
      <w:pPr>
        <w:ind w:left="5040" w:hanging="360"/>
      </w:pPr>
    </w:lvl>
    <w:lvl w:ilvl="7" w:tplc="C8E22A62" w:tentative="1">
      <w:start w:val="1"/>
      <w:numFmt w:val="lowerLetter"/>
      <w:lvlText w:val="%8."/>
      <w:lvlJc w:val="left"/>
      <w:pPr>
        <w:ind w:left="5760" w:hanging="360"/>
      </w:pPr>
    </w:lvl>
    <w:lvl w:ilvl="8" w:tplc="43F21EEC" w:tentative="1">
      <w:start w:val="1"/>
      <w:numFmt w:val="lowerRoman"/>
      <w:lvlText w:val="%9."/>
      <w:lvlJc w:val="right"/>
      <w:pPr>
        <w:ind w:left="6480" w:hanging="180"/>
      </w:pPr>
    </w:lvl>
  </w:abstractNum>
  <w:abstractNum w:abstractNumId="39" w15:restartNumberingAfterBreak="0">
    <w:nsid w:val="706C3A38"/>
    <w:multiLevelType w:val="multilevel"/>
    <w:tmpl w:val="6A1AE27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0" w15:restartNumberingAfterBreak="0">
    <w:nsid w:val="70E72190"/>
    <w:multiLevelType w:val="hybridMultilevel"/>
    <w:tmpl w:val="DF20496C"/>
    <w:lvl w:ilvl="0" w:tplc="5F5CD708">
      <w:start w:val="1"/>
      <w:numFmt w:val="decimal"/>
      <w:lvlText w:val="%1."/>
      <w:lvlJc w:val="left"/>
      <w:pPr>
        <w:ind w:left="720" w:hanging="360"/>
      </w:pPr>
      <w:rPr>
        <w:rFonts w:hint="default"/>
      </w:rPr>
    </w:lvl>
    <w:lvl w:ilvl="1" w:tplc="D20EDD84" w:tentative="1">
      <w:start w:val="1"/>
      <w:numFmt w:val="lowerLetter"/>
      <w:lvlText w:val="%2."/>
      <w:lvlJc w:val="left"/>
      <w:pPr>
        <w:ind w:left="1440" w:hanging="360"/>
      </w:pPr>
    </w:lvl>
    <w:lvl w:ilvl="2" w:tplc="C450B31C" w:tentative="1">
      <w:start w:val="1"/>
      <w:numFmt w:val="lowerRoman"/>
      <w:lvlText w:val="%3."/>
      <w:lvlJc w:val="right"/>
      <w:pPr>
        <w:ind w:left="2160" w:hanging="180"/>
      </w:pPr>
    </w:lvl>
    <w:lvl w:ilvl="3" w:tplc="DA661514" w:tentative="1">
      <w:start w:val="1"/>
      <w:numFmt w:val="decimal"/>
      <w:lvlText w:val="%4."/>
      <w:lvlJc w:val="left"/>
      <w:pPr>
        <w:ind w:left="2880" w:hanging="360"/>
      </w:pPr>
    </w:lvl>
    <w:lvl w:ilvl="4" w:tplc="07A469BE" w:tentative="1">
      <w:start w:val="1"/>
      <w:numFmt w:val="lowerLetter"/>
      <w:lvlText w:val="%5."/>
      <w:lvlJc w:val="left"/>
      <w:pPr>
        <w:ind w:left="3600" w:hanging="360"/>
      </w:pPr>
    </w:lvl>
    <w:lvl w:ilvl="5" w:tplc="23A4C6EC" w:tentative="1">
      <w:start w:val="1"/>
      <w:numFmt w:val="lowerRoman"/>
      <w:lvlText w:val="%6."/>
      <w:lvlJc w:val="right"/>
      <w:pPr>
        <w:ind w:left="4320" w:hanging="180"/>
      </w:pPr>
    </w:lvl>
    <w:lvl w:ilvl="6" w:tplc="E9945410" w:tentative="1">
      <w:start w:val="1"/>
      <w:numFmt w:val="decimal"/>
      <w:lvlText w:val="%7."/>
      <w:lvlJc w:val="left"/>
      <w:pPr>
        <w:ind w:left="5040" w:hanging="360"/>
      </w:pPr>
    </w:lvl>
    <w:lvl w:ilvl="7" w:tplc="540A688E" w:tentative="1">
      <w:start w:val="1"/>
      <w:numFmt w:val="lowerLetter"/>
      <w:lvlText w:val="%8."/>
      <w:lvlJc w:val="left"/>
      <w:pPr>
        <w:ind w:left="5760" w:hanging="360"/>
      </w:pPr>
    </w:lvl>
    <w:lvl w:ilvl="8" w:tplc="7CD45C14" w:tentative="1">
      <w:start w:val="1"/>
      <w:numFmt w:val="lowerRoman"/>
      <w:lvlText w:val="%9."/>
      <w:lvlJc w:val="right"/>
      <w:pPr>
        <w:ind w:left="6480" w:hanging="180"/>
      </w:pPr>
    </w:lvl>
  </w:abstractNum>
  <w:abstractNum w:abstractNumId="41" w15:restartNumberingAfterBreak="0">
    <w:nsid w:val="73845DEF"/>
    <w:multiLevelType w:val="hybridMultilevel"/>
    <w:tmpl w:val="E40C21F4"/>
    <w:lvl w:ilvl="0" w:tplc="A67C7634">
      <w:start w:val="1"/>
      <w:numFmt w:val="decimal"/>
      <w:lvlText w:val="%1."/>
      <w:lvlJc w:val="left"/>
      <w:pPr>
        <w:ind w:left="720" w:hanging="360"/>
      </w:pPr>
      <w:rPr>
        <w:rFonts w:hint="default"/>
      </w:rPr>
    </w:lvl>
    <w:lvl w:ilvl="1" w:tplc="2B7458D0" w:tentative="1">
      <w:start w:val="1"/>
      <w:numFmt w:val="lowerLetter"/>
      <w:lvlText w:val="%2."/>
      <w:lvlJc w:val="left"/>
      <w:pPr>
        <w:ind w:left="1440" w:hanging="360"/>
      </w:pPr>
    </w:lvl>
    <w:lvl w:ilvl="2" w:tplc="8334CDCE" w:tentative="1">
      <w:start w:val="1"/>
      <w:numFmt w:val="lowerRoman"/>
      <w:lvlText w:val="%3."/>
      <w:lvlJc w:val="right"/>
      <w:pPr>
        <w:ind w:left="2160" w:hanging="180"/>
      </w:pPr>
    </w:lvl>
    <w:lvl w:ilvl="3" w:tplc="DD5825A8" w:tentative="1">
      <w:start w:val="1"/>
      <w:numFmt w:val="decimal"/>
      <w:lvlText w:val="%4."/>
      <w:lvlJc w:val="left"/>
      <w:pPr>
        <w:ind w:left="2880" w:hanging="360"/>
      </w:pPr>
    </w:lvl>
    <w:lvl w:ilvl="4" w:tplc="F50672DC" w:tentative="1">
      <w:start w:val="1"/>
      <w:numFmt w:val="lowerLetter"/>
      <w:lvlText w:val="%5."/>
      <w:lvlJc w:val="left"/>
      <w:pPr>
        <w:ind w:left="3600" w:hanging="360"/>
      </w:pPr>
    </w:lvl>
    <w:lvl w:ilvl="5" w:tplc="F7B6ACD4" w:tentative="1">
      <w:start w:val="1"/>
      <w:numFmt w:val="lowerRoman"/>
      <w:lvlText w:val="%6."/>
      <w:lvlJc w:val="right"/>
      <w:pPr>
        <w:ind w:left="4320" w:hanging="180"/>
      </w:pPr>
    </w:lvl>
    <w:lvl w:ilvl="6" w:tplc="E8627EC8" w:tentative="1">
      <w:start w:val="1"/>
      <w:numFmt w:val="decimal"/>
      <w:lvlText w:val="%7."/>
      <w:lvlJc w:val="left"/>
      <w:pPr>
        <w:ind w:left="5040" w:hanging="360"/>
      </w:pPr>
    </w:lvl>
    <w:lvl w:ilvl="7" w:tplc="592A046A" w:tentative="1">
      <w:start w:val="1"/>
      <w:numFmt w:val="lowerLetter"/>
      <w:lvlText w:val="%8."/>
      <w:lvlJc w:val="left"/>
      <w:pPr>
        <w:ind w:left="5760" w:hanging="360"/>
      </w:pPr>
    </w:lvl>
    <w:lvl w:ilvl="8" w:tplc="B97C4BC8" w:tentative="1">
      <w:start w:val="1"/>
      <w:numFmt w:val="lowerRoman"/>
      <w:lvlText w:val="%9."/>
      <w:lvlJc w:val="right"/>
      <w:pPr>
        <w:ind w:left="6480" w:hanging="180"/>
      </w:pPr>
    </w:lvl>
  </w:abstractNum>
  <w:abstractNum w:abstractNumId="42" w15:restartNumberingAfterBreak="0">
    <w:nsid w:val="75E52809"/>
    <w:multiLevelType w:val="hybridMultilevel"/>
    <w:tmpl w:val="7046A656"/>
    <w:lvl w:ilvl="0" w:tplc="0B78609A">
      <w:start w:val="1"/>
      <w:numFmt w:val="decimal"/>
      <w:lvlText w:val="%1."/>
      <w:lvlJc w:val="left"/>
      <w:pPr>
        <w:ind w:left="360" w:hanging="360"/>
      </w:pPr>
      <w:rPr>
        <w:rFonts w:hint="default"/>
        <w:b w:val="0"/>
        <w:bCs w:val="0"/>
      </w:rPr>
    </w:lvl>
    <w:lvl w:ilvl="1" w:tplc="6DE43606">
      <w:start w:val="1"/>
      <w:numFmt w:val="lowerLetter"/>
      <w:lvlText w:val="%2."/>
      <w:lvlJc w:val="left"/>
      <w:pPr>
        <w:ind w:left="1440" w:hanging="360"/>
      </w:pPr>
    </w:lvl>
    <w:lvl w:ilvl="2" w:tplc="FAECB698" w:tentative="1">
      <w:start w:val="1"/>
      <w:numFmt w:val="lowerRoman"/>
      <w:lvlText w:val="%3."/>
      <w:lvlJc w:val="right"/>
      <w:pPr>
        <w:ind w:left="2160" w:hanging="180"/>
      </w:pPr>
    </w:lvl>
    <w:lvl w:ilvl="3" w:tplc="579C6320" w:tentative="1">
      <w:start w:val="1"/>
      <w:numFmt w:val="decimal"/>
      <w:lvlText w:val="%4."/>
      <w:lvlJc w:val="left"/>
      <w:pPr>
        <w:ind w:left="2880" w:hanging="360"/>
      </w:pPr>
    </w:lvl>
    <w:lvl w:ilvl="4" w:tplc="1ED668C4" w:tentative="1">
      <w:start w:val="1"/>
      <w:numFmt w:val="lowerLetter"/>
      <w:lvlText w:val="%5."/>
      <w:lvlJc w:val="left"/>
      <w:pPr>
        <w:ind w:left="3600" w:hanging="360"/>
      </w:pPr>
    </w:lvl>
    <w:lvl w:ilvl="5" w:tplc="B428EB46" w:tentative="1">
      <w:start w:val="1"/>
      <w:numFmt w:val="lowerRoman"/>
      <w:lvlText w:val="%6."/>
      <w:lvlJc w:val="right"/>
      <w:pPr>
        <w:ind w:left="4320" w:hanging="180"/>
      </w:pPr>
    </w:lvl>
    <w:lvl w:ilvl="6" w:tplc="A1829D06" w:tentative="1">
      <w:start w:val="1"/>
      <w:numFmt w:val="decimal"/>
      <w:lvlText w:val="%7."/>
      <w:lvlJc w:val="left"/>
      <w:pPr>
        <w:ind w:left="5040" w:hanging="360"/>
      </w:pPr>
    </w:lvl>
    <w:lvl w:ilvl="7" w:tplc="9330090E" w:tentative="1">
      <w:start w:val="1"/>
      <w:numFmt w:val="lowerLetter"/>
      <w:lvlText w:val="%8."/>
      <w:lvlJc w:val="left"/>
      <w:pPr>
        <w:ind w:left="5760" w:hanging="360"/>
      </w:pPr>
    </w:lvl>
    <w:lvl w:ilvl="8" w:tplc="D6E0F176" w:tentative="1">
      <w:start w:val="1"/>
      <w:numFmt w:val="lowerRoman"/>
      <w:lvlText w:val="%9."/>
      <w:lvlJc w:val="right"/>
      <w:pPr>
        <w:ind w:left="6480" w:hanging="180"/>
      </w:pPr>
    </w:lvl>
  </w:abstractNum>
  <w:abstractNum w:abstractNumId="43" w15:restartNumberingAfterBreak="0">
    <w:nsid w:val="7F077705"/>
    <w:multiLevelType w:val="hybridMultilevel"/>
    <w:tmpl w:val="1FBCEBAA"/>
    <w:lvl w:ilvl="0" w:tplc="1D2457CE">
      <w:start w:val="1"/>
      <w:numFmt w:val="decimal"/>
      <w:lvlText w:val="%1."/>
      <w:lvlJc w:val="left"/>
      <w:pPr>
        <w:ind w:left="720" w:hanging="360"/>
      </w:pPr>
      <w:rPr>
        <w:rFonts w:hint="default"/>
      </w:rPr>
    </w:lvl>
    <w:lvl w:ilvl="1" w:tplc="DBE43C6A" w:tentative="1">
      <w:start w:val="1"/>
      <w:numFmt w:val="lowerLetter"/>
      <w:lvlText w:val="%2."/>
      <w:lvlJc w:val="left"/>
      <w:pPr>
        <w:ind w:left="1440" w:hanging="360"/>
      </w:pPr>
    </w:lvl>
    <w:lvl w:ilvl="2" w:tplc="2356E04A" w:tentative="1">
      <w:start w:val="1"/>
      <w:numFmt w:val="lowerRoman"/>
      <w:lvlText w:val="%3."/>
      <w:lvlJc w:val="right"/>
      <w:pPr>
        <w:ind w:left="2160" w:hanging="180"/>
      </w:pPr>
    </w:lvl>
    <w:lvl w:ilvl="3" w:tplc="0BF046C8" w:tentative="1">
      <w:start w:val="1"/>
      <w:numFmt w:val="decimal"/>
      <w:lvlText w:val="%4."/>
      <w:lvlJc w:val="left"/>
      <w:pPr>
        <w:ind w:left="2880" w:hanging="360"/>
      </w:pPr>
    </w:lvl>
    <w:lvl w:ilvl="4" w:tplc="EB0241E8" w:tentative="1">
      <w:start w:val="1"/>
      <w:numFmt w:val="lowerLetter"/>
      <w:lvlText w:val="%5."/>
      <w:lvlJc w:val="left"/>
      <w:pPr>
        <w:ind w:left="3600" w:hanging="360"/>
      </w:pPr>
    </w:lvl>
    <w:lvl w:ilvl="5" w:tplc="D17C0612" w:tentative="1">
      <w:start w:val="1"/>
      <w:numFmt w:val="lowerRoman"/>
      <w:lvlText w:val="%6."/>
      <w:lvlJc w:val="right"/>
      <w:pPr>
        <w:ind w:left="4320" w:hanging="180"/>
      </w:pPr>
    </w:lvl>
    <w:lvl w:ilvl="6" w:tplc="20D4BC34" w:tentative="1">
      <w:start w:val="1"/>
      <w:numFmt w:val="decimal"/>
      <w:lvlText w:val="%7."/>
      <w:lvlJc w:val="left"/>
      <w:pPr>
        <w:ind w:left="5040" w:hanging="360"/>
      </w:pPr>
    </w:lvl>
    <w:lvl w:ilvl="7" w:tplc="B9F80B08" w:tentative="1">
      <w:start w:val="1"/>
      <w:numFmt w:val="lowerLetter"/>
      <w:lvlText w:val="%8."/>
      <w:lvlJc w:val="left"/>
      <w:pPr>
        <w:ind w:left="5760" w:hanging="360"/>
      </w:pPr>
    </w:lvl>
    <w:lvl w:ilvl="8" w:tplc="9C0CFB8A" w:tentative="1">
      <w:start w:val="1"/>
      <w:numFmt w:val="lowerRoman"/>
      <w:lvlText w:val="%9."/>
      <w:lvlJc w:val="right"/>
      <w:pPr>
        <w:ind w:left="6480" w:hanging="180"/>
      </w:pPr>
    </w:lvl>
  </w:abstractNum>
  <w:num w:numId="1">
    <w:abstractNumId w:val="30"/>
  </w:num>
  <w:num w:numId="2">
    <w:abstractNumId w:val="34"/>
  </w:num>
  <w:num w:numId="3">
    <w:abstractNumId w:val="27"/>
  </w:num>
  <w:num w:numId="4">
    <w:abstractNumId w:val="17"/>
  </w:num>
  <w:num w:numId="5">
    <w:abstractNumId w:val="24"/>
  </w:num>
  <w:num w:numId="6">
    <w:abstractNumId w:val="32"/>
  </w:num>
  <w:num w:numId="7">
    <w:abstractNumId w:val="19"/>
  </w:num>
  <w:num w:numId="8">
    <w:abstractNumId w:val="13"/>
  </w:num>
  <w:num w:numId="9">
    <w:abstractNumId w:val="28"/>
  </w:num>
  <w:num w:numId="10">
    <w:abstractNumId w:val="3"/>
  </w:num>
  <w:num w:numId="11">
    <w:abstractNumId w:val="41"/>
  </w:num>
  <w:num w:numId="12">
    <w:abstractNumId w:val="5"/>
  </w:num>
  <w:num w:numId="13">
    <w:abstractNumId w:val="4"/>
  </w:num>
  <w:num w:numId="14">
    <w:abstractNumId w:val="40"/>
  </w:num>
  <w:num w:numId="15">
    <w:abstractNumId w:val="37"/>
  </w:num>
  <w:num w:numId="16">
    <w:abstractNumId w:val="18"/>
  </w:num>
  <w:num w:numId="17">
    <w:abstractNumId w:val="20"/>
  </w:num>
  <w:num w:numId="18">
    <w:abstractNumId w:val="31"/>
  </w:num>
  <w:num w:numId="19">
    <w:abstractNumId w:val="15"/>
  </w:num>
  <w:num w:numId="20">
    <w:abstractNumId w:val="29"/>
  </w:num>
  <w:num w:numId="21">
    <w:abstractNumId w:val="0"/>
  </w:num>
  <w:num w:numId="22">
    <w:abstractNumId w:val="12"/>
  </w:num>
  <w:num w:numId="23">
    <w:abstractNumId w:val="14"/>
  </w:num>
  <w:num w:numId="24">
    <w:abstractNumId w:val="16"/>
  </w:num>
  <w:num w:numId="25">
    <w:abstractNumId w:val="22"/>
  </w:num>
  <w:num w:numId="26">
    <w:abstractNumId w:val="38"/>
  </w:num>
  <w:num w:numId="27">
    <w:abstractNumId w:val="16"/>
  </w:num>
  <w:num w:numId="28">
    <w:abstractNumId w:val="42"/>
  </w:num>
  <w:num w:numId="29">
    <w:abstractNumId w:val="22"/>
  </w:num>
  <w:num w:numId="30">
    <w:abstractNumId w:val="25"/>
  </w:num>
  <w:num w:numId="31">
    <w:abstractNumId w:val="26"/>
  </w:num>
  <w:num w:numId="32">
    <w:abstractNumId w:val="26"/>
  </w:num>
  <w:num w:numId="33">
    <w:abstractNumId w:val="6"/>
  </w:num>
  <w:num w:numId="34">
    <w:abstractNumId w:val="11"/>
  </w:num>
  <w:num w:numId="35">
    <w:abstractNumId w:val="33"/>
  </w:num>
  <w:num w:numId="36">
    <w:abstractNumId w:val="9"/>
  </w:num>
  <w:num w:numId="37">
    <w:abstractNumId w:val="36"/>
  </w:num>
  <w:num w:numId="38">
    <w:abstractNumId w:val="7"/>
  </w:num>
  <w:num w:numId="39">
    <w:abstractNumId w:val="35"/>
  </w:num>
  <w:num w:numId="40">
    <w:abstractNumId w:val="39"/>
  </w:num>
  <w:num w:numId="41">
    <w:abstractNumId w:val="10"/>
  </w:num>
  <w:num w:numId="42">
    <w:abstractNumId w:val="1"/>
  </w:num>
  <w:num w:numId="43">
    <w:abstractNumId w:val="2"/>
  </w:num>
  <w:num w:numId="44">
    <w:abstractNumId w:val="21"/>
  </w:num>
  <w:num w:numId="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3"/>
  </w:num>
  <w:num w:numId="47">
    <w:abstractNumId w:val="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GrammaticalErrors/>
  <w:defaultTabStop w:val="720"/>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534"/>
    <w:rsid w:val="000003E6"/>
    <w:rsid w:val="00001746"/>
    <w:rsid w:val="00002241"/>
    <w:rsid w:val="00002632"/>
    <w:rsid w:val="0000291C"/>
    <w:rsid w:val="00002CBD"/>
    <w:rsid w:val="000052EB"/>
    <w:rsid w:val="00005353"/>
    <w:rsid w:val="00005BDD"/>
    <w:rsid w:val="0000620A"/>
    <w:rsid w:val="000062FF"/>
    <w:rsid w:val="0000686D"/>
    <w:rsid w:val="0000746F"/>
    <w:rsid w:val="00007BF4"/>
    <w:rsid w:val="00010100"/>
    <w:rsid w:val="000101AE"/>
    <w:rsid w:val="000109D1"/>
    <w:rsid w:val="00010B76"/>
    <w:rsid w:val="000118C7"/>
    <w:rsid w:val="00011C86"/>
    <w:rsid w:val="00014025"/>
    <w:rsid w:val="0001411F"/>
    <w:rsid w:val="00014698"/>
    <w:rsid w:val="0001485E"/>
    <w:rsid w:val="00014914"/>
    <w:rsid w:val="00015ED6"/>
    <w:rsid w:val="00016042"/>
    <w:rsid w:val="0001643E"/>
    <w:rsid w:val="000167D9"/>
    <w:rsid w:val="00016E7D"/>
    <w:rsid w:val="000173C8"/>
    <w:rsid w:val="00017534"/>
    <w:rsid w:val="000205B5"/>
    <w:rsid w:val="00022623"/>
    <w:rsid w:val="000230C4"/>
    <w:rsid w:val="0002319B"/>
    <w:rsid w:val="000231C9"/>
    <w:rsid w:val="000237D8"/>
    <w:rsid w:val="00023A70"/>
    <w:rsid w:val="00023C84"/>
    <w:rsid w:val="00023F0D"/>
    <w:rsid w:val="0002411A"/>
    <w:rsid w:val="0002436A"/>
    <w:rsid w:val="000244B4"/>
    <w:rsid w:val="000257B7"/>
    <w:rsid w:val="000258F8"/>
    <w:rsid w:val="000273D7"/>
    <w:rsid w:val="00027CDB"/>
    <w:rsid w:val="00027DCC"/>
    <w:rsid w:val="000306D7"/>
    <w:rsid w:val="00031871"/>
    <w:rsid w:val="0003228A"/>
    <w:rsid w:val="000323BE"/>
    <w:rsid w:val="0003242A"/>
    <w:rsid w:val="000336AB"/>
    <w:rsid w:val="000340C9"/>
    <w:rsid w:val="00034D34"/>
    <w:rsid w:val="00035350"/>
    <w:rsid w:val="000354F1"/>
    <w:rsid w:val="00036307"/>
    <w:rsid w:val="00036710"/>
    <w:rsid w:val="00036859"/>
    <w:rsid w:val="0003747F"/>
    <w:rsid w:val="0004006D"/>
    <w:rsid w:val="0004067F"/>
    <w:rsid w:val="00040D38"/>
    <w:rsid w:val="00042F0A"/>
    <w:rsid w:val="00043701"/>
    <w:rsid w:val="00044045"/>
    <w:rsid w:val="0004480A"/>
    <w:rsid w:val="00044A7F"/>
    <w:rsid w:val="00044C15"/>
    <w:rsid w:val="000453DD"/>
    <w:rsid w:val="00045EE5"/>
    <w:rsid w:val="00047021"/>
    <w:rsid w:val="00047D51"/>
    <w:rsid w:val="00047F17"/>
    <w:rsid w:val="00051028"/>
    <w:rsid w:val="00051863"/>
    <w:rsid w:val="000518C9"/>
    <w:rsid w:val="000518E7"/>
    <w:rsid w:val="0005193F"/>
    <w:rsid w:val="00051BFD"/>
    <w:rsid w:val="00051E7F"/>
    <w:rsid w:val="00052CBB"/>
    <w:rsid w:val="00053813"/>
    <w:rsid w:val="00053853"/>
    <w:rsid w:val="00053A9F"/>
    <w:rsid w:val="0005495D"/>
    <w:rsid w:val="00054BC9"/>
    <w:rsid w:val="00054F26"/>
    <w:rsid w:val="0005535B"/>
    <w:rsid w:val="00056573"/>
    <w:rsid w:val="00056CA7"/>
    <w:rsid w:val="00057C46"/>
    <w:rsid w:val="00060E82"/>
    <w:rsid w:val="000612BB"/>
    <w:rsid w:val="000617D6"/>
    <w:rsid w:val="00061AC4"/>
    <w:rsid w:val="0006277C"/>
    <w:rsid w:val="00063241"/>
    <w:rsid w:val="0006350E"/>
    <w:rsid w:val="00063719"/>
    <w:rsid w:val="00064637"/>
    <w:rsid w:val="000647A9"/>
    <w:rsid w:val="00064B52"/>
    <w:rsid w:val="00065CE5"/>
    <w:rsid w:val="00066E71"/>
    <w:rsid w:val="00070CA2"/>
    <w:rsid w:val="00071965"/>
    <w:rsid w:val="00071DA2"/>
    <w:rsid w:val="000741EB"/>
    <w:rsid w:val="00074CB3"/>
    <w:rsid w:val="00075D63"/>
    <w:rsid w:val="000761E8"/>
    <w:rsid w:val="00076609"/>
    <w:rsid w:val="00076964"/>
    <w:rsid w:val="00077905"/>
    <w:rsid w:val="00077D94"/>
    <w:rsid w:val="00080E3B"/>
    <w:rsid w:val="00081EE8"/>
    <w:rsid w:val="0008204A"/>
    <w:rsid w:val="000829C6"/>
    <w:rsid w:val="00082C1C"/>
    <w:rsid w:val="0008355F"/>
    <w:rsid w:val="00083EC6"/>
    <w:rsid w:val="00085334"/>
    <w:rsid w:val="00085A7E"/>
    <w:rsid w:val="0008697C"/>
    <w:rsid w:val="00086EB5"/>
    <w:rsid w:val="00087BD6"/>
    <w:rsid w:val="00087EBC"/>
    <w:rsid w:val="00092B51"/>
    <w:rsid w:val="00093648"/>
    <w:rsid w:val="00093A40"/>
    <w:rsid w:val="00093D58"/>
    <w:rsid w:val="00094CAE"/>
    <w:rsid w:val="00095719"/>
    <w:rsid w:val="00095FFA"/>
    <w:rsid w:val="000961EB"/>
    <w:rsid w:val="00096B80"/>
    <w:rsid w:val="00096D94"/>
    <w:rsid w:val="00096FE3"/>
    <w:rsid w:val="000A077C"/>
    <w:rsid w:val="000A10DD"/>
    <w:rsid w:val="000A1BB7"/>
    <w:rsid w:val="000A30BD"/>
    <w:rsid w:val="000A3552"/>
    <w:rsid w:val="000A3C49"/>
    <w:rsid w:val="000A3CA0"/>
    <w:rsid w:val="000A449A"/>
    <w:rsid w:val="000A4C11"/>
    <w:rsid w:val="000A6015"/>
    <w:rsid w:val="000A6CA2"/>
    <w:rsid w:val="000A7D63"/>
    <w:rsid w:val="000B02A8"/>
    <w:rsid w:val="000B1DD3"/>
    <w:rsid w:val="000B2278"/>
    <w:rsid w:val="000B27AF"/>
    <w:rsid w:val="000B43D9"/>
    <w:rsid w:val="000B5333"/>
    <w:rsid w:val="000B5778"/>
    <w:rsid w:val="000B6297"/>
    <w:rsid w:val="000B62E9"/>
    <w:rsid w:val="000B656E"/>
    <w:rsid w:val="000B66BF"/>
    <w:rsid w:val="000B75E3"/>
    <w:rsid w:val="000C096D"/>
    <w:rsid w:val="000C0D68"/>
    <w:rsid w:val="000C1408"/>
    <w:rsid w:val="000C1D36"/>
    <w:rsid w:val="000C21EF"/>
    <w:rsid w:val="000C23EC"/>
    <w:rsid w:val="000C2460"/>
    <w:rsid w:val="000C32B7"/>
    <w:rsid w:val="000C3642"/>
    <w:rsid w:val="000C3B99"/>
    <w:rsid w:val="000C49F2"/>
    <w:rsid w:val="000C4C56"/>
    <w:rsid w:val="000C4DEB"/>
    <w:rsid w:val="000C5715"/>
    <w:rsid w:val="000C58EB"/>
    <w:rsid w:val="000C64AC"/>
    <w:rsid w:val="000C72CF"/>
    <w:rsid w:val="000C7322"/>
    <w:rsid w:val="000D108E"/>
    <w:rsid w:val="000D1300"/>
    <w:rsid w:val="000D205F"/>
    <w:rsid w:val="000D2901"/>
    <w:rsid w:val="000D396D"/>
    <w:rsid w:val="000D5788"/>
    <w:rsid w:val="000D71C8"/>
    <w:rsid w:val="000D752F"/>
    <w:rsid w:val="000D7BD9"/>
    <w:rsid w:val="000E094A"/>
    <w:rsid w:val="000E1579"/>
    <w:rsid w:val="000E2FD6"/>
    <w:rsid w:val="000E32BC"/>
    <w:rsid w:val="000E394F"/>
    <w:rsid w:val="000E4B4D"/>
    <w:rsid w:val="000E5919"/>
    <w:rsid w:val="000E5C15"/>
    <w:rsid w:val="000E6250"/>
    <w:rsid w:val="000E7104"/>
    <w:rsid w:val="000E7197"/>
    <w:rsid w:val="000F00C5"/>
    <w:rsid w:val="000F1031"/>
    <w:rsid w:val="000F1566"/>
    <w:rsid w:val="000F1A93"/>
    <w:rsid w:val="000F203F"/>
    <w:rsid w:val="000F3A5E"/>
    <w:rsid w:val="000F49F4"/>
    <w:rsid w:val="000F6349"/>
    <w:rsid w:val="000F6542"/>
    <w:rsid w:val="000F6E28"/>
    <w:rsid w:val="00100683"/>
    <w:rsid w:val="00100A4C"/>
    <w:rsid w:val="00100B0E"/>
    <w:rsid w:val="00100B2C"/>
    <w:rsid w:val="00100C1D"/>
    <w:rsid w:val="00103004"/>
    <w:rsid w:val="001032B6"/>
    <w:rsid w:val="001035B8"/>
    <w:rsid w:val="00104048"/>
    <w:rsid w:val="00104205"/>
    <w:rsid w:val="00104A0F"/>
    <w:rsid w:val="00107497"/>
    <w:rsid w:val="00107AF1"/>
    <w:rsid w:val="00110A21"/>
    <w:rsid w:val="00110C8C"/>
    <w:rsid w:val="001140A3"/>
    <w:rsid w:val="00114B44"/>
    <w:rsid w:val="001167E2"/>
    <w:rsid w:val="00117655"/>
    <w:rsid w:val="0011768D"/>
    <w:rsid w:val="00120D1B"/>
    <w:rsid w:val="00121080"/>
    <w:rsid w:val="0012409E"/>
    <w:rsid w:val="00124485"/>
    <w:rsid w:val="001253EA"/>
    <w:rsid w:val="00125BEF"/>
    <w:rsid w:val="001265DC"/>
    <w:rsid w:val="001265DE"/>
    <w:rsid w:val="00127C6A"/>
    <w:rsid w:val="00131862"/>
    <w:rsid w:val="00131EAA"/>
    <w:rsid w:val="0013264E"/>
    <w:rsid w:val="00132735"/>
    <w:rsid w:val="001336E4"/>
    <w:rsid w:val="00134232"/>
    <w:rsid w:val="001349F8"/>
    <w:rsid w:val="00134FC0"/>
    <w:rsid w:val="00135442"/>
    <w:rsid w:val="00135629"/>
    <w:rsid w:val="00135F91"/>
    <w:rsid w:val="00136692"/>
    <w:rsid w:val="001371E2"/>
    <w:rsid w:val="00137669"/>
    <w:rsid w:val="00137D1F"/>
    <w:rsid w:val="00140F40"/>
    <w:rsid w:val="001416BC"/>
    <w:rsid w:val="001426D1"/>
    <w:rsid w:val="00143242"/>
    <w:rsid w:val="0014400B"/>
    <w:rsid w:val="00144D5B"/>
    <w:rsid w:val="0014691B"/>
    <w:rsid w:val="00146CCB"/>
    <w:rsid w:val="00147E2D"/>
    <w:rsid w:val="00150155"/>
    <w:rsid w:val="00150C29"/>
    <w:rsid w:val="0015146A"/>
    <w:rsid w:val="00151BC6"/>
    <w:rsid w:val="00152D63"/>
    <w:rsid w:val="00152DB9"/>
    <w:rsid w:val="00153211"/>
    <w:rsid w:val="00153E33"/>
    <w:rsid w:val="00154AE8"/>
    <w:rsid w:val="00156D06"/>
    <w:rsid w:val="0015708D"/>
    <w:rsid w:val="00157BBA"/>
    <w:rsid w:val="00160206"/>
    <w:rsid w:val="001604E5"/>
    <w:rsid w:val="00161BC4"/>
    <w:rsid w:val="00162F69"/>
    <w:rsid w:val="001634E2"/>
    <w:rsid w:val="001636D3"/>
    <w:rsid w:val="00163D96"/>
    <w:rsid w:val="001643E7"/>
    <w:rsid w:val="00164736"/>
    <w:rsid w:val="0016481A"/>
    <w:rsid w:val="001661EA"/>
    <w:rsid w:val="0016633F"/>
    <w:rsid w:val="0016657B"/>
    <w:rsid w:val="0016671E"/>
    <w:rsid w:val="00166E90"/>
    <w:rsid w:val="00167ABA"/>
    <w:rsid w:val="0017056A"/>
    <w:rsid w:val="00171B00"/>
    <w:rsid w:val="0017260A"/>
    <w:rsid w:val="00173C14"/>
    <w:rsid w:val="00174435"/>
    <w:rsid w:val="00174B1F"/>
    <w:rsid w:val="00174E63"/>
    <w:rsid w:val="00175347"/>
    <w:rsid w:val="0017650A"/>
    <w:rsid w:val="00176868"/>
    <w:rsid w:val="00176C85"/>
    <w:rsid w:val="001777A9"/>
    <w:rsid w:val="0018039C"/>
    <w:rsid w:val="00180641"/>
    <w:rsid w:val="00180CED"/>
    <w:rsid w:val="00181F76"/>
    <w:rsid w:val="00182A03"/>
    <w:rsid w:val="00182F88"/>
    <w:rsid w:val="00183EF2"/>
    <w:rsid w:val="00184F55"/>
    <w:rsid w:val="00185642"/>
    <w:rsid w:val="001856A4"/>
    <w:rsid w:val="00185C31"/>
    <w:rsid w:val="00186A5A"/>
    <w:rsid w:val="00187739"/>
    <w:rsid w:val="00190294"/>
    <w:rsid w:val="00190962"/>
    <w:rsid w:val="00192388"/>
    <w:rsid w:val="0019280E"/>
    <w:rsid w:val="00193116"/>
    <w:rsid w:val="00193232"/>
    <w:rsid w:val="00193FB5"/>
    <w:rsid w:val="00194563"/>
    <w:rsid w:val="0019509C"/>
    <w:rsid w:val="00195151"/>
    <w:rsid w:val="0019551F"/>
    <w:rsid w:val="0019774C"/>
    <w:rsid w:val="001A06D1"/>
    <w:rsid w:val="001A07A3"/>
    <w:rsid w:val="001A1729"/>
    <w:rsid w:val="001A2E9E"/>
    <w:rsid w:val="001A3510"/>
    <w:rsid w:val="001A3649"/>
    <w:rsid w:val="001A4950"/>
    <w:rsid w:val="001A4D85"/>
    <w:rsid w:val="001A5923"/>
    <w:rsid w:val="001A5A4C"/>
    <w:rsid w:val="001A5AD4"/>
    <w:rsid w:val="001A5FAC"/>
    <w:rsid w:val="001A616D"/>
    <w:rsid w:val="001A7128"/>
    <w:rsid w:val="001A7387"/>
    <w:rsid w:val="001B0064"/>
    <w:rsid w:val="001B0B49"/>
    <w:rsid w:val="001B0FA3"/>
    <w:rsid w:val="001B103B"/>
    <w:rsid w:val="001B212D"/>
    <w:rsid w:val="001B5441"/>
    <w:rsid w:val="001B5B25"/>
    <w:rsid w:val="001C0985"/>
    <w:rsid w:val="001C0E22"/>
    <w:rsid w:val="001C1916"/>
    <w:rsid w:val="001C1968"/>
    <w:rsid w:val="001C2176"/>
    <w:rsid w:val="001C2EE1"/>
    <w:rsid w:val="001C4B2D"/>
    <w:rsid w:val="001C55C3"/>
    <w:rsid w:val="001C5E7A"/>
    <w:rsid w:val="001C5EB9"/>
    <w:rsid w:val="001C7B41"/>
    <w:rsid w:val="001C7E27"/>
    <w:rsid w:val="001C7F42"/>
    <w:rsid w:val="001D0822"/>
    <w:rsid w:val="001D0B0E"/>
    <w:rsid w:val="001D1F2C"/>
    <w:rsid w:val="001D3D03"/>
    <w:rsid w:val="001D3D15"/>
    <w:rsid w:val="001D3D22"/>
    <w:rsid w:val="001D4088"/>
    <w:rsid w:val="001D413A"/>
    <w:rsid w:val="001D492F"/>
    <w:rsid w:val="001D49BD"/>
    <w:rsid w:val="001D5027"/>
    <w:rsid w:val="001D543B"/>
    <w:rsid w:val="001D6769"/>
    <w:rsid w:val="001D67C5"/>
    <w:rsid w:val="001D6E33"/>
    <w:rsid w:val="001D779F"/>
    <w:rsid w:val="001D7EA0"/>
    <w:rsid w:val="001E018E"/>
    <w:rsid w:val="001E01BB"/>
    <w:rsid w:val="001E0AE4"/>
    <w:rsid w:val="001E12FA"/>
    <w:rsid w:val="001E19E9"/>
    <w:rsid w:val="001E1A50"/>
    <w:rsid w:val="001E239A"/>
    <w:rsid w:val="001E2E61"/>
    <w:rsid w:val="001E3295"/>
    <w:rsid w:val="001E3545"/>
    <w:rsid w:val="001E3ADD"/>
    <w:rsid w:val="001E5255"/>
    <w:rsid w:val="001E592B"/>
    <w:rsid w:val="001E5984"/>
    <w:rsid w:val="001E612E"/>
    <w:rsid w:val="001E6A52"/>
    <w:rsid w:val="001E6ACF"/>
    <w:rsid w:val="001F05F5"/>
    <w:rsid w:val="001F101F"/>
    <w:rsid w:val="001F10D0"/>
    <w:rsid w:val="001F16D7"/>
    <w:rsid w:val="001F1A0E"/>
    <w:rsid w:val="001F26D3"/>
    <w:rsid w:val="001F2B37"/>
    <w:rsid w:val="001F37CE"/>
    <w:rsid w:val="001F4867"/>
    <w:rsid w:val="001F6938"/>
    <w:rsid w:val="00200B1D"/>
    <w:rsid w:val="00200BA5"/>
    <w:rsid w:val="002010D3"/>
    <w:rsid w:val="0020110E"/>
    <w:rsid w:val="0020142B"/>
    <w:rsid w:val="0020157F"/>
    <w:rsid w:val="00203213"/>
    <w:rsid w:val="002036F8"/>
    <w:rsid w:val="0020497B"/>
    <w:rsid w:val="00204ED5"/>
    <w:rsid w:val="00206122"/>
    <w:rsid w:val="00207A79"/>
    <w:rsid w:val="00207FD1"/>
    <w:rsid w:val="00210DDC"/>
    <w:rsid w:val="00210E8A"/>
    <w:rsid w:val="0021253C"/>
    <w:rsid w:val="002125CB"/>
    <w:rsid w:val="00212688"/>
    <w:rsid w:val="00212EB2"/>
    <w:rsid w:val="00212F99"/>
    <w:rsid w:val="00214401"/>
    <w:rsid w:val="0021445F"/>
    <w:rsid w:val="00214741"/>
    <w:rsid w:val="00215435"/>
    <w:rsid w:val="00215EC2"/>
    <w:rsid w:val="0021645B"/>
    <w:rsid w:val="00216997"/>
    <w:rsid w:val="00217E6A"/>
    <w:rsid w:val="002207CB"/>
    <w:rsid w:val="00220A8E"/>
    <w:rsid w:val="00220F11"/>
    <w:rsid w:val="00220F36"/>
    <w:rsid w:val="00221D1F"/>
    <w:rsid w:val="00221F88"/>
    <w:rsid w:val="002221DC"/>
    <w:rsid w:val="002228FC"/>
    <w:rsid w:val="00223329"/>
    <w:rsid w:val="0022533D"/>
    <w:rsid w:val="0022539C"/>
    <w:rsid w:val="002263F5"/>
    <w:rsid w:val="00226F8F"/>
    <w:rsid w:val="0022704D"/>
    <w:rsid w:val="00227D0D"/>
    <w:rsid w:val="0023008C"/>
    <w:rsid w:val="00232160"/>
    <w:rsid w:val="00232DC3"/>
    <w:rsid w:val="002332A7"/>
    <w:rsid w:val="00233DB2"/>
    <w:rsid w:val="00234222"/>
    <w:rsid w:val="00234709"/>
    <w:rsid w:val="00234D6F"/>
    <w:rsid w:val="00234DE7"/>
    <w:rsid w:val="0023519B"/>
    <w:rsid w:val="002351F5"/>
    <w:rsid w:val="00236372"/>
    <w:rsid w:val="00236648"/>
    <w:rsid w:val="0023679A"/>
    <w:rsid w:val="00236A99"/>
    <w:rsid w:val="00236B5E"/>
    <w:rsid w:val="002373EC"/>
    <w:rsid w:val="00237C89"/>
    <w:rsid w:val="0024021B"/>
    <w:rsid w:val="002402D4"/>
    <w:rsid w:val="00240730"/>
    <w:rsid w:val="00240A61"/>
    <w:rsid w:val="00240A79"/>
    <w:rsid w:val="00240B10"/>
    <w:rsid w:val="00240FA4"/>
    <w:rsid w:val="00242318"/>
    <w:rsid w:val="00243816"/>
    <w:rsid w:val="00245F68"/>
    <w:rsid w:val="002468CD"/>
    <w:rsid w:val="0024693D"/>
    <w:rsid w:val="002470D8"/>
    <w:rsid w:val="0025000B"/>
    <w:rsid w:val="002500B8"/>
    <w:rsid w:val="002506EE"/>
    <w:rsid w:val="00251081"/>
    <w:rsid w:val="00251437"/>
    <w:rsid w:val="00251BC4"/>
    <w:rsid w:val="00251C4C"/>
    <w:rsid w:val="00253236"/>
    <w:rsid w:val="002540E1"/>
    <w:rsid w:val="00254A60"/>
    <w:rsid w:val="0025621C"/>
    <w:rsid w:val="00257C9B"/>
    <w:rsid w:val="00257CE8"/>
    <w:rsid w:val="00260954"/>
    <w:rsid w:val="00262DB7"/>
    <w:rsid w:val="00263B52"/>
    <w:rsid w:val="002643EC"/>
    <w:rsid w:val="0026479B"/>
    <w:rsid w:val="00265464"/>
    <w:rsid w:val="002657FD"/>
    <w:rsid w:val="00265B53"/>
    <w:rsid w:val="00265D2F"/>
    <w:rsid w:val="00266AEF"/>
    <w:rsid w:val="00270E9E"/>
    <w:rsid w:val="00271209"/>
    <w:rsid w:val="002723F8"/>
    <w:rsid w:val="00272604"/>
    <w:rsid w:val="002748DD"/>
    <w:rsid w:val="0027527F"/>
    <w:rsid w:val="002757EF"/>
    <w:rsid w:val="00275CF1"/>
    <w:rsid w:val="002766D9"/>
    <w:rsid w:val="00276BA3"/>
    <w:rsid w:val="00277713"/>
    <w:rsid w:val="00277ECE"/>
    <w:rsid w:val="00280255"/>
    <w:rsid w:val="002808D6"/>
    <w:rsid w:val="0028129E"/>
    <w:rsid w:val="002827B9"/>
    <w:rsid w:val="002830E7"/>
    <w:rsid w:val="002864C3"/>
    <w:rsid w:val="002879C5"/>
    <w:rsid w:val="00287B97"/>
    <w:rsid w:val="00290653"/>
    <w:rsid w:val="0029128B"/>
    <w:rsid w:val="002913BA"/>
    <w:rsid w:val="00291880"/>
    <w:rsid w:val="002919C9"/>
    <w:rsid w:val="00293140"/>
    <w:rsid w:val="0029333C"/>
    <w:rsid w:val="002942CA"/>
    <w:rsid w:val="00294368"/>
    <w:rsid w:val="00294791"/>
    <w:rsid w:val="00294AA1"/>
    <w:rsid w:val="00295128"/>
    <w:rsid w:val="0029606B"/>
    <w:rsid w:val="00296E43"/>
    <w:rsid w:val="0029712A"/>
    <w:rsid w:val="00297D5D"/>
    <w:rsid w:val="00297F93"/>
    <w:rsid w:val="00297FF2"/>
    <w:rsid w:val="002A00AA"/>
    <w:rsid w:val="002A0C06"/>
    <w:rsid w:val="002A0C6A"/>
    <w:rsid w:val="002A1309"/>
    <w:rsid w:val="002A1421"/>
    <w:rsid w:val="002A15B3"/>
    <w:rsid w:val="002A1A7D"/>
    <w:rsid w:val="002A1D0C"/>
    <w:rsid w:val="002A1DEA"/>
    <w:rsid w:val="002A2797"/>
    <w:rsid w:val="002A3030"/>
    <w:rsid w:val="002A3032"/>
    <w:rsid w:val="002A3827"/>
    <w:rsid w:val="002A3A91"/>
    <w:rsid w:val="002A4B9D"/>
    <w:rsid w:val="002A4EAA"/>
    <w:rsid w:val="002A53BE"/>
    <w:rsid w:val="002A5443"/>
    <w:rsid w:val="002A581D"/>
    <w:rsid w:val="002A7402"/>
    <w:rsid w:val="002A782E"/>
    <w:rsid w:val="002B0097"/>
    <w:rsid w:val="002B0AE2"/>
    <w:rsid w:val="002B2B52"/>
    <w:rsid w:val="002B2C5B"/>
    <w:rsid w:val="002B2D55"/>
    <w:rsid w:val="002B5AFA"/>
    <w:rsid w:val="002B6B73"/>
    <w:rsid w:val="002B6D92"/>
    <w:rsid w:val="002C0834"/>
    <w:rsid w:val="002C0AE9"/>
    <w:rsid w:val="002C0B74"/>
    <w:rsid w:val="002C1A9D"/>
    <w:rsid w:val="002C1CE5"/>
    <w:rsid w:val="002C2411"/>
    <w:rsid w:val="002C27BA"/>
    <w:rsid w:val="002C3E5E"/>
    <w:rsid w:val="002C4CFA"/>
    <w:rsid w:val="002C5C14"/>
    <w:rsid w:val="002C6FF4"/>
    <w:rsid w:val="002D008D"/>
    <w:rsid w:val="002D00AA"/>
    <w:rsid w:val="002D05DC"/>
    <w:rsid w:val="002D0682"/>
    <w:rsid w:val="002D0CA1"/>
    <w:rsid w:val="002D0CCF"/>
    <w:rsid w:val="002D0FED"/>
    <w:rsid w:val="002D143A"/>
    <w:rsid w:val="002D167D"/>
    <w:rsid w:val="002D1979"/>
    <w:rsid w:val="002D1F35"/>
    <w:rsid w:val="002D25A0"/>
    <w:rsid w:val="002D2D06"/>
    <w:rsid w:val="002D2E9E"/>
    <w:rsid w:val="002D3074"/>
    <w:rsid w:val="002D385A"/>
    <w:rsid w:val="002D3F2F"/>
    <w:rsid w:val="002D52B5"/>
    <w:rsid w:val="002D53F4"/>
    <w:rsid w:val="002D5F55"/>
    <w:rsid w:val="002D67FE"/>
    <w:rsid w:val="002D702B"/>
    <w:rsid w:val="002D711E"/>
    <w:rsid w:val="002D76ED"/>
    <w:rsid w:val="002D7D2D"/>
    <w:rsid w:val="002E0E3F"/>
    <w:rsid w:val="002E17FA"/>
    <w:rsid w:val="002E1ACD"/>
    <w:rsid w:val="002E2A49"/>
    <w:rsid w:val="002E3374"/>
    <w:rsid w:val="002E3376"/>
    <w:rsid w:val="002E3541"/>
    <w:rsid w:val="002E408B"/>
    <w:rsid w:val="002E50C3"/>
    <w:rsid w:val="002E6393"/>
    <w:rsid w:val="002E6A4E"/>
    <w:rsid w:val="002E6C89"/>
    <w:rsid w:val="002E6DC5"/>
    <w:rsid w:val="002E6DCD"/>
    <w:rsid w:val="002E6F6E"/>
    <w:rsid w:val="002F11A3"/>
    <w:rsid w:val="002F1613"/>
    <w:rsid w:val="002F172D"/>
    <w:rsid w:val="002F2283"/>
    <w:rsid w:val="002F34D4"/>
    <w:rsid w:val="002F38D9"/>
    <w:rsid w:val="002F3E31"/>
    <w:rsid w:val="002F4190"/>
    <w:rsid w:val="002F44B4"/>
    <w:rsid w:val="002F4752"/>
    <w:rsid w:val="002F4791"/>
    <w:rsid w:val="002F4C60"/>
    <w:rsid w:val="002F555E"/>
    <w:rsid w:val="002F7121"/>
    <w:rsid w:val="002F728E"/>
    <w:rsid w:val="002F768C"/>
    <w:rsid w:val="0030216F"/>
    <w:rsid w:val="0030269B"/>
    <w:rsid w:val="0030281F"/>
    <w:rsid w:val="003035BB"/>
    <w:rsid w:val="00303FCE"/>
    <w:rsid w:val="00303FD3"/>
    <w:rsid w:val="003049FF"/>
    <w:rsid w:val="00304CA4"/>
    <w:rsid w:val="00305699"/>
    <w:rsid w:val="00305F87"/>
    <w:rsid w:val="0030612D"/>
    <w:rsid w:val="003068A1"/>
    <w:rsid w:val="003074E9"/>
    <w:rsid w:val="003121C1"/>
    <w:rsid w:val="00312CB4"/>
    <w:rsid w:val="003134FB"/>
    <w:rsid w:val="003140D5"/>
    <w:rsid w:val="00314D96"/>
    <w:rsid w:val="00315113"/>
    <w:rsid w:val="00315C4B"/>
    <w:rsid w:val="00315D66"/>
    <w:rsid w:val="0031621B"/>
    <w:rsid w:val="00316FE6"/>
    <w:rsid w:val="003175E9"/>
    <w:rsid w:val="00320323"/>
    <w:rsid w:val="00320B49"/>
    <w:rsid w:val="00320B5C"/>
    <w:rsid w:val="00320BC3"/>
    <w:rsid w:val="003215CF"/>
    <w:rsid w:val="00321D01"/>
    <w:rsid w:val="00321F42"/>
    <w:rsid w:val="00321F6C"/>
    <w:rsid w:val="0032209A"/>
    <w:rsid w:val="0032223E"/>
    <w:rsid w:val="0032234A"/>
    <w:rsid w:val="00322A30"/>
    <w:rsid w:val="003230F1"/>
    <w:rsid w:val="003240A1"/>
    <w:rsid w:val="00324151"/>
    <w:rsid w:val="00324984"/>
    <w:rsid w:val="003256C8"/>
    <w:rsid w:val="00325FEF"/>
    <w:rsid w:val="00326800"/>
    <w:rsid w:val="003274E9"/>
    <w:rsid w:val="00327700"/>
    <w:rsid w:val="00327702"/>
    <w:rsid w:val="00327CA0"/>
    <w:rsid w:val="00331BF7"/>
    <w:rsid w:val="00332230"/>
    <w:rsid w:val="00332C0B"/>
    <w:rsid w:val="00333271"/>
    <w:rsid w:val="00333EBD"/>
    <w:rsid w:val="0033423C"/>
    <w:rsid w:val="003342D5"/>
    <w:rsid w:val="0033492C"/>
    <w:rsid w:val="003355DE"/>
    <w:rsid w:val="00335C4B"/>
    <w:rsid w:val="00335E5D"/>
    <w:rsid w:val="003361ED"/>
    <w:rsid w:val="003365C3"/>
    <w:rsid w:val="00337EB2"/>
    <w:rsid w:val="00337EBD"/>
    <w:rsid w:val="00340554"/>
    <w:rsid w:val="00340D3B"/>
    <w:rsid w:val="00340DAA"/>
    <w:rsid w:val="00341018"/>
    <w:rsid w:val="003416CF"/>
    <w:rsid w:val="00342947"/>
    <w:rsid w:val="003431F3"/>
    <w:rsid w:val="0034376B"/>
    <w:rsid w:val="00343CAC"/>
    <w:rsid w:val="00343CD4"/>
    <w:rsid w:val="0034422C"/>
    <w:rsid w:val="0034458F"/>
    <w:rsid w:val="00345690"/>
    <w:rsid w:val="003456D5"/>
    <w:rsid w:val="00345F7F"/>
    <w:rsid w:val="0034681E"/>
    <w:rsid w:val="00346EDA"/>
    <w:rsid w:val="00346F9F"/>
    <w:rsid w:val="00350237"/>
    <w:rsid w:val="003511C1"/>
    <w:rsid w:val="0035145C"/>
    <w:rsid w:val="003526A5"/>
    <w:rsid w:val="0035323D"/>
    <w:rsid w:val="00353738"/>
    <w:rsid w:val="0035571D"/>
    <w:rsid w:val="00356301"/>
    <w:rsid w:val="003600DE"/>
    <w:rsid w:val="003601D3"/>
    <w:rsid w:val="003603E0"/>
    <w:rsid w:val="003603E1"/>
    <w:rsid w:val="00360D01"/>
    <w:rsid w:val="00360E3E"/>
    <w:rsid w:val="0036167F"/>
    <w:rsid w:val="003616BE"/>
    <w:rsid w:val="00361BEF"/>
    <w:rsid w:val="00362155"/>
    <w:rsid w:val="00364D61"/>
    <w:rsid w:val="0036501B"/>
    <w:rsid w:val="0036523A"/>
    <w:rsid w:val="003667E1"/>
    <w:rsid w:val="0036694C"/>
    <w:rsid w:val="003677A3"/>
    <w:rsid w:val="00371AE7"/>
    <w:rsid w:val="00373224"/>
    <w:rsid w:val="0037328D"/>
    <w:rsid w:val="00373D51"/>
    <w:rsid w:val="00374952"/>
    <w:rsid w:val="00374AAA"/>
    <w:rsid w:val="00374F5C"/>
    <w:rsid w:val="00375EA7"/>
    <w:rsid w:val="003763B8"/>
    <w:rsid w:val="00376CEE"/>
    <w:rsid w:val="003775F2"/>
    <w:rsid w:val="0038054A"/>
    <w:rsid w:val="0038347C"/>
    <w:rsid w:val="00383D01"/>
    <w:rsid w:val="00384551"/>
    <w:rsid w:val="00384CDE"/>
    <w:rsid w:val="00385448"/>
    <w:rsid w:val="0038557D"/>
    <w:rsid w:val="0038627F"/>
    <w:rsid w:val="003879F7"/>
    <w:rsid w:val="0039059A"/>
    <w:rsid w:val="00390E42"/>
    <w:rsid w:val="00391AB2"/>
    <w:rsid w:val="0039393A"/>
    <w:rsid w:val="00393E5B"/>
    <w:rsid w:val="003958B0"/>
    <w:rsid w:val="00395EAA"/>
    <w:rsid w:val="00395EEF"/>
    <w:rsid w:val="0039763D"/>
    <w:rsid w:val="00397699"/>
    <w:rsid w:val="00397BF4"/>
    <w:rsid w:val="003A0129"/>
    <w:rsid w:val="003A13D9"/>
    <w:rsid w:val="003A1717"/>
    <w:rsid w:val="003A1C3A"/>
    <w:rsid w:val="003A1F64"/>
    <w:rsid w:val="003A229D"/>
    <w:rsid w:val="003A22F6"/>
    <w:rsid w:val="003A243C"/>
    <w:rsid w:val="003A2BA9"/>
    <w:rsid w:val="003A2F3D"/>
    <w:rsid w:val="003A3399"/>
    <w:rsid w:val="003A3C47"/>
    <w:rsid w:val="003A6767"/>
    <w:rsid w:val="003A6D7F"/>
    <w:rsid w:val="003A6DC6"/>
    <w:rsid w:val="003A6F04"/>
    <w:rsid w:val="003A70CB"/>
    <w:rsid w:val="003A7D62"/>
    <w:rsid w:val="003B081A"/>
    <w:rsid w:val="003B0A07"/>
    <w:rsid w:val="003B33C8"/>
    <w:rsid w:val="003B387B"/>
    <w:rsid w:val="003B3A6B"/>
    <w:rsid w:val="003B3D37"/>
    <w:rsid w:val="003B4985"/>
    <w:rsid w:val="003B68B3"/>
    <w:rsid w:val="003B6E04"/>
    <w:rsid w:val="003B72A4"/>
    <w:rsid w:val="003B78B5"/>
    <w:rsid w:val="003B7AD5"/>
    <w:rsid w:val="003B7EFE"/>
    <w:rsid w:val="003C1680"/>
    <w:rsid w:val="003C2199"/>
    <w:rsid w:val="003C2C23"/>
    <w:rsid w:val="003C3379"/>
    <w:rsid w:val="003C4B8D"/>
    <w:rsid w:val="003C525E"/>
    <w:rsid w:val="003C532A"/>
    <w:rsid w:val="003C62F4"/>
    <w:rsid w:val="003C67BC"/>
    <w:rsid w:val="003C76F9"/>
    <w:rsid w:val="003D0688"/>
    <w:rsid w:val="003D06BB"/>
    <w:rsid w:val="003D082F"/>
    <w:rsid w:val="003D20BE"/>
    <w:rsid w:val="003D20FD"/>
    <w:rsid w:val="003D22D0"/>
    <w:rsid w:val="003D2E5B"/>
    <w:rsid w:val="003D3105"/>
    <w:rsid w:val="003D3AF9"/>
    <w:rsid w:val="003D3E6E"/>
    <w:rsid w:val="003D473C"/>
    <w:rsid w:val="003D4C39"/>
    <w:rsid w:val="003D4C4A"/>
    <w:rsid w:val="003D4E65"/>
    <w:rsid w:val="003D5E69"/>
    <w:rsid w:val="003D7A37"/>
    <w:rsid w:val="003E11EE"/>
    <w:rsid w:val="003E160A"/>
    <w:rsid w:val="003E241D"/>
    <w:rsid w:val="003E4F59"/>
    <w:rsid w:val="003E55D2"/>
    <w:rsid w:val="003E55DF"/>
    <w:rsid w:val="003E5B4A"/>
    <w:rsid w:val="003E67B5"/>
    <w:rsid w:val="003E6D2F"/>
    <w:rsid w:val="003E7376"/>
    <w:rsid w:val="003E7922"/>
    <w:rsid w:val="003F03F5"/>
    <w:rsid w:val="003F0C49"/>
    <w:rsid w:val="003F0E1D"/>
    <w:rsid w:val="003F0F8F"/>
    <w:rsid w:val="003F1511"/>
    <w:rsid w:val="003F1DAA"/>
    <w:rsid w:val="003F4325"/>
    <w:rsid w:val="003F4FC7"/>
    <w:rsid w:val="003F53BA"/>
    <w:rsid w:val="003F581C"/>
    <w:rsid w:val="003F5844"/>
    <w:rsid w:val="003F68BC"/>
    <w:rsid w:val="003F733F"/>
    <w:rsid w:val="003F77C5"/>
    <w:rsid w:val="003F7E8B"/>
    <w:rsid w:val="00402E2F"/>
    <w:rsid w:val="004030A3"/>
    <w:rsid w:val="00403DD3"/>
    <w:rsid w:val="004045D4"/>
    <w:rsid w:val="00404641"/>
    <w:rsid w:val="00404DE0"/>
    <w:rsid w:val="004056FF"/>
    <w:rsid w:val="00405E99"/>
    <w:rsid w:val="0040650F"/>
    <w:rsid w:val="00406922"/>
    <w:rsid w:val="00406D9C"/>
    <w:rsid w:val="00406F96"/>
    <w:rsid w:val="00406FB4"/>
    <w:rsid w:val="00407543"/>
    <w:rsid w:val="00407B1E"/>
    <w:rsid w:val="004107F7"/>
    <w:rsid w:val="004110FE"/>
    <w:rsid w:val="00411F78"/>
    <w:rsid w:val="0041211C"/>
    <w:rsid w:val="00412A6C"/>
    <w:rsid w:val="0041306D"/>
    <w:rsid w:val="00413920"/>
    <w:rsid w:val="00413976"/>
    <w:rsid w:val="004140FD"/>
    <w:rsid w:val="00414248"/>
    <w:rsid w:val="004155B0"/>
    <w:rsid w:val="00415651"/>
    <w:rsid w:val="00415ACC"/>
    <w:rsid w:val="004162BA"/>
    <w:rsid w:val="00416BE9"/>
    <w:rsid w:val="00421BF8"/>
    <w:rsid w:val="00422FF2"/>
    <w:rsid w:val="004248FC"/>
    <w:rsid w:val="00424D9E"/>
    <w:rsid w:val="004259BF"/>
    <w:rsid w:val="00425EA2"/>
    <w:rsid w:val="00426B9A"/>
    <w:rsid w:val="004271F8"/>
    <w:rsid w:val="00431261"/>
    <w:rsid w:val="00431700"/>
    <w:rsid w:val="0043255F"/>
    <w:rsid w:val="004333CD"/>
    <w:rsid w:val="00433BF0"/>
    <w:rsid w:val="004340F4"/>
    <w:rsid w:val="00434120"/>
    <w:rsid w:val="004360F7"/>
    <w:rsid w:val="00436B1E"/>
    <w:rsid w:val="0043740C"/>
    <w:rsid w:val="00437586"/>
    <w:rsid w:val="00437A02"/>
    <w:rsid w:val="00437FB5"/>
    <w:rsid w:val="00437FB7"/>
    <w:rsid w:val="00440092"/>
    <w:rsid w:val="0044036A"/>
    <w:rsid w:val="004403B6"/>
    <w:rsid w:val="0044046E"/>
    <w:rsid w:val="004405AC"/>
    <w:rsid w:val="0044112F"/>
    <w:rsid w:val="00441E8D"/>
    <w:rsid w:val="00442304"/>
    <w:rsid w:val="004423E3"/>
    <w:rsid w:val="0044292A"/>
    <w:rsid w:val="00443604"/>
    <w:rsid w:val="00444E04"/>
    <w:rsid w:val="00445CC6"/>
    <w:rsid w:val="0044685E"/>
    <w:rsid w:val="00447CB6"/>
    <w:rsid w:val="00450EE4"/>
    <w:rsid w:val="00451F13"/>
    <w:rsid w:val="004529B3"/>
    <w:rsid w:val="0045393B"/>
    <w:rsid w:val="00453D5D"/>
    <w:rsid w:val="00454565"/>
    <w:rsid w:val="00457D33"/>
    <w:rsid w:val="00457FD9"/>
    <w:rsid w:val="004607D5"/>
    <w:rsid w:val="004607FB"/>
    <w:rsid w:val="0046086C"/>
    <w:rsid w:val="00460A75"/>
    <w:rsid w:val="00460A79"/>
    <w:rsid w:val="00460C13"/>
    <w:rsid w:val="00460E86"/>
    <w:rsid w:val="004626B2"/>
    <w:rsid w:val="00463DE7"/>
    <w:rsid w:val="0046454B"/>
    <w:rsid w:val="004666BD"/>
    <w:rsid w:val="00467151"/>
    <w:rsid w:val="00467CE1"/>
    <w:rsid w:val="00467D7C"/>
    <w:rsid w:val="00467FA9"/>
    <w:rsid w:val="004702AE"/>
    <w:rsid w:val="0047035A"/>
    <w:rsid w:val="00470A7D"/>
    <w:rsid w:val="00470BAF"/>
    <w:rsid w:val="00471AED"/>
    <w:rsid w:val="00471C81"/>
    <w:rsid w:val="00472A5A"/>
    <w:rsid w:val="004730E0"/>
    <w:rsid w:val="0047347E"/>
    <w:rsid w:val="00473837"/>
    <w:rsid w:val="00473D67"/>
    <w:rsid w:val="00473F81"/>
    <w:rsid w:val="00474D76"/>
    <w:rsid w:val="0047567A"/>
    <w:rsid w:val="004777F5"/>
    <w:rsid w:val="00480116"/>
    <w:rsid w:val="004823C1"/>
    <w:rsid w:val="0048290D"/>
    <w:rsid w:val="00483522"/>
    <w:rsid w:val="004836DE"/>
    <w:rsid w:val="00483A01"/>
    <w:rsid w:val="00483E36"/>
    <w:rsid w:val="00483F38"/>
    <w:rsid w:val="004849CC"/>
    <w:rsid w:val="0048569C"/>
    <w:rsid w:val="0048571F"/>
    <w:rsid w:val="00485B83"/>
    <w:rsid w:val="0048709B"/>
    <w:rsid w:val="00487358"/>
    <w:rsid w:val="00487AAC"/>
    <w:rsid w:val="00487E6C"/>
    <w:rsid w:val="00487EC2"/>
    <w:rsid w:val="00487EF9"/>
    <w:rsid w:val="0049008F"/>
    <w:rsid w:val="00490D6F"/>
    <w:rsid w:val="004918BE"/>
    <w:rsid w:val="004924FF"/>
    <w:rsid w:val="00493ABB"/>
    <w:rsid w:val="00493D50"/>
    <w:rsid w:val="00495367"/>
    <w:rsid w:val="00495A81"/>
    <w:rsid w:val="004A0C6B"/>
    <w:rsid w:val="004A12FB"/>
    <w:rsid w:val="004A13C8"/>
    <w:rsid w:val="004A16C5"/>
    <w:rsid w:val="004A1A14"/>
    <w:rsid w:val="004A1F75"/>
    <w:rsid w:val="004A248D"/>
    <w:rsid w:val="004A3467"/>
    <w:rsid w:val="004A3E56"/>
    <w:rsid w:val="004A3F15"/>
    <w:rsid w:val="004A42B1"/>
    <w:rsid w:val="004A4C2F"/>
    <w:rsid w:val="004A52A4"/>
    <w:rsid w:val="004A538E"/>
    <w:rsid w:val="004A5650"/>
    <w:rsid w:val="004A6A7D"/>
    <w:rsid w:val="004A6BCF"/>
    <w:rsid w:val="004A6E23"/>
    <w:rsid w:val="004A7019"/>
    <w:rsid w:val="004A79F3"/>
    <w:rsid w:val="004A7CA0"/>
    <w:rsid w:val="004B0DBC"/>
    <w:rsid w:val="004B0E0D"/>
    <w:rsid w:val="004B0FC6"/>
    <w:rsid w:val="004B135F"/>
    <w:rsid w:val="004B1FE3"/>
    <w:rsid w:val="004B245E"/>
    <w:rsid w:val="004B25DB"/>
    <w:rsid w:val="004B392D"/>
    <w:rsid w:val="004B3CC7"/>
    <w:rsid w:val="004B44D7"/>
    <w:rsid w:val="004B481C"/>
    <w:rsid w:val="004B4A7B"/>
    <w:rsid w:val="004B4B83"/>
    <w:rsid w:val="004B4D1B"/>
    <w:rsid w:val="004B50E8"/>
    <w:rsid w:val="004B53B4"/>
    <w:rsid w:val="004B60E0"/>
    <w:rsid w:val="004B6505"/>
    <w:rsid w:val="004B78A2"/>
    <w:rsid w:val="004C172E"/>
    <w:rsid w:val="004C1F26"/>
    <w:rsid w:val="004C274B"/>
    <w:rsid w:val="004C2D3B"/>
    <w:rsid w:val="004C2E46"/>
    <w:rsid w:val="004C410E"/>
    <w:rsid w:val="004C49F2"/>
    <w:rsid w:val="004C5447"/>
    <w:rsid w:val="004C5DCE"/>
    <w:rsid w:val="004C61F7"/>
    <w:rsid w:val="004C7658"/>
    <w:rsid w:val="004C7970"/>
    <w:rsid w:val="004C7B74"/>
    <w:rsid w:val="004D05DD"/>
    <w:rsid w:val="004D1563"/>
    <w:rsid w:val="004D2AA4"/>
    <w:rsid w:val="004D2B34"/>
    <w:rsid w:val="004D4116"/>
    <w:rsid w:val="004D4517"/>
    <w:rsid w:val="004D462B"/>
    <w:rsid w:val="004D4B62"/>
    <w:rsid w:val="004D4E20"/>
    <w:rsid w:val="004D5DCE"/>
    <w:rsid w:val="004D608F"/>
    <w:rsid w:val="004D6335"/>
    <w:rsid w:val="004D67FE"/>
    <w:rsid w:val="004D688E"/>
    <w:rsid w:val="004D6925"/>
    <w:rsid w:val="004D6966"/>
    <w:rsid w:val="004D721F"/>
    <w:rsid w:val="004D7E01"/>
    <w:rsid w:val="004D7ED2"/>
    <w:rsid w:val="004E0814"/>
    <w:rsid w:val="004E0CB0"/>
    <w:rsid w:val="004E10DA"/>
    <w:rsid w:val="004E1777"/>
    <w:rsid w:val="004E1AC6"/>
    <w:rsid w:val="004E2A51"/>
    <w:rsid w:val="004E2B6B"/>
    <w:rsid w:val="004E39A5"/>
    <w:rsid w:val="004E3A2A"/>
    <w:rsid w:val="004E5750"/>
    <w:rsid w:val="004E5B86"/>
    <w:rsid w:val="004E7230"/>
    <w:rsid w:val="004E7786"/>
    <w:rsid w:val="004E78C4"/>
    <w:rsid w:val="004E7C6B"/>
    <w:rsid w:val="004F0412"/>
    <w:rsid w:val="004F0E57"/>
    <w:rsid w:val="004F257F"/>
    <w:rsid w:val="004F295A"/>
    <w:rsid w:val="004F35C0"/>
    <w:rsid w:val="004F3AF7"/>
    <w:rsid w:val="004F3C09"/>
    <w:rsid w:val="004F418F"/>
    <w:rsid w:val="004F4BF7"/>
    <w:rsid w:val="004F4E58"/>
    <w:rsid w:val="004F5AF9"/>
    <w:rsid w:val="004F5D17"/>
    <w:rsid w:val="004F5F9F"/>
    <w:rsid w:val="004F663A"/>
    <w:rsid w:val="004F6783"/>
    <w:rsid w:val="004F6C83"/>
    <w:rsid w:val="004F7719"/>
    <w:rsid w:val="004F7DD9"/>
    <w:rsid w:val="005009A1"/>
    <w:rsid w:val="00500D7D"/>
    <w:rsid w:val="005010BC"/>
    <w:rsid w:val="00502795"/>
    <w:rsid w:val="005034FE"/>
    <w:rsid w:val="00503FF1"/>
    <w:rsid w:val="00504E0A"/>
    <w:rsid w:val="00505C4A"/>
    <w:rsid w:val="0050708B"/>
    <w:rsid w:val="00510732"/>
    <w:rsid w:val="00511042"/>
    <w:rsid w:val="00511C87"/>
    <w:rsid w:val="00512B0E"/>
    <w:rsid w:val="00512D1F"/>
    <w:rsid w:val="00513D8D"/>
    <w:rsid w:val="0051417D"/>
    <w:rsid w:val="0051426E"/>
    <w:rsid w:val="00515034"/>
    <w:rsid w:val="005154EA"/>
    <w:rsid w:val="0051615B"/>
    <w:rsid w:val="005162FB"/>
    <w:rsid w:val="00516A28"/>
    <w:rsid w:val="00520CCA"/>
    <w:rsid w:val="00521DFD"/>
    <w:rsid w:val="0052347A"/>
    <w:rsid w:val="005249BA"/>
    <w:rsid w:val="00524D16"/>
    <w:rsid w:val="0052511A"/>
    <w:rsid w:val="0052585F"/>
    <w:rsid w:val="00525E38"/>
    <w:rsid w:val="0052661A"/>
    <w:rsid w:val="00526882"/>
    <w:rsid w:val="00527372"/>
    <w:rsid w:val="00527616"/>
    <w:rsid w:val="0052793E"/>
    <w:rsid w:val="005302CB"/>
    <w:rsid w:val="00530564"/>
    <w:rsid w:val="00530893"/>
    <w:rsid w:val="0053106E"/>
    <w:rsid w:val="005316BA"/>
    <w:rsid w:val="005317AA"/>
    <w:rsid w:val="00531BB6"/>
    <w:rsid w:val="005320D6"/>
    <w:rsid w:val="0053241C"/>
    <w:rsid w:val="0053359A"/>
    <w:rsid w:val="005348A4"/>
    <w:rsid w:val="005366CC"/>
    <w:rsid w:val="00536A00"/>
    <w:rsid w:val="00541388"/>
    <w:rsid w:val="00541458"/>
    <w:rsid w:val="005415EB"/>
    <w:rsid w:val="0054246F"/>
    <w:rsid w:val="00542938"/>
    <w:rsid w:val="0054370E"/>
    <w:rsid w:val="0054387B"/>
    <w:rsid w:val="00544103"/>
    <w:rsid w:val="00545943"/>
    <w:rsid w:val="00546141"/>
    <w:rsid w:val="0054731A"/>
    <w:rsid w:val="00547D0B"/>
    <w:rsid w:val="00550200"/>
    <w:rsid w:val="00550A0A"/>
    <w:rsid w:val="00550A12"/>
    <w:rsid w:val="00550EA7"/>
    <w:rsid w:val="005510F6"/>
    <w:rsid w:val="0055149E"/>
    <w:rsid w:val="00551885"/>
    <w:rsid w:val="00552432"/>
    <w:rsid w:val="00553EC7"/>
    <w:rsid w:val="0055446C"/>
    <w:rsid w:val="005547B5"/>
    <w:rsid w:val="00554AEA"/>
    <w:rsid w:val="00554EAA"/>
    <w:rsid w:val="00555958"/>
    <w:rsid w:val="00556821"/>
    <w:rsid w:val="0056055C"/>
    <w:rsid w:val="005617DA"/>
    <w:rsid w:val="00563308"/>
    <w:rsid w:val="005650D8"/>
    <w:rsid w:val="00565297"/>
    <w:rsid w:val="005656C6"/>
    <w:rsid w:val="00566146"/>
    <w:rsid w:val="0056661F"/>
    <w:rsid w:val="00567891"/>
    <w:rsid w:val="0057039B"/>
    <w:rsid w:val="00570FDC"/>
    <w:rsid w:val="00572439"/>
    <w:rsid w:val="00573C77"/>
    <w:rsid w:val="00573DFB"/>
    <w:rsid w:val="00574806"/>
    <w:rsid w:val="005758DB"/>
    <w:rsid w:val="00575E81"/>
    <w:rsid w:val="0057704F"/>
    <w:rsid w:val="0057767F"/>
    <w:rsid w:val="00580398"/>
    <w:rsid w:val="00582A8B"/>
    <w:rsid w:val="00582B34"/>
    <w:rsid w:val="00582C2A"/>
    <w:rsid w:val="0058399C"/>
    <w:rsid w:val="00584142"/>
    <w:rsid w:val="0058424C"/>
    <w:rsid w:val="005846D9"/>
    <w:rsid w:val="00584BBA"/>
    <w:rsid w:val="00584E88"/>
    <w:rsid w:val="005852AC"/>
    <w:rsid w:val="00585A20"/>
    <w:rsid w:val="00586E19"/>
    <w:rsid w:val="00587907"/>
    <w:rsid w:val="00590026"/>
    <w:rsid w:val="005908F6"/>
    <w:rsid w:val="00590A70"/>
    <w:rsid w:val="00590F01"/>
    <w:rsid w:val="00590F0A"/>
    <w:rsid w:val="00591609"/>
    <w:rsid w:val="00591CFA"/>
    <w:rsid w:val="00591F9E"/>
    <w:rsid w:val="005923AD"/>
    <w:rsid w:val="005927A4"/>
    <w:rsid w:val="00592A79"/>
    <w:rsid w:val="00593497"/>
    <w:rsid w:val="0059391A"/>
    <w:rsid w:val="00593D4A"/>
    <w:rsid w:val="0059412D"/>
    <w:rsid w:val="00594534"/>
    <w:rsid w:val="005955B7"/>
    <w:rsid w:val="005956C6"/>
    <w:rsid w:val="00595B21"/>
    <w:rsid w:val="00595B4A"/>
    <w:rsid w:val="0059646B"/>
    <w:rsid w:val="0059756D"/>
    <w:rsid w:val="005975DC"/>
    <w:rsid w:val="005A03FE"/>
    <w:rsid w:val="005A0C82"/>
    <w:rsid w:val="005A0E5E"/>
    <w:rsid w:val="005A1371"/>
    <w:rsid w:val="005A1C7A"/>
    <w:rsid w:val="005A305A"/>
    <w:rsid w:val="005A37E0"/>
    <w:rsid w:val="005A3B7E"/>
    <w:rsid w:val="005A416B"/>
    <w:rsid w:val="005A5474"/>
    <w:rsid w:val="005A5642"/>
    <w:rsid w:val="005A5823"/>
    <w:rsid w:val="005A6F5C"/>
    <w:rsid w:val="005A78EE"/>
    <w:rsid w:val="005A7A38"/>
    <w:rsid w:val="005B0B10"/>
    <w:rsid w:val="005B1272"/>
    <w:rsid w:val="005B12F2"/>
    <w:rsid w:val="005B1A71"/>
    <w:rsid w:val="005B1ACD"/>
    <w:rsid w:val="005B1D3D"/>
    <w:rsid w:val="005B1FD0"/>
    <w:rsid w:val="005B2D57"/>
    <w:rsid w:val="005B2EEF"/>
    <w:rsid w:val="005B3BC2"/>
    <w:rsid w:val="005B5363"/>
    <w:rsid w:val="005B5439"/>
    <w:rsid w:val="005B590D"/>
    <w:rsid w:val="005B5EB1"/>
    <w:rsid w:val="005B6976"/>
    <w:rsid w:val="005B710A"/>
    <w:rsid w:val="005B73F3"/>
    <w:rsid w:val="005B788D"/>
    <w:rsid w:val="005C08F1"/>
    <w:rsid w:val="005C099A"/>
    <w:rsid w:val="005C2279"/>
    <w:rsid w:val="005C285B"/>
    <w:rsid w:val="005C285C"/>
    <w:rsid w:val="005C32F8"/>
    <w:rsid w:val="005C414E"/>
    <w:rsid w:val="005C4816"/>
    <w:rsid w:val="005C583D"/>
    <w:rsid w:val="005C70DB"/>
    <w:rsid w:val="005C7179"/>
    <w:rsid w:val="005C7426"/>
    <w:rsid w:val="005C7850"/>
    <w:rsid w:val="005D1662"/>
    <w:rsid w:val="005D2078"/>
    <w:rsid w:val="005D238F"/>
    <w:rsid w:val="005D31A3"/>
    <w:rsid w:val="005D5225"/>
    <w:rsid w:val="005D5B46"/>
    <w:rsid w:val="005E0522"/>
    <w:rsid w:val="005E0594"/>
    <w:rsid w:val="005E0D69"/>
    <w:rsid w:val="005E129F"/>
    <w:rsid w:val="005E1D8B"/>
    <w:rsid w:val="005E1DB8"/>
    <w:rsid w:val="005E240A"/>
    <w:rsid w:val="005E3D53"/>
    <w:rsid w:val="005E40B5"/>
    <w:rsid w:val="005E4C22"/>
    <w:rsid w:val="005E54A4"/>
    <w:rsid w:val="005E5F0C"/>
    <w:rsid w:val="005E6094"/>
    <w:rsid w:val="005E68A7"/>
    <w:rsid w:val="005E6E26"/>
    <w:rsid w:val="005E738E"/>
    <w:rsid w:val="005E79A2"/>
    <w:rsid w:val="005E7CEA"/>
    <w:rsid w:val="005F0691"/>
    <w:rsid w:val="005F0E33"/>
    <w:rsid w:val="005F1605"/>
    <w:rsid w:val="005F18AD"/>
    <w:rsid w:val="005F2789"/>
    <w:rsid w:val="005F3202"/>
    <w:rsid w:val="005F4203"/>
    <w:rsid w:val="005F421A"/>
    <w:rsid w:val="005F4222"/>
    <w:rsid w:val="005F4D23"/>
    <w:rsid w:val="005F58C0"/>
    <w:rsid w:val="005F6304"/>
    <w:rsid w:val="005F6AF1"/>
    <w:rsid w:val="005F6C33"/>
    <w:rsid w:val="005F7270"/>
    <w:rsid w:val="005F7E9C"/>
    <w:rsid w:val="00600B36"/>
    <w:rsid w:val="00600C5B"/>
    <w:rsid w:val="00601799"/>
    <w:rsid w:val="006017B7"/>
    <w:rsid w:val="00601BF6"/>
    <w:rsid w:val="00601CC1"/>
    <w:rsid w:val="00602831"/>
    <w:rsid w:val="00602989"/>
    <w:rsid w:val="00602DB4"/>
    <w:rsid w:val="00602DB5"/>
    <w:rsid w:val="00602ED5"/>
    <w:rsid w:val="006035C3"/>
    <w:rsid w:val="0060527D"/>
    <w:rsid w:val="00605601"/>
    <w:rsid w:val="00605E3E"/>
    <w:rsid w:val="0060615E"/>
    <w:rsid w:val="00606E05"/>
    <w:rsid w:val="00610145"/>
    <w:rsid w:val="00610B18"/>
    <w:rsid w:val="00610FFB"/>
    <w:rsid w:val="00611383"/>
    <w:rsid w:val="0061172C"/>
    <w:rsid w:val="00611B42"/>
    <w:rsid w:val="00611E30"/>
    <w:rsid w:val="006123E9"/>
    <w:rsid w:val="006127A4"/>
    <w:rsid w:val="00612E57"/>
    <w:rsid w:val="00613686"/>
    <w:rsid w:val="00613AAE"/>
    <w:rsid w:val="006147BD"/>
    <w:rsid w:val="00615891"/>
    <w:rsid w:val="00616774"/>
    <w:rsid w:val="00617D5D"/>
    <w:rsid w:val="00617FBB"/>
    <w:rsid w:val="00620237"/>
    <w:rsid w:val="006202FD"/>
    <w:rsid w:val="006203BC"/>
    <w:rsid w:val="00620434"/>
    <w:rsid w:val="0062097F"/>
    <w:rsid w:val="00621A07"/>
    <w:rsid w:val="006221EF"/>
    <w:rsid w:val="006227EC"/>
    <w:rsid w:val="006230FA"/>
    <w:rsid w:val="00623548"/>
    <w:rsid w:val="00624235"/>
    <w:rsid w:val="0062515B"/>
    <w:rsid w:val="00625CB4"/>
    <w:rsid w:val="00625DE9"/>
    <w:rsid w:val="00625E81"/>
    <w:rsid w:val="00626849"/>
    <w:rsid w:val="00626F44"/>
    <w:rsid w:val="00627378"/>
    <w:rsid w:val="00627777"/>
    <w:rsid w:val="006304E3"/>
    <w:rsid w:val="006313C8"/>
    <w:rsid w:val="00631889"/>
    <w:rsid w:val="006319B2"/>
    <w:rsid w:val="00632D9D"/>
    <w:rsid w:val="006330C4"/>
    <w:rsid w:val="00633824"/>
    <w:rsid w:val="00633963"/>
    <w:rsid w:val="00633D02"/>
    <w:rsid w:val="00634418"/>
    <w:rsid w:val="0063500D"/>
    <w:rsid w:val="00635B3E"/>
    <w:rsid w:val="00637018"/>
    <w:rsid w:val="0063709D"/>
    <w:rsid w:val="0063734C"/>
    <w:rsid w:val="0064096C"/>
    <w:rsid w:val="00640A5A"/>
    <w:rsid w:val="00640FCA"/>
    <w:rsid w:val="00642905"/>
    <w:rsid w:val="00642FE3"/>
    <w:rsid w:val="006440A0"/>
    <w:rsid w:val="00644473"/>
    <w:rsid w:val="00644720"/>
    <w:rsid w:val="00645866"/>
    <w:rsid w:val="00646412"/>
    <w:rsid w:val="00646807"/>
    <w:rsid w:val="00646C17"/>
    <w:rsid w:val="0064710B"/>
    <w:rsid w:val="00647D95"/>
    <w:rsid w:val="00650601"/>
    <w:rsid w:val="00650B18"/>
    <w:rsid w:val="00651104"/>
    <w:rsid w:val="006516D2"/>
    <w:rsid w:val="00651943"/>
    <w:rsid w:val="00651F16"/>
    <w:rsid w:val="00652C5B"/>
    <w:rsid w:val="00652E58"/>
    <w:rsid w:val="006544C5"/>
    <w:rsid w:val="00655F8F"/>
    <w:rsid w:val="0065668A"/>
    <w:rsid w:val="0065768D"/>
    <w:rsid w:val="006606FF"/>
    <w:rsid w:val="00661E7D"/>
    <w:rsid w:val="00663058"/>
    <w:rsid w:val="00665A3E"/>
    <w:rsid w:val="00666171"/>
    <w:rsid w:val="006676C9"/>
    <w:rsid w:val="00667C38"/>
    <w:rsid w:val="006708B8"/>
    <w:rsid w:val="00670CA8"/>
    <w:rsid w:val="00672BEE"/>
    <w:rsid w:val="00673536"/>
    <w:rsid w:val="006739CD"/>
    <w:rsid w:val="00673A8D"/>
    <w:rsid w:val="00675211"/>
    <w:rsid w:val="00675C04"/>
    <w:rsid w:val="00676776"/>
    <w:rsid w:val="00676DD6"/>
    <w:rsid w:val="00676F4C"/>
    <w:rsid w:val="0067721D"/>
    <w:rsid w:val="0067723A"/>
    <w:rsid w:val="00682EEA"/>
    <w:rsid w:val="006841BB"/>
    <w:rsid w:val="006848C0"/>
    <w:rsid w:val="00684CE6"/>
    <w:rsid w:val="00686210"/>
    <w:rsid w:val="0068737A"/>
    <w:rsid w:val="00687CAD"/>
    <w:rsid w:val="00690A5F"/>
    <w:rsid w:val="00690D3E"/>
    <w:rsid w:val="00691E3B"/>
    <w:rsid w:val="0069290D"/>
    <w:rsid w:val="00692F87"/>
    <w:rsid w:val="00693648"/>
    <w:rsid w:val="006949DF"/>
    <w:rsid w:val="00694B6F"/>
    <w:rsid w:val="0069795E"/>
    <w:rsid w:val="006A0D39"/>
    <w:rsid w:val="006A0D6E"/>
    <w:rsid w:val="006A11FB"/>
    <w:rsid w:val="006A1839"/>
    <w:rsid w:val="006A2354"/>
    <w:rsid w:val="006A393B"/>
    <w:rsid w:val="006A4291"/>
    <w:rsid w:val="006A446F"/>
    <w:rsid w:val="006A555E"/>
    <w:rsid w:val="006A5A64"/>
    <w:rsid w:val="006A5EEB"/>
    <w:rsid w:val="006A71CC"/>
    <w:rsid w:val="006A72A3"/>
    <w:rsid w:val="006A7A09"/>
    <w:rsid w:val="006B01F4"/>
    <w:rsid w:val="006B06A5"/>
    <w:rsid w:val="006B096B"/>
    <w:rsid w:val="006B11E3"/>
    <w:rsid w:val="006B19A0"/>
    <w:rsid w:val="006B1B24"/>
    <w:rsid w:val="006B23F5"/>
    <w:rsid w:val="006B39B0"/>
    <w:rsid w:val="006B41B5"/>
    <w:rsid w:val="006B55BC"/>
    <w:rsid w:val="006B6B35"/>
    <w:rsid w:val="006B7764"/>
    <w:rsid w:val="006B7EC2"/>
    <w:rsid w:val="006C14B9"/>
    <w:rsid w:val="006C26E1"/>
    <w:rsid w:val="006C27BF"/>
    <w:rsid w:val="006C3EB9"/>
    <w:rsid w:val="006C3F15"/>
    <w:rsid w:val="006C4025"/>
    <w:rsid w:val="006C4924"/>
    <w:rsid w:val="006C4E04"/>
    <w:rsid w:val="006C5C74"/>
    <w:rsid w:val="006C5E18"/>
    <w:rsid w:val="006C5F1D"/>
    <w:rsid w:val="006C70A6"/>
    <w:rsid w:val="006D0188"/>
    <w:rsid w:val="006D08FE"/>
    <w:rsid w:val="006D0F31"/>
    <w:rsid w:val="006D0FDA"/>
    <w:rsid w:val="006D1629"/>
    <w:rsid w:val="006D19F1"/>
    <w:rsid w:val="006D3164"/>
    <w:rsid w:val="006D3757"/>
    <w:rsid w:val="006D4002"/>
    <w:rsid w:val="006D6151"/>
    <w:rsid w:val="006D622D"/>
    <w:rsid w:val="006E0975"/>
    <w:rsid w:val="006E099B"/>
    <w:rsid w:val="006E0F00"/>
    <w:rsid w:val="006E13FF"/>
    <w:rsid w:val="006E1CB1"/>
    <w:rsid w:val="006E2BF9"/>
    <w:rsid w:val="006E39D6"/>
    <w:rsid w:val="006E535A"/>
    <w:rsid w:val="006E648E"/>
    <w:rsid w:val="006E6E2B"/>
    <w:rsid w:val="006E7859"/>
    <w:rsid w:val="006E7B72"/>
    <w:rsid w:val="006F181C"/>
    <w:rsid w:val="006F24C6"/>
    <w:rsid w:val="006F2EE3"/>
    <w:rsid w:val="006F2EE8"/>
    <w:rsid w:val="006F30F6"/>
    <w:rsid w:val="006F3B26"/>
    <w:rsid w:val="006F3C8B"/>
    <w:rsid w:val="006F47BD"/>
    <w:rsid w:val="006F58EF"/>
    <w:rsid w:val="006F6245"/>
    <w:rsid w:val="006F680E"/>
    <w:rsid w:val="006F7714"/>
    <w:rsid w:val="006F7B6E"/>
    <w:rsid w:val="006F7D87"/>
    <w:rsid w:val="006F7DAB"/>
    <w:rsid w:val="006F7DDA"/>
    <w:rsid w:val="00701E96"/>
    <w:rsid w:val="00702106"/>
    <w:rsid w:val="00702770"/>
    <w:rsid w:val="00702F42"/>
    <w:rsid w:val="0070412E"/>
    <w:rsid w:val="00704964"/>
    <w:rsid w:val="0070540F"/>
    <w:rsid w:val="007059D5"/>
    <w:rsid w:val="00706112"/>
    <w:rsid w:val="00706796"/>
    <w:rsid w:val="007072C1"/>
    <w:rsid w:val="00710364"/>
    <w:rsid w:val="007105D4"/>
    <w:rsid w:val="007106FF"/>
    <w:rsid w:val="00710FA1"/>
    <w:rsid w:val="0071289B"/>
    <w:rsid w:val="00713126"/>
    <w:rsid w:val="00713242"/>
    <w:rsid w:val="007136ED"/>
    <w:rsid w:val="00713F1B"/>
    <w:rsid w:val="00714254"/>
    <w:rsid w:val="0071442B"/>
    <w:rsid w:val="007162D3"/>
    <w:rsid w:val="00720C7B"/>
    <w:rsid w:val="00721393"/>
    <w:rsid w:val="00722C10"/>
    <w:rsid w:val="0072393E"/>
    <w:rsid w:val="00723AF1"/>
    <w:rsid w:val="00724321"/>
    <w:rsid w:val="00724BB6"/>
    <w:rsid w:val="00724FE3"/>
    <w:rsid w:val="007257D5"/>
    <w:rsid w:val="00727246"/>
    <w:rsid w:val="00727589"/>
    <w:rsid w:val="00730D84"/>
    <w:rsid w:val="00731337"/>
    <w:rsid w:val="0073222B"/>
    <w:rsid w:val="00732708"/>
    <w:rsid w:val="00733D14"/>
    <w:rsid w:val="00733F95"/>
    <w:rsid w:val="00734793"/>
    <w:rsid w:val="007351A3"/>
    <w:rsid w:val="007371C7"/>
    <w:rsid w:val="00737F8F"/>
    <w:rsid w:val="00740400"/>
    <w:rsid w:val="007408AD"/>
    <w:rsid w:val="00740F13"/>
    <w:rsid w:val="00741011"/>
    <w:rsid w:val="00741A39"/>
    <w:rsid w:val="0074212A"/>
    <w:rsid w:val="00742361"/>
    <w:rsid w:val="0074277E"/>
    <w:rsid w:val="0074285F"/>
    <w:rsid w:val="00742954"/>
    <w:rsid w:val="00742DA6"/>
    <w:rsid w:val="00743102"/>
    <w:rsid w:val="007454EC"/>
    <w:rsid w:val="00745AF1"/>
    <w:rsid w:val="00745DCD"/>
    <w:rsid w:val="007468D0"/>
    <w:rsid w:val="007478D9"/>
    <w:rsid w:val="00750B94"/>
    <w:rsid w:val="00750DD9"/>
    <w:rsid w:val="007517C0"/>
    <w:rsid w:val="00752346"/>
    <w:rsid w:val="007549C0"/>
    <w:rsid w:val="00754CA4"/>
    <w:rsid w:val="00754DF0"/>
    <w:rsid w:val="00755808"/>
    <w:rsid w:val="00755E98"/>
    <w:rsid w:val="00756E5B"/>
    <w:rsid w:val="00757B2C"/>
    <w:rsid w:val="00757D2D"/>
    <w:rsid w:val="007602A5"/>
    <w:rsid w:val="00761170"/>
    <w:rsid w:val="00762687"/>
    <w:rsid w:val="00764756"/>
    <w:rsid w:val="0076538F"/>
    <w:rsid w:val="00765AFE"/>
    <w:rsid w:val="00766AEE"/>
    <w:rsid w:val="00766D18"/>
    <w:rsid w:val="00767557"/>
    <w:rsid w:val="00767598"/>
    <w:rsid w:val="007675BC"/>
    <w:rsid w:val="0076770E"/>
    <w:rsid w:val="00770E84"/>
    <w:rsid w:val="00771251"/>
    <w:rsid w:val="007717C5"/>
    <w:rsid w:val="00771A2D"/>
    <w:rsid w:val="00771D8E"/>
    <w:rsid w:val="00771E55"/>
    <w:rsid w:val="00772747"/>
    <w:rsid w:val="007743A5"/>
    <w:rsid w:val="0077465D"/>
    <w:rsid w:val="00774B9F"/>
    <w:rsid w:val="0077699A"/>
    <w:rsid w:val="00776E37"/>
    <w:rsid w:val="00777AB2"/>
    <w:rsid w:val="0078069C"/>
    <w:rsid w:val="007806F8"/>
    <w:rsid w:val="007810C0"/>
    <w:rsid w:val="00782F4B"/>
    <w:rsid w:val="00783577"/>
    <w:rsid w:val="007836A4"/>
    <w:rsid w:val="00783B1E"/>
    <w:rsid w:val="0078435A"/>
    <w:rsid w:val="00785285"/>
    <w:rsid w:val="007855A6"/>
    <w:rsid w:val="00785D7C"/>
    <w:rsid w:val="00786309"/>
    <w:rsid w:val="00786A86"/>
    <w:rsid w:val="00786E85"/>
    <w:rsid w:val="00787767"/>
    <w:rsid w:val="0078783D"/>
    <w:rsid w:val="007905D0"/>
    <w:rsid w:val="00791B4A"/>
    <w:rsid w:val="00791FAF"/>
    <w:rsid w:val="00795D98"/>
    <w:rsid w:val="00796C9F"/>
    <w:rsid w:val="007A0AF4"/>
    <w:rsid w:val="007A0D20"/>
    <w:rsid w:val="007A0EFA"/>
    <w:rsid w:val="007A136C"/>
    <w:rsid w:val="007A2278"/>
    <w:rsid w:val="007A3362"/>
    <w:rsid w:val="007A3871"/>
    <w:rsid w:val="007A4292"/>
    <w:rsid w:val="007A4F7E"/>
    <w:rsid w:val="007A525F"/>
    <w:rsid w:val="007A5AA4"/>
    <w:rsid w:val="007A69B6"/>
    <w:rsid w:val="007A6C24"/>
    <w:rsid w:val="007A7DAC"/>
    <w:rsid w:val="007B1359"/>
    <w:rsid w:val="007B1613"/>
    <w:rsid w:val="007B16C2"/>
    <w:rsid w:val="007B1CB8"/>
    <w:rsid w:val="007B263F"/>
    <w:rsid w:val="007B34C1"/>
    <w:rsid w:val="007B3AE3"/>
    <w:rsid w:val="007B4306"/>
    <w:rsid w:val="007B49CE"/>
    <w:rsid w:val="007B5D25"/>
    <w:rsid w:val="007B6BC3"/>
    <w:rsid w:val="007B6D81"/>
    <w:rsid w:val="007C0242"/>
    <w:rsid w:val="007C07B9"/>
    <w:rsid w:val="007C08E3"/>
    <w:rsid w:val="007C114D"/>
    <w:rsid w:val="007C16A3"/>
    <w:rsid w:val="007C2362"/>
    <w:rsid w:val="007C2A2C"/>
    <w:rsid w:val="007C41E5"/>
    <w:rsid w:val="007C477F"/>
    <w:rsid w:val="007C4C6B"/>
    <w:rsid w:val="007C4E97"/>
    <w:rsid w:val="007C68BB"/>
    <w:rsid w:val="007C68C8"/>
    <w:rsid w:val="007C6E5B"/>
    <w:rsid w:val="007C6ED2"/>
    <w:rsid w:val="007C758C"/>
    <w:rsid w:val="007C7D3E"/>
    <w:rsid w:val="007D0E1F"/>
    <w:rsid w:val="007D187D"/>
    <w:rsid w:val="007D2C58"/>
    <w:rsid w:val="007D380E"/>
    <w:rsid w:val="007D4123"/>
    <w:rsid w:val="007D46BB"/>
    <w:rsid w:val="007D4D01"/>
    <w:rsid w:val="007D5950"/>
    <w:rsid w:val="007D5B91"/>
    <w:rsid w:val="007D5E42"/>
    <w:rsid w:val="007D6633"/>
    <w:rsid w:val="007D6C60"/>
    <w:rsid w:val="007D7AA3"/>
    <w:rsid w:val="007E0532"/>
    <w:rsid w:val="007E06CB"/>
    <w:rsid w:val="007E09A6"/>
    <w:rsid w:val="007E0C96"/>
    <w:rsid w:val="007E1824"/>
    <w:rsid w:val="007E270F"/>
    <w:rsid w:val="007E2750"/>
    <w:rsid w:val="007E2B2E"/>
    <w:rsid w:val="007E3791"/>
    <w:rsid w:val="007E4419"/>
    <w:rsid w:val="007E536A"/>
    <w:rsid w:val="007E5C21"/>
    <w:rsid w:val="007E5E78"/>
    <w:rsid w:val="007E6528"/>
    <w:rsid w:val="007E65CC"/>
    <w:rsid w:val="007E6756"/>
    <w:rsid w:val="007E6875"/>
    <w:rsid w:val="007E73A6"/>
    <w:rsid w:val="007E7D54"/>
    <w:rsid w:val="007E7D94"/>
    <w:rsid w:val="007E7FC6"/>
    <w:rsid w:val="007F0431"/>
    <w:rsid w:val="007F0B8C"/>
    <w:rsid w:val="007F1B2A"/>
    <w:rsid w:val="007F2303"/>
    <w:rsid w:val="007F2628"/>
    <w:rsid w:val="007F3A52"/>
    <w:rsid w:val="007F3D68"/>
    <w:rsid w:val="007F3DE6"/>
    <w:rsid w:val="007F4974"/>
    <w:rsid w:val="007F5A17"/>
    <w:rsid w:val="007F5AAF"/>
    <w:rsid w:val="007F5FC1"/>
    <w:rsid w:val="007F789A"/>
    <w:rsid w:val="007F78C6"/>
    <w:rsid w:val="007F7C5A"/>
    <w:rsid w:val="007F7C74"/>
    <w:rsid w:val="008014FE"/>
    <w:rsid w:val="00801786"/>
    <w:rsid w:val="008019B1"/>
    <w:rsid w:val="00803EF6"/>
    <w:rsid w:val="008042B9"/>
    <w:rsid w:val="0080520E"/>
    <w:rsid w:val="00805A32"/>
    <w:rsid w:val="00807754"/>
    <w:rsid w:val="0080787F"/>
    <w:rsid w:val="00810BC3"/>
    <w:rsid w:val="00810D91"/>
    <w:rsid w:val="00813926"/>
    <w:rsid w:val="0081420B"/>
    <w:rsid w:val="00815814"/>
    <w:rsid w:val="00815D4D"/>
    <w:rsid w:val="008178D7"/>
    <w:rsid w:val="00817CC7"/>
    <w:rsid w:val="00820500"/>
    <w:rsid w:val="008207AE"/>
    <w:rsid w:val="00820AEA"/>
    <w:rsid w:val="0082123E"/>
    <w:rsid w:val="00821A9E"/>
    <w:rsid w:val="00822354"/>
    <w:rsid w:val="008240C5"/>
    <w:rsid w:val="00824388"/>
    <w:rsid w:val="00824C6D"/>
    <w:rsid w:val="00825532"/>
    <w:rsid w:val="008261DB"/>
    <w:rsid w:val="00826E57"/>
    <w:rsid w:val="00826F49"/>
    <w:rsid w:val="00827A89"/>
    <w:rsid w:val="00830F9F"/>
    <w:rsid w:val="00831840"/>
    <w:rsid w:val="00832119"/>
    <w:rsid w:val="008336F3"/>
    <w:rsid w:val="00833DB5"/>
    <w:rsid w:val="00834D1A"/>
    <w:rsid w:val="008360E6"/>
    <w:rsid w:val="008372B3"/>
    <w:rsid w:val="00840519"/>
    <w:rsid w:val="00841137"/>
    <w:rsid w:val="00841447"/>
    <w:rsid w:val="0084160A"/>
    <w:rsid w:val="0084239E"/>
    <w:rsid w:val="008434D0"/>
    <w:rsid w:val="00845B7E"/>
    <w:rsid w:val="00845D83"/>
    <w:rsid w:val="00846BE9"/>
    <w:rsid w:val="0084744A"/>
    <w:rsid w:val="00850136"/>
    <w:rsid w:val="008507AA"/>
    <w:rsid w:val="00850C8B"/>
    <w:rsid w:val="00851FCD"/>
    <w:rsid w:val="00852000"/>
    <w:rsid w:val="008526CF"/>
    <w:rsid w:val="008534FC"/>
    <w:rsid w:val="00853A97"/>
    <w:rsid w:val="008551EC"/>
    <w:rsid w:val="008558DA"/>
    <w:rsid w:val="00855EEF"/>
    <w:rsid w:val="008560C7"/>
    <w:rsid w:val="00856268"/>
    <w:rsid w:val="0085685B"/>
    <w:rsid w:val="00856F22"/>
    <w:rsid w:val="008608AD"/>
    <w:rsid w:val="00860F44"/>
    <w:rsid w:val="008622FD"/>
    <w:rsid w:val="008626A9"/>
    <w:rsid w:val="00864125"/>
    <w:rsid w:val="00864677"/>
    <w:rsid w:val="00864F0F"/>
    <w:rsid w:val="0086518D"/>
    <w:rsid w:val="008659A9"/>
    <w:rsid w:val="00865E48"/>
    <w:rsid w:val="008665B0"/>
    <w:rsid w:val="00866B66"/>
    <w:rsid w:val="008677EE"/>
    <w:rsid w:val="008703BD"/>
    <w:rsid w:val="0087142C"/>
    <w:rsid w:val="0087148C"/>
    <w:rsid w:val="008725BB"/>
    <w:rsid w:val="00872ABC"/>
    <w:rsid w:val="00872B15"/>
    <w:rsid w:val="00872E24"/>
    <w:rsid w:val="0087324F"/>
    <w:rsid w:val="008735EA"/>
    <w:rsid w:val="008749E4"/>
    <w:rsid w:val="00875C83"/>
    <w:rsid w:val="008763DD"/>
    <w:rsid w:val="00876D7D"/>
    <w:rsid w:val="008779E0"/>
    <w:rsid w:val="008801DE"/>
    <w:rsid w:val="00880C40"/>
    <w:rsid w:val="008812E5"/>
    <w:rsid w:val="0088205C"/>
    <w:rsid w:val="008827E0"/>
    <w:rsid w:val="0088320D"/>
    <w:rsid w:val="00883ABA"/>
    <w:rsid w:val="00883FA1"/>
    <w:rsid w:val="00884063"/>
    <w:rsid w:val="008851C2"/>
    <w:rsid w:val="008852E5"/>
    <w:rsid w:val="00885C60"/>
    <w:rsid w:val="00886463"/>
    <w:rsid w:val="008866B4"/>
    <w:rsid w:val="00886B2C"/>
    <w:rsid w:val="00887201"/>
    <w:rsid w:val="00887486"/>
    <w:rsid w:val="00887CB0"/>
    <w:rsid w:val="0089029A"/>
    <w:rsid w:val="0089086E"/>
    <w:rsid w:val="00890C81"/>
    <w:rsid w:val="00891E2D"/>
    <w:rsid w:val="00891FC7"/>
    <w:rsid w:val="00892143"/>
    <w:rsid w:val="008923CB"/>
    <w:rsid w:val="008925B9"/>
    <w:rsid w:val="00893385"/>
    <w:rsid w:val="008963A1"/>
    <w:rsid w:val="008963BB"/>
    <w:rsid w:val="00896D93"/>
    <w:rsid w:val="008A00A0"/>
    <w:rsid w:val="008A177F"/>
    <w:rsid w:val="008A1B91"/>
    <w:rsid w:val="008A2D99"/>
    <w:rsid w:val="008A317E"/>
    <w:rsid w:val="008A4009"/>
    <w:rsid w:val="008A5D82"/>
    <w:rsid w:val="008A61AC"/>
    <w:rsid w:val="008A7045"/>
    <w:rsid w:val="008A7AE9"/>
    <w:rsid w:val="008B0BEF"/>
    <w:rsid w:val="008B328F"/>
    <w:rsid w:val="008B3D15"/>
    <w:rsid w:val="008B4629"/>
    <w:rsid w:val="008B4A6E"/>
    <w:rsid w:val="008B6299"/>
    <w:rsid w:val="008B62A3"/>
    <w:rsid w:val="008B633B"/>
    <w:rsid w:val="008B67A3"/>
    <w:rsid w:val="008B6E31"/>
    <w:rsid w:val="008B7884"/>
    <w:rsid w:val="008C089B"/>
    <w:rsid w:val="008C104A"/>
    <w:rsid w:val="008C1A21"/>
    <w:rsid w:val="008C22D0"/>
    <w:rsid w:val="008C286C"/>
    <w:rsid w:val="008C3241"/>
    <w:rsid w:val="008C4096"/>
    <w:rsid w:val="008C41AB"/>
    <w:rsid w:val="008C5263"/>
    <w:rsid w:val="008C54E1"/>
    <w:rsid w:val="008C5975"/>
    <w:rsid w:val="008C75F0"/>
    <w:rsid w:val="008D0CFF"/>
    <w:rsid w:val="008D1415"/>
    <w:rsid w:val="008D1680"/>
    <w:rsid w:val="008D18CB"/>
    <w:rsid w:val="008D23C6"/>
    <w:rsid w:val="008D246F"/>
    <w:rsid w:val="008D274B"/>
    <w:rsid w:val="008D2A02"/>
    <w:rsid w:val="008D44BF"/>
    <w:rsid w:val="008D4E4B"/>
    <w:rsid w:val="008D5105"/>
    <w:rsid w:val="008D5EC3"/>
    <w:rsid w:val="008D6C28"/>
    <w:rsid w:val="008D74E0"/>
    <w:rsid w:val="008D7889"/>
    <w:rsid w:val="008E22C4"/>
    <w:rsid w:val="008E34F7"/>
    <w:rsid w:val="008E3902"/>
    <w:rsid w:val="008E4045"/>
    <w:rsid w:val="008E412E"/>
    <w:rsid w:val="008E4D34"/>
    <w:rsid w:val="008E5702"/>
    <w:rsid w:val="008E697F"/>
    <w:rsid w:val="008E69F0"/>
    <w:rsid w:val="008E6B22"/>
    <w:rsid w:val="008F05AA"/>
    <w:rsid w:val="008F1000"/>
    <w:rsid w:val="008F1BC3"/>
    <w:rsid w:val="008F1F6D"/>
    <w:rsid w:val="008F26D3"/>
    <w:rsid w:val="008F28FB"/>
    <w:rsid w:val="008F2ABA"/>
    <w:rsid w:val="008F3DFC"/>
    <w:rsid w:val="008F43BA"/>
    <w:rsid w:val="008F4D6D"/>
    <w:rsid w:val="008F516F"/>
    <w:rsid w:val="008F5AF4"/>
    <w:rsid w:val="008F62AA"/>
    <w:rsid w:val="008F795F"/>
    <w:rsid w:val="00900756"/>
    <w:rsid w:val="00901F42"/>
    <w:rsid w:val="00901FAE"/>
    <w:rsid w:val="00902427"/>
    <w:rsid w:val="00902A8F"/>
    <w:rsid w:val="00903518"/>
    <w:rsid w:val="00903AB0"/>
    <w:rsid w:val="009043EC"/>
    <w:rsid w:val="009051C4"/>
    <w:rsid w:val="00905E95"/>
    <w:rsid w:val="00905FE7"/>
    <w:rsid w:val="009104DA"/>
    <w:rsid w:val="00912013"/>
    <w:rsid w:val="00912563"/>
    <w:rsid w:val="00915D8F"/>
    <w:rsid w:val="0091693E"/>
    <w:rsid w:val="00917A33"/>
    <w:rsid w:val="00920AE0"/>
    <w:rsid w:val="0092192E"/>
    <w:rsid w:val="00922107"/>
    <w:rsid w:val="00922D7D"/>
    <w:rsid w:val="0092361C"/>
    <w:rsid w:val="009247D3"/>
    <w:rsid w:val="0092521C"/>
    <w:rsid w:val="00930129"/>
    <w:rsid w:val="0093042C"/>
    <w:rsid w:val="009318ED"/>
    <w:rsid w:val="00931B7C"/>
    <w:rsid w:val="00931B90"/>
    <w:rsid w:val="009329B9"/>
    <w:rsid w:val="00933447"/>
    <w:rsid w:val="0093354E"/>
    <w:rsid w:val="00934745"/>
    <w:rsid w:val="00934FC8"/>
    <w:rsid w:val="0093604C"/>
    <w:rsid w:val="00936067"/>
    <w:rsid w:val="00936625"/>
    <w:rsid w:val="00936C85"/>
    <w:rsid w:val="0093707F"/>
    <w:rsid w:val="0094029E"/>
    <w:rsid w:val="0094097B"/>
    <w:rsid w:val="009409A1"/>
    <w:rsid w:val="00940D02"/>
    <w:rsid w:val="009413CE"/>
    <w:rsid w:val="009419BD"/>
    <w:rsid w:val="00942D34"/>
    <w:rsid w:val="00942D7F"/>
    <w:rsid w:val="00943474"/>
    <w:rsid w:val="00944168"/>
    <w:rsid w:val="00945507"/>
    <w:rsid w:val="00946690"/>
    <w:rsid w:val="00946C87"/>
    <w:rsid w:val="00946FA0"/>
    <w:rsid w:val="009501A9"/>
    <w:rsid w:val="00950F58"/>
    <w:rsid w:val="009536A9"/>
    <w:rsid w:val="00956E42"/>
    <w:rsid w:val="0095712E"/>
    <w:rsid w:val="00957574"/>
    <w:rsid w:val="00957D52"/>
    <w:rsid w:val="009606C7"/>
    <w:rsid w:val="00960874"/>
    <w:rsid w:val="00960C94"/>
    <w:rsid w:val="009616A6"/>
    <w:rsid w:val="009617E7"/>
    <w:rsid w:val="00961AC7"/>
    <w:rsid w:val="00962B64"/>
    <w:rsid w:val="00962DDA"/>
    <w:rsid w:val="009637F2"/>
    <w:rsid w:val="0096626D"/>
    <w:rsid w:val="0096769C"/>
    <w:rsid w:val="009709E9"/>
    <w:rsid w:val="00970FFA"/>
    <w:rsid w:val="009718D3"/>
    <w:rsid w:val="009721DC"/>
    <w:rsid w:val="00975A5D"/>
    <w:rsid w:val="009762DB"/>
    <w:rsid w:val="009769F0"/>
    <w:rsid w:val="00977641"/>
    <w:rsid w:val="0097764A"/>
    <w:rsid w:val="00977DA1"/>
    <w:rsid w:val="009801EA"/>
    <w:rsid w:val="00980A52"/>
    <w:rsid w:val="00980C2C"/>
    <w:rsid w:val="00980F9E"/>
    <w:rsid w:val="00981807"/>
    <w:rsid w:val="009822A6"/>
    <w:rsid w:val="00982FBA"/>
    <w:rsid w:val="00983F15"/>
    <w:rsid w:val="00983FDD"/>
    <w:rsid w:val="00984BC8"/>
    <w:rsid w:val="00985342"/>
    <w:rsid w:val="0098559F"/>
    <w:rsid w:val="009858BD"/>
    <w:rsid w:val="00985CBF"/>
    <w:rsid w:val="009868A3"/>
    <w:rsid w:val="00986974"/>
    <w:rsid w:val="00986F42"/>
    <w:rsid w:val="009910AA"/>
    <w:rsid w:val="00992EB4"/>
    <w:rsid w:val="009930CA"/>
    <w:rsid w:val="00993CA0"/>
    <w:rsid w:val="00994423"/>
    <w:rsid w:val="0099446B"/>
    <w:rsid w:val="00996823"/>
    <w:rsid w:val="00996BA5"/>
    <w:rsid w:val="00997594"/>
    <w:rsid w:val="00997B2B"/>
    <w:rsid w:val="009A000B"/>
    <w:rsid w:val="009A066C"/>
    <w:rsid w:val="009A0F0A"/>
    <w:rsid w:val="009A2F98"/>
    <w:rsid w:val="009A79F8"/>
    <w:rsid w:val="009B01AA"/>
    <w:rsid w:val="009B1478"/>
    <w:rsid w:val="009B2BD7"/>
    <w:rsid w:val="009B2D58"/>
    <w:rsid w:val="009B38E6"/>
    <w:rsid w:val="009B3C71"/>
    <w:rsid w:val="009B41A6"/>
    <w:rsid w:val="009B467E"/>
    <w:rsid w:val="009B6AC7"/>
    <w:rsid w:val="009C0F9D"/>
    <w:rsid w:val="009C12F3"/>
    <w:rsid w:val="009C1AC0"/>
    <w:rsid w:val="009C2B8E"/>
    <w:rsid w:val="009C2C03"/>
    <w:rsid w:val="009C3F2B"/>
    <w:rsid w:val="009C4269"/>
    <w:rsid w:val="009C4316"/>
    <w:rsid w:val="009C5BB0"/>
    <w:rsid w:val="009C5BF8"/>
    <w:rsid w:val="009C5CD2"/>
    <w:rsid w:val="009C5E5A"/>
    <w:rsid w:val="009C7189"/>
    <w:rsid w:val="009C7344"/>
    <w:rsid w:val="009D01CF"/>
    <w:rsid w:val="009D0C91"/>
    <w:rsid w:val="009D230D"/>
    <w:rsid w:val="009D23CB"/>
    <w:rsid w:val="009D2505"/>
    <w:rsid w:val="009D252C"/>
    <w:rsid w:val="009D5B77"/>
    <w:rsid w:val="009D688C"/>
    <w:rsid w:val="009D6F4D"/>
    <w:rsid w:val="009D75EC"/>
    <w:rsid w:val="009D7F49"/>
    <w:rsid w:val="009E0A97"/>
    <w:rsid w:val="009E0AAF"/>
    <w:rsid w:val="009E2015"/>
    <w:rsid w:val="009E2260"/>
    <w:rsid w:val="009E2294"/>
    <w:rsid w:val="009E2AA4"/>
    <w:rsid w:val="009E2F4C"/>
    <w:rsid w:val="009E367F"/>
    <w:rsid w:val="009E44C5"/>
    <w:rsid w:val="009E54B9"/>
    <w:rsid w:val="009E5AB3"/>
    <w:rsid w:val="009E708F"/>
    <w:rsid w:val="009E746D"/>
    <w:rsid w:val="009E7D8F"/>
    <w:rsid w:val="009F0065"/>
    <w:rsid w:val="009F0122"/>
    <w:rsid w:val="009F04E9"/>
    <w:rsid w:val="009F2626"/>
    <w:rsid w:val="009F266C"/>
    <w:rsid w:val="009F321F"/>
    <w:rsid w:val="009F3405"/>
    <w:rsid w:val="009F468C"/>
    <w:rsid w:val="009F4A13"/>
    <w:rsid w:val="009F4BBC"/>
    <w:rsid w:val="009F5570"/>
    <w:rsid w:val="009F696A"/>
    <w:rsid w:val="009F6F4B"/>
    <w:rsid w:val="009F79A3"/>
    <w:rsid w:val="00A01181"/>
    <w:rsid w:val="00A0151E"/>
    <w:rsid w:val="00A0157F"/>
    <w:rsid w:val="00A020BD"/>
    <w:rsid w:val="00A027D1"/>
    <w:rsid w:val="00A03F85"/>
    <w:rsid w:val="00A04F4E"/>
    <w:rsid w:val="00A0592F"/>
    <w:rsid w:val="00A05BE0"/>
    <w:rsid w:val="00A06453"/>
    <w:rsid w:val="00A0683A"/>
    <w:rsid w:val="00A06C83"/>
    <w:rsid w:val="00A06EC5"/>
    <w:rsid w:val="00A07C0F"/>
    <w:rsid w:val="00A07FAD"/>
    <w:rsid w:val="00A10B66"/>
    <w:rsid w:val="00A10C61"/>
    <w:rsid w:val="00A10EC0"/>
    <w:rsid w:val="00A11BCC"/>
    <w:rsid w:val="00A12184"/>
    <w:rsid w:val="00A12C41"/>
    <w:rsid w:val="00A12D89"/>
    <w:rsid w:val="00A13BB8"/>
    <w:rsid w:val="00A14FF3"/>
    <w:rsid w:val="00A15BF8"/>
    <w:rsid w:val="00A15F68"/>
    <w:rsid w:val="00A1645A"/>
    <w:rsid w:val="00A16713"/>
    <w:rsid w:val="00A20AFF"/>
    <w:rsid w:val="00A213B4"/>
    <w:rsid w:val="00A213EB"/>
    <w:rsid w:val="00A21A14"/>
    <w:rsid w:val="00A21B44"/>
    <w:rsid w:val="00A24970"/>
    <w:rsid w:val="00A24C99"/>
    <w:rsid w:val="00A2516F"/>
    <w:rsid w:val="00A25631"/>
    <w:rsid w:val="00A2589E"/>
    <w:rsid w:val="00A25D2A"/>
    <w:rsid w:val="00A26218"/>
    <w:rsid w:val="00A263F0"/>
    <w:rsid w:val="00A26406"/>
    <w:rsid w:val="00A26A22"/>
    <w:rsid w:val="00A270EC"/>
    <w:rsid w:val="00A30DF4"/>
    <w:rsid w:val="00A3163B"/>
    <w:rsid w:val="00A31C82"/>
    <w:rsid w:val="00A3202E"/>
    <w:rsid w:val="00A324B2"/>
    <w:rsid w:val="00A33151"/>
    <w:rsid w:val="00A33377"/>
    <w:rsid w:val="00A33587"/>
    <w:rsid w:val="00A3502A"/>
    <w:rsid w:val="00A35791"/>
    <w:rsid w:val="00A35F54"/>
    <w:rsid w:val="00A36C7A"/>
    <w:rsid w:val="00A3794F"/>
    <w:rsid w:val="00A40A7F"/>
    <w:rsid w:val="00A40F68"/>
    <w:rsid w:val="00A40FA2"/>
    <w:rsid w:val="00A410A8"/>
    <w:rsid w:val="00A419E3"/>
    <w:rsid w:val="00A41AD4"/>
    <w:rsid w:val="00A41C78"/>
    <w:rsid w:val="00A41C7D"/>
    <w:rsid w:val="00A41E24"/>
    <w:rsid w:val="00A45DFD"/>
    <w:rsid w:val="00A478FE"/>
    <w:rsid w:val="00A505F8"/>
    <w:rsid w:val="00A506F0"/>
    <w:rsid w:val="00A50885"/>
    <w:rsid w:val="00A50D1A"/>
    <w:rsid w:val="00A50FBE"/>
    <w:rsid w:val="00A52643"/>
    <w:rsid w:val="00A54455"/>
    <w:rsid w:val="00A54C3F"/>
    <w:rsid w:val="00A54D82"/>
    <w:rsid w:val="00A5508E"/>
    <w:rsid w:val="00A5524D"/>
    <w:rsid w:val="00A55A25"/>
    <w:rsid w:val="00A55D7C"/>
    <w:rsid w:val="00A56146"/>
    <w:rsid w:val="00A578E0"/>
    <w:rsid w:val="00A60FD0"/>
    <w:rsid w:val="00A61BE2"/>
    <w:rsid w:val="00A61D47"/>
    <w:rsid w:val="00A625FA"/>
    <w:rsid w:val="00A62F76"/>
    <w:rsid w:val="00A64A69"/>
    <w:rsid w:val="00A64DAE"/>
    <w:rsid w:val="00A65070"/>
    <w:rsid w:val="00A67708"/>
    <w:rsid w:val="00A715A7"/>
    <w:rsid w:val="00A715A8"/>
    <w:rsid w:val="00A7233A"/>
    <w:rsid w:val="00A74051"/>
    <w:rsid w:val="00A742E9"/>
    <w:rsid w:val="00A745A4"/>
    <w:rsid w:val="00A7636D"/>
    <w:rsid w:val="00A76524"/>
    <w:rsid w:val="00A77B39"/>
    <w:rsid w:val="00A77D82"/>
    <w:rsid w:val="00A81763"/>
    <w:rsid w:val="00A8195E"/>
    <w:rsid w:val="00A822F3"/>
    <w:rsid w:val="00A82B0B"/>
    <w:rsid w:val="00A8311F"/>
    <w:rsid w:val="00A8382F"/>
    <w:rsid w:val="00A839EC"/>
    <w:rsid w:val="00A83CDD"/>
    <w:rsid w:val="00A860FD"/>
    <w:rsid w:val="00A862E8"/>
    <w:rsid w:val="00A9107C"/>
    <w:rsid w:val="00A925CB"/>
    <w:rsid w:val="00A929FA"/>
    <w:rsid w:val="00A92ABA"/>
    <w:rsid w:val="00A92F83"/>
    <w:rsid w:val="00A97349"/>
    <w:rsid w:val="00A9784F"/>
    <w:rsid w:val="00AA0504"/>
    <w:rsid w:val="00AA076E"/>
    <w:rsid w:val="00AA169F"/>
    <w:rsid w:val="00AA1E78"/>
    <w:rsid w:val="00AA2B04"/>
    <w:rsid w:val="00AA2CAF"/>
    <w:rsid w:val="00AA3C0D"/>
    <w:rsid w:val="00AA417A"/>
    <w:rsid w:val="00AA4B5C"/>
    <w:rsid w:val="00AA4DEE"/>
    <w:rsid w:val="00AA5770"/>
    <w:rsid w:val="00AA5D31"/>
    <w:rsid w:val="00AA6535"/>
    <w:rsid w:val="00AA70EF"/>
    <w:rsid w:val="00AA7E7D"/>
    <w:rsid w:val="00AA7EDC"/>
    <w:rsid w:val="00AB0636"/>
    <w:rsid w:val="00AB0CC5"/>
    <w:rsid w:val="00AB17E5"/>
    <w:rsid w:val="00AB1F62"/>
    <w:rsid w:val="00AB2E6C"/>
    <w:rsid w:val="00AB3699"/>
    <w:rsid w:val="00AB39F9"/>
    <w:rsid w:val="00AB635E"/>
    <w:rsid w:val="00AB641A"/>
    <w:rsid w:val="00AB6FA3"/>
    <w:rsid w:val="00AB7ED0"/>
    <w:rsid w:val="00AC0591"/>
    <w:rsid w:val="00AC066D"/>
    <w:rsid w:val="00AC110E"/>
    <w:rsid w:val="00AC1351"/>
    <w:rsid w:val="00AC1F05"/>
    <w:rsid w:val="00AC436F"/>
    <w:rsid w:val="00AC45BC"/>
    <w:rsid w:val="00AC5467"/>
    <w:rsid w:val="00AC56FE"/>
    <w:rsid w:val="00AC5DDA"/>
    <w:rsid w:val="00AC6771"/>
    <w:rsid w:val="00AC7BB8"/>
    <w:rsid w:val="00AD0C21"/>
    <w:rsid w:val="00AD1968"/>
    <w:rsid w:val="00AD229E"/>
    <w:rsid w:val="00AD248C"/>
    <w:rsid w:val="00AD3218"/>
    <w:rsid w:val="00AD3817"/>
    <w:rsid w:val="00AD414D"/>
    <w:rsid w:val="00AD575F"/>
    <w:rsid w:val="00AD57B1"/>
    <w:rsid w:val="00AD5E14"/>
    <w:rsid w:val="00AD64AF"/>
    <w:rsid w:val="00AD66DB"/>
    <w:rsid w:val="00AD6BFE"/>
    <w:rsid w:val="00AD6D23"/>
    <w:rsid w:val="00AD6F1F"/>
    <w:rsid w:val="00AD74FB"/>
    <w:rsid w:val="00AD7802"/>
    <w:rsid w:val="00AD7D2C"/>
    <w:rsid w:val="00AE0115"/>
    <w:rsid w:val="00AE0D32"/>
    <w:rsid w:val="00AE1EAE"/>
    <w:rsid w:val="00AE1EE5"/>
    <w:rsid w:val="00AE2590"/>
    <w:rsid w:val="00AE2CBA"/>
    <w:rsid w:val="00AE3240"/>
    <w:rsid w:val="00AE4BB1"/>
    <w:rsid w:val="00AE4FDE"/>
    <w:rsid w:val="00AE549C"/>
    <w:rsid w:val="00AE5EDB"/>
    <w:rsid w:val="00AE694C"/>
    <w:rsid w:val="00AE6BC1"/>
    <w:rsid w:val="00AE6DAD"/>
    <w:rsid w:val="00AF1422"/>
    <w:rsid w:val="00AF1F6C"/>
    <w:rsid w:val="00AF26A3"/>
    <w:rsid w:val="00AF335F"/>
    <w:rsid w:val="00AF336A"/>
    <w:rsid w:val="00AF34BC"/>
    <w:rsid w:val="00AF3C9E"/>
    <w:rsid w:val="00AF4375"/>
    <w:rsid w:val="00AF54D5"/>
    <w:rsid w:val="00AF5DF0"/>
    <w:rsid w:val="00AF643C"/>
    <w:rsid w:val="00AF6EF8"/>
    <w:rsid w:val="00AF6F04"/>
    <w:rsid w:val="00AF6F19"/>
    <w:rsid w:val="00AF750D"/>
    <w:rsid w:val="00AF7AF7"/>
    <w:rsid w:val="00AF7FE3"/>
    <w:rsid w:val="00B004DD"/>
    <w:rsid w:val="00B01BFC"/>
    <w:rsid w:val="00B020CB"/>
    <w:rsid w:val="00B03938"/>
    <w:rsid w:val="00B0447B"/>
    <w:rsid w:val="00B04AF4"/>
    <w:rsid w:val="00B04EE6"/>
    <w:rsid w:val="00B05D04"/>
    <w:rsid w:val="00B0609B"/>
    <w:rsid w:val="00B064D7"/>
    <w:rsid w:val="00B1025A"/>
    <w:rsid w:val="00B10331"/>
    <w:rsid w:val="00B10CCC"/>
    <w:rsid w:val="00B12165"/>
    <w:rsid w:val="00B1239C"/>
    <w:rsid w:val="00B14593"/>
    <w:rsid w:val="00B146BC"/>
    <w:rsid w:val="00B14DCD"/>
    <w:rsid w:val="00B15967"/>
    <w:rsid w:val="00B1655B"/>
    <w:rsid w:val="00B17DE9"/>
    <w:rsid w:val="00B17F68"/>
    <w:rsid w:val="00B21917"/>
    <w:rsid w:val="00B21A8F"/>
    <w:rsid w:val="00B21D92"/>
    <w:rsid w:val="00B2234F"/>
    <w:rsid w:val="00B22813"/>
    <w:rsid w:val="00B23963"/>
    <w:rsid w:val="00B244EA"/>
    <w:rsid w:val="00B2577C"/>
    <w:rsid w:val="00B26405"/>
    <w:rsid w:val="00B268A0"/>
    <w:rsid w:val="00B26B58"/>
    <w:rsid w:val="00B27044"/>
    <w:rsid w:val="00B273D8"/>
    <w:rsid w:val="00B27551"/>
    <w:rsid w:val="00B27E25"/>
    <w:rsid w:val="00B27FE8"/>
    <w:rsid w:val="00B30622"/>
    <w:rsid w:val="00B33207"/>
    <w:rsid w:val="00B3326F"/>
    <w:rsid w:val="00B34584"/>
    <w:rsid w:val="00B34918"/>
    <w:rsid w:val="00B3665D"/>
    <w:rsid w:val="00B37048"/>
    <w:rsid w:val="00B377AA"/>
    <w:rsid w:val="00B4065B"/>
    <w:rsid w:val="00B412EE"/>
    <w:rsid w:val="00B41813"/>
    <w:rsid w:val="00B427E1"/>
    <w:rsid w:val="00B43815"/>
    <w:rsid w:val="00B438CB"/>
    <w:rsid w:val="00B4435F"/>
    <w:rsid w:val="00B44960"/>
    <w:rsid w:val="00B44FEE"/>
    <w:rsid w:val="00B45AD0"/>
    <w:rsid w:val="00B46847"/>
    <w:rsid w:val="00B5015C"/>
    <w:rsid w:val="00B50F5B"/>
    <w:rsid w:val="00B51026"/>
    <w:rsid w:val="00B51960"/>
    <w:rsid w:val="00B51A38"/>
    <w:rsid w:val="00B51FEC"/>
    <w:rsid w:val="00B52E46"/>
    <w:rsid w:val="00B536AB"/>
    <w:rsid w:val="00B53A48"/>
    <w:rsid w:val="00B5591B"/>
    <w:rsid w:val="00B55922"/>
    <w:rsid w:val="00B55EDE"/>
    <w:rsid w:val="00B5608F"/>
    <w:rsid w:val="00B56190"/>
    <w:rsid w:val="00B566A6"/>
    <w:rsid w:val="00B56B40"/>
    <w:rsid w:val="00B56B72"/>
    <w:rsid w:val="00B56DF3"/>
    <w:rsid w:val="00B56F84"/>
    <w:rsid w:val="00B57287"/>
    <w:rsid w:val="00B601EF"/>
    <w:rsid w:val="00B616CB"/>
    <w:rsid w:val="00B62340"/>
    <w:rsid w:val="00B625FC"/>
    <w:rsid w:val="00B639D7"/>
    <w:rsid w:val="00B63C35"/>
    <w:rsid w:val="00B63EFF"/>
    <w:rsid w:val="00B6494C"/>
    <w:rsid w:val="00B65591"/>
    <w:rsid w:val="00B65BC0"/>
    <w:rsid w:val="00B6664C"/>
    <w:rsid w:val="00B66C55"/>
    <w:rsid w:val="00B7032C"/>
    <w:rsid w:val="00B71DD4"/>
    <w:rsid w:val="00B74669"/>
    <w:rsid w:val="00B746CE"/>
    <w:rsid w:val="00B748A1"/>
    <w:rsid w:val="00B749E3"/>
    <w:rsid w:val="00B752BF"/>
    <w:rsid w:val="00B762DE"/>
    <w:rsid w:val="00B76391"/>
    <w:rsid w:val="00B763DE"/>
    <w:rsid w:val="00B764AE"/>
    <w:rsid w:val="00B76750"/>
    <w:rsid w:val="00B76E52"/>
    <w:rsid w:val="00B7742A"/>
    <w:rsid w:val="00B777F3"/>
    <w:rsid w:val="00B803A1"/>
    <w:rsid w:val="00B80B83"/>
    <w:rsid w:val="00B80F16"/>
    <w:rsid w:val="00B81146"/>
    <w:rsid w:val="00B8152F"/>
    <w:rsid w:val="00B82135"/>
    <w:rsid w:val="00B826BC"/>
    <w:rsid w:val="00B82CB5"/>
    <w:rsid w:val="00B82D6B"/>
    <w:rsid w:val="00B82DA0"/>
    <w:rsid w:val="00B82FBA"/>
    <w:rsid w:val="00B82FF4"/>
    <w:rsid w:val="00B83171"/>
    <w:rsid w:val="00B833A8"/>
    <w:rsid w:val="00B83D8B"/>
    <w:rsid w:val="00B83E28"/>
    <w:rsid w:val="00B840C6"/>
    <w:rsid w:val="00B8460D"/>
    <w:rsid w:val="00B84B64"/>
    <w:rsid w:val="00B84EF4"/>
    <w:rsid w:val="00B85105"/>
    <w:rsid w:val="00B85FFE"/>
    <w:rsid w:val="00B8648D"/>
    <w:rsid w:val="00B86542"/>
    <w:rsid w:val="00B87762"/>
    <w:rsid w:val="00B9021D"/>
    <w:rsid w:val="00B902E3"/>
    <w:rsid w:val="00B9083C"/>
    <w:rsid w:val="00B910D8"/>
    <w:rsid w:val="00B92FDC"/>
    <w:rsid w:val="00B93FF9"/>
    <w:rsid w:val="00B96C12"/>
    <w:rsid w:val="00B96FDC"/>
    <w:rsid w:val="00B979C4"/>
    <w:rsid w:val="00BA0176"/>
    <w:rsid w:val="00BA1363"/>
    <w:rsid w:val="00BA2599"/>
    <w:rsid w:val="00BA2681"/>
    <w:rsid w:val="00BA2E98"/>
    <w:rsid w:val="00BA306F"/>
    <w:rsid w:val="00BA3224"/>
    <w:rsid w:val="00BA343A"/>
    <w:rsid w:val="00BA38D3"/>
    <w:rsid w:val="00BA4222"/>
    <w:rsid w:val="00BA4248"/>
    <w:rsid w:val="00BA44CB"/>
    <w:rsid w:val="00BA4504"/>
    <w:rsid w:val="00BA4689"/>
    <w:rsid w:val="00BA4CEB"/>
    <w:rsid w:val="00BA5A6E"/>
    <w:rsid w:val="00BA647D"/>
    <w:rsid w:val="00BA7718"/>
    <w:rsid w:val="00BB06D8"/>
    <w:rsid w:val="00BB0D35"/>
    <w:rsid w:val="00BB0F7A"/>
    <w:rsid w:val="00BB102B"/>
    <w:rsid w:val="00BB218F"/>
    <w:rsid w:val="00BB2D74"/>
    <w:rsid w:val="00BB3E6C"/>
    <w:rsid w:val="00BB4D52"/>
    <w:rsid w:val="00BB4EFB"/>
    <w:rsid w:val="00BB732A"/>
    <w:rsid w:val="00BB7396"/>
    <w:rsid w:val="00BB7FB9"/>
    <w:rsid w:val="00BC07E9"/>
    <w:rsid w:val="00BC12B5"/>
    <w:rsid w:val="00BC185A"/>
    <w:rsid w:val="00BC1981"/>
    <w:rsid w:val="00BC202E"/>
    <w:rsid w:val="00BC264E"/>
    <w:rsid w:val="00BC3132"/>
    <w:rsid w:val="00BC33AA"/>
    <w:rsid w:val="00BC4578"/>
    <w:rsid w:val="00BC5F05"/>
    <w:rsid w:val="00BC6CB5"/>
    <w:rsid w:val="00BC6EC2"/>
    <w:rsid w:val="00BC6ED3"/>
    <w:rsid w:val="00BD012D"/>
    <w:rsid w:val="00BD046A"/>
    <w:rsid w:val="00BD151B"/>
    <w:rsid w:val="00BD185D"/>
    <w:rsid w:val="00BD23BB"/>
    <w:rsid w:val="00BD388D"/>
    <w:rsid w:val="00BD3A53"/>
    <w:rsid w:val="00BD3B34"/>
    <w:rsid w:val="00BD3DA0"/>
    <w:rsid w:val="00BD47C4"/>
    <w:rsid w:val="00BD523A"/>
    <w:rsid w:val="00BD542D"/>
    <w:rsid w:val="00BD61AA"/>
    <w:rsid w:val="00BD6258"/>
    <w:rsid w:val="00BD6C30"/>
    <w:rsid w:val="00BD6C72"/>
    <w:rsid w:val="00BD70B0"/>
    <w:rsid w:val="00BD71E6"/>
    <w:rsid w:val="00BD760A"/>
    <w:rsid w:val="00BD77D7"/>
    <w:rsid w:val="00BE1007"/>
    <w:rsid w:val="00BE3D29"/>
    <w:rsid w:val="00BE4973"/>
    <w:rsid w:val="00BE4F98"/>
    <w:rsid w:val="00BE6414"/>
    <w:rsid w:val="00BE6DBE"/>
    <w:rsid w:val="00BE7C25"/>
    <w:rsid w:val="00BE7FD1"/>
    <w:rsid w:val="00BF0031"/>
    <w:rsid w:val="00BF01F5"/>
    <w:rsid w:val="00BF1088"/>
    <w:rsid w:val="00BF10F1"/>
    <w:rsid w:val="00BF10F2"/>
    <w:rsid w:val="00BF3027"/>
    <w:rsid w:val="00BF3796"/>
    <w:rsid w:val="00BF3BEF"/>
    <w:rsid w:val="00BF4448"/>
    <w:rsid w:val="00BF4879"/>
    <w:rsid w:val="00BF490A"/>
    <w:rsid w:val="00BF5339"/>
    <w:rsid w:val="00BF53EB"/>
    <w:rsid w:val="00BF5A78"/>
    <w:rsid w:val="00BF5FE3"/>
    <w:rsid w:val="00BF6D70"/>
    <w:rsid w:val="00BF7138"/>
    <w:rsid w:val="00BF7291"/>
    <w:rsid w:val="00C00012"/>
    <w:rsid w:val="00C00083"/>
    <w:rsid w:val="00C00D16"/>
    <w:rsid w:val="00C0120B"/>
    <w:rsid w:val="00C01A9C"/>
    <w:rsid w:val="00C02048"/>
    <w:rsid w:val="00C024D1"/>
    <w:rsid w:val="00C03264"/>
    <w:rsid w:val="00C034A7"/>
    <w:rsid w:val="00C03CA2"/>
    <w:rsid w:val="00C03E0F"/>
    <w:rsid w:val="00C04460"/>
    <w:rsid w:val="00C05D52"/>
    <w:rsid w:val="00C06DE3"/>
    <w:rsid w:val="00C07427"/>
    <w:rsid w:val="00C07E6C"/>
    <w:rsid w:val="00C1045D"/>
    <w:rsid w:val="00C10838"/>
    <w:rsid w:val="00C11553"/>
    <w:rsid w:val="00C125A0"/>
    <w:rsid w:val="00C12B3A"/>
    <w:rsid w:val="00C12CA2"/>
    <w:rsid w:val="00C1311E"/>
    <w:rsid w:val="00C133FC"/>
    <w:rsid w:val="00C13560"/>
    <w:rsid w:val="00C13DBF"/>
    <w:rsid w:val="00C14971"/>
    <w:rsid w:val="00C1529A"/>
    <w:rsid w:val="00C15CE7"/>
    <w:rsid w:val="00C16359"/>
    <w:rsid w:val="00C163AB"/>
    <w:rsid w:val="00C171F8"/>
    <w:rsid w:val="00C174F7"/>
    <w:rsid w:val="00C176DD"/>
    <w:rsid w:val="00C20350"/>
    <w:rsid w:val="00C20AE2"/>
    <w:rsid w:val="00C20CD3"/>
    <w:rsid w:val="00C21D40"/>
    <w:rsid w:val="00C223BC"/>
    <w:rsid w:val="00C2242D"/>
    <w:rsid w:val="00C2642C"/>
    <w:rsid w:val="00C268D3"/>
    <w:rsid w:val="00C26C57"/>
    <w:rsid w:val="00C32D5C"/>
    <w:rsid w:val="00C337B6"/>
    <w:rsid w:val="00C339E7"/>
    <w:rsid w:val="00C33D25"/>
    <w:rsid w:val="00C34403"/>
    <w:rsid w:val="00C344AA"/>
    <w:rsid w:val="00C34F2F"/>
    <w:rsid w:val="00C36226"/>
    <w:rsid w:val="00C367AD"/>
    <w:rsid w:val="00C36D1C"/>
    <w:rsid w:val="00C37C57"/>
    <w:rsid w:val="00C37E63"/>
    <w:rsid w:val="00C40B4A"/>
    <w:rsid w:val="00C40CD7"/>
    <w:rsid w:val="00C40FB4"/>
    <w:rsid w:val="00C435C4"/>
    <w:rsid w:val="00C438B1"/>
    <w:rsid w:val="00C43BC8"/>
    <w:rsid w:val="00C446FD"/>
    <w:rsid w:val="00C44992"/>
    <w:rsid w:val="00C4519C"/>
    <w:rsid w:val="00C45604"/>
    <w:rsid w:val="00C46149"/>
    <w:rsid w:val="00C465F6"/>
    <w:rsid w:val="00C468F8"/>
    <w:rsid w:val="00C46C91"/>
    <w:rsid w:val="00C472A1"/>
    <w:rsid w:val="00C4775D"/>
    <w:rsid w:val="00C51B65"/>
    <w:rsid w:val="00C51FB9"/>
    <w:rsid w:val="00C531B9"/>
    <w:rsid w:val="00C5362D"/>
    <w:rsid w:val="00C541B6"/>
    <w:rsid w:val="00C546DE"/>
    <w:rsid w:val="00C54D95"/>
    <w:rsid w:val="00C55C22"/>
    <w:rsid w:val="00C57F2B"/>
    <w:rsid w:val="00C60022"/>
    <w:rsid w:val="00C604A8"/>
    <w:rsid w:val="00C604D5"/>
    <w:rsid w:val="00C60779"/>
    <w:rsid w:val="00C60DDF"/>
    <w:rsid w:val="00C62107"/>
    <w:rsid w:val="00C621D8"/>
    <w:rsid w:val="00C62A85"/>
    <w:rsid w:val="00C62B71"/>
    <w:rsid w:val="00C64155"/>
    <w:rsid w:val="00C64D3B"/>
    <w:rsid w:val="00C65090"/>
    <w:rsid w:val="00C65996"/>
    <w:rsid w:val="00C65CAC"/>
    <w:rsid w:val="00C66911"/>
    <w:rsid w:val="00C6767B"/>
    <w:rsid w:val="00C67890"/>
    <w:rsid w:val="00C67A2B"/>
    <w:rsid w:val="00C67E15"/>
    <w:rsid w:val="00C70128"/>
    <w:rsid w:val="00C701F2"/>
    <w:rsid w:val="00C7175C"/>
    <w:rsid w:val="00C719CC"/>
    <w:rsid w:val="00C71BFB"/>
    <w:rsid w:val="00C733D7"/>
    <w:rsid w:val="00C73ADE"/>
    <w:rsid w:val="00C74625"/>
    <w:rsid w:val="00C746C1"/>
    <w:rsid w:val="00C7622F"/>
    <w:rsid w:val="00C76BD5"/>
    <w:rsid w:val="00C76BE0"/>
    <w:rsid w:val="00C76F72"/>
    <w:rsid w:val="00C770AD"/>
    <w:rsid w:val="00C77816"/>
    <w:rsid w:val="00C818DB"/>
    <w:rsid w:val="00C81E58"/>
    <w:rsid w:val="00C8357D"/>
    <w:rsid w:val="00C83F54"/>
    <w:rsid w:val="00C84453"/>
    <w:rsid w:val="00C84C73"/>
    <w:rsid w:val="00C854A4"/>
    <w:rsid w:val="00C865DC"/>
    <w:rsid w:val="00C86732"/>
    <w:rsid w:val="00C8675B"/>
    <w:rsid w:val="00C902C0"/>
    <w:rsid w:val="00C90CC7"/>
    <w:rsid w:val="00C90F54"/>
    <w:rsid w:val="00C91995"/>
    <w:rsid w:val="00C91A14"/>
    <w:rsid w:val="00C91A6D"/>
    <w:rsid w:val="00C92CA0"/>
    <w:rsid w:val="00C93079"/>
    <w:rsid w:val="00C9479F"/>
    <w:rsid w:val="00C94EBD"/>
    <w:rsid w:val="00C952BE"/>
    <w:rsid w:val="00C95831"/>
    <w:rsid w:val="00C9606A"/>
    <w:rsid w:val="00C96099"/>
    <w:rsid w:val="00C968C1"/>
    <w:rsid w:val="00C97B1D"/>
    <w:rsid w:val="00C97FA9"/>
    <w:rsid w:val="00C97FC3"/>
    <w:rsid w:val="00CA110E"/>
    <w:rsid w:val="00CA12D8"/>
    <w:rsid w:val="00CA2871"/>
    <w:rsid w:val="00CA38D1"/>
    <w:rsid w:val="00CA4301"/>
    <w:rsid w:val="00CA48DE"/>
    <w:rsid w:val="00CA5224"/>
    <w:rsid w:val="00CA5695"/>
    <w:rsid w:val="00CA6B58"/>
    <w:rsid w:val="00CA7298"/>
    <w:rsid w:val="00CB16C8"/>
    <w:rsid w:val="00CB2802"/>
    <w:rsid w:val="00CB34ED"/>
    <w:rsid w:val="00CB36F9"/>
    <w:rsid w:val="00CB3AD9"/>
    <w:rsid w:val="00CB3E14"/>
    <w:rsid w:val="00CB3F3B"/>
    <w:rsid w:val="00CB558A"/>
    <w:rsid w:val="00CB55CE"/>
    <w:rsid w:val="00CB571C"/>
    <w:rsid w:val="00CB72E5"/>
    <w:rsid w:val="00CB7328"/>
    <w:rsid w:val="00CB7740"/>
    <w:rsid w:val="00CB78EF"/>
    <w:rsid w:val="00CB7D11"/>
    <w:rsid w:val="00CC0175"/>
    <w:rsid w:val="00CC1064"/>
    <w:rsid w:val="00CC134B"/>
    <w:rsid w:val="00CC246C"/>
    <w:rsid w:val="00CC2CEC"/>
    <w:rsid w:val="00CC2E3A"/>
    <w:rsid w:val="00CC3175"/>
    <w:rsid w:val="00CC33A6"/>
    <w:rsid w:val="00CC35E4"/>
    <w:rsid w:val="00CC36D4"/>
    <w:rsid w:val="00CC3F34"/>
    <w:rsid w:val="00CC4443"/>
    <w:rsid w:val="00CC524D"/>
    <w:rsid w:val="00CC59A3"/>
    <w:rsid w:val="00CC7923"/>
    <w:rsid w:val="00CC7CDF"/>
    <w:rsid w:val="00CC7D9B"/>
    <w:rsid w:val="00CC7DA2"/>
    <w:rsid w:val="00CD00F1"/>
    <w:rsid w:val="00CD064C"/>
    <w:rsid w:val="00CD076C"/>
    <w:rsid w:val="00CD10EB"/>
    <w:rsid w:val="00CD1697"/>
    <w:rsid w:val="00CD3CD7"/>
    <w:rsid w:val="00CD3F57"/>
    <w:rsid w:val="00CD473B"/>
    <w:rsid w:val="00CD50CA"/>
    <w:rsid w:val="00CD54FF"/>
    <w:rsid w:val="00CD5A55"/>
    <w:rsid w:val="00CD6872"/>
    <w:rsid w:val="00CD688E"/>
    <w:rsid w:val="00CD700A"/>
    <w:rsid w:val="00CD766D"/>
    <w:rsid w:val="00CD7916"/>
    <w:rsid w:val="00CE0C51"/>
    <w:rsid w:val="00CE16FD"/>
    <w:rsid w:val="00CE3C90"/>
    <w:rsid w:val="00CE44A4"/>
    <w:rsid w:val="00CE51A2"/>
    <w:rsid w:val="00CE59DD"/>
    <w:rsid w:val="00CE5ED7"/>
    <w:rsid w:val="00CE6350"/>
    <w:rsid w:val="00CE666C"/>
    <w:rsid w:val="00CE6906"/>
    <w:rsid w:val="00CE7E0C"/>
    <w:rsid w:val="00CE7EFA"/>
    <w:rsid w:val="00CF0846"/>
    <w:rsid w:val="00CF2117"/>
    <w:rsid w:val="00CF22C6"/>
    <w:rsid w:val="00CF4347"/>
    <w:rsid w:val="00CF469B"/>
    <w:rsid w:val="00CF5949"/>
    <w:rsid w:val="00CF68E4"/>
    <w:rsid w:val="00CF6BBC"/>
    <w:rsid w:val="00CF7118"/>
    <w:rsid w:val="00CF741B"/>
    <w:rsid w:val="00CF744F"/>
    <w:rsid w:val="00D003D4"/>
    <w:rsid w:val="00D0050B"/>
    <w:rsid w:val="00D00773"/>
    <w:rsid w:val="00D0159B"/>
    <w:rsid w:val="00D018BB"/>
    <w:rsid w:val="00D02CAE"/>
    <w:rsid w:val="00D02E7B"/>
    <w:rsid w:val="00D03880"/>
    <w:rsid w:val="00D0389E"/>
    <w:rsid w:val="00D051FF"/>
    <w:rsid w:val="00D062CF"/>
    <w:rsid w:val="00D06F9E"/>
    <w:rsid w:val="00D1007F"/>
    <w:rsid w:val="00D12055"/>
    <w:rsid w:val="00D13BDD"/>
    <w:rsid w:val="00D14379"/>
    <w:rsid w:val="00D14BE9"/>
    <w:rsid w:val="00D15C08"/>
    <w:rsid w:val="00D168F2"/>
    <w:rsid w:val="00D16DE3"/>
    <w:rsid w:val="00D1763B"/>
    <w:rsid w:val="00D17BD7"/>
    <w:rsid w:val="00D17E86"/>
    <w:rsid w:val="00D204B4"/>
    <w:rsid w:val="00D21228"/>
    <w:rsid w:val="00D22B35"/>
    <w:rsid w:val="00D22BD3"/>
    <w:rsid w:val="00D230AF"/>
    <w:rsid w:val="00D231CE"/>
    <w:rsid w:val="00D2400A"/>
    <w:rsid w:val="00D2414B"/>
    <w:rsid w:val="00D24375"/>
    <w:rsid w:val="00D2589B"/>
    <w:rsid w:val="00D259A5"/>
    <w:rsid w:val="00D26CDB"/>
    <w:rsid w:val="00D270D8"/>
    <w:rsid w:val="00D27468"/>
    <w:rsid w:val="00D3059C"/>
    <w:rsid w:val="00D30AFA"/>
    <w:rsid w:val="00D3158A"/>
    <w:rsid w:val="00D33086"/>
    <w:rsid w:val="00D33120"/>
    <w:rsid w:val="00D332BA"/>
    <w:rsid w:val="00D3343B"/>
    <w:rsid w:val="00D349DA"/>
    <w:rsid w:val="00D368A8"/>
    <w:rsid w:val="00D37EA8"/>
    <w:rsid w:val="00D400CC"/>
    <w:rsid w:val="00D4041A"/>
    <w:rsid w:val="00D41E43"/>
    <w:rsid w:val="00D423E9"/>
    <w:rsid w:val="00D4274B"/>
    <w:rsid w:val="00D43ADC"/>
    <w:rsid w:val="00D44044"/>
    <w:rsid w:val="00D4554B"/>
    <w:rsid w:val="00D46CA8"/>
    <w:rsid w:val="00D46F80"/>
    <w:rsid w:val="00D5024A"/>
    <w:rsid w:val="00D54377"/>
    <w:rsid w:val="00D54A85"/>
    <w:rsid w:val="00D553E9"/>
    <w:rsid w:val="00D57DA3"/>
    <w:rsid w:val="00D57F1B"/>
    <w:rsid w:val="00D60C6C"/>
    <w:rsid w:val="00D60E9E"/>
    <w:rsid w:val="00D61A29"/>
    <w:rsid w:val="00D61CAB"/>
    <w:rsid w:val="00D61F82"/>
    <w:rsid w:val="00D629A6"/>
    <w:rsid w:val="00D62F14"/>
    <w:rsid w:val="00D63575"/>
    <w:rsid w:val="00D637A1"/>
    <w:rsid w:val="00D64CCC"/>
    <w:rsid w:val="00D64D95"/>
    <w:rsid w:val="00D65A5C"/>
    <w:rsid w:val="00D65D27"/>
    <w:rsid w:val="00D65E7F"/>
    <w:rsid w:val="00D672D1"/>
    <w:rsid w:val="00D6735E"/>
    <w:rsid w:val="00D70650"/>
    <w:rsid w:val="00D70AB6"/>
    <w:rsid w:val="00D728E1"/>
    <w:rsid w:val="00D73583"/>
    <w:rsid w:val="00D752E7"/>
    <w:rsid w:val="00D7530C"/>
    <w:rsid w:val="00D763FD"/>
    <w:rsid w:val="00D775BC"/>
    <w:rsid w:val="00D778E3"/>
    <w:rsid w:val="00D77916"/>
    <w:rsid w:val="00D77C95"/>
    <w:rsid w:val="00D80F08"/>
    <w:rsid w:val="00D81B64"/>
    <w:rsid w:val="00D82D7D"/>
    <w:rsid w:val="00D833FF"/>
    <w:rsid w:val="00D83B89"/>
    <w:rsid w:val="00D86BE0"/>
    <w:rsid w:val="00D873FC"/>
    <w:rsid w:val="00D90BFA"/>
    <w:rsid w:val="00D90E77"/>
    <w:rsid w:val="00D9283C"/>
    <w:rsid w:val="00D92EE4"/>
    <w:rsid w:val="00D9398C"/>
    <w:rsid w:val="00D93AE7"/>
    <w:rsid w:val="00D93C22"/>
    <w:rsid w:val="00D940D7"/>
    <w:rsid w:val="00D948C8"/>
    <w:rsid w:val="00D96064"/>
    <w:rsid w:val="00D9725C"/>
    <w:rsid w:val="00D972B4"/>
    <w:rsid w:val="00DA15F3"/>
    <w:rsid w:val="00DA180D"/>
    <w:rsid w:val="00DA2E83"/>
    <w:rsid w:val="00DA3CB4"/>
    <w:rsid w:val="00DA3D21"/>
    <w:rsid w:val="00DA5D6A"/>
    <w:rsid w:val="00DA5F30"/>
    <w:rsid w:val="00DA695D"/>
    <w:rsid w:val="00DA700C"/>
    <w:rsid w:val="00DA724A"/>
    <w:rsid w:val="00DA760B"/>
    <w:rsid w:val="00DA7C39"/>
    <w:rsid w:val="00DA7F7E"/>
    <w:rsid w:val="00DB2387"/>
    <w:rsid w:val="00DB2ADB"/>
    <w:rsid w:val="00DB3153"/>
    <w:rsid w:val="00DB33E2"/>
    <w:rsid w:val="00DB3B85"/>
    <w:rsid w:val="00DB5924"/>
    <w:rsid w:val="00DB5BCC"/>
    <w:rsid w:val="00DB615C"/>
    <w:rsid w:val="00DB61ED"/>
    <w:rsid w:val="00DB62CF"/>
    <w:rsid w:val="00DB6FA7"/>
    <w:rsid w:val="00DB7295"/>
    <w:rsid w:val="00DB754B"/>
    <w:rsid w:val="00DB75DE"/>
    <w:rsid w:val="00DC0EB7"/>
    <w:rsid w:val="00DC11B1"/>
    <w:rsid w:val="00DC1581"/>
    <w:rsid w:val="00DC1665"/>
    <w:rsid w:val="00DC175A"/>
    <w:rsid w:val="00DC2544"/>
    <w:rsid w:val="00DC25D2"/>
    <w:rsid w:val="00DC26EF"/>
    <w:rsid w:val="00DC27EB"/>
    <w:rsid w:val="00DC2823"/>
    <w:rsid w:val="00DC2DC4"/>
    <w:rsid w:val="00DC5873"/>
    <w:rsid w:val="00DC652C"/>
    <w:rsid w:val="00DC7CF7"/>
    <w:rsid w:val="00DD0D4B"/>
    <w:rsid w:val="00DD2C4B"/>
    <w:rsid w:val="00DD408B"/>
    <w:rsid w:val="00DD4976"/>
    <w:rsid w:val="00DD4E9C"/>
    <w:rsid w:val="00DD5068"/>
    <w:rsid w:val="00DD507A"/>
    <w:rsid w:val="00DD5480"/>
    <w:rsid w:val="00DD680B"/>
    <w:rsid w:val="00DD6D5D"/>
    <w:rsid w:val="00DE0046"/>
    <w:rsid w:val="00DE0258"/>
    <w:rsid w:val="00DE051E"/>
    <w:rsid w:val="00DE0F8D"/>
    <w:rsid w:val="00DE1911"/>
    <w:rsid w:val="00DE25A5"/>
    <w:rsid w:val="00DE32E7"/>
    <w:rsid w:val="00DE3AC2"/>
    <w:rsid w:val="00DE40B5"/>
    <w:rsid w:val="00DE437E"/>
    <w:rsid w:val="00DE4EC4"/>
    <w:rsid w:val="00DE4EC8"/>
    <w:rsid w:val="00DE714E"/>
    <w:rsid w:val="00DE74CA"/>
    <w:rsid w:val="00DE7BFB"/>
    <w:rsid w:val="00DF063F"/>
    <w:rsid w:val="00DF1617"/>
    <w:rsid w:val="00DF186B"/>
    <w:rsid w:val="00DF1BF4"/>
    <w:rsid w:val="00DF2643"/>
    <w:rsid w:val="00DF2D3C"/>
    <w:rsid w:val="00DF4DA9"/>
    <w:rsid w:val="00DF6917"/>
    <w:rsid w:val="00DF7978"/>
    <w:rsid w:val="00E00900"/>
    <w:rsid w:val="00E00CD8"/>
    <w:rsid w:val="00E0162E"/>
    <w:rsid w:val="00E01773"/>
    <w:rsid w:val="00E01D58"/>
    <w:rsid w:val="00E025F4"/>
    <w:rsid w:val="00E03660"/>
    <w:rsid w:val="00E04C59"/>
    <w:rsid w:val="00E05837"/>
    <w:rsid w:val="00E07192"/>
    <w:rsid w:val="00E10411"/>
    <w:rsid w:val="00E1167B"/>
    <w:rsid w:val="00E126CD"/>
    <w:rsid w:val="00E135B1"/>
    <w:rsid w:val="00E14228"/>
    <w:rsid w:val="00E14B86"/>
    <w:rsid w:val="00E15040"/>
    <w:rsid w:val="00E1569A"/>
    <w:rsid w:val="00E1582F"/>
    <w:rsid w:val="00E15992"/>
    <w:rsid w:val="00E15A0B"/>
    <w:rsid w:val="00E15E90"/>
    <w:rsid w:val="00E16A11"/>
    <w:rsid w:val="00E16AEF"/>
    <w:rsid w:val="00E16B3A"/>
    <w:rsid w:val="00E16BF1"/>
    <w:rsid w:val="00E16C82"/>
    <w:rsid w:val="00E16D40"/>
    <w:rsid w:val="00E21139"/>
    <w:rsid w:val="00E21A3B"/>
    <w:rsid w:val="00E21F86"/>
    <w:rsid w:val="00E224D0"/>
    <w:rsid w:val="00E22C20"/>
    <w:rsid w:val="00E22D68"/>
    <w:rsid w:val="00E23B6F"/>
    <w:rsid w:val="00E24872"/>
    <w:rsid w:val="00E258BD"/>
    <w:rsid w:val="00E25AE7"/>
    <w:rsid w:val="00E25C20"/>
    <w:rsid w:val="00E2621D"/>
    <w:rsid w:val="00E2722A"/>
    <w:rsid w:val="00E27269"/>
    <w:rsid w:val="00E3026B"/>
    <w:rsid w:val="00E30296"/>
    <w:rsid w:val="00E3119B"/>
    <w:rsid w:val="00E32BD8"/>
    <w:rsid w:val="00E3333A"/>
    <w:rsid w:val="00E33AAF"/>
    <w:rsid w:val="00E33E9D"/>
    <w:rsid w:val="00E34C77"/>
    <w:rsid w:val="00E34DCB"/>
    <w:rsid w:val="00E35233"/>
    <w:rsid w:val="00E364FC"/>
    <w:rsid w:val="00E366D0"/>
    <w:rsid w:val="00E3673E"/>
    <w:rsid w:val="00E36BB8"/>
    <w:rsid w:val="00E375C4"/>
    <w:rsid w:val="00E37664"/>
    <w:rsid w:val="00E403FE"/>
    <w:rsid w:val="00E4046C"/>
    <w:rsid w:val="00E41739"/>
    <w:rsid w:val="00E423D4"/>
    <w:rsid w:val="00E4259E"/>
    <w:rsid w:val="00E42780"/>
    <w:rsid w:val="00E42DC5"/>
    <w:rsid w:val="00E42FC7"/>
    <w:rsid w:val="00E43312"/>
    <w:rsid w:val="00E43ABA"/>
    <w:rsid w:val="00E44306"/>
    <w:rsid w:val="00E44576"/>
    <w:rsid w:val="00E44A4B"/>
    <w:rsid w:val="00E44E68"/>
    <w:rsid w:val="00E451AA"/>
    <w:rsid w:val="00E46198"/>
    <w:rsid w:val="00E46DB4"/>
    <w:rsid w:val="00E505B6"/>
    <w:rsid w:val="00E50FE5"/>
    <w:rsid w:val="00E5104A"/>
    <w:rsid w:val="00E51CDF"/>
    <w:rsid w:val="00E5241F"/>
    <w:rsid w:val="00E52AFA"/>
    <w:rsid w:val="00E538B5"/>
    <w:rsid w:val="00E53E72"/>
    <w:rsid w:val="00E540D5"/>
    <w:rsid w:val="00E543E4"/>
    <w:rsid w:val="00E544F6"/>
    <w:rsid w:val="00E547EB"/>
    <w:rsid w:val="00E553F9"/>
    <w:rsid w:val="00E56017"/>
    <w:rsid w:val="00E565DA"/>
    <w:rsid w:val="00E56C45"/>
    <w:rsid w:val="00E57712"/>
    <w:rsid w:val="00E5795B"/>
    <w:rsid w:val="00E57AD4"/>
    <w:rsid w:val="00E6011E"/>
    <w:rsid w:val="00E601D4"/>
    <w:rsid w:val="00E611D2"/>
    <w:rsid w:val="00E624DA"/>
    <w:rsid w:val="00E62A41"/>
    <w:rsid w:val="00E63C3A"/>
    <w:rsid w:val="00E63FF3"/>
    <w:rsid w:val="00E6459F"/>
    <w:rsid w:val="00E6521B"/>
    <w:rsid w:val="00E65B21"/>
    <w:rsid w:val="00E65D3F"/>
    <w:rsid w:val="00E704DB"/>
    <w:rsid w:val="00E70DB9"/>
    <w:rsid w:val="00E711F1"/>
    <w:rsid w:val="00E718ED"/>
    <w:rsid w:val="00E71B76"/>
    <w:rsid w:val="00E7219B"/>
    <w:rsid w:val="00E74758"/>
    <w:rsid w:val="00E75190"/>
    <w:rsid w:val="00E75BAD"/>
    <w:rsid w:val="00E75C19"/>
    <w:rsid w:val="00E762AE"/>
    <w:rsid w:val="00E7711D"/>
    <w:rsid w:val="00E7781A"/>
    <w:rsid w:val="00E8194E"/>
    <w:rsid w:val="00E8198B"/>
    <w:rsid w:val="00E81EAA"/>
    <w:rsid w:val="00E82426"/>
    <w:rsid w:val="00E8254E"/>
    <w:rsid w:val="00E82A3C"/>
    <w:rsid w:val="00E83402"/>
    <w:rsid w:val="00E8423D"/>
    <w:rsid w:val="00E84D25"/>
    <w:rsid w:val="00E85698"/>
    <w:rsid w:val="00E8622D"/>
    <w:rsid w:val="00E86787"/>
    <w:rsid w:val="00E872D0"/>
    <w:rsid w:val="00E9007F"/>
    <w:rsid w:val="00E9088F"/>
    <w:rsid w:val="00E91088"/>
    <w:rsid w:val="00E91C53"/>
    <w:rsid w:val="00E91F3C"/>
    <w:rsid w:val="00E92317"/>
    <w:rsid w:val="00E9275B"/>
    <w:rsid w:val="00E929B1"/>
    <w:rsid w:val="00E93293"/>
    <w:rsid w:val="00E93E64"/>
    <w:rsid w:val="00E94F8C"/>
    <w:rsid w:val="00E96874"/>
    <w:rsid w:val="00E97BAE"/>
    <w:rsid w:val="00EA0D22"/>
    <w:rsid w:val="00EA0E25"/>
    <w:rsid w:val="00EA135D"/>
    <w:rsid w:val="00EA1CD4"/>
    <w:rsid w:val="00EA1F1E"/>
    <w:rsid w:val="00EA1FB9"/>
    <w:rsid w:val="00EA2A34"/>
    <w:rsid w:val="00EA2C61"/>
    <w:rsid w:val="00EA3551"/>
    <w:rsid w:val="00EA35ED"/>
    <w:rsid w:val="00EA4061"/>
    <w:rsid w:val="00EA414B"/>
    <w:rsid w:val="00EA4774"/>
    <w:rsid w:val="00EA51BB"/>
    <w:rsid w:val="00EA6636"/>
    <w:rsid w:val="00EA66D5"/>
    <w:rsid w:val="00EA7264"/>
    <w:rsid w:val="00EB0506"/>
    <w:rsid w:val="00EB1C40"/>
    <w:rsid w:val="00EB33C8"/>
    <w:rsid w:val="00EB40B1"/>
    <w:rsid w:val="00EB4448"/>
    <w:rsid w:val="00EB4AD3"/>
    <w:rsid w:val="00EB56CC"/>
    <w:rsid w:val="00EB6B85"/>
    <w:rsid w:val="00EB726D"/>
    <w:rsid w:val="00EB7454"/>
    <w:rsid w:val="00EC0632"/>
    <w:rsid w:val="00EC10D2"/>
    <w:rsid w:val="00EC1DB3"/>
    <w:rsid w:val="00EC1EBB"/>
    <w:rsid w:val="00EC33B9"/>
    <w:rsid w:val="00EC525F"/>
    <w:rsid w:val="00EC5511"/>
    <w:rsid w:val="00EC5518"/>
    <w:rsid w:val="00EC6957"/>
    <w:rsid w:val="00EC6B87"/>
    <w:rsid w:val="00EC6ECC"/>
    <w:rsid w:val="00EC7DB3"/>
    <w:rsid w:val="00ED039B"/>
    <w:rsid w:val="00ED144A"/>
    <w:rsid w:val="00ED162E"/>
    <w:rsid w:val="00ED28EA"/>
    <w:rsid w:val="00ED2BC4"/>
    <w:rsid w:val="00ED36D6"/>
    <w:rsid w:val="00ED3B76"/>
    <w:rsid w:val="00ED5280"/>
    <w:rsid w:val="00ED54D7"/>
    <w:rsid w:val="00ED5B81"/>
    <w:rsid w:val="00ED5CA3"/>
    <w:rsid w:val="00ED66D5"/>
    <w:rsid w:val="00ED7729"/>
    <w:rsid w:val="00ED7FD2"/>
    <w:rsid w:val="00ED7FD6"/>
    <w:rsid w:val="00EE0BA5"/>
    <w:rsid w:val="00EE1988"/>
    <w:rsid w:val="00EE2570"/>
    <w:rsid w:val="00EE2F67"/>
    <w:rsid w:val="00EE54D8"/>
    <w:rsid w:val="00EE5F09"/>
    <w:rsid w:val="00EE6124"/>
    <w:rsid w:val="00EE752E"/>
    <w:rsid w:val="00EE7D43"/>
    <w:rsid w:val="00EF0B94"/>
    <w:rsid w:val="00EF11F7"/>
    <w:rsid w:val="00EF20BE"/>
    <w:rsid w:val="00EF2D4C"/>
    <w:rsid w:val="00EF2E08"/>
    <w:rsid w:val="00EF371C"/>
    <w:rsid w:val="00EF418C"/>
    <w:rsid w:val="00EF4255"/>
    <w:rsid w:val="00EF48A4"/>
    <w:rsid w:val="00EF48BC"/>
    <w:rsid w:val="00EF4DDC"/>
    <w:rsid w:val="00EF4E3F"/>
    <w:rsid w:val="00EF6D90"/>
    <w:rsid w:val="00EF6EFD"/>
    <w:rsid w:val="00EF7289"/>
    <w:rsid w:val="00F002B9"/>
    <w:rsid w:val="00F01F86"/>
    <w:rsid w:val="00F021CA"/>
    <w:rsid w:val="00F0220D"/>
    <w:rsid w:val="00F02B27"/>
    <w:rsid w:val="00F03033"/>
    <w:rsid w:val="00F03432"/>
    <w:rsid w:val="00F03F90"/>
    <w:rsid w:val="00F04D66"/>
    <w:rsid w:val="00F053AE"/>
    <w:rsid w:val="00F057A1"/>
    <w:rsid w:val="00F05E78"/>
    <w:rsid w:val="00F063C7"/>
    <w:rsid w:val="00F068B3"/>
    <w:rsid w:val="00F079E9"/>
    <w:rsid w:val="00F10205"/>
    <w:rsid w:val="00F10235"/>
    <w:rsid w:val="00F10398"/>
    <w:rsid w:val="00F10782"/>
    <w:rsid w:val="00F112DA"/>
    <w:rsid w:val="00F13641"/>
    <w:rsid w:val="00F13D7C"/>
    <w:rsid w:val="00F17072"/>
    <w:rsid w:val="00F171B8"/>
    <w:rsid w:val="00F172FB"/>
    <w:rsid w:val="00F17657"/>
    <w:rsid w:val="00F17F5F"/>
    <w:rsid w:val="00F2000E"/>
    <w:rsid w:val="00F208D3"/>
    <w:rsid w:val="00F21B27"/>
    <w:rsid w:val="00F2281A"/>
    <w:rsid w:val="00F22A99"/>
    <w:rsid w:val="00F23032"/>
    <w:rsid w:val="00F231E7"/>
    <w:rsid w:val="00F238BF"/>
    <w:rsid w:val="00F24725"/>
    <w:rsid w:val="00F25744"/>
    <w:rsid w:val="00F25A08"/>
    <w:rsid w:val="00F27734"/>
    <w:rsid w:val="00F30050"/>
    <w:rsid w:val="00F30AFE"/>
    <w:rsid w:val="00F30B69"/>
    <w:rsid w:val="00F30D71"/>
    <w:rsid w:val="00F32F46"/>
    <w:rsid w:val="00F33FAA"/>
    <w:rsid w:val="00F3463F"/>
    <w:rsid w:val="00F356ED"/>
    <w:rsid w:val="00F35B10"/>
    <w:rsid w:val="00F36294"/>
    <w:rsid w:val="00F371C7"/>
    <w:rsid w:val="00F37B44"/>
    <w:rsid w:val="00F404E9"/>
    <w:rsid w:val="00F40F78"/>
    <w:rsid w:val="00F435EF"/>
    <w:rsid w:val="00F43D81"/>
    <w:rsid w:val="00F443B2"/>
    <w:rsid w:val="00F44A31"/>
    <w:rsid w:val="00F4589F"/>
    <w:rsid w:val="00F464F4"/>
    <w:rsid w:val="00F46584"/>
    <w:rsid w:val="00F479CB"/>
    <w:rsid w:val="00F50202"/>
    <w:rsid w:val="00F50723"/>
    <w:rsid w:val="00F50C7B"/>
    <w:rsid w:val="00F50F17"/>
    <w:rsid w:val="00F51267"/>
    <w:rsid w:val="00F51BD6"/>
    <w:rsid w:val="00F52460"/>
    <w:rsid w:val="00F52650"/>
    <w:rsid w:val="00F53E4A"/>
    <w:rsid w:val="00F543D2"/>
    <w:rsid w:val="00F54F12"/>
    <w:rsid w:val="00F5509F"/>
    <w:rsid w:val="00F55E60"/>
    <w:rsid w:val="00F563F1"/>
    <w:rsid w:val="00F56741"/>
    <w:rsid w:val="00F56A28"/>
    <w:rsid w:val="00F56E51"/>
    <w:rsid w:val="00F57FB0"/>
    <w:rsid w:val="00F60782"/>
    <w:rsid w:val="00F623F1"/>
    <w:rsid w:val="00F62B3C"/>
    <w:rsid w:val="00F62DFE"/>
    <w:rsid w:val="00F64748"/>
    <w:rsid w:val="00F64782"/>
    <w:rsid w:val="00F64C1E"/>
    <w:rsid w:val="00F65AAB"/>
    <w:rsid w:val="00F65B0A"/>
    <w:rsid w:val="00F66228"/>
    <w:rsid w:val="00F670F8"/>
    <w:rsid w:val="00F67AA6"/>
    <w:rsid w:val="00F67CEC"/>
    <w:rsid w:val="00F717AE"/>
    <w:rsid w:val="00F71C96"/>
    <w:rsid w:val="00F71E50"/>
    <w:rsid w:val="00F7237A"/>
    <w:rsid w:val="00F723BB"/>
    <w:rsid w:val="00F72A7A"/>
    <w:rsid w:val="00F73E90"/>
    <w:rsid w:val="00F73EB7"/>
    <w:rsid w:val="00F73EDA"/>
    <w:rsid w:val="00F7498F"/>
    <w:rsid w:val="00F74FC2"/>
    <w:rsid w:val="00F75977"/>
    <w:rsid w:val="00F759B1"/>
    <w:rsid w:val="00F7688C"/>
    <w:rsid w:val="00F76C29"/>
    <w:rsid w:val="00F76C50"/>
    <w:rsid w:val="00F77A95"/>
    <w:rsid w:val="00F77CE2"/>
    <w:rsid w:val="00F80A3A"/>
    <w:rsid w:val="00F81449"/>
    <w:rsid w:val="00F81B7A"/>
    <w:rsid w:val="00F82F4D"/>
    <w:rsid w:val="00F82F8C"/>
    <w:rsid w:val="00F84773"/>
    <w:rsid w:val="00F847E8"/>
    <w:rsid w:val="00F858ED"/>
    <w:rsid w:val="00F86069"/>
    <w:rsid w:val="00F86128"/>
    <w:rsid w:val="00F864C7"/>
    <w:rsid w:val="00F87005"/>
    <w:rsid w:val="00F900D7"/>
    <w:rsid w:val="00F90B31"/>
    <w:rsid w:val="00F91359"/>
    <w:rsid w:val="00F91F78"/>
    <w:rsid w:val="00F92C4B"/>
    <w:rsid w:val="00F92ED6"/>
    <w:rsid w:val="00F93146"/>
    <w:rsid w:val="00F9387A"/>
    <w:rsid w:val="00F9387C"/>
    <w:rsid w:val="00F9390D"/>
    <w:rsid w:val="00F94226"/>
    <w:rsid w:val="00F9428A"/>
    <w:rsid w:val="00F9430F"/>
    <w:rsid w:val="00F95C80"/>
    <w:rsid w:val="00F96E83"/>
    <w:rsid w:val="00F96F21"/>
    <w:rsid w:val="00F9749F"/>
    <w:rsid w:val="00F97536"/>
    <w:rsid w:val="00F97F07"/>
    <w:rsid w:val="00FA0664"/>
    <w:rsid w:val="00FA0E87"/>
    <w:rsid w:val="00FA1BD5"/>
    <w:rsid w:val="00FA1F0B"/>
    <w:rsid w:val="00FA1FB5"/>
    <w:rsid w:val="00FA2305"/>
    <w:rsid w:val="00FA302F"/>
    <w:rsid w:val="00FA338E"/>
    <w:rsid w:val="00FA609E"/>
    <w:rsid w:val="00FA6367"/>
    <w:rsid w:val="00FA75C9"/>
    <w:rsid w:val="00FB0038"/>
    <w:rsid w:val="00FB119E"/>
    <w:rsid w:val="00FB1513"/>
    <w:rsid w:val="00FB23DC"/>
    <w:rsid w:val="00FB2832"/>
    <w:rsid w:val="00FB2938"/>
    <w:rsid w:val="00FB3D36"/>
    <w:rsid w:val="00FB3F5F"/>
    <w:rsid w:val="00FB4340"/>
    <w:rsid w:val="00FB4979"/>
    <w:rsid w:val="00FB5379"/>
    <w:rsid w:val="00FB54D1"/>
    <w:rsid w:val="00FB6A0E"/>
    <w:rsid w:val="00FB72BD"/>
    <w:rsid w:val="00FB784E"/>
    <w:rsid w:val="00FB7C97"/>
    <w:rsid w:val="00FC1025"/>
    <w:rsid w:val="00FC1BCD"/>
    <w:rsid w:val="00FC2CE7"/>
    <w:rsid w:val="00FC3128"/>
    <w:rsid w:val="00FC3352"/>
    <w:rsid w:val="00FC3BA9"/>
    <w:rsid w:val="00FC3F52"/>
    <w:rsid w:val="00FC4C1E"/>
    <w:rsid w:val="00FC61A8"/>
    <w:rsid w:val="00FC6C3C"/>
    <w:rsid w:val="00FD04C9"/>
    <w:rsid w:val="00FD0858"/>
    <w:rsid w:val="00FD0E35"/>
    <w:rsid w:val="00FD0FC9"/>
    <w:rsid w:val="00FD122C"/>
    <w:rsid w:val="00FD1FDB"/>
    <w:rsid w:val="00FD211F"/>
    <w:rsid w:val="00FD2439"/>
    <w:rsid w:val="00FD2787"/>
    <w:rsid w:val="00FD405E"/>
    <w:rsid w:val="00FD44B3"/>
    <w:rsid w:val="00FD4C1D"/>
    <w:rsid w:val="00FD533F"/>
    <w:rsid w:val="00FD544B"/>
    <w:rsid w:val="00FD5B64"/>
    <w:rsid w:val="00FD613D"/>
    <w:rsid w:val="00FD6389"/>
    <w:rsid w:val="00FD6955"/>
    <w:rsid w:val="00FD7577"/>
    <w:rsid w:val="00FE0090"/>
    <w:rsid w:val="00FE02A7"/>
    <w:rsid w:val="00FE0A09"/>
    <w:rsid w:val="00FE1027"/>
    <w:rsid w:val="00FE1076"/>
    <w:rsid w:val="00FE1A74"/>
    <w:rsid w:val="00FE2067"/>
    <w:rsid w:val="00FE277C"/>
    <w:rsid w:val="00FE2E8D"/>
    <w:rsid w:val="00FE3876"/>
    <w:rsid w:val="00FE4009"/>
    <w:rsid w:val="00FE45D6"/>
    <w:rsid w:val="00FE4A90"/>
    <w:rsid w:val="00FE62B3"/>
    <w:rsid w:val="00FE743A"/>
    <w:rsid w:val="00FE77F9"/>
    <w:rsid w:val="00FE7EFD"/>
    <w:rsid w:val="00FF013D"/>
    <w:rsid w:val="00FF0283"/>
    <w:rsid w:val="00FF0CC0"/>
    <w:rsid w:val="00FF1778"/>
    <w:rsid w:val="00FF1973"/>
    <w:rsid w:val="00FF20B2"/>
    <w:rsid w:val="00FF309B"/>
    <w:rsid w:val="00FF3635"/>
    <w:rsid w:val="00FF3F2B"/>
    <w:rsid w:val="00FF4071"/>
    <w:rsid w:val="00FF4203"/>
    <w:rsid w:val="00FF436B"/>
    <w:rsid w:val="00FF4404"/>
    <w:rsid w:val="00FF468E"/>
    <w:rsid w:val="00FF4FE7"/>
    <w:rsid w:val="00FF675A"/>
    <w:rsid w:val="00FF6952"/>
  </w:rsids>
  <m:mathPr>
    <m:mathFont m:val="Cambria Math"/>
    <m:brkBin m:val="before"/>
    <m:brkBinSub m:val="--"/>
    <m:smallFrac m:val="0"/>
    <m:dispDef/>
    <m:lMargin m:val="0"/>
    <m:rMargin m:val="0"/>
    <m:defJc m:val="centerGroup"/>
    <m:wrapRight/>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19F0F43"/>
  <w15:docId w15:val="{5B3DF9DE-F994-44C2-868F-A04DF9383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spacing w:after="160" w:line="259" w:lineRule="auto"/>
    </w:pPr>
    <w:rPr>
      <w:sz w:val="22"/>
      <w:szCs w:val="22"/>
    </w:rPr>
  </w:style>
  <w:style w:type="paragraph" w:styleId="1">
    <w:name w:val="heading 1"/>
    <w:basedOn w:val="a"/>
    <w:next w:val="a"/>
    <w:link w:val="10"/>
    <w:uiPriority w:val="9"/>
    <w:qFormat/>
    <w:rsid w:val="001C2EE1"/>
    <w:pPr>
      <w:widowControl w:val="0"/>
      <w:autoSpaceDE w:val="0"/>
      <w:autoSpaceDN w:val="0"/>
      <w:adjustRightInd w:val="0"/>
      <w:spacing w:after="0" w:line="360" w:lineRule="auto"/>
      <w:jc w:val="center"/>
      <w:outlineLvl w:val="0"/>
    </w:pPr>
    <w:rPr>
      <w:rFonts w:ascii="David" w:hAnsi="David" w:cs="David"/>
      <w:b/>
      <w:bCs/>
      <w:sz w:val="28"/>
      <w:szCs w:val="28"/>
      <w:u w:val="single"/>
    </w:rPr>
  </w:style>
  <w:style w:type="paragraph" w:styleId="2">
    <w:name w:val="heading 2"/>
    <w:basedOn w:val="a"/>
    <w:next w:val="a"/>
    <w:link w:val="20"/>
    <w:uiPriority w:val="9"/>
    <w:unhideWhenUsed/>
    <w:qFormat/>
    <w:rsid w:val="00F2000E"/>
    <w:pPr>
      <w:numPr>
        <w:ilvl w:val="1"/>
        <w:numId w:val="27"/>
      </w:numPr>
      <w:spacing w:after="0" w:line="360" w:lineRule="auto"/>
      <w:jc w:val="both"/>
      <w:outlineLvl w:val="1"/>
    </w:pPr>
    <w:rPr>
      <w:rFonts w:ascii="David" w:hAnsi="David" w:cs="David"/>
      <w:b/>
      <w:bCs/>
      <w:sz w:val="24"/>
      <w:szCs w:val="24"/>
      <w:u w:val="single"/>
    </w:rPr>
  </w:style>
  <w:style w:type="paragraph" w:styleId="3">
    <w:name w:val="heading 3"/>
    <w:basedOn w:val="a"/>
    <w:next w:val="a"/>
    <w:link w:val="30"/>
    <w:uiPriority w:val="9"/>
    <w:unhideWhenUsed/>
    <w:qFormat/>
    <w:rsid w:val="00F2000E"/>
    <w:pPr>
      <w:numPr>
        <w:ilvl w:val="2"/>
        <w:numId w:val="27"/>
      </w:numPr>
      <w:autoSpaceDE w:val="0"/>
      <w:autoSpaceDN w:val="0"/>
      <w:adjustRightInd w:val="0"/>
      <w:spacing w:after="0" w:line="360" w:lineRule="auto"/>
      <w:jc w:val="both"/>
      <w:outlineLvl w:val="2"/>
    </w:pPr>
    <w:rPr>
      <w:rFonts w:ascii="David" w:hAnsi="David" w:cs="David"/>
      <w:b/>
      <w:bCs/>
      <w:sz w:val="24"/>
      <w:szCs w:val="24"/>
    </w:rPr>
  </w:style>
  <w:style w:type="paragraph" w:styleId="4">
    <w:name w:val="heading 4"/>
    <w:basedOn w:val="3"/>
    <w:next w:val="a"/>
    <w:link w:val="40"/>
    <w:uiPriority w:val="9"/>
    <w:unhideWhenUsed/>
    <w:qFormat/>
    <w:rsid w:val="002942CA"/>
    <w:pPr>
      <w:numPr>
        <w:ilvl w:val="3"/>
      </w:numPr>
      <w:outlineLvl w:val="3"/>
    </w:pPr>
  </w:style>
  <w:style w:type="paragraph" w:styleId="5">
    <w:name w:val="heading 5"/>
    <w:basedOn w:val="3"/>
    <w:next w:val="a"/>
    <w:link w:val="50"/>
    <w:uiPriority w:val="9"/>
    <w:unhideWhenUsed/>
    <w:qFormat/>
    <w:rsid w:val="002942CA"/>
    <w:pPr>
      <w:numPr>
        <w:ilvl w:val="4"/>
      </w:numPr>
      <w:outlineLvl w:val="4"/>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4534"/>
    <w:pPr>
      <w:bidi w:val="0"/>
      <w:ind w:left="720"/>
      <w:contextualSpacing/>
      <w:jc w:val="both"/>
    </w:pPr>
    <w:rPr>
      <w:lang w:val="en-GB"/>
    </w:rPr>
  </w:style>
  <w:style w:type="paragraph" w:styleId="a4">
    <w:name w:val="footnote text"/>
    <w:basedOn w:val="a"/>
    <w:link w:val="a5"/>
    <w:uiPriority w:val="99"/>
    <w:unhideWhenUsed/>
    <w:rsid w:val="00594534"/>
    <w:pPr>
      <w:bidi w:val="0"/>
      <w:spacing w:before="120" w:after="200" w:line="276" w:lineRule="auto"/>
      <w:jc w:val="both"/>
    </w:pPr>
    <w:rPr>
      <w:sz w:val="20"/>
      <w:szCs w:val="20"/>
    </w:rPr>
  </w:style>
  <w:style w:type="character" w:customStyle="1" w:styleId="a5">
    <w:name w:val="טקסט הערת שוליים תו"/>
    <w:basedOn w:val="a0"/>
    <w:link w:val="a4"/>
    <w:uiPriority w:val="99"/>
    <w:rsid w:val="00594534"/>
  </w:style>
  <w:style w:type="character" w:styleId="a6">
    <w:name w:val="footnote reference"/>
    <w:uiPriority w:val="99"/>
    <w:unhideWhenUsed/>
    <w:rsid w:val="00594534"/>
    <w:rPr>
      <w:vertAlign w:val="superscript"/>
    </w:rPr>
  </w:style>
  <w:style w:type="paragraph" w:styleId="a7">
    <w:name w:val="footer"/>
    <w:basedOn w:val="a"/>
    <w:link w:val="a8"/>
    <w:uiPriority w:val="99"/>
    <w:unhideWhenUsed/>
    <w:rsid w:val="00594534"/>
    <w:pPr>
      <w:tabs>
        <w:tab w:val="center" w:pos="4153"/>
        <w:tab w:val="right" w:pos="8306"/>
      </w:tabs>
    </w:pPr>
  </w:style>
  <w:style w:type="character" w:customStyle="1" w:styleId="a8">
    <w:name w:val="כותרת תחתונה תו"/>
    <w:link w:val="a7"/>
    <w:uiPriority w:val="99"/>
    <w:rsid w:val="00594534"/>
    <w:rPr>
      <w:sz w:val="22"/>
      <w:szCs w:val="22"/>
    </w:rPr>
  </w:style>
  <w:style w:type="character" w:styleId="a9">
    <w:name w:val="annotation reference"/>
    <w:uiPriority w:val="99"/>
    <w:semiHidden/>
    <w:unhideWhenUsed/>
    <w:rsid w:val="00594534"/>
    <w:rPr>
      <w:sz w:val="16"/>
      <w:szCs w:val="16"/>
    </w:rPr>
  </w:style>
  <w:style w:type="paragraph" w:styleId="aa">
    <w:name w:val="annotation text"/>
    <w:basedOn w:val="a"/>
    <w:link w:val="ab"/>
    <w:uiPriority w:val="99"/>
    <w:unhideWhenUsed/>
    <w:rsid w:val="00594534"/>
    <w:rPr>
      <w:sz w:val="20"/>
      <w:szCs w:val="20"/>
    </w:rPr>
  </w:style>
  <w:style w:type="character" w:customStyle="1" w:styleId="ab">
    <w:name w:val="טקסט הערה תו"/>
    <w:basedOn w:val="a0"/>
    <w:link w:val="aa"/>
    <w:uiPriority w:val="99"/>
    <w:rsid w:val="00594534"/>
  </w:style>
  <w:style w:type="paragraph" w:styleId="ac">
    <w:name w:val="Balloon Text"/>
    <w:basedOn w:val="a"/>
    <w:link w:val="ad"/>
    <w:uiPriority w:val="99"/>
    <w:semiHidden/>
    <w:unhideWhenUsed/>
    <w:rsid w:val="00594534"/>
    <w:pPr>
      <w:spacing w:after="0" w:line="240" w:lineRule="auto"/>
    </w:pPr>
    <w:rPr>
      <w:rFonts w:ascii="Tahoma" w:hAnsi="Tahoma" w:cs="Tahoma"/>
      <w:sz w:val="18"/>
      <w:szCs w:val="18"/>
    </w:rPr>
  </w:style>
  <w:style w:type="character" w:customStyle="1" w:styleId="ad">
    <w:name w:val="טקסט בלונים תו"/>
    <w:link w:val="ac"/>
    <w:uiPriority w:val="99"/>
    <w:semiHidden/>
    <w:rsid w:val="00594534"/>
    <w:rPr>
      <w:rFonts w:ascii="Tahoma" w:hAnsi="Tahoma" w:cs="Tahoma"/>
      <w:sz w:val="18"/>
      <w:szCs w:val="18"/>
    </w:rPr>
  </w:style>
  <w:style w:type="character" w:styleId="Hyperlink">
    <w:name w:val="Hyperlink"/>
    <w:uiPriority w:val="99"/>
    <w:unhideWhenUsed/>
    <w:rsid w:val="00121080"/>
    <w:rPr>
      <w:color w:val="0563C1"/>
      <w:u w:val="single"/>
    </w:rPr>
  </w:style>
  <w:style w:type="character" w:styleId="FollowedHyperlink">
    <w:name w:val="FollowedHyperlink"/>
    <w:uiPriority w:val="99"/>
    <w:semiHidden/>
    <w:unhideWhenUsed/>
    <w:rsid w:val="00121080"/>
    <w:rPr>
      <w:color w:val="954F72"/>
      <w:u w:val="single"/>
    </w:rPr>
  </w:style>
  <w:style w:type="character" w:customStyle="1" w:styleId="10">
    <w:name w:val="כותרת 1 תו"/>
    <w:link w:val="1"/>
    <w:uiPriority w:val="9"/>
    <w:rsid w:val="001C2EE1"/>
    <w:rPr>
      <w:rFonts w:ascii="David" w:hAnsi="David" w:cs="David"/>
      <w:b/>
      <w:bCs/>
      <w:sz w:val="28"/>
      <w:szCs w:val="28"/>
      <w:u w:val="single"/>
    </w:rPr>
  </w:style>
  <w:style w:type="character" w:customStyle="1" w:styleId="20">
    <w:name w:val="כותרת 2 תו"/>
    <w:link w:val="2"/>
    <w:uiPriority w:val="9"/>
    <w:rsid w:val="004F7719"/>
    <w:rPr>
      <w:rFonts w:ascii="David" w:hAnsi="David" w:cs="David"/>
      <w:b/>
      <w:bCs/>
      <w:sz w:val="24"/>
      <w:szCs w:val="24"/>
      <w:u w:val="single"/>
    </w:rPr>
  </w:style>
  <w:style w:type="paragraph" w:styleId="ae">
    <w:name w:val="header"/>
    <w:basedOn w:val="a"/>
    <w:link w:val="af"/>
    <w:uiPriority w:val="99"/>
    <w:rsid w:val="00626F44"/>
    <w:pPr>
      <w:tabs>
        <w:tab w:val="center" w:pos="4153"/>
        <w:tab w:val="right" w:pos="8306"/>
      </w:tabs>
      <w:bidi w:val="0"/>
      <w:spacing w:before="120" w:after="0" w:line="360" w:lineRule="auto"/>
      <w:jc w:val="both"/>
    </w:pPr>
    <w:rPr>
      <w:rFonts w:ascii="Times New Roman" w:eastAsia="Times New Roman" w:hAnsi="Times New Roman" w:cs="Times New Roman"/>
      <w:sz w:val="24"/>
      <w:szCs w:val="24"/>
    </w:rPr>
  </w:style>
  <w:style w:type="character" w:customStyle="1" w:styleId="af">
    <w:name w:val="כותרת עליונה תו"/>
    <w:link w:val="ae"/>
    <w:uiPriority w:val="99"/>
    <w:rsid w:val="00626F44"/>
    <w:rPr>
      <w:rFonts w:ascii="Times New Roman" w:eastAsia="Times New Roman" w:hAnsi="Times New Roman" w:cs="Times New Roman"/>
      <w:sz w:val="24"/>
      <w:szCs w:val="24"/>
    </w:rPr>
  </w:style>
  <w:style w:type="character" w:customStyle="1" w:styleId="default">
    <w:name w:val="default"/>
    <w:rsid w:val="00626F44"/>
    <w:rPr>
      <w:rFonts w:ascii="Times New Roman" w:hAnsi="Times New Roman" w:cs="Times New Roman"/>
      <w:sz w:val="26"/>
      <w:szCs w:val="26"/>
    </w:rPr>
  </w:style>
  <w:style w:type="table" w:customStyle="1" w:styleId="TableNormal0">
    <w:name w:val="Table Normal_0"/>
    <w:uiPriority w:val="2"/>
    <w:semiHidden/>
    <w:unhideWhenUsed/>
    <w:qFormat/>
    <w:rsid w:val="00626F44"/>
    <w:pPr>
      <w:widowControl w:val="0"/>
      <w:autoSpaceDE w:val="0"/>
      <w:autoSpaceDN w:val="0"/>
    </w:pPr>
    <w:rPr>
      <w:sz w:val="22"/>
      <w:szCs w:val="22"/>
      <w:lang w:bidi="ar-SA"/>
    </w:rPr>
    <w:tblPr>
      <w:tblInd w:w="0" w:type="dxa"/>
      <w:tblCellMar>
        <w:top w:w="0" w:type="dxa"/>
        <w:left w:w="0" w:type="dxa"/>
        <w:bottom w:w="0" w:type="dxa"/>
        <w:right w:w="0" w:type="dxa"/>
      </w:tblCellMar>
    </w:tblPr>
  </w:style>
  <w:style w:type="paragraph" w:styleId="af0">
    <w:name w:val="Body Text"/>
    <w:basedOn w:val="a"/>
    <w:link w:val="af1"/>
    <w:uiPriority w:val="1"/>
    <w:qFormat/>
    <w:rsid w:val="00626F44"/>
    <w:pPr>
      <w:widowControl w:val="0"/>
      <w:autoSpaceDE w:val="0"/>
      <w:autoSpaceDN w:val="0"/>
      <w:bidi w:val="0"/>
      <w:spacing w:after="0" w:line="240" w:lineRule="auto"/>
    </w:pPr>
    <w:rPr>
      <w:rFonts w:ascii="Times New Roman" w:eastAsia="Times New Roman" w:hAnsi="Times New Roman" w:cs="Times New Roman"/>
      <w:sz w:val="24"/>
      <w:szCs w:val="24"/>
    </w:rPr>
  </w:style>
  <w:style w:type="character" w:customStyle="1" w:styleId="af1">
    <w:name w:val="גוף טקסט תו"/>
    <w:link w:val="af0"/>
    <w:uiPriority w:val="1"/>
    <w:rsid w:val="00626F44"/>
    <w:rPr>
      <w:rFonts w:ascii="Times New Roman" w:eastAsia="Times New Roman" w:hAnsi="Times New Roman" w:cs="Times New Roman"/>
      <w:sz w:val="24"/>
      <w:szCs w:val="24"/>
    </w:rPr>
  </w:style>
  <w:style w:type="paragraph" w:customStyle="1" w:styleId="TableParagraph">
    <w:name w:val="Table Paragraph"/>
    <w:basedOn w:val="a"/>
    <w:uiPriority w:val="1"/>
    <w:qFormat/>
    <w:rsid w:val="00626F44"/>
    <w:pPr>
      <w:widowControl w:val="0"/>
      <w:autoSpaceDE w:val="0"/>
      <w:autoSpaceDN w:val="0"/>
      <w:bidi w:val="0"/>
      <w:spacing w:after="0" w:line="227" w:lineRule="exact"/>
      <w:jc w:val="center"/>
    </w:pPr>
    <w:rPr>
      <w:rFonts w:ascii="Times New Roman" w:eastAsia="Times New Roman" w:hAnsi="Times New Roman" w:cs="Times New Roman"/>
    </w:rPr>
  </w:style>
  <w:style w:type="table" w:styleId="af2">
    <w:name w:val="Table Grid"/>
    <w:basedOn w:val="a1"/>
    <w:uiPriority w:val="39"/>
    <w:rsid w:val="00626F4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annotation subject"/>
    <w:basedOn w:val="aa"/>
    <w:next w:val="aa"/>
    <w:link w:val="af4"/>
    <w:uiPriority w:val="99"/>
    <w:semiHidden/>
    <w:unhideWhenUsed/>
    <w:rsid w:val="00626F44"/>
    <w:rPr>
      <w:b/>
      <w:bCs/>
    </w:rPr>
  </w:style>
  <w:style w:type="character" w:customStyle="1" w:styleId="af4">
    <w:name w:val="נושא הערה תו"/>
    <w:link w:val="af3"/>
    <w:uiPriority w:val="99"/>
    <w:semiHidden/>
    <w:rsid w:val="00626F44"/>
    <w:rPr>
      <w:b/>
      <w:bCs/>
    </w:rPr>
  </w:style>
  <w:style w:type="paragraph" w:styleId="af5">
    <w:name w:val="TOC Heading"/>
    <w:basedOn w:val="1"/>
    <w:next w:val="a"/>
    <w:uiPriority w:val="39"/>
    <w:unhideWhenUsed/>
    <w:qFormat/>
    <w:rsid w:val="002E6DCD"/>
    <w:pPr>
      <w:keepNext/>
      <w:keepLines/>
      <w:widowControl/>
      <w:autoSpaceDE/>
      <w:autoSpaceDN/>
      <w:adjustRightInd/>
      <w:spacing w:before="240" w:line="259" w:lineRule="auto"/>
      <w:jc w:val="left"/>
      <w:outlineLvl w:val="9"/>
    </w:pPr>
    <w:rPr>
      <w:rFonts w:ascii="Calibri Light" w:eastAsia="Times New Roman" w:hAnsi="Calibri Light" w:cs="Times New Roman"/>
      <w:b w:val="0"/>
      <w:bCs w:val="0"/>
      <w:color w:val="2E74B5"/>
      <w:sz w:val="32"/>
      <w:szCs w:val="32"/>
      <w:u w:val="none"/>
      <w:rtl/>
      <w:cs/>
    </w:rPr>
  </w:style>
  <w:style w:type="paragraph" w:customStyle="1" w:styleId="TOC11">
    <w:name w:val="TOC 11"/>
    <w:basedOn w:val="a"/>
    <w:next w:val="a"/>
    <w:autoRedefine/>
    <w:uiPriority w:val="39"/>
    <w:unhideWhenUsed/>
    <w:rsid w:val="004F7719"/>
    <w:pPr>
      <w:tabs>
        <w:tab w:val="left" w:pos="1760"/>
        <w:tab w:val="right" w:leader="dot" w:pos="9346"/>
      </w:tabs>
      <w:spacing w:before="120" w:after="120"/>
    </w:pPr>
    <w:rPr>
      <w:rFonts w:ascii="David" w:hAnsi="David" w:cs="David"/>
      <w:b/>
      <w:caps/>
      <w:sz w:val="24"/>
      <w:szCs w:val="24"/>
    </w:rPr>
  </w:style>
  <w:style w:type="paragraph" w:styleId="TOC2">
    <w:name w:val="toc 2"/>
    <w:basedOn w:val="a"/>
    <w:next w:val="a"/>
    <w:autoRedefine/>
    <w:uiPriority w:val="39"/>
    <w:unhideWhenUsed/>
    <w:rsid w:val="00E93293"/>
    <w:pPr>
      <w:tabs>
        <w:tab w:val="left" w:pos="711"/>
        <w:tab w:val="right" w:leader="dot" w:pos="8639"/>
      </w:tabs>
      <w:spacing w:before="120" w:after="0"/>
      <w:ind w:left="220"/>
    </w:pPr>
    <w:rPr>
      <w:rFonts w:cs="Times New Roman"/>
      <w:b/>
      <w:bCs/>
    </w:rPr>
  </w:style>
  <w:style w:type="character" w:customStyle="1" w:styleId="30">
    <w:name w:val="כותרת 3 תו"/>
    <w:link w:val="3"/>
    <w:uiPriority w:val="9"/>
    <w:rsid w:val="004F7719"/>
    <w:rPr>
      <w:rFonts w:ascii="David" w:hAnsi="David" w:cs="David"/>
      <w:b/>
      <w:bCs/>
      <w:sz w:val="24"/>
      <w:szCs w:val="24"/>
    </w:rPr>
  </w:style>
  <w:style w:type="paragraph" w:styleId="TOC3">
    <w:name w:val="toc 3"/>
    <w:basedOn w:val="a"/>
    <w:next w:val="a"/>
    <w:autoRedefine/>
    <w:uiPriority w:val="39"/>
    <w:unhideWhenUsed/>
    <w:rsid w:val="00E93293"/>
    <w:pPr>
      <w:tabs>
        <w:tab w:val="left" w:pos="994"/>
        <w:tab w:val="right" w:leader="dot" w:pos="8639"/>
      </w:tabs>
      <w:spacing w:after="0"/>
      <w:ind w:left="440"/>
    </w:pPr>
    <w:rPr>
      <w:rFonts w:cs="Times New Roman"/>
      <w:sz w:val="20"/>
      <w:szCs w:val="20"/>
    </w:rPr>
  </w:style>
  <w:style w:type="paragraph" w:styleId="TOC4">
    <w:name w:val="toc 4"/>
    <w:basedOn w:val="a"/>
    <w:next w:val="a"/>
    <w:autoRedefine/>
    <w:uiPriority w:val="39"/>
    <w:unhideWhenUsed/>
    <w:rsid w:val="00E93293"/>
    <w:pPr>
      <w:tabs>
        <w:tab w:val="left" w:pos="1419"/>
        <w:tab w:val="right" w:leader="dot" w:pos="8639"/>
      </w:tabs>
      <w:spacing w:after="0"/>
      <w:ind w:left="660"/>
    </w:pPr>
    <w:rPr>
      <w:rFonts w:cs="Times New Roman"/>
      <w:sz w:val="20"/>
      <w:szCs w:val="20"/>
    </w:rPr>
  </w:style>
  <w:style w:type="paragraph" w:styleId="TOC5">
    <w:name w:val="toc 5"/>
    <w:basedOn w:val="a"/>
    <w:next w:val="a"/>
    <w:autoRedefine/>
    <w:uiPriority w:val="39"/>
    <w:unhideWhenUsed/>
    <w:rsid w:val="00E93293"/>
    <w:pPr>
      <w:tabs>
        <w:tab w:val="left" w:pos="1845"/>
        <w:tab w:val="right" w:leader="dot" w:pos="8639"/>
      </w:tabs>
      <w:spacing w:after="0"/>
      <w:ind w:left="880"/>
    </w:pPr>
    <w:rPr>
      <w:rFonts w:cs="Times New Roman"/>
      <w:sz w:val="20"/>
      <w:szCs w:val="20"/>
    </w:rPr>
  </w:style>
  <w:style w:type="paragraph" w:styleId="TOC6">
    <w:name w:val="toc 6"/>
    <w:basedOn w:val="a"/>
    <w:next w:val="a"/>
    <w:autoRedefine/>
    <w:uiPriority w:val="39"/>
    <w:unhideWhenUsed/>
    <w:rsid w:val="00F2000E"/>
    <w:pPr>
      <w:spacing w:after="0"/>
      <w:ind w:left="1100"/>
    </w:pPr>
    <w:rPr>
      <w:rFonts w:cs="Times New Roman"/>
      <w:sz w:val="20"/>
      <w:szCs w:val="20"/>
    </w:rPr>
  </w:style>
  <w:style w:type="paragraph" w:styleId="TOC7">
    <w:name w:val="toc 7"/>
    <w:basedOn w:val="a"/>
    <w:next w:val="a"/>
    <w:autoRedefine/>
    <w:uiPriority w:val="39"/>
    <w:unhideWhenUsed/>
    <w:rsid w:val="00F2000E"/>
    <w:pPr>
      <w:spacing w:after="0"/>
      <w:ind w:left="1320"/>
    </w:pPr>
    <w:rPr>
      <w:rFonts w:cs="Times New Roman"/>
      <w:sz w:val="20"/>
      <w:szCs w:val="20"/>
    </w:rPr>
  </w:style>
  <w:style w:type="paragraph" w:styleId="TOC8">
    <w:name w:val="toc 8"/>
    <w:basedOn w:val="a"/>
    <w:next w:val="a"/>
    <w:autoRedefine/>
    <w:uiPriority w:val="39"/>
    <w:unhideWhenUsed/>
    <w:rsid w:val="00F2000E"/>
    <w:pPr>
      <w:spacing w:after="0"/>
      <w:ind w:left="1540"/>
    </w:pPr>
    <w:rPr>
      <w:rFonts w:cs="Times New Roman"/>
      <w:sz w:val="20"/>
      <w:szCs w:val="20"/>
    </w:rPr>
  </w:style>
  <w:style w:type="paragraph" w:styleId="TOC9">
    <w:name w:val="toc 9"/>
    <w:basedOn w:val="a"/>
    <w:next w:val="a"/>
    <w:autoRedefine/>
    <w:uiPriority w:val="39"/>
    <w:unhideWhenUsed/>
    <w:rsid w:val="00F2000E"/>
    <w:pPr>
      <w:spacing w:after="0"/>
      <w:ind w:left="1760"/>
    </w:pPr>
    <w:rPr>
      <w:rFonts w:cs="Times New Roman"/>
      <w:sz w:val="20"/>
      <w:szCs w:val="20"/>
    </w:rPr>
  </w:style>
  <w:style w:type="paragraph" w:styleId="af6">
    <w:name w:val="caption"/>
    <w:basedOn w:val="a"/>
    <w:next w:val="a"/>
    <w:uiPriority w:val="35"/>
    <w:unhideWhenUsed/>
    <w:qFormat/>
    <w:rsid w:val="00CC1064"/>
    <w:pPr>
      <w:jc w:val="center"/>
    </w:pPr>
    <w:rPr>
      <w:rFonts w:cs="David"/>
      <w:b/>
      <w:bCs/>
      <w:sz w:val="20"/>
      <w:szCs w:val="24"/>
      <w:u w:val="single"/>
    </w:rPr>
  </w:style>
  <w:style w:type="paragraph" w:styleId="af7">
    <w:name w:val="table of figures"/>
    <w:basedOn w:val="a"/>
    <w:next w:val="a"/>
    <w:uiPriority w:val="99"/>
    <w:unhideWhenUsed/>
    <w:rsid w:val="00734793"/>
    <w:pPr>
      <w:spacing w:after="0"/>
      <w:ind w:left="440" w:hanging="440"/>
    </w:pPr>
    <w:rPr>
      <w:rFonts w:cs="Times New Roman"/>
      <w:smallCaps/>
      <w:sz w:val="20"/>
      <w:szCs w:val="20"/>
    </w:rPr>
  </w:style>
  <w:style w:type="paragraph" w:styleId="TOC1">
    <w:name w:val="toc 1"/>
    <w:basedOn w:val="a"/>
    <w:next w:val="a"/>
    <w:autoRedefine/>
    <w:uiPriority w:val="39"/>
    <w:unhideWhenUsed/>
    <w:rsid w:val="00F057A1"/>
    <w:pPr>
      <w:tabs>
        <w:tab w:val="left" w:pos="427"/>
        <w:tab w:val="right" w:leader="dot" w:pos="8639"/>
      </w:tabs>
      <w:spacing w:before="120" w:after="0"/>
      <w:jc w:val="center"/>
    </w:pPr>
    <w:rPr>
      <w:rFonts w:ascii="David" w:eastAsia="Times New Roman" w:hAnsi="David" w:cs="David"/>
      <w:b/>
      <w:bCs/>
      <w:noProof/>
      <w:sz w:val="24"/>
      <w:szCs w:val="24"/>
    </w:rPr>
  </w:style>
  <w:style w:type="character" w:customStyle="1" w:styleId="40">
    <w:name w:val="כותרת 4 תו"/>
    <w:link w:val="4"/>
    <w:uiPriority w:val="9"/>
    <w:rsid w:val="002942CA"/>
    <w:rPr>
      <w:rFonts w:ascii="David" w:hAnsi="David" w:cs="David"/>
      <w:b/>
      <w:bCs/>
      <w:sz w:val="24"/>
      <w:szCs w:val="24"/>
    </w:rPr>
  </w:style>
  <w:style w:type="character" w:customStyle="1" w:styleId="50">
    <w:name w:val="כותרת 5 תו"/>
    <w:link w:val="5"/>
    <w:uiPriority w:val="9"/>
    <w:rsid w:val="002942CA"/>
    <w:rPr>
      <w:rFonts w:ascii="David" w:hAnsi="David" w:cs="David"/>
      <w:b/>
      <w:bCs/>
      <w:sz w:val="24"/>
      <w:szCs w:val="24"/>
    </w:rPr>
  </w:style>
  <w:style w:type="paragraph" w:customStyle="1" w:styleId="msonormal0">
    <w:name w:val="msonormal"/>
    <w:basedOn w:val="a"/>
    <w:rsid w:val="00960C9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a"/>
    <w:rsid w:val="00960C94"/>
    <w:pPr>
      <w:bidi w:val="0"/>
      <w:spacing w:before="100" w:beforeAutospacing="1" w:after="100" w:afterAutospacing="1" w:line="240" w:lineRule="auto"/>
    </w:pPr>
    <w:rPr>
      <w:rFonts w:ascii="Times New Roman" w:eastAsia="Times New Roman" w:hAnsi="Times New Roman" w:cs="David"/>
      <w:color w:val="000000"/>
      <w:sz w:val="24"/>
      <w:szCs w:val="24"/>
    </w:rPr>
  </w:style>
  <w:style w:type="paragraph" w:customStyle="1" w:styleId="font6">
    <w:name w:val="font6"/>
    <w:basedOn w:val="a"/>
    <w:rsid w:val="00960C94"/>
    <w:pPr>
      <w:bidi w:val="0"/>
      <w:spacing w:before="100" w:beforeAutospacing="1" w:after="100" w:afterAutospacing="1" w:line="240" w:lineRule="auto"/>
    </w:pPr>
    <w:rPr>
      <w:rFonts w:ascii="Times New Roman" w:eastAsia="Times New Roman" w:hAnsi="Times New Roman" w:cs="David"/>
      <w:color w:val="000000"/>
      <w:sz w:val="24"/>
      <w:szCs w:val="24"/>
    </w:rPr>
  </w:style>
  <w:style w:type="paragraph" w:customStyle="1" w:styleId="font7">
    <w:name w:val="font7"/>
    <w:basedOn w:val="a"/>
    <w:rsid w:val="00960C94"/>
    <w:pPr>
      <w:bidi w:val="0"/>
      <w:spacing w:before="100" w:beforeAutospacing="1" w:after="100" w:afterAutospacing="1" w:line="240" w:lineRule="auto"/>
    </w:pPr>
    <w:rPr>
      <w:rFonts w:ascii="Times New Roman" w:eastAsia="Times New Roman" w:hAnsi="Times New Roman" w:cs="David"/>
      <w:b/>
      <w:bCs/>
      <w:color w:val="000000"/>
      <w:sz w:val="24"/>
      <w:szCs w:val="24"/>
    </w:rPr>
  </w:style>
  <w:style w:type="paragraph" w:customStyle="1" w:styleId="font8">
    <w:name w:val="font8"/>
    <w:basedOn w:val="a"/>
    <w:rsid w:val="00960C94"/>
    <w:pPr>
      <w:bidi w:val="0"/>
      <w:spacing w:before="100" w:beforeAutospacing="1" w:after="100" w:afterAutospacing="1" w:line="240" w:lineRule="auto"/>
    </w:pPr>
    <w:rPr>
      <w:rFonts w:ascii="Times New Roman" w:eastAsia="Times New Roman" w:hAnsi="Times New Roman" w:cs="David"/>
      <w:b/>
      <w:bCs/>
      <w:color w:val="3F3F3F"/>
      <w:sz w:val="24"/>
      <w:szCs w:val="24"/>
    </w:rPr>
  </w:style>
  <w:style w:type="paragraph" w:customStyle="1" w:styleId="xl65">
    <w:name w:val="xl65"/>
    <w:basedOn w:val="a"/>
    <w:rsid w:val="00960C9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960C9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color w:val="000000"/>
      <w:sz w:val="24"/>
      <w:szCs w:val="24"/>
    </w:rPr>
  </w:style>
  <w:style w:type="paragraph" w:customStyle="1" w:styleId="xl67">
    <w:name w:val="xl67"/>
    <w:basedOn w:val="a"/>
    <w:rsid w:val="00960C9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color w:val="3F3F3F"/>
      <w:sz w:val="24"/>
      <w:szCs w:val="24"/>
    </w:rPr>
  </w:style>
  <w:style w:type="paragraph" w:customStyle="1" w:styleId="xl68">
    <w:name w:val="xl68"/>
    <w:basedOn w:val="a"/>
    <w:rsid w:val="00960C9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color w:val="3F3F3F"/>
      <w:sz w:val="24"/>
      <w:szCs w:val="24"/>
    </w:rPr>
  </w:style>
  <w:style w:type="paragraph" w:customStyle="1" w:styleId="xl69">
    <w:name w:val="xl69"/>
    <w:basedOn w:val="a"/>
    <w:rsid w:val="00960C9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color w:val="000000"/>
      <w:sz w:val="24"/>
      <w:szCs w:val="24"/>
    </w:rPr>
  </w:style>
  <w:style w:type="paragraph" w:customStyle="1" w:styleId="xl70">
    <w:name w:val="xl70"/>
    <w:basedOn w:val="a"/>
    <w:rsid w:val="00960C9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color w:val="000000"/>
      <w:sz w:val="24"/>
      <w:szCs w:val="24"/>
    </w:rPr>
  </w:style>
  <w:style w:type="paragraph" w:customStyle="1" w:styleId="xl71">
    <w:name w:val="xl71"/>
    <w:basedOn w:val="a"/>
    <w:rsid w:val="00960C9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color w:val="000000"/>
      <w:sz w:val="24"/>
      <w:szCs w:val="24"/>
    </w:rPr>
  </w:style>
  <w:style w:type="paragraph" w:customStyle="1" w:styleId="xl72">
    <w:name w:val="xl72"/>
    <w:basedOn w:val="a"/>
    <w:rsid w:val="00960C9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color w:val="000000"/>
      <w:sz w:val="24"/>
      <w:szCs w:val="24"/>
    </w:rPr>
  </w:style>
  <w:style w:type="paragraph" w:customStyle="1" w:styleId="xl73">
    <w:name w:val="xl73"/>
    <w:basedOn w:val="a"/>
    <w:rsid w:val="00960C9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color w:val="000000"/>
      <w:sz w:val="24"/>
      <w:szCs w:val="24"/>
    </w:rPr>
  </w:style>
  <w:style w:type="paragraph" w:customStyle="1" w:styleId="xl74">
    <w:name w:val="xl74"/>
    <w:basedOn w:val="a"/>
    <w:rsid w:val="00960C9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sz w:val="24"/>
      <w:szCs w:val="24"/>
    </w:rPr>
  </w:style>
  <w:style w:type="paragraph" w:customStyle="1" w:styleId="xl75">
    <w:name w:val="xl75"/>
    <w:basedOn w:val="a"/>
    <w:rsid w:val="00960C9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color w:val="000000"/>
      <w:sz w:val="24"/>
      <w:szCs w:val="24"/>
    </w:rPr>
  </w:style>
  <w:style w:type="paragraph" w:customStyle="1" w:styleId="xl76">
    <w:name w:val="xl76"/>
    <w:basedOn w:val="a"/>
    <w:rsid w:val="00960C9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color w:val="000000"/>
      <w:sz w:val="24"/>
      <w:szCs w:val="24"/>
    </w:rPr>
  </w:style>
  <w:style w:type="paragraph" w:customStyle="1" w:styleId="xl77">
    <w:name w:val="xl77"/>
    <w:basedOn w:val="a"/>
    <w:rsid w:val="00960C9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color w:val="000000"/>
      <w:sz w:val="24"/>
      <w:szCs w:val="24"/>
    </w:rPr>
  </w:style>
  <w:style w:type="paragraph" w:customStyle="1" w:styleId="xl78">
    <w:name w:val="xl78"/>
    <w:basedOn w:val="a"/>
    <w:rsid w:val="00960C9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9">
    <w:name w:val="xl79"/>
    <w:basedOn w:val="a"/>
    <w:rsid w:val="00960C9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80">
    <w:name w:val="xl80"/>
    <w:basedOn w:val="a"/>
    <w:rsid w:val="00960C9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81">
    <w:name w:val="xl81"/>
    <w:basedOn w:val="a"/>
    <w:rsid w:val="00960C9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82">
    <w:name w:val="xl82"/>
    <w:basedOn w:val="a"/>
    <w:rsid w:val="00960C9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83">
    <w:name w:val="xl83"/>
    <w:basedOn w:val="a"/>
    <w:rsid w:val="00960C9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84">
    <w:name w:val="xl84"/>
    <w:basedOn w:val="a"/>
    <w:rsid w:val="00960C9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85">
    <w:name w:val="xl85"/>
    <w:basedOn w:val="a"/>
    <w:rsid w:val="00960C9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86">
    <w:name w:val="xl86"/>
    <w:basedOn w:val="a"/>
    <w:rsid w:val="00960C9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Times New Roman" w:eastAsia="Times New Roman" w:hAnsi="Times New Roman" w:cs="David"/>
      <w:color w:val="3F3F3F"/>
      <w:sz w:val="24"/>
      <w:szCs w:val="24"/>
    </w:rPr>
  </w:style>
  <w:style w:type="paragraph" w:customStyle="1" w:styleId="xl87">
    <w:name w:val="xl87"/>
    <w:basedOn w:val="a"/>
    <w:rsid w:val="00960C9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88">
    <w:name w:val="xl88"/>
    <w:basedOn w:val="a"/>
    <w:rsid w:val="00960C9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89">
    <w:name w:val="xl89"/>
    <w:basedOn w:val="a"/>
    <w:rsid w:val="00960C9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90">
    <w:name w:val="xl90"/>
    <w:basedOn w:val="a"/>
    <w:rsid w:val="00960C9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91">
    <w:name w:val="xl91"/>
    <w:basedOn w:val="a"/>
    <w:rsid w:val="00960C9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styleId="af8">
    <w:name w:val="Revision"/>
    <w:hidden/>
    <w:uiPriority w:val="99"/>
    <w:semiHidden/>
    <w:rsid w:val="00F2000E"/>
    <w:rPr>
      <w:sz w:val="22"/>
      <w:szCs w:val="22"/>
    </w:rPr>
  </w:style>
  <w:style w:type="table" w:styleId="41">
    <w:name w:val="Plain Table 4"/>
    <w:basedOn w:val="a1"/>
    <w:uiPriority w:val="44"/>
    <w:rsid w:val="00E51CD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NormalWeb">
    <w:name w:val="Normal (Web)"/>
    <w:basedOn w:val="a"/>
    <w:uiPriority w:val="99"/>
    <w:semiHidden/>
    <w:unhideWhenUsed/>
    <w:rsid w:val="00001746"/>
    <w:pPr>
      <w:bidi w:val="0"/>
      <w:spacing w:before="100" w:beforeAutospacing="1" w:after="100" w:afterAutospacing="1" w:line="240" w:lineRule="auto"/>
    </w:pPr>
    <w:rPr>
      <w:rFonts w:ascii="Times New Roman" w:eastAsia="Times New Roman" w:hAnsi="Times New Roman" w:cs="Times New Roman"/>
      <w:sz w:val="24"/>
      <w:szCs w:val="24"/>
    </w:rPr>
  </w:style>
  <w:style w:type="numbering" w:customStyle="1" w:styleId="11">
    <w:name w:val="ללא רשימה1"/>
    <w:next w:val="a2"/>
    <w:uiPriority w:val="99"/>
    <w:semiHidden/>
    <w:unhideWhenUsed/>
    <w:rsid w:val="00DD0D4B"/>
  </w:style>
  <w:style w:type="table" w:customStyle="1" w:styleId="TableNormal01">
    <w:name w:val="Table Normal_01"/>
    <w:uiPriority w:val="2"/>
    <w:semiHidden/>
    <w:unhideWhenUsed/>
    <w:qFormat/>
    <w:rsid w:val="00DD0D4B"/>
    <w:pPr>
      <w:widowControl w:val="0"/>
      <w:autoSpaceDE w:val="0"/>
      <w:autoSpaceDN w:val="0"/>
    </w:pPr>
    <w:rPr>
      <w:sz w:val="22"/>
      <w:szCs w:val="22"/>
      <w:lang w:bidi="ar-SA"/>
    </w:rPr>
    <w:tblPr>
      <w:tblInd w:w="0" w:type="dxa"/>
      <w:tblCellMar>
        <w:top w:w="0" w:type="dxa"/>
        <w:left w:w="0" w:type="dxa"/>
        <w:bottom w:w="0" w:type="dxa"/>
        <w:right w:w="0" w:type="dxa"/>
      </w:tblCellMar>
    </w:tblPr>
  </w:style>
  <w:style w:type="table" w:customStyle="1" w:styleId="12">
    <w:name w:val="רשת טבלה1"/>
    <w:basedOn w:val="a1"/>
    <w:next w:val="af2"/>
    <w:uiPriority w:val="39"/>
    <w:rsid w:val="00DD0D4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טבלה רגילה 41"/>
    <w:basedOn w:val="a1"/>
    <w:next w:val="41"/>
    <w:uiPriority w:val="44"/>
    <w:rsid w:val="00DD0D4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6779400">
      <w:bodyDiv w:val="1"/>
      <w:marLeft w:val="0"/>
      <w:marRight w:val="0"/>
      <w:marTop w:val="0"/>
      <w:marBottom w:val="0"/>
      <w:divBdr>
        <w:top w:val="none" w:sz="0" w:space="0" w:color="auto"/>
        <w:left w:val="none" w:sz="0" w:space="0" w:color="auto"/>
        <w:bottom w:val="none" w:sz="0" w:space="0" w:color="auto"/>
        <w:right w:val="none" w:sz="0" w:space="0" w:color="auto"/>
      </w:divBdr>
    </w:div>
    <w:div w:id="1801803558">
      <w:bodyDiv w:val="1"/>
      <w:marLeft w:val="0"/>
      <w:marRight w:val="0"/>
      <w:marTop w:val="0"/>
      <w:marBottom w:val="0"/>
      <w:divBdr>
        <w:top w:val="none" w:sz="0" w:space="0" w:color="auto"/>
        <w:left w:val="none" w:sz="0" w:space="0" w:color="auto"/>
        <w:bottom w:val="none" w:sz="0" w:space="0" w:color="auto"/>
        <w:right w:val="none" w:sz="0" w:space="0" w:color="auto"/>
      </w:divBdr>
    </w:div>
    <w:div w:id="1894661238">
      <w:bodyDiv w:val="1"/>
      <w:marLeft w:val="0"/>
      <w:marRight w:val="0"/>
      <w:marTop w:val="0"/>
      <w:marBottom w:val="0"/>
      <w:divBdr>
        <w:top w:val="none" w:sz="0" w:space="0" w:color="auto"/>
        <w:left w:val="none" w:sz="0" w:space="0" w:color="auto"/>
        <w:bottom w:val="none" w:sz="0" w:space="0" w:color="auto"/>
        <w:right w:val="none" w:sz="0" w:space="0" w:color="auto"/>
      </w:divBdr>
    </w:div>
    <w:div w:id="19682732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6.emf"/><Relationship Id="rId26" Type="http://schemas.openxmlformats.org/officeDocument/2006/relationships/image" Target="media/image14.emf"/><Relationship Id="rId39" Type="http://schemas.openxmlformats.org/officeDocument/2006/relationships/image" Target="media/image26.emf"/><Relationship Id="rId21" Type="http://schemas.openxmlformats.org/officeDocument/2006/relationships/image" Target="media/image9.emf"/><Relationship Id="rId34" Type="http://schemas.openxmlformats.org/officeDocument/2006/relationships/image" Target="media/image21.emf"/><Relationship Id="rId42" Type="http://schemas.openxmlformats.org/officeDocument/2006/relationships/image" Target="media/image29.emf"/><Relationship Id="rId47" Type="http://schemas.openxmlformats.org/officeDocument/2006/relationships/image" Target="media/image34.jpeg"/><Relationship Id="rId50"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emf"/><Relationship Id="rId29" Type="http://schemas.openxmlformats.org/officeDocument/2006/relationships/image" Target="media/image17.emf"/><Relationship Id="rId11" Type="http://schemas.openxmlformats.org/officeDocument/2006/relationships/header" Target="header2.xml"/><Relationship Id="rId24" Type="http://schemas.openxmlformats.org/officeDocument/2006/relationships/image" Target="media/image12.emf"/><Relationship Id="rId32" Type="http://schemas.openxmlformats.org/officeDocument/2006/relationships/image" Target="media/image19.emf"/><Relationship Id="rId37" Type="http://schemas.openxmlformats.org/officeDocument/2006/relationships/image" Target="media/image24.jpeg"/><Relationship Id="rId40" Type="http://schemas.openxmlformats.org/officeDocument/2006/relationships/image" Target="media/image27.emf"/><Relationship Id="rId45" Type="http://schemas.openxmlformats.org/officeDocument/2006/relationships/image" Target="media/image32.jpe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19" Type="http://schemas.openxmlformats.org/officeDocument/2006/relationships/image" Target="media/image7.emf"/><Relationship Id="rId31" Type="http://schemas.openxmlformats.org/officeDocument/2006/relationships/image" Target="media/image18.emf"/><Relationship Id="rId44" Type="http://schemas.openxmlformats.org/officeDocument/2006/relationships/image" Target="media/image31.jpeg"/><Relationship Id="rId52"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2.emf"/><Relationship Id="rId22" Type="http://schemas.openxmlformats.org/officeDocument/2006/relationships/image" Target="media/image10.emf"/><Relationship Id="rId27" Type="http://schemas.openxmlformats.org/officeDocument/2006/relationships/image" Target="media/image15.emf"/><Relationship Id="rId30" Type="http://schemas.openxmlformats.org/officeDocument/2006/relationships/chart" Target="charts/chart1.xml"/><Relationship Id="rId35" Type="http://schemas.openxmlformats.org/officeDocument/2006/relationships/image" Target="media/image22.emf"/><Relationship Id="rId43" Type="http://schemas.openxmlformats.org/officeDocument/2006/relationships/image" Target="media/image30.jpeg"/><Relationship Id="rId48" Type="http://schemas.openxmlformats.org/officeDocument/2006/relationships/image" Target="media/image35.jpeg"/><Relationship Id="rId8" Type="http://schemas.openxmlformats.org/officeDocument/2006/relationships/image" Target="media/image1.jpeg"/><Relationship Id="rId51" Type="http://schemas.openxmlformats.org/officeDocument/2006/relationships/footer" Target="footer3.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image" Target="media/image13.emf"/><Relationship Id="rId33" Type="http://schemas.openxmlformats.org/officeDocument/2006/relationships/image" Target="media/image20.emf"/><Relationship Id="rId38" Type="http://schemas.openxmlformats.org/officeDocument/2006/relationships/image" Target="media/image25.emf"/><Relationship Id="rId46" Type="http://schemas.openxmlformats.org/officeDocument/2006/relationships/image" Target="media/image33.jpeg"/><Relationship Id="rId20" Type="http://schemas.openxmlformats.org/officeDocument/2006/relationships/image" Target="media/image8.emf"/><Relationship Id="rId41" Type="http://schemas.openxmlformats.org/officeDocument/2006/relationships/image" Target="media/image28.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emf"/><Relationship Id="rId23" Type="http://schemas.openxmlformats.org/officeDocument/2006/relationships/image" Target="media/image11.emf"/><Relationship Id="rId28" Type="http://schemas.openxmlformats.org/officeDocument/2006/relationships/image" Target="media/image16.emf"/><Relationship Id="rId36" Type="http://schemas.openxmlformats.org/officeDocument/2006/relationships/image" Target="media/image23.emf"/><Relationship Id="rId49" Type="http://schemas.openxmlformats.org/officeDocument/2006/relationships/header" Target="header3.xml"/></Relationships>
</file>

<file path=word/charts/_rels/chart1.xml.rels><?xml version="1.0" encoding="UTF-8" standalone="yes"?>
<Relationships xmlns="http://schemas.openxmlformats.org/package/2006/relationships"><Relationship Id="rId3" Type="http://schemas.openxmlformats.org/officeDocument/2006/relationships/oleObject" Target="file:///\\ctlnfsv03\vdiup$\Profile\Shiput\Daliae\AppData\Microsoft\Excel\&#1495;&#1493;&#1489;&#1512;&#1514;1%20(version%201).xlsb"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36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8ADF-46F4-9CA8-3FDECE539CAD}"/>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8ADF-46F4-9CA8-3FDECE539CAD}"/>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8ADF-46F4-9CA8-3FDECE539CAD}"/>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8ADF-46F4-9CA8-3FDECE539CAD}"/>
              </c:ext>
            </c:extLst>
          </c:dPt>
          <c:dPt>
            <c:idx val="4"/>
            <c:bubble3D val="0"/>
            <c:explosion val="1"/>
            <c:spPr>
              <a:solidFill>
                <a:srgbClr val="92D050"/>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8ADF-46F4-9CA8-3FDECE539CAD}"/>
              </c:ext>
            </c:extLst>
          </c:dPt>
          <c:dLbls>
            <c:dLbl>
              <c:idx val="0"/>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David" panose="020E0502060401010101" pitchFamily="34" charset="-79"/>
                        <a:ea typeface="+mn-ea"/>
                        <a:cs typeface="David" panose="020E0502060401010101" pitchFamily="34" charset="-79"/>
                      </a:defRPr>
                    </a:pPr>
                    <a:fld id="{1CEEFBAF-DF16-4680-A378-D3A90CD84146}" type="CATEGORYNAME">
                      <a:rPr lang="he-IL"/>
                      <a:pPr>
                        <a:defRPr>
                          <a:latin typeface="David" panose="020E0502060401010101" pitchFamily="34" charset="-79"/>
                          <a:cs typeface="David" panose="020E0502060401010101" pitchFamily="34" charset="-79"/>
                        </a:defRPr>
                      </a:pPr>
                      <a:t>[שם קטגוריה]</a:t>
                    </a:fld>
                    <a:r>
                      <a:rPr lang="he-IL"/>
                      <a:t> 3%</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David" panose="020E0502060401010101" pitchFamily="34" charset="-79"/>
                      <a:ea typeface="+mn-ea"/>
                      <a:cs typeface="David" panose="020E0502060401010101" pitchFamily="34" charset="-79"/>
                    </a:defRPr>
                  </a:pPr>
                  <a:endParaRPr lang="he-IL"/>
                </a:p>
              </c:txPr>
              <c:dLblPos val="bestFit"/>
              <c:showLegendKey val="0"/>
              <c:showVal val="0"/>
              <c:showCatName val="1"/>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1-8ADF-46F4-9CA8-3FDECE539CAD}"/>
                </c:ext>
              </c:extLst>
            </c:dLbl>
            <c:dLbl>
              <c:idx val="1"/>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David" panose="020E0502060401010101" pitchFamily="34" charset="-79"/>
                        <a:ea typeface="+mn-ea"/>
                        <a:cs typeface="David" panose="020E0502060401010101" pitchFamily="34" charset="-79"/>
                      </a:defRPr>
                    </a:pPr>
                    <a:fld id="{4B9AF943-558F-4E3D-930F-32314D836ECF}" type="CATEGORYNAME">
                      <a:rPr lang="he-IL">
                        <a:solidFill>
                          <a:schemeClr val="accent2">
                            <a:lumMod val="75000"/>
                          </a:schemeClr>
                        </a:solidFill>
                      </a:rPr>
                      <a:pPr>
                        <a:defRPr>
                          <a:solidFill>
                            <a:schemeClr val="accent1"/>
                          </a:solidFill>
                          <a:latin typeface="David" panose="020E0502060401010101" pitchFamily="34" charset="-79"/>
                          <a:cs typeface="David" panose="020E0502060401010101" pitchFamily="34" charset="-79"/>
                        </a:defRPr>
                      </a:pPr>
                      <a:t>[שם קטגוריה]</a:t>
                    </a:fld>
                    <a:r>
                      <a:rPr lang="he-IL">
                        <a:solidFill>
                          <a:schemeClr val="accent2">
                            <a:lumMod val="75000"/>
                          </a:schemeClr>
                        </a:solidFill>
                      </a:rPr>
                      <a:t> 41%</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David" panose="020E0502060401010101" pitchFamily="34" charset="-79"/>
                      <a:ea typeface="+mn-ea"/>
                      <a:cs typeface="David" panose="020E0502060401010101" pitchFamily="34" charset="-79"/>
                    </a:defRPr>
                  </a:pPr>
                  <a:endParaRPr lang="he-IL"/>
                </a:p>
              </c:txPr>
              <c:dLblPos val="outEnd"/>
              <c:showLegendKey val="0"/>
              <c:showVal val="0"/>
              <c:showCatName val="1"/>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3-8ADF-46F4-9CA8-3FDECE539CAD}"/>
                </c:ext>
              </c:extLst>
            </c:dLbl>
            <c:dLbl>
              <c:idx val="2"/>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David" panose="020E0502060401010101" pitchFamily="34" charset="-79"/>
                        <a:ea typeface="+mn-ea"/>
                        <a:cs typeface="David" panose="020E0502060401010101" pitchFamily="34" charset="-79"/>
                      </a:defRPr>
                    </a:pPr>
                    <a:fld id="{A5020646-B53D-4237-A5C5-458F2836E784}" type="CATEGORYNAME">
                      <a:rPr lang="he-IL">
                        <a:solidFill>
                          <a:schemeClr val="bg1">
                            <a:lumMod val="50000"/>
                          </a:schemeClr>
                        </a:solidFill>
                      </a:rPr>
                      <a:pPr>
                        <a:defRPr>
                          <a:solidFill>
                            <a:schemeClr val="accent1"/>
                          </a:solidFill>
                          <a:latin typeface="David" panose="020E0502060401010101" pitchFamily="34" charset="-79"/>
                          <a:cs typeface="David" panose="020E0502060401010101" pitchFamily="34" charset="-79"/>
                        </a:defRPr>
                      </a:pPr>
                      <a:t>[שם קטגוריה]</a:t>
                    </a:fld>
                    <a:r>
                      <a:rPr lang="he-IL">
                        <a:solidFill>
                          <a:schemeClr val="bg1">
                            <a:lumMod val="50000"/>
                          </a:schemeClr>
                        </a:solidFill>
                      </a:rPr>
                      <a:t> 29%</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David" panose="020E0502060401010101" pitchFamily="34" charset="-79"/>
                      <a:ea typeface="+mn-ea"/>
                      <a:cs typeface="David" panose="020E0502060401010101" pitchFamily="34" charset="-79"/>
                    </a:defRPr>
                  </a:pPr>
                  <a:endParaRPr lang="he-IL"/>
                </a:p>
              </c:txPr>
              <c:dLblPos val="outEnd"/>
              <c:showLegendKey val="0"/>
              <c:showVal val="0"/>
              <c:showCatName val="1"/>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5-8ADF-46F4-9CA8-3FDECE539CAD}"/>
                </c:ext>
              </c:extLst>
            </c:dLbl>
            <c:dLbl>
              <c:idx val="3"/>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David" panose="020E0502060401010101" pitchFamily="34" charset="-79"/>
                        <a:ea typeface="+mn-ea"/>
                        <a:cs typeface="David" panose="020E0502060401010101" pitchFamily="34" charset="-79"/>
                      </a:defRPr>
                    </a:pPr>
                    <a:fld id="{0DBC917B-FAEE-41C5-99D1-4AC0007E9FDE}" type="CATEGORYNAME">
                      <a:rPr lang="he-IL">
                        <a:solidFill>
                          <a:schemeClr val="accent4"/>
                        </a:solidFill>
                      </a:rPr>
                      <a:pPr>
                        <a:defRPr>
                          <a:solidFill>
                            <a:schemeClr val="accent1"/>
                          </a:solidFill>
                          <a:latin typeface="David" panose="020E0502060401010101" pitchFamily="34" charset="-79"/>
                          <a:cs typeface="David" panose="020E0502060401010101" pitchFamily="34" charset="-79"/>
                        </a:defRPr>
                      </a:pPr>
                      <a:t>[שם קטגוריה]</a:t>
                    </a:fld>
                    <a:r>
                      <a:rPr lang="he-IL">
                        <a:solidFill>
                          <a:schemeClr val="accent4"/>
                        </a:solidFill>
                      </a:rPr>
                      <a:t> 15%</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David" panose="020E0502060401010101" pitchFamily="34" charset="-79"/>
                      <a:ea typeface="+mn-ea"/>
                      <a:cs typeface="David" panose="020E0502060401010101" pitchFamily="34" charset="-79"/>
                    </a:defRPr>
                  </a:pPr>
                  <a:endParaRPr lang="he-IL"/>
                </a:p>
              </c:txPr>
              <c:dLblPos val="outEnd"/>
              <c:showLegendKey val="0"/>
              <c:showVal val="0"/>
              <c:showCatName val="1"/>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7-8ADF-46F4-9CA8-3FDECE539CAD}"/>
                </c:ext>
              </c:extLst>
            </c:dLbl>
            <c:dLbl>
              <c:idx val="4"/>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David" panose="020E0502060401010101" pitchFamily="34" charset="-79"/>
                        <a:ea typeface="+mn-ea"/>
                        <a:cs typeface="David" panose="020E0502060401010101" pitchFamily="34" charset="-79"/>
                      </a:defRPr>
                    </a:pPr>
                    <a:fld id="{0C7124B7-BE37-4ABD-98F2-A7A797E83002}" type="CATEGORYNAME">
                      <a:rPr lang="he-IL">
                        <a:solidFill>
                          <a:srgbClr val="92D050"/>
                        </a:solidFill>
                      </a:rPr>
                      <a:pPr>
                        <a:defRPr>
                          <a:solidFill>
                            <a:schemeClr val="accent1"/>
                          </a:solidFill>
                          <a:latin typeface="David" panose="020E0502060401010101" pitchFamily="34" charset="-79"/>
                          <a:cs typeface="David" panose="020E0502060401010101" pitchFamily="34" charset="-79"/>
                        </a:defRPr>
                      </a:pPr>
                      <a:t>[שם קטגוריה]</a:t>
                    </a:fld>
                    <a:r>
                      <a:rPr lang="he-IL">
                        <a:solidFill>
                          <a:srgbClr val="92D050"/>
                        </a:solidFill>
                      </a:rPr>
                      <a:t> 12%</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David" panose="020E0502060401010101" pitchFamily="34" charset="-79"/>
                      <a:ea typeface="+mn-ea"/>
                      <a:cs typeface="David" panose="020E0502060401010101" pitchFamily="34" charset="-79"/>
                    </a:defRPr>
                  </a:pPr>
                  <a:endParaRPr lang="he-IL"/>
                </a:p>
              </c:txPr>
              <c:dLblPos val="outEnd"/>
              <c:showLegendKey val="0"/>
              <c:showVal val="0"/>
              <c:showCatName val="1"/>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9-8ADF-46F4-9CA8-3FDECE539CAD}"/>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David" panose="020E0502060401010101" pitchFamily="34" charset="-79"/>
                    <a:ea typeface="+mn-ea"/>
                    <a:cs typeface="David" panose="020E0502060401010101" pitchFamily="34" charset="-79"/>
                  </a:defRPr>
                </a:pPr>
                <a:endParaRPr lang="he-IL"/>
              </a:p>
            </c:tx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גיליון1!$A$1:$A$5</c:f>
              <c:strCache>
                <c:ptCount val="5"/>
                <c:pt idx="0">
                  <c:v>אדמיניסטרציה קשורה בתיקים</c:v>
                </c:pt>
                <c:pt idx="1">
                  <c:v>כתיבה</c:v>
                </c:pt>
                <c:pt idx="2">
                  <c:v>שמיעת דיונים</c:v>
                </c:pt>
                <c:pt idx="3">
                  <c:v>הכנה לדיונים</c:v>
                </c:pt>
                <c:pt idx="4">
                  <c:v>עבודה שיפוטית שאינה קשורה בתיקים</c:v>
                </c:pt>
              </c:strCache>
            </c:strRef>
          </c:cat>
          <c:val>
            <c:numRef>
              <c:f>גיליון1!$B$1:$B$5</c:f>
              <c:numCache>
                <c:formatCode>0%</c:formatCode>
                <c:ptCount val="5"/>
                <c:pt idx="0">
                  <c:v>0.03</c:v>
                </c:pt>
                <c:pt idx="1">
                  <c:v>0.41</c:v>
                </c:pt>
                <c:pt idx="2">
                  <c:v>0.28999999999999998</c:v>
                </c:pt>
                <c:pt idx="3">
                  <c:v>0.15</c:v>
                </c:pt>
                <c:pt idx="4">
                  <c:v>0.12</c:v>
                </c:pt>
              </c:numCache>
            </c:numRef>
          </c:val>
          <c:extLst>
            <c:ext xmlns:c16="http://schemas.microsoft.com/office/drawing/2014/chart" uri="{C3380CC4-5D6E-409C-BE32-E72D297353CC}">
              <c16:uniqueId val="{0000000A-8ADF-46F4-9CA8-3FDECE539CAD}"/>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e-I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3A5DC-0B39-4B25-806E-E656DB5D7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39</Pages>
  <Words>61471</Words>
  <Characters>307357</Characters>
  <Application>Microsoft Office Word</Application>
  <DocSecurity>0</DocSecurity>
  <Lines>2561</Lines>
  <Paragraphs>736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368092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גלי אביב</dc:creator>
  <cp:keywords/>
  <dc:description/>
  <cp:lastModifiedBy>גלי אביב</cp:lastModifiedBy>
  <cp:revision>76</cp:revision>
  <cp:lastPrinted>2021-07-25T07:29:00Z</cp:lastPrinted>
  <dcterms:created xsi:type="dcterms:W3CDTF">2021-07-11T05:57:00Z</dcterms:created>
  <dcterms:modified xsi:type="dcterms:W3CDTF">2021-07-25T07:30:00Z</dcterms:modified>
</cp:coreProperties>
</file>